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6" w:line="360" w:lineRule="auto"/>
        <w:ind w:firstLine="639" w:firstLineChars="200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i w:val="0"/>
          <w:iCs w:val="0"/>
          <w:spacing w:val="-1"/>
          <w:position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-1"/>
          <w:position w:val="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"/>
          <w:position w:val="5"/>
          <w:sz w:val="32"/>
          <w:szCs w:val="32"/>
        </w:rPr>
        <w:t>征集内容及采购要求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一、征集内容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为确保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渭南高新区财政投资评审及工程结算审核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工作顺利开展，根据工作需要，拟按照政府采购程序，采用框架协议采购方式，对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渭南高新区财政投资评审及工程结算审核服务采购项目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公开征集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入围供应商，通过签订框架协议和采购合同，由入围的供应商为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渭南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高新区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提供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财政投资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评审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及工程结算审核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服务，并出具评审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结算审核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报告等有关资料。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/>
        </w:rPr>
        <w:t>服务要求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从业人员，遵守法律、行政法规规定，具有良好的职业道德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2、入围供应商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应具有健全的内部管理制度，包括财务制度、保密制度、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档案管理制度、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主要人员岗位职责、廉洁从业制度、解决争议评审依据制度等管理制度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建立业务质量控制规程、职业道德规范、后续教育培训制度、业务人员工作职责、项目负责人岗位责任制、执业质量奖罚办法等各项质量控制制度，并有效实施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乙方应在合同签订后1个工作日内安排人员（项目组成人员简历表所列）就项目实施等工作进行安排、部署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（4）项目审核实施过程中不得私自与被审核单位沟通，所有的送审资料的报送及返回须经委托人办理传输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成果文件应符合：财政部关于印发《财政投资评审管理规定》的通知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财建〔2009〕648号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《建设工程造价咨询成果文件质量标准》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中价协[2012]011号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</w:rPr>
        <w:t>其余应符合招标文件要求和乙方投标文件所承诺的服务标准。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三、服务期限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本项目框架协议服务期限为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月1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日—202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年12月31日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四、响应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报价及费用结算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1、供应商应按照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陕西省物价局《关于我省工程服务收费标准有关问题的通知》（陕价行发〔2014〕88号）标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准，下浮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20%。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2、在具体签定采购合同时，由采购人根据项目的需求，自行与入围的供应商进行协商确定一家供应商。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3、评审服务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费由采购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人和成交供应商根据项目具体情况，在框架协议范围内自行协商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（不高于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协议价格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以最终商定的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费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签订采购服务合同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en-US" w:eastAsia="zh-CN"/>
        </w:rPr>
        <w:t>进行结算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五、监督管理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供应商有以下行为的，经调查属实，第一次口头警告，第二次书面警告，第三次取消资格，并不得参加下一轮次的财政投资评审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及工程结算审核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1、在服务期限内，无正当理由拒绝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接受委托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评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审或结算审核服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务的。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评审服务费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超过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en-US" w:eastAsia="zh-CN"/>
        </w:rPr>
        <w:t>响应报价</w:t>
      </w: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jc w:val="left"/>
        <w:textAlignment w:val="baseline"/>
        <w:outlineLvl w:val="9"/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/>
          <w:spacing w:val="-1"/>
          <w:kern w:val="0"/>
          <w:position w:val="5"/>
          <w:sz w:val="24"/>
          <w:szCs w:val="24"/>
          <w:highlight w:val="none"/>
          <w:lang w:val="zh-CN" w:eastAsia="zh-CN"/>
        </w:rPr>
        <w:t>3、提供虚假发票的。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jU1YzdjN2ZhODBhODZmNWYzZjI0ZTE1ODc3NGQifQ=="/>
  </w:docVars>
  <w:rsids>
    <w:rsidRoot w:val="31D72FBB"/>
    <w:rsid w:val="31D72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Copperplate Gothic Bold" w:hAnsi="Copperplate Gothic Bold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2023-03-10T09:29:00Z</dcterms:created>
  <dc:creator>lenovo</dc:creator>
  <cp:lastModifiedBy>lenovo</cp:lastModifiedBy>
  <dcterms:modified xsi:type="dcterms:W3CDTF">2023-03-10T09:31:22Z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CB2075AF337D44E29924233031F7526B</vt:lpwstr>
  </property>
</Properties>
</file>