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4"/>
          <w:szCs w:val="44"/>
        </w:rPr>
      </w:pPr>
    </w:p>
    <w:p>
      <w:pPr>
        <w:jc w:val="cente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政府采购项目</w:t>
      </w:r>
    </w:p>
    <w:p>
      <w:pPr>
        <w:jc w:val="center"/>
        <w:rPr>
          <w:rFonts w:ascii="宋体" w:hAnsi="宋体" w:cs="宋体"/>
          <w:b/>
          <w:sz w:val="36"/>
          <w:szCs w:val="36"/>
        </w:rPr>
      </w:pPr>
    </w:p>
    <w:p>
      <w:pPr>
        <w:jc w:val="center"/>
        <w:rPr>
          <w:rFonts w:ascii="宋体" w:hAnsi="宋体" w:cs="宋体"/>
          <w:b/>
          <w:sz w:val="84"/>
          <w:szCs w:val="84"/>
        </w:rPr>
      </w:pPr>
      <w:r>
        <w:rPr>
          <w:rFonts w:hint="eastAsia" w:ascii="宋体" w:hAnsi="宋体" w:cs="宋体"/>
          <w:b/>
          <w:sz w:val="84"/>
          <w:szCs w:val="84"/>
        </w:rPr>
        <w:t>招 标 文 件</w:t>
      </w: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ind w:firstLine="643" w:firstLineChars="200"/>
        <w:rPr>
          <w:b/>
          <w:bCs/>
          <w:sz w:val="30"/>
          <w:szCs w:val="30"/>
        </w:rPr>
      </w:pPr>
      <w:r>
        <w:rPr>
          <w:rFonts w:hint="eastAsia" w:ascii="宋体" w:hAnsi="宋体" w:cs="宋体"/>
          <w:b/>
          <w:sz w:val="32"/>
          <w:szCs w:val="32"/>
        </w:rPr>
        <w:t>项目名称：陕西中医药大学附属医院</w:t>
      </w:r>
      <w:r>
        <w:rPr>
          <w:rFonts w:hint="eastAsia"/>
          <w:b/>
          <w:bCs/>
          <w:sz w:val="30"/>
          <w:szCs w:val="30"/>
        </w:rPr>
        <w:t>超高清4</w:t>
      </w:r>
      <w:r>
        <w:rPr>
          <w:b/>
          <w:bCs/>
          <w:sz w:val="30"/>
          <w:szCs w:val="30"/>
        </w:rPr>
        <w:t>K</w:t>
      </w:r>
      <w:r>
        <w:rPr>
          <w:rFonts w:hint="eastAsia"/>
          <w:b/>
          <w:bCs/>
          <w:sz w:val="30"/>
          <w:szCs w:val="30"/>
        </w:rPr>
        <w:t>腹腔镜系统项目</w:t>
      </w:r>
    </w:p>
    <w:p>
      <w:pPr>
        <w:ind w:firstLine="643" w:firstLineChars="200"/>
        <w:rPr>
          <w:rFonts w:ascii="宋体" w:hAnsi="宋体" w:cs="宋体"/>
          <w:b/>
          <w:sz w:val="32"/>
          <w:szCs w:val="32"/>
        </w:rPr>
      </w:pPr>
      <w:r>
        <w:rPr>
          <w:rFonts w:hint="eastAsia" w:ascii="宋体" w:hAnsi="宋体" w:cs="宋体"/>
          <w:b/>
          <w:sz w:val="32"/>
          <w:szCs w:val="32"/>
        </w:rPr>
        <w:t>项目编号：0617-2221HZ0456</w:t>
      </w:r>
    </w:p>
    <w:p>
      <w:pPr>
        <w:pStyle w:val="32"/>
        <w:rPr>
          <w:rFonts w:ascii="宋体" w:hAnsi="宋体" w:cs="宋体"/>
          <w:b/>
          <w:sz w:val="32"/>
          <w:szCs w:val="32"/>
        </w:rPr>
      </w:pPr>
    </w:p>
    <w:p>
      <w:pPr>
        <w:pStyle w:val="32"/>
        <w:rPr>
          <w:rFonts w:ascii="宋体" w:hAnsi="宋体" w:cs="宋体"/>
          <w:b/>
          <w:sz w:val="32"/>
          <w:szCs w:val="32"/>
        </w:rPr>
      </w:pPr>
    </w:p>
    <w:p>
      <w:pPr>
        <w:ind w:firstLine="1370" w:firstLineChars="379"/>
        <w:rPr>
          <w:rFonts w:ascii="宋体" w:hAnsi="宋体" w:cs="宋体"/>
          <w:b/>
          <w:sz w:val="36"/>
          <w:szCs w:val="36"/>
        </w:rPr>
      </w:pPr>
    </w:p>
    <w:p>
      <w:pPr>
        <w:rPr>
          <w:rFonts w:ascii="宋体" w:hAnsi="宋体" w:cs="宋体"/>
          <w:b/>
          <w:bCs/>
          <w:sz w:val="36"/>
        </w:rPr>
      </w:pPr>
    </w:p>
    <w:p>
      <w:pPr>
        <w:jc w:val="center"/>
        <w:rPr>
          <w:rFonts w:ascii="宋体" w:hAnsi="宋体" w:cs="宋体"/>
          <w:b/>
          <w:bCs/>
          <w:sz w:val="36"/>
          <w:szCs w:val="36"/>
        </w:rPr>
      </w:pPr>
      <w:r>
        <w:rPr>
          <w:rFonts w:hint="eastAsia" w:ascii="宋体" w:hAnsi="宋体" w:cs="宋体"/>
          <w:b/>
          <w:bCs/>
          <w:sz w:val="36"/>
          <w:szCs w:val="36"/>
        </w:rPr>
        <w:t>西北（陕西）国际招标有限公司</w:t>
      </w:r>
    </w:p>
    <w:p>
      <w:pPr>
        <w:tabs>
          <w:tab w:val="left" w:pos="525"/>
        </w:tabs>
        <w:ind w:left="-2" w:leftChars="-1" w:firstLine="1"/>
        <w:jc w:val="center"/>
        <w:rPr>
          <w:rFonts w:ascii="宋体" w:hAnsi="宋体" w:cs="宋体"/>
          <w:b/>
          <w:bCs/>
          <w:sz w:val="40"/>
          <w:szCs w:val="18"/>
        </w:rPr>
      </w:pPr>
      <w:r>
        <w:rPr>
          <w:rFonts w:hint="eastAsia" w:ascii="宋体" w:hAnsi="宋体" w:cs="宋体"/>
          <w:b/>
          <w:bCs/>
          <w:sz w:val="40"/>
          <w:szCs w:val="18"/>
        </w:rPr>
        <w:t>二〇二二年三月</w:t>
      </w:r>
    </w:p>
    <w:p>
      <w:pPr>
        <w:rPr>
          <w:rFonts w:ascii="宋体" w:hAnsi="宋体" w:cs="宋体"/>
          <w:b/>
          <w:sz w:val="48"/>
        </w:rPr>
      </w:pPr>
      <w:r>
        <w:rPr>
          <w:rFonts w:hint="eastAsia" w:ascii="宋体" w:hAnsi="宋体" w:cs="宋体"/>
          <w:b/>
          <w:sz w:val="48"/>
        </w:rPr>
        <w:br w:type="page"/>
      </w:r>
    </w:p>
    <w:p>
      <w:pPr>
        <w:jc w:val="center"/>
        <w:rPr>
          <w:rFonts w:ascii="宋体" w:hAnsi="宋体" w:cs="宋体"/>
          <w:b/>
          <w:sz w:val="48"/>
          <w:szCs w:val="48"/>
        </w:rPr>
      </w:pPr>
      <w:r>
        <w:rPr>
          <w:rFonts w:hint="eastAsia" w:ascii="宋体" w:hAnsi="宋体" w:cs="宋体"/>
          <w:b/>
          <w:sz w:val="48"/>
          <w:szCs w:val="48"/>
        </w:rPr>
        <w:t>目   录</w:t>
      </w:r>
    </w:p>
    <w:p>
      <w:pPr>
        <w:jc w:val="center"/>
        <w:rPr>
          <w:rFonts w:ascii="宋体" w:hAnsi="宋体" w:cs="宋体"/>
          <w:sz w:val="32"/>
        </w:rPr>
      </w:pPr>
    </w:p>
    <w:p>
      <w:pPr>
        <w:rPr>
          <w:rFonts w:ascii="宋体" w:hAnsi="宋体" w:cs="宋体"/>
          <w:sz w:val="32"/>
        </w:rPr>
      </w:pPr>
    </w:p>
    <w:p>
      <w:pPr>
        <w:spacing w:line="800" w:lineRule="exact"/>
        <w:ind w:left="1260" w:leftChars="600"/>
        <w:rPr>
          <w:rFonts w:ascii="宋体" w:hAnsi="宋体" w:cs="宋体"/>
          <w:sz w:val="32"/>
        </w:rPr>
      </w:pPr>
      <w:r>
        <w:rPr>
          <w:rFonts w:hint="eastAsia" w:ascii="宋体" w:hAnsi="宋体" w:cs="宋体"/>
          <w:sz w:val="32"/>
        </w:rPr>
        <w:t>第一章 招标公告</w:t>
      </w:r>
    </w:p>
    <w:p>
      <w:pPr>
        <w:spacing w:line="800" w:lineRule="exact"/>
        <w:ind w:left="1260" w:leftChars="600"/>
        <w:rPr>
          <w:rFonts w:ascii="宋体" w:hAnsi="宋体" w:cs="宋体"/>
          <w:sz w:val="32"/>
        </w:rPr>
      </w:pPr>
      <w:r>
        <w:rPr>
          <w:rFonts w:hint="eastAsia" w:ascii="宋体" w:hAnsi="宋体" w:cs="宋体"/>
          <w:sz w:val="32"/>
        </w:rPr>
        <w:t>第二章 供应商须知及前附表</w:t>
      </w:r>
    </w:p>
    <w:p>
      <w:pPr>
        <w:spacing w:line="800" w:lineRule="exact"/>
        <w:ind w:left="1260" w:leftChars="600"/>
        <w:rPr>
          <w:rFonts w:ascii="宋体" w:hAnsi="宋体" w:cs="宋体"/>
          <w:sz w:val="32"/>
        </w:rPr>
      </w:pPr>
      <w:r>
        <w:rPr>
          <w:rFonts w:hint="eastAsia" w:ascii="宋体" w:hAnsi="宋体" w:cs="宋体"/>
          <w:sz w:val="32"/>
        </w:rPr>
        <w:t xml:space="preserve">第三章 合同通用条款       </w:t>
      </w:r>
    </w:p>
    <w:p>
      <w:pPr>
        <w:spacing w:line="800" w:lineRule="exact"/>
        <w:ind w:left="1260" w:leftChars="600"/>
        <w:rPr>
          <w:rFonts w:ascii="宋体" w:hAnsi="宋体" w:cs="宋体"/>
          <w:sz w:val="32"/>
        </w:rPr>
      </w:pPr>
      <w:r>
        <w:rPr>
          <w:rFonts w:hint="eastAsia" w:ascii="宋体" w:hAnsi="宋体" w:cs="宋体"/>
          <w:sz w:val="32"/>
        </w:rPr>
        <w:t>第四章 合同专用条款</w:t>
      </w:r>
    </w:p>
    <w:p>
      <w:pPr>
        <w:spacing w:line="800" w:lineRule="exact"/>
        <w:ind w:left="1260" w:leftChars="600"/>
        <w:rPr>
          <w:rFonts w:ascii="宋体" w:hAnsi="宋体" w:cs="宋体"/>
          <w:sz w:val="32"/>
        </w:rPr>
      </w:pPr>
      <w:r>
        <w:rPr>
          <w:rFonts w:hint="eastAsia" w:ascii="宋体" w:hAnsi="宋体" w:cs="宋体"/>
          <w:sz w:val="32"/>
        </w:rPr>
        <w:t>第五章 合同格式</w:t>
      </w:r>
    </w:p>
    <w:p>
      <w:pPr>
        <w:spacing w:line="800" w:lineRule="exact"/>
        <w:ind w:left="1260" w:leftChars="600"/>
        <w:rPr>
          <w:rFonts w:ascii="宋体" w:hAnsi="宋体" w:cs="宋体"/>
          <w:sz w:val="32"/>
        </w:rPr>
      </w:pPr>
      <w:r>
        <w:rPr>
          <w:rFonts w:hint="eastAsia" w:ascii="宋体" w:hAnsi="宋体" w:cs="宋体"/>
          <w:sz w:val="32"/>
        </w:rPr>
        <w:t>第六章 投标文件格式</w:t>
      </w:r>
    </w:p>
    <w:p>
      <w:pPr>
        <w:spacing w:line="800" w:lineRule="exact"/>
        <w:ind w:left="1260" w:leftChars="600"/>
        <w:rPr>
          <w:rFonts w:ascii="宋体" w:hAnsi="宋体" w:cs="宋体"/>
          <w:sz w:val="32"/>
        </w:rPr>
      </w:pPr>
      <w:r>
        <w:rPr>
          <w:rFonts w:hint="eastAsia" w:ascii="宋体" w:hAnsi="宋体" w:cs="宋体"/>
          <w:sz w:val="32"/>
        </w:rPr>
        <w:t>第七章 招标内容及技术规范</w:t>
      </w:r>
    </w:p>
    <w:p>
      <w:pPr>
        <w:spacing w:line="800" w:lineRule="exact"/>
        <w:ind w:left="1260" w:leftChars="600"/>
        <w:rPr>
          <w:rFonts w:ascii="宋体" w:hAnsi="宋体" w:cs="宋体"/>
          <w:sz w:val="32"/>
        </w:rPr>
      </w:pPr>
      <w:r>
        <w:rPr>
          <w:rFonts w:hint="eastAsia" w:ascii="宋体" w:hAnsi="宋体" w:cs="宋体"/>
          <w:sz w:val="32"/>
        </w:rPr>
        <w:t>第八章 评标方法</w:t>
      </w:r>
    </w:p>
    <w:p>
      <w:pPr>
        <w:spacing w:line="480" w:lineRule="auto"/>
        <w:rPr>
          <w:rFonts w:ascii="宋体" w:hAnsi="宋体" w:cs="宋体"/>
          <w:sz w:val="32"/>
        </w:rPr>
      </w:pPr>
    </w:p>
    <w:p>
      <w:pPr>
        <w:jc w:val="center"/>
        <w:rPr>
          <w:rFonts w:ascii="宋体" w:hAnsi="宋体" w:cs="宋体"/>
          <w:b/>
          <w:sz w:val="44"/>
        </w:rPr>
      </w:pPr>
    </w:p>
    <w:p>
      <w:pPr>
        <w:jc w:val="center"/>
        <w:rPr>
          <w:rFonts w:ascii="宋体" w:hAnsi="宋体" w:cs="宋体"/>
          <w:b/>
          <w:sz w:val="44"/>
        </w:rPr>
      </w:pPr>
    </w:p>
    <w:p>
      <w:pPr>
        <w:spacing w:line="480" w:lineRule="auto"/>
        <w:jc w:val="center"/>
        <w:rPr>
          <w:rFonts w:ascii="宋体" w:hAnsi="宋体" w:cs="宋体"/>
          <w:b/>
          <w:sz w:val="44"/>
          <w:szCs w:val="44"/>
        </w:rPr>
      </w:pPr>
      <w:r>
        <w:rPr>
          <w:rFonts w:hint="eastAsia" w:ascii="宋体" w:hAnsi="宋体" w:cs="宋体"/>
          <w:b/>
          <w:sz w:val="44"/>
        </w:rPr>
        <w:br w:type="page"/>
      </w:r>
      <w:r>
        <w:rPr>
          <w:rFonts w:hint="eastAsia" w:ascii="宋体" w:hAnsi="宋体" w:cs="宋体"/>
          <w:b/>
          <w:sz w:val="44"/>
          <w:szCs w:val="44"/>
        </w:rPr>
        <w:t xml:space="preserve">第一章 </w:t>
      </w:r>
      <w:bookmarkStart w:id="0" w:name="_Hlk36453955"/>
      <w:r>
        <w:rPr>
          <w:rFonts w:hint="eastAsia" w:ascii="宋体" w:hAnsi="宋体" w:cs="宋体"/>
          <w:b/>
          <w:sz w:val="44"/>
          <w:szCs w:val="44"/>
        </w:rPr>
        <w:t>招标公告</w:t>
      </w:r>
    </w:p>
    <w:p>
      <w:pPr>
        <w:spacing w:line="312" w:lineRule="auto"/>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u w:val="single"/>
        </w:rPr>
        <w:t>陕西中医药大学附属医院超高清4K腹腔镜系统项目</w:t>
      </w:r>
      <w:r>
        <w:rPr>
          <w:rFonts w:hint="eastAsia" w:ascii="宋体" w:hAnsi="宋体" w:cs="宋体"/>
          <w:sz w:val="24"/>
          <w:szCs w:val="24"/>
        </w:rPr>
        <w:t>的潜在供应商应在</w:t>
      </w:r>
      <w:r>
        <w:rPr>
          <w:rFonts w:hint="eastAsia" w:ascii="宋体" w:hAnsi="宋体" w:cs="宋体"/>
          <w:kern w:val="0"/>
          <w:sz w:val="24"/>
          <w:szCs w:val="24"/>
          <w:u w:val="single"/>
        </w:rPr>
        <w:t>西北（陕西）国际招标有限公司</w:t>
      </w:r>
      <w:r>
        <w:rPr>
          <w:rFonts w:hint="eastAsia" w:ascii="宋体" w:hAnsi="宋体" w:cs="宋体"/>
          <w:sz w:val="24"/>
          <w:szCs w:val="24"/>
          <w:u w:val="single"/>
        </w:rPr>
        <w:t>（</w:t>
      </w:r>
      <w:r>
        <w:rPr>
          <w:rFonts w:hint="eastAsia" w:ascii="宋体" w:hAnsi="宋体" w:cs="宋体"/>
          <w:kern w:val="0"/>
          <w:sz w:val="24"/>
          <w:szCs w:val="24"/>
          <w:u w:val="single"/>
        </w:rPr>
        <w:t>陕西省西安市雁塔区南二环西段58号成长大厦10层</w:t>
      </w:r>
      <w:r>
        <w:rPr>
          <w:rFonts w:hint="eastAsia" w:ascii="宋体" w:hAnsi="宋体" w:cs="宋体"/>
          <w:sz w:val="24"/>
          <w:szCs w:val="24"/>
          <w:u w:val="single"/>
        </w:rPr>
        <w:t>）</w:t>
      </w:r>
      <w:r>
        <w:rPr>
          <w:rFonts w:hint="eastAsia" w:ascii="宋体" w:hAnsi="宋体" w:cs="宋体"/>
          <w:sz w:val="24"/>
          <w:szCs w:val="24"/>
        </w:rPr>
        <w:t>获取招标文件，并于</w:t>
      </w:r>
      <w:r>
        <w:rPr>
          <w:rFonts w:hint="eastAsia" w:ascii="宋体" w:hAnsi="宋体" w:cs="宋体"/>
          <w:sz w:val="24"/>
          <w:szCs w:val="24"/>
          <w:u w:val="single"/>
        </w:rPr>
        <w:t>2022年</w:t>
      </w:r>
      <w:r>
        <w:rPr>
          <w:rFonts w:hint="eastAsia" w:ascii="宋体" w:hAnsi="宋体" w:cs="宋体"/>
          <w:sz w:val="24"/>
          <w:szCs w:val="24"/>
          <w:u w:val="single"/>
          <w:lang w:val="en-US" w:eastAsia="zh-CN"/>
        </w:rPr>
        <w:t>4</w:t>
      </w:r>
      <w:r>
        <w:rPr>
          <w:rFonts w:hint="eastAsia" w:ascii="宋体" w:hAnsi="宋体" w:cs="宋体"/>
          <w:sz w:val="24"/>
          <w:szCs w:val="24"/>
          <w:u w:val="single"/>
        </w:rPr>
        <w:t>月</w:t>
      </w:r>
      <w:r>
        <w:rPr>
          <w:rFonts w:hint="eastAsia" w:ascii="宋体" w:hAnsi="宋体" w:cs="宋体"/>
          <w:sz w:val="24"/>
          <w:szCs w:val="24"/>
          <w:u w:val="single"/>
          <w:lang w:val="en-US" w:eastAsia="zh-CN"/>
        </w:rPr>
        <w:t>18</w:t>
      </w:r>
      <w:r>
        <w:rPr>
          <w:rFonts w:hint="eastAsia" w:ascii="宋体" w:hAnsi="宋体" w:cs="宋体"/>
          <w:sz w:val="24"/>
          <w:szCs w:val="24"/>
          <w:u w:val="single"/>
        </w:rPr>
        <w:t>日</w:t>
      </w:r>
      <w:r>
        <w:rPr>
          <w:rFonts w:hint="eastAsia" w:ascii="宋体" w:hAnsi="宋体" w:cs="宋体"/>
          <w:sz w:val="24"/>
          <w:szCs w:val="24"/>
          <w:u w:val="single"/>
          <w:lang w:val="en-US" w:eastAsia="zh-CN"/>
        </w:rPr>
        <w:t>09</w:t>
      </w:r>
      <w:r>
        <w:rPr>
          <w:rFonts w:hint="eastAsia" w:ascii="宋体" w:hAnsi="宋体" w:cs="宋体"/>
          <w:sz w:val="24"/>
          <w:szCs w:val="24"/>
          <w:u w:val="single"/>
        </w:rPr>
        <w:t>点</w:t>
      </w:r>
      <w:r>
        <w:rPr>
          <w:rFonts w:hint="eastAsia" w:ascii="宋体" w:hAnsi="宋体" w:cs="宋体"/>
          <w:sz w:val="24"/>
          <w:szCs w:val="24"/>
          <w:u w:val="single"/>
          <w:lang w:val="en-US" w:eastAsia="zh-CN"/>
        </w:rPr>
        <w:t>30</w:t>
      </w:r>
      <w:r>
        <w:rPr>
          <w:rFonts w:hint="eastAsia" w:ascii="宋体" w:hAnsi="宋体" w:cs="宋体"/>
          <w:sz w:val="24"/>
          <w:szCs w:val="24"/>
          <w:u w:val="single"/>
        </w:rPr>
        <w:t>分</w:t>
      </w:r>
      <w:r>
        <w:rPr>
          <w:rFonts w:hint="eastAsia" w:ascii="宋体" w:hAnsi="宋体" w:cs="宋体"/>
          <w:sz w:val="24"/>
          <w:szCs w:val="24"/>
        </w:rPr>
        <w:t>（北京时间）前递交投标文件。</w:t>
      </w:r>
    </w:p>
    <w:p>
      <w:pPr>
        <w:spacing w:line="360" w:lineRule="auto"/>
        <w:ind w:firstLine="482" w:firstLineChars="200"/>
        <w:rPr>
          <w:rFonts w:ascii="宋体" w:hAnsi="宋体" w:cs="宋体"/>
          <w:b/>
          <w:kern w:val="0"/>
          <w:sz w:val="24"/>
          <w:szCs w:val="24"/>
        </w:rPr>
      </w:pPr>
      <w:bookmarkStart w:id="1" w:name="_Hlk24379207"/>
      <w:r>
        <w:rPr>
          <w:rFonts w:hint="eastAsia" w:ascii="宋体" w:hAnsi="宋体" w:cs="宋体"/>
          <w:b/>
          <w:kern w:val="0"/>
          <w:sz w:val="24"/>
          <w:szCs w:val="24"/>
        </w:rPr>
        <w:t>一、项目基本情况</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项目编号：</w:t>
      </w:r>
      <w:r>
        <w:rPr>
          <w:rFonts w:hint="eastAsia" w:ascii="宋体" w:hAnsi="宋体" w:cs="宋体"/>
          <w:sz w:val="24"/>
          <w:szCs w:val="24"/>
        </w:rPr>
        <w:t>0617-2221HZ0456</w:t>
      </w:r>
    </w:p>
    <w:p>
      <w:pPr>
        <w:spacing w:line="360" w:lineRule="auto"/>
        <w:ind w:firstLine="480" w:firstLineChars="200"/>
        <w:rPr>
          <w:rFonts w:ascii="宋体" w:hAnsi="宋体" w:cs="宋体"/>
          <w:sz w:val="24"/>
          <w:szCs w:val="24"/>
          <w:u w:val="single"/>
        </w:rPr>
      </w:pPr>
      <w:r>
        <w:rPr>
          <w:rFonts w:hint="eastAsia" w:ascii="宋体" w:hAnsi="宋体" w:cs="宋体"/>
          <w:kern w:val="0"/>
          <w:sz w:val="24"/>
          <w:szCs w:val="24"/>
        </w:rPr>
        <w:t>项目名称：</w:t>
      </w:r>
      <w:bookmarkEnd w:id="1"/>
      <w:r>
        <w:rPr>
          <w:rFonts w:hint="eastAsia" w:ascii="宋体" w:hAnsi="宋体" w:cs="宋体"/>
          <w:sz w:val="24"/>
          <w:szCs w:val="24"/>
        </w:rPr>
        <w:t>陕西中医药大学附属医院超高清4K腹腔镜系统项目</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预算金额（人民币）：人民币贰佰叁拾万元整（￥2300000.00元）</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本项目最高限价（人民币）：/</w:t>
      </w:r>
    </w:p>
    <w:p>
      <w:pPr>
        <w:spacing w:line="360" w:lineRule="auto"/>
        <w:ind w:firstLine="480" w:firstLineChars="200"/>
        <w:rPr>
          <w:highlight w:val="none"/>
        </w:rPr>
      </w:pPr>
      <w:r>
        <w:rPr>
          <w:rFonts w:hint="eastAsia" w:ascii="宋体" w:hAnsi="宋体" w:cs="宋体"/>
          <w:kern w:val="0"/>
          <w:sz w:val="24"/>
          <w:szCs w:val="24"/>
          <w:highlight w:val="none"/>
        </w:rPr>
        <w:t>采购需求：超高清4K腹腔镜系统  数量：一套</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具体内容详见招标文件“第七章 招标内容及技术规范”。</w:t>
      </w:r>
    </w:p>
    <w:p>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cs="宋体"/>
          <w:kern w:val="0"/>
          <w:sz w:val="24"/>
          <w:szCs w:val="24"/>
          <w:highlight w:val="none"/>
        </w:rPr>
        <w:t>交货期：</w:t>
      </w:r>
      <w:bookmarkStart w:id="36" w:name="_GoBack"/>
      <w:r>
        <w:rPr>
          <w:rFonts w:hint="eastAsia" w:ascii="宋体" w:hAnsi="宋体" w:cs="宋体"/>
          <w:kern w:val="0"/>
          <w:sz w:val="24"/>
          <w:szCs w:val="24"/>
          <w:highlight w:val="none"/>
        </w:rPr>
        <w:t>接</w:t>
      </w:r>
      <w:r>
        <w:rPr>
          <w:rFonts w:hint="eastAsia" w:ascii="宋体" w:hAnsi="宋体" w:cs="宋体"/>
          <w:bCs/>
          <w:sz w:val="24"/>
          <w:szCs w:val="24"/>
          <w:highlight w:val="none"/>
        </w:rPr>
        <w:t>中标通知书后30个日历日内</w:t>
      </w:r>
      <w:r>
        <w:rPr>
          <w:rFonts w:hint="eastAsia" w:ascii="宋体" w:hAnsi="宋体" w:cs="宋体"/>
          <w:bCs/>
          <w:sz w:val="24"/>
          <w:szCs w:val="24"/>
          <w:highlight w:val="none"/>
          <w:lang w:eastAsia="zh-CN"/>
        </w:rPr>
        <w:t>，</w:t>
      </w:r>
      <w:r>
        <w:rPr>
          <w:rFonts w:hint="eastAsia" w:ascii="宋体" w:hAnsi="宋体" w:cs="宋体"/>
          <w:bCs/>
          <w:sz w:val="24"/>
          <w:szCs w:val="24"/>
          <w:highlight w:val="none"/>
        </w:rPr>
        <w:t>全部安装调试完毕，交付采购人使用。</w:t>
      </w:r>
    </w:p>
    <w:bookmarkEnd w:id="36"/>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本项目不接受联合体投标。</w:t>
      </w:r>
    </w:p>
    <w:p>
      <w:pPr>
        <w:spacing w:line="360" w:lineRule="auto"/>
        <w:ind w:firstLine="482" w:firstLineChars="200"/>
        <w:rPr>
          <w:rFonts w:ascii="宋体" w:hAnsi="宋体" w:cs="宋体"/>
          <w:b/>
          <w:kern w:val="0"/>
          <w:sz w:val="24"/>
          <w:szCs w:val="24"/>
        </w:rPr>
      </w:pPr>
      <w:bookmarkStart w:id="2" w:name="_Toc35393791"/>
      <w:bookmarkStart w:id="3" w:name="_Toc28359080"/>
      <w:bookmarkStart w:id="4" w:name="_Toc28359003"/>
      <w:bookmarkStart w:id="5" w:name="_Toc35393622"/>
      <w:r>
        <w:rPr>
          <w:rFonts w:hint="eastAsia" w:ascii="宋体" w:hAnsi="宋体" w:cs="宋体"/>
          <w:b/>
          <w:kern w:val="0"/>
          <w:sz w:val="24"/>
          <w:szCs w:val="24"/>
        </w:rPr>
        <w:t>二、供应商的资格要求：</w:t>
      </w:r>
      <w:bookmarkEnd w:id="2"/>
      <w:bookmarkEnd w:id="3"/>
      <w:bookmarkEnd w:id="4"/>
      <w:bookmarkEnd w:id="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1.满足《中华人民共和国政府采购法》第二十二条规定；</w:t>
      </w:r>
    </w:p>
    <w:p>
      <w:pPr>
        <w:spacing w:line="360" w:lineRule="auto"/>
        <w:ind w:firstLine="480" w:firstLineChars="200"/>
        <w:rPr>
          <w:rFonts w:ascii="宋体" w:hAnsi="宋体" w:cs="宋体"/>
          <w:kern w:val="0"/>
          <w:sz w:val="24"/>
          <w:szCs w:val="24"/>
        </w:rPr>
      </w:pPr>
      <w:bookmarkStart w:id="6" w:name="_Toc28359081"/>
      <w:bookmarkStart w:id="7" w:name="_Toc28359004"/>
      <w:r>
        <w:rPr>
          <w:rFonts w:hint="eastAsia" w:ascii="宋体" w:hAnsi="宋体" w:cs="宋体"/>
          <w:kern w:val="0"/>
          <w:sz w:val="24"/>
          <w:szCs w:val="24"/>
        </w:rPr>
        <w:t xml:space="preserve">2.落实政府采购政策需满足的资格要求：无 </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rPr>
        <w:t>3.本项目的特定资格要求：</w:t>
      </w:r>
      <w:r>
        <w:rPr>
          <w:rFonts w:hint="eastAsia" w:ascii="宋体" w:hAnsi="宋体" w:cs="宋体"/>
          <w:sz w:val="24"/>
          <w:szCs w:val="24"/>
          <w:highlight w:val="none"/>
        </w:rPr>
        <w:t>供应商为生产厂家的须提供《医疗器械生产许可证》；供应商为代理商的须提供《医疗器械经营许可证》。</w:t>
      </w:r>
    </w:p>
    <w:p>
      <w:pPr>
        <w:spacing w:line="360" w:lineRule="auto"/>
        <w:ind w:firstLine="482" w:firstLineChars="200"/>
        <w:rPr>
          <w:rFonts w:ascii="宋体" w:hAnsi="宋体" w:cs="宋体"/>
          <w:b/>
          <w:kern w:val="0"/>
          <w:sz w:val="24"/>
          <w:szCs w:val="24"/>
        </w:rPr>
      </w:pPr>
      <w:bookmarkStart w:id="8" w:name="_Toc35393623"/>
      <w:bookmarkStart w:id="9" w:name="_Toc35393792"/>
      <w:r>
        <w:rPr>
          <w:rFonts w:hint="eastAsia" w:ascii="宋体" w:hAnsi="宋体" w:cs="宋体"/>
          <w:b/>
          <w:kern w:val="0"/>
          <w:sz w:val="24"/>
          <w:szCs w:val="24"/>
        </w:rPr>
        <w:t>三、获取招标文件</w:t>
      </w:r>
      <w:bookmarkEnd w:id="6"/>
      <w:bookmarkEnd w:id="7"/>
      <w:bookmarkEnd w:id="8"/>
      <w:bookmarkEnd w:id="9"/>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时间：</w:t>
      </w:r>
      <w:r>
        <w:rPr>
          <w:rFonts w:hint="eastAsia" w:ascii="宋体" w:hAnsi="宋体" w:cs="宋体"/>
          <w:kern w:val="0"/>
          <w:sz w:val="24"/>
          <w:szCs w:val="24"/>
          <w:u w:val="single"/>
        </w:rPr>
        <w:t>2022年</w:t>
      </w:r>
      <w:r>
        <w:rPr>
          <w:rFonts w:hint="eastAsia" w:ascii="宋体" w:hAnsi="宋体" w:cs="宋体"/>
          <w:kern w:val="0"/>
          <w:sz w:val="24"/>
          <w:szCs w:val="24"/>
          <w:u w:val="single"/>
          <w:lang w:val="en-US" w:eastAsia="zh-CN"/>
        </w:rPr>
        <w:t>3</w:t>
      </w:r>
      <w:r>
        <w:rPr>
          <w:rFonts w:hint="eastAsia" w:ascii="宋体" w:hAnsi="宋体" w:cs="宋体"/>
          <w:kern w:val="0"/>
          <w:sz w:val="24"/>
          <w:szCs w:val="24"/>
          <w:u w:val="single"/>
        </w:rPr>
        <w:t>月</w:t>
      </w:r>
      <w:r>
        <w:rPr>
          <w:rFonts w:hint="eastAsia" w:ascii="宋体" w:hAnsi="宋体" w:cs="宋体"/>
          <w:kern w:val="0"/>
          <w:sz w:val="24"/>
          <w:szCs w:val="24"/>
          <w:u w:val="single"/>
          <w:lang w:val="en-US" w:eastAsia="zh-CN"/>
        </w:rPr>
        <w:t>28</w:t>
      </w:r>
      <w:r>
        <w:rPr>
          <w:rFonts w:hint="eastAsia" w:ascii="宋体" w:hAnsi="宋体" w:cs="宋体"/>
          <w:kern w:val="0"/>
          <w:sz w:val="24"/>
          <w:szCs w:val="24"/>
          <w:u w:val="single"/>
        </w:rPr>
        <w:t>日至2022年</w:t>
      </w:r>
      <w:r>
        <w:rPr>
          <w:rFonts w:hint="eastAsia" w:ascii="宋体" w:hAnsi="宋体" w:cs="宋体"/>
          <w:kern w:val="0"/>
          <w:sz w:val="24"/>
          <w:szCs w:val="24"/>
          <w:u w:val="single"/>
          <w:lang w:val="en-US" w:eastAsia="zh-CN"/>
        </w:rPr>
        <w:t>4</w:t>
      </w:r>
      <w:r>
        <w:rPr>
          <w:rFonts w:hint="eastAsia" w:ascii="宋体" w:hAnsi="宋体" w:cs="宋体"/>
          <w:kern w:val="0"/>
          <w:sz w:val="24"/>
          <w:szCs w:val="24"/>
          <w:u w:val="single"/>
        </w:rPr>
        <w:t>月</w:t>
      </w:r>
      <w:r>
        <w:rPr>
          <w:rFonts w:hint="eastAsia" w:ascii="宋体" w:hAnsi="宋体" w:cs="宋体"/>
          <w:kern w:val="0"/>
          <w:sz w:val="24"/>
          <w:szCs w:val="24"/>
          <w:u w:val="single"/>
          <w:lang w:val="en-US" w:eastAsia="zh-CN"/>
        </w:rPr>
        <w:t>2</w:t>
      </w:r>
      <w:r>
        <w:rPr>
          <w:rFonts w:hint="eastAsia" w:ascii="宋体" w:hAnsi="宋体" w:cs="宋体"/>
          <w:kern w:val="0"/>
          <w:sz w:val="24"/>
          <w:szCs w:val="24"/>
          <w:u w:val="single"/>
        </w:rPr>
        <w:t>日</w:t>
      </w:r>
      <w:r>
        <w:rPr>
          <w:rFonts w:hint="eastAsia" w:ascii="宋体" w:hAnsi="宋体" w:cs="宋体"/>
          <w:kern w:val="0"/>
          <w:sz w:val="24"/>
          <w:szCs w:val="24"/>
        </w:rPr>
        <w:t>，每天上午</w:t>
      </w:r>
      <w:r>
        <w:rPr>
          <w:rFonts w:hint="eastAsia" w:ascii="宋体" w:hAnsi="宋体" w:cs="宋体"/>
          <w:sz w:val="24"/>
          <w:szCs w:val="24"/>
          <w:u w:val="single"/>
        </w:rPr>
        <w:t>8:30</w:t>
      </w:r>
      <w:r>
        <w:rPr>
          <w:rFonts w:hint="eastAsia" w:ascii="宋体" w:hAnsi="宋体" w:cs="宋体"/>
          <w:sz w:val="24"/>
          <w:szCs w:val="24"/>
        </w:rPr>
        <w:t>时至</w:t>
      </w:r>
      <w:r>
        <w:rPr>
          <w:rFonts w:hint="eastAsia" w:ascii="宋体" w:hAnsi="宋体" w:cs="宋体"/>
          <w:sz w:val="24"/>
          <w:szCs w:val="24"/>
          <w:u w:val="single"/>
        </w:rPr>
        <w:t>11:30</w:t>
      </w:r>
      <w:r>
        <w:rPr>
          <w:rFonts w:hint="eastAsia" w:ascii="宋体" w:hAnsi="宋体" w:cs="宋体"/>
          <w:sz w:val="24"/>
          <w:szCs w:val="24"/>
        </w:rPr>
        <w:t>时，下午</w:t>
      </w:r>
      <w:r>
        <w:rPr>
          <w:rFonts w:hint="eastAsia" w:ascii="宋体" w:hAnsi="宋体" w:cs="宋体"/>
          <w:sz w:val="24"/>
          <w:szCs w:val="24"/>
          <w:u w:val="single"/>
        </w:rPr>
        <w:t>13:30</w:t>
      </w:r>
      <w:r>
        <w:rPr>
          <w:rFonts w:hint="eastAsia" w:ascii="宋体" w:hAnsi="宋体" w:cs="宋体"/>
          <w:sz w:val="24"/>
          <w:szCs w:val="24"/>
        </w:rPr>
        <w:t>时至</w:t>
      </w:r>
      <w:r>
        <w:rPr>
          <w:rFonts w:hint="eastAsia" w:ascii="宋体" w:hAnsi="宋体" w:cs="宋体"/>
          <w:sz w:val="24"/>
          <w:szCs w:val="24"/>
          <w:u w:val="single"/>
        </w:rPr>
        <w:t>16:30</w:t>
      </w:r>
      <w:r>
        <w:rPr>
          <w:rFonts w:hint="eastAsia" w:ascii="宋体" w:hAnsi="宋体" w:cs="宋体"/>
          <w:sz w:val="24"/>
          <w:szCs w:val="24"/>
        </w:rPr>
        <w:t>时</w:t>
      </w:r>
      <w:r>
        <w:rPr>
          <w:rFonts w:hint="eastAsia" w:ascii="宋体" w:hAnsi="宋体" w:cs="宋体"/>
          <w:kern w:val="0"/>
          <w:sz w:val="24"/>
          <w:szCs w:val="24"/>
        </w:rPr>
        <w:t>（北京时间，法定节假日除外）</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地点：</w:t>
      </w:r>
      <w:r>
        <w:rPr>
          <w:rFonts w:hint="eastAsia" w:ascii="宋体" w:hAnsi="宋体" w:cs="宋体"/>
          <w:sz w:val="24"/>
          <w:szCs w:val="24"/>
        </w:rPr>
        <w:t>西安市南二环西段58号成长大厦10层标书发售处（南二环与朱雀路十字西南角）</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方式：现场报名</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售价：人民币500元，售后不退</w:t>
      </w:r>
    </w:p>
    <w:p>
      <w:pPr>
        <w:pStyle w:val="32"/>
        <w:spacing w:line="360" w:lineRule="auto"/>
      </w:pPr>
      <w:r>
        <w:rPr>
          <w:rFonts w:hint="eastAsia" w:ascii="宋体" w:hAnsi="宋体" w:eastAsia="宋体" w:cs="宋体"/>
          <w:szCs w:val="24"/>
        </w:rPr>
        <w:t>注：需持单位介绍信、购买人身份证原件及复印件加盖单位公章现场报名。</w:t>
      </w:r>
    </w:p>
    <w:p>
      <w:pPr>
        <w:spacing w:line="360" w:lineRule="auto"/>
        <w:ind w:firstLine="482" w:firstLineChars="200"/>
        <w:rPr>
          <w:rFonts w:ascii="宋体" w:hAnsi="宋体" w:cs="宋体"/>
          <w:b/>
          <w:kern w:val="0"/>
          <w:sz w:val="24"/>
          <w:szCs w:val="24"/>
        </w:rPr>
      </w:pPr>
      <w:bookmarkStart w:id="10" w:name="_Toc28359082"/>
      <w:bookmarkStart w:id="11" w:name="_Toc28359005"/>
      <w:bookmarkStart w:id="12" w:name="_Toc35393793"/>
      <w:bookmarkStart w:id="13" w:name="_Toc35393624"/>
      <w:r>
        <w:rPr>
          <w:rFonts w:hint="eastAsia" w:ascii="宋体" w:hAnsi="宋体" w:cs="宋体"/>
          <w:b/>
          <w:kern w:val="0"/>
          <w:sz w:val="24"/>
          <w:szCs w:val="24"/>
        </w:rPr>
        <w:t>四、提交投标文件</w:t>
      </w:r>
      <w:bookmarkEnd w:id="10"/>
      <w:bookmarkEnd w:id="11"/>
      <w:r>
        <w:rPr>
          <w:rFonts w:hint="eastAsia" w:ascii="宋体" w:hAnsi="宋体" w:cs="宋体"/>
          <w:b/>
          <w:kern w:val="0"/>
          <w:sz w:val="24"/>
          <w:szCs w:val="24"/>
        </w:rPr>
        <w:t>截止时间、开标时间和地点</w:t>
      </w:r>
      <w:bookmarkEnd w:id="12"/>
      <w:bookmarkEnd w:id="13"/>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u w:val="single"/>
        </w:rPr>
        <w:t>2022年</w:t>
      </w:r>
      <w:r>
        <w:rPr>
          <w:rFonts w:hint="eastAsia" w:ascii="宋体" w:hAnsi="宋体" w:cs="宋体"/>
          <w:kern w:val="0"/>
          <w:sz w:val="24"/>
          <w:szCs w:val="24"/>
          <w:u w:val="single"/>
          <w:lang w:val="en-US" w:eastAsia="zh-CN"/>
        </w:rPr>
        <w:t>04</w:t>
      </w:r>
      <w:r>
        <w:rPr>
          <w:rFonts w:hint="eastAsia" w:ascii="宋体" w:hAnsi="宋体" w:cs="宋体"/>
          <w:kern w:val="0"/>
          <w:sz w:val="24"/>
          <w:szCs w:val="24"/>
          <w:u w:val="single"/>
        </w:rPr>
        <w:t>月</w:t>
      </w:r>
      <w:r>
        <w:rPr>
          <w:rFonts w:hint="eastAsia" w:ascii="宋体" w:hAnsi="宋体" w:cs="宋体"/>
          <w:kern w:val="0"/>
          <w:sz w:val="24"/>
          <w:szCs w:val="24"/>
          <w:u w:val="single"/>
          <w:lang w:val="en-US" w:eastAsia="zh-CN"/>
        </w:rPr>
        <w:t>18</w:t>
      </w:r>
      <w:r>
        <w:rPr>
          <w:rFonts w:hint="eastAsia" w:ascii="宋体" w:hAnsi="宋体" w:cs="宋体"/>
          <w:kern w:val="0"/>
          <w:sz w:val="24"/>
          <w:szCs w:val="24"/>
          <w:u w:val="single"/>
        </w:rPr>
        <w:t>日</w:t>
      </w:r>
      <w:r>
        <w:rPr>
          <w:rFonts w:hint="eastAsia" w:ascii="宋体" w:hAnsi="宋体" w:cs="宋体"/>
          <w:kern w:val="0"/>
          <w:sz w:val="24"/>
          <w:szCs w:val="24"/>
          <w:u w:val="single"/>
          <w:lang w:val="en-US" w:eastAsia="zh-CN"/>
        </w:rPr>
        <w:t>09</w:t>
      </w:r>
      <w:r>
        <w:rPr>
          <w:rFonts w:hint="eastAsia" w:ascii="宋体" w:hAnsi="宋体" w:cs="宋体"/>
          <w:kern w:val="0"/>
          <w:sz w:val="24"/>
          <w:szCs w:val="24"/>
          <w:u w:val="single"/>
        </w:rPr>
        <w:t>点</w:t>
      </w:r>
      <w:r>
        <w:rPr>
          <w:rFonts w:hint="eastAsia" w:ascii="宋体" w:hAnsi="宋体" w:cs="宋体"/>
          <w:kern w:val="0"/>
          <w:sz w:val="24"/>
          <w:szCs w:val="24"/>
          <w:u w:val="single"/>
          <w:lang w:val="en-US" w:eastAsia="zh-CN"/>
        </w:rPr>
        <w:t>30</w:t>
      </w:r>
      <w:r>
        <w:rPr>
          <w:rFonts w:hint="eastAsia" w:ascii="宋体" w:hAnsi="宋体" w:cs="宋体"/>
          <w:kern w:val="0"/>
          <w:sz w:val="24"/>
          <w:szCs w:val="24"/>
          <w:u w:val="single"/>
        </w:rPr>
        <w:t>分</w:t>
      </w:r>
      <w:r>
        <w:rPr>
          <w:rFonts w:hint="eastAsia" w:ascii="宋体" w:hAnsi="宋体" w:cs="宋体"/>
          <w:kern w:val="0"/>
          <w:sz w:val="24"/>
          <w:szCs w:val="24"/>
        </w:rPr>
        <w:t>（北京时间）</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地点：</w:t>
      </w:r>
      <w:r>
        <w:rPr>
          <w:rFonts w:hint="eastAsia" w:ascii="宋体" w:hAnsi="宋体" w:cs="宋体"/>
          <w:sz w:val="24"/>
          <w:szCs w:val="24"/>
        </w:rPr>
        <w:t>西安市南二环西段58号成长大厦10层会议室</w:t>
      </w:r>
    </w:p>
    <w:p>
      <w:pPr>
        <w:spacing w:line="360" w:lineRule="auto"/>
        <w:ind w:firstLine="482" w:firstLineChars="200"/>
        <w:rPr>
          <w:rFonts w:ascii="宋体" w:hAnsi="宋体" w:cs="宋体"/>
          <w:b/>
          <w:kern w:val="0"/>
          <w:sz w:val="24"/>
          <w:szCs w:val="24"/>
        </w:rPr>
      </w:pPr>
      <w:bookmarkStart w:id="14" w:name="_Toc28359084"/>
      <w:bookmarkStart w:id="15" w:name="_Toc35393794"/>
      <w:bookmarkStart w:id="16" w:name="_Toc28359007"/>
      <w:bookmarkStart w:id="17" w:name="_Toc35393625"/>
      <w:r>
        <w:rPr>
          <w:rFonts w:hint="eastAsia" w:ascii="宋体" w:hAnsi="宋体" w:cs="宋体"/>
          <w:b/>
          <w:kern w:val="0"/>
          <w:sz w:val="24"/>
          <w:szCs w:val="24"/>
        </w:rPr>
        <w:t>五、公告期限</w:t>
      </w:r>
      <w:bookmarkEnd w:id="14"/>
      <w:bookmarkEnd w:id="15"/>
      <w:bookmarkEnd w:id="16"/>
      <w:bookmarkEnd w:id="17"/>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pPr>
        <w:spacing w:line="360" w:lineRule="auto"/>
        <w:ind w:firstLine="482" w:firstLineChars="200"/>
        <w:rPr>
          <w:rFonts w:ascii="宋体" w:hAnsi="宋体" w:cs="宋体"/>
          <w:b/>
          <w:kern w:val="0"/>
          <w:sz w:val="24"/>
          <w:szCs w:val="24"/>
        </w:rPr>
      </w:pPr>
      <w:bookmarkStart w:id="18" w:name="_Toc35393626"/>
      <w:bookmarkStart w:id="19" w:name="_Toc35393795"/>
      <w:r>
        <w:rPr>
          <w:rFonts w:hint="eastAsia" w:ascii="宋体" w:hAnsi="宋体" w:cs="宋体"/>
          <w:b/>
          <w:kern w:val="0"/>
          <w:sz w:val="24"/>
          <w:szCs w:val="24"/>
        </w:rPr>
        <w:t>六、其他补充事宜</w:t>
      </w:r>
      <w:bookmarkEnd w:id="18"/>
      <w:bookmarkEnd w:id="19"/>
    </w:p>
    <w:p>
      <w:pPr>
        <w:spacing w:line="360" w:lineRule="auto"/>
        <w:ind w:firstLine="480" w:firstLineChars="200"/>
        <w:rPr>
          <w:rFonts w:ascii="宋体" w:hAnsi="宋体" w:cs="宋体"/>
          <w:sz w:val="24"/>
          <w:szCs w:val="24"/>
        </w:rPr>
      </w:pPr>
      <w:r>
        <w:rPr>
          <w:rFonts w:hint="eastAsia" w:ascii="宋体" w:hAnsi="宋体" w:cs="宋体"/>
          <w:sz w:val="24"/>
          <w:szCs w:val="24"/>
        </w:rPr>
        <w:t>本项目采购活动执行下列政府采购政策（具体办法详见招标文件）：</w:t>
      </w:r>
    </w:p>
    <w:p>
      <w:pPr>
        <w:spacing w:line="360" w:lineRule="auto"/>
        <w:ind w:firstLine="480" w:firstLineChars="200"/>
        <w:rPr>
          <w:rFonts w:ascii="宋体" w:hAnsi="宋体" w:cs="宋体"/>
          <w:sz w:val="24"/>
          <w:szCs w:val="24"/>
        </w:rPr>
      </w:pPr>
      <w:r>
        <w:rPr>
          <w:rFonts w:hint="eastAsia" w:ascii="宋体" w:hAnsi="宋体" w:cs="宋体"/>
          <w:sz w:val="24"/>
          <w:szCs w:val="24"/>
        </w:rPr>
        <w:t>1、《财政部 国家发展改革委关于印发〈节能产品政府采购实施意见〉的通知》（财库〔2004〕185号）；</w:t>
      </w:r>
    </w:p>
    <w:p>
      <w:pPr>
        <w:spacing w:line="360" w:lineRule="auto"/>
        <w:ind w:firstLine="480" w:firstLineChars="200"/>
        <w:rPr>
          <w:rFonts w:ascii="宋体" w:hAnsi="宋体" w:cs="宋体"/>
          <w:sz w:val="24"/>
          <w:szCs w:val="24"/>
        </w:rPr>
      </w:pPr>
      <w:r>
        <w:rPr>
          <w:rFonts w:hint="eastAsia" w:ascii="宋体" w:hAnsi="宋体" w:cs="宋体"/>
          <w:sz w:val="24"/>
          <w:szCs w:val="24"/>
        </w:rPr>
        <w:t>2、《国务院办公厅关于建立政府强制采购节能产品制度的通知》（国办发〔2007〕51号）；</w:t>
      </w:r>
    </w:p>
    <w:p>
      <w:pPr>
        <w:spacing w:line="360" w:lineRule="auto"/>
        <w:ind w:firstLine="480" w:firstLineChars="200"/>
        <w:rPr>
          <w:rFonts w:ascii="宋体" w:hAnsi="宋体" w:cs="宋体"/>
          <w:sz w:val="24"/>
          <w:szCs w:val="24"/>
        </w:rPr>
      </w:pPr>
      <w:r>
        <w:rPr>
          <w:rFonts w:hint="eastAsia" w:ascii="宋体" w:hAnsi="宋体" w:cs="宋体"/>
          <w:sz w:val="24"/>
          <w:szCs w:val="24"/>
        </w:rPr>
        <w:t>3、《财政部环保总局关于环境标志产品政府采购实施的意见》（财库〔2006〕90号）；</w:t>
      </w:r>
    </w:p>
    <w:p>
      <w:pPr>
        <w:spacing w:line="360" w:lineRule="auto"/>
        <w:ind w:firstLine="480" w:firstLineChars="200"/>
        <w:rPr>
          <w:rFonts w:ascii="宋体" w:hAnsi="宋体" w:cs="宋体"/>
          <w:sz w:val="24"/>
          <w:szCs w:val="24"/>
        </w:rPr>
      </w:pPr>
      <w:r>
        <w:rPr>
          <w:rFonts w:hint="eastAsia" w:ascii="宋体" w:hAnsi="宋体" w:cs="宋体"/>
          <w:sz w:val="24"/>
          <w:szCs w:val="24"/>
        </w:rPr>
        <w:t>4、《财政部 司法部关于政府采购支持监狱企业发展有关问题的通知》（财库〔2014〕68号）；</w:t>
      </w:r>
    </w:p>
    <w:p>
      <w:pPr>
        <w:spacing w:line="360" w:lineRule="auto"/>
        <w:ind w:firstLine="480" w:firstLineChars="200"/>
        <w:rPr>
          <w:rFonts w:ascii="宋体" w:hAnsi="宋体" w:cs="宋体"/>
          <w:sz w:val="24"/>
          <w:szCs w:val="24"/>
        </w:rPr>
      </w:pPr>
      <w:r>
        <w:rPr>
          <w:rFonts w:hint="eastAsia" w:ascii="宋体" w:hAnsi="宋体" w:cs="宋体"/>
          <w:sz w:val="24"/>
          <w:szCs w:val="24"/>
        </w:rPr>
        <w:t>5、《三部门联合发布关于促进残疾人就业政府采购政策的通知》（财库〔2017〕141号）；</w:t>
      </w:r>
    </w:p>
    <w:p>
      <w:pPr>
        <w:spacing w:line="360" w:lineRule="auto"/>
        <w:ind w:firstLine="480" w:firstLineChars="200"/>
        <w:rPr>
          <w:rFonts w:ascii="宋体" w:hAnsi="宋体" w:cs="宋体"/>
          <w:sz w:val="24"/>
          <w:szCs w:val="24"/>
        </w:rPr>
      </w:pPr>
      <w:r>
        <w:rPr>
          <w:rFonts w:hint="eastAsia" w:ascii="宋体" w:hAnsi="宋体" w:cs="宋体"/>
          <w:sz w:val="24"/>
          <w:szCs w:val="24"/>
        </w:rPr>
        <w:t>6、《财政部 发展改革委 生态环境部 市场监管总局关于调整优化节能产品、环境标志产品政府采购执行机制的通知》（财库〔2019〕9号）；</w:t>
      </w:r>
    </w:p>
    <w:p>
      <w:pPr>
        <w:spacing w:line="360" w:lineRule="auto"/>
        <w:ind w:firstLine="480" w:firstLineChars="200"/>
        <w:rPr>
          <w:rFonts w:ascii="宋体" w:hAnsi="宋体" w:cs="宋体"/>
          <w:sz w:val="24"/>
          <w:szCs w:val="24"/>
        </w:rPr>
      </w:pPr>
      <w:r>
        <w:rPr>
          <w:rFonts w:hint="eastAsia" w:ascii="宋体" w:hAnsi="宋体" w:cs="宋体"/>
          <w:sz w:val="24"/>
          <w:szCs w:val="24"/>
        </w:rPr>
        <w:t>7、《关于运用政府采购政策支持乡村产业振兴的通知》（财库〔2021〕19号）；</w:t>
      </w:r>
    </w:p>
    <w:p>
      <w:pPr>
        <w:spacing w:line="360" w:lineRule="auto"/>
        <w:ind w:firstLine="480" w:firstLineChars="200"/>
        <w:rPr>
          <w:rFonts w:ascii="宋体" w:hAnsi="宋体" w:cs="宋体"/>
          <w:sz w:val="24"/>
          <w:szCs w:val="24"/>
        </w:rPr>
      </w:pPr>
      <w:r>
        <w:rPr>
          <w:rFonts w:hint="eastAsia" w:ascii="宋体" w:hAnsi="宋体" w:cs="宋体"/>
          <w:sz w:val="24"/>
          <w:szCs w:val="24"/>
        </w:rPr>
        <w:t>8、《政府采购促进中小企业发展管理办法》（财库〔2020〕46号）；</w:t>
      </w:r>
    </w:p>
    <w:p>
      <w:pPr>
        <w:spacing w:line="360" w:lineRule="auto"/>
        <w:ind w:firstLine="480" w:firstLineChars="200"/>
        <w:rPr>
          <w:rFonts w:ascii="宋体" w:hAnsi="宋体" w:cs="宋体"/>
          <w:sz w:val="24"/>
          <w:szCs w:val="24"/>
        </w:rPr>
      </w:pPr>
      <w:r>
        <w:rPr>
          <w:rFonts w:hint="eastAsia" w:ascii="宋体" w:hAnsi="宋体" w:cs="宋体"/>
          <w:sz w:val="24"/>
          <w:szCs w:val="24"/>
        </w:rPr>
        <w:t>9、《陕西省中小企业政府采购信用融资办法》（陕财办采〔2018〕23号）；</w:t>
      </w:r>
    </w:p>
    <w:p>
      <w:pPr>
        <w:spacing w:line="360" w:lineRule="auto"/>
        <w:ind w:firstLine="480" w:firstLineChars="200"/>
        <w:rPr>
          <w:rFonts w:ascii="宋体" w:hAnsi="宋体" w:cs="宋体"/>
          <w:sz w:val="24"/>
          <w:szCs w:val="24"/>
        </w:rPr>
      </w:pPr>
      <w:bookmarkStart w:id="20" w:name="_Toc35393796"/>
      <w:bookmarkStart w:id="21" w:name="_Toc35393627"/>
      <w:bookmarkStart w:id="22" w:name="_Toc28359085"/>
      <w:bookmarkStart w:id="23" w:name="_Toc28359008"/>
      <w:r>
        <w:rPr>
          <w:rFonts w:hint="eastAsia" w:ascii="宋体" w:hAnsi="宋体" w:cs="宋体"/>
          <w:sz w:val="24"/>
          <w:szCs w:val="24"/>
        </w:rPr>
        <w:t>10、《关于进一步加强政府绿色采购有关问题的通知》（陕财办采〔2021〕29号）。</w:t>
      </w:r>
    </w:p>
    <w:p>
      <w:pPr>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七、对本次招标提出询问，请按以下方式联系。</w:t>
      </w:r>
      <w:bookmarkEnd w:id="20"/>
      <w:bookmarkEnd w:id="21"/>
      <w:bookmarkEnd w:id="22"/>
      <w:bookmarkEnd w:id="23"/>
    </w:p>
    <w:p>
      <w:pPr>
        <w:spacing w:line="360" w:lineRule="auto"/>
        <w:ind w:firstLine="480" w:firstLineChars="200"/>
        <w:rPr>
          <w:rFonts w:ascii="宋体" w:hAnsi="宋体" w:cs="宋体"/>
          <w:b/>
          <w:kern w:val="0"/>
          <w:sz w:val="24"/>
          <w:szCs w:val="24"/>
        </w:rPr>
      </w:pPr>
      <w:r>
        <w:rPr>
          <w:rFonts w:hint="eastAsia" w:ascii="宋体" w:hAnsi="宋体" w:cs="宋体"/>
          <w:kern w:val="0"/>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称：陕西中医药大学附属医院</w:t>
      </w:r>
    </w:p>
    <w:p>
      <w:pPr>
        <w:spacing w:line="360" w:lineRule="auto"/>
        <w:ind w:firstLine="480" w:firstLineChars="200"/>
        <w:rPr>
          <w:rFonts w:ascii="宋体" w:hAnsi="宋体" w:cs="宋体"/>
          <w:sz w:val="24"/>
          <w:szCs w:val="24"/>
        </w:rPr>
      </w:pPr>
      <w:r>
        <w:rPr>
          <w:rFonts w:hint="eastAsia" w:ascii="宋体" w:hAnsi="宋体" w:cs="宋体"/>
          <w:sz w:val="24"/>
          <w:szCs w:val="24"/>
        </w:rPr>
        <w:t>地    址：咸阳市渭阳西路副2号</w:t>
      </w:r>
    </w:p>
    <w:p>
      <w:pPr>
        <w:spacing w:line="360" w:lineRule="auto"/>
        <w:ind w:firstLine="480" w:firstLineChars="200"/>
        <w:rPr>
          <w:rFonts w:ascii="宋体" w:hAnsi="宋体" w:cs="宋体"/>
          <w:sz w:val="24"/>
          <w:szCs w:val="24"/>
        </w:rPr>
      </w:pPr>
      <w:r>
        <w:rPr>
          <w:rFonts w:hint="eastAsia" w:ascii="宋体" w:hAnsi="宋体" w:cs="宋体"/>
          <w:sz w:val="24"/>
          <w:szCs w:val="24"/>
        </w:rPr>
        <w:t>联 系 人：马老师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rPr>
        <w:t>联系</w:t>
      </w:r>
      <w:r>
        <w:rPr>
          <w:rFonts w:hint="eastAsia" w:ascii="宋体" w:hAnsi="宋体" w:cs="宋体"/>
          <w:sz w:val="24"/>
          <w:szCs w:val="24"/>
          <w:highlight w:val="none"/>
        </w:rPr>
        <w:t>方式：</w:t>
      </w:r>
      <w:bookmarkStart w:id="24" w:name="_Toc28359009"/>
      <w:bookmarkStart w:id="25" w:name="_Toc28359086"/>
      <w:r>
        <w:rPr>
          <w:rFonts w:hint="eastAsia" w:ascii="宋体" w:hAnsi="宋体" w:cs="宋体"/>
          <w:sz w:val="24"/>
          <w:szCs w:val="24"/>
          <w:highlight w:val="none"/>
        </w:rPr>
        <w:t>029-33320910</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2.采购代理机构信息</w:t>
      </w:r>
      <w:bookmarkEnd w:id="24"/>
      <w:bookmarkEnd w:id="25"/>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名    称：西北（陕西）国际招标有限公司</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地　  址：陕西省西安市雁塔区南二环西段58号成长大厦10～14层</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联系方式：</w:t>
      </w:r>
      <w:bookmarkStart w:id="26" w:name="_Toc28359087"/>
      <w:bookmarkStart w:id="27" w:name="_Toc28359010"/>
      <w:r>
        <w:rPr>
          <w:rFonts w:hint="eastAsia" w:ascii="宋体" w:hAnsi="宋体" w:cs="宋体"/>
          <w:kern w:val="0"/>
          <w:sz w:val="24"/>
          <w:szCs w:val="24"/>
          <w:highlight w:val="none"/>
        </w:rPr>
        <w:t>029-89651851</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开户名称：西北（陕西）国际招标有限公司</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开户银行： 交通银行西安长安大学支行</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账    号：611301151018010003843</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3.项目联系方式</w:t>
      </w:r>
      <w:bookmarkEnd w:id="26"/>
      <w:bookmarkEnd w:id="27"/>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项目联系人：秦进、刘洁茜、张喆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电　  话：029-89651851</w:t>
      </w:r>
    </w:p>
    <w:bookmarkEnd w:id="0"/>
    <w:p>
      <w:pPr>
        <w:widowControl/>
        <w:spacing w:line="360" w:lineRule="auto"/>
        <w:jc w:val="left"/>
        <w:rPr>
          <w:rFonts w:ascii="宋体" w:hAnsi="宋体" w:cs="宋体"/>
          <w:kern w:val="0"/>
          <w:sz w:val="24"/>
          <w:szCs w:val="24"/>
        </w:rPr>
      </w:pPr>
    </w:p>
    <w:p>
      <w:pPr>
        <w:widowControl/>
        <w:spacing w:line="360" w:lineRule="auto"/>
        <w:jc w:val="left"/>
        <w:rPr>
          <w:rFonts w:ascii="宋体" w:hAnsi="宋体" w:cs="宋体"/>
          <w:kern w:val="0"/>
          <w:sz w:val="24"/>
          <w:szCs w:val="24"/>
        </w:rPr>
      </w:pPr>
    </w:p>
    <w:p>
      <w:pPr>
        <w:rPr>
          <w:rFonts w:ascii="宋体" w:hAnsi="宋体" w:cs="宋体"/>
          <w:kern w:val="0"/>
          <w:sz w:val="24"/>
          <w:szCs w:val="24"/>
        </w:rPr>
      </w:pPr>
    </w:p>
    <w:p>
      <w:pPr>
        <w:jc w:val="center"/>
        <w:rPr>
          <w:rFonts w:ascii="宋体" w:hAnsi="宋体" w:cs="宋体"/>
          <w:b/>
          <w:sz w:val="44"/>
        </w:rPr>
      </w:pPr>
      <w:r>
        <w:rPr>
          <w:rFonts w:hint="eastAsia" w:ascii="宋体" w:hAnsi="宋体" w:cs="宋体"/>
          <w:kern w:val="0"/>
          <w:sz w:val="24"/>
          <w:szCs w:val="24"/>
        </w:rPr>
        <w:br w:type="page"/>
      </w:r>
      <w:r>
        <w:rPr>
          <w:rFonts w:hint="eastAsia" w:ascii="宋体" w:hAnsi="宋体" w:cs="宋体"/>
          <w:b/>
          <w:sz w:val="44"/>
        </w:rPr>
        <w:t>第二章 供应商须知及前附表</w:t>
      </w:r>
    </w:p>
    <w:p>
      <w:pPr>
        <w:spacing w:line="360" w:lineRule="auto"/>
        <w:jc w:val="center"/>
        <w:rPr>
          <w:rFonts w:ascii="宋体" w:hAnsi="宋体" w:cs="宋体"/>
          <w:sz w:val="36"/>
          <w:szCs w:val="36"/>
        </w:rPr>
      </w:pPr>
      <w:r>
        <w:rPr>
          <w:rFonts w:hint="eastAsia" w:ascii="宋体" w:hAnsi="宋体" w:cs="宋体"/>
          <w:sz w:val="36"/>
          <w:szCs w:val="36"/>
        </w:rPr>
        <w:t>供应商须知前附表</w:t>
      </w:r>
    </w:p>
    <w:p>
      <w:pPr>
        <w:spacing w:line="360" w:lineRule="auto"/>
        <w:jc w:val="center"/>
        <w:rPr>
          <w:rFonts w:ascii="宋体" w:hAnsi="宋体" w:cs="宋体"/>
          <w:b/>
          <w:sz w:val="24"/>
        </w:rPr>
      </w:pPr>
      <w:r>
        <w:rPr>
          <w:rFonts w:hint="eastAsia" w:ascii="宋体" w:hAnsi="宋体" w:cs="宋体"/>
          <w:b/>
          <w:sz w:val="24"/>
        </w:rPr>
        <w:t>（本表是对供应商须知的提示、补充和修改，如有矛盾，应以本表为准。）</w:t>
      </w:r>
    </w:p>
    <w:tbl>
      <w:tblPr>
        <w:tblStyle w:val="18"/>
        <w:tblW w:w="9000" w:type="dxa"/>
        <w:tblInd w:w="28" w:type="dxa"/>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2067"/>
        <w:gridCol w:w="5940"/>
      </w:tblGrid>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blHeader/>
        </w:trPr>
        <w:tc>
          <w:tcPr>
            <w:tcW w:w="993" w:type="dxa"/>
            <w:tcBorders>
              <w:top w:val="single" w:color="auto" w:sz="12" w:space="0"/>
            </w:tcBorders>
            <w:noWrap/>
            <w:vAlign w:val="center"/>
          </w:tcPr>
          <w:p>
            <w:pPr>
              <w:spacing w:line="360" w:lineRule="auto"/>
              <w:jc w:val="center"/>
              <w:rPr>
                <w:rFonts w:ascii="宋体" w:hAnsi="宋体" w:cs="宋体"/>
                <w:b/>
                <w:sz w:val="24"/>
                <w:szCs w:val="24"/>
              </w:rPr>
            </w:pPr>
            <w:r>
              <w:rPr>
                <w:rFonts w:hint="eastAsia" w:ascii="宋体" w:hAnsi="宋体" w:cs="宋体"/>
                <w:b/>
                <w:sz w:val="24"/>
                <w:szCs w:val="24"/>
              </w:rPr>
              <w:t>条款号</w:t>
            </w:r>
          </w:p>
        </w:tc>
        <w:tc>
          <w:tcPr>
            <w:tcW w:w="2067" w:type="dxa"/>
            <w:tcBorders>
              <w:top w:val="single" w:color="auto" w:sz="12" w:space="0"/>
            </w:tcBorders>
            <w:noWrap/>
            <w:vAlign w:val="center"/>
          </w:tcPr>
          <w:p>
            <w:pPr>
              <w:spacing w:line="360" w:lineRule="auto"/>
              <w:jc w:val="center"/>
              <w:rPr>
                <w:rFonts w:ascii="宋体" w:hAnsi="宋体" w:cs="宋体"/>
                <w:b/>
                <w:sz w:val="24"/>
                <w:szCs w:val="24"/>
              </w:rPr>
            </w:pPr>
            <w:r>
              <w:rPr>
                <w:rFonts w:hint="eastAsia" w:ascii="宋体" w:hAnsi="宋体" w:cs="宋体"/>
                <w:b/>
                <w:sz w:val="24"/>
                <w:szCs w:val="24"/>
              </w:rPr>
              <w:t>条款内容提示</w:t>
            </w:r>
          </w:p>
        </w:tc>
        <w:tc>
          <w:tcPr>
            <w:tcW w:w="5940" w:type="dxa"/>
            <w:tcBorders>
              <w:top w:val="single" w:color="auto" w:sz="12" w:space="0"/>
            </w:tcBorders>
            <w:noWrap/>
            <w:vAlign w:val="center"/>
          </w:tcPr>
          <w:p>
            <w:pPr>
              <w:spacing w:line="360" w:lineRule="auto"/>
              <w:jc w:val="center"/>
              <w:rPr>
                <w:rFonts w:ascii="宋体" w:hAnsi="宋体" w:cs="宋体"/>
                <w:b/>
                <w:sz w:val="24"/>
                <w:szCs w:val="24"/>
              </w:rPr>
            </w:pPr>
            <w:r>
              <w:rPr>
                <w:rFonts w:hint="eastAsia" w:ascii="宋体" w:hAnsi="宋体" w:cs="宋体"/>
                <w:b/>
                <w:sz w:val="24"/>
                <w:szCs w:val="24"/>
              </w:rPr>
              <w:t>编 列 内 容</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3"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采购人</w:t>
            </w:r>
          </w:p>
        </w:tc>
        <w:tc>
          <w:tcPr>
            <w:tcW w:w="5940" w:type="dxa"/>
            <w:noWrap/>
            <w:vAlign w:val="center"/>
          </w:tcPr>
          <w:p>
            <w:pPr>
              <w:spacing w:line="360" w:lineRule="auto"/>
              <w:rPr>
                <w:rFonts w:ascii="宋体" w:hAnsi="宋体" w:cs="宋体"/>
                <w:kern w:val="0"/>
                <w:sz w:val="24"/>
                <w:szCs w:val="24"/>
              </w:rPr>
            </w:pPr>
            <w:r>
              <w:rPr>
                <w:rFonts w:hint="eastAsia" w:ascii="宋体" w:hAnsi="宋体" w:cs="宋体"/>
                <w:sz w:val="24"/>
                <w:szCs w:val="24"/>
              </w:rPr>
              <w:t>名称：陕西中医药大学附属医院</w:t>
            </w:r>
          </w:p>
          <w:p>
            <w:pPr>
              <w:spacing w:line="360" w:lineRule="auto"/>
              <w:rPr>
                <w:rFonts w:ascii="宋体" w:hAnsi="宋体" w:cs="宋体"/>
                <w:sz w:val="24"/>
                <w:szCs w:val="24"/>
              </w:rPr>
            </w:pPr>
            <w:r>
              <w:rPr>
                <w:rFonts w:hint="eastAsia" w:ascii="宋体" w:hAnsi="宋体" w:cs="宋体"/>
                <w:kern w:val="0"/>
                <w:sz w:val="24"/>
                <w:szCs w:val="24"/>
              </w:rPr>
              <w:t>地址：咸阳市渭阳西路副2号</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采购代理机构</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名称：西北（陕西）国际招标有限公司</w:t>
            </w:r>
          </w:p>
          <w:p>
            <w:pPr>
              <w:spacing w:line="360" w:lineRule="auto"/>
              <w:rPr>
                <w:rFonts w:ascii="宋体" w:hAnsi="宋体" w:cs="宋体"/>
                <w:sz w:val="24"/>
                <w:szCs w:val="24"/>
              </w:rPr>
            </w:pPr>
            <w:r>
              <w:rPr>
                <w:rFonts w:hint="eastAsia" w:ascii="宋体" w:hAnsi="宋体" w:cs="宋体"/>
                <w:sz w:val="24"/>
                <w:szCs w:val="24"/>
              </w:rPr>
              <w:t>地址：陕西省西安市雁塔区南二环西段58号成长大厦10～14层</w:t>
            </w:r>
          </w:p>
          <w:p>
            <w:pPr>
              <w:spacing w:line="360" w:lineRule="auto"/>
              <w:rPr>
                <w:rFonts w:ascii="宋体" w:hAnsi="宋体" w:cs="宋体"/>
                <w:sz w:val="24"/>
                <w:szCs w:val="24"/>
              </w:rPr>
            </w:pPr>
            <w:r>
              <w:rPr>
                <w:rFonts w:hint="eastAsia" w:ascii="宋体" w:hAnsi="宋体" w:cs="宋体"/>
                <w:sz w:val="24"/>
                <w:szCs w:val="24"/>
              </w:rPr>
              <w:t>邮编：710075</w:t>
            </w:r>
          </w:p>
          <w:p>
            <w:pPr>
              <w:spacing w:line="360" w:lineRule="auto"/>
              <w:rPr>
                <w:rFonts w:ascii="宋体" w:hAnsi="宋体" w:cs="宋体"/>
                <w:sz w:val="24"/>
                <w:szCs w:val="24"/>
              </w:rPr>
            </w:pPr>
            <w:r>
              <w:rPr>
                <w:rFonts w:hint="eastAsia" w:ascii="宋体" w:hAnsi="宋体" w:cs="宋体"/>
                <w:sz w:val="24"/>
                <w:szCs w:val="24"/>
              </w:rPr>
              <w:t>电话：</w:t>
            </w:r>
            <w:r>
              <w:rPr>
                <w:rFonts w:hint="eastAsia" w:ascii="宋体" w:hAnsi="宋体" w:cs="宋体"/>
                <w:kern w:val="0"/>
                <w:sz w:val="24"/>
                <w:szCs w:val="24"/>
              </w:rPr>
              <w:t>029-89651851</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2" w:hRule="atLeast"/>
        </w:trPr>
        <w:tc>
          <w:tcPr>
            <w:tcW w:w="993" w:type="dxa"/>
            <w:vMerge w:val="restart"/>
            <w:noWrap/>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2067" w:type="dxa"/>
            <w:noWrap/>
            <w:vAlign w:val="center"/>
          </w:tcPr>
          <w:p>
            <w:pPr>
              <w:spacing w:line="360" w:lineRule="auto"/>
              <w:jc w:val="left"/>
              <w:rPr>
                <w:rFonts w:ascii="宋体" w:hAnsi="宋体" w:cs="宋体"/>
                <w:sz w:val="24"/>
                <w:szCs w:val="24"/>
              </w:rPr>
            </w:pPr>
            <w:r>
              <w:rPr>
                <w:rFonts w:hint="eastAsia" w:ascii="宋体" w:hAnsi="宋体" w:cs="宋体"/>
                <w:sz w:val="24"/>
                <w:szCs w:val="24"/>
              </w:rPr>
              <w:t>中华人民共和国法律、行政法规规定的其他条件；</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供应商为生产厂家的须提供《医疗器械生产许可证》；供应商为代理商的须提供《医疗器械经营许可证》</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8" w:hRule="atLeast"/>
        </w:trPr>
        <w:tc>
          <w:tcPr>
            <w:tcW w:w="993" w:type="dxa"/>
            <w:vMerge w:val="continue"/>
            <w:noWrap/>
            <w:vAlign w:val="center"/>
          </w:tcPr>
          <w:p>
            <w:pPr>
              <w:spacing w:line="360" w:lineRule="auto"/>
              <w:jc w:val="center"/>
              <w:rPr>
                <w:rFonts w:ascii="宋体" w:hAnsi="宋体" w:cs="宋体"/>
                <w:sz w:val="24"/>
                <w:szCs w:val="24"/>
              </w:rPr>
            </w:pP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本项目特定条件</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无</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8"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2.4</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关于联合体的相关要求</w:t>
            </w:r>
          </w:p>
        </w:tc>
        <w:tc>
          <w:tcPr>
            <w:tcW w:w="5940" w:type="dxa"/>
            <w:noWrap/>
            <w:vAlign w:val="center"/>
          </w:tcPr>
          <w:p>
            <w:pPr>
              <w:spacing w:line="360" w:lineRule="auto"/>
              <w:rPr>
                <w:rFonts w:ascii="宋体" w:hAnsi="宋体" w:cs="宋体"/>
                <w:sz w:val="24"/>
                <w:szCs w:val="24"/>
              </w:rPr>
            </w:pPr>
            <w:r>
              <w:rPr>
                <w:rFonts w:hint="eastAsia" w:ascii="宋体" w:hAnsi="宋体" w:cs="宋体"/>
                <w:kern w:val="0"/>
                <w:sz w:val="24"/>
                <w:szCs w:val="24"/>
              </w:rPr>
              <w:t>本项目不接受联合体投标</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47"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供应商信用信息</w:t>
            </w:r>
          </w:p>
          <w:p>
            <w:pPr>
              <w:spacing w:line="360" w:lineRule="auto"/>
              <w:rPr>
                <w:rFonts w:ascii="宋体" w:hAnsi="宋体" w:cs="宋体"/>
                <w:sz w:val="24"/>
                <w:szCs w:val="24"/>
              </w:rPr>
            </w:pPr>
            <w:r>
              <w:rPr>
                <w:rFonts w:hint="eastAsia" w:ascii="宋体" w:hAnsi="宋体" w:cs="宋体"/>
                <w:sz w:val="24"/>
                <w:szCs w:val="24"/>
              </w:rPr>
              <w:t>查询</w:t>
            </w:r>
          </w:p>
        </w:tc>
        <w:tc>
          <w:tcPr>
            <w:tcW w:w="5940" w:type="dxa"/>
            <w:noWrap/>
            <w:vAlign w:val="center"/>
          </w:tcPr>
          <w:p>
            <w:pPr>
              <w:spacing w:line="360" w:lineRule="auto"/>
              <w:rPr>
                <w:rFonts w:ascii="宋体" w:hAnsi="宋体" w:cs="宋体"/>
                <w:color w:val="000000"/>
                <w:sz w:val="24"/>
                <w:szCs w:val="24"/>
              </w:rPr>
            </w:pPr>
            <w:r>
              <w:rPr>
                <w:rFonts w:hint="eastAsia" w:ascii="宋体" w:hAnsi="宋体" w:cs="宋体"/>
                <w:color w:val="000000"/>
                <w:kern w:val="0"/>
                <w:sz w:val="24"/>
                <w:szCs w:val="24"/>
              </w:rPr>
              <w:t>“信用中国”网站（www.creditchina.gov.cn）和“中国政府采购网”（ccgp.gov.cn）为供应商信用信息查询渠道，如果供应商被查实在投标截止时间列入失信被执行人、重大税收违法案件当事人名单、政府采购严重违法失信行为记录名单，其投标为无效。</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47"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6.3</w:t>
            </w:r>
          </w:p>
        </w:tc>
        <w:tc>
          <w:tcPr>
            <w:tcW w:w="2067" w:type="dxa"/>
            <w:noWrap/>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招标内容的实质性响应要求</w:t>
            </w:r>
          </w:p>
        </w:tc>
        <w:tc>
          <w:tcPr>
            <w:tcW w:w="5940" w:type="dxa"/>
            <w:noWrap/>
            <w:vAlign w:val="center"/>
          </w:tcPr>
          <w:p>
            <w:pPr>
              <w:spacing w:line="360" w:lineRule="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招标文件第七章“招标内容及技术规范”中以“</w:t>
            </w:r>
            <w:r>
              <w:rPr>
                <w:rFonts w:hint="eastAsia" w:ascii="宋体" w:hAnsi="宋体" w:cs="宋体"/>
                <w:b/>
                <w:bCs/>
                <w:color w:val="000000"/>
                <w:kern w:val="0"/>
                <w:sz w:val="24"/>
                <w:szCs w:val="24"/>
                <w:highlight w:val="none"/>
              </w:rPr>
              <w:t>*</w:t>
            </w:r>
            <w:r>
              <w:rPr>
                <w:rFonts w:hint="eastAsia" w:ascii="宋体" w:hAnsi="宋体" w:cs="宋体"/>
                <w:color w:val="000000"/>
                <w:kern w:val="0"/>
                <w:sz w:val="24"/>
                <w:szCs w:val="24"/>
                <w:highlight w:val="none"/>
              </w:rPr>
              <w:t>”号标记的条款为不允许偏离的技术和商务的实质性要求和条件，不满足实质性要求和条件的投标为无效投标。</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06" w:hRule="atLeast"/>
        </w:trPr>
        <w:tc>
          <w:tcPr>
            <w:tcW w:w="993" w:type="dxa"/>
            <w:noWrap/>
            <w:vAlign w:val="center"/>
          </w:tcPr>
          <w:p>
            <w:pPr>
              <w:widowControl/>
              <w:spacing w:line="360" w:lineRule="auto"/>
              <w:jc w:val="center"/>
              <w:rPr>
                <w:rFonts w:ascii="宋体" w:hAnsi="宋体" w:cs="宋体"/>
                <w:sz w:val="24"/>
                <w:szCs w:val="24"/>
              </w:rPr>
            </w:pPr>
            <w:r>
              <w:rPr>
                <w:rFonts w:hint="eastAsia" w:ascii="宋体" w:hAnsi="宋体" w:cs="宋体"/>
                <w:sz w:val="24"/>
                <w:szCs w:val="24"/>
              </w:rPr>
              <w:t>8.1</w:t>
            </w:r>
          </w:p>
        </w:tc>
        <w:tc>
          <w:tcPr>
            <w:tcW w:w="2067" w:type="dxa"/>
            <w:noWrap/>
            <w:vAlign w:val="center"/>
          </w:tcPr>
          <w:p>
            <w:pPr>
              <w:widowControl/>
              <w:spacing w:line="360" w:lineRule="auto"/>
              <w:jc w:val="left"/>
              <w:rPr>
                <w:rFonts w:ascii="宋体" w:hAnsi="宋体" w:cs="宋体"/>
                <w:sz w:val="24"/>
                <w:szCs w:val="24"/>
              </w:rPr>
            </w:pPr>
            <w:r>
              <w:rPr>
                <w:rFonts w:hint="eastAsia" w:ascii="宋体" w:hAnsi="宋体" w:cs="宋体"/>
                <w:sz w:val="24"/>
                <w:szCs w:val="24"/>
              </w:rPr>
              <w:t>供应商提出询问和质疑的时间及代理机构指定的接受质疑联系部门</w:t>
            </w:r>
          </w:p>
        </w:tc>
        <w:tc>
          <w:tcPr>
            <w:tcW w:w="5940" w:type="dxa"/>
            <w:noWrap/>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1、已经购买招标文件的供应商对招标文件有询问或者质疑的，可以在本项目招标文件公告期限届满之日起七个工作日内，以书面形式向采购代理机构一次性提出，在此之后提出的询问和质疑均为无效，采购代理机构不予受理。</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2、接收质疑函的方式：书面形式，格式：见“中国政府采购网（www.ccgp.gov.cn）下载专区”；</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3、联系部门：西北（陕西）国际招标有限公司综合监督处；</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4、联系电话：029-85362812</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5、通讯地址：西安市南二环西段58号成长大厦12楼</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1203室</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6" w:hRule="atLeast"/>
        </w:trPr>
        <w:tc>
          <w:tcPr>
            <w:tcW w:w="993" w:type="dxa"/>
            <w:noWrap/>
            <w:vAlign w:val="center"/>
          </w:tcPr>
          <w:p>
            <w:pPr>
              <w:widowControl/>
              <w:spacing w:line="360" w:lineRule="auto"/>
              <w:jc w:val="center"/>
              <w:rPr>
                <w:rFonts w:ascii="宋体" w:hAnsi="宋体" w:cs="宋体"/>
                <w:sz w:val="24"/>
                <w:szCs w:val="24"/>
              </w:rPr>
            </w:pPr>
            <w:r>
              <w:rPr>
                <w:rFonts w:hint="eastAsia" w:ascii="宋体" w:hAnsi="宋体" w:cs="宋体"/>
                <w:sz w:val="24"/>
                <w:szCs w:val="24"/>
              </w:rPr>
              <w:t>8.2</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质疑内容要求</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供应商提出质疑应当提交质疑函和必要的证明材料原件，代理机构不接受传真、电子邮件、复印件等形式的质疑材料。</w:t>
            </w:r>
          </w:p>
          <w:p>
            <w:pPr>
              <w:spacing w:line="360" w:lineRule="auto"/>
              <w:rPr>
                <w:rFonts w:ascii="宋体" w:hAnsi="宋体" w:cs="宋体"/>
                <w:sz w:val="24"/>
                <w:szCs w:val="24"/>
              </w:rPr>
            </w:pPr>
            <w:r>
              <w:rPr>
                <w:rFonts w:hint="eastAsia" w:ascii="宋体" w:hAnsi="宋体" w:cs="宋体"/>
                <w:sz w:val="24"/>
                <w:szCs w:val="24"/>
              </w:rPr>
              <w:t>质疑函应当包括下列内容：</w:t>
            </w:r>
          </w:p>
          <w:p>
            <w:pPr>
              <w:spacing w:line="360" w:lineRule="auto"/>
              <w:rPr>
                <w:rFonts w:ascii="宋体" w:hAnsi="宋体" w:cs="宋体"/>
                <w:sz w:val="24"/>
                <w:szCs w:val="24"/>
              </w:rPr>
            </w:pPr>
            <w:r>
              <w:rPr>
                <w:rFonts w:hint="eastAsia" w:ascii="宋体" w:hAnsi="宋体" w:cs="宋体"/>
                <w:sz w:val="24"/>
                <w:szCs w:val="24"/>
              </w:rPr>
              <w:t>（一）供应商的姓名或者名称、地址、邮编、联系人及联系电话；</w:t>
            </w:r>
          </w:p>
          <w:p>
            <w:pPr>
              <w:spacing w:line="360" w:lineRule="auto"/>
              <w:rPr>
                <w:rFonts w:ascii="宋体" w:hAnsi="宋体" w:cs="宋体"/>
                <w:sz w:val="24"/>
                <w:szCs w:val="24"/>
              </w:rPr>
            </w:pPr>
            <w:r>
              <w:rPr>
                <w:rFonts w:hint="eastAsia" w:ascii="宋体" w:hAnsi="宋体" w:cs="宋体"/>
                <w:sz w:val="24"/>
                <w:szCs w:val="24"/>
              </w:rPr>
              <w:t>（二）质疑项目的名称、编号；</w:t>
            </w:r>
          </w:p>
          <w:p>
            <w:pPr>
              <w:spacing w:line="360" w:lineRule="auto"/>
              <w:rPr>
                <w:rFonts w:ascii="宋体" w:hAnsi="宋体" w:cs="宋体"/>
                <w:sz w:val="24"/>
                <w:szCs w:val="24"/>
              </w:rPr>
            </w:pPr>
            <w:r>
              <w:rPr>
                <w:rFonts w:hint="eastAsia" w:ascii="宋体" w:hAnsi="宋体" w:cs="宋体"/>
                <w:sz w:val="24"/>
                <w:szCs w:val="24"/>
              </w:rPr>
              <w:t>（三）具体、明确的质疑事项和与质疑事项相关的请求；</w:t>
            </w:r>
          </w:p>
          <w:p>
            <w:pPr>
              <w:spacing w:line="360" w:lineRule="auto"/>
              <w:rPr>
                <w:rFonts w:ascii="宋体" w:hAnsi="宋体" w:cs="宋体"/>
                <w:sz w:val="24"/>
                <w:szCs w:val="24"/>
              </w:rPr>
            </w:pPr>
            <w:r>
              <w:rPr>
                <w:rFonts w:hint="eastAsia" w:ascii="宋体" w:hAnsi="宋体" w:cs="宋体"/>
                <w:sz w:val="24"/>
                <w:szCs w:val="24"/>
              </w:rPr>
              <w:t>（四）事实依据；</w:t>
            </w:r>
          </w:p>
          <w:p>
            <w:pPr>
              <w:spacing w:line="360" w:lineRule="auto"/>
              <w:rPr>
                <w:rFonts w:ascii="宋体" w:hAnsi="宋体" w:cs="宋体"/>
                <w:sz w:val="24"/>
                <w:szCs w:val="24"/>
              </w:rPr>
            </w:pPr>
            <w:r>
              <w:rPr>
                <w:rFonts w:hint="eastAsia" w:ascii="宋体" w:hAnsi="宋体" w:cs="宋体"/>
                <w:sz w:val="24"/>
                <w:szCs w:val="24"/>
              </w:rPr>
              <w:t>（五）必要的法律依据；</w:t>
            </w:r>
          </w:p>
          <w:p>
            <w:pPr>
              <w:spacing w:line="360" w:lineRule="auto"/>
              <w:rPr>
                <w:rFonts w:ascii="宋体" w:hAnsi="宋体" w:cs="宋体"/>
                <w:sz w:val="24"/>
                <w:szCs w:val="24"/>
              </w:rPr>
            </w:pPr>
            <w:r>
              <w:rPr>
                <w:rFonts w:hint="eastAsia" w:ascii="宋体" w:hAnsi="宋体" w:cs="宋体"/>
                <w:sz w:val="24"/>
                <w:szCs w:val="24"/>
              </w:rPr>
              <w:t>（六）提出质疑的日期。</w:t>
            </w:r>
          </w:p>
          <w:p>
            <w:pPr>
              <w:spacing w:line="360" w:lineRule="auto"/>
              <w:rPr>
                <w:rFonts w:ascii="宋体" w:hAnsi="宋体" w:cs="宋体"/>
                <w:sz w:val="24"/>
                <w:szCs w:val="24"/>
              </w:rPr>
            </w:pPr>
            <w:r>
              <w:rPr>
                <w:rFonts w:hint="eastAsia" w:ascii="宋体" w:hAnsi="宋体" w:cs="宋体"/>
                <w:sz w:val="24"/>
                <w:szCs w:val="24"/>
              </w:rPr>
              <w:t>供应商为自然人的，应当由本人签字；供应商为法人或者其他组织的，应当由法定代表人、主要负责人，或者其授权代表（附法人代表授权书）签字或者盖章（鲜章），并加盖公章（鲜章）。</w:t>
            </w:r>
          </w:p>
          <w:p>
            <w:pPr>
              <w:spacing w:line="360" w:lineRule="auto"/>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质疑函格式应符合“政府采购供应商质疑函范本”要求，详见“中国政府采购网（www.ccgp.gov.cn）”下载专区。</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4"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8.3</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采购代理机构答疑的时间</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对于供应商在规定时间内依法提出的询问和质疑，采购代理机构将在三个工作日内答复询问，七个工作日内答复质疑。</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11.1</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报价要求</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固定总价，本项目投标总价包括但不限于产品费、运杂费、安装调试等</w:t>
            </w:r>
            <w:r>
              <w:rPr>
                <w:rFonts w:hint="eastAsia" w:ascii="宋体" w:hAnsi="宋体" w:cs="宋体"/>
                <w:sz w:val="24"/>
                <w:szCs w:val="24"/>
                <w:lang w:eastAsia="zh-TW"/>
              </w:rPr>
              <w:t>为完成本项目所需的一切费</w:t>
            </w:r>
            <w:r>
              <w:rPr>
                <w:rFonts w:hint="eastAsia" w:ascii="宋体" w:hAnsi="宋体" w:cs="宋体"/>
                <w:sz w:val="24"/>
                <w:szCs w:val="24"/>
              </w:rPr>
              <w:t>用</w:t>
            </w:r>
            <w:r>
              <w:rPr>
                <w:rFonts w:hint="eastAsia" w:ascii="宋体" w:hAnsi="宋体" w:cs="宋体"/>
                <w:sz w:val="24"/>
                <w:szCs w:val="24"/>
                <w:lang w:eastAsia="zh-TW"/>
              </w:rPr>
              <w:t>。</w:t>
            </w:r>
            <w:r>
              <w:rPr>
                <w:rFonts w:hint="eastAsia" w:ascii="宋体" w:hAnsi="宋体" w:cs="宋体"/>
                <w:sz w:val="24"/>
                <w:szCs w:val="24"/>
              </w:rPr>
              <w:t>（所有税费不必分别填写，计入货价内即可）。</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3"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11.3</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是否允许备选方案</w:t>
            </w:r>
          </w:p>
        </w:tc>
        <w:tc>
          <w:tcPr>
            <w:tcW w:w="5940" w:type="dxa"/>
            <w:noWrap/>
            <w:vAlign w:val="center"/>
          </w:tcPr>
          <w:p>
            <w:pPr>
              <w:spacing w:line="360" w:lineRule="auto"/>
              <w:ind w:left="360" w:hanging="360" w:hangingChars="150"/>
              <w:rPr>
                <w:rFonts w:ascii="宋体" w:hAnsi="宋体" w:cs="宋体"/>
                <w:sz w:val="24"/>
                <w:szCs w:val="24"/>
              </w:rPr>
            </w:pPr>
            <w:r>
              <w:rPr>
                <w:rFonts w:hint="eastAsia" w:ascii="宋体" w:hAnsi="宋体" w:cs="宋体"/>
                <w:sz w:val="24"/>
                <w:szCs w:val="24"/>
              </w:rPr>
              <w:t>否</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2"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11.4</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本次投标的最小单元要求</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本次投标的最小单元为“包”，不能对包中的内容或者分项内容进行不完全投标。任何不完全的投标将按照无效投标处理。</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12.2</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供应商资格证明文件</w:t>
            </w:r>
          </w:p>
        </w:tc>
        <w:tc>
          <w:tcPr>
            <w:tcW w:w="5940"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（一）具有独立承担民事责任的能力。</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提供注册登记凭证（营业执照、其他组织经营的合法凭证，自然人的提供身份证明文件）。</w:t>
            </w:r>
          </w:p>
          <w:p>
            <w:pPr>
              <w:spacing w:line="360" w:lineRule="auto"/>
              <w:ind w:left="360" w:hanging="360" w:hangingChars="150"/>
              <w:rPr>
                <w:rFonts w:ascii="宋体" w:hAnsi="宋体" w:cs="宋体"/>
                <w:sz w:val="24"/>
                <w:szCs w:val="24"/>
              </w:rPr>
            </w:pPr>
            <w:r>
              <w:rPr>
                <w:rFonts w:hint="eastAsia" w:ascii="宋体" w:hAnsi="宋体" w:cs="宋体"/>
                <w:sz w:val="24"/>
                <w:szCs w:val="24"/>
              </w:rPr>
              <w:t>（二）具有良好的商业信誉和健全的财务会计制度。</w:t>
            </w:r>
          </w:p>
          <w:p>
            <w:pPr>
              <w:spacing w:line="360" w:lineRule="auto"/>
              <w:ind w:left="1" w:firstLine="480" w:firstLineChars="200"/>
              <w:rPr>
                <w:rFonts w:ascii="宋体" w:hAnsi="宋体" w:cs="宋体"/>
                <w:sz w:val="24"/>
                <w:szCs w:val="24"/>
              </w:rPr>
            </w:pPr>
            <w:r>
              <w:rPr>
                <w:rFonts w:hint="eastAsia" w:ascii="宋体" w:hAnsi="宋体" w:cs="宋体"/>
                <w:sz w:val="24"/>
                <w:szCs w:val="24"/>
              </w:rPr>
              <w:t>提供经审计的财务报告（包括四表一注，即资产负债表、利润表、现金流量表、所有者权益变动表及其附注）</w:t>
            </w:r>
            <w:r>
              <w:rPr>
                <w:rFonts w:hint="eastAsia" w:ascii="宋体" w:hAnsi="宋体" w:cs="宋体"/>
                <w:color w:val="000000"/>
                <w:sz w:val="24"/>
                <w:szCs w:val="24"/>
              </w:rPr>
              <w:t>；事业法人提供部门决算报告；/</w:t>
            </w:r>
            <w:r>
              <w:rPr>
                <w:rFonts w:hint="eastAsia" w:ascii="宋体" w:hAnsi="宋体" w:cs="宋体"/>
                <w:sz w:val="24"/>
                <w:szCs w:val="24"/>
              </w:rPr>
              <w:t>或在开标日期前六个月内其开户银行出具的资信证明；/或财政部门认可的政府采购专业担保机构出具的投标担保函；</w:t>
            </w:r>
          </w:p>
          <w:p>
            <w:pPr>
              <w:spacing w:line="360" w:lineRule="auto"/>
              <w:ind w:left="1" w:firstLine="480" w:firstLineChars="200"/>
              <w:rPr>
                <w:rFonts w:ascii="宋体" w:hAnsi="宋体" w:cs="宋体"/>
                <w:sz w:val="24"/>
                <w:szCs w:val="24"/>
              </w:rPr>
            </w:pPr>
            <w:r>
              <w:rPr>
                <w:rFonts w:hint="eastAsia" w:ascii="宋体" w:hAnsi="宋体" w:cs="宋体"/>
                <w:sz w:val="24"/>
                <w:szCs w:val="24"/>
              </w:rPr>
              <w:t>以上三种形式的资料提供任何一种即可。</w:t>
            </w:r>
          </w:p>
          <w:p>
            <w:pPr>
              <w:spacing w:line="360" w:lineRule="auto"/>
              <w:rPr>
                <w:rFonts w:ascii="宋体" w:hAnsi="宋体" w:cs="宋体"/>
                <w:sz w:val="24"/>
                <w:szCs w:val="24"/>
              </w:rPr>
            </w:pPr>
            <w:r>
              <w:rPr>
                <w:rFonts w:hint="eastAsia" w:ascii="宋体" w:hAnsi="宋体" w:cs="宋体"/>
                <w:sz w:val="24"/>
                <w:szCs w:val="24"/>
              </w:rPr>
              <w:t>（三）具有履行合同所必需的设备和专业技术能力。</w:t>
            </w:r>
          </w:p>
          <w:p>
            <w:pPr>
              <w:spacing w:line="360" w:lineRule="auto"/>
              <w:ind w:firstLine="480" w:firstLineChars="200"/>
              <w:rPr>
                <w:rFonts w:ascii="宋体" w:hAnsi="宋体" w:cs="宋体"/>
                <w:sz w:val="24"/>
                <w:szCs w:val="24"/>
              </w:rPr>
            </w:pPr>
            <w:r>
              <w:rPr>
                <w:rFonts w:hint="eastAsia" w:ascii="宋体" w:hAnsi="宋体" w:cs="宋体"/>
                <w:sz w:val="24"/>
                <w:szCs w:val="24"/>
              </w:rPr>
              <w:t>提供声明文件原件。</w:t>
            </w:r>
          </w:p>
          <w:p>
            <w:pPr>
              <w:spacing w:line="360" w:lineRule="auto"/>
              <w:ind w:left="360" w:hanging="360" w:hangingChars="150"/>
              <w:rPr>
                <w:rFonts w:ascii="宋体" w:hAnsi="宋体" w:cs="宋体"/>
                <w:sz w:val="24"/>
                <w:szCs w:val="24"/>
              </w:rPr>
            </w:pPr>
            <w:r>
              <w:rPr>
                <w:rFonts w:hint="eastAsia" w:ascii="宋体" w:hAnsi="宋体" w:cs="宋体"/>
                <w:sz w:val="24"/>
                <w:szCs w:val="24"/>
              </w:rPr>
              <w:t>（四）具有依法缴纳税收的良好记录。</w:t>
            </w:r>
          </w:p>
          <w:p>
            <w:pPr>
              <w:spacing w:line="360" w:lineRule="auto"/>
              <w:ind w:left="1" w:firstLine="480" w:firstLineChars="200"/>
              <w:rPr>
                <w:rFonts w:ascii="宋体" w:hAnsi="宋体" w:cs="宋体"/>
                <w:sz w:val="24"/>
                <w:szCs w:val="24"/>
              </w:rPr>
            </w:pPr>
            <w:r>
              <w:rPr>
                <w:rFonts w:hint="eastAsia" w:ascii="宋体" w:hAnsi="宋体" w:cs="宋体"/>
                <w:sz w:val="24"/>
                <w:szCs w:val="24"/>
              </w:rPr>
              <w:t>提供缴费所属日期为投标截止时间前6个月内任一月份（投标截止时间当月不计入）的缴费凭据或税务机关出具的完税证明/在法规范围内不需提供的应出具书面说明和证明文件；</w:t>
            </w:r>
          </w:p>
          <w:p>
            <w:pPr>
              <w:spacing w:line="360" w:lineRule="auto"/>
              <w:ind w:left="360" w:hanging="360" w:hangingChars="150"/>
              <w:rPr>
                <w:rFonts w:ascii="宋体" w:hAnsi="宋体" w:cs="宋体"/>
                <w:sz w:val="24"/>
                <w:szCs w:val="24"/>
              </w:rPr>
            </w:pPr>
            <w:r>
              <w:rPr>
                <w:rFonts w:hint="eastAsia" w:ascii="宋体" w:hAnsi="宋体" w:cs="宋体"/>
                <w:sz w:val="24"/>
                <w:szCs w:val="24"/>
              </w:rPr>
              <w:t>（五）具有依法缴纳社会保障资金的良好记录。</w:t>
            </w:r>
          </w:p>
          <w:p>
            <w:pPr>
              <w:spacing w:line="360" w:lineRule="auto"/>
              <w:ind w:left="1" w:firstLine="480" w:firstLineChars="200"/>
              <w:rPr>
                <w:rFonts w:ascii="宋体" w:hAnsi="宋体" w:cs="宋体"/>
                <w:sz w:val="24"/>
                <w:szCs w:val="24"/>
              </w:rPr>
            </w:pPr>
            <w:r>
              <w:rPr>
                <w:rFonts w:hint="eastAsia" w:ascii="宋体" w:hAnsi="宋体" w:cs="宋体"/>
                <w:sz w:val="24"/>
                <w:szCs w:val="24"/>
              </w:rPr>
              <w:t>提供缴费所属日期为投标截止时间前6个月内任一月份（投标截止时间当月不计入）的缴费凭据或社保机关出具的缴费证明/在法规范围内不需提供的应出具书面说明和证明文件；</w:t>
            </w:r>
          </w:p>
          <w:p>
            <w:pPr>
              <w:spacing w:line="360" w:lineRule="auto"/>
              <w:ind w:left="1"/>
              <w:rPr>
                <w:rFonts w:ascii="宋体" w:hAnsi="宋体" w:cs="宋体"/>
                <w:sz w:val="24"/>
                <w:szCs w:val="24"/>
              </w:rPr>
            </w:pPr>
            <w:r>
              <w:rPr>
                <w:rFonts w:hint="eastAsia" w:ascii="宋体" w:hAnsi="宋体" w:cs="宋体"/>
                <w:sz w:val="24"/>
                <w:szCs w:val="24"/>
              </w:rPr>
              <w:t>（六）参加政府采购活动前3年内在经营活动中没有重大违法记录的书面声明（原件）；</w:t>
            </w:r>
          </w:p>
          <w:p>
            <w:pPr>
              <w:spacing w:line="360" w:lineRule="auto"/>
              <w:ind w:firstLine="480" w:firstLineChars="200"/>
              <w:rPr>
                <w:rFonts w:ascii="宋体" w:hAnsi="宋体" w:cs="宋体"/>
                <w:kern w:val="0"/>
                <w:sz w:val="24"/>
                <w:szCs w:val="24"/>
              </w:rPr>
            </w:pPr>
            <w:r>
              <w:rPr>
                <w:rFonts w:hint="eastAsia" w:ascii="宋体" w:hAnsi="宋体" w:cs="宋体"/>
                <w:sz w:val="24"/>
                <w:szCs w:val="24"/>
              </w:rPr>
              <w:t>（七）法定代表人授权书（</w:t>
            </w:r>
            <w:r>
              <w:rPr>
                <w:rFonts w:hint="eastAsia" w:ascii="宋体" w:hAnsi="宋体" w:cs="宋体"/>
                <w:b/>
                <w:sz w:val="24"/>
                <w:szCs w:val="24"/>
              </w:rPr>
              <w:t>原件</w:t>
            </w:r>
            <w:r>
              <w:rPr>
                <w:rFonts w:hint="eastAsia" w:ascii="宋体" w:hAnsi="宋体" w:cs="宋体"/>
                <w:sz w:val="24"/>
                <w:szCs w:val="24"/>
              </w:rPr>
              <w:t>）。</w:t>
            </w:r>
          </w:p>
          <w:p>
            <w:pPr>
              <w:spacing w:line="360" w:lineRule="auto"/>
              <w:ind w:firstLine="480" w:firstLineChars="200"/>
              <w:rPr>
                <w:rFonts w:ascii="宋体" w:hAnsi="宋体" w:cs="宋体"/>
                <w:kern w:val="0"/>
                <w:sz w:val="24"/>
                <w:szCs w:val="24"/>
              </w:rPr>
            </w:pPr>
            <w:r>
              <w:rPr>
                <w:rFonts w:hint="eastAsia" w:ascii="宋体" w:hAnsi="宋体" w:cs="宋体"/>
                <w:sz w:val="24"/>
                <w:szCs w:val="24"/>
              </w:rPr>
              <w:t>（八）供应商为生产厂家的须提供《医疗器械生产许可证》；供应商为代理商的须提供《医疗器械经营许可证》。</w:t>
            </w:r>
          </w:p>
          <w:p>
            <w:pPr>
              <w:spacing w:line="360" w:lineRule="auto"/>
              <w:rPr>
                <w:rFonts w:ascii="宋体" w:hAnsi="宋体" w:cs="宋体"/>
                <w:b/>
                <w:sz w:val="24"/>
                <w:szCs w:val="24"/>
              </w:rPr>
            </w:pPr>
            <w:r>
              <w:rPr>
                <w:rFonts w:hint="eastAsia" w:ascii="宋体" w:hAnsi="宋体" w:cs="宋体"/>
                <w:b/>
                <w:sz w:val="24"/>
                <w:szCs w:val="24"/>
              </w:rPr>
              <w:t>注:1、以上资格证明文件供应商必须完全提供，一项不合格即按照无效投标处理。</w:t>
            </w:r>
          </w:p>
          <w:p>
            <w:pPr>
              <w:spacing w:line="360" w:lineRule="auto"/>
              <w:rPr>
                <w:rFonts w:ascii="宋体" w:hAnsi="宋体" w:cs="宋体"/>
                <w:b/>
                <w:color w:val="FF0000"/>
                <w:sz w:val="24"/>
                <w:szCs w:val="24"/>
              </w:rPr>
            </w:pPr>
            <w:r>
              <w:rPr>
                <w:rFonts w:hint="eastAsia" w:ascii="宋体" w:hAnsi="宋体" w:cs="宋体"/>
                <w:b/>
                <w:sz w:val="24"/>
                <w:szCs w:val="24"/>
              </w:rPr>
              <w:t>2、除注明原件外，均为复印件并须加盖供应商公章。</w:t>
            </w:r>
            <w:r>
              <w:rPr>
                <w:rFonts w:hint="eastAsia" w:ascii="宋体" w:hAnsi="宋体" w:cs="宋体"/>
                <w:color w:val="000000"/>
                <w:kern w:val="0"/>
                <w:sz w:val="24"/>
                <w:szCs w:val="24"/>
              </w:rPr>
              <w:t>　　　</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12.3</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商务响应证明文件</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1、供应商、产品制造商基本情况介绍；</w:t>
            </w:r>
          </w:p>
          <w:p>
            <w:pPr>
              <w:spacing w:line="360" w:lineRule="auto"/>
              <w:rPr>
                <w:rFonts w:ascii="宋体" w:hAnsi="宋体" w:cs="宋体"/>
                <w:sz w:val="24"/>
                <w:szCs w:val="24"/>
              </w:rPr>
            </w:pPr>
            <w:r>
              <w:rPr>
                <w:rFonts w:hint="eastAsia" w:ascii="宋体" w:hAnsi="宋体" w:cs="宋体"/>
                <w:sz w:val="24"/>
                <w:szCs w:val="24"/>
              </w:rPr>
              <w:t>2、2019年1月1日至今（以合同签署日期为准），供应商承接同类项目的业绩（业绩以合同复印件为准，原件备查）；</w:t>
            </w:r>
          </w:p>
          <w:p>
            <w:pPr>
              <w:spacing w:line="360" w:lineRule="auto"/>
              <w:rPr>
                <w:rFonts w:ascii="宋体" w:hAnsi="宋体" w:cs="宋体"/>
                <w:color w:val="FF0000"/>
                <w:sz w:val="24"/>
                <w:szCs w:val="24"/>
              </w:rPr>
            </w:pPr>
            <w:r>
              <w:rPr>
                <w:rFonts w:hint="eastAsia" w:ascii="宋体" w:hAnsi="宋体" w:cs="宋体"/>
                <w:sz w:val="24"/>
                <w:szCs w:val="24"/>
              </w:rPr>
              <w:t>注：以上文件除注明原件外，均为复印件并须加盖供应商公章。　</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12.4.2</w:t>
            </w:r>
          </w:p>
        </w:tc>
        <w:tc>
          <w:tcPr>
            <w:tcW w:w="2067" w:type="dxa"/>
            <w:noWrap/>
            <w:vAlign w:val="center"/>
          </w:tcPr>
          <w:p>
            <w:pPr>
              <w:widowControl/>
              <w:spacing w:line="360" w:lineRule="auto"/>
              <w:ind w:left="15" w:leftChars="6" w:hanging="2"/>
              <w:jc w:val="left"/>
              <w:rPr>
                <w:rFonts w:ascii="宋体" w:hAnsi="宋体" w:cs="宋体"/>
                <w:sz w:val="24"/>
                <w:szCs w:val="24"/>
              </w:rPr>
            </w:pPr>
            <w:r>
              <w:rPr>
                <w:rFonts w:hint="eastAsia" w:ascii="宋体" w:hAnsi="宋体"/>
                <w:sz w:val="24"/>
              </w:rPr>
              <w:t>本次采购特别要求的货物合格性证明文件</w:t>
            </w:r>
          </w:p>
        </w:tc>
        <w:tc>
          <w:tcPr>
            <w:tcW w:w="5940" w:type="dxa"/>
            <w:noWrap/>
            <w:vAlign w:val="center"/>
          </w:tcPr>
          <w:p>
            <w:pPr>
              <w:widowControl/>
              <w:spacing w:line="360" w:lineRule="auto"/>
              <w:ind w:left="15" w:leftChars="6" w:hanging="2"/>
              <w:jc w:val="left"/>
              <w:rPr>
                <w:rFonts w:ascii="宋体" w:hAnsi="宋体"/>
                <w:sz w:val="24"/>
                <w:highlight w:val="none"/>
              </w:rPr>
            </w:pPr>
            <w:r>
              <w:rPr>
                <w:rFonts w:hint="eastAsia" w:ascii="宋体" w:hAnsi="宋体"/>
                <w:sz w:val="24"/>
                <w:highlight w:val="none"/>
              </w:rPr>
              <w:t>投标产品属于医疗器械</w:t>
            </w:r>
            <w:r>
              <w:rPr>
                <w:rFonts w:hint="eastAsia" w:ascii="宋体" w:hAnsi="宋体"/>
                <w:sz w:val="24"/>
                <w:highlight w:val="none"/>
                <w:lang w:eastAsia="zh-CN"/>
              </w:rPr>
              <w:t>，</w:t>
            </w:r>
            <w:r>
              <w:rPr>
                <w:rFonts w:hint="eastAsia" w:ascii="宋体" w:hAnsi="宋体"/>
                <w:sz w:val="24"/>
                <w:highlight w:val="none"/>
              </w:rPr>
              <w:t>提供投标产品的医疗器械注册证。</w:t>
            </w:r>
          </w:p>
          <w:p>
            <w:pPr>
              <w:widowControl/>
              <w:spacing w:line="360" w:lineRule="auto"/>
              <w:ind w:left="15" w:leftChars="6" w:hanging="2"/>
              <w:jc w:val="left"/>
              <w:rPr>
                <w:rFonts w:ascii="宋体" w:hAnsi="宋体" w:cs="宋体"/>
                <w:sz w:val="24"/>
                <w:szCs w:val="24"/>
              </w:rPr>
            </w:pPr>
            <w:r>
              <w:rPr>
                <w:rFonts w:hint="eastAsia" w:ascii="宋体" w:hAnsi="宋体"/>
                <w:b/>
                <w:bCs/>
                <w:sz w:val="24"/>
              </w:rPr>
              <w:t>注：以上文件除注明原件外，均为复印件并须加盖投标人公章且胶装在投标文件中，未提供或不合格即按照无效响应处理。</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15.1</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是否要求投标保证金</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本次招标要求提交投标保证金</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15.2</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关于投标保证金的相关要求</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金额：</w:t>
            </w:r>
            <w:r>
              <w:rPr>
                <w:rFonts w:hint="eastAsia" w:ascii="宋体" w:hAnsi="宋体" w:cs="宋体"/>
                <w:b/>
                <w:bCs/>
                <w:sz w:val="24"/>
                <w:szCs w:val="24"/>
              </w:rPr>
              <w:t>人民币肆万元整（￥40000.00元）</w:t>
            </w:r>
          </w:p>
          <w:p>
            <w:pPr>
              <w:spacing w:line="360" w:lineRule="auto"/>
              <w:rPr>
                <w:rFonts w:ascii="宋体" w:hAnsi="宋体" w:cs="宋体"/>
                <w:sz w:val="24"/>
                <w:szCs w:val="24"/>
              </w:rPr>
            </w:pPr>
          </w:p>
          <w:p>
            <w:pPr>
              <w:spacing w:line="360" w:lineRule="auto"/>
              <w:rPr>
                <w:rFonts w:ascii="宋体" w:hAnsi="宋体"/>
                <w:sz w:val="24"/>
                <w:szCs w:val="24"/>
              </w:rPr>
            </w:pPr>
            <w:r>
              <w:rPr>
                <w:rFonts w:hint="eastAsia" w:ascii="宋体" w:hAnsi="宋体"/>
                <w:sz w:val="24"/>
                <w:szCs w:val="24"/>
              </w:rPr>
              <w:t>形式：银行转账；电汇；符合陕西省财政厅陕财办采资〔2013〕5号文件规定的投标担保函。</w:t>
            </w:r>
          </w:p>
          <w:p>
            <w:pPr>
              <w:spacing w:line="360" w:lineRule="auto"/>
              <w:ind w:firstLine="354" w:firstLineChars="147"/>
              <w:rPr>
                <w:rFonts w:ascii="宋体" w:hAnsi="宋体"/>
                <w:b/>
                <w:sz w:val="24"/>
                <w:szCs w:val="24"/>
              </w:rPr>
            </w:pPr>
            <w:r>
              <w:rPr>
                <w:rFonts w:hint="eastAsia" w:ascii="宋体" w:hAnsi="宋体"/>
                <w:b/>
                <w:sz w:val="24"/>
                <w:szCs w:val="24"/>
              </w:rPr>
              <w:t>重要提示：</w:t>
            </w:r>
          </w:p>
          <w:p>
            <w:pPr>
              <w:spacing w:line="360" w:lineRule="auto"/>
              <w:rPr>
                <w:rFonts w:ascii="宋体" w:hAnsi="宋体"/>
                <w:sz w:val="24"/>
                <w:szCs w:val="24"/>
              </w:rPr>
            </w:pPr>
            <w:r>
              <w:rPr>
                <w:rFonts w:hint="eastAsia" w:ascii="宋体" w:hAnsi="宋体"/>
                <w:sz w:val="24"/>
                <w:szCs w:val="24"/>
              </w:rPr>
              <w:t>1、投标保证金不接受现金或支票形式。供应商转账、电汇凭证请打印或者复印后，装订在投标响应文件资格部分正本中，提供投标担保函的请将原件密封至投标响应文件资格部分正本中，所有副本中均应附有投标保证金的复印件。</w:t>
            </w:r>
          </w:p>
          <w:p>
            <w:pPr>
              <w:spacing w:line="360" w:lineRule="auto"/>
              <w:rPr>
                <w:rFonts w:ascii="宋体" w:hAnsi="宋体"/>
                <w:sz w:val="24"/>
                <w:szCs w:val="24"/>
              </w:rPr>
            </w:pPr>
            <w:r>
              <w:rPr>
                <w:rFonts w:hint="eastAsia" w:ascii="宋体" w:hAnsi="宋体"/>
                <w:sz w:val="24"/>
                <w:szCs w:val="24"/>
              </w:rPr>
              <w:t>2、转账、汇款时必须写明项目编号、项目名称（简称也可）和投标保证金字样，便于西北（陕西）国际招标有限公司财务部查询登记。</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交纳办法和交纳时间：</w:t>
            </w:r>
          </w:p>
          <w:p>
            <w:pPr>
              <w:spacing w:line="360" w:lineRule="auto"/>
              <w:rPr>
                <w:rFonts w:ascii="宋体" w:hAnsi="宋体"/>
                <w:sz w:val="24"/>
                <w:szCs w:val="24"/>
              </w:rPr>
            </w:pPr>
            <w:r>
              <w:rPr>
                <w:rFonts w:hint="eastAsia" w:ascii="宋体" w:hAnsi="宋体"/>
                <w:sz w:val="24"/>
                <w:szCs w:val="24"/>
              </w:rPr>
              <w:t>投标保证金必须在</w:t>
            </w:r>
            <w:r>
              <w:rPr>
                <w:rFonts w:hint="eastAsia" w:ascii="ˎ̥" w:hAnsi="ˎ̥" w:cs="宋体"/>
                <w:kern w:val="0"/>
                <w:sz w:val="24"/>
              </w:rPr>
              <w:t>提交</w:t>
            </w:r>
            <w:r>
              <w:rPr>
                <w:rFonts w:ascii="ˎ̥" w:hAnsi="ˎ̥" w:cs="宋体"/>
                <w:kern w:val="0"/>
                <w:sz w:val="24"/>
              </w:rPr>
              <w:t>首次响应文件</w:t>
            </w:r>
            <w:r>
              <w:rPr>
                <w:rFonts w:hint="eastAsia" w:ascii="宋体" w:hAnsi="宋体"/>
                <w:sz w:val="24"/>
                <w:szCs w:val="24"/>
              </w:rPr>
              <w:t>截止时间之前交纳至以下账户：</w:t>
            </w:r>
          </w:p>
          <w:p>
            <w:pPr>
              <w:spacing w:line="360" w:lineRule="auto"/>
              <w:rPr>
                <w:rFonts w:ascii="宋体" w:hAnsi="宋体"/>
                <w:sz w:val="24"/>
                <w:szCs w:val="24"/>
              </w:rPr>
            </w:pPr>
            <w:r>
              <w:rPr>
                <w:rFonts w:hint="eastAsia" w:ascii="宋体" w:hAnsi="宋体"/>
                <w:sz w:val="24"/>
                <w:szCs w:val="24"/>
              </w:rPr>
              <w:t>户    名：西北（陕西）国际招标有限公司</w:t>
            </w:r>
          </w:p>
          <w:p>
            <w:pPr>
              <w:spacing w:line="360" w:lineRule="auto"/>
              <w:rPr>
                <w:rFonts w:ascii="宋体" w:hAnsi="宋体"/>
                <w:sz w:val="24"/>
                <w:szCs w:val="24"/>
              </w:rPr>
            </w:pPr>
            <w:r>
              <w:rPr>
                <w:rFonts w:hint="eastAsia" w:ascii="宋体" w:hAnsi="宋体"/>
                <w:sz w:val="24"/>
                <w:szCs w:val="24"/>
              </w:rPr>
              <w:t>账    号：611301151018010003843</w:t>
            </w:r>
          </w:p>
          <w:p>
            <w:pPr>
              <w:spacing w:line="360" w:lineRule="auto"/>
              <w:rPr>
                <w:rFonts w:ascii="宋体" w:hAnsi="宋体"/>
                <w:sz w:val="24"/>
                <w:szCs w:val="24"/>
              </w:rPr>
            </w:pPr>
            <w:r>
              <w:rPr>
                <w:rFonts w:hint="eastAsia" w:ascii="宋体" w:hAnsi="宋体"/>
                <w:sz w:val="24"/>
                <w:szCs w:val="24"/>
              </w:rPr>
              <w:t>开户银行：交通银行西安长安大学支行</w:t>
            </w:r>
          </w:p>
          <w:p>
            <w:pPr>
              <w:spacing w:line="360" w:lineRule="auto"/>
              <w:rPr>
                <w:rFonts w:ascii="宋体" w:hAnsi="宋体"/>
                <w:sz w:val="24"/>
                <w:szCs w:val="24"/>
              </w:rPr>
            </w:pPr>
            <w:r>
              <w:rPr>
                <w:rFonts w:hint="eastAsia" w:ascii="宋体" w:hAnsi="宋体"/>
                <w:sz w:val="24"/>
                <w:szCs w:val="24"/>
              </w:rPr>
              <w:t>招标公司财务室电话：029-85236021</w:t>
            </w:r>
          </w:p>
          <w:p>
            <w:pPr>
              <w:spacing w:line="360" w:lineRule="auto"/>
              <w:ind w:firstLine="482" w:firstLineChars="200"/>
              <w:rPr>
                <w:rFonts w:ascii="宋体" w:hAnsi="宋体"/>
                <w:b/>
                <w:sz w:val="24"/>
                <w:szCs w:val="24"/>
              </w:rPr>
            </w:pPr>
            <w:r>
              <w:rPr>
                <w:rFonts w:hint="eastAsia" w:ascii="宋体" w:hAnsi="宋体"/>
                <w:b/>
                <w:sz w:val="24"/>
                <w:szCs w:val="24"/>
              </w:rPr>
              <w:t>重要提示：</w:t>
            </w:r>
            <w:r>
              <w:rPr>
                <w:rFonts w:hint="eastAsia" w:ascii="宋体" w:hAnsi="宋体"/>
                <w:sz w:val="24"/>
                <w:szCs w:val="24"/>
              </w:rPr>
              <w:t>投标保证金必须在提交首次响应文件截止时间之前交纳方为有效。请供应商考虑资金在银行之间的转账要求和时间成本，确保在提交首次响应文件截止时间之前西北（陕西）国际招标有限公司上述指定的账户能收到所交的投标保证金，</w:t>
            </w:r>
            <w:r>
              <w:rPr>
                <w:rFonts w:hint="eastAsia" w:ascii="宋体" w:hAnsi="宋体"/>
                <w:b/>
                <w:sz w:val="24"/>
                <w:szCs w:val="24"/>
              </w:rPr>
              <w:t>如果在</w:t>
            </w:r>
            <w:r>
              <w:rPr>
                <w:rFonts w:hint="eastAsia" w:ascii="ˎ̥" w:hAnsi="ˎ̥" w:cs="宋体"/>
                <w:b/>
                <w:kern w:val="0"/>
                <w:sz w:val="24"/>
              </w:rPr>
              <w:t>提交</w:t>
            </w:r>
            <w:r>
              <w:rPr>
                <w:rFonts w:ascii="ˎ̥" w:hAnsi="ˎ̥" w:cs="宋体"/>
                <w:b/>
                <w:kern w:val="0"/>
                <w:sz w:val="24"/>
              </w:rPr>
              <w:t>首次响应文件</w:t>
            </w:r>
            <w:r>
              <w:rPr>
                <w:rFonts w:hint="eastAsia" w:ascii="宋体" w:hAnsi="宋体"/>
                <w:b/>
                <w:sz w:val="24"/>
                <w:szCs w:val="24"/>
              </w:rPr>
              <w:t>截止时间西北（陕西）国际招标有限公司上述账户未能收到投标保证金，则该响应文件按照无效处理。</w:t>
            </w:r>
          </w:p>
          <w:p>
            <w:pPr>
              <w:spacing w:line="360" w:lineRule="auto"/>
              <w:rPr>
                <w:rFonts w:ascii="宋体" w:hAnsi="宋体" w:cs="宋体"/>
                <w:sz w:val="24"/>
                <w:szCs w:val="24"/>
              </w:rPr>
            </w:pPr>
            <w:r>
              <w:rPr>
                <w:rFonts w:hint="eastAsia" w:ascii="宋体" w:hAnsi="宋体"/>
                <w:sz w:val="24"/>
                <w:szCs w:val="24"/>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参加投标的供应商在缴纳保证金及成交供应商缴纳履约保证金时可自愿选择通过担保机构保函的形式缴纳；供应商如果需要融资贷款服务的，可凭成交通知书、政府采购合同等相关资料，按照文件规定的程序申请办理，具体规定可登陆陕西省政府采购网(</w:t>
            </w:r>
            <w:r>
              <w:rPr>
                <w:rFonts w:ascii="宋体" w:hAnsi="宋体"/>
                <w:sz w:val="24"/>
                <w:szCs w:val="24"/>
              </w:rPr>
              <w:t>www.ccgp-shaanxi.gov.cn/</w:t>
            </w:r>
            <w:r>
              <w:rPr>
                <w:rFonts w:hint="eastAsia" w:ascii="宋体" w:hAnsi="宋体"/>
                <w:sz w:val="24"/>
                <w:szCs w:val="24"/>
              </w:rPr>
              <w:t>)重要通知专栏中查询了解。</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9"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15.4</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投标保证金不合格时的处理</w:t>
            </w:r>
          </w:p>
        </w:tc>
        <w:tc>
          <w:tcPr>
            <w:tcW w:w="5940" w:type="dxa"/>
            <w:noWrap/>
            <w:vAlign w:val="center"/>
          </w:tcPr>
          <w:p>
            <w:pPr>
              <w:spacing w:line="360" w:lineRule="auto"/>
              <w:rPr>
                <w:rFonts w:ascii="宋体" w:hAnsi="宋体" w:cs="宋体"/>
                <w:color w:val="FF0000"/>
                <w:sz w:val="24"/>
                <w:szCs w:val="24"/>
              </w:rPr>
            </w:pPr>
            <w:r>
              <w:rPr>
                <w:rFonts w:hint="eastAsia" w:ascii="宋体" w:hAnsi="宋体" w:cs="宋体"/>
                <w:sz w:val="24"/>
                <w:szCs w:val="24"/>
              </w:rPr>
              <w:t>开标后经审查，未按照“供应商须知前附表”的要求交纳投标保证金的、已交纳的投标保证金金额不足的或有效期不足的，其投标按照无效投标处理。</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16.1</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投标有效期</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开标后90天。</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17.1</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投标文件份数</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正本一份，副本二份。</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17.2</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电子版文件要求</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有。</w:t>
            </w:r>
          </w:p>
          <w:p>
            <w:pPr>
              <w:spacing w:line="360" w:lineRule="auto"/>
              <w:rPr>
                <w:rFonts w:ascii="宋体" w:hAnsi="宋体" w:cs="宋体"/>
                <w:sz w:val="24"/>
                <w:szCs w:val="24"/>
              </w:rPr>
            </w:pPr>
            <w:r>
              <w:rPr>
                <w:rFonts w:hint="eastAsia" w:ascii="宋体" w:hAnsi="宋体" w:cs="宋体"/>
                <w:sz w:val="24"/>
                <w:szCs w:val="24"/>
              </w:rPr>
              <w:t xml:space="preserve">格式和载体要求： </w:t>
            </w:r>
          </w:p>
          <w:p>
            <w:pPr>
              <w:spacing w:line="360" w:lineRule="auto"/>
              <w:rPr>
                <w:rFonts w:ascii="宋体" w:hAnsi="宋体" w:cs="宋体"/>
                <w:sz w:val="24"/>
                <w:szCs w:val="24"/>
              </w:rPr>
            </w:pPr>
            <w:r>
              <w:rPr>
                <w:rFonts w:hint="eastAsia" w:ascii="宋体" w:hAnsi="宋体" w:cs="宋体"/>
                <w:sz w:val="24"/>
                <w:szCs w:val="24"/>
              </w:rPr>
              <w:t>供应商须另行提供与纸质投标文件正本一致的</w:t>
            </w:r>
          </w:p>
          <w:p>
            <w:pPr>
              <w:spacing w:line="360" w:lineRule="auto"/>
              <w:rPr>
                <w:rFonts w:ascii="宋体" w:hAnsi="宋体" w:cs="宋体"/>
                <w:sz w:val="24"/>
                <w:szCs w:val="24"/>
              </w:rPr>
            </w:pPr>
            <w:r>
              <w:rPr>
                <w:rFonts w:hint="eastAsia" w:ascii="宋体" w:hAnsi="宋体" w:cs="宋体"/>
                <w:sz w:val="24"/>
                <w:szCs w:val="24"/>
              </w:rPr>
              <w:t>PDF格式电子版文件，载体为：U盘或光盘；</w:t>
            </w:r>
          </w:p>
          <w:p>
            <w:pPr>
              <w:spacing w:line="360" w:lineRule="auto"/>
              <w:rPr>
                <w:rFonts w:ascii="宋体" w:hAnsi="宋体" w:cs="宋体"/>
                <w:sz w:val="24"/>
                <w:szCs w:val="24"/>
              </w:rPr>
            </w:pPr>
            <w:r>
              <w:rPr>
                <w:rFonts w:hint="eastAsia" w:ascii="宋体" w:hAnsi="宋体" w:cs="宋体"/>
                <w:sz w:val="24"/>
                <w:szCs w:val="24"/>
              </w:rPr>
              <w:t>供应商须保证投标文件的纸质文件与电子文档</w:t>
            </w:r>
          </w:p>
          <w:p>
            <w:pPr>
              <w:spacing w:line="360" w:lineRule="auto"/>
              <w:rPr>
                <w:rFonts w:ascii="宋体" w:hAnsi="宋体" w:cs="宋体"/>
                <w:sz w:val="24"/>
                <w:szCs w:val="24"/>
              </w:rPr>
            </w:pPr>
            <w:r>
              <w:rPr>
                <w:rFonts w:hint="eastAsia" w:ascii="宋体" w:hAnsi="宋体" w:cs="宋体"/>
                <w:sz w:val="24"/>
                <w:szCs w:val="24"/>
              </w:rPr>
              <w:t>保持一致；</w:t>
            </w:r>
          </w:p>
          <w:p>
            <w:pPr>
              <w:spacing w:line="360" w:lineRule="auto"/>
              <w:rPr>
                <w:rFonts w:ascii="宋体" w:hAnsi="宋体" w:cs="宋体"/>
                <w:sz w:val="24"/>
                <w:szCs w:val="24"/>
              </w:rPr>
            </w:pPr>
            <w:r>
              <w:rPr>
                <w:rFonts w:hint="eastAsia" w:ascii="宋体" w:hAnsi="宋体" w:cs="宋体"/>
                <w:sz w:val="24"/>
                <w:szCs w:val="24"/>
              </w:rPr>
              <w:t>电子文档表面需标明项目编号、供应商名称等信息。</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4"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17.3</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法定代表人签名要求</w:t>
            </w:r>
          </w:p>
        </w:tc>
        <w:tc>
          <w:tcPr>
            <w:tcW w:w="5940" w:type="dxa"/>
            <w:noWrap/>
            <w:vAlign w:val="center"/>
          </w:tcPr>
          <w:p>
            <w:pPr>
              <w:spacing w:line="360" w:lineRule="auto"/>
              <w:jc w:val="left"/>
              <w:rPr>
                <w:rFonts w:ascii="宋体" w:hAnsi="宋体" w:cs="宋体"/>
                <w:sz w:val="24"/>
                <w:szCs w:val="24"/>
              </w:rPr>
            </w:pPr>
            <w:r>
              <w:rPr>
                <w:rFonts w:hint="eastAsia" w:ascii="宋体" w:hAnsi="宋体" w:cs="宋体"/>
                <w:sz w:val="24"/>
                <w:szCs w:val="24"/>
              </w:rPr>
              <w:t>所有要求法定代表人签名处，均须由签名者本人用不褪色的蓝(黑)色墨水(汁)书写全名，</w:t>
            </w:r>
            <w:r>
              <w:rPr>
                <w:rFonts w:hint="eastAsia" w:ascii="宋体" w:hAnsi="宋体" w:cs="宋体"/>
                <w:sz w:val="24"/>
                <w:szCs w:val="24"/>
                <w:u w:val="single"/>
              </w:rPr>
              <w:t>也可以盖刻有法定代表人姓名的图章代替。</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1"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18.1</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投标文件装订、包装、密封及标记要求</w:t>
            </w:r>
          </w:p>
        </w:tc>
        <w:tc>
          <w:tcPr>
            <w:tcW w:w="5940" w:type="dxa"/>
            <w:noWrap/>
            <w:vAlign w:val="center"/>
          </w:tcPr>
          <w:p>
            <w:pPr>
              <w:spacing w:line="360" w:lineRule="auto"/>
              <w:ind w:left="360" w:hanging="360" w:hangingChars="150"/>
              <w:rPr>
                <w:rFonts w:ascii="宋体" w:hAnsi="宋体" w:cs="宋体"/>
                <w:sz w:val="24"/>
                <w:szCs w:val="24"/>
                <w:highlight w:val="none"/>
              </w:rPr>
            </w:pPr>
            <w:r>
              <w:rPr>
                <w:rFonts w:hint="eastAsia" w:ascii="宋体" w:hAnsi="宋体" w:cs="宋体"/>
                <w:sz w:val="24"/>
                <w:szCs w:val="24"/>
              </w:rPr>
              <w:t>1、投标文件正、副本应分别装订成册，装订应牢固、不</w:t>
            </w:r>
            <w:r>
              <w:rPr>
                <w:rFonts w:hint="eastAsia" w:ascii="宋体" w:hAnsi="宋体" w:cs="宋体"/>
                <w:sz w:val="24"/>
                <w:szCs w:val="24"/>
                <w:highlight w:val="none"/>
              </w:rPr>
              <w:t>易拆散和换页，不得采用活页装订。</w:t>
            </w:r>
          </w:p>
          <w:p>
            <w:pPr>
              <w:spacing w:line="360" w:lineRule="auto"/>
              <w:rPr>
                <w:rFonts w:ascii="宋体" w:hAnsi="宋体" w:cs="宋体"/>
                <w:sz w:val="24"/>
                <w:szCs w:val="24"/>
                <w:highlight w:val="none"/>
              </w:rPr>
            </w:pPr>
            <w:r>
              <w:rPr>
                <w:rFonts w:hint="eastAsia" w:ascii="宋体" w:hAnsi="宋体" w:cs="宋体"/>
                <w:sz w:val="24"/>
                <w:szCs w:val="24"/>
                <w:highlight w:val="none"/>
              </w:rPr>
              <w:t>2、密封包装方式：</w:t>
            </w:r>
          </w:p>
          <w:p>
            <w:pPr>
              <w:spacing w:line="360" w:lineRule="auto"/>
              <w:rPr>
                <w:rFonts w:ascii="宋体" w:hAnsi="宋体" w:cs="宋体"/>
                <w:sz w:val="24"/>
                <w:szCs w:val="24"/>
                <w:highlight w:val="none"/>
              </w:rPr>
            </w:pPr>
            <w:r>
              <w:rPr>
                <w:rFonts w:hint="eastAsia" w:ascii="宋体" w:hAnsi="宋体" w:cs="宋体"/>
                <w:sz w:val="24"/>
                <w:szCs w:val="24"/>
                <w:highlight w:val="none"/>
              </w:rPr>
              <w:t>（1）资格部分投标文件正、副本一包密封。</w:t>
            </w:r>
          </w:p>
          <w:p>
            <w:pPr>
              <w:spacing w:line="360" w:lineRule="auto"/>
              <w:rPr>
                <w:rFonts w:ascii="宋体" w:hAnsi="宋体" w:cs="宋体"/>
                <w:sz w:val="24"/>
                <w:szCs w:val="24"/>
                <w:highlight w:val="none"/>
              </w:rPr>
            </w:pPr>
            <w:r>
              <w:rPr>
                <w:rFonts w:hint="eastAsia" w:ascii="宋体" w:hAnsi="宋体" w:cs="宋体"/>
                <w:sz w:val="24"/>
                <w:szCs w:val="24"/>
                <w:highlight w:val="none"/>
              </w:rPr>
              <w:t>（2）技术和商务投标文件正、副本一包密封。</w:t>
            </w:r>
          </w:p>
          <w:p>
            <w:pPr>
              <w:spacing w:line="360" w:lineRule="auto"/>
              <w:rPr>
                <w:rFonts w:ascii="宋体" w:hAnsi="宋体" w:cs="宋体"/>
                <w:sz w:val="24"/>
                <w:szCs w:val="24"/>
                <w:highlight w:val="none"/>
              </w:rPr>
            </w:pPr>
            <w:r>
              <w:rPr>
                <w:rFonts w:hint="eastAsia" w:ascii="宋体" w:hAnsi="宋体" w:cs="宋体"/>
                <w:sz w:val="24"/>
                <w:szCs w:val="24"/>
                <w:highlight w:val="none"/>
              </w:rPr>
              <w:t>（3）电子版单独密封递交。</w:t>
            </w:r>
          </w:p>
          <w:p>
            <w:pPr>
              <w:spacing w:line="360" w:lineRule="auto"/>
              <w:rPr>
                <w:rFonts w:ascii="宋体" w:hAnsi="宋体" w:cs="宋体"/>
                <w:sz w:val="24"/>
                <w:szCs w:val="24"/>
                <w:highlight w:val="none"/>
              </w:rPr>
            </w:pPr>
            <w:r>
              <w:rPr>
                <w:rFonts w:hint="eastAsia" w:ascii="宋体" w:hAnsi="宋体" w:cs="宋体"/>
                <w:sz w:val="24"/>
                <w:szCs w:val="24"/>
                <w:highlight w:val="none"/>
              </w:rPr>
              <w:t>3、外层包装请按以下要求标记：</w:t>
            </w:r>
          </w:p>
          <w:p>
            <w:pPr>
              <w:spacing w:line="360" w:lineRule="auto"/>
              <w:rPr>
                <w:rFonts w:ascii="宋体" w:hAnsi="宋体" w:cs="宋体"/>
                <w:sz w:val="24"/>
                <w:szCs w:val="24"/>
                <w:highlight w:val="none"/>
              </w:rPr>
            </w:pPr>
            <w:r>
              <w:rPr>
                <w:rFonts w:hint="eastAsia" w:ascii="宋体" w:hAnsi="宋体" w:cs="宋体"/>
                <w:sz w:val="24"/>
                <w:szCs w:val="24"/>
                <w:highlight w:val="none"/>
              </w:rPr>
              <w:t>（1) 供应商的全称</w:t>
            </w:r>
          </w:p>
          <w:p>
            <w:pPr>
              <w:spacing w:line="360" w:lineRule="auto"/>
              <w:rPr>
                <w:rFonts w:ascii="宋体" w:hAnsi="宋体" w:cs="宋体"/>
                <w:sz w:val="24"/>
                <w:szCs w:val="24"/>
              </w:rPr>
            </w:pPr>
            <w:r>
              <w:rPr>
                <w:rFonts w:hint="eastAsia" w:ascii="宋体" w:hAnsi="宋体" w:cs="宋体"/>
                <w:sz w:val="24"/>
                <w:szCs w:val="24"/>
              </w:rPr>
              <w:t>（2）投标项目名称、项目编号、包号</w:t>
            </w:r>
          </w:p>
          <w:p>
            <w:pPr>
              <w:spacing w:line="360" w:lineRule="auto"/>
              <w:rPr>
                <w:rFonts w:ascii="宋体" w:hAnsi="宋体" w:cs="宋体"/>
                <w:sz w:val="24"/>
                <w:szCs w:val="24"/>
              </w:rPr>
            </w:pPr>
            <w:r>
              <w:rPr>
                <w:rFonts w:hint="eastAsia" w:ascii="宋体" w:hAnsi="宋体" w:cs="宋体"/>
                <w:sz w:val="24"/>
                <w:szCs w:val="24"/>
              </w:rPr>
              <w:t>（3）正本或副本及“请勿在</w:t>
            </w:r>
            <w:r>
              <w:rPr>
                <w:rFonts w:hint="eastAsia" w:ascii="宋体" w:hAnsi="宋体" w:cs="宋体"/>
                <w:color w:val="FF0000"/>
                <w:sz w:val="24"/>
                <w:szCs w:val="24"/>
              </w:rPr>
              <w:t>＿＿＿＿＿</w:t>
            </w:r>
            <w:r>
              <w:rPr>
                <w:rFonts w:hint="eastAsia" w:ascii="宋体" w:hAnsi="宋体" w:cs="宋体"/>
                <w:sz w:val="24"/>
                <w:szCs w:val="24"/>
              </w:rPr>
              <w:t>(开标时间)之前启封”</w:t>
            </w:r>
          </w:p>
          <w:p>
            <w:pPr>
              <w:spacing w:line="360" w:lineRule="auto"/>
              <w:rPr>
                <w:rFonts w:ascii="宋体" w:hAnsi="宋体" w:cs="宋体"/>
                <w:sz w:val="24"/>
                <w:szCs w:val="24"/>
              </w:rPr>
            </w:pPr>
            <w:r>
              <w:rPr>
                <w:rFonts w:hint="eastAsia" w:ascii="宋体" w:hAnsi="宋体" w:cs="宋体"/>
                <w:sz w:val="24"/>
                <w:szCs w:val="24"/>
              </w:rPr>
              <w:t>4、需要单独提交的原件单独一包密封并标记的相关要求：无</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1"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19.1</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投标文件的递交</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 xml:space="preserve">投标文件递交地址: </w:t>
            </w:r>
          </w:p>
          <w:p>
            <w:pPr>
              <w:spacing w:line="360" w:lineRule="auto"/>
              <w:rPr>
                <w:rFonts w:ascii="宋体" w:hAnsi="宋体" w:cs="宋体"/>
                <w:sz w:val="24"/>
                <w:szCs w:val="24"/>
              </w:rPr>
            </w:pPr>
            <w:r>
              <w:rPr>
                <w:rFonts w:hint="eastAsia" w:ascii="宋体" w:hAnsi="宋体" w:cs="宋体"/>
                <w:sz w:val="24"/>
                <w:szCs w:val="24"/>
              </w:rPr>
              <w:t>投标截止时间:2022年</w:t>
            </w:r>
            <w:r>
              <w:rPr>
                <w:rFonts w:hint="eastAsia" w:ascii="宋体" w:hAnsi="宋体" w:cs="宋体"/>
                <w:sz w:val="24"/>
                <w:szCs w:val="24"/>
                <w:lang w:val="en-US" w:eastAsia="zh-CN"/>
              </w:rPr>
              <w:t>04</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w:t>
            </w:r>
            <w:r>
              <w:rPr>
                <w:rFonts w:hint="eastAsia" w:ascii="宋体" w:hAnsi="宋体" w:cs="宋体"/>
                <w:sz w:val="24"/>
                <w:szCs w:val="24"/>
                <w:lang w:val="en-US" w:eastAsia="zh-CN"/>
              </w:rPr>
              <w:t>09</w:t>
            </w:r>
            <w:r>
              <w:rPr>
                <w:rFonts w:hint="eastAsia" w:ascii="宋体" w:hAnsi="宋体" w:cs="宋体"/>
                <w:sz w:val="24"/>
                <w:szCs w:val="24"/>
              </w:rPr>
              <w:t>时</w:t>
            </w:r>
            <w:r>
              <w:rPr>
                <w:rFonts w:hint="eastAsia" w:ascii="宋体" w:hAnsi="宋体" w:cs="宋体"/>
                <w:sz w:val="24"/>
                <w:szCs w:val="24"/>
                <w:lang w:val="en-US" w:eastAsia="zh-CN"/>
              </w:rPr>
              <w:t>30</w:t>
            </w:r>
            <w:r>
              <w:rPr>
                <w:rFonts w:hint="eastAsia" w:ascii="宋体" w:hAnsi="宋体" w:cs="宋体"/>
                <w:sz w:val="24"/>
                <w:szCs w:val="24"/>
              </w:rPr>
              <w:t>分整</w:t>
            </w:r>
          </w:p>
          <w:p>
            <w:pPr>
              <w:spacing w:line="360" w:lineRule="auto"/>
              <w:rPr>
                <w:rFonts w:ascii="宋体" w:hAnsi="宋体" w:cs="宋体"/>
                <w:sz w:val="24"/>
                <w:szCs w:val="24"/>
              </w:rPr>
            </w:pPr>
            <w:r>
              <w:rPr>
                <w:rFonts w:hint="eastAsia" w:ascii="宋体" w:hAnsi="宋体" w:cs="宋体"/>
                <w:sz w:val="24"/>
                <w:szCs w:val="24"/>
              </w:rPr>
              <w:t>投标文件接收人:西北（陕西）国际招标有限公司</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21.1</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开标时间和地点</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开标时间: 同投标文件递交截止时间</w:t>
            </w:r>
          </w:p>
          <w:p>
            <w:pPr>
              <w:spacing w:line="360" w:lineRule="auto"/>
              <w:rPr>
                <w:rFonts w:ascii="宋体" w:hAnsi="宋体" w:cs="宋体"/>
                <w:sz w:val="24"/>
                <w:szCs w:val="24"/>
              </w:rPr>
            </w:pPr>
            <w:r>
              <w:rPr>
                <w:rFonts w:hint="eastAsia" w:ascii="宋体" w:hAnsi="宋体" w:cs="宋体"/>
                <w:sz w:val="24"/>
                <w:szCs w:val="24"/>
              </w:rPr>
              <w:t>开标地点: 同投标文件递交地点</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5"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21.3</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开标大会宣布内容</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1、开标一览表的全部内容；</w:t>
            </w:r>
          </w:p>
          <w:p>
            <w:pPr>
              <w:spacing w:line="360" w:lineRule="auto"/>
              <w:rPr>
                <w:rFonts w:ascii="宋体" w:hAnsi="宋体" w:cs="宋体"/>
                <w:sz w:val="24"/>
                <w:szCs w:val="24"/>
              </w:rPr>
            </w:pPr>
            <w:r>
              <w:rPr>
                <w:rFonts w:hint="eastAsia" w:ascii="宋体" w:hAnsi="宋体" w:cs="宋体"/>
                <w:sz w:val="24"/>
                <w:szCs w:val="24"/>
              </w:rPr>
              <w:t>2、价格折扣、修改或撤回或变动价格的书面通知（如果有）。</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21.8</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供应商资格和投标保证金缴纳审查</w:t>
            </w:r>
          </w:p>
        </w:tc>
        <w:tc>
          <w:tcPr>
            <w:tcW w:w="5940" w:type="dxa"/>
            <w:noWrap/>
            <w:vAlign w:val="center"/>
          </w:tcPr>
          <w:p>
            <w:pPr>
              <w:numPr>
                <w:ilvl w:val="0"/>
                <w:numId w:val="1"/>
              </w:numPr>
              <w:spacing w:line="360" w:lineRule="auto"/>
              <w:ind w:left="0"/>
              <w:rPr>
                <w:rFonts w:ascii="宋体" w:hAnsi="宋体" w:cs="宋体"/>
                <w:sz w:val="24"/>
                <w:szCs w:val="24"/>
              </w:rPr>
            </w:pPr>
            <w:r>
              <w:rPr>
                <w:rFonts w:hint="eastAsia" w:ascii="宋体" w:hAnsi="宋体" w:cs="宋体"/>
                <w:sz w:val="24"/>
                <w:szCs w:val="24"/>
              </w:rPr>
              <w:t>审查时间：开标结束后；</w:t>
            </w:r>
          </w:p>
          <w:p>
            <w:pPr>
              <w:numPr>
                <w:ilvl w:val="0"/>
                <w:numId w:val="1"/>
              </w:numPr>
              <w:spacing w:line="360" w:lineRule="auto"/>
              <w:ind w:left="0"/>
              <w:rPr>
                <w:rFonts w:ascii="宋体" w:hAnsi="宋体" w:cs="宋体"/>
                <w:sz w:val="24"/>
                <w:szCs w:val="24"/>
              </w:rPr>
            </w:pPr>
            <w:r>
              <w:rPr>
                <w:rFonts w:hint="eastAsia" w:ascii="宋体" w:hAnsi="宋体" w:cs="宋体"/>
                <w:sz w:val="24"/>
                <w:szCs w:val="24"/>
              </w:rPr>
              <w:t>审查内容：</w:t>
            </w:r>
          </w:p>
          <w:p>
            <w:pPr>
              <w:spacing w:line="360" w:lineRule="auto"/>
              <w:rPr>
                <w:rFonts w:ascii="宋体" w:hAnsi="宋体" w:cs="宋体"/>
                <w:sz w:val="24"/>
                <w:szCs w:val="24"/>
              </w:rPr>
            </w:pPr>
            <w:r>
              <w:rPr>
                <w:rFonts w:hint="eastAsia" w:ascii="宋体" w:hAnsi="宋体" w:cs="宋体"/>
                <w:sz w:val="24"/>
                <w:szCs w:val="24"/>
              </w:rPr>
              <w:t xml:space="preserve">2.1 </w:t>
            </w:r>
            <w:r>
              <w:rPr>
                <w:rFonts w:hint="eastAsia" w:ascii="宋体" w:hAnsi="宋体" w:cs="宋体"/>
                <w:spacing w:val="4"/>
                <w:sz w:val="24"/>
                <w:szCs w:val="24"/>
              </w:rPr>
              <w:t>在</w:t>
            </w:r>
            <w:r>
              <w:rPr>
                <w:rFonts w:hint="eastAsia" w:ascii="宋体" w:hAnsi="宋体" w:cs="宋体"/>
                <w:kern w:val="0"/>
                <w:sz w:val="24"/>
                <w:szCs w:val="24"/>
              </w:rPr>
              <w:t>“信用中国”网站（www.creditchina.gov.cn）和“中国政府采购网”（ccgp.gov.cn）对供应商信用信息进行查询，如果供应商被查实在投标截止时间前列入失信被执行人、重大税收违法案件当事人名单、政府采购严重违法失信行为记录名单，其投标为无效。</w:t>
            </w:r>
          </w:p>
          <w:p>
            <w:pPr>
              <w:spacing w:line="360" w:lineRule="auto"/>
              <w:rPr>
                <w:rFonts w:ascii="宋体" w:hAnsi="宋体" w:cs="宋体"/>
                <w:spacing w:val="4"/>
                <w:sz w:val="24"/>
                <w:szCs w:val="24"/>
              </w:rPr>
            </w:pPr>
            <w:r>
              <w:rPr>
                <w:rFonts w:hint="eastAsia" w:ascii="宋体" w:hAnsi="宋体" w:cs="宋体"/>
                <w:spacing w:val="4"/>
                <w:sz w:val="24"/>
                <w:szCs w:val="24"/>
              </w:rPr>
              <w:t>2.2 审查供应商资格证明文件是否符合国家法律法规和招标文件的要求，并且齐全、真实、有效。资格证明文件不合格的，其投标为无效。</w:t>
            </w:r>
          </w:p>
          <w:p>
            <w:pPr>
              <w:spacing w:line="360" w:lineRule="auto"/>
              <w:rPr>
                <w:rFonts w:ascii="宋体" w:hAnsi="宋体" w:cs="宋体"/>
                <w:spacing w:val="4"/>
                <w:sz w:val="24"/>
                <w:szCs w:val="24"/>
              </w:rPr>
            </w:pPr>
            <w:r>
              <w:rPr>
                <w:rFonts w:hint="eastAsia" w:ascii="宋体" w:hAnsi="宋体" w:cs="宋体"/>
                <w:spacing w:val="4"/>
                <w:sz w:val="24"/>
                <w:szCs w:val="24"/>
              </w:rPr>
              <w:t>2.3供应商是否按照要求提交了投标保证金，并且足额、有效。</w:t>
            </w:r>
          </w:p>
          <w:p>
            <w:pPr>
              <w:spacing w:line="360" w:lineRule="auto"/>
              <w:rPr>
                <w:rFonts w:ascii="宋体" w:hAnsi="宋体" w:cs="宋体"/>
                <w:sz w:val="24"/>
                <w:szCs w:val="24"/>
              </w:rPr>
            </w:pPr>
            <w:r>
              <w:rPr>
                <w:rFonts w:hint="eastAsia" w:ascii="宋体" w:hAnsi="宋体" w:cs="宋体"/>
                <w:spacing w:val="4"/>
                <w:sz w:val="24"/>
                <w:szCs w:val="24"/>
              </w:rPr>
              <w:t>3、通过资格审查的</w:t>
            </w:r>
            <w:r>
              <w:rPr>
                <w:rFonts w:hint="eastAsia" w:ascii="宋体" w:hAnsi="宋体" w:cs="宋体"/>
                <w:sz w:val="24"/>
                <w:szCs w:val="24"/>
              </w:rPr>
              <w:t>供应商不足三家的，不进行评标。</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24.1</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评标方法</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综合评分法（详见第七章 评标方法）。</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26.1</w:t>
            </w:r>
          </w:p>
        </w:tc>
        <w:tc>
          <w:tcPr>
            <w:tcW w:w="2067" w:type="dxa"/>
            <w:noWrap/>
            <w:vAlign w:val="center"/>
          </w:tcPr>
          <w:p>
            <w:pPr>
              <w:spacing w:line="360" w:lineRule="auto"/>
              <w:rPr>
                <w:rFonts w:ascii="宋体" w:hAnsi="宋体" w:cs="宋体"/>
                <w:sz w:val="24"/>
                <w:szCs w:val="24"/>
              </w:rPr>
            </w:pPr>
            <w:r>
              <w:rPr>
                <w:rFonts w:hint="eastAsia" w:ascii="宋体" w:hAnsi="宋体" w:cs="宋体"/>
                <w:sz w:val="24"/>
                <w:szCs w:val="24"/>
              </w:rPr>
              <w:t>中标候选人数量</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推荐</w:t>
            </w:r>
            <w:r>
              <w:rPr>
                <w:rFonts w:hint="eastAsia" w:ascii="宋体" w:hAnsi="宋体" w:cs="宋体"/>
                <w:sz w:val="24"/>
                <w:szCs w:val="24"/>
                <w:u w:val="single"/>
              </w:rPr>
              <w:t>3</w:t>
            </w:r>
            <w:r>
              <w:rPr>
                <w:rFonts w:hint="eastAsia" w:ascii="宋体" w:hAnsi="宋体" w:cs="宋体"/>
                <w:sz w:val="24"/>
                <w:szCs w:val="24"/>
              </w:rPr>
              <w:t>名中标候选人。</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26.7</w:t>
            </w:r>
          </w:p>
        </w:tc>
        <w:tc>
          <w:tcPr>
            <w:tcW w:w="2067" w:type="dxa"/>
            <w:noWrap/>
            <w:vAlign w:val="center"/>
          </w:tcPr>
          <w:p>
            <w:pPr>
              <w:spacing w:line="360" w:lineRule="auto"/>
              <w:jc w:val="left"/>
              <w:rPr>
                <w:rFonts w:ascii="宋体" w:hAnsi="宋体" w:cs="宋体"/>
                <w:sz w:val="24"/>
                <w:szCs w:val="24"/>
              </w:rPr>
            </w:pPr>
            <w:r>
              <w:rPr>
                <w:rFonts w:hint="eastAsia" w:ascii="宋体" w:hAnsi="宋体" w:cs="宋体"/>
                <w:sz w:val="24"/>
                <w:szCs w:val="24"/>
              </w:rPr>
              <w:t>评标特别规定</w:t>
            </w:r>
          </w:p>
        </w:tc>
        <w:tc>
          <w:tcPr>
            <w:tcW w:w="5940" w:type="dxa"/>
            <w:noWrap/>
            <w:vAlign w:val="center"/>
          </w:tcPr>
          <w:p>
            <w:pPr>
              <w:spacing w:line="360" w:lineRule="auto"/>
              <w:rPr>
                <w:rFonts w:ascii="宋体" w:hAnsi="宋体" w:cs="宋体"/>
                <w:sz w:val="24"/>
                <w:szCs w:val="24"/>
              </w:rPr>
            </w:pPr>
            <w:r>
              <w:rPr>
                <w:rFonts w:hint="eastAsia" w:ascii="宋体" w:hAnsi="宋体" w:cs="宋体"/>
                <w:sz w:val="24"/>
                <w:szCs w:val="24"/>
              </w:rPr>
              <w:t>无</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71" w:hRule="atLeast"/>
        </w:trPr>
        <w:tc>
          <w:tcPr>
            <w:tcW w:w="993" w:type="dxa"/>
            <w:noWrap/>
            <w:vAlign w:val="center"/>
          </w:tcPr>
          <w:p>
            <w:pPr>
              <w:spacing w:line="360" w:lineRule="auto"/>
              <w:jc w:val="center"/>
              <w:rPr>
                <w:rFonts w:ascii="宋体" w:hAnsi="宋体" w:cs="宋体"/>
                <w:sz w:val="24"/>
                <w:szCs w:val="24"/>
              </w:rPr>
            </w:pPr>
            <w:r>
              <w:rPr>
                <w:rFonts w:hint="eastAsia" w:ascii="宋体" w:hAnsi="宋体" w:cs="宋体"/>
                <w:sz w:val="24"/>
                <w:szCs w:val="24"/>
              </w:rPr>
              <w:t>30</w:t>
            </w:r>
          </w:p>
        </w:tc>
        <w:tc>
          <w:tcPr>
            <w:tcW w:w="2067" w:type="dxa"/>
            <w:noWrap/>
            <w:vAlign w:val="center"/>
          </w:tcPr>
          <w:p>
            <w:pPr>
              <w:spacing w:line="360" w:lineRule="auto"/>
              <w:jc w:val="left"/>
              <w:rPr>
                <w:rFonts w:ascii="宋体" w:hAnsi="宋体" w:cs="宋体"/>
                <w:spacing w:val="4"/>
                <w:sz w:val="24"/>
                <w:szCs w:val="22"/>
              </w:rPr>
            </w:pPr>
            <w:r>
              <w:rPr>
                <w:rFonts w:hint="eastAsia" w:ascii="宋体" w:hAnsi="宋体" w:cs="宋体"/>
                <w:spacing w:val="4"/>
                <w:sz w:val="24"/>
                <w:szCs w:val="22"/>
              </w:rPr>
              <w:t>招标代理服务费</w:t>
            </w:r>
          </w:p>
        </w:tc>
        <w:tc>
          <w:tcPr>
            <w:tcW w:w="5940" w:type="dxa"/>
            <w:noWrap/>
            <w:vAlign w:val="center"/>
          </w:tcPr>
          <w:p>
            <w:pPr>
              <w:spacing w:line="360" w:lineRule="auto"/>
              <w:rPr>
                <w:rFonts w:ascii="宋体" w:hAnsi="宋体" w:cs="宋体"/>
                <w:spacing w:val="4"/>
                <w:sz w:val="24"/>
                <w:szCs w:val="22"/>
              </w:rPr>
            </w:pPr>
            <w:r>
              <w:rPr>
                <w:rFonts w:hint="eastAsia" w:ascii="宋体" w:hAnsi="宋体"/>
                <w:sz w:val="24"/>
                <w:szCs w:val="24"/>
              </w:rPr>
              <w:t>确定中标人后3日内，由中标人向招标代理机构一次付清招标代理服务费。</w:t>
            </w:r>
            <w:r>
              <w:rPr>
                <w:rFonts w:ascii="宋体" w:hAnsi="宋体"/>
                <w:sz w:val="24"/>
                <w:szCs w:val="24"/>
              </w:rPr>
              <w:t>招标代理服务费的金额按照国家发展计划委员会计价格[2002]1980号文件的规定标准</w:t>
            </w:r>
            <w:r>
              <w:rPr>
                <w:rFonts w:hint="eastAsia" w:ascii="宋体" w:hAnsi="宋体"/>
                <w:sz w:val="24"/>
                <w:szCs w:val="24"/>
              </w:rPr>
              <w:t>下浮30%</w:t>
            </w:r>
            <w:r>
              <w:rPr>
                <w:rFonts w:ascii="宋体" w:hAnsi="宋体"/>
                <w:sz w:val="24"/>
                <w:szCs w:val="24"/>
              </w:rPr>
              <w:t>计算。</w:t>
            </w:r>
          </w:p>
        </w:tc>
      </w:tr>
    </w:tbl>
    <w:p>
      <w:pPr>
        <w:jc w:val="center"/>
        <w:rPr>
          <w:rFonts w:ascii="宋体" w:hAnsi="宋体" w:cs="宋体"/>
          <w:b/>
          <w:sz w:val="36"/>
        </w:rPr>
      </w:pPr>
      <w:r>
        <w:rPr>
          <w:rFonts w:hint="eastAsia" w:ascii="宋体" w:hAnsi="宋体" w:cs="宋体"/>
          <w:b/>
          <w:sz w:val="36"/>
        </w:rPr>
        <w:br w:type="page"/>
      </w:r>
      <w:r>
        <w:rPr>
          <w:rFonts w:hint="eastAsia" w:ascii="宋体" w:hAnsi="宋体" w:cs="宋体"/>
          <w:b/>
          <w:sz w:val="36"/>
        </w:rPr>
        <w:t>供应商须知</w:t>
      </w:r>
    </w:p>
    <w:p>
      <w:pPr>
        <w:jc w:val="center"/>
        <w:rPr>
          <w:rFonts w:ascii="宋体" w:hAnsi="宋体" w:cs="宋体"/>
          <w:b/>
          <w:sz w:val="36"/>
          <w:szCs w:val="36"/>
        </w:rPr>
      </w:pPr>
      <w:r>
        <w:rPr>
          <w:rFonts w:hint="eastAsia" w:ascii="宋体" w:hAnsi="宋体" w:cs="宋体"/>
          <w:b/>
          <w:sz w:val="36"/>
          <w:szCs w:val="36"/>
        </w:rPr>
        <w:t>一.总  则</w:t>
      </w:r>
    </w:p>
    <w:p>
      <w:pPr>
        <w:spacing w:line="440" w:lineRule="exact"/>
        <w:rPr>
          <w:rFonts w:ascii="宋体" w:hAnsi="宋体" w:cs="宋体"/>
        </w:rPr>
      </w:pPr>
    </w:p>
    <w:p>
      <w:pPr>
        <w:spacing w:line="500" w:lineRule="exact"/>
        <w:rPr>
          <w:rFonts w:ascii="宋体" w:hAnsi="宋体" w:cs="宋体"/>
          <w:b/>
          <w:sz w:val="24"/>
          <w:szCs w:val="24"/>
        </w:rPr>
      </w:pPr>
      <w:r>
        <w:rPr>
          <w:rFonts w:hint="eastAsia" w:ascii="宋体" w:hAnsi="宋体" w:cs="宋体"/>
          <w:b/>
          <w:sz w:val="24"/>
          <w:szCs w:val="24"/>
        </w:rPr>
        <w:t>1.采购人、采购代理机构和资金来源</w:t>
      </w:r>
    </w:p>
    <w:p>
      <w:pPr>
        <w:spacing w:line="500" w:lineRule="exact"/>
        <w:ind w:firstLine="480" w:firstLineChars="200"/>
        <w:rPr>
          <w:rFonts w:ascii="宋体" w:hAnsi="宋体" w:cs="宋体"/>
          <w:sz w:val="24"/>
          <w:szCs w:val="24"/>
        </w:rPr>
      </w:pPr>
      <w:r>
        <w:rPr>
          <w:rFonts w:hint="eastAsia" w:ascii="宋体" w:hAnsi="宋体" w:cs="宋体"/>
          <w:sz w:val="24"/>
          <w:szCs w:val="24"/>
        </w:rPr>
        <w:t>1.1采购人名称、地址见前附表。</w:t>
      </w:r>
    </w:p>
    <w:p>
      <w:pPr>
        <w:spacing w:line="500" w:lineRule="exact"/>
        <w:ind w:firstLine="480" w:firstLineChars="200"/>
        <w:rPr>
          <w:rFonts w:ascii="宋体" w:hAnsi="宋体" w:cs="宋体"/>
          <w:sz w:val="24"/>
          <w:szCs w:val="24"/>
        </w:rPr>
      </w:pPr>
      <w:r>
        <w:rPr>
          <w:rFonts w:hint="eastAsia" w:ascii="宋体" w:hAnsi="宋体" w:cs="宋体"/>
          <w:sz w:val="24"/>
          <w:szCs w:val="24"/>
        </w:rPr>
        <w:t>1.2实施本次招标的采购代理机构为西北（陕西）国际招标有限公司。西北（陕西）国际招标有限公司具有中华人民共和国财政部授予的中华人民共和国政府采购代理机构甲级资格，在陕西省政府采购网登记备案。</w:t>
      </w:r>
    </w:p>
    <w:p>
      <w:pPr>
        <w:spacing w:line="500" w:lineRule="exact"/>
        <w:ind w:firstLine="480" w:firstLineChars="200"/>
        <w:rPr>
          <w:rFonts w:ascii="宋体" w:hAnsi="宋体" w:cs="宋体"/>
          <w:sz w:val="24"/>
          <w:szCs w:val="24"/>
        </w:rPr>
      </w:pPr>
      <w:r>
        <w:rPr>
          <w:rFonts w:hint="eastAsia" w:ascii="宋体" w:hAnsi="宋体" w:cs="宋体"/>
          <w:sz w:val="24"/>
          <w:szCs w:val="24"/>
        </w:rPr>
        <w:t>1.3 本次招标采购所签订合同将使用财政性资金支付，资金已落实到位。</w:t>
      </w:r>
    </w:p>
    <w:p>
      <w:pPr>
        <w:spacing w:line="500" w:lineRule="exact"/>
        <w:rPr>
          <w:rFonts w:ascii="宋体" w:hAnsi="宋体" w:cs="宋体"/>
          <w:b/>
          <w:sz w:val="24"/>
          <w:szCs w:val="24"/>
        </w:rPr>
      </w:pPr>
      <w:r>
        <w:rPr>
          <w:rFonts w:hint="eastAsia" w:ascii="宋体" w:hAnsi="宋体" w:cs="宋体"/>
          <w:b/>
          <w:sz w:val="24"/>
          <w:szCs w:val="24"/>
        </w:rPr>
        <w:t>2.合格的供应商</w:t>
      </w:r>
    </w:p>
    <w:p>
      <w:pPr>
        <w:spacing w:line="500" w:lineRule="exact"/>
        <w:ind w:firstLine="480" w:firstLineChars="200"/>
        <w:rPr>
          <w:rFonts w:ascii="宋体" w:hAnsi="宋体" w:cs="宋体"/>
          <w:sz w:val="24"/>
          <w:szCs w:val="24"/>
        </w:rPr>
      </w:pPr>
      <w:r>
        <w:rPr>
          <w:rFonts w:hint="eastAsia" w:ascii="宋体" w:hAnsi="宋体" w:cs="宋体"/>
          <w:sz w:val="24"/>
          <w:szCs w:val="24"/>
        </w:rPr>
        <w:t>2.1合格供应商条件</w:t>
      </w:r>
    </w:p>
    <w:p>
      <w:pPr>
        <w:spacing w:line="50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pPr>
        <w:spacing w:line="50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pPr>
        <w:spacing w:line="50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pPr>
        <w:spacing w:line="50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4）有依法缴纳税收和社会保障资金的良好纪录；</w:t>
      </w:r>
    </w:p>
    <w:p>
      <w:pPr>
        <w:spacing w:line="50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5）参加政府采购活动前三年内，在经营活动中没有重大违法纪录；</w:t>
      </w:r>
    </w:p>
    <w:p>
      <w:pPr>
        <w:spacing w:line="500" w:lineRule="exact"/>
        <w:ind w:left="1439" w:leftChars="228" w:hanging="960" w:hangingChars="400"/>
        <w:rPr>
          <w:rFonts w:ascii="宋体" w:hAnsi="宋体" w:cs="宋体"/>
          <w:sz w:val="24"/>
          <w:szCs w:val="24"/>
        </w:rPr>
      </w:pPr>
      <w:r>
        <w:rPr>
          <w:rFonts w:hint="eastAsia" w:ascii="宋体" w:hAnsi="宋体" w:cs="宋体"/>
          <w:sz w:val="24"/>
          <w:szCs w:val="24"/>
        </w:rPr>
        <w:t>6）中华人民共和国法律、行政法规规定的其他条件（见供应商须知前附表）；</w:t>
      </w:r>
    </w:p>
    <w:p>
      <w:pPr>
        <w:spacing w:line="500" w:lineRule="exact"/>
        <w:ind w:firstLine="477" w:firstLineChars="199"/>
        <w:rPr>
          <w:rFonts w:ascii="宋体" w:hAnsi="宋体" w:cs="宋体"/>
          <w:sz w:val="24"/>
          <w:szCs w:val="24"/>
        </w:rPr>
      </w:pPr>
      <w:r>
        <w:rPr>
          <w:rFonts w:hint="eastAsia" w:ascii="宋体" w:hAnsi="宋体" w:cs="宋体"/>
          <w:sz w:val="24"/>
          <w:szCs w:val="24"/>
        </w:rPr>
        <w:t>7）根据本次采购项目的特殊要求，规定的供应商特定条件（见供应商须知前附表）。</w:t>
      </w:r>
    </w:p>
    <w:p>
      <w:pPr>
        <w:spacing w:line="500" w:lineRule="exact"/>
        <w:ind w:firstLine="480" w:firstLineChars="200"/>
        <w:rPr>
          <w:rFonts w:ascii="宋体" w:hAnsi="宋体" w:cs="宋体"/>
          <w:sz w:val="24"/>
          <w:szCs w:val="24"/>
        </w:rPr>
      </w:pPr>
      <w:r>
        <w:rPr>
          <w:rFonts w:hint="eastAsia" w:ascii="宋体" w:hAnsi="宋体" w:cs="宋体"/>
          <w:sz w:val="24"/>
          <w:szCs w:val="24"/>
        </w:rPr>
        <w:t>2.2单位负责人为同一人或者存在直接控股、管理关系的不同供应商，不得参加本项目同一合同项下的投标。如果供应商在投标中隐瞒了上述关系，则该投标无效。</w:t>
      </w:r>
    </w:p>
    <w:p>
      <w:pPr>
        <w:spacing w:line="500" w:lineRule="exact"/>
        <w:ind w:firstLine="480" w:firstLineChars="200"/>
        <w:rPr>
          <w:rFonts w:ascii="宋体" w:hAnsi="宋体" w:cs="宋体"/>
          <w:sz w:val="24"/>
          <w:szCs w:val="24"/>
        </w:rPr>
      </w:pPr>
      <w:r>
        <w:rPr>
          <w:rFonts w:hint="eastAsia" w:ascii="宋体" w:hAnsi="宋体" w:cs="宋体"/>
          <w:sz w:val="24"/>
          <w:szCs w:val="24"/>
        </w:rPr>
        <w:t>2.3为本采购项目提供整体设计、规范编制或者项目管理、监理、检测等服务的供应商，不得再参加本采购项目的投标</w:t>
      </w:r>
      <w:r>
        <w:rPr>
          <w:rFonts w:hint="eastAsia" w:ascii="宋体" w:hAnsi="宋体" w:cs="宋体"/>
          <w:color w:val="000000"/>
          <w:kern w:val="0"/>
          <w:sz w:val="29"/>
          <w:szCs w:val="29"/>
        </w:rPr>
        <w:t>。</w:t>
      </w:r>
      <w:r>
        <w:rPr>
          <w:rFonts w:hint="eastAsia" w:ascii="宋体" w:hAnsi="宋体" w:cs="宋体"/>
          <w:sz w:val="24"/>
          <w:szCs w:val="24"/>
        </w:rPr>
        <w:t>如果供应商在投标中隐瞒了上述事实，则该投标无效。</w:t>
      </w:r>
    </w:p>
    <w:p>
      <w:pPr>
        <w:spacing w:line="500" w:lineRule="exact"/>
        <w:ind w:firstLine="480" w:firstLineChars="200"/>
        <w:rPr>
          <w:rFonts w:ascii="宋体" w:hAnsi="宋体" w:cs="宋体"/>
          <w:sz w:val="24"/>
          <w:szCs w:val="24"/>
        </w:rPr>
      </w:pPr>
      <w:r>
        <w:rPr>
          <w:rFonts w:hint="eastAsia" w:ascii="宋体" w:hAnsi="宋体" w:cs="宋体"/>
          <w:sz w:val="24"/>
          <w:szCs w:val="24"/>
        </w:rPr>
        <w:t>2.4两个以上的供应商可以组成一个联合体，以一个供应商的身份共同参加投标。以联合体形式参加投标的，联合体各方均应当具备政府采购法第二十二条第一款规定的条件。采购人根据采购项目的特殊要求规定供应商特定条件的，联合体各方中至少应当有一方符合采购人规定的特定条件。</w:t>
      </w:r>
    </w:p>
    <w:p>
      <w:pPr>
        <w:spacing w:line="500" w:lineRule="exact"/>
        <w:ind w:firstLine="480" w:firstLineChars="200"/>
        <w:rPr>
          <w:rFonts w:ascii="宋体" w:hAnsi="宋体" w:cs="宋体"/>
          <w:sz w:val="24"/>
          <w:szCs w:val="24"/>
        </w:rPr>
      </w:pPr>
      <w:r>
        <w:rPr>
          <w:rFonts w:hint="eastAsia" w:ascii="宋体" w:hAnsi="宋体" w:cs="宋体"/>
          <w:sz w:val="24"/>
          <w:szCs w:val="24"/>
        </w:rPr>
        <w:t>2.4.1联合体各方之间应当签订共同投标协议，明确约定联合体各方承担的工作、合同份额和相应的责任，并将共同投标协议附在投标文件中一并提交。</w:t>
      </w:r>
    </w:p>
    <w:p>
      <w:pPr>
        <w:spacing w:line="500" w:lineRule="exact"/>
        <w:ind w:firstLine="480" w:firstLineChars="200"/>
        <w:rPr>
          <w:rFonts w:ascii="宋体" w:hAnsi="宋体" w:cs="宋体"/>
          <w:sz w:val="24"/>
          <w:szCs w:val="24"/>
        </w:rPr>
      </w:pPr>
      <w:r>
        <w:rPr>
          <w:rFonts w:hint="eastAsia" w:ascii="宋体" w:hAnsi="宋体" w:cs="宋体"/>
          <w:sz w:val="24"/>
          <w:szCs w:val="24"/>
        </w:rPr>
        <w:t>2.4.2联合体中有同类资质的供应商按照联合体分工承担相同工作的，按照资质等级较低的供应商确定资质等级。</w:t>
      </w:r>
    </w:p>
    <w:p>
      <w:pPr>
        <w:spacing w:line="500" w:lineRule="exact"/>
        <w:ind w:firstLine="480" w:firstLineChars="200"/>
        <w:rPr>
          <w:rFonts w:ascii="宋体" w:hAnsi="宋体" w:cs="宋体"/>
          <w:sz w:val="24"/>
          <w:szCs w:val="24"/>
        </w:rPr>
      </w:pPr>
      <w:r>
        <w:rPr>
          <w:rFonts w:hint="eastAsia" w:ascii="宋体" w:hAnsi="宋体" w:cs="宋体"/>
          <w:sz w:val="24"/>
          <w:szCs w:val="24"/>
        </w:rPr>
        <w:t>2.4.3以联合体形式参加投标的，联合体各方不得再单独参加或者与其他供应商另外组成联合体参加同一合同项下的投标，否则，其相关投标均为无效。</w:t>
      </w:r>
    </w:p>
    <w:p>
      <w:pPr>
        <w:spacing w:line="500" w:lineRule="exact"/>
        <w:ind w:firstLine="480" w:firstLineChars="200"/>
        <w:rPr>
          <w:rFonts w:ascii="宋体" w:hAnsi="宋体" w:cs="宋体"/>
          <w:sz w:val="24"/>
          <w:szCs w:val="24"/>
        </w:rPr>
      </w:pPr>
      <w:r>
        <w:rPr>
          <w:rFonts w:hint="eastAsia" w:ascii="宋体" w:hAnsi="宋体" w:cs="宋体"/>
          <w:sz w:val="24"/>
          <w:szCs w:val="24"/>
        </w:rPr>
        <w:t>2.5供应商必须在西北（陕西）国际招标有限公司购买招标文件，方可参加投标。招标文件售后不退。</w:t>
      </w:r>
    </w:p>
    <w:p>
      <w:pPr>
        <w:spacing w:line="500" w:lineRule="exact"/>
        <w:ind w:firstLine="480" w:firstLineChars="200"/>
        <w:rPr>
          <w:rFonts w:ascii="宋体" w:hAnsi="宋体" w:cs="宋体"/>
          <w:sz w:val="24"/>
          <w:szCs w:val="24"/>
        </w:rPr>
      </w:pPr>
      <w:r>
        <w:rPr>
          <w:rFonts w:hint="eastAsia" w:ascii="宋体" w:hAnsi="宋体" w:cs="宋体"/>
          <w:sz w:val="24"/>
          <w:szCs w:val="24"/>
        </w:rPr>
        <w:t>2.6投标费用自理。不论投标的结果如何，供应商均应自行承担所有与参加投标有关的费用。</w:t>
      </w:r>
    </w:p>
    <w:p>
      <w:pPr>
        <w:spacing w:line="500" w:lineRule="exact"/>
        <w:rPr>
          <w:rFonts w:ascii="宋体" w:hAnsi="宋体" w:cs="宋体"/>
          <w:b/>
          <w:sz w:val="24"/>
          <w:szCs w:val="24"/>
        </w:rPr>
      </w:pPr>
      <w:r>
        <w:rPr>
          <w:rFonts w:hint="eastAsia" w:ascii="宋体" w:hAnsi="宋体" w:cs="宋体"/>
          <w:b/>
          <w:sz w:val="24"/>
          <w:szCs w:val="24"/>
        </w:rPr>
        <w:t>3.供应商信用记录查询及使用</w:t>
      </w:r>
    </w:p>
    <w:p>
      <w:pPr>
        <w:spacing w:line="500" w:lineRule="exact"/>
        <w:ind w:firstLine="352" w:firstLineChars="147"/>
        <w:rPr>
          <w:rFonts w:ascii="宋体" w:hAnsi="宋体" w:cs="宋体"/>
          <w:b/>
          <w:sz w:val="24"/>
          <w:szCs w:val="24"/>
        </w:rPr>
      </w:pPr>
      <w:bookmarkStart w:id="28" w:name="_Hlk36454126"/>
      <w:r>
        <w:rPr>
          <w:rFonts w:hint="eastAsia" w:ascii="宋体" w:hAnsi="宋体" w:cs="宋体"/>
          <w:kern w:val="0"/>
          <w:sz w:val="24"/>
          <w:szCs w:val="24"/>
        </w:rPr>
        <w:t>“信用中国”网站（www.creditchina.gov.cn）和“中国政府采购网”（ccgp.gov.cn）为供应商信用信息查询渠道，如果供应商被查实在投标截止时间列入失信被执行人、重大税收违法案件当事人名单、政府采购严重违法失信行为记录名单，其投标为无效。采购代理机构将打印查询记录作为证据留存。</w:t>
      </w:r>
    </w:p>
    <w:bookmarkEnd w:id="28"/>
    <w:p>
      <w:pPr>
        <w:spacing w:line="500" w:lineRule="exact"/>
        <w:rPr>
          <w:rFonts w:ascii="宋体" w:hAnsi="宋体" w:cs="宋体"/>
          <w:b/>
          <w:sz w:val="24"/>
          <w:szCs w:val="24"/>
        </w:rPr>
      </w:pPr>
      <w:r>
        <w:rPr>
          <w:rFonts w:hint="eastAsia" w:ascii="宋体" w:hAnsi="宋体" w:cs="宋体"/>
          <w:b/>
          <w:sz w:val="24"/>
          <w:szCs w:val="24"/>
        </w:rPr>
        <w:t>4.投标文件内容的真实性</w:t>
      </w:r>
    </w:p>
    <w:p>
      <w:pPr>
        <w:spacing w:line="500" w:lineRule="exact"/>
        <w:ind w:firstLine="480" w:firstLineChars="200"/>
        <w:rPr>
          <w:rFonts w:ascii="宋体" w:hAnsi="宋体" w:cs="宋体"/>
          <w:sz w:val="24"/>
          <w:szCs w:val="24"/>
        </w:rPr>
      </w:pPr>
      <w:r>
        <w:rPr>
          <w:rFonts w:hint="eastAsia" w:ascii="宋体" w:hAnsi="宋体" w:cs="宋体"/>
          <w:sz w:val="24"/>
          <w:szCs w:val="24"/>
        </w:rPr>
        <w:t>4.1供应商应保证其投标文件中所提供的所有有关投标的资料、信息是真实的，并且来源于合法的渠道。因投标文件中所提供的有关投标的资料、信息不真实，或者其来源不合法而导致的所有法律责任，由供应商自行承担。</w:t>
      </w:r>
    </w:p>
    <w:p>
      <w:pPr>
        <w:spacing w:line="500" w:lineRule="exact"/>
        <w:rPr>
          <w:rFonts w:ascii="宋体" w:hAnsi="宋体" w:cs="宋体"/>
          <w:b/>
          <w:sz w:val="24"/>
          <w:szCs w:val="24"/>
        </w:rPr>
      </w:pPr>
      <w:r>
        <w:rPr>
          <w:rFonts w:hint="eastAsia" w:ascii="宋体" w:hAnsi="宋体" w:cs="宋体"/>
          <w:b/>
          <w:sz w:val="24"/>
          <w:szCs w:val="24"/>
        </w:rPr>
        <w:t>5.招标过程的监督和管理</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5.1同级人民政府财政部门及有关部门依法履行对招标过程的监督管理职责。   </w:t>
      </w:r>
    </w:p>
    <w:p>
      <w:pPr>
        <w:spacing w:line="500" w:lineRule="exact"/>
        <w:jc w:val="center"/>
        <w:rPr>
          <w:rFonts w:ascii="宋体" w:hAnsi="宋体" w:cs="宋体"/>
          <w:b/>
          <w:sz w:val="36"/>
          <w:szCs w:val="36"/>
        </w:rPr>
      </w:pPr>
    </w:p>
    <w:p>
      <w:pPr>
        <w:spacing w:line="500" w:lineRule="exact"/>
        <w:jc w:val="center"/>
        <w:rPr>
          <w:rFonts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二.招标文件</w:t>
      </w:r>
    </w:p>
    <w:p>
      <w:pPr>
        <w:spacing w:line="500" w:lineRule="exact"/>
        <w:rPr>
          <w:rFonts w:ascii="宋体" w:hAnsi="宋体" w:cs="宋体"/>
          <w:b/>
          <w:sz w:val="24"/>
          <w:szCs w:val="24"/>
        </w:rPr>
      </w:pPr>
    </w:p>
    <w:p>
      <w:pPr>
        <w:spacing w:line="500" w:lineRule="exact"/>
        <w:rPr>
          <w:rFonts w:ascii="宋体" w:hAnsi="宋体" w:cs="宋体"/>
          <w:b/>
          <w:sz w:val="24"/>
          <w:szCs w:val="24"/>
        </w:rPr>
      </w:pPr>
      <w:r>
        <w:rPr>
          <w:rFonts w:hint="eastAsia" w:ascii="宋体" w:hAnsi="宋体" w:cs="宋体"/>
          <w:b/>
          <w:sz w:val="24"/>
          <w:szCs w:val="24"/>
        </w:rPr>
        <w:t>6.招标文件构成　　</w:t>
      </w:r>
    </w:p>
    <w:p>
      <w:pPr>
        <w:spacing w:line="500" w:lineRule="exact"/>
        <w:ind w:firstLine="480" w:firstLineChars="200"/>
        <w:rPr>
          <w:rFonts w:ascii="宋体" w:hAnsi="宋体" w:cs="宋体"/>
          <w:sz w:val="24"/>
          <w:szCs w:val="24"/>
        </w:rPr>
      </w:pPr>
      <w:r>
        <w:rPr>
          <w:rFonts w:hint="eastAsia" w:ascii="宋体" w:hAnsi="宋体" w:cs="宋体"/>
          <w:sz w:val="24"/>
          <w:szCs w:val="24"/>
        </w:rPr>
        <w:t>6.1 招标文件规定了要求提供的货物和服务。招标程序和合同条件在招标文件中均有说明。招标文件共八章，内容如下：</w:t>
      </w:r>
    </w:p>
    <w:p>
      <w:pPr>
        <w:spacing w:line="500" w:lineRule="exact"/>
        <w:ind w:firstLine="480" w:firstLineChars="200"/>
        <w:rPr>
          <w:rFonts w:ascii="宋体" w:hAnsi="宋体" w:cs="宋体"/>
          <w:sz w:val="24"/>
          <w:szCs w:val="24"/>
        </w:rPr>
      </w:pPr>
      <w:r>
        <w:rPr>
          <w:rFonts w:hint="eastAsia" w:ascii="宋体" w:hAnsi="宋体" w:cs="宋体"/>
          <w:sz w:val="24"/>
          <w:szCs w:val="24"/>
        </w:rPr>
        <w:t>第一章 招标公告</w:t>
      </w:r>
    </w:p>
    <w:p>
      <w:pPr>
        <w:spacing w:line="500" w:lineRule="exact"/>
        <w:ind w:firstLine="480" w:firstLineChars="200"/>
        <w:rPr>
          <w:rFonts w:ascii="宋体" w:hAnsi="宋体" w:cs="宋体"/>
          <w:sz w:val="24"/>
          <w:szCs w:val="24"/>
        </w:rPr>
      </w:pPr>
      <w:r>
        <w:rPr>
          <w:rFonts w:hint="eastAsia" w:ascii="宋体" w:hAnsi="宋体" w:cs="宋体"/>
          <w:sz w:val="24"/>
          <w:szCs w:val="24"/>
        </w:rPr>
        <w:t>第二章 供应商须知及前附表</w:t>
      </w:r>
    </w:p>
    <w:p>
      <w:pPr>
        <w:spacing w:line="500" w:lineRule="exact"/>
        <w:ind w:firstLine="480" w:firstLineChars="200"/>
        <w:rPr>
          <w:rFonts w:ascii="宋体" w:hAnsi="宋体" w:cs="宋体"/>
          <w:sz w:val="24"/>
          <w:szCs w:val="24"/>
        </w:rPr>
      </w:pPr>
      <w:r>
        <w:rPr>
          <w:rFonts w:hint="eastAsia" w:ascii="宋体" w:hAnsi="宋体" w:cs="宋体"/>
          <w:sz w:val="24"/>
          <w:szCs w:val="24"/>
        </w:rPr>
        <w:t>第三章 合同通用条款</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第四章 合同专用条款       </w:t>
      </w:r>
    </w:p>
    <w:p>
      <w:pPr>
        <w:spacing w:line="500" w:lineRule="exact"/>
        <w:ind w:firstLine="480" w:firstLineChars="200"/>
        <w:rPr>
          <w:rFonts w:ascii="宋体" w:hAnsi="宋体" w:cs="宋体"/>
          <w:sz w:val="24"/>
          <w:szCs w:val="24"/>
        </w:rPr>
      </w:pPr>
      <w:r>
        <w:rPr>
          <w:rFonts w:hint="eastAsia" w:ascii="宋体" w:hAnsi="宋体" w:cs="宋体"/>
          <w:sz w:val="24"/>
          <w:szCs w:val="24"/>
        </w:rPr>
        <w:t>第五章 合同格式</w:t>
      </w:r>
    </w:p>
    <w:p>
      <w:pPr>
        <w:spacing w:line="500" w:lineRule="exact"/>
        <w:ind w:firstLine="480" w:firstLineChars="200"/>
        <w:rPr>
          <w:rFonts w:ascii="宋体" w:hAnsi="宋体" w:cs="宋体"/>
          <w:sz w:val="24"/>
          <w:szCs w:val="24"/>
        </w:rPr>
      </w:pPr>
      <w:r>
        <w:rPr>
          <w:rFonts w:hint="eastAsia" w:ascii="宋体" w:hAnsi="宋体" w:cs="宋体"/>
          <w:sz w:val="24"/>
          <w:szCs w:val="24"/>
        </w:rPr>
        <w:t>第六章 投标文件格式</w:t>
      </w:r>
    </w:p>
    <w:p>
      <w:pPr>
        <w:spacing w:line="500" w:lineRule="exact"/>
        <w:ind w:firstLine="480" w:firstLineChars="200"/>
        <w:rPr>
          <w:rFonts w:ascii="宋体" w:hAnsi="宋体" w:cs="宋体"/>
          <w:sz w:val="24"/>
          <w:szCs w:val="24"/>
        </w:rPr>
      </w:pPr>
      <w:r>
        <w:rPr>
          <w:rFonts w:hint="eastAsia" w:ascii="宋体" w:hAnsi="宋体" w:cs="宋体"/>
          <w:sz w:val="24"/>
          <w:szCs w:val="24"/>
        </w:rPr>
        <w:t>第七章 招标内容及技术规范</w:t>
      </w:r>
    </w:p>
    <w:p>
      <w:pPr>
        <w:spacing w:line="500" w:lineRule="exact"/>
        <w:ind w:firstLine="480" w:firstLineChars="200"/>
        <w:rPr>
          <w:rFonts w:ascii="宋体" w:hAnsi="宋体" w:cs="宋体"/>
          <w:sz w:val="24"/>
          <w:szCs w:val="24"/>
        </w:rPr>
      </w:pPr>
      <w:r>
        <w:rPr>
          <w:rFonts w:hint="eastAsia" w:ascii="宋体" w:hAnsi="宋体" w:cs="宋体"/>
          <w:sz w:val="24"/>
          <w:szCs w:val="24"/>
        </w:rPr>
        <w:t>第八章 评标方法</w:t>
      </w:r>
    </w:p>
    <w:p>
      <w:pPr>
        <w:spacing w:line="500" w:lineRule="exact"/>
        <w:ind w:firstLine="480" w:firstLineChars="200"/>
        <w:rPr>
          <w:rFonts w:ascii="宋体" w:hAnsi="宋体" w:cs="宋体"/>
          <w:sz w:val="24"/>
          <w:szCs w:val="24"/>
        </w:rPr>
      </w:pPr>
      <w:r>
        <w:rPr>
          <w:rFonts w:hint="eastAsia" w:ascii="宋体" w:hAnsi="宋体" w:cs="宋体"/>
          <w:sz w:val="24"/>
          <w:szCs w:val="24"/>
        </w:rPr>
        <w:t>6.2供应商应认真阅读招标文件中所有的事项、格式、条款和规范等要求。如果供应商没有按照招标文件的要求提交全部必要的资料，由此带来的不利于供应商的评标结果，其风险由供应商承担。</w:t>
      </w:r>
    </w:p>
    <w:p>
      <w:pPr>
        <w:spacing w:line="500" w:lineRule="exact"/>
        <w:ind w:firstLine="480" w:firstLineChars="200"/>
        <w:rPr>
          <w:rFonts w:ascii="宋体" w:hAnsi="宋体" w:cs="宋体"/>
          <w:sz w:val="24"/>
          <w:szCs w:val="24"/>
        </w:rPr>
      </w:pPr>
      <w:r>
        <w:rPr>
          <w:rFonts w:hint="eastAsia" w:ascii="宋体" w:hAnsi="宋体" w:cs="宋体"/>
          <w:sz w:val="24"/>
          <w:szCs w:val="24"/>
        </w:rPr>
        <w:t>6.3如果投标文件没有对招标内容做出实质性响应，其投标为无效投标。</w:t>
      </w:r>
    </w:p>
    <w:p>
      <w:pPr>
        <w:spacing w:line="500" w:lineRule="exact"/>
        <w:ind w:firstLine="480" w:firstLineChars="200"/>
        <w:rPr>
          <w:rFonts w:ascii="宋体" w:hAnsi="宋体" w:cs="宋体"/>
          <w:sz w:val="24"/>
          <w:szCs w:val="24"/>
        </w:rPr>
      </w:pPr>
      <w:r>
        <w:rPr>
          <w:rFonts w:hint="eastAsia" w:ascii="宋体" w:hAnsi="宋体" w:cs="宋体"/>
          <w:sz w:val="24"/>
          <w:szCs w:val="24"/>
        </w:rPr>
        <w:t>6.4本招标文件的解释权归西北（陕西）国际招标有限公司。</w:t>
      </w:r>
    </w:p>
    <w:p>
      <w:pPr>
        <w:spacing w:line="500" w:lineRule="exact"/>
        <w:rPr>
          <w:rFonts w:ascii="宋体" w:hAnsi="宋体" w:cs="宋体"/>
          <w:b/>
          <w:sz w:val="24"/>
          <w:szCs w:val="24"/>
        </w:rPr>
      </w:pPr>
      <w:r>
        <w:rPr>
          <w:rFonts w:hint="eastAsia" w:ascii="宋体" w:hAnsi="宋体" w:cs="宋体"/>
          <w:b/>
          <w:sz w:val="24"/>
          <w:szCs w:val="24"/>
        </w:rPr>
        <w:t>7.招标文件的澄清修改</w:t>
      </w:r>
    </w:p>
    <w:p>
      <w:pPr>
        <w:spacing w:line="500" w:lineRule="exact"/>
        <w:ind w:firstLine="480" w:firstLineChars="200"/>
        <w:rPr>
          <w:rFonts w:ascii="宋体" w:hAnsi="宋体" w:cs="宋体"/>
          <w:sz w:val="24"/>
          <w:szCs w:val="24"/>
        </w:rPr>
      </w:pPr>
      <w:r>
        <w:rPr>
          <w:rFonts w:hint="eastAsia" w:ascii="宋体" w:hAnsi="宋体" w:cs="宋体"/>
          <w:sz w:val="24"/>
          <w:szCs w:val="24"/>
        </w:rPr>
        <w:t>7.1采购人如果对已发出的招标文件进行必要的澄清或者修改，将在原公告发布媒体上发布澄清公告。澄清或者修改的内容为招标文件的组成部分。</w:t>
      </w:r>
    </w:p>
    <w:p>
      <w:pPr>
        <w:spacing w:line="500" w:lineRule="exact"/>
        <w:ind w:firstLine="480" w:firstLineChars="200"/>
        <w:rPr>
          <w:rFonts w:ascii="宋体" w:hAnsi="宋体" w:cs="宋体"/>
          <w:sz w:val="24"/>
          <w:szCs w:val="24"/>
        </w:rPr>
      </w:pPr>
      <w:r>
        <w:rPr>
          <w:rFonts w:hint="eastAsia" w:ascii="宋体" w:hAnsi="宋体" w:cs="宋体"/>
          <w:sz w:val="24"/>
          <w:szCs w:val="24"/>
        </w:rPr>
        <w:t>7.2澄清或者修改的内容可能影响投标文件编制的，采购代理机构将在投标截止时间至少15日前，以书面形式通知所有获取招标文件的潜在供应商；不足15日的，采购代理机构将顺延提交投标文件的截止时间。</w:t>
      </w:r>
    </w:p>
    <w:p>
      <w:pPr>
        <w:spacing w:line="500" w:lineRule="exact"/>
        <w:rPr>
          <w:rFonts w:ascii="宋体" w:hAnsi="宋体" w:cs="宋体"/>
          <w:b/>
          <w:sz w:val="24"/>
          <w:szCs w:val="24"/>
        </w:rPr>
      </w:pPr>
      <w:r>
        <w:rPr>
          <w:rFonts w:hint="eastAsia" w:ascii="宋体" w:hAnsi="宋体" w:cs="宋体"/>
          <w:b/>
          <w:sz w:val="24"/>
          <w:szCs w:val="24"/>
        </w:rPr>
        <w:t>8.招标文件的质疑答复</w:t>
      </w:r>
    </w:p>
    <w:p>
      <w:pPr>
        <w:spacing w:line="500" w:lineRule="exact"/>
        <w:ind w:firstLine="480" w:firstLineChars="200"/>
        <w:rPr>
          <w:rFonts w:ascii="宋体" w:hAnsi="宋体" w:cs="宋体"/>
          <w:sz w:val="24"/>
          <w:szCs w:val="24"/>
        </w:rPr>
      </w:pPr>
      <w:bookmarkStart w:id="29" w:name="_Hlk36454145"/>
      <w:r>
        <w:rPr>
          <w:rFonts w:hint="eastAsia" w:ascii="宋体" w:hAnsi="宋体" w:cs="宋体"/>
          <w:sz w:val="24"/>
          <w:szCs w:val="24"/>
        </w:rPr>
        <w:t>8.1 已经购买招标文件的供应商对招标文件有疑问或者认为招标文件使自己的权益受到损害的，应当在“供应商须知前附表”规定的时间内，以书面形式向采购代理机构指定的联系部门提出询问或者质疑，在此之后提出的询问或者质疑均为无效，采购代理机构不予受理。</w:t>
      </w:r>
    </w:p>
    <w:p>
      <w:pPr>
        <w:spacing w:line="500" w:lineRule="exact"/>
        <w:ind w:firstLine="480" w:firstLineChars="200"/>
        <w:rPr>
          <w:rFonts w:ascii="宋体" w:hAnsi="宋体" w:cs="宋体"/>
          <w:sz w:val="24"/>
          <w:szCs w:val="24"/>
        </w:rPr>
      </w:pPr>
      <w:r>
        <w:rPr>
          <w:rFonts w:hint="eastAsia" w:ascii="宋体" w:hAnsi="宋体" w:cs="宋体"/>
          <w:sz w:val="24"/>
          <w:szCs w:val="24"/>
        </w:rPr>
        <w:t>8.2供应商提出质疑应当按照“供应商须知前附表”的要求提交质疑函和必要的证明材料。</w:t>
      </w:r>
    </w:p>
    <w:p>
      <w:pPr>
        <w:spacing w:line="500" w:lineRule="exact"/>
        <w:ind w:firstLine="480" w:firstLineChars="200"/>
        <w:rPr>
          <w:rFonts w:ascii="宋体" w:hAnsi="宋体" w:cs="宋体"/>
          <w:sz w:val="24"/>
          <w:szCs w:val="24"/>
        </w:rPr>
      </w:pPr>
      <w:r>
        <w:rPr>
          <w:rFonts w:hint="eastAsia" w:ascii="宋体" w:hAnsi="宋体" w:cs="宋体"/>
          <w:sz w:val="24"/>
          <w:szCs w:val="24"/>
        </w:rPr>
        <w:t>8.3对于在规定时间内收到的供应商依法提出的询问或者质疑，采购代理机构将按程序在规定的时间内予以答复。</w:t>
      </w:r>
    </w:p>
    <w:bookmarkEnd w:id="29"/>
    <w:p>
      <w:pPr>
        <w:spacing w:line="500" w:lineRule="exact"/>
        <w:jc w:val="center"/>
        <w:rPr>
          <w:rFonts w:ascii="宋体" w:hAnsi="宋体" w:cs="宋体"/>
          <w:b/>
          <w:sz w:val="36"/>
          <w:szCs w:val="36"/>
        </w:rPr>
      </w:pPr>
    </w:p>
    <w:p>
      <w:pPr>
        <w:spacing w:line="500" w:lineRule="exact"/>
        <w:jc w:val="center"/>
        <w:rPr>
          <w:rFonts w:ascii="宋体" w:hAnsi="宋体" w:cs="宋体"/>
          <w:b/>
          <w:sz w:val="36"/>
          <w:szCs w:val="36"/>
        </w:rPr>
      </w:pPr>
      <w:r>
        <w:rPr>
          <w:rFonts w:hint="eastAsia" w:ascii="宋体" w:hAnsi="宋体" w:cs="宋体"/>
          <w:b/>
          <w:sz w:val="36"/>
          <w:szCs w:val="36"/>
        </w:rPr>
        <w:t>三.投标文件的编制</w:t>
      </w:r>
    </w:p>
    <w:p>
      <w:pPr>
        <w:spacing w:line="500" w:lineRule="exact"/>
        <w:rPr>
          <w:rFonts w:ascii="宋体" w:hAnsi="宋体" w:cs="宋体"/>
          <w:b/>
          <w:sz w:val="24"/>
          <w:szCs w:val="24"/>
        </w:rPr>
      </w:pPr>
    </w:p>
    <w:p>
      <w:pPr>
        <w:spacing w:line="500" w:lineRule="exact"/>
        <w:rPr>
          <w:rFonts w:ascii="宋体" w:hAnsi="宋体" w:cs="宋体"/>
          <w:b/>
          <w:sz w:val="24"/>
          <w:szCs w:val="24"/>
        </w:rPr>
      </w:pPr>
      <w:r>
        <w:rPr>
          <w:rFonts w:hint="eastAsia" w:ascii="宋体" w:hAnsi="宋体" w:cs="宋体"/>
          <w:b/>
          <w:sz w:val="24"/>
          <w:szCs w:val="24"/>
        </w:rPr>
        <w:t>9.投标语言和投标货币</w:t>
      </w:r>
    </w:p>
    <w:p>
      <w:pPr>
        <w:spacing w:line="500" w:lineRule="exact"/>
        <w:ind w:firstLine="480" w:firstLineChars="200"/>
        <w:rPr>
          <w:rFonts w:ascii="宋体" w:hAnsi="宋体" w:cs="宋体"/>
          <w:b/>
          <w:sz w:val="24"/>
          <w:szCs w:val="24"/>
        </w:rPr>
      </w:pPr>
      <w:r>
        <w:rPr>
          <w:rFonts w:hint="eastAsia" w:ascii="宋体" w:hAnsi="宋体" w:cs="宋体"/>
          <w:sz w:val="24"/>
          <w:szCs w:val="24"/>
        </w:rPr>
        <w:t>9.1供应商提交的投标文件以及供应商与采购代理机构就有关投标的所有来往函电均应使用中文。对不同文字文本投标文件（包括产品样本、彩页、说明书等）的解释发生异议的，以中文文本为准。</w:t>
      </w:r>
    </w:p>
    <w:p>
      <w:pPr>
        <w:spacing w:line="500" w:lineRule="exact"/>
        <w:ind w:firstLine="480" w:firstLineChars="200"/>
        <w:rPr>
          <w:rFonts w:ascii="宋体" w:hAnsi="宋体" w:cs="宋体"/>
          <w:sz w:val="24"/>
          <w:szCs w:val="24"/>
        </w:rPr>
      </w:pPr>
      <w:r>
        <w:rPr>
          <w:rFonts w:hint="eastAsia" w:ascii="宋体" w:hAnsi="宋体" w:cs="宋体"/>
          <w:sz w:val="24"/>
          <w:szCs w:val="24"/>
        </w:rPr>
        <w:t>9.2投标应以人民币报价。任何包含非人民币报价的投标均按照无效投标处理。</w:t>
      </w:r>
    </w:p>
    <w:p>
      <w:pPr>
        <w:spacing w:line="500" w:lineRule="exact"/>
        <w:rPr>
          <w:rFonts w:ascii="宋体" w:hAnsi="宋体" w:cs="宋体"/>
          <w:b/>
          <w:sz w:val="24"/>
          <w:szCs w:val="24"/>
        </w:rPr>
      </w:pPr>
      <w:r>
        <w:rPr>
          <w:rFonts w:hint="eastAsia" w:ascii="宋体" w:hAnsi="宋体" w:cs="宋体"/>
          <w:b/>
          <w:sz w:val="24"/>
          <w:szCs w:val="24"/>
        </w:rPr>
        <w:t>10.投标文件格式</w:t>
      </w:r>
    </w:p>
    <w:p>
      <w:pPr>
        <w:spacing w:line="500" w:lineRule="exact"/>
        <w:ind w:firstLine="480" w:firstLineChars="200"/>
        <w:rPr>
          <w:rFonts w:ascii="宋体" w:hAnsi="宋体" w:cs="宋体"/>
          <w:sz w:val="24"/>
          <w:szCs w:val="24"/>
        </w:rPr>
      </w:pPr>
      <w:r>
        <w:rPr>
          <w:rFonts w:hint="eastAsia" w:ascii="宋体" w:hAnsi="宋体" w:cs="宋体"/>
          <w:sz w:val="24"/>
          <w:szCs w:val="24"/>
        </w:rPr>
        <w:t>10.1 供应商应按照招标文件中“投标文件格式”所提供的格式和要求制作投标文件，明确表达投标意愿，详细说明投标方案和投标价格。</w:t>
      </w:r>
    </w:p>
    <w:p>
      <w:pPr>
        <w:spacing w:line="500" w:lineRule="exact"/>
        <w:ind w:firstLine="480" w:firstLineChars="200"/>
        <w:rPr>
          <w:rFonts w:ascii="宋体" w:hAnsi="宋体" w:cs="宋体"/>
          <w:sz w:val="24"/>
          <w:szCs w:val="24"/>
        </w:rPr>
      </w:pPr>
      <w:r>
        <w:rPr>
          <w:rFonts w:hint="eastAsia" w:ascii="宋体" w:hAnsi="宋体" w:cs="宋体"/>
          <w:sz w:val="24"/>
          <w:szCs w:val="24"/>
        </w:rPr>
        <w:t>10.2 供应商应完整地提供招标文件要求的所有数据和资料。</w:t>
      </w:r>
    </w:p>
    <w:p>
      <w:pPr>
        <w:spacing w:line="500" w:lineRule="exact"/>
        <w:rPr>
          <w:rFonts w:ascii="宋体" w:hAnsi="宋体" w:cs="宋体"/>
          <w:b/>
          <w:sz w:val="24"/>
          <w:szCs w:val="24"/>
        </w:rPr>
      </w:pPr>
      <w:r>
        <w:rPr>
          <w:rFonts w:hint="eastAsia" w:ascii="宋体" w:hAnsi="宋体" w:cs="宋体"/>
          <w:b/>
          <w:sz w:val="24"/>
          <w:szCs w:val="24"/>
        </w:rPr>
        <w:t>11.投标报价和投标方案要求</w:t>
      </w:r>
    </w:p>
    <w:p>
      <w:pPr>
        <w:spacing w:line="500" w:lineRule="exact"/>
        <w:ind w:firstLine="480" w:firstLineChars="200"/>
        <w:rPr>
          <w:rFonts w:ascii="宋体" w:hAnsi="宋体" w:cs="宋体"/>
          <w:sz w:val="24"/>
          <w:szCs w:val="24"/>
        </w:rPr>
      </w:pPr>
      <w:r>
        <w:rPr>
          <w:rFonts w:hint="eastAsia" w:ascii="宋体" w:hAnsi="宋体" w:cs="宋体"/>
          <w:sz w:val="24"/>
          <w:szCs w:val="24"/>
        </w:rPr>
        <w:t>11.1供应商应按照“供应商须知前附表”中的规定和要求报价，任何不符合报价要求的投标将按照无效投标处理。</w:t>
      </w:r>
    </w:p>
    <w:p>
      <w:pPr>
        <w:spacing w:line="500" w:lineRule="exact"/>
        <w:ind w:firstLine="480" w:firstLineChars="200"/>
        <w:rPr>
          <w:rFonts w:ascii="宋体" w:hAnsi="宋体" w:cs="宋体"/>
          <w:sz w:val="24"/>
          <w:szCs w:val="24"/>
        </w:rPr>
      </w:pPr>
      <w:r>
        <w:rPr>
          <w:rFonts w:hint="eastAsia" w:ascii="宋体" w:hAnsi="宋体" w:cs="宋体"/>
          <w:sz w:val="24"/>
          <w:szCs w:val="24"/>
        </w:rPr>
        <w:t>11.2供应商应按照投标报价表的内容标明投标的所有单项价格和总价。投标报价表中标明的价格应为履行合同的固定价格，不得以任何理由予以变更。任何有选择的报价及以可调整价格提交的投标均按照无效投标处理。</w:t>
      </w:r>
    </w:p>
    <w:p>
      <w:pPr>
        <w:spacing w:line="500" w:lineRule="exact"/>
        <w:ind w:firstLine="480" w:firstLineChars="200"/>
        <w:rPr>
          <w:rFonts w:ascii="宋体" w:hAnsi="宋体" w:cs="宋体"/>
          <w:sz w:val="24"/>
          <w:szCs w:val="24"/>
        </w:rPr>
      </w:pPr>
      <w:r>
        <w:rPr>
          <w:rFonts w:hint="eastAsia" w:ascii="宋体" w:hAnsi="宋体" w:cs="宋体"/>
          <w:sz w:val="24"/>
          <w:szCs w:val="24"/>
        </w:rPr>
        <w:t>11.3 如果在招标文件中没有允许提供备选方案，则每个供应商只允许提交一个投标方案，否则，其投标按照无效投标处理。如果允许提供备选方案，则按照评标方法中的规定对备选方案进行评审。</w:t>
      </w:r>
    </w:p>
    <w:p>
      <w:pPr>
        <w:spacing w:line="500" w:lineRule="exact"/>
        <w:ind w:firstLine="480" w:firstLineChars="200"/>
        <w:rPr>
          <w:rFonts w:ascii="宋体" w:hAnsi="宋体" w:cs="宋体"/>
          <w:sz w:val="24"/>
          <w:szCs w:val="24"/>
        </w:rPr>
      </w:pPr>
      <w:r>
        <w:rPr>
          <w:rFonts w:hint="eastAsia" w:ascii="宋体" w:hAnsi="宋体" w:cs="宋体"/>
          <w:sz w:val="24"/>
          <w:szCs w:val="24"/>
        </w:rPr>
        <w:t>11.4本次投标的最小单元见“供应商须知前附表”中的规定，供应商可对任一最小单元进行投标，但不能对最小单元中的内容或者分项内容进行不完全投标。任何不完全的投标将按照无效投标处理。</w:t>
      </w:r>
    </w:p>
    <w:p>
      <w:pPr>
        <w:spacing w:line="500" w:lineRule="exact"/>
        <w:rPr>
          <w:rFonts w:ascii="宋体" w:hAnsi="宋体" w:cs="宋体"/>
          <w:b/>
          <w:sz w:val="24"/>
          <w:szCs w:val="24"/>
        </w:rPr>
      </w:pPr>
      <w:r>
        <w:rPr>
          <w:rFonts w:hint="eastAsia" w:ascii="宋体" w:hAnsi="宋体" w:cs="宋体"/>
          <w:b/>
          <w:sz w:val="24"/>
          <w:szCs w:val="24"/>
        </w:rPr>
        <w:t>12.投标文件的构成</w:t>
      </w:r>
    </w:p>
    <w:p>
      <w:pPr>
        <w:spacing w:line="500" w:lineRule="exact"/>
        <w:ind w:firstLine="360" w:firstLineChars="150"/>
        <w:rPr>
          <w:rFonts w:ascii="宋体" w:hAnsi="宋体" w:cs="宋体"/>
          <w:sz w:val="24"/>
          <w:szCs w:val="24"/>
        </w:rPr>
      </w:pPr>
      <w:r>
        <w:rPr>
          <w:rFonts w:hint="eastAsia" w:ascii="宋体" w:hAnsi="宋体" w:cs="宋体"/>
          <w:sz w:val="24"/>
          <w:szCs w:val="24"/>
        </w:rPr>
        <w:t xml:space="preserve"> 供应商提交的投标文件应包括下列内容：</w:t>
      </w:r>
    </w:p>
    <w:p>
      <w:pPr>
        <w:spacing w:line="500" w:lineRule="exact"/>
        <w:ind w:firstLine="480" w:firstLineChars="200"/>
        <w:rPr>
          <w:rFonts w:ascii="宋体" w:hAnsi="宋体" w:cs="宋体"/>
          <w:sz w:val="24"/>
          <w:szCs w:val="24"/>
        </w:rPr>
      </w:pPr>
      <w:r>
        <w:rPr>
          <w:rFonts w:hint="eastAsia" w:ascii="宋体" w:hAnsi="宋体" w:cs="宋体"/>
          <w:sz w:val="24"/>
          <w:szCs w:val="24"/>
        </w:rPr>
        <w:t>12.1按照供应商须知的要求和投标文件规定格式填写的投标书、投标报价表；按要求格式出具的法人代表授权书。</w:t>
      </w:r>
    </w:p>
    <w:p>
      <w:pPr>
        <w:spacing w:line="500" w:lineRule="exact"/>
        <w:ind w:firstLine="480" w:firstLineChars="200"/>
        <w:rPr>
          <w:rFonts w:ascii="宋体" w:hAnsi="宋体" w:cs="宋体"/>
          <w:sz w:val="24"/>
          <w:szCs w:val="24"/>
        </w:rPr>
      </w:pPr>
      <w:r>
        <w:rPr>
          <w:rFonts w:hint="eastAsia" w:ascii="宋体" w:hAnsi="宋体" w:cs="宋体"/>
          <w:sz w:val="24"/>
          <w:szCs w:val="24"/>
        </w:rPr>
        <w:t>12.2按照招标文件要求提交的资格证明文件（详见“供应商须知前附表”）。</w:t>
      </w:r>
    </w:p>
    <w:p>
      <w:pPr>
        <w:spacing w:line="500" w:lineRule="exact"/>
        <w:ind w:left="479" w:leftChars="228"/>
        <w:rPr>
          <w:rFonts w:ascii="宋体" w:hAnsi="宋体" w:cs="宋体"/>
          <w:sz w:val="24"/>
          <w:szCs w:val="24"/>
        </w:rPr>
      </w:pPr>
      <w:r>
        <w:rPr>
          <w:rFonts w:hint="eastAsia" w:ascii="宋体" w:hAnsi="宋体" w:cs="宋体"/>
          <w:sz w:val="24"/>
          <w:szCs w:val="24"/>
        </w:rPr>
        <w:t>12.3按照招标文件要求提交的商务响应证明文件。</w:t>
      </w:r>
    </w:p>
    <w:p>
      <w:pPr>
        <w:spacing w:line="500" w:lineRule="exact"/>
        <w:ind w:firstLine="480" w:firstLineChars="200"/>
        <w:rPr>
          <w:rFonts w:ascii="宋体" w:hAnsi="宋体" w:cs="宋体"/>
          <w:sz w:val="24"/>
          <w:szCs w:val="24"/>
        </w:rPr>
      </w:pPr>
      <w:r>
        <w:rPr>
          <w:rFonts w:hint="eastAsia" w:ascii="宋体" w:hAnsi="宋体" w:cs="宋体"/>
          <w:sz w:val="24"/>
          <w:szCs w:val="24"/>
        </w:rPr>
        <w:t>12.4按照招标文件的要求编制的投标方案说明书，内容应包括设备和服务的详细说明、技术规格响应表、设备配置说明、供货一览表、彩色样本、使用说明书，质量保证和售后服务承诺等（具体内容详见“投标方案说明书”）。</w:t>
      </w:r>
    </w:p>
    <w:p>
      <w:pPr>
        <w:spacing w:line="500" w:lineRule="exact"/>
        <w:ind w:firstLine="480" w:firstLineChars="200"/>
        <w:rPr>
          <w:rFonts w:ascii="宋体" w:hAnsi="宋体" w:cs="宋体"/>
          <w:sz w:val="24"/>
          <w:szCs w:val="24"/>
        </w:rPr>
      </w:pPr>
      <w:r>
        <w:rPr>
          <w:rFonts w:hint="eastAsia" w:ascii="宋体" w:hAnsi="宋体" w:cs="宋体"/>
          <w:sz w:val="24"/>
          <w:szCs w:val="24"/>
        </w:rPr>
        <w:t>12.4.1供应商应在投标文件中提交货物满足招标文件要求并符合国家法律法规、行业管理部门要求的其他强制性标准的证明及文件。缺少上述证明及文件或证明及文件不合格的投标，与招标文件要求有重大偏离的投标，不符合国家法律法规、行业管理部门要求的其他强制性标准的投标将按照无效投标处理。</w:t>
      </w:r>
    </w:p>
    <w:p>
      <w:pPr>
        <w:spacing w:line="500" w:lineRule="exact"/>
        <w:ind w:left="2" w:firstLine="477" w:firstLineChars="199"/>
        <w:rPr>
          <w:rFonts w:ascii="宋体" w:hAnsi="宋体" w:cs="宋体"/>
          <w:sz w:val="24"/>
          <w:szCs w:val="24"/>
        </w:rPr>
      </w:pPr>
      <w:r>
        <w:rPr>
          <w:rFonts w:hint="eastAsia" w:ascii="宋体" w:hAnsi="宋体" w:cs="宋体"/>
          <w:sz w:val="24"/>
          <w:szCs w:val="24"/>
        </w:rPr>
        <w:t>12.4.2上述证明可以是文字资料、图纸、图片和数据，也可以是实物，它包括：</w:t>
      </w:r>
    </w:p>
    <w:p>
      <w:pPr>
        <w:spacing w:line="500" w:lineRule="exact"/>
        <w:ind w:left="959" w:leftChars="228" w:hanging="480" w:hangingChars="200"/>
        <w:rPr>
          <w:rFonts w:ascii="宋体" w:hAnsi="宋体" w:cs="宋体"/>
          <w:sz w:val="24"/>
          <w:szCs w:val="24"/>
        </w:rPr>
      </w:pPr>
      <w:r>
        <w:rPr>
          <w:rFonts w:hint="eastAsia" w:ascii="宋体" w:hAnsi="宋体" w:cs="宋体"/>
          <w:sz w:val="24"/>
          <w:szCs w:val="24"/>
        </w:rPr>
        <w:t>1) 本次采购特别要求的货物合格性证明文件；</w:t>
      </w:r>
    </w:p>
    <w:p>
      <w:pPr>
        <w:spacing w:line="500" w:lineRule="exact"/>
        <w:ind w:left="1319" w:leftChars="228" w:hanging="840" w:hangingChars="350"/>
        <w:rPr>
          <w:rFonts w:ascii="宋体" w:hAnsi="宋体" w:cs="宋体"/>
          <w:sz w:val="24"/>
          <w:szCs w:val="24"/>
        </w:rPr>
      </w:pPr>
      <w:r>
        <w:rPr>
          <w:rFonts w:hint="eastAsia" w:ascii="宋体" w:hAnsi="宋体" w:cs="宋体"/>
          <w:sz w:val="24"/>
          <w:szCs w:val="24"/>
        </w:rPr>
        <w:t>2）货物主要技术指标和性能的详细说明；</w:t>
      </w:r>
    </w:p>
    <w:p>
      <w:pPr>
        <w:spacing w:line="500" w:lineRule="exact"/>
        <w:ind w:firstLine="480" w:firstLineChars="200"/>
        <w:rPr>
          <w:rFonts w:ascii="宋体" w:hAnsi="宋体" w:cs="宋体"/>
          <w:sz w:val="24"/>
          <w:szCs w:val="24"/>
        </w:rPr>
      </w:pPr>
      <w:r>
        <w:rPr>
          <w:rFonts w:hint="eastAsia" w:ascii="宋体" w:hAnsi="宋体" w:cs="宋体"/>
          <w:sz w:val="24"/>
          <w:szCs w:val="24"/>
        </w:rPr>
        <w:t>3）国家法定检验机构出具的检验报告；</w:t>
      </w:r>
    </w:p>
    <w:p>
      <w:pPr>
        <w:spacing w:line="500" w:lineRule="exact"/>
        <w:ind w:firstLine="480" w:firstLineChars="200"/>
        <w:rPr>
          <w:rFonts w:ascii="宋体" w:hAnsi="宋体" w:cs="宋体"/>
          <w:sz w:val="24"/>
          <w:szCs w:val="24"/>
        </w:rPr>
      </w:pPr>
      <w:r>
        <w:rPr>
          <w:rFonts w:hint="eastAsia" w:ascii="宋体" w:hAnsi="宋体" w:cs="宋体"/>
          <w:sz w:val="24"/>
          <w:szCs w:val="24"/>
        </w:rPr>
        <w:t>4) 逐条对招标文件提出的技术要求和商务要求进行应答，说明所提供的货物和服务对招标的技术和商务要求是否做出了实质性响应并提供支持文件；</w:t>
      </w:r>
    </w:p>
    <w:p>
      <w:pPr>
        <w:spacing w:line="500" w:lineRule="exact"/>
        <w:ind w:firstLine="480" w:firstLineChars="200"/>
        <w:rPr>
          <w:rFonts w:ascii="宋体" w:hAnsi="宋体" w:cs="宋体"/>
          <w:sz w:val="24"/>
          <w:szCs w:val="24"/>
        </w:rPr>
      </w:pPr>
      <w:r>
        <w:rPr>
          <w:rFonts w:hint="eastAsia" w:ascii="宋体" w:hAnsi="宋体" w:cs="宋体"/>
          <w:sz w:val="24"/>
          <w:szCs w:val="24"/>
        </w:rPr>
        <w:t>5）设备配置、供货范围和服务内容的详细说明。</w:t>
      </w:r>
    </w:p>
    <w:p>
      <w:pPr>
        <w:spacing w:line="500" w:lineRule="exact"/>
        <w:rPr>
          <w:rFonts w:ascii="宋体" w:hAnsi="宋体" w:cs="宋体"/>
          <w:b/>
          <w:sz w:val="24"/>
          <w:szCs w:val="24"/>
        </w:rPr>
      </w:pPr>
      <w:r>
        <w:rPr>
          <w:rFonts w:hint="eastAsia" w:ascii="宋体" w:hAnsi="宋体" w:cs="宋体"/>
          <w:b/>
          <w:sz w:val="24"/>
          <w:szCs w:val="24"/>
        </w:rPr>
        <w:t>13.落实优先采购节能、环保产品的政策</w:t>
      </w:r>
    </w:p>
    <w:p>
      <w:pPr>
        <w:spacing w:line="500" w:lineRule="exact"/>
        <w:ind w:firstLine="480" w:firstLineChars="200"/>
        <w:rPr>
          <w:rFonts w:ascii="宋体" w:hAnsi="宋体" w:cs="宋体"/>
          <w:sz w:val="24"/>
          <w:szCs w:val="24"/>
        </w:rPr>
      </w:pPr>
      <w:bookmarkStart w:id="30" w:name="_Hlk36454160"/>
      <w:r>
        <w:rPr>
          <w:rFonts w:hint="eastAsia" w:ascii="宋体" w:hAnsi="宋体" w:cs="宋体"/>
          <w:sz w:val="24"/>
          <w:szCs w:val="24"/>
        </w:rPr>
        <w:t xml:space="preserve">按照政府采购政策，优先采购节能产品，环境标志产品。投标产品进入“节能产品政府采购品目清单”的；进入“环境标志产品政府采购品目清单”的，提供证明文件，在评标中给予加分优惠或者价格折扣（详见评标方法）。 </w:t>
      </w:r>
    </w:p>
    <w:bookmarkEnd w:id="30"/>
    <w:p>
      <w:pPr>
        <w:spacing w:line="500" w:lineRule="exact"/>
        <w:rPr>
          <w:rFonts w:ascii="宋体" w:hAnsi="宋体" w:cs="宋体"/>
          <w:sz w:val="24"/>
          <w:szCs w:val="24"/>
        </w:rPr>
      </w:pPr>
      <w:r>
        <w:rPr>
          <w:rFonts w:hint="eastAsia" w:ascii="宋体" w:hAnsi="宋体" w:cs="宋体"/>
          <w:b/>
          <w:sz w:val="24"/>
          <w:szCs w:val="24"/>
        </w:rPr>
        <w:t>14.落实促进支持小微企业、监狱企业、残疾人企业发展的政策</w:t>
      </w:r>
    </w:p>
    <w:p>
      <w:pPr>
        <w:spacing w:line="500" w:lineRule="exact"/>
        <w:ind w:firstLine="480" w:firstLineChars="200"/>
        <w:rPr>
          <w:rFonts w:ascii="宋体" w:hAnsi="宋体" w:cs="宋体"/>
          <w:sz w:val="24"/>
          <w:szCs w:val="24"/>
        </w:rPr>
      </w:pPr>
      <w:r>
        <w:rPr>
          <w:rFonts w:hint="eastAsia" w:ascii="宋体" w:hAnsi="宋体" w:cs="宋体"/>
          <w:sz w:val="24"/>
          <w:szCs w:val="24"/>
        </w:rPr>
        <w:t>按照政府采购政策，在评标中对于符合文件要求的小微企业投标的产品和服务，给予价格折扣优惠 (详见评标方法)。投标单位属于（财库〔2020〕46号）文件规定的小微企业的，提供中小企业声明函；投标单位属于（财库〔2014〕68号）文件规定的监狱企业的，提供由省级以上监狱管理局、</w:t>
      </w:r>
      <w:r>
        <w:rPr>
          <w:rFonts w:hint="eastAsia" w:ascii="宋体" w:hAnsi="宋体" w:cs="宋体"/>
          <w:spacing w:val="4"/>
          <w:sz w:val="24"/>
        </w:rPr>
        <w:t>戒毒管理局（含新疆生产建设兵团）</w:t>
      </w:r>
      <w:r>
        <w:rPr>
          <w:rFonts w:hint="eastAsia" w:ascii="宋体" w:hAnsi="宋体" w:cs="宋体"/>
          <w:sz w:val="24"/>
          <w:szCs w:val="24"/>
        </w:rPr>
        <w:t>出具的属于监狱企业的证明文件，视同小微企业；投标单位属于（财库〔2017〕141号）文件规定的残疾人福利性单位的，提供《残疾人福利性单位声明函》，视同小微企业。</w:t>
      </w:r>
    </w:p>
    <w:p>
      <w:pPr>
        <w:spacing w:line="500" w:lineRule="exact"/>
        <w:ind w:firstLine="480" w:firstLineChars="200"/>
        <w:rPr>
          <w:rFonts w:ascii="宋体" w:hAnsi="宋体" w:cs="宋体"/>
          <w:sz w:val="24"/>
          <w:szCs w:val="24"/>
        </w:rPr>
      </w:pPr>
    </w:p>
    <w:p>
      <w:pPr>
        <w:spacing w:line="500" w:lineRule="exact"/>
        <w:rPr>
          <w:rFonts w:ascii="宋体" w:hAnsi="宋体" w:cs="宋体"/>
          <w:b/>
          <w:sz w:val="24"/>
          <w:szCs w:val="24"/>
        </w:rPr>
      </w:pPr>
      <w:r>
        <w:rPr>
          <w:rFonts w:hint="eastAsia" w:ascii="宋体" w:hAnsi="宋体" w:cs="宋体"/>
          <w:b/>
          <w:sz w:val="24"/>
          <w:szCs w:val="24"/>
        </w:rPr>
        <w:t xml:space="preserve"> 15.投标保证金</w:t>
      </w:r>
    </w:p>
    <w:p>
      <w:pPr>
        <w:spacing w:line="500" w:lineRule="exact"/>
        <w:ind w:firstLine="480" w:firstLineChars="200"/>
        <w:rPr>
          <w:rFonts w:ascii="宋体" w:hAnsi="宋体" w:cs="宋体"/>
          <w:sz w:val="24"/>
          <w:szCs w:val="24"/>
        </w:rPr>
      </w:pPr>
      <w:r>
        <w:rPr>
          <w:rFonts w:hint="eastAsia" w:ascii="宋体" w:hAnsi="宋体" w:cs="宋体"/>
          <w:sz w:val="24"/>
          <w:szCs w:val="24"/>
        </w:rPr>
        <w:t>15.1如果招标文件有要求，供应商应按照“供应商须知前附表”的要求，在投标时向西北（陕西）国际招标有限公司提交投标保证金,其有效期与投标有效期一致，并作为其投标的一部分。</w:t>
      </w:r>
    </w:p>
    <w:p>
      <w:pPr>
        <w:spacing w:line="500" w:lineRule="exact"/>
        <w:ind w:firstLine="480" w:firstLineChars="200"/>
        <w:rPr>
          <w:rFonts w:ascii="宋体" w:hAnsi="宋体" w:cs="宋体"/>
          <w:sz w:val="24"/>
          <w:szCs w:val="24"/>
        </w:rPr>
      </w:pPr>
      <w:r>
        <w:rPr>
          <w:rFonts w:hint="eastAsia" w:ascii="宋体" w:hAnsi="宋体" w:cs="宋体"/>
          <w:sz w:val="24"/>
          <w:szCs w:val="24"/>
        </w:rPr>
        <w:t>15.2投标保证金的数额、形式、交纳办法和交纳时间见“供应商须知前附表”。</w:t>
      </w:r>
    </w:p>
    <w:p>
      <w:pPr>
        <w:spacing w:line="500" w:lineRule="exact"/>
        <w:ind w:firstLine="480" w:firstLineChars="200"/>
        <w:rPr>
          <w:rFonts w:ascii="宋体" w:hAnsi="宋体" w:cs="宋体"/>
          <w:sz w:val="24"/>
          <w:szCs w:val="24"/>
        </w:rPr>
      </w:pPr>
      <w:r>
        <w:rPr>
          <w:rFonts w:hint="eastAsia" w:ascii="宋体" w:hAnsi="宋体" w:cs="宋体"/>
          <w:sz w:val="24"/>
          <w:szCs w:val="24"/>
        </w:rPr>
        <w:t>15.3联合体投标的，可以由联合体中的一方或者共同提交投标保证金，以一方名义提交投标保证金的，对联合体各方均具有约束力。</w:t>
      </w:r>
    </w:p>
    <w:p>
      <w:pPr>
        <w:spacing w:line="500" w:lineRule="exact"/>
        <w:ind w:firstLine="480" w:firstLineChars="200"/>
        <w:rPr>
          <w:rFonts w:ascii="宋体" w:hAnsi="宋体" w:cs="宋体"/>
          <w:sz w:val="24"/>
          <w:szCs w:val="24"/>
        </w:rPr>
      </w:pPr>
      <w:r>
        <w:rPr>
          <w:rFonts w:hint="eastAsia" w:ascii="宋体" w:hAnsi="宋体" w:cs="宋体"/>
          <w:sz w:val="24"/>
          <w:szCs w:val="24"/>
        </w:rPr>
        <w:t>15.4开标后经审查，未按照“供应商须知前附表”的要求交纳投标保证金的、已交纳的投标保证金金额不足的或有效期不足的，其投标按照无效投标处理。</w:t>
      </w:r>
    </w:p>
    <w:p>
      <w:pPr>
        <w:spacing w:line="500" w:lineRule="exact"/>
        <w:ind w:firstLine="480" w:firstLineChars="200"/>
        <w:rPr>
          <w:rFonts w:ascii="宋体" w:hAnsi="宋体" w:cs="宋体"/>
          <w:sz w:val="24"/>
          <w:szCs w:val="24"/>
        </w:rPr>
      </w:pPr>
      <w:r>
        <w:rPr>
          <w:rFonts w:hint="eastAsia" w:ascii="宋体" w:hAnsi="宋体" w:cs="宋体"/>
          <w:sz w:val="24"/>
          <w:szCs w:val="24"/>
        </w:rPr>
        <w:t>15.5未中标人的投标保证金，在中标通知书发出后五个工作日内退还；中标人的投标保证金，在采购合同签订后五个工作日内退还。</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15.6有下列情形之一的，投标保证金不予退还： </w:t>
      </w:r>
    </w:p>
    <w:p>
      <w:pPr>
        <w:spacing w:line="500" w:lineRule="exact"/>
        <w:ind w:firstLine="480" w:firstLineChars="200"/>
        <w:rPr>
          <w:rFonts w:ascii="宋体" w:hAnsi="宋体" w:cs="宋体"/>
          <w:sz w:val="24"/>
          <w:szCs w:val="24"/>
        </w:rPr>
      </w:pPr>
      <w:r>
        <w:rPr>
          <w:rFonts w:hint="eastAsia" w:ascii="宋体" w:hAnsi="宋体" w:cs="宋体"/>
          <w:sz w:val="24"/>
          <w:szCs w:val="24"/>
        </w:rPr>
        <w:t>15.6.1供应商在提交投标文件截止时间后撤回其投标的；</w:t>
      </w:r>
    </w:p>
    <w:p>
      <w:pPr>
        <w:spacing w:line="500" w:lineRule="exact"/>
        <w:ind w:firstLine="480" w:firstLineChars="200"/>
        <w:rPr>
          <w:rFonts w:ascii="宋体" w:hAnsi="宋体" w:cs="宋体"/>
          <w:sz w:val="24"/>
          <w:szCs w:val="24"/>
        </w:rPr>
      </w:pPr>
      <w:r>
        <w:rPr>
          <w:rFonts w:hint="eastAsia" w:ascii="宋体" w:hAnsi="宋体" w:cs="宋体"/>
          <w:sz w:val="24"/>
          <w:szCs w:val="24"/>
        </w:rPr>
        <w:t>15.6.2供应商在投标文件中提供虚假材料的；</w:t>
      </w:r>
    </w:p>
    <w:p>
      <w:pPr>
        <w:spacing w:line="500" w:lineRule="exact"/>
        <w:ind w:firstLine="477" w:firstLineChars="199"/>
        <w:rPr>
          <w:rFonts w:ascii="宋体" w:hAnsi="宋体" w:cs="宋体"/>
          <w:sz w:val="24"/>
          <w:szCs w:val="24"/>
        </w:rPr>
      </w:pPr>
      <w:r>
        <w:rPr>
          <w:rFonts w:hint="eastAsia" w:ascii="宋体" w:hAnsi="宋体" w:cs="宋体"/>
          <w:sz w:val="24"/>
          <w:szCs w:val="24"/>
        </w:rPr>
        <w:t>15.6.3除因不可抗力或招标文件认可的情形以外，中标供应商不与采购人签订合同的；</w:t>
      </w:r>
    </w:p>
    <w:p>
      <w:pPr>
        <w:spacing w:line="500" w:lineRule="exact"/>
        <w:ind w:firstLine="480" w:firstLineChars="200"/>
        <w:rPr>
          <w:rFonts w:ascii="宋体" w:hAnsi="宋体" w:cs="宋体"/>
          <w:sz w:val="24"/>
          <w:szCs w:val="24"/>
        </w:rPr>
      </w:pPr>
      <w:r>
        <w:rPr>
          <w:rFonts w:hint="eastAsia" w:ascii="宋体" w:hAnsi="宋体" w:cs="宋体"/>
          <w:sz w:val="24"/>
          <w:szCs w:val="24"/>
        </w:rPr>
        <w:t>15.6.4供应商与采购人、其他供应商恶意串通的；</w:t>
      </w:r>
    </w:p>
    <w:p>
      <w:pPr>
        <w:spacing w:line="500" w:lineRule="exact"/>
        <w:ind w:left="1319" w:leftChars="228" w:hanging="840" w:hangingChars="350"/>
        <w:rPr>
          <w:rFonts w:ascii="宋体" w:hAnsi="宋体" w:cs="宋体"/>
          <w:sz w:val="24"/>
          <w:szCs w:val="24"/>
        </w:rPr>
      </w:pPr>
      <w:r>
        <w:rPr>
          <w:rFonts w:hint="eastAsia" w:ascii="宋体" w:hAnsi="宋体" w:cs="宋体"/>
          <w:sz w:val="24"/>
          <w:szCs w:val="24"/>
        </w:rPr>
        <w:t>15.6.5中标供应商未能按规定交纳代理服务费的。</w:t>
      </w:r>
    </w:p>
    <w:p>
      <w:pPr>
        <w:spacing w:line="500" w:lineRule="exact"/>
        <w:rPr>
          <w:rFonts w:ascii="宋体" w:hAnsi="宋体" w:cs="宋体"/>
          <w:b/>
          <w:sz w:val="24"/>
          <w:szCs w:val="24"/>
        </w:rPr>
      </w:pPr>
      <w:r>
        <w:rPr>
          <w:rFonts w:hint="eastAsia" w:ascii="宋体" w:hAnsi="宋体" w:cs="宋体"/>
          <w:b/>
          <w:sz w:val="24"/>
          <w:szCs w:val="24"/>
        </w:rPr>
        <w:t>16.投标有效期</w:t>
      </w:r>
    </w:p>
    <w:p>
      <w:pPr>
        <w:spacing w:line="500" w:lineRule="exact"/>
        <w:ind w:firstLine="480" w:firstLineChars="200"/>
        <w:rPr>
          <w:rFonts w:ascii="宋体" w:hAnsi="宋体" w:cs="宋体"/>
          <w:sz w:val="24"/>
          <w:szCs w:val="24"/>
        </w:rPr>
      </w:pPr>
      <w:r>
        <w:rPr>
          <w:rFonts w:hint="eastAsia" w:ascii="宋体" w:hAnsi="宋体" w:cs="宋体"/>
          <w:sz w:val="24"/>
          <w:szCs w:val="24"/>
        </w:rPr>
        <w:t>16.1投标应在 “供应商须知前附表”中规定的投标有效期内保持有效。不满足规定有效期的投标将按照无效投标处理。</w:t>
      </w:r>
    </w:p>
    <w:p>
      <w:pPr>
        <w:spacing w:line="500" w:lineRule="exact"/>
        <w:ind w:firstLine="480" w:firstLineChars="200"/>
        <w:rPr>
          <w:rFonts w:ascii="宋体" w:hAnsi="宋体" w:cs="宋体"/>
          <w:sz w:val="24"/>
          <w:szCs w:val="24"/>
        </w:rPr>
      </w:pPr>
      <w:r>
        <w:rPr>
          <w:rFonts w:hint="eastAsia" w:ascii="宋体" w:hAnsi="宋体" w:cs="宋体"/>
          <w:sz w:val="24"/>
          <w:szCs w:val="24"/>
        </w:rPr>
        <w:t>16.2在特殊情况下，在原投标有效期期满之前，采购代理机构可向供应商提出延长投标有效期的要求。这种要求与答复均应以书面的形式。供应商可以拒绝采购代理机构的这种要求,其投标保证金予以退还。同意延长的供应商既不能要求也不允许修改其投标文件，但要相应延长其投标保证金的有效期。</w:t>
      </w:r>
    </w:p>
    <w:p>
      <w:pPr>
        <w:spacing w:line="500" w:lineRule="exact"/>
        <w:rPr>
          <w:rFonts w:ascii="宋体" w:hAnsi="宋体" w:cs="宋体"/>
          <w:b/>
          <w:sz w:val="24"/>
          <w:szCs w:val="24"/>
        </w:rPr>
      </w:pPr>
      <w:r>
        <w:rPr>
          <w:rFonts w:hint="eastAsia" w:ascii="宋体" w:hAnsi="宋体" w:cs="宋体"/>
          <w:b/>
          <w:sz w:val="24"/>
          <w:szCs w:val="24"/>
        </w:rPr>
        <w:t>17.投标文件的格式和签署</w:t>
      </w:r>
    </w:p>
    <w:p>
      <w:pPr>
        <w:spacing w:line="500" w:lineRule="exact"/>
        <w:ind w:firstLine="480" w:firstLineChars="200"/>
        <w:rPr>
          <w:rFonts w:ascii="宋体" w:hAnsi="宋体" w:cs="宋体"/>
          <w:sz w:val="24"/>
          <w:szCs w:val="24"/>
        </w:rPr>
      </w:pPr>
      <w:r>
        <w:rPr>
          <w:rFonts w:hint="eastAsia" w:ascii="宋体" w:hAnsi="宋体" w:cs="宋体"/>
          <w:sz w:val="24"/>
          <w:szCs w:val="24"/>
        </w:rPr>
        <w:t>17.1供应商应按照供应商须知的要求, 准备一份投标文件正本和“供应商须知前附表”中规定数量的副本，副本可以是正本的复印件。每套投标文件须清楚地标明“正本”或“副本”。如果发生正本与副本不一致的情况，以正本为准。</w:t>
      </w:r>
    </w:p>
    <w:p>
      <w:pPr>
        <w:spacing w:line="500" w:lineRule="exact"/>
        <w:ind w:firstLine="480" w:firstLineChars="200"/>
        <w:rPr>
          <w:rFonts w:ascii="宋体" w:hAnsi="宋体" w:cs="宋体"/>
          <w:sz w:val="24"/>
          <w:szCs w:val="24"/>
        </w:rPr>
      </w:pPr>
      <w:r>
        <w:rPr>
          <w:rFonts w:hint="eastAsia" w:ascii="宋体" w:hAnsi="宋体" w:cs="宋体"/>
          <w:sz w:val="24"/>
          <w:szCs w:val="24"/>
        </w:rPr>
        <w:t>17.2如果招标文件有要求，还应按照“供应商须知前附表”的要求准备相应格式和载体的电子版文件。</w:t>
      </w:r>
    </w:p>
    <w:p>
      <w:pPr>
        <w:spacing w:line="500" w:lineRule="exact"/>
        <w:ind w:firstLine="480" w:firstLineChars="200"/>
        <w:rPr>
          <w:rFonts w:ascii="宋体" w:hAnsi="宋体" w:cs="宋体"/>
          <w:sz w:val="24"/>
          <w:szCs w:val="24"/>
        </w:rPr>
      </w:pPr>
      <w:r>
        <w:rPr>
          <w:rFonts w:hint="eastAsia" w:ascii="宋体" w:hAnsi="宋体" w:cs="宋体"/>
          <w:sz w:val="24"/>
          <w:szCs w:val="24"/>
        </w:rPr>
        <w:t>17.3投标文件正本需打印或用不褪色的蓝(黑)色墨水(汁)书写,并由供应商法人代表或经法人代表正式授权的代表签字。授权代表须将按招标文件规定的格式出具的“法人代表授权书”附在投标文件中。法人代表签字要求见“供应商须知前附表”</w:t>
      </w:r>
    </w:p>
    <w:p>
      <w:pPr>
        <w:spacing w:line="500" w:lineRule="exact"/>
        <w:ind w:firstLine="480" w:firstLineChars="200"/>
        <w:rPr>
          <w:rFonts w:ascii="宋体" w:hAnsi="宋体" w:cs="宋体"/>
          <w:sz w:val="24"/>
          <w:szCs w:val="24"/>
        </w:rPr>
      </w:pPr>
      <w:r>
        <w:rPr>
          <w:rFonts w:hint="eastAsia" w:ascii="宋体" w:hAnsi="宋体" w:cs="宋体"/>
          <w:sz w:val="24"/>
          <w:szCs w:val="24"/>
        </w:rPr>
        <w:t>17.4任何行间插字、涂改和增删，必须由投标文件的签字人在旁边签字才有效。</w:t>
      </w:r>
    </w:p>
    <w:p>
      <w:pPr>
        <w:spacing w:line="500" w:lineRule="exact"/>
        <w:ind w:firstLine="480" w:firstLineChars="200"/>
        <w:rPr>
          <w:rFonts w:ascii="宋体" w:hAnsi="宋体" w:cs="宋体"/>
          <w:sz w:val="24"/>
          <w:szCs w:val="24"/>
        </w:rPr>
      </w:pPr>
      <w:r>
        <w:rPr>
          <w:rFonts w:hint="eastAsia" w:ascii="宋体" w:hAnsi="宋体" w:cs="宋体"/>
          <w:sz w:val="24"/>
          <w:szCs w:val="24"/>
        </w:rPr>
        <w:t>17.5因字迹潦草、表述不清或不按招标文件格式编制的投标文件，所引起的对供应商不利的后果，由供应商自行负责。</w:t>
      </w:r>
    </w:p>
    <w:p>
      <w:pPr>
        <w:spacing w:line="500" w:lineRule="exact"/>
        <w:ind w:firstLine="480" w:firstLineChars="200"/>
        <w:rPr>
          <w:rFonts w:ascii="宋体" w:hAnsi="宋体" w:cs="宋体"/>
          <w:sz w:val="24"/>
          <w:szCs w:val="24"/>
        </w:rPr>
      </w:pPr>
    </w:p>
    <w:p>
      <w:pPr>
        <w:spacing w:line="500" w:lineRule="exact"/>
        <w:jc w:val="center"/>
        <w:rPr>
          <w:rFonts w:ascii="宋体" w:hAnsi="宋体" w:cs="宋体"/>
          <w:b/>
          <w:sz w:val="36"/>
          <w:szCs w:val="36"/>
        </w:rPr>
      </w:pPr>
    </w:p>
    <w:p>
      <w:pPr>
        <w:spacing w:line="500" w:lineRule="exact"/>
        <w:jc w:val="center"/>
        <w:rPr>
          <w:rFonts w:ascii="宋体" w:hAnsi="宋体" w:cs="宋体"/>
          <w:b/>
          <w:sz w:val="36"/>
          <w:szCs w:val="36"/>
        </w:rPr>
      </w:pPr>
    </w:p>
    <w:p>
      <w:pPr>
        <w:spacing w:line="500" w:lineRule="exact"/>
        <w:jc w:val="center"/>
        <w:rPr>
          <w:rFonts w:ascii="宋体" w:hAnsi="宋体" w:cs="宋体"/>
          <w:b/>
          <w:sz w:val="36"/>
          <w:szCs w:val="36"/>
        </w:rPr>
      </w:pPr>
      <w:r>
        <w:rPr>
          <w:rFonts w:hint="eastAsia" w:ascii="宋体" w:hAnsi="宋体" w:cs="宋体"/>
          <w:b/>
          <w:sz w:val="36"/>
          <w:szCs w:val="36"/>
        </w:rPr>
        <w:t>四.投标文件的递交</w:t>
      </w:r>
    </w:p>
    <w:p>
      <w:pPr>
        <w:spacing w:line="500" w:lineRule="exact"/>
        <w:rPr>
          <w:rFonts w:ascii="宋体" w:hAnsi="宋体" w:cs="宋体"/>
          <w:b/>
          <w:sz w:val="24"/>
          <w:szCs w:val="24"/>
        </w:rPr>
      </w:pPr>
      <w:r>
        <w:rPr>
          <w:rFonts w:hint="eastAsia" w:ascii="宋体" w:hAnsi="宋体" w:cs="宋体"/>
          <w:b/>
          <w:sz w:val="24"/>
          <w:szCs w:val="24"/>
        </w:rPr>
        <w:t>18.投标文件的装订、密封和标记</w:t>
      </w:r>
    </w:p>
    <w:p>
      <w:pPr>
        <w:spacing w:line="500" w:lineRule="exact"/>
        <w:ind w:firstLine="480" w:firstLineChars="200"/>
        <w:rPr>
          <w:rFonts w:ascii="宋体" w:hAnsi="宋体" w:cs="宋体"/>
          <w:sz w:val="24"/>
          <w:szCs w:val="24"/>
        </w:rPr>
      </w:pPr>
      <w:r>
        <w:rPr>
          <w:rFonts w:hint="eastAsia" w:ascii="宋体" w:hAnsi="宋体" w:cs="宋体"/>
          <w:sz w:val="24"/>
          <w:szCs w:val="24"/>
        </w:rPr>
        <w:t>18.1</w:t>
      </w:r>
      <w:r>
        <w:rPr>
          <w:rFonts w:hint="eastAsia" w:ascii="宋体" w:hAnsi="宋体" w:cs="宋体"/>
          <w:sz w:val="24"/>
        </w:rPr>
        <w:t>投标文件的正本与副本应分别装订成册，并编制目录，具体装订、包装、密封和标记要求见本须知“供应商须知前附表”规定。</w:t>
      </w:r>
    </w:p>
    <w:p>
      <w:pPr>
        <w:spacing w:line="500" w:lineRule="exact"/>
        <w:ind w:firstLine="480" w:firstLineChars="200"/>
        <w:rPr>
          <w:rFonts w:ascii="宋体" w:hAnsi="宋体" w:cs="宋体"/>
          <w:sz w:val="24"/>
          <w:szCs w:val="24"/>
        </w:rPr>
      </w:pPr>
      <w:r>
        <w:rPr>
          <w:rFonts w:hint="eastAsia" w:ascii="宋体" w:hAnsi="宋体" w:cs="宋体"/>
          <w:sz w:val="24"/>
          <w:szCs w:val="24"/>
        </w:rPr>
        <w:t>18.2如果供应商未对投标文件按上述要求进行完好密封，由此而引起的投标文件误投、提前开启或投标资料泄露等不良后果，由供应商自行承担。</w:t>
      </w:r>
    </w:p>
    <w:p>
      <w:pPr>
        <w:spacing w:line="500" w:lineRule="exact"/>
        <w:rPr>
          <w:rFonts w:ascii="宋体" w:hAnsi="宋体" w:cs="宋体"/>
          <w:b/>
          <w:sz w:val="24"/>
          <w:szCs w:val="24"/>
        </w:rPr>
      </w:pPr>
      <w:r>
        <w:rPr>
          <w:rFonts w:hint="eastAsia" w:ascii="宋体" w:hAnsi="宋体" w:cs="宋体"/>
          <w:b/>
          <w:sz w:val="24"/>
          <w:szCs w:val="24"/>
        </w:rPr>
        <w:t>19．投标文件递交方式和投标截止时间</w:t>
      </w:r>
    </w:p>
    <w:p>
      <w:pPr>
        <w:spacing w:line="500" w:lineRule="exact"/>
        <w:ind w:firstLine="480" w:firstLineChars="200"/>
        <w:rPr>
          <w:rFonts w:ascii="宋体" w:hAnsi="宋体" w:cs="宋体"/>
          <w:sz w:val="24"/>
          <w:szCs w:val="24"/>
        </w:rPr>
      </w:pPr>
      <w:r>
        <w:rPr>
          <w:rFonts w:hint="eastAsia" w:ascii="宋体" w:hAnsi="宋体" w:cs="宋体"/>
          <w:sz w:val="24"/>
          <w:szCs w:val="24"/>
        </w:rPr>
        <w:t>19.1供应商必须派出代表，在本须知 “供应商须知前附表”规定的投标截止时间前，将全部投标文件和投标资料、物品等递交至投标地点并签字确认。投标地点见“供应商须知前附表”指明的地址或采购代理机构另行通知的地址。</w:t>
      </w:r>
    </w:p>
    <w:p>
      <w:pPr>
        <w:spacing w:line="500" w:lineRule="exact"/>
        <w:ind w:firstLine="480" w:firstLineChars="200"/>
        <w:rPr>
          <w:rFonts w:ascii="宋体" w:hAnsi="宋体" w:cs="宋体"/>
          <w:sz w:val="24"/>
          <w:szCs w:val="24"/>
        </w:rPr>
      </w:pPr>
      <w:r>
        <w:rPr>
          <w:rFonts w:hint="eastAsia" w:ascii="宋体" w:hAnsi="宋体" w:cs="宋体"/>
          <w:sz w:val="24"/>
          <w:szCs w:val="24"/>
        </w:rPr>
        <w:t>19.2 以邮寄方式递交投标文件的按照无效投标处理。</w:t>
      </w:r>
    </w:p>
    <w:p>
      <w:pPr>
        <w:spacing w:line="500" w:lineRule="exact"/>
        <w:ind w:firstLine="480" w:firstLineChars="200"/>
        <w:rPr>
          <w:rFonts w:ascii="宋体" w:hAnsi="宋体" w:cs="宋体"/>
          <w:sz w:val="24"/>
          <w:szCs w:val="24"/>
        </w:rPr>
      </w:pPr>
      <w:r>
        <w:rPr>
          <w:rFonts w:hint="eastAsia" w:ascii="宋体" w:hAnsi="宋体" w:cs="宋体"/>
          <w:sz w:val="24"/>
          <w:szCs w:val="24"/>
        </w:rPr>
        <w:t>19.3采购代理机构拒绝接收在规定的投标截止时间后递交的投标文件和投标资料。</w:t>
      </w:r>
    </w:p>
    <w:p>
      <w:pPr>
        <w:spacing w:line="500" w:lineRule="exact"/>
        <w:rPr>
          <w:rFonts w:ascii="宋体" w:hAnsi="宋体" w:cs="宋体"/>
          <w:b/>
          <w:sz w:val="24"/>
          <w:szCs w:val="24"/>
        </w:rPr>
      </w:pPr>
      <w:r>
        <w:rPr>
          <w:rFonts w:hint="eastAsia" w:ascii="宋体" w:hAnsi="宋体" w:cs="宋体"/>
          <w:b/>
          <w:sz w:val="24"/>
          <w:szCs w:val="24"/>
        </w:rPr>
        <w:t>20．投标的修改与撤回</w:t>
      </w:r>
    </w:p>
    <w:p>
      <w:pPr>
        <w:spacing w:line="500" w:lineRule="exact"/>
        <w:ind w:firstLine="480" w:firstLineChars="200"/>
        <w:rPr>
          <w:rFonts w:ascii="宋体" w:hAnsi="宋体" w:cs="宋体"/>
          <w:sz w:val="24"/>
          <w:szCs w:val="24"/>
        </w:rPr>
      </w:pPr>
      <w:r>
        <w:rPr>
          <w:rFonts w:hint="eastAsia" w:ascii="宋体" w:hAnsi="宋体" w:cs="宋体"/>
          <w:sz w:val="24"/>
          <w:szCs w:val="24"/>
        </w:rPr>
        <w:t>20.1供应商在递交投标文件后，可以修改或撤回其投标文件，也可以提出价格变动声明，但供应商必须在规定的投标截止时间之前将修改或撤回或变动价格的书面通知文件递交到采购代理机构。</w:t>
      </w:r>
    </w:p>
    <w:p>
      <w:pPr>
        <w:spacing w:line="500" w:lineRule="exact"/>
        <w:ind w:firstLine="480" w:firstLineChars="200"/>
        <w:rPr>
          <w:rFonts w:ascii="宋体" w:hAnsi="宋体" w:cs="宋体"/>
          <w:sz w:val="24"/>
          <w:szCs w:val="24"/>
        </w:rPr>
      </w:pPr>
      <w:r>
        <w:rPr>
          <w:rFonts w:hint="eastAsia" w:ascii="宋体" w:hAnsi="宋体" w:cs="宋体"/>
          <w:sz w:val="24"/>
          <w:szCs w:val="24"/>
        </w:rPr>
        <w:t>20.2 供应商的修改或撤回或变动价格的通知应按本须知第17条和18条的规定编制、密封、标记和递交。</w:t>
      </w:r>
    </w:p>
    <w:p>
      <w:pPr>
        <w:spacing w:line="500" w:lineRule="exact"/>
        <w:ind w:firstLine="480" w:firstLineChars="200"/>
        <w:rPr>
          <w:rFonts w:ascii="宋体" w:hAnsi="宋体" w:cs="宋体"/>
          <w:sz w:val="24"/>
          <w:szCs w:val="24"/>
        </w:rPr>
      </w:pPr>
      <w:r>
        <w:rPr>
          <w:rFonts w:hint="eastAsia" w:ascii="宋体" w:hAnsi="宋体" w:cs="宋体"/>
          <w:sz w:val="24"/>
          <w:szCs w:val="24"/>
        </w:rPr>
        <w:t>20.3 在投标截止时间之后，供应商不得对其投标做任何修改或撤回。</w:t>
      </w:r>
    </w:p>
    <w:p>
      <w:pPr>
        <w:spacing w:line="500" w:lineRule="exact"/>
        <w:ind w:firstLine="480" w:firstLineChars="200"/>
        <w:rPr>
          <w:rFonts w:ascii="宋体" w:hAnsi="宋体" w:cs="宋体"/>
          <w:sz w:val="24"/>
          <w:szCs w:val="24"/>
        </w:rPr>
      </w:pPr>
      <w:r>
        <w:rPr>
          <w:rFonts w:hint="eastAsia" w:ascii="宋体" w:hAnsi="宋体" w:cs="宋体"/>
          <w:sz w:val="24"/>
          <w:szCs w:val="24"/>
        </w:rPr>
        <w:t>20.4在开标之后，对于供应商正常经营活动必须的资质和其他证明文件原件（包括但不限于：营业执照、税务登记证、经营许可证、资质等级证书、中标通知书、合同等），经审查后予以退还。其他投标文件和资料一律不予退还。</w:t>
      </w:r>
    </w:p>
    <w:p>
      <w:pPr>
        <w:spacing w:line="500" w:lineRule="exact"/>
        <w:ind w:firstLine="480" w:firstLineChars="200"/>
        <w:rPr>
          <w:rFonts w:ascii="宋体" w:hAnsi="宋体" w:cs="宋体"/>
          <w:sz w:val="24"/>
          <w:szCs w:val="24"/>
        </w:rPr>
      </w:pPr>
    </w:p>
    <w:p>
      <w:pPr>
        <w:spacing w:line="500" w:lineRule="exact"/>
        <w:ind w:firstLine="723" w:firstLineChars="200"/>
        <w:jc w:val="center"/>
        <w:rPr>
          <w:rFonts w:ascii="宋体" w:hAnsi="宋体" w:cs="宋体"/>
          <w:b/>
          <w:sz w:val="36"/>
          <w:szCs w:val="36"/>
        </w:rPr>
      </w:pPr>
    </w:p>
    <w:p>
      <w:pPr>
        <w:spacing w:line="500" w:lineRule="exact"/>
        <w:ind w:firstLine="723" w:firstLineChars="200"/>
        <w:jc w:val="center"/>
        <w:rPr>
          <w:rFonts w:ascii="宋体" w:hAnsi="宋体" w:cs="宋体"/>
          <w:b/>
          <w:sz w:val="36"/>
          <w:szCs w:val="36"/>
        </w:rPr>
      </w:pPr>
    </w:p>
    <w:p>
      <w:pPr>
        <w:spacing w:line="500" w:lineRule="exact"/>
        <w:jc w:val="center"/>
        <w:rPr>
          <w:rFonts w:ascii="宋体" w:hAnsi="宋体" w:cs="宋体"/>
          <w:b/>
          <w:sz w:val="36"/>
          <w:szCs w:val="36"/>
        </w:rPr>
      </w:pPr>
    </w:p>
    <w:p>
      <w:pPr>
        <w:spacing w:line="500" w:lineRule="exact"/>
        <w:jc w:val="center"/>
        <w:rPr>
          <w:rFonts w:ascii="宋体" w:hAnsi="宋体" w:cs="宋体"/>
          <w:b/>
          <w:sz w:val="36"/>
          <w:szCs w:val="36"/>
        </w:rPr>
      </w:pPr>
      <w:r>
        <w:rPr>
          <w:rFonts w:hint="eastAsia" w:ascii="宋体" w:hAnsi="宋体" w:cs="宋体"/>
          <w:b/>
          <w:sz w:val="36"/>
          <w:szCs w:val="36"/>
        </w:rPr>
        <w:t>五.开标、审查与评标</w:t>
      </w:r>
    </w:p>
    <w:p>
      <w:pPr>
        <w:spacing w:line="500" w:lineRule="exact"/>
        <w:ind w:firstLine="723" w:firstLineChars="200"/>
        <w:jc w:val="center"/>
        <w:rPr>
          <w:rFonts w:ascii="宋体" w:hAnsi="宋体" w:cs="宋体"/>
          <w:b/>
          <w:sz w:val="36"/>
          <w:szCs w:val="36"/>
        </w:rPr>
      </w:pPr>
    </w:p>
    <w:p>
      <w:pPr>
        <w:spacing w:line="500" w:lineRule="exact"/>
        <w:rPr>
          <w:rFonts w:ascii="宋体" w:hAnsi="宋体" w:cs="宋体"/>
          <w:b/>
          <w:sz w:val="24"/>
          <w:szCs w:val="24"/>
        </w:rPr>
      </w:pPr>
      <w:r>
        <w:rPr>
          <w:rFonts w:hint="eastAsia" w:ascii="宋体" w:hAnsi="宋体" w:cs="宋体"/>
          <w:b/>
          <w:sz w:val="24"/>
          <w:szCs w:val="24"/>
        </w:rPr>
        <w:t>21.开标</w:t>
      </w:r>
    </w:p>
    <w:p>
      <w:pPr>
        <w:spacing w:line="500" w:lineRule="exact"/>
        <w:ind w:firstLine="480" w:firstLineChars="200"/>
        <w:rPr>
          <w:rFonts w:ascii="宋体" w:hAnsi="宋体" w:cs="宋体"/>
          <w:sz w:val="24"/>
          <w:szCs w:val="24"/>
        </w:rPr>
      </w:pPr>
      <w:r>
        <w:rPr>
          <w:rFonts w:hint="eastAsia" w:ascii="宋体" w:hAnsi="宋体" w:cs="宋体"/>
          <w:sz w:val="24"/>
          <w:szCs w:val="24"/>
        </w:rPr>
        <w:t>21.1 采购代理机构在规定的时间和地点组织公开开标。</w:t>
      </w:r>
    </w:p>
    <w:p>
      <w:pPr>
        <w:spacing w:line="500" w:lineRule="exact"/>
        <w:ind w:firstLine="480" w:firstLineChars="200"/>
        <w:rPr>
          <w:rFonts w:ascii="宋体" w:hAnsi="宋体" w:cs="宋体"/>
          <w:sz w:val="24"/>
          <w:szCs w:val="24"/>
        </w:rPr>
      </w:pPr>
      <w:r>
        <w:rPr>
          <w:rFonts w:hint="eastAsia" w:ascii="宋体" w:hAnsi="宋体" w:cs="宋体"/>
          <w:sz w:val="24"/>
          <w:szCs w:val="24"/>
        </w:rPr>
        <w:t>21.2开标时，由供应商代表检查各自在投标截止时间之前递交的投标文件的密封情况，以确认各供应商的投标文件密封情况是否与递交时一致，没有被提前启封等异常情况。</w:t>
      </w:r>
    </w:p>
    <w:p>
      <w:pPr>
        <w:spacing w:line="500" w:lineRule="exact"/>
        <w:ind w:firstLine="480" w:firstLineChars="200"/>
        <w:rPr>
          <w:rFonts w:ascii="宋体" w:hAnsi="宋体" w:cs="宋体"/>
          <w:sz w:val="24"/>
          <w:szCs w:val="24"/>
        </w:rPr>
      </w:pPr>
      <w:r>
        <w:rPr>
          <w:rFonts w:hint="eastAsia" w:ascii="宋体" w:hAnsi="宋体" w:cs="宋体"/>
          <w:sz w:val="24"/>
          <w:szCs w:val="24"/>
        </w:rPr>
        <w:t>21.3采购代理机构将当众拆封投标文件，宣布供应商名称、投标价格、价格折扣、修改或撤回或变动价格的书面通知（如果有），以及本须知“供应商须知前附表”规定的需要宣布的其他内容。未在开标时宣读的投标价格和价格折扣，评标时不予承认。</w:t>
      </w:r>
    </w:p>
    <w:p>
      <w:pPr>
        <w:spacing w:line="500" w:lineRule="exact"/>
        <w:ind w:firstLine="480" w:firstLineChars="200"/>
        <w:rPr>
          <w:rFonts w:ascii="宋体" w:hAnsi="宋体" w:cs="宋体"/>
          <w:sz w:val="24"/>
          <w:szCs w:val="24"/>
        </w:rPr>
      </w:pPr>
      <w:r>
        <w:rPr>
          <w:rFonts w:hint="eastAsia" w:ascii="宋体" w:hAnsi="宋体" w:cs="宋体"/>
          <w:sz w:val="24"/>
          <w:szCs w:val="24"/>
        </w:rPr>
        <w:t>21.4在开标时没有拆封和宣读的投标文件将原封退回给供应商。</w:t>
      </w:r>
    </w:p>
    <w:p>
      <w:pPr>
        <w:spacing w:line="500" w:lineRule="exact"/>
        <w:ind w:firstLine="480" w:firstLineChars="200"/>
        <w:rPr>
          <w:rFonts w:ascii="宋体" w:hAnsi="宋体" w:cs="宋体"/>
          <w:sz w:val="24"/>
          <w:szCs w:val="24"/>
        </w:rPr>
      </w:pPr>
      <w:r>
        <w:rPr>
          <w:rFonts w:hint="eastAsia" w:ascii="宋体" w:hAnsi="宋体" w:cs="宋体"/>
          <w:sz w:val="24"/>
          <w:szCs w:val="24"/>
        </w:rPr>
        <w:t>21.5以邮寄方式递交投标文件的为无效投标，不予启封。</w:t>
      </w:r>
    </w:p>
    <w:p>
      <w:pPr>
        <w:spacing w:line="500" w:lineRule="exact"/>
        <w:ind w:firstLine="480" w:firstLineChars="200"/>
        <w:rPr>
          <w:rFonts w:ascii="宋体" w:hAnsi="宋体" w:cs="宋体"/>
          <w:sz w:val="24"/>
          <w:szCs w:val="24"/>
        </w:rPr>
      </w:pPr>
      <w:r>
        <w:rPr>
          <w:rFonts w:hint="eastAsia" w:ascii="宋体" w:hAnsi="宋体" w:cs="宋体"/>
          <w:sz w:val="24"/>
          <w:szCs w:val="24"/>
        </w:rPr>
        <w:t>21.6 采购代理机构将做开标记录，存档备查。</w:t>
      </w:r>
    </w:p>
    <w:p>
      <w:pPr>
        <w:spacing w:line="500" w:lineRule="exact"/>
        <w:ind w:firstLine="480" w:firstLineChars="200"/>
        <w:rPr>
          <w:rFonts w:ascii="宋体" w:hAnsi="宋体" w:cs="宋体"/>
          <w:sz w:val="24"/>
          <w:szCs w:val="24"/>
        </w:rPr>
      </w:pPr>
      <w:r>
        <w:rPr>
          <w:rFonts w:hint="eastAsia" w:ascii="宋体" w:hAnsi="宋体" w:cs="宋体"/>
          <w:sz w:val="24"/>
          <w:szCs w:val="24"/>
        </w:rPr>
        <w:t>21.7供应商未参加开标的，视同认可开标结果。</w:t>
      </w:r>
    </w:p>
    <w:p>
      <w:pPr>
        <w:spacing w:line="500" w:lineRule="exact"/>
        <w:ind w:firstLine="480" w:firstLineChars="200"/>
        <w:rPr>
          <w:rFonts w:ascii="宋体" w:hAnsi="宋体" w:cs="宋体"/>
          <w:sz w:val="24"/>
          <w:szCs w:val="24"/>
        </w:rPr>
      </w:pPr>
      <w:r>
        <w:rPr>
          <w:rFonts w:hint="eastAsia" w:ascii="宋体" w:hAnsi="宋体" w:cs="宋体"/>
          <w:sz w:val="24"/>
          <w:szCs w:val="24"/>
        </w:rPr>
        <w:t>21.8开标结束后，采购人或者采购代理机构将依法对供应商的资格和投标保证金缴纳情况进行审查。合格供应商不足三家的，不进行评标。</w:t>
      </w:r>
    </w:p>
    <w:p>
      <w:pPr>
        <w:spacing w:line="500" w:lineRule="exact"/>
        <w:rPr>
          <w:rFonts w:ascii="宋体" w:hAnsi="宋体" w:cs="宋体"/>
          <w:b/>
          <w:sz w:val="24"/>
          <w:szCs w:val="24"/>
        </w:rPr>
      </w:pPr>
      <w:r>
        <w:rPr>
          <w:rFonts w:hint="eastAsia" w:ascii="宋体" w:hAnsi="宋体" w:cs="宋体"/>
          <w:b/>
          <w:sz w:val="24"/>
          <w:szCs w:val="24"/>
        </w:rPr>
        <w:t>22．评标组织及评标原则</w:t>
      </w:r>
    </w:p>
    <w:p>
      <w:pPr>
        <w:spacing w:line="500" w:lineRule="exact"/>
        <w:ind w:firstLine="480" w:firstLineChars="200"/>
        <w:rPr>
          <w:rFonts w:ascii="宋体" w:hAnsi="宋体" w:cs="宋体"/>
          <w:sz w:val="24"/>
          <w:szCs w:val="24"/>
        </w:rPr>
      </w:pPr>
      <w:r>
        <w:rPr>
          <w:rFonts w:hint="eastAsia" w:ascii="宋体" w:hAnsi="宋体" w:cs="宋体"/>
          <w:sz w:val="24"/>
          <w:szCs w:val="24"/>
        </w:rPr>
        <w:t>22.1按照《中华人民共和国政府采购法》、《中华人民共和国政府采购法实施条例》和《政府采购货物和服务招标投标管理办法》的规定，依法组建评标委员会。评标委员会按照招标文件规定的评标方法独立进行评标工作。</w:t>
      </w:r>
    </w:p>
    <w:p>
      <w:pPr>
        <w:spacing w:line="500" w:lineRule="exact"/>
        <w:ind w:firstLine="480" w:firstLineChars="200"/>
        <w:rPr>
          <w:rFonts w:ascii="宋体" w:hAnsi="宋体" w:cs="宋体"/>
          <w:sz w:val="24"/>
          <w:szCs w:val="24"/>
        </w:rPr>
      </w:pPr>
      <w:r>
        <w:rPr>
          <w:rFonts w:hint="eastAsia" w:ascii="宋体" w:hAnsi="宋体" w:cs="宋体"/>
          <w:sz w:val="24"/>
          <w:szCs w:val="24"/>
        </w:rPr>
        <w:t>22.2招标文件和投标文件是评标的依据。在评标中，不得改变招标文件中规定的评标标准、方法和中标条件。供应商不得在开标后使用任何方式对投标文件的实质性内容做任何更改。</w:t>
      </w:r>
    </w:p>
    <w:p>
      <w:pPr>
        <w:spacing w:line="500" w:lineRule="exact"/>
        <w:ind w:firstLine="480" w:firstLineChars="200"/>
        <w:rPr>
          <w:rFonts w:ascii="宋体" w:hAnsi="宋体" w:cs="宋体"/>
          <w:sz w:val="24"/>
          <w:szCs w:val="24"/>
        </w:rPr>
      </w:pPr>
      <w:r>
        <w:rPr>
          <w:rFonts w:hint="eastAsia" w:ascii="宋体" w:hAnsi="宋体" w:cs="宋体"/>
          <w:sz w:val="24"/>
          <w:szCs w:val="24"/>
        </w:rPr>
        <w:t>22.3在评标期间，对于投标文件中含义不明确、同类问题表述不一致或者有明显文字和计算错误的内容，评标委员会应当以书面形式（由评标委员会专家签字）要求供应商做出必要的澄清、说明或者纠正。供应商的澄清、说明或者补正应当采用书面形式，由其法人代表或其授权的代表签署全名。供应商的澄清、说明或者补正不得超出投标文件的范围或者改变投标文件的实质性内容。</w:t>
      </w:r>
    </w:p>
    <w:p>
      <w:pPr>
        <w:spacing w:line="500" w:lineRule="exact"/>
        <w:ind w:firstLine="480" w:firstLineChars="200"/>
        <w:rPr>
          <w:rFonts w:ascii="宋体" w:hAnsi="宋体" w:cs="宋体"/>
          <w:sz w:val="24"/>
          <w:szCs w:val="24"/>
        </w:rPr>
      </w:pPr>
      <w:r>
        <w:rPr>
          <w:rFonts w:hint="eastAsia" w:ascii="宋体" w:hAnsi="宋体" w:cs="宋体"/>
          <w:sz w:val="24"/>
          <w:szCs w:val="24"/>
        </w:rPr>
        <w:t>22.4如果供应商在规定时限内，未能答复或拒绝答复评委会提出的澄清、说明或者补正的要求，将由评委会根据其投标文件按最大风险进行评标。</w:t>
      </w:r>
    </w:p>
    <w:p>
      <w:pPr>
        <w:spacing w:line="500" w:lineRule="exact"/>
        <w:rPr>
          <w:rFonts w:ascii="宋体" w:hAnsi="宋体" w:cs="宋体"/>
          <w:b/>
          <w:sz w:val="24"/>
          <w:szCs w:val="24"/>
        </w:rPr>
      </w:pPr>
      <w:r>
        <w:rPr>
          <w:rFonts w:hint="eastAsia" w:ascii="宋体" w:hAnsi="宋体" w:cs="宋体"/>
          <w:b/>
          <w:sz w:val="24"/>
          <w:szCs w:val="24"/>
        </w:rPr>
        <w:t>23．评标过程的保密</w:t>
      </w:r>
    </w:p>
    <w:p>
      <w:pPr>
        <w:spacing w:line="500" w:lineRule="exact"/>
        <w:ind w:firstLine="600" w:firstLineChars="250"/>
        <w:rPr>
          <w:rFonts w:ascii="宋体" w:hAnsi="宋体" w:cs="宋体"/>
          <w:sz w:val="24"/>
          <w:szCs w:val="24"/>
        </w:rPr>
      </w:pPr>
      <w:r>
        <w:rPr>
          <w:rFonts w:hint="eastAsia" w:ascii="宋体" w:hAnsi="宋体" w:cs="宋体"/>
          <w:sz w:val="24"/>
          <w:szCs w:val="24"/>
        </w:rPr>
        <w:t>23.1评标委员会成员、采购人与采购代理机构有关人员对评标情况以及在评标过程中获悉的国家秘密、商业秘密负有保密责任。</w:t>
      </w:r>
    </w:p>
    <w:p>
      <w:pPr>
        <w:spacing w:line="500" w:lineRule="exact"/>
        <w:ind w:left="210" w:leftChars="100" w:firstLine="360" w:firstLineChars="150"/>
        <w:rPr>
          <w:rFonts w:ascii="宋体" w:hAnsi="宋体" w:cs="宋体"/>
          <w:sz w:val="24"/>
          <w:szCs w:val="24"/>
        </w:rPr>
      </w:pPr>
      <w:r>
        <w:rPr>
          <w:rFonts w:hint="eastAsia" w:ascii="宋体" w:hAnsi="宋体" w:cs="宋体"/>
          <w:sz w:val="24"/>
          <w:szCs w:val="24"/>
        </w:rPr>
        <w:t>23.2在评标过程中，如果供应商试图在投标文件的评审和比较、中标候选人的推荐以及与评标有关的其他方面，向评标人、采购人和采购代理机构施加任何影响，其投标将按照无效投标处理。</w:t>
      </w:r>
    </w:p>
    <w:p>
      <w:pPr>
        <w:spacing w:line="500" w:lineRule="exact"/>
        <w:rPr>
          <w:rFonts w:ascii="宋体" w:hAnsi="宋体" w:cs="宋体"/>
          <w:b/>
          <w:sz w:val="24"/>
          <w:szCs w:val="24"/>
        </w:rPr>
      </w:pPr>
      <w:r>
        <w:rPr>
          <w:rFonts w:hint="eastAsia" w:ascii="宋体" w:hAnsi="宋体" w:cs="宋体"/>
          <w:b/>
          <w:sz w:val="24"/>
          <w:szCs w:val="24"/>
        </w:rPr>
        <w:t>24．评标方法</w:t>
      </w:r>
    </w:p>
    <w:p>
      <w:pPr>
        <w:spacing w:line="500" w:lineRule="exact"/>
        <w:ind w:firstLine="480" w:firstLineChars="200"/>
        <w:rPr>
          <w:rFonts w:ascii="宋体" w:hAnsi="宋体" w:cs="宋体"/>
          <w:sz w:val="24"/>
          <w:szCs w:val="24"/>
        </w:rPr>
      </w:pPr>
      <w:r>
        <w:rPr>
          <w:rFonts w:hint="eastAsia" w:ascii="宋体" w:hAnsi="宋体" w:cs="宋体"/>
          <w:sz w:val="24"/>
          <w:szCs w:val="24"/>
        </w:rPr>
        <w:t>24.1按照《中华人民共和国政府采购法》、《中华人民共和国政府采购法实施条例》和《政府采购货物和服务招标投标管理办法》的规定，本次评标采用以下评标方法中的一种：具体见“供应商须知前附表”。</w:t>
      </w:r>
    </w:p>
    <w:p>
      <w:pPr>
        <w:spacing w:line="500" w:lineRule="exact"/>
        <w:ind w:firstLine="480" w:firstLineChars="200"/>
        <w:rPr>
          <w:rFonts w:ascii="宋体" w:hAnsi="宋体" w:cs="宋体"/>
          <w:kern w:val="0"/>
          <w:sz w:val="24"/>
          <w:szCs w:val="24"/>
        </w:rPr>
      </w:pPr>
      <w:r>
        <w:rPr>
          <w:rFonts w:hint="eastAsia" w:ascii="宋体" w:hAnsi="宋体" w:cs="宋体"/>
          <w:sz w:val="24"/>
          <w:szCs w:val="24"/>
        </w:rPr>
        <w:t>1） 最低评标价法，</w:t>
      </w:r>
      <w:r>
        <w:rPr>
          <w:rFonts w:hint="eastAsia" w:ascii="宋体" w:hAnsi="宋体" w:cs="宋体"/>
          <w:kern w:val="0"/>
          <w:sz w:val="24"/>
          <w:szCs w:val="24"/>
        </w:rPr>
        <w:t>是指投标文件满足招标文件全部实质性要求，且投标报价最低的供应商为中标候选人的评标方法。</w:t>
      </w:r>
    </w:p>
    <w:p>
      <w:pPr>
        <w:spacing w:line="500" w:lineRule="exact"/>
        <w:ind w:firstLine="480" w:firstLineChars="200"/>
        <w:rPr>
          <w:rFonts w:ascii="宋体" w:hAnsi="宋体" w:cs="宋体"/>
          <w:kern w:val="0"/>
          <w:sz w:val="24"/>
          <w:szCs w:val="24"/>
        </w:rPr>
      </w:pPr>
      <w:r>
        <w:rPr>
          <w:rFonts w:hint="eastAsia" w:ascii="宋体" w:hAnsi="宋体" w:cs="宋体"/>
          <w:sz w:val="24"/>
          <w:szCs w:val="24"/>
        </w:rPr>
        <w:t>2） 综合评分法，</w:t>
      </w:r>
      <w:r>
        <w:rPr>
          <w:rFonts w:hint="eastAsia" w:ascii="宋体" w:hAnsi="宋体" w:cs="宋体"/>
          <w:kern w:val="0"/>
          <w:sz w:val="24"/>
          <w:szCs w:val="24"/>
        </w:rPr>
        <w:t>是指投标文件满足招标文件全部实质性要求，且按照评审因素的量化指标评审得分最高的供应商为中标候选人的评标方法。</w:t>
      </w:r>
    </w:p>
    <w:p>
      <w:pPr>
        <w:spacing w:line="500" w:lineRule="exact"/>
        <w:rPr>
          <w:rFonts w:ascii="宋体" w:hAnsi="宋体" w:cs="宋体"/>
          <w:b/>
          <w:sz w:val="24"/>
          <w:szCs w:val="24"/>
        </w:rPr>
      </w:pPr>
      <w:r>
        <w:rPr>
          <w:rFonts w:hint="eastAsia" w:ascii="宋体" w:hAnsi="宋体" w:cs="宋体"/>
          <w:b/>
          <w:sz w:val="24"/>
          <w:szCs w:val="24"/>
        </w:rPr>
        <w:t>25．评标程序</w:t>
      </w:r>
    </w:p>
    <w:p>
      <w:pPr>
        <w:spacing w:line="500" w:lineRule="exact"/>
        <w:ind w:firstLine="480" w:firstLineChars="200"/>
        <w:rPr>
          <w:rFonts w:ascii="宋体" w:hAnsi="宋体" w:cs="宋体"/>
          <w:sz w:val="24"/>
          <w:szCs w:val="24"/>
        </w:rPr>
      </w:pPr>
      <w:r>
        <w:rPr>
          <w:rFonts w:hint="eastAsia" w:ascii="宋体" w:hAnsi="宋体" w:cs="宋体"/>
          <w:sz w:val="24"/>
          <w:szCs w:val="24"/>
        </w:rPr>
        <w:t>评标程序为投标文件审查、澄清、比较与评价、确定中标候选人名单。</w:t>
      </w:r>
    </w:p>
    <w:p>
      <w:pPr>
        <w:spacing w:line="500" w:lineRule="exact"/>
        <w:jc w:val="center"/>
        <w:rPr>
          <w:rFonts w:ascii="宋体" w:hAnsi="宋体" w:cs="宋体"/>
          <w:b/>
          <w:sz w:val="36"/>
          <w:szCs w:val="36"/>
        </w:rPr>
      </w:pPr>
    </w:p>
    <w:p>
      <w:pPr>
        <w:spacing w:line="500" w:lineRule="exact"/>
        <w:jc w:val="center"/>
        <w:rPr>
          <w:rFonts w:ascii="宋体" w:hAnsi="宋体" w:cs="宋体"/>
          <w:b/>
          <w:sz w:val="36"/>
          <w:szCs w:val="36"/>
        </w:rPr>
      </w:pPr>
      <w:r>
        <w:rPr>
          <w:rFonts w:hint="eastAsia" w:ascii="宋体" w:hAnsi="宋体" w:cs="宋体"/>
          <w:b/>
          <w:sz w:val="36"/>
          <w:szCs w:val="36"/>
        </w:rPr>
        <w:t>六.定标、中标通知与签约</w:t>
      </w:r>
    </w:p>
    <w:p>
      <w:pPr>
        <w:spacing w:line="500" w:lineRule="exact"/>
        <w:jc w:val="center"/>
        <w:rPr>
          <w:rFonts w:ascii="宋体" w:hAnsi="宋体" w:cs="宋体"/>
          <w:b/>
          <w:sz w:val="36"/>
          <w:szCs w:val="36"/>
        </w:rPr>
      </w:pPr>
    </w:p>
    <w:p>
      <w:pPr>
        <w:spacing w:line="500" w:lineRule="exact"/>
        <w:rPr>
          <w:rFonts w:ascii="宋体" w:hAnsi="宋体" w:cs="宋体"/>
          <w:b/>
          <w:sz w:val="24"/>
          <w:szCs w:val="24"/>
        </w:rPr>
      </w:pPr>
      <w:r>
        <w:rPr>
          <w:rFonts w:hint="eastAsia" w:ascii="宋体" w:hAnsi="宋体" w:cs="宋体"/>
          <w:b/>
          <w:sz w:val="24"/>
          <w:szCs w:val="24"/>
        </w:rPr>
        <w:t>26．定标</w:t>
      </w:r>
    </w:p>
    <w:p>
      <w:pPr>
        <w:spacing w:line="500" w:lineRule="exact"/>
        <w:ind w:firstLine="480" w:firstLineChars="200"/>
        <w:rPr>
          <w:rFonts w:ascii="宋体" w:hAnsi="宋体" w:cs="宋体"/>
          <w:sz w:val="24"/>
          <w:szCs w:val="24"/>
        </w:rPr>
      </w:pPr>
      <w:r>
        <w:rPr>
          <w:rFonts w:hint="eastAsia" w:ascii="宋体" w:hAnsi="宋体" w:cs="宋体"/>
          <w:sz w:val="24"/>
          <w:szCs w:val="24"/>
        </w:rPr>
        <w:t>26.1评委会根据评标方法的规定对供应商进行评审排序，推荐1～3名中标候选人，作为评标结果。评标结果由全体评委签字确认。</w:t>
      </w:r>
    </w:p>
    <w:p>
      <w:pPr>
        <w:spacing w:line="500" w:lineRule="exact"/>
        <w:ind w:firstLine="480" w:firstLineChars="200"/>
        <w:rPr>
          <w:rFonts w:ascii="宋体" w:hAnsi="宋体" w:cs="宋体"/>
          <w:sz w:val="24"/>
          <w:szCs w:val="24"/>
        </w:rPr>
      </w:pPr>
      <w:r>
        <w:rPr>
          <w:rFonts w:hint="eastAsia" w:ascii="宋体" w:hAnsi="宋体" w:cs="宋体"/>
          <w:sz w:val="24"/>
          <w:szCs w:val="24"/>
        </w:rPr>
        <w:t>26.2采购人应当自收到评标报告之日起5个工作日内，在评标报告确定的中标候选人名单中按顺序确定中标人。中标候选人并列的，由采购人自行确定中标人。</w:t>
      </w:r>
    </w:p>
    <w:p>
      <w:pPr>
        <w:spacing w:line="500" w:lineRule="exact"/>
        <w:ind w:firstLine="480" w:firstLineChars="200"/>
        <w:rPr>
          <w:rFonts w:ascii="宋体" w:hAnsi="宋体" w:cs="宋体"/>
          <w:sz w:val="24"/>
          <w:szCs w:val="24"/>
        </w:rPr>
      </w:pPr>
      <w:r>
        <w:rPr>
          <w:rFonts w:hint="eastAsia" w:ascii="宋体" w:hAnsi="宋体" w:cs="宋体"/>
          <w:sz w:val="24"/>
          <w:szCs w:val="24"/>
        </w:rPr>
        <w:t>26.3</w:t>
      </w:r>
      <w:r>
        <w:rPr>
          <w:rFonts w:hint="eastAsia" w:ascii="宋体" w:hAnsi="宋体" w:cs="宋体"/>
          <w:spacing w:val="4"/>
          <w:sz w:val="24"/>
        </w:rPr>
        <w:t>采购人也可以委托评委会直接确定中标人。</w:t>
      </w:r>
    </w:p>
    <w:p>
      <w:pPr>
        <w:spacing w:line="500" w:lineRule="exact"/>
        <w:ind w:firstLine="480" w:firstLineChars="200"/>
        <w:rPr>
          <w:rFonts w:ascii="宋体" w:hAnsi="宋体" w:cs="宋体"/>
          <w:sz w:val="24"/>
          <w:szCs w:val="24"/>
        </w:rPr>
      </w:pPr>
      <w:r>
        <w:rPr>
          <w:rFonts w:hint="eastAsia" w:ascii="宋体" w:hAnsi="宋体" w:cs="宋体"/>
          <w:sz w:val="24"/>
          <w:szCs w:val="24"/>
        </w:rPr>
        <w:t>26.4中标人确定之后，中标结果将在省级以上财政部门指定的媒体上公告。</w:t>
      </w:r>
    </w:p>
    <w:p>
      <w:pPr>
        <w:spacing w:line="500" w:lineRule="exact"/>
        <w:ind w:firstLine="480" w:firstLineChars="200"/>
        <w:rPr>
          <w:rFonts w:ascii="宋体" w:hAnsi="宋体" w:cs="宋体"/>
          <w:sz w:val="24"/>
          <w:szCs w:val="24"/>
        </w:rPr>
      </w:pPr>
      <w:r>
        <w:rPr>
          <w:rFonts w:hint="eastAsia" w:ascii="宋体" w:hAnsi="宋体" w:cs="宋体"/>
          <w:sz w:val="24"/>
          <w:szCs w:val="24"/>
        </w:rPr>
        <w:t>26.5供应商对中标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spacing w:line="500" w:lineRule="exact"/>
        <w:ind w:firstLine="480" w:firstLineChars="200"/>
        <w:rPr>
          <w:rFonts w:ascii="宋体" w:hAnsi="宋体" w:cs="宋体"/>
          <w:sz w:val="24"/>
          <w:szCs w:val="24"/>
        </w:rPr>
      </w:pPr>
      <w:r>
        <w:rPr>
          <w:rFonts w:hint="eastAsia" w:ascii="宋体" w:hAnsi="宋体" w:cs="宋体"/>
          <w:sz w:val="24"/>
          <w:szCs w:val="24"/>
        </w:rPr>
        <w:t>26.6中标供应商拒绝与采购人签订合同的，采购人可以按照评审报告推荐的中标候选人名单排序，确定下一候选人为中标人，也可以重新开展政府采购活动。</w:t>
      </w:r>
    </w:p>
    <w:p>
      <w:pPr>
        <w:spacing w:line="500" w:lineRule="exact"/>
        <w:ind w:firstLine="480" w:firstLineChars="200"/>
        <w:rPr>
          <w:rFonts w:ascii="宋体" w:hAnsi="宋体" w:cs="宋体"/>
          <w:sz w:val="24"/>
          <w:szCs w:val="24"/>
        </w:rPr>
      </w:pPr>
      <w:r>
        <w:rPr>
          <w:rFonts w:hint="eastAsia" w:ascii="宋体" w:hAnsi="宋体" w:cs="宋体"/>
          <w:sz w:val="24"/>
          <w:szCs w:val="24"/>
        </w:rPr>
        <w:t>26.7关于本次评标的特别规定（见“供应商须知前附表）。</w:t>
      </w:r>
    </w:p>
    <w:p>
      <w:pPr>
        <w:spacing w:line="500" w:lineRule="exact"/>
        <w:rPr>
          <w:rFonts w:ascii="宋体" w:hAnsi="宋体" w:cs="宋体"/>
          <w:b/>
          <w:sz w:val="24"/>
          <w:szCs w:val="24"/>
        </w:rPr>
      </w:pPr>
      <w:r>
        <w:rPr>
          <w:rFonts w:hint="eastAsia" w:ascii="宋体" w:hAnsi="宋体" w:cs="宋体"/>
          <w:b/>
          <w:sz w:val="24"/>
          <w:szCs w:val="24"/>
        </w:rPr>
        <w:t>27．中标与落标通知</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27.1中标人确定之后，西北（陕西）国际招标有限公司将发出《中标通知书》，《中标通知书》须由采购人与西北（陕西）国际招标有限公司共同盖章。 </w:t>
      </w:r>
    </w:p>
    <w:p>
      <w:pPr>
        <w:spacing w:line="500" w:lineRule="exact"/>
        <w:ind w:firstLine="480" w:firstLineChars="200"/>
        <w:rPr>
          <w:rFonts w:ascii="宋体" w:hAnsi="宋体" w:cs="宋体"/>
          <w:sz w:val="24"/>
          <w:szCs w:val="24"/>
        </w:rPr>
      </w:pPr>
      <w:r>
        <w:rPr>
          <w:rFonts w:hint="eastAsia" w:ascii="宋体" w:hAnsi="宋体" w:cs="宋体"/>
          <w:sz w:val="24"/>
          <w:szCs w:val="24"/>
        </w:rPr>
        <w:t>27.2中标通知书对采购人和中标人具有同等法律效力。中标通知书发出之后，采购人改变中标结果，或者中标人放弃中标，应当承担相应的法律责任。</w:t>
      </w:r>
    </w:p>
    <w:p>
      <w:pPr>
        <w:spacing w:line="500" w:lineRule="exact"/>
        <w:ind w:firstLine="480" w:firstLineChars="200"/>
        <w:rPr>
          <w:rFonts w:ascii="宋体" w:hAnsi="宋体" w:cs="宋体"/>
          <w:sz w:val="24"/>
          <w:szCs w:val="24"/>
        </w:rPr>
      </w:pPr>
      <w:r>
        <w:rPr>
          <w:rFonts w:hint="eastAsia" w:ascii="宋体" w:hAnsi="宋体" w:cs="宋体"/>
          <w:sz w:val="24"/>
          <w:szCs w:val="24"/>
        </w:rPr>
        <w:t>27.3 中标通知书发出后五个工作日内，西北（陕西）国际招标有限公司将通知未中标的供应商，并退还其投标保证金。中标人的投标保证金将在合同签订之后五个工作日内退还。</w:t>
      </w:r>
    </w:p>
    <w:p>
      <w:pPr>
        <w:spacing w:line="500" w:lineRule="exact"/>
        <w:rPr>
          <w:rFonts w:ascii="宋体" w:hAnsi="宋体" w:cs="宋体"/>
          <w:b/>
          <w:sz w:val="24"/>
          <w:szCs w:val="24"/>
        </w:rPr>
      </w:pPr>
      <w:r>
        <w:rPr>
          <w:rFonts w:hint="eastAsia" w:ascii="宋体" w:hAnsi="宋体" w:cs="宋体"/>
          <w:b/>
          <w:sz w:val="24"/>
          <w:szCs w:val="24"/>
        </w:rPr>
        <w:t>28. 中标合同的签订</w:t>
      </w:r>
    </w:p>
    <w:p>
      <w:pPr>
        <w:spacing w:line="500" w:lineRule="exact"/>
        <w:ind w:firstLine="480" w:firstLineChars="200"/>
        <w:rPr>
          <w:rFonts w:ascii="宋体" w:hAnsi="宋体" w:cs="宋体"/>
          <w:sz w:val="24"/>
          <w:szCs w:val="24"/>
        </w:rPr>
      </w:pPr>
      <w:r>
        <w:rPr>
          <w:rFonts w:hint="eastAsia" w:ascii="宋体" w:hAnsi="宋体" w:cs="宋体"/>
          <w:sz w:val="24"/>
          <w:szCs w:val="24"/>
        </w:rPr>
        <w:t>28.1采购人应当自中标通知书发出之日起三十日内，按照招标文件和中标人投标文件（包括评标中形成的澄清文件）的规定，与中标人签订书面合同。所签订的合同不得对招标文件确定的事项和中标人投标文件作实质性修改。</w:t>
      </w:r>
    </w:p>
    <w:p>
      <w:pPr>
        <w:spacing w:line="500" w:lineRule="exact"/>
        <w:ind w:firstLine="480" w:firstLineChars="200"/>
        <w:rPr>
          <w:rFonts w:ascii="宋体" w:hAnsi="宋体" w:cs="宋体"/>
          <w:sz w:val="24"/>
          <w:szCs w:val="24"/>
        </w:rPr>
      </w:pPr>
      <w:r>
        <w:rPr>
          <w:rFonts w:hint="eastAsia" w:ascii="宋体" w:hAnsi="宋体" w:cs="宋体"/>
          <w:sz w:val="24"/>
          <w:szCs w:val="24"/>
        </w:rPr>
        <w:t>28.2采购人自政府采购合同签订之日起2个工作日内，将政府采购合同在省级以上人民政府财政部门指定的媒体上公告，但政府采购合同中涉及国家秘密、商业秘密的内容除外。</w:t>
      </w:r>
    </w:p>
    <w:p>
      <w:pPr>
        <w:spacing w:line="500" w:lineRule="exact"/>
        <w:rPr>
          <w:rFonts w:ascii="宋体" w:hAnsi="宋体" w:cs="宋体"/>
          <w:b/>
          <w:sz w:val="24"/>
          <w:szCs w:val="24"/>
        </w:rPr>
      </w:pPr>
      <w:r>
        <w:rPr>
          <w:rFonts w:hint="eastAsia" w:ascii="宋体" w:hAnsi="宋体" w:cs="宋体"/>
          <w:b/>
          <w:sz w:val="24"/>
          <w:szCs w:val="24"/>
        </w:rPr>
        <w:t>29．中标合同的履约验收</w:t>
      </w:r>
    </w:p>
    <w:p>
      <w:pPr>
        <w:spacing w:line="500" w:lineRule="exact"/>
        <w:ind w:firstLine="480" w:firstLineChars="200"/>
        <w:rPr>
          <w:rFonts w:ascii="宋体" w:hAnsi="宋体" w:cs="宋体"/>
          <w:sz w:val="24"/>
          <w:szCs w:val="24"/>
        </w:rPr>
      </w:pPr>
      <w:r>
        <w:rPr>
          <w:rFonts w:hint="eastAsia" w:ascii="宋体" w:hAnsi="宋体" w:cs="宋体"/>
          <w:sz w:val="24"/>
          <w:szCs w:val="24"/>
        </w:rPr>
        <w:t>29.1</w:t>
      </w:r>
      <w:r>
        <w:rPr>
          <w:rFonts w:hint="eastAsia" w:ascii="宋体" w:hAnsi="宋体" w:cs="宋体"/>
          <w:kern w:val="0"/>
          <w:sz w:val="24"/>
          <w:szCs w:val="24"/>
        </w:rPr>
        <w:t>政府采购合同的履行、违约责任和解决争议的方法等适用《中华人民共和国合同法》。</w:t>
      </w:r>
      <w:r>
        <w:rPr>
          <w:rFonts w:hint="eastAsia" w:ascii="宋体" w:hAnsi="宋体" w:cs="宋体"/>
          <w:sz w:val="24"/>
          <w:szCs w:val="24"/>
        </w:rPr>
        <w:t>采购人按照政府采购合同规定的技术、服务、安全标准组织对供应商履约情况进行验收，并出具验收书。</w:t>
      </w:r>
    </w:p>
    <w:p>
      <w:pPr>
        <w:spacing w:line="500" w:lineRule="exact"/>
        <w:rPr>
          <w:rFonts w:ascii="宋体" w:hAnsi="宋体" w:cs="宋体"/>
          <w:b/>
          <w:sz w:val="24"/>
          <w:szCs w:val="24"/>
        </w:rPr>
      </w:pPr>
      <w:r>
        <w:rPr>
          <w:rFonts w:hint="eastAsia" w:ascii="宋体" w:hAnsi="宋体" w:cs="宋体"/>
          <w:b/>
          <w:sz w:val="24"/>
          <w:szCs w:val="24"/>
        </w:rPr>
        <w:t>30．招标代理服务费</w:t>
      </w:r>
    </w:p>
    <w:p>
      <w:pPr>
        <w:spacing w:line="500" w:lineRule="exact"/>
        <w:ind w:firstLine="480" w:firstLineChars="200"/>
        <w:rPr>
          <w:rFonts w:ascii="宋体" w:hAnsi="宋体" w:cs="宋体"/>
          <w:sz w:val="24"/>
          <w:szCs w:val="24"/>
        </w:rPr>
      </w:pPr>
      <w:r>
        <w:rPr>
          <w:rFonts w:hint="eastAsia" w:ascii="宋体" w:hAnsi="宋体" w:cs="宋体"/>
          <w:sz w:val="24"/>
          <w:szCs w:val="24"/>
        </w:rPr>
        <w:t>30.1中标单位应在收到中标通知书3日内，向西北（陕西）国际招标有限公司一次性支付招标代理服务费。</w:t>
      </w:r>
    </w:p>
    <w:p>
      <w:pPr>
        <w:spacing w:line="500" w:lineRule="exact"/>
        <w:ind w:firstLine="480" w:firstLineChars="200"/>
        <w:rPr>
          <w:rFonts w:ascii="宋体" w:hAnsi="宋体" w:cs="宋体"/>
          <w:sz w:val="24"/>
          <w:szCs w:val="24"/>
        </w:rPr>
      </w:pPr>
      <w:r>
        <w:rPr>
          <w:rFonts w:hint="eastAsia" w:ascii="宋体" w:hAnsi="宋体" w:cs="宋体"/>
          <w:sz w:val="24"/>
          <w:szCs w:val="24"/>
        </w:rPr>
        <w:t>30.2招标代理服务费的金额见前附表。</w:t>
      </w:r>
    </w:p>
    <w:p>
      <w:pPr>
        <w:spacing w:line="500" w:lineRule="exact"/>
        <w:rPr>
          <w:rFonts w:ascii="宋体" w:hAnsi="宋体" w:cs="宋体"/>
          <w:b/>
          <w:sz w:val="24"/>
          <w:szCs w:val="24"/>
        </w:rPr>
      </w:pPr>
      <w:r>
        <w:rPr>
          <w:rFonts w:hint="eastAsia" w:ascii="宋体" w:hAnsi="宋体" w:cs="宋体"/>
          <w:b/>
          <w:sz w:val="24"/>
          <w:szCs w:val="24"/>
        </w:rPr>
        <w:t>31.废标与采购方式的变更</w:t>
      </w:r>
    </w:p>
    <w:p>
      <w:pPr>
        <w:spacing w:line="500" w:lineRule="exact"/>
        <w:ind w:firstLine="480" w:firstLineChars="200"/>
        <w:rPr>
          <w:rFonts w:ascii="宋体" w:hAnsi="宋体" w:cs="宋体"/>
          <w:sz w:val="24"/>
          <w:szCs w:val="24"/>
        </w:rPr>
      </w:pPr>
      <w:r>
        <w:rPr>
          <w:rFonts w:hint="eastAsia" w:ascii="宋体" w:hAnsi="宋体" w:cs="宋体"/>
          <w:sz w:val="24"/>
          <w:szCs w:val="24"/>
        </w:rPr>
        <w:t>31.1在招标采购中，出现下列情形之一的，应予废标：　　</w:t>
      </w:r>
    </w:p>
    <w:p>
      <w:pPr>
        <w:spacing w:line="500" w:lineRule="exact"/>
        <w:ind w:left="2" w:firstLine="477" w:firstLineChars="199"/>
        <w:rPr>
          <w:rFonts w:ascii="宋体" w:hAnsi="宋体" w:cs="宋体"/>
          <w:sz w:val="24"/>
          <w:szCs w:val="24"/>
        </w:rPr>
      </w:pPr>
      <w:r>
        <w:rPr>
          <w:rFonts w:hint="eastAsia" w:ascii="宋体" w:hAnsi="宋体" w:cs="宋体"/>
          <w:sz w:val="24"/>
          <w:szCs w:val="24"/>
        </w:rPr>
        <w:t xml:space="preserve">（一）符合专业条件的供应商或者对招标文件作实质响应的供应商不足三家的； </w:t>
      </w:r>
    </w:p>
    <w:p>
      <w:pPr>
        <w:spacing w:line="500" w:lineRule="exact"/>
        <w:ind w:left="1079" w:leftChars="228" w:hanging="600" w:hangingChars="250"/>
        <w:rPr>
          <w:rFonts w:ascii="宋体" w:hAnsi="宋体" w:cs="宋体"/>
          <w:sz w:val="24"/>
          <w:szCs w:val="24"/>
        </w:rPr>
      </w:pPr>
      <w:r>
        <w:rPr>
          <w:rFonts w:hint="eastAsia" w:ascii="宋体" w:hAnsi="宋体" w:cs="宋体"/>
          <w:sz w:val="24"/>
          <w:szCs w:val="24"/>
        </w:rPr>
        <w:t xml:space="preserve">（二）出现影响采购公正的违法、违规行为的； </w:t>
      </w:r>
    </w:p>
    <w:p>
      <w:pPr>
        <w:spacing w:line="500" w:lineRule="exact"/>
        <w:ind w:left="1079" w:leftChars="228" w:hanging="600" w:hangingChars="250"/>
        <w:rPr>
          <w:rFonts w:ascii="宋体" w:hAnsi="宋体" w:cs="宋体"/>
          <w:sz w:val="24"/>
          <w:szCs w:val="24"/>
        </w:rPr>
      </w:pPr>
      <w:r>
        <w:rPr>
          <w:rFonts w:hint="eastAsia" w:ascii="宋体" w:hAnsi="宋体" w:cs="宋体"/>
          <w:sz w:val="24"/>
          <w:szCs w:val="24"/>
        </w:rPr>
        <w:t>（三）供应商的报价均超过了采购预算，采购人不能支付的；</w:t>
      </w:r>
    </w:p>
    <w:p>
      <w:pPr>
        <w:spacing w:line="500" w:lineRule="exact"/>
        <w:ind w:left="1079" w:leftChars="228" w:hanging="600" w:hangingChars="250"/>
        <w:rPr>
          <w:rFonts w:ascii="宋体" w:hAnsi="宋体" w:cs="宋体"/>
          <w:sz w:val="24"/>
          <w:szCs w:val="24"/>
        </w:rPr>
      </w:pPr>
      <w:r>
        <w:rPr>
          <w:rFonts w:hint="eastAsia" w:ascii="宋体" w:hAnsi="宋体" w:cs="宋体"/>
          <w:sz w:val="24"/>
          <w:szCs w:val="24"/>
        </w:rPr>
        <w:t xml:space="preserve">（四）因重大变故，采购任务取消的。 </w:t>
      </w:r>
    </w:p>
    <w:p>
      <w:pPr>
        <w:spacing w:line="500" w:lineRule="exact"/>
        <w:ind w:left="1079" w:leftChars="228" w:hanging="600" w:hangingChars="250"/>
        <w:rPr>
          <w:rFonts w:ascii="宋体" w:hAnsi="宋体" w:cs="宋体"/>
          <w:sz w:val="24"/>
          <w:szCs w:val="24"/>
        </w:rPr>
      </w:pPr>
      <w:r>
        <w:rPr>
          <w:rFonts w:hint="eastAsia" w:ascii="宋体" w:hAnsi="宋体" w:cs="宋体"/>
          <w:sz w:val="24"/>
          <w:szCs w:val="24"/>
        </w:rPr>
        <w:t>31.2 废标后，除采购任务取消情形外，按照以下方式处理：</w:t>
      </w:r>
    </w:p>
    <w:p>
      <w:pPr>
        <w:spacing w:line="500" w:lineRule="exact"/>
        <w:ind w:firstLine="480" w:firstLineChars="200"/>
        <w:rPr>
          <w:rFonts w:ascii="宋体" w:hAnsi="宋体" w:cs="宋体"/>
          <w:sz w:val="24"/>
          <w:szCs w:val="24"/>
        </w:rPr>
      </w:pPr>
      <w:r>
        <w:rPr>
          <w:rFonts w:hint="eastAsia" w:ascii="宋体" w:hAnsi="宋体" w:cs="宋体"/>
          <w:sz w:val="24"/>
          <w:szCs w:val="24"/>
        </w:rPr>
        <w:t>（一）招标文件存在不合理条款或者招标程序不符合规定的，采购人、采购代理机构改正后依法重新招标；</w:t>
      </w:r>
    </w:p>
    <w:p>
      <w:pPr>
        <w:spacing w:line="500" w:lineRule="exact"/>
        <w:ind w:firstLine="480" w:firstLineChars="200"/>
        <w:rPr>
          <w:rFonts w:ascii="宋体" w:hAnsi="宋体" w:cs="宋体"/>
          <w:sz w:val="24"/>
          <w:szCs w:val="24"/>
        </w:rPr>
      </w:pPr>
      <w:r>
        <w:rPr>
          <w:rFonts w:hint="eastAsia" w:ascii="宋体" w:hAnsi="宋体" w:cs="宋体"/>
          <w:sz w:val="24"/>
          <w:szCs w:val="24"/>
        </w:rPr>
        <w:t>（二）招标文件没有不合理条款、招标程序符合规定，需要重新招标的，依法重新招标；需要采用其他采购方式采购的，采购人应当依法报财政部门批准。</w:t>
      </w:r>
    </w:p>
    <w:p>
      <w:pPr>
        <w:spacing w:line="500" w:lineRule="exact"/>
        <w:rPr>
          <w:rFonts w:ascii="宋体" w:hAnsi="宋体" w:cs="宋体"/>
          <w:b/>
          <w:sz w:val="24"/>
          <w:szCs w:val="24"/>
        </w:rPr>
      </w:pPr>
    </w:p>
    <w:p>
      <w:pPr>
        <w:spacing w:line="500" w:lineRule="exact"/>
        <w:rPr>
          <w:rFonts w:ascii="宋体" w:hAnsi="宋体" w:cs="宋体"/>
          <w:b/>
          <w:sz w:val="24"/>
          <w:szCs w:val="24"/>
        </w:rPr>
      </w:pPr>
      <w:r>
        <w:rPr>
          <w:rFonts w:hint="eastAsia" w:ascii="宋体" w:hAnsi="宋体" w:cs="宋体"/>
          <w:b/>
          <w:sz w:val="24"/>
          <w:szCs w:val="24"/>
        </w:rPr>
        <w:t>32.其它</w:t>
      </w:r>
    </w:p>
    <w:p>
      <w:pPr>
        <w:spacing w:line="500" w:lineRule="exact"/>
        <w:ind w:firstLine="352" w:firstLineChars="147"/>
        <w:rPr>
          <w:rFonts w:ascii="宋体" w:hAnsi="宋体" w:cs="宋体"/>
          <w:sz w:val="24"/>
          <w:szCs w:val="24"/>
        </w:rPr>
      </w:pPr>
      <w:r>
        <w:rPr>
          <w:rFonts w:hint="eastAsia" w:ascii="宋体" w:hAnsi="宋体" w:cs="宋体"/>
          <w:sz w:val="24"/>
          <w:szCs w:val="24"/>
        </w:rPr>
        <w:t xml:space="preserve"> 32.1采用最低评标价法的采购项目，提供相同品牌产品的不同供应商参加同一合同项（标包）下投标的，以其中通过资格审查、符合性审查且报价最低的参加评标；报价相同的，由采购人自行确定一个参加评标的供应商。其他投标无效。</w:t>
      </w:r>
    </w:p>
    <w:p>
      <w:pPr>
        <w:spacing w:line="500" w:lineRule="exact"/>
        <w:ind w:firstLine="472" w:firstLineChars="197"/>
        <w:rPr>
          <w:rFonts w:ascii="宋体" w:hAnsi="宋体" w:cs="宋体"/>
          <w:kern w:val="0"/>
          <w:sz w:val="24"/>
          <w:szCs w:val="24"/>
        </w:rPr>
      </w:pPr>
      <w:r>
        <w:rPr>
          <w:rFonts w:hint="eastAsia" w:ascii="宋体" w:hAnsi="宋体" w:cs="宋体"/>
          <w:sz w:val="24"/>
          <w:szCs w:val="24"/>
        </w:rPr>
        <w:t>32.2</w:t>
      </w:r>
      <w:r>
        <w:rPr>
          <w:rFonts w:hint="eastAsia" w:ascii="宋体" w:hAnsi="宋体" w:cs="宋体"/>
          <w:kern w:val="0"/>
          <w:sz w:val="24"/>
          <w:szCs w:val="24"/>
        </w:rPr>
        <w:t>使用综合评分法的采购项目，提供相同品牌产品且通过资格审查、符合性审查的不同供应商参加同一合同项（标包）下投标的，按一家供应商计算，评审后得分最高的同品牌供应商获得中标人推荐资格；评审得分相同的，由采购人自行确定一个供应商获得中标人推荐资格，其他同品牌供应商不作为中标候选人。</w:t>
      </w:r>
    </w:p>
    <w:p>
      <w:pPr>
        <w:spacing w:line="500" w:lineRule="exact"/>
        <w:ind w:firstLine="472" w:firstLineChars="197"/>
        <w:jc w:val="left"/>
        <w:rPr>
          <w:rFonts w:ascii="宋体" w:hAnsi="宋体" w:cs="宋体"/>
          <w:b/>
          <w:sz w:val="44"/>
        </w:rPr>
      </w:pPr>
      <w:r>
        <w:rPr>
          <w:rFonts w:hint="eastAsia" w:ascii="宋体" w:hAnsi="宋体" w:cs="宋体"/>
          <w:kern w:val="0"/>
          <w:sz w:val="24"/>
          <w:szCs w:val="24"/>
        </w:rPr>
        <w:t>32.3非单一产品采购项目，在第六章招标内容 招标内容一览表中载明核心产品，供应商提供的核心产品中只要有1 个核心产品的品牌相同，相关供应商将被认定为属于提供相同品牌产品，按以上规定处理。</w:t>
      </w:r>
    </w:p>
    <w:p>
      <w:pPr>
        <w:spacing w:line="500" w:lineRule="exact"/>
        <w:ind w:firstLine="870" w:firstLineChars="197"/>
        <w:jc w:val="center"/>
        <w:rPr>
          <w:rFonts w:ascii="宋体" w:hAnsi="宋体" w:cs="宋体"/>
          <w:sz w:val="24"/>
          <w:szCs w:val="24"/>
        </w:rPr>
      </w:pPr>
      <w:r>
        <w:rPr>
          <w:rFonts w:hint="eastAsia" w:ascii="宋体" w:hAnsi="宋体" w:cs="宋体"/>
          <w:b/>
          <w:sz w:val="44"/>
        </w:rPr>
        <w:br w:type="page"/>
      </w:r>
      <w:r>
        <w:rPr>
          <w:rFonts w:hint="eastAsia" w:ascii="宋体" w:hAnsi="宋体" w:cs="宋体"/>
          <w:b/>
          <w:sz w:val="44"/>
        </w:rPr>
        <w:t>第三章 合同通用条款</w:t>
      </w:r>
    </w:p>
    <w:p>
      <w:pPr>
        <w:spacing w:line="420" w:lineRule="exact"/>
        <w:rPr>
          <w:rFonts w:ascii="宋体" w:hAnsi="宋体" w:cs="宋体"/>
          <w:b/>
          <w:sz w:val="24"/>
          <w:szCs w:val="24"/>
        </w:rPr>
      </w:pPr>
      <w:r>
        <w:rPr>
          <w:rFonts w:hint="eastAsia" w:ascii="宋体" w:hAnsi="宋体" w:cs="宋体"/>
          <w:b/>
          <w:sz w:val="24"/>
          <w:szCs w:val="24"/>
        </w:rPr>
        <w:t>1.定义</w:t>
      </w:r>
    </w:p>
    <w:p>
      <w:pPr>
        <w:spacing w:line="420" w:lineRule="exact"/>
        <w:ind w:firstLine="600"/>
        <w:rPr>
          <w:rFonts w:ascii="宋体" w:hAnsi="宋体" w:cs="宋体"/>
          <w:sz w:val="24"/>
          <w:szCs w:val="24"/>
        </w:rPr>
      </w:pPr>
      <w:r>
        <w:rPr>
          <w:rFonts w:hint="eastAsia" w:ascii="宋体" w:hAnsi="宋体" w:cs="宋体"/>
          <w:sz w:val="24"/>
          <w:szCs w:val="24"/>
        </w:rPr>
        <w:t xml:space="preserve"> 本合同下列术语应解释为:</w:t>
      </w:r>
    </w:p>
    <w:p>
      <w:pPr>
        <w:spacing w:line="420" w:lineRule="exact"/>
        <w:ind w:left="1078" w:leftChars="285" w:hanging="480" w:hangingChars="200"/>
        <w:rPr>
          <w:rFonts w:ascii="宋体" w:hAnsi="宋体" w:cs="宋体"/>
          <w:sz w:val="24"/>
          <w:szCs w:val="24"/>
        </w:rPr>
      </w:pPr>
      <w:r>
        <w:rPr>
          <w:rFonts w:hint="eastAsia" w:ascii="宋体" w:hAnsi="宋体" w:cs="宋体"/>
          <w:sz w:val="24"/>
          <w:szCs w:val="24"/>
        </w:rPr>
        <w:t>1）“合同”系指买卖双方签署的、合同格式中载明的买卖双方所达成的协议,包括所有的附件、附录和上述文件所提到的构成合同的所有文件。</w:t>
      </w:r>
    </w:p>
    <w:p>
      <w:pPr>
        <w:spacing w:line="420" w:lineRule="exact"/>
        <w:ind w:left="1078" w:leftChars="285" w:hanging="480" w:hangingChars="200"/>
        <w:rPr>
          <w:rFonts w:ascii="宋体" w:hAnsi="宋体" w:cs="宋体"/>
          <w:sz w:val="24"/>
          <w:szCs w:val="24"/>
        </w:rPr>
      </w:pPr>
      <w:r>
        <w:rPr>
          <w:rFonts w:hint="eastAsia" w:ascii="宋体" w:hAnsi="宋体" w:cs="宋体"/>
          <w:sz w:val="24"/>
          <w:szCs w:val="24"/>
        </w:rPr>
        <w:t>2）“合同价”系指根据本合同规定，卖方在正确地完全履行合同义务后买方应支付给卖方的价格。</w:t>
      </w:r>
    </w:p>
    <w:p>
      <w:pPr>
        <w:spacing w:line="420" w:lineRule="exact"/>
        <w:ind w:left="1078" w:leftChars="285" w:hanging="480" w:hangingChars="200"/>
        <w:rPr>
          <w:rFonts w:ascii="宋体" w:hAnsi="宋体" w:cs="宋体"/>
          <w:sz w:val="24"/>
          <w:szCs w:val="24"/>
        </w:rPr>
      </w:pPr>
      <w:r>
        <w:rPr>
          <w:rFonts w:hint="eastAsia" w:ascii="宋体" w:hAnsi="宋体" w:cs="宋体"/>
          <w:sz w:val="24"/>
          <w:szCs w:val="24"/>
        </w:rPr>
        <w:t>3）“货物”系指卖方根据合同规定，须向买方提供的一切材料、设备、机械、仪表、备件、工具和其它材料。</w:t>
      </w:r>
    </w:p>
    <w:p>
      <w:pPr>
        <w:spacing w:line="420" w:lineRule="exact"/>
        <w:ind w:left="1078" w:leftChars="285" w:hanging="480" w:hangingChars="200"/>
        <w:rPr>
          <w:rFonts w:ascii="宋体" w:hAnsi="宋体" w:cs="宋体"/>
          <w:sz w:val="24"/>
          <w:szCs w:val="24"/>
        </w:rPr>
      </w:pPr>
      <w:r>
        <w:rPr>
          <w:rFonts w:hint="eastAsia" w:ascii="宋体" w:hAnsi="宋体" w:cs="宋体"/>
          <w:sz w:val="24"/>
          <w:szCs w:val="24"/>
        </w:rPr>
        <w:t>4）“服务”系指根据合同规定，卖方承担与供货有关的服务。如运输、保险以及其它的伴随服务；例如安装、调试、提供技术援助、培训和合同中规定的卖方应承担的其它义务。</w:t>
      </w:r>
    </w:p>
    <w:p>
      <w:pPr>
        <w:spacing w:line="420" w:lineRule="exact"/>
        <w:ind w:firstLine="600"/>
        <w:rPr>
          <w:rFonts w:ascii="宋体" w:hAnsi="宋体" w:cs="宋体"/>
          <w:sz w:val="24"/>
          <w:szCs w:val="24"/>
        </w:rPr>
      </w:pPr>
      <w:r>
        <w:rPr>
          <w:rFonts w:hint="eastAsia" w:ascii="宋体" w:hAnsi="宋体" w:cs="宋体"/>
          <w:sz w:val="24"/>
          <w:szCs w:val="24"/>
        </w:rPr>
        <w:t>5）“合同条款”系指本合同条款。</w:t>
      </w:r>
    </w:p>
    <w:p>
      <w:pPr>
        <w:spacing w:line="420" w:lineRule="exact"/>
        <w:ind w:firstLine="600"/>
        <w:rPr>
          <w:rFonts w:ascii="宋体" w:hAnsi="宋体" w:cs="宋体"/>
          <w:sz w:val="24"/>
          <w:szCs w:val="24"/>
        </w:rPr>
      </w:pPr>
      <w:r>
        <w:rPr>
          <w:rFonts w:hint="eastAsia" w:ascii="宋体" w:hAnsi="宋体" w:cs="宋体"/>
          <w:sz w:val="24"/>
          <w:szCs w:val="24"/>
        </w:rPr>
        <w:t>6）“买方”系指在合同专用条款中指明的购买货物和服务的单位。</w:t>
      </w:r>
    </w:p>
    <w:p>
      <w:pPr>
        <w:spacing w:line="420" w:lineRule="exact"/>
        <w:ind w:firstLine="600"/>
        <w:rPr>
          <w:rFonts w:ascii="宋体" w:hAnsi="宋体" w:cs="宋体"/>
          <w:sz w:val="24"/>
          <w:szCs w:val="24"/>
        </w:rPr>
      </w:pPr>
      <w:r>
        <w:rPr>
          <w:rFonts w:hint="eastAsia" w:ascii="宋体" w:hAnsi="宋体" w:cs="宋体"/>
          <w:sz w:val="24"/>
          <w:szCs w:val="24"/>
        </w:rPr>
        <w:t>7）“卖方”系指签署本合同，提供本合同项下货物和服务的单位。</w:t>
      </w:r>
    </w:p>
    <w:p>
      <w:pPr>
        <w:spacing w:line="420" w:lineRule="exact"/>
        <w:ind w:left="838" w:leftChars="285" w:hanging="240" w:hangingChars="100"/>
        <w:rPr>
          <w:rFonts w:ascii="宋体" w:hAnsi="宋体" w:cs="宋体"/>
          <w:sz w:val="24"/>
          <w:szCs w:val="24"/>
        </w:rPr>
      </w:pPr>
      <w:r>
        <w:rPr>
          <w:rFonts w:hint="eastAsia" w:ascii="宋体" w:hAnsi="宋体" w:cs="宋体"/>
          <w:sz w:val="24"/>
          <w:szCs w:val="24"/>
        </w:rPr>
        <w:t>8）“项目现场”系指本合同(包括附件)指明的最终交货及安装、培训、使用地点。</w:t>
      </w:r>
    </w:p>
    <w:p>
      <w:pPr>
        <w:spacing w:line="420" w:lineRule="exact"/>
        <w:ind w:left="838" w:leftChars="285" w:hanging="240" w:hangingChars="100"/>
        <w:rPr>
          <w:rFonts w:ascii="宋体" w:hAnsi="宋体" w:cs="宋体"/>
          <w:sz w:val="24"/>
          <w:szCs w:val="24"/>
        </w:rPr>
      </w:pPr>
      <w:r>
        <w:rPr>
          <w:rFonts w:hint="eastAsia" w:ascii="宋体" w:hAnsi="宋体" w:cs="宋体"/>
          <w:sz w:val="24"/>
          <w:szCs w:val="24"/>
        </w:rPr>
        <w:t>9）“天”指日历天数。</w:t>
      </w:r>
    </w:p>
    <w:p>
      <w:pPr>
        <w:spacing w:line="420" w:lineRule="exact"/>
        <w:rPr>
          <w:rFonts w:ascii="宋体" w:hAnsi="宋体" w:cs="宋体"/>
          <w:b/>
          <w:sz w:val="24"/>
          <w:szCs w:val="24"/>
        </w:rPr>
      </w:pPr>
      <w:r>
        <w:rPr>
          <w:rFonts w:hint="eastAsia" w:ascii="宋体" w:hAnsi="宋体" w:cs="宋体"/>
          <w:b/>
          <w:sz w:val="24"/>
          <w:szCs w:val="24"/>
        </w:rPr>
        <w:t>2.技术规格</w:t>
      </w:r>
    </w:p>
    <w:p>
      <w:pPr>
        <w:spacing w:line="420" w:lineRule="exact"/>
        <w:ind w:firstLine="600"/>
        <w:rPr>
          <w:rFonts w:ascii="宋体" w:hAnsi="宋体" w:cs="宋体"/>
          <w:sz w:val="24"/>
          <w:szCs w:val="24"/>
        </w:rPr>
      </w:pPr>
      <w:r>
        <w:rPr>
          <w:rFonts w:hint="eastAsia" w:ascii="宋体" w:hAnsi="宋体" w:cs="宋体"/>
          <w:sz w:val="24"/>
          <w:szCs w:val="24"/>
        </w:rPr>
        <w:t>2.1卖方交付的货物的技术规格及型号应与本合同所指明的技术规格及型号(包括合同附件)相一致。</w:t>
      </w:r>
    </w:p>
    <w:p>
      <w:pPr>
        <w:spacing w:line="420" w:lineRule="exact"/>
        <w:ind w:firstLine="600"/>
        <w:rPr>
          <w:rFonts w:ascii="宋体" w:hAnsi="宋体" w:cs="宋体"/>
          <w:sz w:val="24"/>
          <w:szCs w:val="24"/>
        </w:rPr>
      </w:pPr>
      <w:r>
        <w:rPr>
          <w:rFonts w:hint="eastAsia" w:ascii="宋体" w:hAnsi="宋体" w:cs="宋体"/>
          <w:sz w:val="24"/>
          <w:szCs w:val="24"/>
        </w:rPr>
        <w:t>2.2 除技术规格另有规定外,计量单位应该使用公制。</w:t>
      </w:r>
    </w:p>
    <w:p>
      <w:pPr>
        <w:spacing w:line="420" w:lineRule="exact"/>
        <w:rPr>
          <w:rFonts w:ascii="宋体" w:hAnsi="宋体" w:cs="宋体"/>
          <w:b/>
          <w:sz w:val="24"/>
          <w:szCs w:val="24"/>
        </w:rPr>
      </w:pPr>
      <w:r>
        <w:rPr>
          <w:rFonts w:hint="eastAsia" w:ascii="宋体" w:hAnsi="宋体" w:cs="宋体"/>
          <w:b/>
          <w:sz w:val="24"/>
          <w:szCs w:val="24"/>
        </w:rPr>
        <w:t>3.专利权</w:t>
      </w:r>
    </w:p>
    <w:p>
      <w:pPr>
        <w:spacing w:line="420" w:lineRule="exact"/>
        <w:ind w:firstLine="600"/>
        <w:rPr>
          <w:rFonts w:ascii="宋体" w:hAnsi="宋体" w:cs="宋体"/>
          <w:sz w:val="24"/>
          <w:szCs w:val="24"/>
        </w:rPr>
      </w:pPr>
      <w:r>
        <w:rPr>
          <w:rFonts w:hint="eastAsia" w:ascii="宋体" w:hAnsi="宋体" w:cs="宋体"/>
          <w:sz w:val="24"/>
          <w:szCs w:val="24"/>
        </w:rPr>
        <w:t>卖方应保证买方在使用该货物或其任何一部分时免受第三方提出侵犯其专利权·商标权或工业设计权的起诉。</w:t>
      </w:r>
    </w:p>
    <w:p>
      <w:pPr>
        <w:spacing w:line="420" w:lineRule="exact"/>
        <w:rPr>
          <w:rFonts w:ascii="宋体" w:hAnsi="宋体" w:cs="宋体"/>
          <w:b/>
          <w:sz w:val="24"/>
          <w:szCs w:val="24"/>
        </w:rPr>
      </w:pPr>
      <w:r>
        <w:rPr>
          <w:rFonts w:hint="eastAsia" w:ascii="宋体" w:hAnsi="宋体" w:cs="宋体"/>
          <w:b/>
          <w:sz w:val="24"/>
          <w:szCs w:val="24"/>
        </w:rPr>
        <w:t>4.交货地点和交货期</w:t>
      </w:r>
    </w:p>
    <w:p>
      <w:pPr>
        <w:spacing w:line="420" w:lineRule="exact"/>
        <w:rPr>
          <w:rFonts w:ascii="宋体" w:hAnsi="宋体" w:cs="宋体"/>
          <w:sz w:val="24"/>
          <w:szCs w:val="24"/>
        </w:rPr>
      </w:pPr>
      <w:r>
        <w:rPr>
          <w:rFonts w:hint="eastAsia" w:ascii="宋体" w:hAnsi="宋体" w:cs="宋体"/>
          <w:sz w:val="24"/>
          <w:szCs w:val="24"/>
        </w:rPr>
        <w:t>见合同专用条款。</w:t>
      </w:r>
    </w:p>
    <w:p>
      <w:pPr>
        <w:spacing w:line="420" w:lineRule="exact"/>
        <w:rPr>
          <w:rFonts w:ascii="宋体" w:hAnsi="宋体" w:cs="宋体"/>
          <w:b/>
          <w:sz w:val="24"/>
          <w:szCs w:val="24"/>
        </w:rPr>
      </w:pPr>
      <w:r>
        <w:rPr>
          <w:rFonts w:hint="eastAsia" w:ascii="宋体" w:hAnsi="宋体" w:cs="宋体"/>
          <w:b/>
          <w:sz w:val="24"/>
          <w:szCs w:val="24"/>
        </w:rPr>
        <w:t>5.包装要求和装运条件</w:t>
      </w:r>
    </w:p>
    <w:p>
      <w:pPr>
        <w:spacing w:line="420" w:lineRule="exact"/>
        <w:ind w:firstLine="600"/>
        <w:rPr>
          <w:rFonts w:ascii="宋体" w:hAnsi="宋体" w:cs="宋体"/>
          <w:sz w:val="24"/>
          <w:szCs w:val="24"/>
        </w:rPr>
      </w:pPr>
      <w:r>
        <w:rPr>
          <w:rFonts w:hint="eastAsia" w:ascii="宋体" w:hAnsi="宋体" w:cs="宋体"/>
          <w:sz w:val="24"/>
          <w:szCs w:val="24"/>
        </w:rPr>
        <w:t>5.1除合同另有规定外，卖方提供的全部货物，均应按标准保护措施进行包装。这类包装应适应于远距离运输、防潮、防震、防锈和防野蛮装卸，以确保货物安全无损运抵项目现场。</w:t>
      </w:r>
    </w:p>
    <w:p>
      <w:pPr>
        <w:spacing w:line="420" w:lineRule="exact"/>
        <w:ind w:firstLine="600"/>
        <w:rPr>
          <w:rFonts w:ascii="宋体" w:hAnsi="宋体" w:cs="宋体"/>
          <w:b/>
          <w:sz w:val="24"/>
          <w:szCs w:val="24"/>
        </w:rPr>
      </w:pPr>
      <w:r>
        <w:rPr>
          <w:rFonts w:hint="eastAsia" w:ascii="宋体" w:hAnsi="宋体" w:cs="宋体"/>
          <w:sz w:val="24"/>
          <w:szCs w:val="24"/>
        </w:rPr>
        <w:t>5.2每一个包装箱内应附一份详细装箱单和质量合格证。</w:t>
      </w:r>
    </w:p>
    <w:p>
      <w:pPr>
        <w:spacing w:line="420" w:lineRule="exact"/>
        <w:ind w:firstLine="480"/>
        <w:rPr>
          <w:rFonts w:ascii="宋体" w:hAnsi="宋体" w:cs="宋体"/>
          <w:sz w:val="24"/>
          <w:szCs w:val="24"/>
        </w:rPr>
      </w:pPr>
      <w:r>
        <w:rPr>
          <w:rFonts w:hint="eastAsia" w:ascii="宋体" w:hAnsi="宋体" w:cs="宋体"/>
          <w:sz w:val="24"/>
          <w:szCs w:val="24"/>
        </w:rPr>
        <w:t>5.3卖方负责安排货物到达交货地点的一切运输，并承担运输费用。</w:t>
      </w:r>
    </w:p>
    <w:p>
      <w:pPr>
        <w:spacing w:line="420" w:lineRule="exact"/>
        <w:ind w:firstLine="480"/>
        <w:rPr>
          <w:rFonts w:ascii="宋体" w:hAnsi="宋体" w:cs="宋体"/>
          <w:sz w:val="24"/>
          <w:szCs w:val="24"/>
        </w:rPr>
      </w:pPr>
      <w:r>
        <w:rPr>
          <w:rFonts w:hint="eastAsia" w:ascii="宋体" w:hAnsi="宋体" w:cs="宋体"/>
          <w:sz w:val="24"/>
          <w:szCs w:val="24"/>
        </w:rPr>
        <w:t>5.4卖方装运的货物不应超过合同规定的数量或重量。否则，卖方应对因超数量或重量而产生的一切后果负责。</w:t>
      </w:r>
    </w:p>
    <w:p>
      <w:pPr>
        <w:spacing w:line="420" w:lineRule="exact"/>
        <w:rPr>
          <w:rFonts w:ascii="宋体" w:hAnsi="宋体" w:cs="宋体"/>
          <w:b/>
          <w:sz w:val="24"/>
          <w:szCs w:val="24"/>
        </w:rPr>
      </w:pPr>
      <w:r>
        <w:rPr>
          <w:rFonts w:hint="eastAsia" w:ascii="宋体" w:hAnsi="宋体" w:cs="宋体"/>
          <w:b/>
          <w:sz w:val="24"/>
          <w:szCs w:val="24"/>
        </w:rPr>
        <w:t>6.保险</w:t>
      </w:r>
    </w:p>
    <w:p>
      <w:pPr>
        <w:spacing w:line="420" w:lineRule="exact"/>
        <w:ind w:firstLine="480" w:firstLineChars="200"/>
        <w:rPr>
          <w:rFonts w:ascii="宋体" w:hAnsi="宋体" w:cs="宋体"/>
          <w:sz w:val="24"/>
          <w:szCs w:val="24"/>
        </w:rPr>
      </w:pPr>
      <w:r>
        <w:rPr>
          <w:rFonts w:hint="eastAsia" w:ascii="宋体" w:hAnsi="宋体" w:cs="宋体"/>
          <w:sz w:val="24"/>
          <w:szCs w:val="24"/>
        </w:rPr>
        <w:t>6.1保险范围应包括卖方装运的全部货物；由卖方办理货物在运抵目的港/项目现场途中的保险,保险应以人民币按照发票金额的110%办理“一切险”。</w:t>
      </w:r>
    </w:p>
    <w:p>
      <w:pPr>
        <w:spacing w:line="420" w:lineRule="exact"/>
        <w:rPr>
          <w:rFonts w:ascii="宋体" w:hAnsi="宋体" w:cs="宋体"/>
          <w:b/>
          <w:sz w:val="24"/>
          <w:szCs w:val="24"/>
        </w:rPr>
      </w:pPr>
      <w:r>
        <w:rPr>
          <w:rFonts w:hint="eastAsia" w:ascii="宋体" w:hAnsi="宋体" w:cs="宋体"/>
          <w:b/>
          <w:sz w:val="24"/>
          <w:szCs w:val="24"/>
        </w:rPr>
        <w:t>7.付款</w:t>
      </w:r>
    </w:p>
    <w:p>
      <w:pPr>
        <w:spacing w:line="420" w:lineRule="exact"/>
        <w:ind w:firstLine="480"/>
        <w:rPr>
          <w:rFonts w:ascii="宋体" w:hAnsi="宋体" w:cs="宋体"/>
          <w:sz w:val="24"/>
          <w:szCs w:val="24"/>
        </w:rPr>
      </w:pPr>
      <w:r>
        <w:rPr>
          <w:rFonts w:hint="eastAsia" w:ascii="宋体" w:hAnsi="宋体" w:cs="宋体"/>
          <w:sz w:val="24"/>
          <w:szCs w:val="24"/>
        </w:rPr>
        <w:t>7.1本合同以人民币付款。</w:t>
      </w:r>
    </w:p>
    <w:p>
      <w:pPr>
        <w:spacing w:line="420" w:lineRule="exact"/>
        <w:ind w:firstLine="480"/>
        <w:rPr>
          <w:rFonts w:ascii="宋体" w:hAnsi="宋体" w:cs="宋体"/>
          <w:sz w:val="24"/>
          <w:szCs w:val="24"/>
        </w:rPr>
      </w:pPr>
      <w:r>
        <w:rPr>
          <w:rFonts w:hint="eastAsia" w:ascii="宋体" w:hAnsi="宋体" w:cs="宋体"/>
          <w:sz w:val="24"/>
          <w:szCs w:val="24"/>
        </w:rPr>
        <w:t>7.2卖方应按照双方签订的合同规定交货,货物由买方验收合格并出具验收书后，连同合同一并送政府采购管理部门办理结算。货物发票交买方。</w:t>
      </w:r>
    </w:p>
    <w:p>
      <w:pPr>
        <w:spacing w:line="420" w:lineRule="exact"/>
        <w:ind w:firstLine="480" w:firstLineChars="200"/>
        <w:rPr>
          <w:rFonts w:ascii="宋体" w:hAnsi="宋体" w:cs="宋体"/>
          <w:sz w:val="24"/>
          <w:szCs w:val="24"/>
        </w:rPr>
      </w:pPr>
      <w:r>
        <w:rPr>
          <w:rFonts w:hint="eastAsia" w:ascii="宋体" w:hAnsi="宋体" w:cs="宋体"/>
          <w:sz w:val="24"/>
          <w:szCs w:val="24"/>
        </w:rPr>
        <w:t>7.3付款计划见合同附件。</w:t>
      </w:r>
    </w:p>
    <w:p>
      <w:pPr>
        <w:spacing w:line="420" w:lineRule="exact"/>
        <w:rPr>
          <w:rFonts w:ascii="宋体" w:hAnsi="宋体" w:cs="宋体"/>
          <w:b/>
          <w:sz w:val="24"/>
          <w:szCs w:val="24"/>
        </w:rPr>
      </w:pPr>
      <w:r>
        <w:rPr>
          <w:rFonts w:hint="eastAsia" w:ascii="宋体" w:hAnsi="宋体" w:cs="宋体"/>
          <w:b/>
          <w:sz w:val="24"/>
          <w:szCs w:val="24"/>
        </w:rPr>
        <w:t>8.伴随服务</w:t>
      </w:r>
    </w:p>
    <w:p>
      <w:pPr>
        <w:spacing w:line="420" w:lineRule="exact"/>
        <w:ind w:firstLine="480" w:firstLineChars="200"/>
        <w:rPr>
          <w:rFonts w:ascii="宋体" w:hAnsi="宋体" w:cs="宋体"/>
          <w:sz w:val="24"/>
          <w:szCs w:val="24"/>
        </w:rPr>
      </w:pPr>
      <w:r>
        <w:rPr>
          <w:rFonts w:hint="eastAsia" w:ascii="宋体" w:hAnsi="宋体" w:cs="宋体"/>
          <w:sz w:val="24"/>
          <w:szCs w:val="24"/>
        </w:rPr>
        <w:t>8.1卖方应随同每套货物提供相应的每一套设备和仪器的中文的技术文件。例如：产品目录、图纸、操作手册、使用说明、维护手册或服务指南等。</w:t>
      </w:r>
    </w:p>
    <w:p>
      <w:pPr>
        <w:spacing w:line="420" w:lineRule="exact"/>
        <w:ind w:firstLine="480" w:firstLineChars="200"/>
        <w:rPr>
          <w:rFonts w:ascii="宋体" w:hAnsi="宋体" w:cs="宋体"/>
          <w:sz w:val="24"/>
          <w:szCs w:val="24"/>
        </w:rPr>
      </w:pPr>
      <w:r>
        <w:rPr>
          <w:rFonts w:hint="eastAsia" w:ascii="宋体" w:hAnsi="宋体" w:cs="宋体"/>
          <w:sz w:val="24"/>
          <w:szCs w:val="24"/>
        </w:rPr>
        <w:t>8.2对于合同附件中有要求的货物，卖方还应提供下列服务：</w:t>
      </w:r>
    </w:p>
    <w:p>
      <w:pPr>
        <w:spacing w:line="420" w:lineRule="exact"/>
        <w:ind w:firstLine="480" w:firstLineChars="200"/>
        <w:rPr>
          <w:rFonts w:ascii="宋体" w:hAnsi="宋体" w:cs="宋体"/>
          <w:sz w:val="24"/>
          <w:szCs w:val="24"/>
        </w:rPr>
      </w:pPr>
      <w:r>
        <w:rPr>
          <w:rFonts w:hint="eastAsia" w:ascii="宋体" w:hAnsi="宋体" w:cs="宋体"/>
          <w:sz w:val="24"/>
          <w:szCs w:val="24"/>
        </w:rPr>
        <w:t>1）货物的现场安装、调试和启动监督；</w:t>
      </w:r>
    </w:p>
    <w:p>
      <w:pPr>
        <w:spacing w:line="420" w:lineRule="exact"/>
        <w:ind w:firstLine="480" w:firstLineChars="200"/>
        <w:rPr>
          <w:rFonts w:ascii="宋体" w:hAnsi="宋体" w:cs="宋体"/>
          <w:sz w:val="24"/>
          <w:szCs w:val="24"/>
        </w:rPr>
      </w:pPr>
      <w:r>
        <w:rPr>
          <w:rFonts w:hint="eastAsia" w:ascii="宋体" w:hAnsi="宋体" w:cs="宋体"/>
          <w:sz w:val="24"/>
          <w:szCs w:val="24"/>
        </w:rPr>
        <w:t>2）提供货物组装和维修所需的工具，提供货物调试所需的试剂、耗材等</w:t>
      </w:r>
    </w:p>
    <w:p>
      <w:pPr>
        <w:spacing w:line="420" w:lineRule="exact"/>
        <w:ind w:left="1" w:firstLine="477" w:firstLineChars="199"/>
        <w:rPr>
          <w:rFonts w:ascii="宋体" w:hAnsi="宋体" w:cs="宋体"/>
          <w:sz w:val="24"/>
          <w:szCs w:val="24"/>
        </w:rPr>
      </w:pPr>
      <w:r>
        <w:rPr>
          <w:rFonts w:hint="eastAsia" w:ascii="宋体" w:hAnsi="宋体" w:cs="宋体"/>
          <w:sz w:val="24"/>
          <w:szCs w:val="24"/>
        </w:rPr>
        <w:t>3）在双方商定的一定期限内对所供货物实施运行监督、维修，但前提条件是该服务并不能免除卖方在质量保证期应承担的义务。</w:t>
      </w:r>
    </w:p>
    <w:p>
      <w:pPr>
        <w:spacing w:line="420" w:lineRule="exact"/>
        <w:ind w:firstLine="480" w:firstLineChars="200"/>
        <w:rPr>
          <w:rFonts w:ascii="宋体" w:hAnsi="宋体" w:cs="宋体"/>
          <w:sz w:val="24"/>
          <w:szCs w:val="24"/>
        </w:rPr>
      </w:pPr>
      <w:r>
        <w:rPr>
          <w:rFonts w:hint="eastAsia" w:ascii="宋体" w:hAnsi="宋体" w:cs="宋体"/>
          <w:sz w:val="24"/>
          <w:szCs w:val="24"/>
        </w:rPr>
        <w:t>4）在厂家或在项目现场就货物的安装、启动、运营、维护对买方人员进行培训。</w:t>
      </w:r>
    </w:p>
    <w:p>
      <w:pPr>
        <w:spacing w:line="420" w:lineRule="exact"/>
        <w:ind w:firstLine="480" w:firstLineChars="200"/>
        <w:rPr>
          <w:rFonts w:ascii="宋体" w:hAnsi="宋体" w:cs="宋体"/>
          <w:sz w:val="24"/>
          <w:szCs w:val="24"/>
        </w:rPr>
      </w:pPr>
      <w:r>
        <w:rPr>
          <w:rFonts w:hint="eastAsia" w:ascii="宋体" w:hAnsi="宋体" w:cs="宋体"/>
          <w:sz w:val="24"/>
          <w:szCs w:val="24"/>
        </w:rPr>
        <w:t>8.3伴随服务的费用已含在合同价中，不单独进行支付。</w:t>
      </w:r>
    </w:p>
    <w:p>
      <w:pPr>
        <w:spacing w:line="420" w:lineRule="exact"/>
        <w:rPr>
          <w:rFonts w:ascii="宋体" w:hAnsi="宋体" w:cs="宋体"/>
          <w:b/>
          <w:sz w:val="24"/>
          <w:szCs w:val="24"/>
        </w:rPr>
      </w:pPr>
      <w:r>
        <w:rPr>
          <w:rFonts w:hint="eastAsia" w:ascii="宋体" w:hAnsi="宋体" w:cs="宋体"/>
          <w:b/>
          <w:sz w:val="24"/>
          <w:szCs w:val="24"/>
        </w:rPr>
        <w:t>9.质量保证及索赔</w:t>
      </w:r>
    </w:p>
    <w:p>
      <w:pPr>
        <w:spacing w:line="420" w:lineRule="exact"/>
        <w:ind w:firstLine="480"/>
        <w:rPr>
          <w:rFonts w:ascii="宋体" w:hAnsi="宋体" w:cs="宋体"/>
          <w:sz w:val="24"/>
          <w:szCs w:val="24"/>
        </w:rPr>
      </w:pPr>
      <w:r>
        <w:rPr>
          <w:rFonts w:hint="eastAsia" w:ascii="宋体" w:hAnsi="宋体" w:cs="宋体"/>
          <w:sz w:val="24"/>
          <w:szCs w:val="24"/>
        </w:rPr>
        <w:t>9.1卖方应保证所供货物是全新的、未使用过的，并完全符合合同规定的质量、规格、技术指标(包括合同附件)等要求。卖方应保证其货物在正确安装、正常使用和保养条件下，在其使用寿命内应具有满意的性能。在货物最终验收后的质量保证期内，卖方应对由于设计、工艺或材料的缺陷而产生的故障负责。质保期满后如出现此类问题亦应负责。</w:t>
      </w:r>
    </w:p>
    <w:p>
      <w:pPr>
        <w:spacing w:line="420" w:lineRule="exact"/>
        <w:ind w:firstLine="480" w:firstLineChars="200"/>
        <w:rPr>
          <w:rFonts w:ascii="宋体" w:hAnsi="宋体" w:cs="宋体"/>
          <w:sz w:val="24"/>
          <w:szCs w:val="24"/>
        </w:rPr>
      </w:pPr>
      <w:r>
        <w:rPr>
          <w:rFonts w:hint="eastAsia" w:ascii="宋体" w:hAnsi="宋体" w:cs="宋体"/>
          <w:sz w:val="24"/>
          <w:szCs w:val="24"/>
        </w:rPr>
        <w:t>9.2在质量保证期内，如果货物的质量、规格、技术指标等与合同有任何一项不符，买方应尽快以书面形式向卖方提出索赔。同时应向政府采购管理部门报告。</w:t>
      </w:r>
    </w:p>
    <w:p>
      <w:pPr>
        <w:spacing w:line="420" w:lineRule="exact"/>
        <w:ind w:firstLine="480" w:firstLineChars="200"/>
        <w:rPr>
          <w:rFonts w:ascii="宋体" w:hAnsi="宋体" w:cs="宋体"/>
          <w:sz w:val="24"/>
          <w:szCs w:val="24"/>
        </w:rPr>
      </w:pPr>
      <w:r>
        <w:rPr>
          <w:rFonts w:hint="eastAsia" w:ascii="宋体" w:hAnsi="宋体" w:cs="宋体"/>
          <w:sz w:val="24"/>
          <w:szCs w:val="24"/>
        </w:rPr>
        <w:t>9.3卖方在收到买方的通知后，应及时免费维修或更换有缺陷的货物或部件（售后服务），并相应延长保修期限。具体响应时限见专用合同条款。</w:t>
      </w:r>
    </w:p>
    <w:p>
      <w:pPr>
        <w:spacing w:line="420" w:lineRule="exact"/>
        <w:ind w:firstLine="480" w:firstLineChars="200"/>
        <w:rPr>
          <w:rFonts w:ascii="宋体" w:hAnsi="宋体" w:cs="宋体"/>
          <w:sz w:val="24"/>
          <w:szCs w:val="24"/>
        </w:rPr>
      </w:pPr>
      <w:r>
        <w:rPr>
          <w:rFonts w:hint="eastAsia" w:ascii="宋体" w:hAnsi="宋体" w:cs="宋体"/>
          <w:sz w:val="24"/>
          <w:szCs w:val="24"/>
        </w:rPr>
        <w:t>9.4如果卖方在收到通知后，没有在上述专用合同条款中规定的时限内及时弥补缺陷，买方可采取必要的补救措施，但其风险和费用将由卖方承担，买方根据合同规定对卖方行使的其它权力不受影响。买方亦可从货款和卖方履约保证金中扣回索赔金额。</w:t>
      </w:r>
    </w:p>
    <w:p>
      <w:pPr>
        <w:spacing w:line="420" w:lineRule="exact"/>
        <w:rPr>
          <w:rFonts w:ascii="宋体" w:hAnsi="宋体" w:cs="宋体"/>
          <w:b/>
          <w:sz w:val="24"/>
          <w:szCs w:val="24"/>
        </w:rPr>
      </w:pPr>
      <w:r>
        <w:rPr>
          <w:rFonts w:hint="eastAsia" w:ascii="宋体" w:hAnsi="宋体" w:cs="宋体"/>
          <w:b/>
          <w:sz w:val="24"/>
          <w:szCs w:val="24"/>
        </w:rPr>
        <w:t>10.检验和验收</w:t>
      </w:r>
    </w:p>
    <w:p>
      <w:pPr>
        <w:spacing w:line="420" w:lineRule="exact"/>
        <w:ind w:firstLine="480" w:firstLineChars="200"/>
        <w:rPr>
          <w:rFonts w:ascii="宋体" w:hAnsi="宋体" w:cs="宋体"/>
          <w:sz w:val="24"/>
          <w:szCs w:val="24"/>
        </w:rPr>
      </w:pPr>
      <w:r>
        <w:rPr>
          <w:rFonts w:hint="eastAsia" w:ascii="宋体" w:hAnsi="宋体" w:cs="宋体"/>
          <w:sz w:val="24"/>
          <w:szCs w:val="24"/>
        </w:rPr>
        <w:t>10.1在交货前，制造商应对货物的质量、规格、数量等进行准确而全面的检验，并出具合格证。</w:t>
      </w:r>
    </w:p>
    <w:p>
      <w:pPr>
        <w:spacing w:line="420" w:lineRule="exact"/>
        <w:ind w:firstLine="480" w:firstLineChars="200"/>
        <w:rPr>
          <w:rFonts w:ascii="宋体" w:hAnsi="宋体" w:cs="宋体"/>
          <w:sz w:val="24"/>
          <w:szCs w:val="24"/>
        </w:rPr>
      </w:pPr>
      <w:r>
        <w:rPr>
          <w:rFonts w:hint="eastAsia" w:ascii="宋体" w:hAnsi="宋体" w:cs="宋体"/>
          <w:sz w:val="24"/>
          <w:szCs w:val="24"/>
        </w:rPr>
        <w:t>10.2货物到货后，由采购单位根据合同规定的技术、服务、安全标准要求进行验收，并出具验收书。验收书应当包括每一项技术、服务、安全标准的履约情况。</w:t>
      </w:r>
    </w:p>
    <w:p>
      <w:pPr>
        <w:spacing w:line="420" w:lineRule="exact"/>
        <w:rPr>
          <w:rFonts w:ascii="宋体" w:hAnsi="宋体" w:cs="宋体"/>
          <w:b/>
          <w:sz w:val="24"/>
          <w:szCs w:val="24"/>
        </w:rPr>
      </w:pPr>
      <w:r>
        <w:rPr>
          <w:rFonts w:hint="eastAsia" w:ascii="宋体" w:hAnsi="宋体" w:cs="宋体"/>
          <w:b/>
          <w:sz w:val="24"/>
          <w:szCs w:val="24"/>
        </w:rPr>
        <w:t>11.卖方履约延误</w:t>
      </w:r>
    </w:p>
    <w:p>
      <w:pPr>
        <w:spacing w:line="420" w:lineRule="exact"/>
        <w:ind w:firstLine="480" w:firstLineChars="200"/>
        <w:rPr>
          <w:rFonts w:ascii="宋体" w:hAnsi="宋体" w:cs="宋体"/>
          <w:sz w:val="24"/>
          <w:szCs w:val="24"/>
        </w:rPr>
      </w:pPr>
      <w:r>
        <w:rPr>
          <w:rFonts w:hint="eastAsia" w:ascii="宋体" w:hAnsi="宋体" w:cs="宋体"/>
          <w:sz w:val="24"/>
          <w:szCs w:val="24"/>
        </w:rPr>
        <w:t>11.1如卖方事先未征得买方同意并得到买方的谅解而单方面延迟交货，将按违约终止合同。</w:t>
      </w:r>
    </w:p>
    <w:p>
      <w:pPr>
        <w:spacing w:line="420" w:lineRule="exact"/>
        <w:ind w:firstLine="480" w:firstLineChars="200"/>
        <w:rPr>
          <w:rFonts w:ascii="宋体" w:hAnsi="宋体" w:cs="宋体"/>
          <w:sz w:val="24"/>
          <w:szCs w:val="24"/>
        </w:rPr>
      </w:pPr>
      <w:r>
        <w:rPr>
          <w:rFonts w:hint="eastAsia" w:ascii="宋体" w:hAnsi="宋体" w:cs="宋体"/>
          <w:sz w:val="24"/>
          <w:szCs w:val="24"/>
        </w:rPr>
        <w:t>11.2在履行合同过程中，如果卖方遇到可能妨碍按时交货和提供服务的情况，应及时以书面形式将拖延的事实,可能拖延的期限和理由通知买方。买方在收到卖方通知后，应尽快对情况进行评价，并确定是否通过修改合同，酌情延长交货时间或对卖方加收误期赔偿金。误期赔偿金以每周0.5%计算（以合同总价为基数）。</w:t>
      </w:r>
    </w:p>
    <w:p>
      <w:pPr>
        <w:spacing w:line="420" w:lineRule="exact"/>
        <w:rPr>
          <w:rFonts w:ascii="宋体" w:hAnsi="宋体" w:cs="宋体"/>
          <w:b/>
          <w:sz w:val="24"/>
          <w:szCs w:val="24"/>
        </w:rPr>
      </w:pPr>
      <w:r>
        <w:rPr>
          <w:rFonts w:hint="eastAsia" w:ascii="宋体" w:hAnsi="宋体" w:cs="宋体"/>
          <w:b/>
          <w:sz w:val="24"/>
          <w:szCs w:val="24"/>
        </w:rPr>
        <w:t>12.违约终止合同</w:t>
      </w:r>
    </w:p>
    <w:p>
      <w:pPr>
        <w:spacing w:line="420" w:lineRule="exact"/>
        <w:ind w:firstLine="480" w:firstLineChars="200"/>
        <w:rPr>
          <w:rFonts w:ascii="宋体" w:hAnsi="宋体" w:cs="宋体"/>
          <w:sz w:val="24"/>
          <w:szCs w:val="24"/>
        </w:rPr>
      </w:pPr>
      <w:r>
        <w:rPr>
          <w:rFonts w:hint="eastAsia" w:ascii="宋体" w:hAnsi="宋体" w:cs="宋体"/>
          <w:sz w:val="24"/>
          <w:szCs w:val="24"/>
        </w:rPr>
        <w:t>12.1在卖方违约的情况下，买方报告政府采购管理部门后，有权终止合同，并依法向卖方进行索赔。</w:t>
      </w:r>
    </w:p>
    <w:p>
      <w:pPr>
        <w:spacing w:line="420" w:lineRule="exact"/>
        <w:rPr>
          <w:rFonts w:ascii="宋体" w:hAnsi="宋体" w:cs="宋体"/>
          <w:b/>
          <w:sz w:val="24"/>
          <w:szCs w:val="24"/>
        </w:rPr>
      </w:pPr>
      <w:r>
        <w:rPr>
          <w:rFonts w:hint="eastAsia" w:ascii="宋体" w:hAnsi="宋体" w:cs="宋体"/>
          <w:b/>
          <w:sz w:val="24"/>
          <w:szCs w:val="24"/>
        </w:rPr>
        <w:t>13.适用法律</w:t>
      </w:r>
    </w:p>
    <w:p>
      <w:pPr>
        <w:spacing w:line="420" w:lineRule="exact"/>
        <w:ind w:firstLine="480" w:firstLineChars="200"/>
        <w:rPr>
          <w:rFonts w:ascii="宋体" w:hAnsi="宋体" w:cs="宋体"/>
          <w:sz w:val="24"/>
          <w:szCs w:val="24"/>
        </w:rPr>
      </w:pPr>
      <w:r>
        <w:rPr>
          <w:rFonts w:hint="eastAsia" w:ascii="宋体" w:hAnsi="宋体" w:cs="宋体"/>
          <w:sz w:val="24"/>
          <w:szCs w:val="24"/>
        </w:rPr>
        <w:t>13.1本合同应按照中华人民共和国的现行法律进行解释。</w:t>
      </w:r>
    </w:p>
    <w:p>
      <w:pPr>
        <w:spacing w:line="420" w:lineRule="exact"/>
        <w:rPr>
          <w:rFonts w:ascii="宋体" w:hAnsi="宋体" w:cs="宋体"/>
          <w:b/>
          <w:sz w:val="24"/>
          <w:szCs w:val="24"/>
        </w:rPr>
      </w:pPr>
      <w:r>
        <w:rPr>
          <w:rFonts w:hint="eastAsia" w:ascii="宋体" w:hAnsi="宋体" w:cs="宋体"/>
          <w:b/>
          <w:sz w:val="24"/>
          <w:szCs w:val="24"/>
        </w:rPr>
        <w:t>14.合同生效及其它</w:t>
      </w:r>
    </w:p>
    <w:p>
      <w:pPr>
        <w:spacing w:line="420" w:lineRule="exact"/>
        <w:ind w:firstLine="480" w:firstLineChars="200"/>
        <w:rPr>
          <w:rFonts w:ascii="宋体" w:hAnsi="宋体" w:cs="宋体"/>
          <w:sz w:val="24"/>
          <w:szCs w:val="24"/>
        </w:rPr>
      </w:pPr>
      <w:r>
        <w:rPr>
          <w:rFonts w:hint="eastAsia" w:ascii="宋体" w:hAnsi="宋体" w:cs="宋体"/>
          <w:sz w:val="24"/>
          <w:szCs w:val="24"/>
        </w:rPr>
        <w:t>14.1本合同在买卖双方签字、盖章之后生效。</w:t>
      </w:r>
    </w:p>
    <w:p>
      <w:pPr>
        <w:spacing w:line="420" w:lineRule="exact"/>
        <w:ind w:firstLine="480" w:firstLineChars="200"/>
        <w:rPr>
          <w:rFonts w:ascii="宋体" w:hAnsi="宋体" w:cs="宋体"/>
          <w:sz w:val="24"/>
          <w:szCs w:val="24"/>
        </w:rPr>
      </w:pPr>
      <w:r>
        <w:rPr>
          <w:rFonts w:hint="eastAsia" w:ascii="宋体" w:hAnsi="宋体" w:cs="宋体"/>
          <w:sz w:val="24"/>
          <w:szCs w:val="24"/>
        </w:rPr>
        <w:t>14.2本合同正本一式二份，副本一式四份，均以中文书写。买方执正本一份、副本二份；卖方执正本一份，副本一份；政府采购管理部门备案副本一份。</w:t>
      </w:r>
    </w:p>
    <w:p>
      <w:pPr>
        <w:spacing w:line="420" w:lineRule="exact"/>
        <w:rPr>
          <w:rFonts w:ascii="宋体" w:hAnsi="宋体" w:cs="宋体"/>
          <w:b/>
          <w:sz w:val="24"/>
          <w:szCs w:val="24"/>
        </w:rPr>
      </w:pPr>
      <w:r>
        <w:rPr>
          <w:rFonts w:hint="eastAsia" w:ascii="宋体" w:hAnsi="宋体" w:cs="宋体"/>
          <w:b/>
          <w:sz w:val="24"/>
          <w:szCs w:val="24"/>
        </w:rPr>
        <w:t>15.合同修改</w:t>
      </w:r>
    </w:p>
    <w:p>
      <w:pPr>
        <w:spacing w:line="420" w:lineRule="exact"/>
        <w:ind w:firstLine="480" w:firstLineChars="200"/>
        <w:rPr>
          <w:rFonts w:ascii="宋体" w:hAnsi="宋体" w:cs="宋体"/>
          <w:sz w:val="24"/>
          <w:szCs w:val="24"/>
        </w:rPr>
      </w:pPr>
      <w:r>
        <w:rPr>
          <w:rFonts w:hint="eastAsia" w:ascii="宋体" w:hAnsi="宋体" w:cs="宋体"/>
          <w:sz w:val="24"/>
          <w:szCs w:val="24"/>
        </w:rPr>
        <w:t>15.1本合同在执行过程中，如提出修改，须报政府采购管理部门同意后，由买、卖双方签署书面修改协议，并成为本合同不可分割的一部分。除此之外，本合同的条件不得有任何变化或修改。</w:t>
      </w:r>
    </w:p>
    <w:p>
      <w:pPr>
        <w:spacing w:line="420" w:lineRule="exact"/>
        <w:rPr>
          <w:rFonts w:ascii="宋体" w:hAnsi="宋体" w:cs="宋体"/>
          <w:b/>
          <w:sz w:val="24"/>
          <w:szCs w:val="24"/>
        </w:rPr>
      </w:pPr>
      <w:r>
        <w:rPr>
          <w:rFonts w:hint="eastAsia" w:ascii="宋体" w:hAnsi="宋体" w:cs="宋体"/>
          <w:b/>
          <w:sz w:val="24"/>
          <w:szCs w:val="24"/>
        </w:rPr>
        <w:t>16.合同附件</w:t>
      </w:r>
    </w:p>
    <w:p>
      <w:pPr>
        <w:spacing w:line="420" w:lineRule="exact"/>
        <w:ind w:firstLine="480"/>
        <w:rPr>
          <w:rFonts w:ascii="宋体" w:hAnsi="宋体" w:cs="宋体"/>
          <w:sz w:val="24"/>
          <w:szCs w:val="24"/>
        </w:rPr>
      </w:pPr>
      <w:r>
        <w:rPr>
          <w:rFonts w:hint="eastAsia" w:ascii="宋体" w:hAnsi="宋体" w:cs="宋体"/>
          <w:sz w:val="24"/>
          <w:szCs w:val="24"/>
        </w:rPr>
        <w:t>16.1本合同所有附件是本合同不可分割的部分,与主合同具有同等法律效力。</w:t>
      </w:r>
    </w:p>
    <w:p>
      <w:pPr>
        <w:jc w:val="center"/>
        <w:rPr>
          <w:rFonts w:ascii="宋体" w:hAnsi="宋体" w:cs="宋体"/>
          <w:b/>
          <w:sz w:val="44"/>
          <w:szCs w:val="44"/>
        </w:rPr>
      </w:pPr>
      <w:r>
        <w:rPr>
          <w:rFonts w:hint="eastAsia" w:ascii="宋体" w:hAnsi="宋体" w:cs="宋体"/>
          <w:b/>
          <w:sz w:val="36"/>
        </w:rPr>
        <w:br w:type="page"/>
      </w:r>
      <w:r>
        <w:rPr>
          <w:rFonts w:hint="eastAsia" w:ascii="宋体" w:hAnsi="宋体" w:cs="宋体"/>
          <w:b/>
          <w:sz w:val="44"/>
          <w:szCs w:val="44"/>
        </w:rPr>
        <w:t>第四章  合同专用条款</w:t>
      </w:r>
    </w:p>
    <w:p>
      <w:pPr>
        <w:rPr>
          <w:rFonts w:ascii="宋体" w:hAnsi="宋体" w:cs="宋体"/>
        </w:rPr>
      </w:pPr>
    </w:p>
    <w:p>
      <w:pPr>
        <w:ind w:firstLine="480" w:firstLineChars="200"/>
        <w:rPr>
          <w:rFonts w:ascii="宋体" w:hAnsi="宋体" w:cs="宋体"/>
          <w:sz w:val="24"/>
          <w:szCs w:val="24"/>
        </w:rPr>
      </w:pPr>
      <w:r>
        <w:rPr>
          <w:rFonts w:hint="eastAsia" w:ascii="宋体" w:hAnsi="宋体" w:cs="宋体"/>
          <w:sz w:val="24"/>
          <w:szCs w:val="24"/>
        </w:rPr>
        <w:t>本表是对《合同通用条款》的具体补充和修改，如有矛盾，应以本表为准。</w:t>
      </w:r>
    </w:p>
    <w:tbl>
      <w:tblPr>
        <w:tblStyle w:val="18"/>
        <w:tblW w:w="84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6"/>
        <w:gridCol w:w="75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06" w:type="dxa"/>
            <w:noWrap/>
            <w:vAlign w:val="center"/>
          </w:tcPr>
          <w:p>
            <w:pPr>
              <w:jc w:val="center"/>
              <w:rPr>
                <w:rFonts w:ascii="宋体" w:hAnsi="宋体" w:cs="宋体"/>
                <w:sz w:val="24"/>
                <w:szCs w:val="24"/>
              </w:rPr>
            </w:pPr>
            <w:r>
              <w:rPr>
                <w:rFonts w:hint="eastAsia" w:ascii="宋体" w:hAnsi="宋体" w:cs="宋体"/>
                <w:sz w:val="24"/>
                <w:szCs w:val="24"/>
              </w:rPr>
              <w:t>条款号</w:t>
            </w:r>
          </w:p>
        </w:tc>
        <w:tc>
          <w:tcPr>
            <w:tcW w:w="7582" w:type="dxa"/>
            <w:noWrap/>
            <w:vAlign w:val="center"/>
          </w:tcPr>
          <w:p>
            <w:pPr>
              <w:jc w:val="center"/>
              <w:rPr>
                <w:rFonts w:ascii="宋体" w:hAnsi="宋体" w:cs="宋体"/>
                <w:b/>
                <w:sz w:val="24"/>
                <w:szCs w:val="24"/>
              </w:rPr>
            </w:pPr>
            <w:r>
              <w:rPr>
                <w:rFonts w:hint="eastAsia" w:ascii="宋体" w:hAnsi="宋体" w:cs="宋体"/>
                <w:b/>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906" w:type="dxa"/>
            <w:noWrap/>
            <w:vAlign w:val="center"/>
          </w:tcPr>
          <w:p>
            <w:pPr>
              <w:jc w:val="center"/>
              <w:rPr>
                <w:rFonts w:ascii="宋体" w:hAnsi="宋体" w:cs="宋体"/>
                <w:sz w:val="24"/>
                <w:szCs w:val="24"/>
              </w:rPr>
            </w:pPr>
            <w:r>
              <w:rPr>
                <w:rFonts w:hint="eastAsia" w:ascii="宋体" w:hAnsi="宋体" w:cs="宋体"/>
                <w:sz w:val="24"/>
                <w:szCs w:val="24"/>
              </w:rPr>
              <w:t>1</w:t>
            </w:r>
          </w:p>
        </w:tc>
        <w:tc>
          <w:tcPr>
            <w:tcW w:w="7582" w:type="dxa"/>
            <w:noWrap/>
            <w:vAlign w:val="center"/>
          </w:tcPr>
          <w:p>
            <w:pPr>
              <w:spacing w:line="360" w:lineRule="auto"/>
              <w:rPr>
                <w:rFonts w:ascii="宋体" w:hAnsi="宋体" w:cs="宋体"/>
                <w:sz w:val="24"/>
                <w:szCs w:val="24"/>
              </w:rPr>
            </w:pPr>
            <w:r>
              <w:rPr>
                <w:rFonts w:hint="eastAsia" w:ascii="宋体" w:hAnsi="宋体" w:cs="宋体"/>
                <w:sz w:val="24"/>
                <w:szCs w:val="24"/>
              </w:rPr>
              <w:t>买方名称：陕西中医药大学附属医院</w:t>
            </w:r>
          </w:p>
          <w:p>
            <w:pPr>
              <w:spacing w:line="360" w:lineRule="auto"/>
              <w:rPr>
                <w:rFonts w:ascii="宋体" w:hAnsi="宋体" w:cs="宋体"/>
                <w:sz w:val="24"/>
                <w:szCs w:val="24"/>
                <w:u w:val="single"/>
              </w:rPr>
            </w:pPr>
            <w:r>
              <w:rPr>
                <w:rFonts w:hint="eastAsia" w:ascii="宋体" w:hAnsi="宋体" w:cs="宋体"/>
                <w:kern w:val="0"/>
                <w:sz w:val="24"/>
                <w:szCs w:val="24"/>
              </w:rPr>
              <w:t>地址：咸阳市渭阳西路副2号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9" w:hRule="atLeast"/>
        </w:trPr>
        <w:tc>
          <w:tcPr>
            <w:tcW w:w="906" w:type="dxa"/>
            <w:noWrap/>
            <w:vAlign w:val="center"/>
          </w:tcPr>
          <w:p>
            <w:pPr>
              <w:jc w:val="center"/>
              <w:rPr>
                <w:rFonts w:ascii="宋体" w:hAnsi="宋体" w:cs="宋体"/>
                <w:sz w:val="24"/>
                <w:szCs w:val="24"/>
              </w:rPr>
            </w:pPr>
            <w:r>
              <w:rPr>
                <w:rFonts w:hint="eastAsia" w:ascii="宋体" w:hAnsi="宋体" w:cs="宋体"/>
                <w:sz w:val="24"/>
                <w:szCs w:val="24"/>
              </w:rPr>
              <w:t>4</w:t>
            </w:r>
          </w:p>
        </w:tc>
        <w:tc>
          <w:tcPr>
            <w:tcW w:w="7582" w:type="dxa"/>
            <w:noWrap/>
            <w:vAlign w:val="center"/>
          </w:tcPr>
          <w:p>
            <w:pPr>
              <w:spacing w:line="360" w:lineRule="auto"/>
              <w:rPr>
                <w:rFonts w:ascii="宋体" w:hAnsi="宋体" w:cs="宋体"/>
                <w:bCs/>
                <w:sz w:val="24"/>
                <w:szCs w:val="24"/>
                <w:highlight w:val="none"/>
              </w:rPr>
            </w:pPr>
            <w:r>
              <w:rPr>
                <w:rFonts w:hint="eastAsia" w:ascii="宋体" w:hAnsi="宋体" w:cs="宋体"/>
                <w:sz w:val="24"/>
                <w:szCs w:val="24"/>
                <w:highlight w:val="none"/>
              </w:rPr>
              <w:t>交货期</w:t>
            </w:r>
            <w:r>
              <w:rPr>
                <w:rFonts w:hint="eastAsia" w:ascii="宋体" w:hAnsi="宋体" w:cs="宋体"/>
                <w:bCs/>
                <w:sz w:val="24"/>
                <w:szCs w:val="24"/>
                <w:highlight w:val="none"/>
              </w:rPr>
              <w:t>：接中标通知书后30个日历日内，全部安装调试完毕，交付采购人使用。</w:t>
            </w:r>
          </w:p>
          <w:p>
            <w:pPr>
              <w:spacing w:line="360" w:lineRule="auto"/>
              <w:rPr>
                <w:rFonts w:ascii="宋体" w:hAnsi="宋体" w:cs="宋体"/>
                <w:sz w:val="24"/>
                <w:szCs w:val="24"/>
                <w:highlight w:val="none"/>
                <w:u w:val="single"/>
              </w:rPr>
            </w:pPr>
            <w:r>
              <w:rPr>
                <w:rFonts w:hint="eastAsia" w:ascii="宋体" w:hAnsi="宋体" w:cs="宋体"/>
                <w:bCs/>
                <w:sz w:val="24"/>
                <w:szCs w:val="24"/>
                <w:highlight w:val="none"/>
              </w:rPr>
              <w:t>交货地点：采购人指定地点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06" w:type="dxa"/>
            <w:noWrap/>
            <w:vAlign w:val="center"/>
          </w:tcPr>
          <w:p>
            <w:pPr>
              <w:jc w:val="center"/>
              <w:rPr>
                <w:rFonts w:ascii="宋体" w:hAnsi="宋体" w:cs="宋体"/>
                <w:sz w:val="24"/>
                <w:szCs w:val="24"/>
              </w:rPr>
            </w:pPr>
            <w:r>
              <w:rPr>
                <w:rFonts w:hint="eastAsia" w:ascii="宋体" w:hAnsi="宋体" w:cs="宋体"/>
                <w:sz w:val="24"/>
                <w:szCs w:val="24"/>
              </w:rPr>
              <w:t>7.3</w:t>
            </w:r>
          </w:p>
        </w:tc>
        <w:tc>
          <w:tcPr>
            <w:tcW w:w="7582" w:type="dxa"/>
            <w:noWrap/>
            <w:vAlign w:val="center"/>
          </w:tcPr>
          <w:p>
            <w:pPr>
              <w:spacing w:line="360" w:lineRule="auto"/>
              <w:ind w:left="361" w:hanging="361" w:hangingChars="150"/>
              <w:rPr>
                <w:rFonts w:ascii="宋体" w:hAnsi="宋体" w:cs="宋体"/>
                <w:b/>
                <w:bCs/>
                <w:sz w:val="24"/>
                <w:szCs w:val="24"/>
                <w:highlight w:val="none"/>
              </w:rPr>
            </w:pPr>
            <w:r>
              <w:rPr>
                <w:rFonts w:hint="eastAsia" w:ascii="宋体" w:hAnsi="宋体" w:cs="宋体"/>
                <w:b/>
                <w:bCs/>
                <w:sz w:val="24"/>
                <w:szCs w:val="24"/>
                <w:highlight w:val="none"/>
              </w:rPr>
              <w:t>付款计划：</w:t>
            </w:r>
          </w:p>
          <w:p>
            <w:pPr>
              <w:spacing w:line="380" w:lineRule="exact"/>
              <w:rPr>
                <w:sz w:val="24"/>
                <w:highlight w:val="none"/>
              </w:rPr>
            </w:pPr>
            <w:r>
              <w:rPr>
                <w:rFonts w:hint="eastAsia"/>
                <w:sz w:val="24"/>
                <w:highlight w:val="none"/>
              </w:rPr>
              <w:t>1）验收合格后一个月内支付合同款的60%。</w:t>
            </w:r>
          </w:p>
          <w:p>
            <w:pPr>
              <w:spacing w:line="380" w:lineRule="exact"/>
              <w:rPr>
                <w:sz w:val="24"/>
                <w:highlight w:val="none"/>
              </w:rPr>
            </w:pPr>
            <w:r>
              <w:rPr>
                <w:rFonts w:hint="eastAsia"/>
                <w:sz w:val="24"/>
                <w:highlight w:val="none"/>
              </w:rPr>
              <w:t>2）验收合格后三个月后支付合同款的30%。</w:t>
            </w:r>
          </w:p>
          <w:p>
            <w:pPr>
              <w:spacing w:line="360" w:lineRule="auto"/>
              <w:ind w:left="360" w:hanging="360" w:hangingChars="150"/>
              <w:rPr>
                <w:sz w:val="24"/>
                <w:highlight w:val="none"/>
              </w:rPr>
            </w:pPr>
            <w:r>
              <w:rPr>
                <w:rFonts w:hint="eastAsia"/>
                <w:sz w:val="24"/>
                <w:highlight w:val="none"/>
              </w:rPr>
              <w:t>3）剩余10%作为质保金，质保1年后支付5%，质保期满后支付5%。</w:t>
            </w:r>
          </w:p>
          <w:p>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4）支付方式：银行转账。</w:t>
            </w:r>
          </w:p>
          <w:p>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5）结算方式：供应商持验收书，增值税发票，中标通知书、供货合同，与采购人结算。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06" w:type="dxa"/>
            <w:noWrap/>
            <w:vAlign w:val="center"/>
          </w:tcPr>
          <w:p>
            <w:pPr>
              <w:jc w:val="center"/>
              <w:rPr>
                <w:rFonts w:ascii="宋体" w:hAnsi="宋体" w:cs="宋体"/>
                <w:sz w:val="24"/>
                <w:szCs w:val="24"/>
              </w:rPr>
            </w:pPr>
            <w:r>
              <w:rPr>
                <w:rFonts w:hint="eastAsia" w:ascii="宋体" w:hAnsi="宋体" w:cs="宋体"/>
                <w:sz w:val="24"/>
                <w:szCs w:val="24"/>
              </w:rPr>
              <w:t>8.2</w:t>
            </w:r>
          </w:p>
        </w:tc>
        <w:tc>
          <w:tcPr>
            <w:tcW w:w="7582" w:type="dxa"/>
            <w:noWrap/>
            <w:vAlign w:val="center"/>
          </w:tcPr>
          <w:p>
            <w:pPr>
              <w:spacing w:line="360" w:lineRule="auto"/>
              <w:rPr>
                <w:rFonts w:ascii="宋体" w:hAnsi="宋体" w:cs="宋体"/>
                <w:sz w:val="24"/>
                <w:szCs w:val="24"/>
              </w:rPr>
            </w:pPr>
            <w:r>
              <w:rPr>
                <w:rFonts w:hint="eastAsia" w:ascii="宋体" w:hAnsi="宋体" w:cs="宋体"/>
                <w:sz w:val="24"/>
                <w:szCs w:val="24"/>
              </w:rPr>
              <w:t>卖方还应提供下列服务：</w:t>
            </w:r>
          </w:p>
          <w:p>
            <w:pPr>
              <w:spacing w:line="360" w:lineRule="auto"/>
              <w:rPr>
                <w:rFonts w:ascii="宋体" w:hAnsi="宋体" w:cs="宋体"/>
                <w:sz w:val="24"/>
                <w:szCs w:val="24"/>
              </w:rPr>
            </w:pPr>
            <w:r>
              <w:rPr>
                <w:rFonts w:hint="eastAsia" w:ascii="宋体" w:hAnsi="宋体" w:cs="宋体"/>
                <w:sz w:val="24"/>
                <w:szCs w:val="24"/>
              </w:rPr>
              <w:t>1）货物的现场配送、安装、调试和启动监督；</w:t>
            </w:r>
          </w:p>
          <w:p>
            <w:pPr>
              <w:spacing w:line="360" w:lineRule="auto"/>
              <w:rPr>
                <w:rFonts w:ascii="宋体" w:hAnsi="宋体" w:cs="宋体"/>
                <w:sz w:val="24"/>
                <w:szCs w:val="24"/>
              </w:rPr>
            </w:pPr>
            <w:r>
              <w:rPr>
                <w:rFonts w:hint="eastAsia" w:ascii="宋体" w:hAnsi="宋体" w:cs="宋体"/>
                <w:sz w:val="24"/>
                <w:szCs w:val="24"/>
              </w:rPr>
              <w:t>2）提供货物安装和维修所需的工具，提供货物安装所需的耗材等。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06" w:type="dxa"/>
            <w:noWrap/>
            <w:vAlign w:val="center"/>
          </w:tcPr>
          <w:p>
            <w:pPr>
              <w:jc w:val="center"/>
              <w:rPr>
                <w:rFonts w:ascii="宋体" w:hAnsi="宋体" w:cs="宋体"/>
                <w:sz w:val="24"/>
                <w:szCs w:val="24"/>
              </w:rPr>
            </w:pPr>
            <w:r>
              <w:rPr>
                <w:rFonts w:hint="eastAsia" w:ascii="宋体" w:hAnsi="宋体" w:cs="宋体"/>
                <w:sz w:val="24"/>
                <w:szCs w:val="24"/>
              </w:rPr>
              <w:t>9.1</w:t>
            </w:r>
          </w:p>
        </w:tc>
        <w:tc>
          <w:tcPr>
            <w:tcW w:w="7582" w:type="dxa"/>
            <w:noWrap/>
            <w:vAlign w:val="center"/>
          </w:tcPr>
          <w:p>
            <w:pPr>
              <w:spacing w:line="360" w:lineRule="auto"/>
              <w:rPr>
                <w:rFonts w:ascii="宋体" w:hAnsi="宋体" w:cs="宋体"/>
                <w:sz w:val="24"/>
                <w:szCs w:val="22"/>
                <w:highlight w:val="none"/>
              </w:rPr>
            </w:pPr>
            <w:r>
              <w:rPr>
                <w:rFonts w:hint="eastAsia" w:ascii="宋体" w:hAnsi="宋体" w:cs="宋体"/>
                <w:sz w:val="24"/>
                <w:szCs w:val="22"/>
                <w:highlight w:val="none"/>
              </w:rPr>
              <w:t>质量保修期：</w:t>
            </w:r>
          </w:p>
          <w:p>
            <w:pPr>
              <w:numPr>
                <w:ilvl w:val="0"/>
                <w:numId w:val="2"/>
              </w:numPr>
              <w:spacing w:line="360" w:lineRule="auto"/>
              <w:rPr>
                <w:rFonts w:ascii="宋体" w:hAnsi="宋体" w:cs="宋体"/>
                <w:sz w:val="24"/>
                <w:szCs w:val="22"/>
                <w:highlight w:val="none"/>
              </w:rPr>
            </w:pPr>
            <w:r>
              <w:rPr>
                <w:rFonts w:hint="eastAsia" w:ascii="宋体" w:hAnsi="宋体" w:cs="宋体"/>
                <w:sz w:val="24"/>
                <w:szCs w:val="22"/>
                <w:highlight w:val="none"/>
              </w:rPr>
              <w:t>质量保修期：3年</w:t>
            </w:r>
          </w:p>
          <w:p>
            <w:pPr>
              <w:spacing w:line="360" w:lineRule="auto"/>
              <w:rPr>
                <w:rFonts w:ascii="宋体" w:hAnsi="宋体" w:cs="宋体"/>
                <w:sz w:val="24"/>
                <w:szCs w:val="24"/>
                <w:highlight w:val="none"/>
              </w:rPr>
            </w:pPr>
            <w:r>
              <w:rPr>
                <w:rFonts w:hint="eastAsia" w:ascii="宋体" w:hAnsi="宋体" w:cs="宋体"/>
                <w:sz w:val="24"/>
                <w:szCs w:val="22"/>
                <w:highlight w:val="none"/>
              </w:rPr>
              <w:t>2.供应商承诺的质保期起始时间为最终验收合格之日。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06" w:type="dxa"/>
            <w:noWrap/>
            <w:vAlign w:val="center"/>
          </w:tcPr>
          <w:p>
            <w:pPr>
              <w:jc w:val="center"/>
              <w:rPr>
                <w:rFonts w:ascii="宋体" w:hAnsi="宋体" w:cs="宋体"/>
                <w:sz w:val="24"/>
                <w:szCs w:val="24"/>
              </w:rPr>
            </w:pPr>
            <w:r>
              <w:rPr>
                <w:rFonts w:hint="eastAsia" w:ascii="宋体" w:hAnsi="宋体" w:cs="宋体"/>
                <w:sz w:val="24"/>
                <w:szCs w:val="24"/>
              </w:rPr>
              <w:t>9.3</w:t>
            </w:r>
          </w:p>
        </w:tc>
        <w:tc>
          <w:tcPr>
            <w:tcW w:w="7582" w:type="dxa"/>
            <w:noWrap/>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售后服务：免费维修与更换缺陷的期限为供应商收到买方通知后，电话随时响应，4小时内到达现场，24小时内解决处理完毕。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906" w:type="dxa"/>
            <w:tcBorders>
              <w:top w:val="single" w:color="auto" w:sz="4" w:space="0"/>
              <w:bottom w:val="single" w:color="auto" w:sz="4" w:space="0"/>
            </w:tcBorders>
            <w:noWrap/>
            <w:vAlign w:val="center"/>
          </w:tcPr>
          <w:p>
            <w:pPr>
              <w:jc w:val="center"/>
              <w:rPr>
                <w:rFonts w:ascii="宋体" w:hAnsi="宋体" w:cs="宋体"/>
                <w:sz w:val="24"/>
                <w:szCs w:val="24"/>
              </w:rPr>
            </w:pPr>
            <w:r>
              <w:rPr>
                <w:rFonts w:hint="eastAsia" w:ascii="宋体" w:hAnsi="宋体" w:cs="宋体"/>
                <w:sz w:val="24"/>
                <w:szCs w:val="24"/>
              </w:rPr>
              <w:t>10.2</w:t>
            </w:r>
          </w:p>
        </w:tc>
        <w:tc>
          <w:tcPr>
            <w:tcW w:w="7582" w:type="dxa"/>
            <w:tcBorders>
              <w:top w:val="single" w:color="auto" w:sz="4" w:space="0"/>
              <w:bottom w:val="single" w:color="auto" w:sz="4" w:space="0"/>
            </w:tcBorders>
            <w:noWrap/>
            <w:vAlign w:val="center"/>
          </w:tcPr>
          <w:p>
            <w:pPr>
              <w:spacing w:line="420" w:lineRule="exact"/>
              <w:rPr>
                <w:rFonts w:ascii="宋体" w:hAnsi="宋体" w:cs="宋体"/>
                <w:sz w:val="24"/>
                <w:szCs w:val="24"/>
              </w:rPr>
            </w:pPr>
            <w:r>
              <w:rPr>
                <w:rFonts w:hint="eastAsia" w:ascii="宋体" w:hAnsi="宋体" w:cs="宋体"/>
                <w:sz w:val="24"/>
                <w:szCs w:val="24"/>
              </w:rPr>
              <w:t>验收方式及验收依据：设备到货后，由采购单位、具体使用单位组织，采购代理机构协助，根据国家标准及合同要求进行验收，根据合同规定的技术、服务、安全标准要求进行验收。并出具验收书，验收书应当包括每一项技术、服务、安全标准的履约情况，以便结算。</w:t>
            </w:r>
          </w:p>
        </w:tc>
      </w:tr>
    </w:tbl>
    <w:p>
      <w:pPr>
        <w:pStyle w:val="32"/>
        <w:rPr>
          <w:rFonts w:ascii="宋体" w:hAnsi="宋体" w:eastAsia="宋体" w:cs="宋体"/>
          <w:b/>
          <w:sz w:val="44"/>
          <w:szCs w:val="44"/>
        </w:rPr>
      </w:pPr>
    </w:p>
    <w:p>
      <w:pPr>
        <w:numPr>
          <w:ilvl w:val="0"/>
          <w:numId w:val="3"/>
        </w:numPr>
        <w:spacing w:line="360" w:lineRule="auto"/>
        <w:jc w:val="center"/>
        <w:rPr>
          <w:rFonts w:ascii="宋体" w:hAnsi="宋体" w:cs="宋体"/>
          <w:b/>
          <w:sz w:val="44"/>
          <w:szCs w:val="44"/>
        </w:rPr>
      </w:pPr>
      <w:r>
        <w:rPr>
          <w:rFonts w:hint="eastAsia" w:ascii="宋体" w:hAnsi="宋体" w:cs="宋体"/>
          <w:b/>
          <w:sz w:val="44"/>
          <w:szCs w:val="44"/>
        </w:rPr>
        <w:t>合同格式</w:t>
      </w:r>
    </w:p>
    <w:p>
      <w:pPr>
        <w:spacing w:line="360" w:lineRule="auto"/>
        <w:jc w:val="center"/>
        <w:rPr>
          <w:rFonts w:ascii="宋体" w:hAnsi="宋体"/>
          <w:b/>
          <w:sz w:val="44"/>
        </w:rPr>
      </w:pPr>
    </w:p>
    <w:p>
      <w:pPr>
        <w:jc w:val="center"/>
        <w:rPr>
          <w:rFonts w:ascii="黑体" w:hAnsi="宋体" w:eastAsia="黑体"/>
          <w:b/>
          <w:sz w:val="48"/>
          <w:szCs w:val="48"/>
        </w:rPr>
      </w:pPr>
      <w:r>
        <w:rPr>
          <w:rFonts w:hint="eastAsia" w:ascii="黑体" w:hAnsi="宋体" w:eastAsia="黑体"/>
          <w:b/>
          <w:sz w:val="48"/>
          <w:szCs w:val="48"/>
        </w:rPr>
        <w:t>陕西中医药大学附属医院</w:t>
      </w:r>
    </w:p>
    <w:p>
      <w:pPr>
        <w:jc w:val="center"/>
        <w:rPr>
          <w:rFonts w:ascii="黑体" w:eastAsia="黑体"/>
          <w:b/>
          <w:sz w:val="48"/>
          <w:szCs w:val="48"/>
        </w:rPr>
      </w:pPr>
      <w:r>
        <w:rPr>
          <w:rFonts w:hint="eastAsia" w:ascii="黑体" w:eastAsia="黑体"/>
          <w:b/>
          <w:sz w:val="48"/>
          <w:szCs w:val="48"/>
        </w:rPr>
        <w:t>医疗设备</w:t>
      </w:r>
    </w:p>
    <w:p>
      <w:pPr>
        <w:rPr>
          <w:rFonts w:ascii="黑体" w:eastAsia="黑体"/>
          <w:b/>
          <w:sz w:val="72"/>
          <w:szCs w:val="72"/>
        </w:rPr>
      </w:pPr>
    </w:p>
    <w:p>
      <w:pPr>
        <w:jc w:val="center"/>
        <w:rPr>
          <w:b/>
          <w:sz w:val="72"/>
          <w:szCs w:val="72"/>
        </w:rPr>
      </w:pPr>
    </w:p>
    <w:p>
      <w:pPr>
        <w:jc w:val="center"/>
        <w:rPr>
          <w:rFonts w:ascii="黑体" w:eastAsia="黑体"/>
          <w:b/>
          <w:sz w:val="72"/>
          <w:szCs w:val="72"/>
        </w:rPr>
      </w:pPr>
      <w:r>
        <w:rPr>
          <w:rFonts w:hint="eastAsia" w:ascii="黑体" w:eastAsia="黑体"/>
          <w:b/>
          <w:sz w:val="72"/>
          <w:szCs w:val="72"/>
        </w:rPr>
        <w:t>供 货 合 同</w:t>
      </w: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ind w:firstLine="2240" w:firstLineChars="700"/>
        <w:rPr>
          <w:rFonts w:ascii="黑体" w:eastAsia="黑体"/>
          <w:sz w:val="32"/>
          <w:szCs w:val="32"/>
        </w:rPr>
      </w:pPr>
    </w:p>
    <w:p>
      <w:pPr>
        <w:ind w:firstLine="1920" w:firstLineChars="600"/>
        <w:rPr>
          <w:rFonts w:ascii="黑体" w:eastAsia="黑体"/>
          <w:sz w:val="32"/>
          <w:szCs w:val="32"/>
        </w:rPr>
      </w:pPr>
      <w:r>
        <w:rPr>
          <w:rFonts w:hint="eastAsia" w:ascii="黑体" w:eastAsia="黑体"/>
          <w:sz w:val="32"/>
          <w:szCs w:val="32"/>
        </w:rPr>
        <w:t>甲  方：陕西中医药大学附属医院</w:t>
      </w:r>
    </w:p>
    <w:p>
      <w:pPr>
        <w:ind w:firstLine="1920" w:firstLineChars="600"/>
        <w:rPr>
          <w:rFonts w:ascii="黑体" w:eastAsia="黑体"/>
          <w:sz w:val="32"/>
          <w:szCs w:val="32"/>
        </w:rPr>
      </w:pPr>
      <w:r>
        <w:rPr>
          <w:rFonts w:hint="eastAsia" w:ascii="黑体" w:eastAsia="黑体"/>
          <w:sz w:val="32"/>
          <w:szCs w:val="32"/>
        </w:rPr>
        <w:t>乙  方：</w:t>
      </w:r>
    </w:p>
    <w:p>
      <w:pPr>
        <w:ind w:firstLine="1920" w:firstLineChars="600"/>
        <w:rPr>
          <w:rFonts w:ascii="黑体" w:eastAsia="黑体"/>
          <w:sz w:val="32"/>
          <w:szCs w:val="32"/>
        </w:rPr>
      </w:pPr>
    </w:p>
    <w:p>
      <w:pPr>
        <w:ind w:firstLine="1920" w:firstLineChars="600"/>
        <w:rPr>
          <w:rFonts w:ascii="黑体" w:eastAsia="黑体"/>
          <w:sz w:val="32"/>
          <w:szCs w:val="32"/>
        </w:rPr>
      </w:pPr>
    </w:p>
    <w:p>
      <w:pPr>
        <w:ind w:firstLine="1928" w:firstLineChars="600"/>
        <w:rPr>
          <w:rFonts w:ascii="黑体" w:hAnsi="宋体" w:eastAsia="黑体"/>
          <w:b/>
          <w:sz w:val="32"/>
          <w:szCs w:val="32"/>
        </w:rPr>
      </w:pPr>
    </w:p>
    <w:p>
      <w:pPr>
        <w:rPr>
          <w:rFonts w:ascii="黑体" w:eastAsia="黑体"/>
          <w:b/>
          <w:sz w:val="32"/>
          <w:szCs w:val="32"/>
        </w:rPr>
      </w:pPr>
    </w:p>
    <w:p>
      <w:pPr>
        <w:jc w:val="center"/>
        <w:rPr>
          <w:bCs/>
        </w:rPr>
      </w:pPr>
      <w:r>
        <w:rPr>
          <w:rFonts w:hint="eastAsia"/>
          <w:bCs/>
          <w:sz w:val="24"/>
        </w:rPr>
        <w:t>合同签订地：咸阳市秦都区</w:t>
      </w:r>
    </w:p>
    <w:p>
      <w:pPr>
        <w:spacing w:line="360" w:lineRule="auto"/>
        <w:rPr>
          <w:sz w:val="24"/>
        </w:rPr>
      </w:pPr>
    </w:p>
    <w:p>
      <w:pPr>
        <w:spacing w:line="360" w:lineRule="auto"/>
        <w:rPr>
          <w:sz w:val="24"/>
        </w:rPr>
      </w:pPr>
    </w:p>
    <w:p>
      <w:pPr>
        <w:spacing w:line="360" w:lineRule="auto"/>
        <w:rPr>
          <w:sz w:val="24"/>
        </w:rPr>
      </w:pPr>
    </w:p>
    <w:p>
      <w:pPr>
        <w:spacing w:line="460" w:lineRule="exact"/>
        <w:rPr>
          <w:sz w:val="24"/>
        </w:rPr>
      </w:pPr>
      <w:r>
        <w:rPr>
          <w:rFonts w:hint="eastAsia"/>
          <w:sz w:val="24"/>
        </w:rPr>
        <w:t xml:space="preserve">甲方（需方）：陕西中医药大学附属医院                     </w:t>
      </w:r>
    </w:p>
    <w:p>
      <w:pPr>
        <w:spacing w:line="460" w:lineRule="exact"/>
        <w:rPr>
          <w:sz w:val="24"/>
        </w:rPr>
      </w:pPr>
      <w:r>
        <w:rPr>
          <w:rFonts w:hint="eastAsia"/>
          <w:sz w:val="24"/>
        </w:rPr>
        <w:t>乙方（供方）：</w:t>
      </w:r>
    </w:p>
    <w:p>
      <w:pPr>
        <w:spacing w:line="460" w:lineRule="exact"/>
        <w:ind w:firstLine="480" w:firstLineChars="200"/>
        <w:rPr>
          <w:sz w:val="24"/>
        </w:rPr>
      </w:pPr>
      <w:r>
        <w:rPr>
          <w:rFonts w:hint="eastAsia"/>
          <w:sz w:val="24"/>
          <w:szCs w:val="24"/>
        </w:rPr>
        <w:t>甲乙双方依照国家相关法律、法规，签订本合同并信守下列条款，双方共同遵守。</w:t>
      </w:r>
    </w:p>
    <w:p>
      <w:pPr>
        <w:numPr>
          <w:ilvl w:val="0"/>
          <w:numId w:val="4"/>
        </w:numPr>
        <w:spacing w:line="460" w:lineRule="exact"/>
        <w:rPr>
          <w:sz w:val="24"/>
        </w:rPr>
      </w:pPr>
      <w:r>
        <w:rPr>
          <w:rFonts w:hint="eastAsia"/>
          <w:sz w:val="24"/>
        </w:rPr>
        <w:t xml:space="preserve">产品名称、型号、厂家、数量、单价、总金额：        </w:t>
      </w:r>
      <w:r>
        <w:rPr>
          <w:rFonts w:hint="eastAsia"/>
          <w:szCs w:val="21"/>
        </w:rPr>
        <w:t>单位：人民币元</w:t>
      </w:r>
    </w:p>
    <w:tbl>
      <w:tblPr>
        <w:tblStyle w:val="18"/>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537"/>
        <w:gridCol w:w="1537"/>
        <w:gridCol w:w="1418"/>
        <w:gridCol w:w="1135"/>
        <w:gridCol w:w="869"/>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84" w:type="dxa"/>
            <w:noWrap/>
            <w:vAlign w:val="center"/>
          </w:tcPr>
          <w:p>
            <w:pPr>
              <w:spacing w:line="460" w:lineRule="exact"/>
              <w:jc w:val="center"/>
              <w:rPr>
                <w:rFonts w:ascii="宋体" w:hAnsi="宋体"/>
                <w:b/>
                <w:bCs/>
              </w:rPr>
            </w:pPr>
            <w:r>
              <w:rPr>
                <w:rFonts w:hint="eastAsia" w:ascii="宋体" w:hAnsi="宋体"/>
                <w:b/>
                <w:bCs/>
              </w:rPr>
              <w:t>公司名称</w:t>
            </w:r>
          </w:p>
        </w:tc>
        <w:tc>
          <w:tcPr>
            <w:tcW w:w="1537" w:type="dxa"/>
            <w:noWrap/>
            <w:vAlign w:val="center"/>
          </w:tcPr>
          <w:p>
            <w:pPr>
              <w:spacing w:line="460" w:lineRule="exact"/>
              <w:jc w:val="center"/>
              <w:rPr>
                <w:rFonts w:ascii="宋体" w:hAnsi="宋体"/>
                <w:b/>
                <w:bCs/>
              </w:rPr>
            </w:pPr>
            <w:r>
              <w:rPr>
                <w:rFonts w:hint="eastAsia" w:ascii="宋体" w:hAnsi="宋体"/>
                <w:b/>
                <w:bCs/>
              </w:rPr>
              <w:t>项目名称</w:t>
            </w:r>
          </w:p>
        </w:tc>
        <w:tc>
          <w:tcPr>
            <w:tcW w:w="1537" w:type="dxa"/>
            <w:noWrap/>
            <w:vAlign w:val="center"/>
          </w:tcPr>
          <w:p>
            <w:pPr>
              <w:spacing w:line="460" w:lineRule="exact"/>
              <w:jc w:val="center"/>
              <w:rPr>
                <w:rFonts w:ascii="宋体" w:hAnsi="宋体"/>
                <w:b/>
                <w:bCs/>
              </w:rPr>
            </w:pPr>
            <w:r>
              <w:rPr>
                <w:rFonts w:hint="eastAsia" w:ascii="宋体" w:hAnsi="宋体"/>
                <w:b/>
                <w:bCs/>
              </w:rPr>
              <w:t>产品名称</w:t>
            </w:r>
          </w:p>
        </w:tc>
        <w:tc>
          <w:tcPr>
            <w:tcW w:w="1418" w:type="dxa"/>
            <w:noWrap/>
            <w:vAlign w:val="center"/>
          </w:tcPr>
          <w:p>
            <w:pPr>
              <w:spacing w:line="460" w:lineRule="exact"/>
              <w:jc w:val="center"/>
              <w:rPr>
                <w:rFonts w:ascii="宋体" w:hAnsi="宋体"/>
                <w:b/>
                <w:bCs/>
              </w:rPr>
            </w:pPr>
            <w:r>
              <w:rPr>
                <w:rFonts w:hint="eastAsia" w:ascii="宋体" w:hAnsi="宋体"/>
                <w:b/>
                <w:bCs/>
              </w:rPr>
              <w:t>型号规格</w:t>
            </w:r>
          </w:p>
        </w:tc>
        <w:tc>
          <w:tcPr>
            <w:tcW w:w="1135" w:type="dxa"/>
            <w:noWrap/>
            <w:vAlign w:val="center"/>
          </w:tcPr>
          <w:p>
            <w:pPr>
              <w:spacing w:line="460" w:lineRule="exact"/>
              <w:jc w:val="center"/>
              <w:rPr>
                <w:rFonts w:ascii="宋体" w:hAnsi="宋体"/>
                <w:b/>
                <w:bCs/>
              </w:rPr>
            </w:pPr>
            <w:r>
              <w:rPr>
                <w:rFonts w:hint="eastAsia" w:ascii="宋体" w:hAnsi="宋体"/>
                <w:b/>
                <w:bCs/>
              </w:rPr>
              <w:t>生产厂家</w:t>
            </w:r>
          </w:p>
        </w:tc>
        <w:tc>
          <w:tcPr>
            <w:tcW w:w="869" w:type="dxa"/>
            <w:noWrap/>
            <w:vAlign w:val="center"/>
          </w:tcPr>
          <w:p>
            <w:pPr>
              <w:spacing w:line="460" w:lineRule="exact"/>
              <w:jc w:val="center"/>
              <w:rPr>
                <w:rFonts w:ascii="宋体" w:hAnsi="宋体"/>
                <w:b/>
                <w:bCs/>
              </w:rPr>
            </w:pPr>
            <w:r>
              <w:rPr>
                <w:rFonts w:hint="eastAsia" w:ascii="宋体" w:hAnsi="宋体"/>
                <w:b/>
                <w:bCs/>
              </w:rPr>
              <w:t>数量</w:t>
            </w:r>
          </w:p>
        </w:tc>
        <w:tc>
          <w:tcPr>
            <w:tcW w:w="1448" w:type="dxa"/>
            <w:noWrap/>
            <w:vAlign w:val="center"/>
          </w:tcPr>
          <w:p>
            <w:pPr>
              <w:spacing w:line="460" w:lineRule="exact"/>
              <w:jc w:val="center"/>
              <w:rPr>
                <w:rFonts w:ascii="宋体" w:hAnsi="宋体"/>
                <w:b/>
                <w:bCs/>
              </w:rPr>
            </w:pPr>
            <w:r>
              <w:rPr>
                <w:rFonts w:hint="eastAsia" w:ascii="宋体" w:hAnsi="宋体"/>
                <w:b/>
                <w:bCs/>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284" w:type="dxa"/>
            <w:noWrap/>
            <w:vAlign w:val="center"/>
          </w:tcPr>
          <w:p>
            <w:pPr>
              <w:widowControl/>
              <w:spacing w:line="460" w:lineRule="exact"/>
              <w:jc w:val="center"/>
              <w:textAlignment w:val="center"/>
              <w:rPr>
                <w:rFonts w:ascii="宋体" w:hAnsi="宋体" w:cs="宋体"/>
                <w:bCs/>
                <w:color w:val="000000"/>
                <w:szCs w:val="21"/>
              </w:rPr>
            </w:pPr>
          </w:p>
        </w:tc>
        <w:tc>
          <w:tcPr>
            <w:tcW w:w="1537" w:type="dxa"/>
            <w:noWrap/>
            <w:vAlign w:val="center"/>
          </w:tcPr>
          <w:p>
            <w:pPr>
              <w:widowControl/>
              <w:spacing w:line="460" w:lineRule="exact"/>
              <w:jc w:val="center"/>
              <w:textAlignment w:val="center"/>
              <w:rPr>
                <w:rFonts w:ascii="宋体" w:hAnsi="宋体" w:cs="宋体"/>
                <w:color w:val="000000"/>
                <w:sz w:val="24"/>
              </w:rPr>
            </w:pPr>
          </w:p>
        </w:tc>
        <w:tc>
          <w:tcPr>
            <w:tcW w:w="1537" w:type="dxa"/>
            <w:noWrap/>
            <w:vAlign w:val="center"/>
          </w:tcPr>
          <w:p>
            <w:pPr>
              <w:widowControl/>
              <w:spacing w:line="460" w:lineRule="exact"/>
              <w:jc w:val="center"/>
              <w:textAlignment w:val="center"/>
              <w:rPr>
                <w:rFonts w:ascii="宋体" w:hAnsi="宋体" w:cs="宋体"/>
                <w:color w:val="000000"/>
                <w:sz w:val="24"/>
              </w:rPr>
            </w:pPr>
          </w:p>
        </w:tc>
        <w:tc>
          <w:tcPr>
            <w:tcW w:w="1418" w:type="dxa"/>
            <w:noWrap/>
            <w:vAlign w:val="center"/>
          </w:tcPr>
          <w:p>
            <w:pPr>
              <w:widowControl/>
              <w:spacing w:line="460" w:lineRule="exact"/>
              <w:jc w:val="center"/>
              <w:textAlignment w:val="center"/>
              <w:rPr>
                <w:rFonts w:ascii="宋体" w:hAnsi="宋体" w:cs="宋体"/>
                <w:color w:val="000000"/>
                <w:sz w:val="24"/>
              </w:rPr>
            </w:pPr>
          </w:p>
        </w:tc>
        <w:tc>
          <w:tcPr>
            <w:tcW w:w="1135" w:type="dxa"/>
            <w:noWrap/>
            <w:vAlign w:val="center"/>
          </w:tcPr>
          <w:p>
            <w:pPr>
              <w:pStyle w:val="32"/>
              <w:spacing w:line="460" w:lineRule="exact"/>
              <w:jc w:val="center"/>
              <w:rPr>
                <w:rFonts w:hAnsi="宋体"/>
              </w:rPr>
            </w:pPr>
          </w:p>
        </w:tc>
        <w:tc>
          <w:tcPr>
            <w:tcW w:w="869" w:type="dxa"/>
            <w:noWrap/>
            <w:vAlign w:val="center"/>
          </w:tcPr>
          <w:p>
            <w:pPr>
              <w:widowControl/>
              <w:spacing w:line="460" w:lineRule="exact"/>
              <w:jc w:val="center"/>
              <w:textAlignment w:val="center"/>
              <w:rPr>
                <w:rFonts w:ascii="宋体" w:hAnsi="宋体" w:cs="宋体"/>
                <w:bCs/>
                <w:color w:val="000000"/>
                <w:sz w:val="24"/>
              </w:rPr>
            </w:pPr>
          </w:p>
        </w:tc>
        <w:tc>
          <w:tcPr>
            <w:tcW w:w="1448" w:type="dxa"/>
            <w:noWrap/>
            <w:vAlign w:val="center"/>
          </w:tcPr>
          <w:p>
            <w:pPr>
              <w:widowControl/>
              <w:spacing w:line="460" w:lineRule="exact"/>
              <w:jc w:val="center"/>
              <w:textAlignment w:val="center"/>
              <w:rPr>
                <w:rFonts w:ascii="宋体" w:hAnsi="宋体" w:cs="宋体"/>
                <w:bCs/>
                <w:color w:val="000000"/>
                <w:sz w:val="24"/>
              </w:rPr>
            </w:pPr>
          </w:p>
        </w:tc>
      </w:tr>
    </w:tbl>
    <w:p>
      <w:pPr>
        <w:widowControl/>
        <w:spacing w:line="460" w:lineRule="exact"/>
        <w:rPr>
          <w:sz w:val="24"/>
        </w:rPr>
      </w:pPr>
      <w:r>
        <w:rPr>
          <w:rFonts w:hint="eastAsia"/>
          <w:sz w:val="24"/>
          <w:szCs w:val="24"/>
        </w:rPr>
        <w:t>本合同价格为含税价</w:t>
      </w:r>
    </w:p>
    <w:p>
      <w:pPr>
        <w:spacing w:line="460" w:lineRule="exact"/>
      </w:pPr>
      <w:r>
        <w:rPr>
          <w:rFonts w:hint="eastAsia"/>
          <w:sz w:val="24"/>
          <w:szCs w:val="24"/>
        </w:rPr>
        <w:t>二、交货时间：</w:t>
      </w:r>
    </w:p>
    <w:p>
      <w:pPr>
        <w:spacing w:line="460" w:lineRule="exact"/>
        <w:ind w:firstLine="480" w:firstLineChars="200"/>
        <w:rPr>
          <w:sz w:val="24"/>
        </w:rPr>
      </w:pPr>
      <w:r>
        <w:rPr>
          <w:rFonts w:hint="eastAsia"/>
          <w:sz w:val="24"/>
        </w:rPr>
        <w:t>乙方应在合同签订之日起天内将货送到医院。</w:t>
      </w:r>
    </w:p>
    <w:p>
      <w:pPr>
        <w:spacing w:line="460" w:lineRule="exact"/>
        <w:rPr>
          <w:sz w:val="24"/>
        </w:rPr>
      </w:pPr>
      <w:r>
        <w:rPr>
          <w:rFonts w:hint="eastAsia"/>
          <w:sz w:val="24"/>
        </w:rPr>
        <w:t>三、随机的必备品、配件、工具数量、供应方法及配置清单以投标文件为准。</w:t>
      </w:r>
    </w:p>
    <w:p>
      <w:pPr>
        <w:spacing w:line="460" w:lineRule="exact"/>
        <w:ind w:firstLine="480" w:firstLineChars="200"/>
        <w:rPr>
          <w:sz w:val="24"/>
        </w:rPr>
      </w:pPr>
      <w:r>
        <w:rPr>
          <w:rFonts w:hint="eastAsia"/>
          <w:sz w:val="24"/>
        </w:rPr>
        <w:t>按装箱单提供所有设备，详细配置见配置清单，并提供电路图。甲方对以上设备有保密责任不得外传第三方。乙方不得随意更改，如特殊原因更改参数及数量，必须经甲方书面同意。</w:t>
      </w:r>
    </w:p>
    <w:p>
      <w:pPr>
        <w:spacing w:line="460" w:lineRule="exact"/>
        <w:rPr>
          <w:sz w:val="24"/>
        </w:rPr>
      </w:pPr>
      <w:r>
        <w:rPr>
          <w:rFonts w:hint="eastAsia"/>
          <w:sz w:val="24"/>
        </w:rPr>
        <w:t>四、运输方式、到达站（港）费用负担、安装、培训及其他：</w:t>
      </w:r>
    </w:p>
    <w:p>
      <w:pPr>
        <w:spacing w:line="460" w:lineRule="exact"/>
        <w:ind w:firstLine="480" w:firstLineChars="200"/>
        <w:rPr>
          <w:sz w:val="24"/>
        </w:rPr>
      </w:pPr>
      <w:r>
        <w:rPr>
          <w:rFonts w:hint="eastAsia"/>
          <w:sz w:val="24"/>
        </w:rPr>
        <w:t>乙方负责送货到甲方指定地点，设备发货时间需提前通知甲方，以便甲方准备安装场地。乙方负责卸货安装调试并承担其费用。</w:t>
      </w:r>
    </w:p>
    <w:p>
      <w:pPr>
        <w:spacing w:line="460" w:lineRule="exact"/>
        <w:ind w:firstLine="480" w:firstLineChars="200"/>
        <w:rPr>
          <w:sz w:val="24"/>
        </w:rPr>
      </w:pPr>
      <w:r>
        <w:rPr>
          <w:rFonts w:hint="eastAsia"/>
          <w:sz w:val="24"/>
        </w:rPr>
        <w:t>甲方按照乙方提供的安装环境参数，负责安装现场水、电、气及配套设备的工作。乙方需提供同型号机型的操作手册、维修手册及安装环境参数，设备到达后对使用科室进行现场操作培训。</w:t>
      </w:r>
    </w:p>
    <w:p>
      <w:pPr>
        <w:spacing w:line="460" w:lineRule="exact"/>
        <w:ind w:firstLine="480" w:firstLineChars="200"/>
        <w:rPr>
          <w:sz w:val="24"/>
        </w:rPr>
      </w:pPr>
      <w:r>
        <w:rPr>
          <w:rFonts w:hint="eastAsia"/>
          <w:sz w:val="24"/>
        </w:rPr>
        <w:t>乙方所供设备的耗材、试剂必须按照陕西中医药大学附属医院耗材、试剂规范流程保证供应。</w:t>
      </w:r>
    </w:p>
    <w:p>
      <w:pPr>
        <w:spacing w:line="460" w:lineRule="exact"/>
        <w:ind w:firstLine="480" w:firstLineChars="200"/>
        <w:rPr>
          <w:sz w:val="24"/>
        </w:rPr>
      </w:pPr>
      <w:r>
        <w:rPr>
          <w:rFonts w:hint="eastAsia"/>
          <w:sz w:val="24"/>
        </w:rPr>
        <w:t>质保期：验收合格之日起年。售后：电话随时响应，2小时</w:t>
      </w:r>
      <w:r>
        <w:rPr>
          <w:rFonts w:hint="eastAsia"/>
          <w:sz w:val="24"/>
          <w:szCs w:val="24"/>
        </w:rPr>
        <w:t>到位。</w:t>
      </w:r>
      <w:r>
        <w:rPr>
          <w:rFonts w:hint="eastAsia"/>
          <w:color w:val="000000" w:themeColor="text1"/>
          <w:sz w:val="24"/>
        </w:rPr>
        <w:t>一次不按时到场，乙方应向甲方支付1000元违约金。质保期满后乙方应继续提供保修和保养服务，只收配件成本费，免服务费。终身维修维护。</w:t>
      </w:r>
    </w:p>
    <w:p>
      <w:pPr>
        <w:spacing w:line="460" w:lineRule="exact"/>
        <w:ind w:firstLine="480" w:firstLineChars="200"/>
        <w:rPr>
          <w:sz w:val="24"/>
        </w:rPr>
      </w:pPr>
      <w:r>
        <w:rPr>
          <w:rFonts w:hint="eastAsia"/>
          <w:sz w:val="24"/>
        </w:rPr>
        <w:t>合理损耗及计算方法： 无</w:t>
      </w:r>
    </w:p>
    <w:p>
      <w:pPr>
        <w:spacing w:line="460" w:lineRule="exact"/>
        <w:rPr>
          <w:sz w:val="24"/>
        </w:rPr>
      </w:pPr>
      <w:r>
        <w:rPr>
          <w:rFonts w:hint="eastAsia"/>
          <w:sz w:val="24"/>
        </w:rPr>
        <w:t>五、包装标准、包装物的供应与回收：</w:t>
      </w:r>
    </w:p>
    <w:p>
      <w:pPr>
        <w:spacing w:line="460" w:lineRule="exact"/>
        <w:ind w:firstLine="480" w:firstLineChars="200"/>
        <w:rPr>
          <w:sz w:val="24"/>
        </w:rPr>
      </w:pPr>
      <w:r>
        <w:rPr>
          <w:rFonts w:hint="eastAsia"/>
          <w:sz w:val="24"/>
        </w:rPr>
        <w:t>原厂商包装，包装物不回收。</w:t>
      </w:r>
    </w:p>
    <w:p>
      <w:pPr>
        <w:spacing w:line="460" w:lineRule="exact"/>
        <w:rPr>
          <w:sz w:val="24"/>
        </w:rPr>
      </w:pPr>
      <w:r>
        <w:rPr>
          <w:rFonts w:hint="eastAsia"/>
          <w:sz w:val="24"/>
        </w:rPr>
        <w:t>六、验收标准、方法、地点、期限及提出异议期限：</w:t>
      </w:r>
    </w:p>
    <w:p>
      <w:pPr>
        <w:spacing w:line="460" w:lineRule="exact"/>
        <w:ind w:firstLine="480" w:firstLineChars="200"/>
        <w:rPr>
          <w:sz w:val="24"/>
        </w:rPr>
      </w:pPr>
      <w:r>
        <w:rPr>
          <w:rFonts w:hint="eastAsia"/>
          <w:sz w:val="24"/>
        </w:rPr>
        <w:t>1.乙方安装调试完毕后，先试运行一个月，之后由</w:t>
      </w:r>
      <w:r>
        <w:rPr>
          <w:rFonts w:hint="eastAsia" w:ascii="Calibri" w:cs="Calibri"/>
          <w:sz w:val="24"/>
          <w:szCs w:val="24"/>
        </w:rPr>
        <w:t>乙方书面申请甲方进行验收，甲方应按照合同约定或者招投标确定的验收标准进行验收</w:t>
      </w:r>
      <w:r>
        <w:rPr>
          <w:rFonts w:hint="eastAsia"/>
          <w:sz w:val="24"/>
        </w:rPr>
        <w:t>；验收地点在设备安装地。</w:t>
      </w:r>
    </w:p>
    <w:p>
      <w:pPr>
        <w:pStyle w:val="32"/>
        <w:spacing w:line="460" w:lineRule="exact"/>
        <w:ind w:firstLine="480"/>
        <w:rPr>
          <w:rFonts w:ascii="Times New Roman" w:eastAsia="宋体"/>
          <w:color w:val="auto"/>
          <w:kern w:val="2"/>
        </w:rPr>
      </w:pPr>
      <w:r>
        <w:rPr>
          <w:rFonts w:hint="eastAsia" w:ascii="Times New Roman" w:eastAsia="宋体"/>
          <w:color w:val="auto"/>
          <w:kern w:val="2"/>
        </w:rPr>
        <w:t>2.经甲方验收不合格的，乙方应在7个工作日内重新调试维修或者换货。如乙方未在约定期限重新调试维修或者换货，或者经乙方重新调试维修或者换货，甲方再次验收仍然不合格的，甲方有权解除合同，乙方应向甲方支付货款20%的违约金。</w:t>
      </w:r>
    </w:p>
    <w:p>
      <w:pPr>
        <w:pStyle w:val="32"/>
        <w:spacing w:line="460" w:lineRule="exact"/>
        <w:ind w:firstLine="480"/>
        <w:rPr>
          <w:rFonts w:ascii="Times New Roman" w:eastAsia="宋体"/>
          <w:color w:val="auto"/>
          <w:kern w:val="2"/>
        </w:rPr>
      </w:pPr>
      <w:r>
        <w:rPr>
          <w:rFonts w:hint="eastAsia" w:ascii="Times New Roman" w:eastAsia="宋体"/>
          <w:color w:val="auto"/>
          <w:kern w:val="2"/>
        </w:rPr>
        <w:t>3.如乙方对验收结果有异议的，经乙方书面申请，双方共同确定第三方进行鉴定，鉴定费由乙方承担。</w:t>
      </w:r>
    </w:p>
    <w:p>
      <w:pPr>
        <w:spacing w:line="460" w:lineRule="exact"/>
        <w:rPr>
          <w:rFonts w:ascii="宋体" w:hAnsi="宋体"/>
          <w:sz w:val="24"/>
        </w:rPr>
      </w:pPr>
      <w:r>
        <w:rPr>
          <w:rFonts w:hint="eastAsia" w:ascii="宋体" w:hAnsi="宋体"/>
          <w:sz w:val="24"/>
        </w:rPr>
        <w:t>七、付款方式：</w:t>
      </w:r>
    </w:p>
    <w:p>
      <w:pPr>
        <w:spacing w:line="460" w:lineRule="exact"/>
        <w:ind w:firstLine="480" w:firstLineChars="200"/>
        <w:rPr>
          <w:sz w:val="24"/>
        </w:rPr>
      </w:pPr>
      <w:r>
        <w:rPr>
          <w:rFonts w:hint="eastAsia"/>
          <w:sz w:val="24"/>
        </w:rPr>
        <w:t>1.验收合格后一个月内支付合同款的60%。</w:t>
      </w:r>
    </w:p>
    <w:p>
      <w:pPr>
        <w:spacing w:line="460" w:lineRule="exact"/>
        <w:ind w:firstLine="480" w:firstLineChars="200"/>
        <w:rPr>
          <w:sz w:val="24"/>
        </w:rPr>
      </w:pPr>
      <w:r>
        <w:rPr>
          <w:rFonts w:hint="eastAsia"/>
          <w:sz w:val="24"/>
        </w:rPr>
        <w:t>2.验收合格后三个月后支付合同款的30%。</w:t>
      </w:r>
    </w:p>
    <w:p>
      <w:pPr>
        <w:spacing w:line="460" w:lineRule="exact"/>
        <w:ind w:firstLine="480" w:firstLineChars="200"/>
      </w:pPr>
      <w:r>
        <w:rPr>
          <w:rFonts w:hint="eastAsia"/>
          <w:sz w:val="24"/>
        </w:rPr>
        <w:t>3.剩余10%作为质保金，质保1年后支付5%，质保期满后支付5%。如果出现质量问题或其他违约情形，所产生的费用或违约金直接从质保金中扣除，不足部分由乙方另行支付。</w:t>
      </w:r>
    </w:p>
    <w:p>
      <w:pPr>
        <w:spacing w:line="460" w:lineRule="exact"/>
        <w:rPr>
          <w:sz w:val="24"/>
        </w:rPr>
      </w:pPr>
      <w:r>
        <w:rPr>
          <w:rFonts w:hint="eastAsia"/>
          <w:sz w:val="24"/>
        </w:rPr>
        <w:t>八、违约责任：</w:t>
      </w:r>
    </w:p>
    <w:p>
      <w:pPr>
        <w:spacing w:line="460" w:lineRule="exact"/>
        <w:ind w:firstLine="480" w:firstLineChars="200"/>
        <w:rPr>
          <w:rFonts w:ascii="Calibri" w:hAnsi="Calibri" w:cs="Calibri"/>
          <w:sz w:val="24"/>
        </w:rPr>
      </w:pPr>
      <w:r>
        <w:rPr>
          <w:rFonts w:ascii="Calibri" w:hAnsi="Calibri" w:cs="Calibri"/>
          <w:sz w:val="24"/>
          <w:szCs w:val="24"/>
        </w:rPr>
        <w:t>1.</w:t>
      </w:r>
      <w:r>
        <w:rPr>
          <w:rFonts w:ascii="Calibri" w:cs="Calibri"/>
          <w:sz w:val="24"/>
          <w:szCs w:val="24"/>
        </w:rPr>
        <w:t>乙方如果未按</w:t>
      </w:r>
      <w:r>
        <w:rPr>
          <w:rFonts w:hint="eastAsia" w:ascii="Calibri" w:cs="Calibri"/>
          <w:sz w:val="24"/>
          <w:szCs w:val="24"/>
        </w:rPr>
        <w:t>约</w:t>
      </w:r>
      <w:r>
        <w:rPr>
          <w:rFonts w:ascii="Calibri" w:cs="Calibri"/>
          <w:sz w:val="24"/>
          <w:szCs w:val="24"/>
        </w:rPr>
        <w:t>定时间</w:t>
      </w:r>
      <w:r>
        <w:rPr>
          <w:rFonts w:hint="eastAsia" w:ascii="Calibri" w:cs="Calibri"/>
          <w:sz w:val="24"/>
          <w:szCs w:val="24"/>
        </w:rPr>
        <w:t>提供货物</w:t>
      </w:r>
      <w:r>
        <w:rPr>
          <w:rFonts w:ascii="Calibri" w:cs="Calibri"/>
          <w:sz w:val="24"/>
          <w:szCs w:val="24"/>
        </w:rPr>
        <w:t>，</w:t>
      </w:r>
      <w:r>
        <w:rPr>
          <w:rFonts w:hint="eastAsia" w:ascii="Calibri" w:cs="Calibri"/>
          <w:sz w:val="24"/>
          <w:szCs w:val="24"/>
        </w:rPr>
        <w:t>每迟延一天承担</w:t>
      </w:r>
      <w:r>
        <w:rPr>
          <w:rFonts w:ascii="Calibri" w:hAnsi="Calibri" w:cs="Calibri"/>
          <w:sz w:val="24"/>
          <w:szCs w:val="24"/>
        </w:rPr>
        <w:t>200</w:t>
      </w:r>
      <w:r>
        <w:rPr>
          <w:rFonts w:ascii="Calibri" w:cs="Calibri"/>
          <w:sz w:val="24"/>
          <w:szCs w:val="24"/>
        </w:rPr>
        <w:t>元</w:t>
      </w:r>
      <w:r>
        <w:rPr>
          <w:rFonts w:hint="eastAsia" w:ascii="Calibri" w:hAnsi="Calibri" w:cs="Calibri"/>
          <w:sz w:val="24"/>
          <w:szCs w:val="24"/>
        </w:rPr>
        <w:t>的违约金，迟延超过15天的，甲方有权解除合同，乙方应向</w:t>
      </w:r>
      <w:r>
        <w:rPr>
          <w:rFonts w:hint="eastAsia" w:ascii="Calibri" w:cs="Calibri"/>
          <w:sz w:val="24"/>
          <w:szCs w:val="24"/>
        </w:rPr>
        <w:t>甲方支付合同总价款20%的违约金。</w:t>
      </w:r>
    </w:p>
    <w:p>
      <w:pPr>
        <w:spacing w:line="460" w:lineRule="exact"/>
        <w:ind w:firstLine="480" w:firstLineChars="200"/>
        <w:rPr>
          <w:rFonts w:ascii="Calibri" w:hAnsi="Calibri" w:cs="Calibri"/>
          <w:sz w:val="24"/>
        </w:rPr>
      </w:pPr>
      <w:r>
        <w:rPr>
          <w:rFonts w:ascii="Calibri" w:hAnsi="Calibri" w:cs="Calibri"/>
          <w:sz w:val="24"/>
          <w:szCs w:val="24"/>
        </w:rPr>
        <w:t>2.</w:t>
      </w:r>
      <w:r>
        <w:rPr>
          <w:rFonts w:ascii="Calibri" w:cs="Calibri"/>
          <w:sz w:val="24"/>
          <w:szCs w:val="24"/>
        </w:rPr>
        <w:t>乙方</w:t>
      </w:r>
      <w:r>
        <w:rPr>
          <w:rFonts w:hint="eastAsia" w:ascii="Calibri" w:cs="Calibri"/>
          <w:sz w:val="24"/>
          <w:szCs w:val="24"/>
        </w:rPr>
        <w:t>提供的货物</w:t>
      </w:r>
      <w:r>
        <w:rPr>
          <w:rFonts w:ascii="Calibri" w:cs="Calibri"/>
          <w:sz w:val="24"/>
          <w:szCs w:val="24"/>
        </w:rPr>
        <w:t>均应符合</w:t>
      </w:r>
      <w:r>
        <w:rPr>
          <w:rFonts w:hint="eastAsia" w:ascii="Calibri" w:cs="Calibri"/>
          <w:sz w:val="24"/>
          <w:szCs w:val="24"/>
        </w:rPr>
        <w:t>约定</w:t>
      </w:r>
      <w:r>
        <w:rPr>
          <w:rFonts w:ascii="Calibri" w:cs="Calibri"/>
          <w:sz w:val="24"/>
          <w:szCs w:val="24"/>
        </w:rPr>
        <w:t>，如质量不能达到招</w:t>
      </w:r>
      <w:r>
        <w:rPr>
          <w:rFonts w:hint="eastAsia" w:ascii="Calibri" w:cs="Calibri"/>
          <w:sz w:val="24"/>
          <w:szCs w:val="24"/>
        </w:rPr>
        <w:t>投</w:t>
      </w:r>
      <w:r>
        <w:rPr>
          <w:rFonts w:ascii="Calibri" w:cs="Calibri"/>
          <w:sz w:val="24"/>
          <w:szCs w:val="24"/>
        </w:rPr>
        <w:t>标文件和合同约定的技术要求，乙方应立即退货，重新供应符合要求的</w:t>
      </w:r>
      <w:r>
        <w:rPr>
          <w:rFonts w:hint="eastAsia" w:ascii="Calibri" w:cs="Calibri"/>
          <w:sz w:val="24"/>
          <w:szCs w:val="24"/>
        </w:rPr>
        <w:t>货物</w:t>
      </w:r>
      <w:r>
        <w:rPr>
          <w:rFonts w:ascii="Calibri" w:cs="Calibri"/>
          <w:sz w:val="24"/>
          <w:szCs w:val="24"/>
        </w:rPr>
        <w:t>，由此造成的一切损失由乙方承担。</w:t>
      </w:r>
      <w:r>
        <w:rPr>
          <w:rFonts w:hint="eastAsia" w:ascii="Calibri" w:cs="Calibri"/>
          <w:sz w:val="24"/>
          <w:szCs w:val="24"/>
        </w:rPr>
        <w:t>乙方收到退货通知后5日内，拒不配合退货的，或者重新供应的货物仍不符合约定的，甲方有权解除合同，乙方应向甲方支付合同总价款20%的违约金。</w:t>
      </w:r>
    </w:p>
    <w:p>
      <w:pPr>
        <w:spacing w:line="460" w:lineRule="exact"/>
        <w:ind w:firstLine="480" w:firstLineChars="200"/>
        <w:rPr>
          <w:rFonts w:ascii="Calibri" w:cs="Calibri"/>
          <w:sz w:val="24"/>
        </w:rPr>
      </w:pPr>
      <w:r>
        <w:rPr>
          <w:rFonts w:ascii="Calibri" w:hAnsi="Calibri" w:cs="Calibri"/>
          <w:sz w:val="24"/>
          <w:szCs w:val="24"/>
        </w:rPr>
        <w:t>3.</w:t>
      </w:r>
      <w:r>
        <w:rPr>
          <w:rFonts w:ascii="Calibri" w:cs="Calibri"/>
          <w:sz w:val="24"/>
          <w:szCs w:val="24"/>
        </w:rPr>
        <w:t>甲方无正当理由未按合同约定时间付款，且在收到乙方的书面催告通知后在五个工作日内仍未支付的，应从催告期满之日起，向乙方支付相当于应付款项同期贷款</w:t>
      </w:r>
      <w:r>
        <w:rPr>
          <w:rFonts w:hint="eastAsia" w:ascii="Calibri" w:cs="Calibri"/>
          <w:sz w:val="24"/>
          <w:szCs w:val="24"/>
        </w:rPr>
        <w:t>市场报价</w:t>
      </w:r>
      <w:r>
        <w:rPr>
          <w:rFonts w:ascii="Calibri" w:cs="Calibri"/>
          <w:sz w:val="24"/>
          <w:szCs w:val="24"/>
        </w:rPr>
        <w:t>利率的违约金。</w:t>
      </w:r>
    </w:p>
    <w:p>
      <w:pPr>
        <w:spacing w:line="4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九、</w:t>
      </w:r>
      <w:r>
        <w:rPr>
          <w:rFonts w:hint="eastAsia" w:asciiTheme="majorEastAsia" w:hAnsiTheme="majorEastAsia" w:eastAsiaTheme="majorEastAsia" w:cstheme="majorEastAsia"/>
          <w:sz w:val="24"/>
          <w:szCs w:val="24"/>
        </w:rPr>
        <w:t>合同变更与解除</w:t>
      </w:r>
    </w:p>
    <w:p>
      <w:pPr>
        <w:spacing w:line="4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经本合同双方同意，可以变更或解除本合同；由于战争或其他军事行动、地震、水灾、火灾、台风、政府政策变化等不可抗力引起的合同变更、延期和中止，甲乙双方不负违约责任。受不可抗力直接影响的一方应在不可抗力发生后5日之内及时通知另一方，并采取合理措施止损，如未及时通知或采取措施而造成的损失扩大的，应赔偿相应损失。</w:t>
      </w:r>
    </w:p>
    <w:p>
      <w:pPr>
        <w:spacing w:line="4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因不可抗力导致合同目的不能实现的，则双方均有权解除合同，未履行的部分终止履行，已经履行的部分按照法律规定进行清算结算。</w:t>
      </w:r>
    </w:p>
    <w:p>
      <w:pPr>
        <w:spacing w:line="4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十、解决合同纠纷的方式：</w:t>
      </w:r>
    </w:p>
    <w:p>
      <w:pPr>
        <w:spacing w:line="4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双方友好协商，协商未果，向甲方所在地人民法院提起诉讼解决。</w:t>
      </w:r>
    </w:p>
    <w:p>
      <w:pPr>
        <w:spacing w:line="4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十一、其他事宜：</w:t>
      </w:r>
    </w:p>
    <w:p>
      <w:pPr>
        <w:spacing w:line="460" w:lineRule="exact"/>
        <w:ind w:firstLine="480" w:firstLineChars="200"/>
        <w:rPr>
          <w:sz w:val="24"/>
        </w:rPr>
      </w:pPr>
      <w:r>
        <w:rPr>
          <w:rFonts w:hint="eastAsia" w:asciiTheme="majorEastAsia" w:hAnsiTheme="majorEastAsia" w:eastAsiaTheme="majorEastAsia" w:cstheme="majorEastAsia"/>
          <w:sz w:val="24"/>
          <w:szCs w:val="24"/>
        </w:rPr>
        <w:t>1.本合同壹式肆份，甲方叁份 乙方壹份</w:t>
      </w:r>
      <w:r>
        <w:rPr>
          <w:rFonts w:hint="eastAsia"/>
          <w:sz w:val="24"/>
          <w:szCs w:val="24"/>
        </w:rPr>
        <w:t>，双方签字盖章后生效，具有同等法律效力，合同未尽事宜双方可协商解决或另立补充协议。</w:t>
      </w:r>
    </w:p>
    <w:p>
      <w:pPr>
        <w:spacing w:line="460" w:lineRule="exact"/>
        <w:ind w:firstLine="480" w:firstLineChars="200"/>
        <w:rPr>
          <w:sz w:val="24"/>
          <w:szCs w:val="24"/>
        </w:rPr>
      </w:pPr>
      <w:r>
        <w:rPr>
          <w:rFonts w:hint="eastAsia"/>
          <w:sz w:val="24"/>
          <w:szCs w:val="24"/>
        </w:rPr>
        <w:t>2.招标文件与投标文件及装箱单、彩色宣传页均为本合同不可分割的组成部分，与本合同具有同等法律效力。</w:t>
      </w:r>
    </w:p>
    <w:p>
      <w:pPr>
        <w:spacing w:line="460" w:lineRule="exact"/>
        <w:ind w:firstLine="480" w:firstLineChars="200"/>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3.本</w:t>
      </w:r>
      <w:r>
        <w:rPr>
          <w:rFonts w:hint="eastAsia" w:asciiTheme="majorEastAsia" w:hAnsiTheme="majorEastAsia" w:eastAsiaTheme="majorEastAsia" w:cstheme="majorEastAsia"/>
          <w:sz w:val="24"/>
          <w:szCs w:val="24"/>
        </w:rPr>
        <w:t>合同</w:t>
      </w:r>
      <w:r>
        <w:rPr>
          <w:rFonts w:asciiTheme="majorEastAsia" w:hAnsiTheme="majorEastAsia" w:eastAsiaTheme="majorEastAsia" w:cstheme="majorEastAsia"/>
          <w:sz w:val="24"/>
          <w:szCs w:val="24"/>
        </w:rPr>
        <w:t>签字盖章栏所列明的双方地址、电话、</w:t>
      </w:r>
      <w:r>
        <w:rPr>
          <w:rFonts w:hint="eastAsia" w:asciiTheme="majorEastAsia" w:hAnsiTheme="majorEastAsia" w:eastAsiaTheme="majorEastAsia" w:cstheme="majorEastAsia"/>
          <w:sz w:val="24"/>
          <w:szCs w:val="24"/>
        </w:rPr>
        <w:t>委托代理人</w:t>
      </w:r>
      <w:r>
        <w:rPr>
          <w:rFonts w:asciiTheme="majorEastAsia" w:hAnsiTheme="majorEastAsia" w:eastAsiaTheme="majorEastAsia" w:cstheme="majorEastAsia"/>
          <w:sz w:val="24"/>
          <w:szCs w:val="24"/>
        </w:rPr>
        <w:t>为双方在合同履行</w:t>
      </w:r>
      <w:r>
        <w:rPr>
          <w:rFonts w:hint="eastAsia" w:asciiTheme="majorEastAsia" w:hAnsiTheme="majorEastAsia" w:eastAsiaTheme="majorEastAsia" w:cstheme="majorEastAsia"/>
          <w:sz w:val="24"/>
          <w:szCs w:val="24"/>
        </w:rPr>
        <w:t>及争议解决</w:t>
      </w:r>
      <w:r>
        <w:rPr>
          <w:rFonts w:asciiTheme="majorEastAsia" w:hAnsiTheme="majorEastAsia" w:eastAsiaTheme="majorEastAsia" w:cstheme="majorEastAsia"/>
          <w:sz w:val="24"/>
          <w:szCs w:val="24"/>
        </w:rPr>
        <w:t>期间的有效联系方式，如有变更，变更一方应当在变更后三日内书面通知另一方。本合同履行过程中需要书面通知另一方的，一方应将书面通知送达本协议列明的地址及</w:t>
      </w:r>
      <w:r>
        <w:rPr>
          <w:rFonts w:hint="eastAsia" w:asciiTheme="majorEastAsia" w:hAnsiTheme="majorEastAsia" w:eastAsiaTheme="majorEastAsia" w:cstheme="majorEastAsia"/>
          <w:sz w:val="24"/>
          <w:szCs w:val="24"/>
        </w:rPr>
        <w:t>委托代理人</w:t>
      </w:r>
      <w:r>
        <w:rPr>
          <w:rFonts w:asciiTheme="majorEastAsia" w:hAnsiTheme="majorEastAsia" w:eastAsiaTheme="majorEastAsia" w:cstheme="majorEastAsia"/>
          <w:sz w:val="24"/>
          <w:szCs w:val="24"/>
        </w:rPr>
        <w:t>，只要该书面通知按照以上地址寄送、发送的，寄送、发送之日起第2日，应视为另一方已经知晓该通知内容。任何一方变更联系方式而未书面通知对方的，均视为未变更，由此产生的一切不利后果均由变更方自行承担。</w:t>
      </w:r>
    </w:p>
    <w:p>
      <w:pPr>
        <w:spacing w:line="460" w:lineRule="exact"/>
        <w:rPr>
          <w:sz w:val="24"/>
        </w:rPr>
      </w:pPr>
    </w:p>
    <w:p>
      <w:pPr>
        <w:spacing w:line="460" w:lineRule="exact"/>
        <w:rPr>
          <w:sz w:val="24"/>
        </w:rPr>
      </w:pPr>
      <w:r>
        <w:rPr>
          <w:rFonts w:hint="eastAsia"/>
          <w:sz w:val="24"/>
        </w:rPr>
        <w:t xml:space="preserve">甲方：陕西中医药大学附属医院    乙方： </w:t>
      </w:r>
    </w:p>
    <w:p>
      <w:pPr>
        <w:spacing w:line="460" w:lineRule="exact"/>
        <w:rPr>
          <w:sz w:val="24"/>
        </w:rPr>
      </w:pPr>
      <w:r>
        <w:rPr>
          <w:rFonts w:hint="eastAsia"/>
          <w:sz w:val="24"/>
        </w:rPr>
        <w:t xml:space="preserve">地址：咸阳市渭阳西路副2号      地址： </w:t>
      </w:r>
    </w:p>
    <w:p>
      <w:pPr>
        <w:spacing w:line="460" w:lineRule="exact"/>
        <w:ind w:left="5630" w:leftChars="1824" w:hanging="1800" w:hangingChars="750"/>
        <w:rPr>
          <w:sz w:val="24"/>
        </w:rPr>
      </w:pPr>
      <w:r>
        <w:rPr>
          <w:rFonts w:hint="eastAsia"/>
          <w:sz w:val="24"/>
        </w:rPr>
        <w:t>法人代表：</w:t>
      </w:r>
    </w:p>
    <w:p>
      <w:pPr>
        <w:spacing w:line="460" w:lineRule="exact"/>
        <w:rPr>
          <w:rFonts w:ascii="宋体" w:hAnsi="宋体"/>
          <w:sz w:val="24"/>
        </w:rPr>
      </w:pPr>
      <w:r>
        <w:rPr>
          <w:rFonts w:hint="eastAsia"/>
          <w:sz w:val="24"/>
        </w:rPr>
        <w:t>委托代理人：                    委托代理人：</w:t>
      </w:r>
    </w:p>
    <w:p>
      <w:pPr>
        <w:spacing w:line="460" w:lineRule="exact"/>
        <w:rPr>
          <w:rFonts w:ascii="Dotum" w:hAnsi="Dotum"/>
          <w:color w:val="000000"/>
          <w:sz w:val="24"/>
        </w:rPr>
      </w:pPr>
      <w:r>
        <w:rPr>
          <w:rFonts w:hint="eastAsia"/>
          <w:sz w:val="24"/>
        </w:rPr>
        <w:t xml:space="preserve">                                开户银行：</w:t>
      </w:r>
    </w:p>
    <w:p>
      <w:pPr>
        <w:spacing w:line="460" w:lineRule="exact"/>
        <w:ind w:firstLine="720" w:firstLineChars="300"/>
        <w:rPr>
          <w:sz w:val="24"/>
        </w:rPr>
      </w:pPr>
      <w:r>
        <w:rPr>
          <w:rFonts w:hint="eastAsia"/>
          <w:sz w:val="24"/>
        </w:rPr>
        <w:t xml:space="preserve">                          银行账号：</w:t>
      </w:r>
    </w:p>
    <w:p>
      <w:pPr>
        <w:spacing w:line="460" w:lineRule="exact"/>
        <w:rPr>
          <w:sz w:val="24"/>
        </w:rPr>
      </w:pPr>
      <w:r>
        <w:rPr>
          <w:rFonts w:hint="eastAsia"/>
          <w:sz w:val="24"/>
        </w:rPr>
        <w:t>电话：029-33125597电话：</w:t>
      </w:r>
    </w:p>
    <w:p>
      <w:pPr>
        <w:spacing w:line="460" w:lineRule="exact"/>
      </w:pPr>
      <w:r>
        <w:rPr>
          <w:rFonts w:hint="eastAsia"/>
          <w:sz w:val="24"/>
        </w:rPr>
        <w:t>日期： 年 月 日                  日期： 年 月 日</w:t>
      </w:r>
    </w:p>
    <w:p>
      <w:pPr>
        <w:spacing w:line="460" w:lineRule="exact"/>
        <w:rPr>
          <w:rFonts w:ascii="宋体" w:hAnsi="宋体" w:cs="宋体"/>
          <w:b/>
          <w:sz w:val="36"/>
          <w:szCs w:val="36"/>
        </w:rPr>
      </w:pPr>
    </w:p>
    <w:p>
      <w:pPr>
        <w:spacing w:line="460" w:lineRule="exact"/>
        <w:ind w:firstLine="883" w:firstLineChars="200"/>
        <w:rPr>
          <w:rFonts w:ascii="宋体" w:hAnsi="宋体" w:cs="宋体"/>
          <w:b/>
          <w:sz w:val="44"/>
          <w:szCs w:val="44"/>
        </w:rPr>
      </w:pPr>
    </w:p>
    <w:p>
      <w:pPr>
        <w:spacing w:line="360" w:lineRule="auto"/>
        <w:ind w:firstLine="883" w:firstLineChars="200"/>
        <w:jc w:val="center"/>
        <w:rPr>
          <w:rFonts w:ascii="宋体" w:hAnsi="宋体" w:cs="宋体"/>
          <w:b/>
          <w:bCs/>
          <w:sz w:val="44"/>
          <w:szCs w:val="44"/>
        </w:rPr>
      </w:pPr>
      <w:r>
        <w:rPr>
          <w:rFonts w:hint="eastAsia" w:ascii="宋体" w:hAnsi="宋体" w:cs="宋体"/>
          <w:b/>
          <w:sz w:val="44"/>
          <w:szCs w:val="44"/>
        </w:rPr>
        <w:t>第六章 投标文件格式</w:t>
      </w:r>
    </w:p>
    <w:p>
      <w:pPr>
        <w:jc w:val="center"/>
        <w:rPr>
          <w:rFonts w:ascii="宋体" w:hAnsi="宋体" w:cs="宋体"/>
          <w:b/>
          <w:sz w:val="44"/>
          <w:szCs w:val="44"/>
        </w:rPr>
      </w:pPr>
      <w:r>
        <w:rPr>
          <w:rFonts w:hint="eastAsia" w:ascii="宋体" w:hAnsi="宋体" w:cs="宋体"/>
          <w:b/>
          <w:sz w:val="44"/>
          <w:szCs w:val="44"/>
        </w:rPr>
        <w:br w:type="page"/>
      </w:r>
      <w:r>
        <w:rPr>
          <w:rFonts w:hint="eastAsia" w:ascii="宋体" w:hAnsi="宋体" w:cs="宋体"/>
          <w:b/>
          <w:sz w:val="44"/>
          <w:szCs w:val="44"/>
        </w:rPr>
        <w:t>政府采购项目</w:t>
      </w:r>
    </w:p>
    <w:p>
      <w:pPr>
        <w:jc w:val="center"/>
        <w:rPr>
          <w:rFonts w:ascii="宋体" w:hAnsi="宋体" w:cs="宋体"/>
          <w:b/>
          <w:sz w:val="36"/>
          <w:szCs w:val="36"/>
        </w:rPr>
      </w:pPr>
    </w:p>
    <w:p>
      <w:pPr>
        <w:jc w:val="center"/>
        <w:rPr>
          <w:rFonts w:ascii="宋体" w:hAnsi="宋体" w:cs="宋体"/>
          <w:b/>
          <w:sz w:val="44"/>
          <w:szCs w:val="44"/>
        </w:rPr>
      </w:pPr>
    </w:p>
    <w:p>
      <w:pPr>
        <w:jc w:val="center"/>
        <w:rPr>
          <w:rFonts w:ascii="宋体" w:hAnsi="宋体" w:cs="宋体"/>
          <w:b/>
          <w:sz w:val="36"/>
          <w:szCs w:val="36"/>
        </w:rPr>
      </w:pPr>
    </w:p>
    <w:p>
      <w:pPr>
        <w:jc w:val="center"/>
        <w:rPr>
          <w:rFonts w:ascii="宋体" w:hAnsi="宋体" w:cs="宋体"/>
          <w:b/>
          <w:sz w:val="84"/>
          <w:szCs w:val="84"/>
        </w:rPr>
      </w:pPr>
      <w:r>
        <w:rPr>
          <w:rFonts w:hint="eastAsia" w:ascii="宋体" w:hAnsi="宋体" w:cs="宋体"/>
          <w:b/>
          <w:sz w:val="84"/>
          <w:szCs w:val="84"/>
        </w:rPr>
        <w:t>投 标 文 件</w:t>
      </w:r>
    </w:p>
    <w:p>
      <w:pPr>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（资格部分）</w:t>
      </w: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sz w:val="36"/>
          <w:szCs w:val="36"/>
        </w:rPr>
      </w:pPr>
    </w:p>
    <w:p>
      <w:pPr>
        <w:tabs>
          <w:tab w:val="left" w:pos="2628"/>
        </w:tabs>
        <w:spacing w:line="360" w:lineRule="auto"/>
        <w:ind w:left="2492" w:leftChars="401" w:hanging="1650" w:hangingChars="550"/>
        <w:jc w:val="left"/>
        <w:rPr>
          <w:rFonts w:ascii="宋体" w:hAnsi="宋体" w:cs="宋体"/>
          <w:sz w:val="30"/>
          <w:szCs w:val="30"/>
        </w:rPr>
      </w:pPr>
      <w:r>
        <w:rPr>
          <w:rFonts w:hint="eastAsia" w:ascii="宋体" w:hAnsi="宋体" w:cs="宋体"/>
          <w:sz w:val="30"/>
          <w:szCs w:val="30"/>
        </w:rPr>
        <w:t>项目名称：</w:t>
      </w:r>
      <w:r>
        <w:rPr>
          <w:rFonts w:hint="eastAsia" w:ascii="宋体" w:hAnsi="宋体" w:cs="宋体"/>
          <w:sz w:val="30"/>
          <w:szCs w:val="30"/>
        </w:rPr>
        <w:tab/>
      </w:r>
    </w:p>
    <w:p>
      <w:pPr>
        <w:tabs>
          <w:tab w:val="left" w:pos="2628"/>
        </w:tabs>
        <w:spacing w:line="360" w:lineRule="auto"/>
        <w:ind w:left="843"/>
        <w:jc w:val="left"/>
        <w:rPr>
          <w:rFonts w:ascii="宋体" w:hAnsi="宋体" w:cs="宋体"/>
          <w:sz w:val="30"/>
          <w:szCs w:val="30"/>
        </w:rPr>
      </w:pPr>
      <w:r>
        <w:rPr>
          <w:rFonts w:hint="eastAsia" w:ascii="宋体" w:hAnsi="宋体" w:cs="宋体"/>
          <w:sz w:val="30"/>
          <w:szCs w:val="30"/>
        </w:rPr>
        <w:t>项目编号：</w:t>
      </w:r>
    </w:p>
    <w:p>
      <w:pPr>
        <w:spacing w:line="360" w:lineRule="auto"/>
        <w:ind w:left="1080"/>
        <w:rPr>
          <w:rFonts w:ascii="宋体" w:hAnsi="宋体" w:cs="宋体"/>
          <w:b/>
          <w:bCs/>
          <w:sz w:val="28"/>
          <w:szCs w:val="28"/>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sz w:val="30"/>
          <w:szCs w:val="30"/>
        </w:rPr>
      </w:pPr>
      <w:r>
        <w:rPr>
          <w:rFonts w:hint="eastAsia" w:ascii="宋体" w:hAnsi="宋体" w:cs="宋体"/>
          <w:b/>
          <w:sz w:val="30"/>
          <w:szCs w:val="30"/>
        </w:rPr>
        <w:t>供应商：（公章）</w:t>
      </w:r>
    </w:p>
    <w:p>
      <w:pPr>
        <w:rPr>
          <w:rFonts w:ascii="宋体" w:hAnsi="宋体" w:cs="宋体"/>
          <w:b/>
          <w:sz w:val="30"/>
          <w:szCs w:val="30"/>
        </w:rPr>
      </w:pPr>
    </w:p>
    <w:p>
      <w:pPr>
        <w:jc w:val="center"/>
        <w:rPr>
          <w:rFonts w:ascii="宋体" w:hAnsi="宋体" w:cs="宋体"/>
          <w:b/>
          <w:sz w:val="30"/>
          <w:szCs w:val="30"/>
        </w:rPr>
      </w:pPr>
    </w:p>
    <w:p>
      <w:pPr>
        <w:ind w:firstLine="2699" w:firstLineChars="896"/>
        <w:rPr>
          <w:rFonts w:ascii="宋体" w:hAnsi="宋体" w:cs="宋体"/>
          <w:b/>
          <w:sz w:val="30"/>
          <w:szCs w:val="30"/>
        </w:rPr>
      </w:pPr>
      <w:r>
        <w:rPr>
          <w:rFonts w:hint="eastAsia" w:ascii="宋体" w:hAnsi="宋体" w:cs="宋体"/>
          <w:b/>
          <w:sz w:val="30"/>
          <w:szCs w:val="30"/>
        </w:rPr>
        <w:t>日期：年月日</w:t>
      </w:r>
    </w:p>
    <w:p>
      <w:pPr>
        <w:spacing w:line="360" w:lineRule="auto"/>
        <w:ind w:left="1524"/>
        <w:rPr>
          <w:rFonts w:ascii="宋体" w:hAnsi="宋体" w:cs="宋体"/>
          <w:sz w:val="24"/>
          <w:szCs w:val="24"/>
        </w:rPr>
      </w:pPr>
    </w:p>
    <w:p>
      <w:pPr>
        <w:spacing w:line="500" w:lineRule="exact"/>
        <w:jc w:val="center"/>
        <w:rPr>
          <w:rFonts w:ascii="宋体" w:hAnsi="宋体" w:cs="宋体"/>
          <w:b/>
          <w:bCs/>
          <w:spacing w:val="4"/>
          <w:sz w:val="36"/>
          <w:szCs w:val="36"/>
        </w:rPr>
      </w:pPr>
      <w:r>
        <w:rPr>
          <w:rFonts w:hint="eastAsia" w:ascii="宋体" w:hAnsi="宋体" w:cs="宋体"/>
          <w:b/>
          <w:bCs/>
          <w:spacing w:val="4"/>
          <w:sz w:val="36"/>
          <w:szCs w:val="36"/>
        </w:rPr>
        <w:br w:type="page"/>
      </w:r>
    </w:p>
    <w:p>
      <w:pPr>
        <w:spacing w:line="500" w:lineRule="exact"/>
        <w:jc w:val="center"/>
        <w:rPr>
          <w:rFonts w:ascii="宋体" w:hAnsi="宋体" w:cs="宋体"/>
          <w:b/>
          <w:bCs/>
          <w:spacing w:val="4"/>
          <w:sz w:val="36"/>
          <w:szCs w:val="36"/>
        </w:rPr>
      </w:pPr>
    </w:p>
    <w:p>
      <w:pPr>
        <w:spacing w:line="500" w:lineRule="exact"/>
        <w:jc w:val="center"/>
        <w:rPr>
          <w:rFonts w:ascii="宋体" w:hAnsi="宋体" w:cs="宋体"/>
          <w:b/>
          <w:bCs/>
          <w:spacing w:val="4"/>
          <w:sz w:val="36"/>
          <w:szCs w:val="36"/>
        </w:rPr>
      </w:pPr>
      <w:r>
        <w:rPr>
          <w:rFonts w:hint="eastAsia" w:ascii="宋体" w:hAnsi="宋体" w:cs="宋体"/>
          <w:b/>
          <w:bCs/>
          <w:spacing w:val="4"/>
          <w:sz w:val="36"/>
          <w:szCs w:val="36"/>
        </w:rPr>
        <w:t>目 录</w:t>
      </w:r>
    </w:p>
    <w:p>
      <w:pPr>
        <w:spacing w:line="500" w:lineRule="exact"/>
        <w:jc w:val="center"/>
        <w:rPr>
          <w:rFonts w:ascii="宋体" w:hAnsi="宋体" w:cs="宋体"/>
          <w:b/>
          <w:bCs/>
          <w:spacing w:val="4"/>
          <w:sz w:val="30"/>
          <w:szCs w:val="30"/>
        </w:rPr>
      </w:pPr>
    </w:p>
    <w:p>
      <w:pPr>
        <w:numPr>
          <w:ilvl w:val="0"/>
          <w:numId w:val="5"/>
        </w:numPr>
        <w:spacing w:line="480" w:lineRule="auto"/>
        <w:rPr>
          <w:rFonts w:ascii="宋体" w:hAnsi="宋体" w:cs="宋体"/>
          <w:spacing w:val="4"/>
          <w:sz w:val="24"/>
          <w:szCs w:val="24"/>
        </w:rPr>
      </w:pPr>
      <w:r>
        <w:rPr>
          <w:rFonts w:hint="eastAsia" w:ascii="宋体" w:hAnsi="宋体" w:cs="宋体"/>
          <w:spacing w:val="4"/>
          <w:sz w:val="24"/>
          <w:szCs w:val="24"/>
        </w:rPr>
        <w:t>法人代表授权书</w:t>
      </w:r>
    </w:p>
    <w:p>
      <w:pPr>
        <w:numPr>
          <w:ilvl w:val="0"/>
          <w:numId w:val="5"/>
        </w:numPr>
        <w:spacing w:line="480" w:lineRule="auto"/>
        <w:rPr>
          <w:rFonts w:ascii="宋体" w:hAnsi="宋体" w:cs="宋体"/>
          <w:spacing w:val="4"/>
          <w:sz w:val="24"/>
          <w:szCs w:val="24"/>
        </w:rPr>
      </w:pPr>
      <w:r>
        <w:rPr>
          <w:rFonts w:hint="eastAsia" w:ascii="宋体" w:hAnsi="宋体" w:cs="宋体"/>
          <w:spacing w:val="4"/>
          <w:sz w:val="24"/>
          <w:szCs w:val="24"/>
        </w:rPr>
        <w:t>陕西省政府采购供应商拒绝政府采购领域商业贿赂承诺书</w:t>
      </w:r>
    </w:p>
    <w:p>
      <w:pPr>
        <w:numPr>
          <w:ilvl w:val="0"/>
          <w:numId w:val="5"/>
        </w:numPr>
        <w:spacing w:line="480" w:lineRule="auto"/>
        <w:rPr>
          <w:rFonts w:ascii="宋体" w:hAnsi="宋体" w:cs="宋体"/>
          <w:sz w:val="32"/>
        </w:rPr>
      </w:pPr>
      <w:r>
        <w:rPr>
          <w:rFonts w:hint="eastAsia" w:ascii="宋体" w:hAnsi="宋体" w:cs="宋体"/>
          <w:spacing w:val="4"/>
          <w:sz w:val="24"/>
          <w:szCs w:val="24"/>
        </w:rPr>
        <w:t>资格证明文件</w:t>
      </w:r>
    </w:p>
    <w:p>
      <w:pPr>
        <w:numPr>
          <w:ilvl w:val="0"/>
          <w:numId w:val="5"/>
        </w:numPr>
        <w:spacing w:line="480" w:lineRule="auto"/>
        <w:rPr>
          <w:rFonts w:ascii="宋体" w:hAnsi="宋体" w:cs="宋体"/>
          <w:sz w:val="32"/>
        </w:rPr>
      </w:pPr>
      <w:r>
        <w:rPr>
          <w:rFonts w:hint="eastAsia" w:ascii="宋体" w:hAnsi="宋体" w:cs="宋体"/>
          <w:spacing w:val="4"/>
          <w:sz w:val="24"/>
          <w:szCs w:val="24"/>
        </w:rPr>
        <w:t>投标保证金</w:t>
      </w:r>
    </w:p>
    <w:p>
      <w:pPr>
        <w:spacing w:line="440" w:lineRule="exact"/>
        <w:jc w:val="center"/>
        <w:rPr>
          <w:rFonts w:ascii="宋体" w:hAnsi="宋体" w:cs="宋体"/>
          <w:spacing w:val="4"/>
          <w:sz w:val="24"/>
        </w:rPr>
      </w:pPr>
      <w:r>
        <w:rPr>
          <w:rFonts w:hint="eastAsia" w:ascii="宋体" w:hAnsi="宋体" w:cs="宋体"/>
          <w:sz w:val="28"/>
        </w:rPr>
        <w:br w:type="page"/>
      </w:r>
    </w:p>
    <w:p>
      <w:pPr>
        <w:spacing w:line="440" w:lineRule="exact"/>
        <w:ind w:left="420"/>
        <w:jc w:val="center"/>
        <w:rPr>
          <w:rFonts w:ascii="宋体" w:hAnsi="宋体" w:cs="宋体"/>
          <w:b/>
          <w:spacing w:val="4"/>
          <w:sz w:val="36"/>
          <w:szCs w:val="36"/>
        </w:rPr>
      </w:pPr>
      <w:r>
        <w:rPr>
          <w:rFonts w:hint="eastAsia" w:ascii="宋体" w:hAnsi="宋体" w:cs="宋体"/>
          <w:b/>
          <w:spacing w:val="4"/>
          <w:sz w:val="36"/>
          <w:szCs w:val="36"/>
        </w:rPr>
        <w:t>一、法人代表授权书</w:t>
      </w:r>
    </w:p>
    <w:p>
      <w:pPr>
        <w:spacing w:line="440" w:lineRule="exact"/>
        <w:ind w:left="-359" w:leftChars="-171" w:firstLine="498" w:firstLineChars="200"/>
        <w:jc w:val="center"/>
        <w:rPr>
          <w:rFonts w:ascii="宋体" w:hAnsi="宋体" w:cs="宋体"/>
          <w:b/>
          <w:bCs/>
          <w:color w:val="000000"/>
          <w:spacing w:val="4"/>
          <w:sz w:val="24"/>
          <w:szCs w:val="32"/>
        </w:rPr>
      </w:pPr>
    </w:p>
    <w:p>
      <w:pPr>
        <w:spacing w:line="440" w:lineRule="exact"/>
        <w:jc w:val="left"/>
        <w:rPr>
          <w:rFonts w:ascii="宋体" w:hAnsi="宋体" w:cs="宋体"/>
          <w:color w:val="000000"/>
          <w:spacing w:val="4"/>
          <w:sz w:val="24"/>
          <w:szCs w:val="30"/>
        </w:rPr>
      </w:pPr>
      <w:r>
        <w:rPr>
          <w:rFonts w:hint="eastAsia" w:ascii="宋体" w:hAnsi="宋体" w:cs="宋体"/>
          <w:color w:val="000000"/>
          <w:spacing w:val="4"/>
          <w:sz w:val="24"/>
          <w:szCs w:val="30"/>
        </w:rPr>
        <w:t>致：西北（陕西）国际招标有限公司</w:t>
      </w:r>
    </w:p>
    <w:p>
      <w:pPr>
        <w:spacing w:line="440" w:lineRule="exact"/>
        <w:ind w:firstLine="496" w:firstLineChars="200"/>
        <w:jc w:val="left"/>
        <w:rPr>
          <w:rFonts w:ascii="宋体" w:hAnsi="宋体" w:cs="宋体"/>
          <w:color w:val="000000"/>
          <w:spacing w:val="4"/>
          <w:sz w:val="24"/>
          <w:szCs w:val="30"/>
        </w:rPr>
      </w:pPr>
      <w:r>
        <w:rPr>
          <w:rFonts w:hint="eastAsia" w:ascii="宋体" w:hAnsi="宋体" w:cs="宋体"/>
          <w:color w:val="000000"/>
          <w:spacing w:val="4"/>
          <w:sz w:val="24"/>
          <w:szCs w:val="30"/>
          <w:u w:val="single"/>
        </w:rPr>
        <w:t xml:space="preserve">(供应商名称) </w:t>
      </w:r>
      <w:r>
        <w:rPr>
          <w:rFonts w:hint="eastAsia" w:ascii="宋体" w:hAnsi="宋体" w:cs="宋体"/>
          <w:color w:val="000000"/>
          <w:spacing w:val="4"/>
          <w:sz w:val="24"/>
          <w:szCs w:val="30"/>
        </w:rPr>
        <w:t>按中华人民共和国法律于</w:t>
      </w:r>
      <w:r>
        <w:rPr>
          <w:rFonts w:hint="eastAsia" w:ascii="宋体" w:hAnsi="宋体" w:cs="宋体"/>
          <w:color w:val="000000"/>
          <w:spacing w:val="4"/>
          <w:sz w:val="24"/>
          <w:szCs w:val="30"/>
          <w:u w:val="single"/>
        </w:rPr>
        <w:t>（     年   月   日）</w:t>
      </w:r>
      <w:r>
        <w:rPr>
          <w:rFonts w:hint="eastAsia" w:ascii="宋体" w:hAnsi="宋体" w:cs="宋体"/>
          <w:color w:val="000000"/>
          <w:spacing w:val="4"/>
          <w:sz w:val="24"/>
          <w:szCs w:val="30"/>
        </w:rPr>
        <w:t>成立，现注册地址为</w:t>
      </w:r>
      <w:r>
        <w:rPr>
          <w:rFonts w:hint="eastAsia" w:ascii="宋体" w:hAnsi="宋体" w:cs="宋体"/>
          <w:color w:val="000000"/>
          <w:spacing w:val="4"/>
          <w:sz w:val="24"/>
          <w:szCs w:val="30"/>
          <w:u w:val="single"/>
        </w:rPr>
        <w:t>（ 填写完整的地址信息 ）</w:t>
      </w:r>
      <w:r>
        <w:rPr>
          <w:rFonts w:hint="eastAsia" w:ascii="宋体" w:hAnsi="宋体" w:cs="宋体"/>
          <w:color w:val="000000"/>
          <w:spacing w:val="4"/>
          <w:sz w:val="24"/>
          <w:szCs w:val="30"/>
        </w:rPr>
        <w:t>，营业（办公）地址为</w:t>
      </w:r>
      <w:r>
        <w:rPr>
          <w:rFonts w:hint="eastAsia" w:ascii="宋体" w:hAnsi="宋体" w:cs="宋体"/>
          <w:color w:val="000000"/>
          <w:spacing w:val="4"/>
          <w:sz w:val="24"/>
          <w:szCs w:val="30"/>
          <w:u w:val="single"/>
        </w:rPr>
        <w:t>（填写完整的地址信息  ）</w:t>
      </w:r>
      <w:r>
        <w:rPr>
          <w:rFonts w:hint="eastAsia" w:ascii="宋体" w:hAnsi="宋体" w:cs="宋体"/>
          <w:color w:val="000000"/>
          <w:spacing w:val="4"/>
          <w:sz w:val="24"/>
          <w:szCs w:val="30"/>
        </w:rPr>
        <w:t>正式联系电话为</w:t>
      </w:r>
      <w:r>
        <w:rPr>
          <w:rFonts w:hint="eastAsia" w:ascii="宋体" w:hAnsi="宋体" w:cs="宋体"/>
          <w:color w:val="000000"/>
          <w:spacing w:val="4"/>
          <w:sz w:val="24"/>
          <w:szCs w:val="30"/>
          <w:u w:val="single"/>
        </w:rPr>
        <w:t>（               ）</w:t>
      </w:r>
      <w:r>
        <w:rPr>
          <w:rFonts w:hint="eastAsia" w:ascii="宋体" w:hAnsi="宋体" w:cs="宋体"/>
          <w:color w:val="000000"/>
          <w:spacing w:val="4"/>
          <w:sz w:val="24"/>
          <w:szCs w:val="30"/>
        </w:rPr>
        <w:t xml:space="preserve">。  </w:t>
      </w:r>
      <w:r>
        <w:rPr>
          <w:rFonts w:hint="eastAsia" w:ascii="宋体" w:hAnsi="宋体" w:cs="宋体"/>
          <w:color w:val="000000"/>
          <w:spacing w:val="4"/>
          <w:sz w:val="24"/>
          <w:szCs w:val="30"/>
          <w:u w:val="single"/>
        </w:rPr>
        <w:t xml:space="preserve">  (法定代表人姓名)</w:t>
      </w:r>
      <w:r>
        <w:rPr>
          <w:rFonts w:hint="eastAsia" w:ascii="宋体" w:hAnsi="宋体" w:cs="宋体"/>
          <w:color w:val="000000"/>
          <w:spacing w:val="4"/>
          <w:sz w:val="24"/>
          <w:szCs w:val="30"/>
        </w:rPr>
        <w:t>特授权</w:t>
      </w:r>
      <w:r>
        <w:rPr>
          <w:rFonts w:hint="eastAsia" w:ascii="宋体" w:hAnsi="宋体" w:cs="宋体"/>
          <w:color w:val="000000"/>
          <w:spacing w:val="4"/>
          <w:sz w:val="24"/>
          <w:szCs w:val="30"/>
          <w:u w:val="single"/>
        </w:rPr>
        <w:t>（被授权人姓名）</w:t>
      </w:r>
      <w:r>
        <w:rPr>
          <w:rFonts w:hint="eastAsia" w:ascii="宋体" w:hAnsi="宋体" w:cs="宋体"/>
          <w:color w:val="000000"/>
          <w:spacing w:val="4"/>
          <w:sz w:val="24"/>
          <w:szCs w:val="30"/>
        </w:rPr>
        <w:t>代表我公司全权办理针对本次政府采购</w:t>
      </w:r>
      <w:r>
        <w:rPr>
          <w:rFonts w:hint="eastAsia" w:ascii="宋体" w:hAnsi="宋体" w:cs="宋体"/>
          <w:color w:val="000000"/>
          <w:spacing w:val="4"/>
          <w:sz w:val="24"/>
          <w:szCs w:val="30"/>
          <w:u w:val="single"/>
        </w:rPr>
        <w:t>（招标项目名称和项目编号）</w:t>
      </w:r>
      <w:r>
        <w:rPr>
          <w:rFonts w:hint="eastAsia" w:ascii="宋体" w:hAnsi="宋体" w:cs="宋体"/>
          <w:color w:val="000000"/>
          <w:spacing w:val="4"/>
          <w:sz w:val="24"/>
          <w:szCs w:val="30"/>
        </w:rPr>
        <w:t>项目的投标、谈判、签约等具体工作，并签署全部有关的文件、协议及合同。</w:t>
      </w:r>
    </w:p>
    <w:p>
      <w:pPr>
        <w:spacing w:line="440" w:lineRule="exact"/>
        <w:ind w:firstLine="496" w:firstLineChars="200"/>
        <w:jc w:val="left"/>
        <w:rPr>
          <w:rFonts w:ascii="宋体" w:hAnsi="宋体" w:cs="宋体"/>
          <w:color w:val="000000"/>
          <w:spacing w:val="4"/>
          <w:sz w:val="24"/>
          <w:szCs w:val="30"/>
        </w:rPr>
      </w:pPr>
      <w:r>
        <w:rPr>
          <w:rFonts w:hint="eastAsia" w:ascii="宋体" w:hAnsi="宋体" w:cs="宋体"/>
          <w:color w:val="000000"/>
          <w:spacing w:val="4"/>
          <w:sz w:val="24"/>
          <w:szCs w:val="30"/>
        </w:rPr>
        <w:t>我公司对被授权人的签名负全部责任。</w:t>
      </w:r>
    </w:p>
    <w:p>
      <w:pPr>
        <w:spacing w:line="440" w:lineRule="exact"/>
        <w:ind w:firstLine="496" w:firstLineChars="200"/>
        <w:jc w:val="left"/>
        <w:rPr>
          <w:rFonts w:ascii="宋体" w:hAnsi="宋体" w:cs="宋体"/>
          <w:color w:val="000000"/>
          <w:spacing w:val="4"/>
          <w:sz w:val="24"/>
          <w:szCs w:val="30"/>
        </w:rPr>
      </w:pPr>
      <w:r>
        <w:rPr>
          <w:rFonts w:hint="eastAsia" w:ascii="宋体" w:hAnsi="宋体" w:cs="宋体"/>
          <w:color w:val="000000"/>
          <w:spacing w:val="4"/>
          <w:sz w:val="24"/>
          <w:szCs w:val="30"/>
        </w:rPr>
        <w:t>本授权书于</w:t>
      </w:r>
      <w:r>
        <w:rPr>
          <w:rFonts w:hint="eastAsia" w:ascii="宋体" w:hAnsi="宋体" w:cs="宋体"/>
          <w:color w:val="000000"/>
          <w:spacing w:val="4"/>
          <w:sz w:val="24"/>
          <w:szCs w:val="30"/>
          <w:u w:val="single"/>
        </w:rPr>
        <w:t xml:space="preserve">      年   月   </w:t>
      </w:r>
      <w:r>
        <w:rPr>
          <w:rFonts w:hint="eastAsia" w:ascii="宋体" w:hAnsi="宋体" w:cs="宋体"/>
          <w:color w:val="000000"/>
          <w:spacing w:val="4"/>
          <w:sz w:val="24"/>
          <w:szCs w:val="30"/>
        </w:rPr>
        <w:t>日起签字生效，特此证明。</w:t>
      </w:r>
    </w:p>
    <w:p>
      <w:pPr>
        <w:spacing w:line="440" w:lineRule="exact"/>
        <w:ind w:firstLine="496" w:firstLineChars="200"/>
        <w:jc w:val="left"/>
        <w:rPr>
          <w:rFonts w:ascii="宋体" w:hAnsi="宋体" w:cs="宋体"/>
          <w:color w:val="000000"/>
          <w:spacing w:val="4"/>
          <w:sz w:val="24"/>
          <w:szCs w:val="30"/>
        </w:rPr>
      </w:pPr>
    </w:p>
    <w:p>
      <w:pPr>
        <w:spacing w:line="440" w:lineRule="exact"/>
        <w:ind w:firstLine="496" w:firstLineChars="200"/>
        <w:jc w:val="left"/>
        <w:rPr>
          <w:rFonts w:ascii="宋体" w:hAnsi="宋体" w:cs="宋体"/>
          <w:color w:val="000000"/>
          <w:spacing w:val="4"/>
          <w:sz w:val="24"/>
          <w:szCs w:val="30"/>
        </w:rPr>
      </w:pPr>
    </w:p>
    <w:p>
      <w:pPr>
        <w:spacing w:line="440" w:lineRule="exact"/>
        <w:ind w:firstLine="496" w:firstLineChars="200"/>
        <w:jc w:val="left"/>
        <w:rPr>
          <w:rFonts w:ascii="宋体" w:hAnsi="宋体" w:cs="宋体"/>
          <w:color w:val="000000"/>
          <w:spacing w:val="4"/>
          <w:sz w:val="24"/>
          <w:szCs w:val="30"/>
        </w:rPr>
      </w:pPr>
    </w:p>
    <w:tbl>
      <w:tblPr>
        <w:tblStyle w:val="18"/>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tcPr>
          <w:p>
            <w:pPr>
              <w:spacing w:line="440" w:lineRule="exact"/>
              <w:jc w:val="left"/>
              <w:rPr>
                <w:rFonts w:ascii="宋体" w:hAnsi="宋体" w:cs="宋体"/>
                <w:spacing w:val="4"/>
                <w:sz w:val="24"/>
              </w:rPr>
            </w:pPr>
            <w:r>
              <w:rPr>
                <w:rFonts w:hint="eastAsia" w:ascii="宋体" w:hAnsi="宋体" w:cs="宋体"/>
                <w:spacing w:val="4"/>
                <w:sz w:val="24"/>
              </w:rPr>
              <w:t>被授权人签字：</w:t>
            </w:r>
          </w:p>
        </w:tc>
        <w:tc>
          <w:tcPr>
            <w:tcW w:w="3844" w:type="dxa"/>
            <w:noWrap/>
          </w:tcPr>
          <w:p>
            <w:pPr>
              <w:spacing w:line="440" w:lineRule="exact"/>
              <w:jc w:val="left"/>
              <w:rPr>
                <w:rFonts w:ascii="宋体" w:hAnsi="宋体" w:cs="宋体"/>
                <w:spacing w:val="4"/>
                <w:sz w:val="24"/>
              </w:rPr>
            </w:pPr>
            <w:r>
              <w:rPr>
                <w:rFonts w:hint="eastAsia" w:ascii="宋体" w:hAnsi="宋体" w:cs="宋体"/>
                <w:spacing w:val="4"/>
                <w:sz w:val="24"/>
              </w:rPr>
              <w:t>法定代表人签字：</w:t>
            </w:r>
          </w:p>
        </w:tc>
      </w:tr>
      <w:tr>
        <w:tblPrEx>
          <w:tblCellMar>
            <w:top w:w="0" w:type="dxa"/>
            <w:left w:w="108" w:type="dxa"/>
            <w:bottom w:w="0" w:type="dxa"/>
            <w:right w:w="108" w:type="dxa"/>
          </w:tblCellMar>
        </w:tblPrEx>
        <w:trPr>
          <w:trHeight w:val="600" w:hRule="atLeast"/>
        </w:trPr>
        <w:tc>
          <w:tcPr>
            <w:tcW w:w="4045" w:type="dxa"/>
            <w:noWrap/>
          </w:tcPr>
          <w:p>
            <w:pPr>
              <w:spacing w:line="440" w:lineRule="exact"/>
              <w:jc w:val="left"/>
              <w:rPr>
                <w:rFonts w:ascii="宋体" w:hAnsi="宋体" w:cs="宋体"/>
                <w:spacing w:val="4"/>
                <w:sz w:val="24"/>
              </w:rPr>
            </w:pPr>
          </w:p>
        </w:tc>
        <w:tc>
          <w:tcPr>
            <w:tcW w:w="3844" w:type="dxa"/>
            <w:noWrap/>
          </w:tcPr>
          <w:p>
            <w:pPr>
              <w:spacing w:line="440" w:lineRule="exact"/>
              <w:jc w:val="left"/>
              <w:rPr>
                <w:rFonts w:ascii="宋体" w:hAnsi="宋体" w:cs="宋体"/>
                <w:spacing w:val="4"/>
                <w:sz w:val="24"/>
              </w:rPr>
            </w:pPr>
          </w:p>
        </w:tc>
      </w:tr>
      <w:tr>
        <w:tblPrEx>
          <w:tblCellMar>
            <w:top w:w="0" w:type="dxa"/>
            <w:left w:w="108" w:type="dxa"/>
            <w:bottom w:w="0" w:type="dxa"/>
            <w:right w:w="108" w:type="dxa"/>
          </w:tblCellMar>
        </w:tblPrEx>
        <w:trPr>
          <w:trHeight w:val="600" w:hRule="atLeast"/>
        </w:trPr>
        <w:tc>
          <w:tcPr>
            <w:tcW w:w="4045" w:type="dxa"/>
            <w:noWrap/>
          </w:tcPr>
          <w:p>
            <w:pPr>
              <w:spacing w:line="440" w:lineRule="exact"/>
              <w:jc w:val="left"/>
              <w:rPr>
                <w:rFonts w:ascii="宋体" w:hAnsi="宋体" w:cs="宋体"/>
                <w:spacing w:val="4"/>
                <w:sz w:val="24"/>
              </w:rPr>
            </w:pPr>
            <w:r>
              <w:rPr>
                <w:rFonts w:hint="eastAsia" w:ascii="宋体" w:hAnsi="宋体" w:cs="宋体"/>
                <w:spacing w:val="4"/>
                <w:sz w:val="24"/>
              </w:rPr>
              <w:t>职务：</w:t>
            </w:r>
          </w:p>
        </w:tc>
        <w:tc>
          <w:tcPr>
            <w:tcW w:w="3844" w:type="dxa"/>
            <w:noWrap/>
          </w:tcPr>
          <w:p>
            <w:pPr>
              <w:spacing w:line="440" w:lineRule="exact"/>
              <w:jc w:val="left"/>
              <w:rPr>
                <w:rFonts w:ascii="宋体" w:hAnsi="宋体" w:cs="宋体"/>
                <w:spacing w:val="4"/>
                <w:sz w:val="24"/>
              </w:rPr>
            </w:pPr>
            <w:r>
              <w:rPr>
                <w:rFonts w:hint="eastAsia" w:ascii="宋体" w:hAnsi="宋体" w:cs="宋体"/>
                <w:spacing w:val="4"/>
                <w:sz w:val="24"/>
              </w:rPr>
              <w:t>职务：</w:t>
            </w:r>
          </w:p>
        </w:tc>
      </w:tr>
      <w:tr>
        <w:tblPrEx>
          <w:tblCellMar>
            <w:top w:w="0" w:type="dxa"/>
            <w:left w:w="108" w:type="dxa"/>
            <w:bottom w:w="0" w:type="dxa"/>
            <w:right w:w="108" w:type="dxa"/>
          </w:tblCellMar>
        </w:tblPrEx>
        <w:trPr>
          <w:trHeight w:val="600" w:hRule="atLeast"/>
        </w:trPr>
        <w:tc>
          <w:tcPr>
            <w:tcW w:w="4045" w:type="dxa"/>
            <w:noWrap/>
          </w:tcPr>
          <w:p>
            <w:pPr>
              <w:spacing w:line="440" w:lineRule="exact"/>
              <w:jc w:val="left"/>
              <w:rPr>
                <w:rFonts w:ascii="宋体" w:hAnsi="宋体" w:cs="宋体"/>
                <w:spacing w:val="4"/>
                <w:sz w:val="24"/>
              </w:rPr>
            </w:pPr>
          </w:p>
        </w:tc>
        <w:tc>
          <w:tcPr>
            <w:tcW w:w="3844" w:type="dxa"/>
            <w:noWrap/>
          </w:tcPr>
          <w:p>
            <w:pPr>
              <w:spacing w:line="440" w:lineRule="exact"/>
              <w:jc w:val="left"/>
              <w:rPr>
                <w:rFonts w:ascii="宋体" w:hAnsi="宋体" w:cs="宋体"/>
                <w:spacing w:val="4"/>
                <w:sz w:val="24"/>
              </w:rPr>
            </w:pPr>
          </w:p>
        </w:tc>
      </w:tr>
      <w:tr>
        <w:tblPrEx>
          <w:tblCellMar>
            <w:top w:w="0" w:type="dxa"/>
            <w:left w:w="108" w:type="dxa"/>
            <w:bottom w:w="0" w:type="dxa"/>
            <w:right w:w="108" w:type="dxa"/>
          </w:tblCellMar>
        </w:tblPrEx>
        <w:trPr>
          <w:trHeight w:val="600" w:hRule="atLeast"/>
        </w:trPr>
        <w:tc>
          <w:tcPr>
            <w:tcW w:w="4045" w:type="dxa"/>
            <w:noWrap/>
          </w:tcPr>
          <w:p>
            <w:pPr>
              <w:spacing w:line="440" w:lineRule="exact"/>
              <w:jc w:val="left"/>
              <w:rPr>
                <w:rFonts w:ascii="宋体" w:hAnsi="宋体" w:cs="宋体"/>
                <w:spacing w:val="4"/>
                <w:sz w:val="24"/>
              </w:rPr>
            </w:pPr>
            <w:r>
              <w:rPr>
                <w:rFonts w:hint="eastAsia" w:ascii="宋体" w:hAnsi="宋体" w:cs="宋体"/>
                <w:spacing w:val="4"/>
                <w:sz w:val="24"/>
              </w:rPr>
              <w:t>所在部门：</w:t>
            </w:r>
          </w:p>
        </w:tc>
        <w:tc>
          <w:tcPr>
            <w:tcW w:w="3844" w:type="dxa"/>
            <w:noWrap/>
          </w:tcPr>
          <w:p>
            <w:pPr>
              <w:spacing w:line="440" w:lineRule="exact"/>
              <w:jc w:val="left"/>
              <w:rPr>
                <w:rFonts w:ascii="宋体" w:hAnsi="宋体" w:cs="宋体"/>
                <w:spacing w:val="4"/>
                <w:sz w:val="24"/>
              </w:rPr>
            </w:pPr>
          </w:p>
        </w:tc>
      </w:tr>
    </w:tbl>
    <w:p>
      <w:pPr>
        <w:spacing w:line="440" w:lineRule="exact"/>
        <w:ind w:firstLine="496" w:firstLineChars="200"/>
        <w:jc w:val="left"/>
        <w:rPr>
          <w:rFonts w:ascii="宋体" w:hAnsi="宋体" w:cs="宋体"/>
          <w:spacing w:val="4"/>
          <w:sz w:val="24"/>
        </w:rPr>
      </w:pPr>
    </w:p>
    <w:p>
      <w:pPr>
        <w:spacing w:line="440" w:lineRule="exact"/>
        <w:ind w:firstLine="372" w:firstLineChars="150"/>
        <w:rPr>
          <w:rFonts w:ascii="宋体" w:hAnsi="宋体" w:cs="宋体"/>
          <w:spacing w:val="4"/>
          <w:sz w:val="24"/>
        </w:rPr>
      </w:pPr>
    </w:p>
    <w:p>
      <w:pPr>
        <w:spacing w:line="440" w:lineRule="exact"/>
        <w:ind w:firstLine="496" w:firstLineChars="200"/>
        <w:rPr>
          <w:rFonts w:ascii="宋体" w:hAnsi="宋体" w:cs="宋体"/>
          <w:spacing w:val="4"/>
          <w:sz w:val="24"/>
        </w:rPr>
      </w:pPr>
      <w:r>
        <w:rPr>
          <w:rFonts w:hint="eastAsia" w:ascii="宋体" w:hAnsi="宋体" w:cs="宋体"/>
          <w:spacing w:val="4"/>
          <w:sz w:val="24"/>
        </w:rPr>
        <w:t>供应商名称：</w:t>
      </w:r>
    </w:p>
    <w:p>
      <w:pPr>
        <w:spacing w:line="440" w:lineRule="exact"/>
        <w:ind w:firstLine="372" w:firstLineChars="150"/>
        <w:rPr>
          <w:rFonts w:ascii="宋体" w:hAnsi="宋体" w:cs="宋体"/>
          <w:spacing w:val="4"/>
          <w:sz w:val="24"/>
        </w:rPr>
      </w:pPr>
    </w:p>
    <w:p>
      <w:pPr>
        <w:spacing w:line="440" w:lineRule="exact"/>
        <w:ind w:firstLine="496" w:firstLineChars="200"/>
        <w:rPr>
          <w:rFonts w:ascii="宋体" w:hAnsi="宋体" w:cs="宋体"/>
          <w:spacing w:val="4"/>
          <w:sz w:val="24"/>
        </w:rPr>
      </w:pPr>
      <w:r>
        <w:rPr>
          <w:rFonts w:hint="eastAsia" w:ascii="宋体" w:hAnsi="宋体" w:cs="宋体"/>
          <w:spacing w:val="4"/>
          <w:sz w:val="24"/>
        </w:rPr>
        <w:t>公章：</w:t>
      </w:r>
    </w:p>
    <w:p>
      <w:pPr>
        <w:spacing w:line="440" w:lineRule="exact"/>
        <w:ind w:firstLine="510"/>
        <w:rPr>
          <w:rFonts w:ascii="宋体" w:hAnsi="宋体" w:cs="宋体"/>
          <w:color w:val="000000"/>
          <w:spacing w:val="4"/>
          <w:sz w:val="24"/>
          <w:szCs w:val="30"/>
        </w:rPr>
      </w:pPr>
    </w:p>
    <w:p>
      <w:pPr>
        <w:spacing w:line="440" w:lineRule="exact"/>
        <w:ind w:firstLine="510"/>
        <w:rPr>
          <w:rFonts w:ascii="宋体" w:hAnsi="宋体" w:cs="宋体"/>
          <w:color w:val="000000"/>
          <w:spacing w:val="4"/>
          <w:sz w:val="24"/>
          <w:szCs w:val="30"/>
        </w:rPr>
      </w:pPr>
      <w:r>
        <w:rPr>
          <w:rFonts w:hint="eastAsia" w:ascii="宋体" w:hAnsi="宋体" w:cs="宋体"/>
          <w:color w:val="000000"/>
          <w:spacing w:val="4"/>
          <w:sz w:val="24"/>
          <w:szCs w:val="30"/>
        </w:rPr>
        <w:t>附件：法定代表人、被授权人身份证复印件</w:t>
      </w:r>
    </w:p>
    <w:p>
      <w:pPr>
        <w:spacing w:line="440" w:lineRule="exact"/>
        <w:ind w:firstLine="1125" w:firstLineChars="454"/>
        <w:rPr>
          <w:rFonts w:ascii="宋体" w:hAnsi="宋体" w:cs="宋体"/>
          <w:color w:val="000000"/>
          <w:spacing w:val="4"/>
          <w:sz w:val="24"/>
          <w:szCs w:val="30"/>
        </w:rPr>
      </w:pPr>
      <w:r>
        <w:rPr>
          <w:rFonts w:hint="eastAsia" w:ascii="宋体" w:hAnsi="宋体" w:cs="宋体"/>
          <w:color w:val="000000"/>
          <w:spacing w:val="4"/>
          <w:sz w:val="24"/>
          <w:szCs w:val="30"/>
        </w:rPr>
        <w:t>（必须印正反两面的完整信息）</w:t>
      </w:r>
    </w:p>
    <w:p>
      <w:pPr>
        <w:spacing w:line="440" w:lineRule="exact"/>
        <w:rPr>
          <w:rFonts w:ascii="宋体" w:hAnsi="宋体" w:cs="宋体"/>
          <w:color w:val="000000"/>
          <w:spacing w:val="4"/>
          <w:sz w:val="24"/>
          <w:szCs w:val="30"/>
          <w:u w:val="single"/>
        </w:rPr>
      </w:pPr>
      <w:r>
        <w:rPr>
          <w:rFonts w:hint="eastAsia" w:ascii="宋体" w:hAnsi="宋体" w:cs="宋体"/>
          <w:color w:val="000000"/>
          <w:spacing w:val="4"/>
          <w:sz w:val="24"/>
          <w:szCs w:val="30"/>
        </w:rPr>
        <w:t xml:space="preserve">    注：身份证信息不全的授权书无效。</w:t>
      </w:r>
    </w:p>
    <w:p>
      <w:pPr>
        <w:jc w:val="center"/>
        <w:rPr>
          <w:rFonts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二、陕西省政府采购供应商</w:t>
      </w:r>
    </w:p>
    <w:p>
      <w:pPr>
        <w:jc w:val="center"/>
        <w:rPr>
          <w:rFonts w:ascii="宋体" w:hAnsi="宋体" w:cs="宋体"/>
        </w:rPr>
      </w:pPr>
      <w:r>
        <w:rPr>
          <w:rFonts w:hint="eastAsia" w:ascii="宋体" w:hAnsi="宋体" w:cs="宋体"/>
          <w:b/>
          <w:sz w:val="36"/>
          <w:szCs w:val="36"/>
        </w:rPr>
        <w:t>拒绝政府采购领域商业贿赂承诺书</w:t>
      </w:r>
    </w:p>
    <w:p>
      <w:pPr>
        <w:widowControl/>
        <w:spacing w:line="408" w:lineRule="auto"/>
        <w:ind w:left="239" w:leftChars="114" w:firstLine="470" w:firstLineChars="196"/>
        <w:jc w:val="left"/>
        <w:rPr>
          <w:rFonts w:ascii="宋体" w:hAnsi="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rPr>
        <w:t>9、不发生其他有悖于政府采购公开、公平、公正和诚信原则的行为。</w:t>
      </w:r>
    </w:p>
    <w:p>
      <w:pPr>
        <w:pStyle w:val="2"/>
        <w:rPr>
          <w:rFonts w:hint="eastAsia"/>
          <w:lang w:eastAsia="zh-CN"/>
        </w:rPr>
      </w:pPr>
    </w:p>
    <w:p>
      <w:pPr>
        <w:spacing w:line="360" w:lineRule="auto"/>
        <w:rPr>
          <w:rFonts w:ascii="宋体" w:hAnsi="宋体" w:cs="宋体"/>
          <w:kern w:val="0"/>
          <w:sz w:val="24"/>
        </w:rPr>
      </w:pPr>
      <w:r>
        <w:rPr>
          <w:rFonts w:hint="eastAsia" w:ascii="宋体" w:hAnsi="宋体" w:cs="宋体"/>
          <w:kern w:val="0"/>
          <w:sz w:val="24"/>
        </w:rPr>
        <w:t>供应商名称：</w:t>
      </w:r>
    </w:p>
    <w:p>
      <w:pPr>
        <w:spacing w:line="360" w:lineRule="auto"/>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公章：</w:t>
      </w:r>
    </w:p>
    <w:p>
      <w:pPr>
        <w:spacing w:line="360" w:lineRule="auto"/>
        <w:rPr>
          <w:rFonts w:hint="eastAsia" w:ascii="宋体" w:hAnsi="宋体" w:eastAsia="宋体" w:cs="宋体"/>
          <w:kern w:val="0"/>
          <w:sz w:val="24"/>
          <w:lang w:eastAsia="zh-CN"/>
        </w:rPr>
      </w:pPr>
    </w:p>
    <w:p>
      <w:pPr>
        <w:spacing w:line="360" w:lineRule="auto"/>
        <w:rPr>
          <w:rFonts w:ascii="宋体" w:hAnsi="宋体" w:cs="宋体"/>
          <w:kern w:val="0"/>
          <w:sz w:val="24"/>
        </w:rPr>
      </w:pPr>
      <w:r>
        <w:rPr>
          <w:rFonts w:hint="eastAsia" w:ascii="宋体" w:hAnsi="宋体" w:cs="宋体"/>
          <w:kern w:val="0"/>
          <w:sz w:val="24"/>
        </w:rPr>
        <w:t>授权代表签字：</w:t>
      </w:r>
    </w:p>
    <w:p>
      <w:pPr>
        <w:spacing w:line="360" w:lineRule="auto"/>
        <w:ind w:left="1"/>
        <w:jc w:val="center"/>
        <w:rPr>
          <w:rFonts w:ascii="宋体" w:hAnsi="宋体" w:cs="宋体"/>
          <w:b/>
          <w:sz w:val="36"/>
          <w:szCs w:val="36"/>
        </w:rPr>
      </w:pPr>
      <w:r>
        <w:rPr>
          <w:rFonts w:hint="eastAsia" w:ascii="宋体" w:hAnsi="宋体" w:cs="宋体"/>
          <w:kern w:val="0"/>
          <w:sz w:val="24"/>
        </w:rPr>
        <w:br w:type="page"/>
      </w:r>
      <w:r>
        <w:rPr>
          <w:rFonts w:hint="eastAsia" w:ascii="宋体" w:hAnsi="宋体" w:cs="宋体"/>
          <w:b/>
          <w:sz w:val="36"/>
          <w:szCs w:val="36"/>
        </w:rPr>
        <w:t xml:space="preserve">三、资格证明文件 </w:t>
      </w:r>
    </w:p>
    <w:p>
      <w:pPr>
        <w:spacing w:before="240" w:line="440" w:lineRule="exact"/>
        <w:ind w:left="1"/>
        <w:rPr>
          <w:rFonts w:ascii="宋体" w:hAnsi="宋体" w:cs="宋体"/>
          <w:kern w:val="0"/>
          <w:sz w:val="24"/>
        </w:rPr>
      </w:pPr>
      <w:r>
        <w:rPr>
          <w:rFonts w:hint="eastAsia" w:ascii="宋体" w:hAnsi="宋体" w:cs="宋体"/>
          <w:kern w:val="0"/>
          <w:sz w:val="24"/>
        </w:rPr>
        <w:t>12.2 供应商资格证明文件</w:t>
      </w:r>
    </w:p>
    <w:p>
      <w:pPr>
        <w:spacing w:line="440" w:lineRule="exact"/>
        <w:ind w:left="360" w:hanging="360" w:hangingChars="150"/>
        <w:rPr>
          <w:rFonts w:ascii="宋体" w:hAnsi="宋体" w:cs="宋体"/>
          <w:kern w:val="0"/>
          <w:sz w:val="24"/>
        </w:rPr>
      </w:pPr>
      <w:r>
        <w:rPr>
          <w:rFonts w:hint="eastAsia" w:ascii="宋体" w:hAnsi="宋体" w:cs="宋体"/>
          <w:kern w:val="0"/>
          <w:sz w:val="24"/>
        </w:rPr>
        <w:t>按照供应商须知前附表第12.2款要求提供。</w:t>
      </w:r>
    </w:p>
    <w:p>
      <w:pPr>
        <w:spacing w:line="440" w:lineRule="exact"/>
        <w:ind w:left="360" w:hanging="360" w:hangingChars="150"/>
        <w:rPr>
          <w:rFonts w:ascii="宋体" w:hAnsi="宋体" w:cs="宋体"/>
          <w:kern w:val="0"/>
          <w:sz w:val="24"/>
        </w:rPr>
      </w:pPr>
      <w:r>
        <w:rPr>
          <w:rFonts w:hint="eastAsia" w:ascii="宋体" w:hAnsi="宋体" w:cs="宋体"/>
          <w:kern w:val="0"/>
          <w:sz w:val="24"/>
        </w:rPr>
        <w:t>　　</w:t>
      </w:r>
    </w:p>
    <w:p>
      <w:pPr>
        <w:spacing w:line="440" w:lineRule="exact"/>
        <w:ind w:left="361" w:hanging="361" w:hangingChars="150"/>
        <w:rPr>
          <w:rFonts w:ascii="宋体" w:hAnsi="宋体" w:cs="宋体"/>
          <w:b/>
          <w:sz w:val="24"/>
          <w:szCs w:val="24"/>
        </w:rPr>
      </w:pPr>
    </w:p>
    <w:p>
      <w:pPr>
        <w:spacing w:line="440" w:lineRule="exact"/>
        <w:ind w:left="361" w:hanging="361" w:hangingChars="150"/>
        <w:rPr>
          <w:rFonts w:ascii="宋体" w:hAnsi="宋体" w:cs="宋体"/>
          <w:b/>
          <w:sz w:val="24"/>
          <w:szCs w:val="24"/>
        </w:rPr>
      </w:pPr>
      <w:r>
        <w:rPr>
          <w:rFonts w:hint="eastAsia" w:ascii="宋体" w:hAnsi="宋体" w:cs="宋体"/>
          <w:b/>
          <w:sz w:val="24"/>
          <w:szCs w:val="24"/>
        </w:rPr>
        <w:t>注：</w:t>
      </w:r>
    </w:p>
    <w:p>
      <w:pPr>
        <w:spacing w:line="440" w:lineRule="exact"/>
        <w:ind w:left="360" w:hanging="360" w:hangingChars="150"/>
        <w:rPr>
          <w:rFonts w:ascii="宋体" w:hAnsi="宋体" w:cs="宋体"/>
          <w:sz w:val="24"/>
          <w:szCs w:val="24"/>
        </w:rPr>
      </w:pPr>
      <w:r>
        <w:rPr>
          <w:rFonts w:hint="eastAsia" w:ascii="宋体" w:hAnsi="宋体" w:cs="宋体"/>
          <w:sz w:val="24"/>
          <w:szCs w:val="24"/>
        </w:rPr>
        <w:t>1、除注明原件外，均为复印件并须加盖供应商公章。</w:t>
      </w:r>
    </w:p>
    <w:p>
      <w:pPr>
        <w:spacing w:line="440" w:lineRule="exact"/>
        <w:ind w:left="360" w:hanging="360" w:hangingChars="150"/>
        <w:rPr>
          <w:rFonts w:ascii="宋体" w:hAnsi="宋体" w:cs="宋体"/>
          <w:sz w:val="24"/>
          <w:szCs w:val="24"/>
        </w:rPr>
      </w:pPr>
      <w:r>
        <w:rPr>
          <w:rFonts w:hint="eastAsia" w:ascii="宋体" w:hAnsi="宋体" w:cs="宋体"/>
          <w:sz w:val="24"/>
          <w:szCs w:val="24"/>
        </w:rPr>
        <w:t>2、供应商应按照招标文件的要求自行准备以上证明文件并编目、封装。</w:t>
      </w:r>
    </w:p>
    <w:p>
      <w:pPr>
        <w:spacing w:line="440" w:lineRule="exact"/>
        <w:rPr>
          <w:rFonts w:ascii="宋体" w:hAnsi="宋体" w:cs="宋体"/>
          <w:spacing w:val="4"/>
          <w:sz w:val="24"/>
          <w:szCs w:val="24"/>
        </w:rPr>
      </w:pPr>
      <w:r>
        <w:rPr>
          <w:rFonts w:hint="eastAsia" w:ascii="宋体" w:hAnsi="宋体" w:cs="宋体"/>
          <w:sz w:val="24"/>
          <w:szCs w:val="24"/>
        </w:rPr>
        <w:t>3、除要求在投标时一并提交的原件外，其它所有要求在投标文件中提供复印件的文件，在开标之后的审查过程中，采购代理机构可随时要求查验原件，供应商不得拒绝，否则其投标将按照无效投标处理。</w:t>
      </w:r>
    </w:p>
    <w:p>
      <w:pPr>
        <w:spacing w:line="360" w:lineRule="auto"/>
        <w:ind w:left="1"/>
        <w:rPr>
          <w:rFonts w:ascii="宋体" w:hAnsi="宋体" w:cs="宋体"/>
          <w:b/>
          <w:sz w:val="36"/>
          <w:szCs w:val="36"/>
        </w:rPr>
      </w:pPr>
      <w:r>
        <w:rPr>
          <w:rFonts w:hint="eastAsia" w:ascii="宋体" w:hAnsi="宋体" w:cs="宋体"/>
          <w:b/>
          <w:sz w:val="30"/>
          <w:szCs w:val="30"/>
        </w:rPr>
        <w:br w:type="page"/>
      </w:r>
      <w:r>
        <w:rPr>
          <w:rFonts w:hint="eastAsia" w:ascii="宋体" w:hAnsi="宋体" w:cs="宋体"/>
          <w:b/>
          <w:sz w:val="30"/>
          <w:szCs w:val="30"/>
        </w:rPr>
        <w:t>附件1：</w:t>
      </w:r>
    </w:p>
    <w:p>
      <w:pPr>
        <w:spacing w:line="360" w:lineRule="auto"/>
        <w:ind w:left="1"/>
        <w:jc w:val="center"/>
        <w:rPr>
          <w:rFonts w:ascii="宋体" w:hAnsi="宋体" w:cs="宋体"/>
          <w:b/>
          <w:sz w:val="36"/>
          <w:szCs w:val="36"/>
        </w:rPr>
      </w:pPr>
    </w:p>
    <w:p>
      <w:pPr>
        <w:spacing w:line="360" w:lineRule="auto"/>
        <w:ind w:left="1"/>
        <w:jc w:val="center"/>
        <w:rPr>
          <w:rFonts w:ascii="宋体" w:hAnsi="宋体" w:cs="宋体"/>
          <w:b/>
          <w:sz w:val="36"/>
          <w:szCs w:val="36"/>
        </w:rPr>
      </w:pPr>
      <w:r>
        <w:rPr>
          <w:rFonts w:hint="eastAsia" w:ascii="宋体" w:hAnsi="宋体" w:cs="宋体"/>
          <w:b/>
          <w:sz w:val="36"/>
          <w:szCs w:val="36"/>
        </w:rPr>
        <w:t>供应商无重大违法记录的书面声明格式</w:t>
      </w:r>
    </w:p>
    <w:p>
      <w:pPr>
        <w:spacing w:line="360" w:lineRule="auto"/>
        <w:rPr>
          <w:rFonts w:ascii="宋体" w:hAnsi="宋体" w:cs="宋体"/>
          <w:b/>
          <w:spacing w:val="4"/>
          <w:sz w:val="30"/>
          <w:szCs w:val="30"/>
          <w:u w:val="single"/>
        </w:rPr>
      </w:pPr>
    </w:p>
    <w:p>
      <w:pPr>
        <w:spacing w:line="480" w:lineRule="auto"/>
        <w:jc w:val="left"/>
        <w:rPr>
          <w:rFonts w:ascii="宋体" w:hAnsi="宋体" w:cs="宋体"/>
          <w:spacing w:val="4"/>
          <w:sz w:val="24"/>
          <w:szCs w:val="24"/>
          <w:u w:val="single"/>
        </w:rPr>
      </w:pPr>
      <w:r>
        <w:rPr>
          <w:rFonts w:hint="eastAsia" w:ascii="宋体" w:hAnsi="宋体" w:cs="宋体"/>
          <w:spacing w:val="4"/>
          <w:sz w:val="24"/>
          <w:szCs w:val="24"/>
          <w:u w:val="single"/>
        </w:rPr>
        <w:t>致：（采购机构名称）、（采购代理机构名称）</w:t>
      </w:r>
    </w:p>
    <w:p>
      <w:pPr>
        <w:spacing w:line="480" w:lineRule="auto"/>
        <w:ind w:firstLine="496" w:firstLineChars="200"/>
        <w:jc w:val="left"/>
        <w:rPr>
          <w:rFonts w:ascii="宋体" w:hAnsi="宋体" w:cs="宋体"/>
          <w:spacing w:val="4"/>
          <w:sz w:val="24"/>
          <w:szCs w:val="24"/>
          <w:u w:val="single"/>
        </w:rPr>
      </w:pPr>
      <w:r>
        <w:rPr>
          <w:rFonts w:hint="eastAsia" w:ascii="宋体" w:hAnsi="宋体" w:cs="宋体"/>
          <w:spacing w:val="4"/>
          <w:sz w:val="24"/>
          <w:szCs w:val="24"/>
          <w:u w:val="single"/>
        </w:rPr>
        <w:t>（供应商名称）</w:t>
      </w:r>
      <w:r>
        <w:rPr>
          <w:rFonts w:hint="eastAsia" w:ascii="宋体" w:hAnsi="宋体" w:cs="宋体"/>
          <w:spacing w:val="4"/>
          <w:sz w:val="24"/>
          <w:szCs w:val="24"/>
        </w:rPr>
        <w:t>为在中华人民共和国境内合法注册并经营的机构。在此郑重声明，我公司在参与本次政府采购活动前3年内在经营活动中没有重大违法记录。</w:t>
      </w:r>
    </w:p>
    <w:p>
      <w:pPr>
        <w:spacing w:beforeLines="100" w:afterLines="50" w:line="480" w:lineRule="auto"/>
        <w:ind w:firstLine="170"/>
        <w:jc w:val="left"/>
        <w:rPr>
          <w:rFonts w:ascii="宋体" w:hAnsi="宋体" w:cs="宋体"/>
          <w:spacing w:val="4"/>
          <w:sz w:val="24"/>
          <w:szCs w:val="24"/>
        </w:rPr>
      </w:pPr>
    </w:p>
    <w:p>
      <w:pPr>
        <w:spacing w:beforeLines="100" w:afterLines="50" w:line="360" w:lineRule="auto"/>
        <w:ind w:firstLine="170"/>
        <w:rPr>
          <w:rFonts w:ascii="宋体" w:hAnsi="宋体" w:cs="宋体"/>
          <w:spacing w:val="4"/>
          <w:sz w:val="24"/>
          <w:szCs w:val="24"/>
        </w:rPr>
      </w:pPr>
    </w:p>
    <w:p>
      <w:pPr>
        <w:spacing w:beforeLines="100" w:afterLines="50" w:line="360" w:lineRule="auto"/>
        <w:ind w:firstLine="170"/>
        <w:rPr>
          <w:rFonts w:ascii="宋体" w:hAnsi="宋体" w:cs="宋体"/>
          <w:spacing w:val="4"/>
          <w:sz w:val="24"/>
          <w:szCs w:val="24"/>
        </w:rPr>
      </w:pPr>
    </w:p>
    <w:p>
      <w:pPr>
        <w:spacing w:beforeLines="100" w:afterLines="50" w:line="480" w:lineRule="auto"/>
        <w:ind w:firstLine="4039" w:firstLineChars="1629"/>
        <w:jc w:val="left"/>
        <w:rPr>
          <w:rFonts w:ascii="宋体" w:hAnsi="宋体" w:cs="宋体"/>
          <w:spacing w:val="14"/>
          <w:kern w:val="0"/>
          <w:sz w:val="24"/>
        </w:rPr>
      </w:pPr>
      <w:r>
        <w:rPr>
          <w:rFonts w:hint="eastAsia" w:ascii="宋体" w:hAnsi="宋体" w:cs="宋体"/>
          <w:spacing w:val="4"/>
          <w:sz w:val="24"/>
          <w:szCs w:val="24"/>
        </w:rPr>
        <w:t>供应商名称（盖章）：</w:t>
      </w:r>
    </w:p>
    <w:p>
      <w:pPr>
        <w:spacing w:beforeLines="100" w:afterLines="50" w:line="480" w:lineRule="auto"/>
        <w:ind w:firstLine="4039" w:firstLineChars="1629"/>
        <w:jc w:val="left"/>
        <w:rPr>
          <w:rFonts w:ascii="宋体" w:hAnsi="宋体" w:cs="宋体"/>
          <w:spacing w:val="4"/>
          <w:sz w:val="24"/>
          <w:szCs w:val="24"/>
          <w:u w:val="single"/>
        </w:rPr>
      </w:pPr>
      <w:r>
        <w:rPr>
          <w:rFonts w:hint="eastAsia" w:ascii="宋体" w:hAnsi="宋体" w:cs="宋体"/>
          <w:spacing w:val="4"/>
          <w:sz w:val="24"/>
          <w:szCs w:val="24"/>
        </w:rPr>
        <w:t>法定代表人（签字或盖章）：</w:t>
      </w:r>
    </w:p>
    <w:p>
      <w:pPr>
        <w:spacing w:beforeLines="100" w:afterLines="50" w:line="480" w:lineRule="auto"/>
        <w:ind w:firstLine="4039" w:firstLineChars="1629"/>
        <w:jc w:val="left"/>
        <w:rPr>
          <w:rFonts w:ascii="宋体" w:hAnsi="宋体" w:cs="宋体"/>
          <w:spacing w:val="4"/>
          <w:sz w:val="24"/>
          <w:szCs w:val="24"/>
        </w:rPr>
      </w:pPr>
      <w:r>
        <w:rPr>
          <w:rFonts w:hint="eastAsia" w:ascii="宋体" w:hAnsi="宋体" w:cs="宋体"/>
          <w:spacing w:val="4"/>
          <w:sz w:val="24"/>
          <w:szCs w:val="24"/>
        </w:rPr>
        <w:t>日     期：       年     月     日</w:t>
      </w:r>
    </w:p>
    <w:p>
      <w:pPr>
        <w:spacing w:line="360" w:lineRule="auto"/>
        <w:jc w:val="left"/>
        <w:rPr>
          <w:rFonts w:ascii="宋体" w:hAnsi="宋体" w:cs="宋体"/>
          <w:b/>
          <w:sz w:val="30"/>
          <w:szCs w:val="30"/>
        </w:rPr>
      </w:pPr>
      <w:r>
        <w:rPr>
          <w:rFonts w:hint="eastAsia" w:ascii="宋体" w:hAnsi="宋体" w:cs="宋体"/>
          <w:spacing w:val="4"/>
          <w:sz w:val="24"/>
          <w:szCs w:val="24"/>
        </w:rPr>
        <w:br w:type="page"/>
      </w:r>
      <w:r>
        <w:rPr>
          <w:rFonts w:hint="eastAsia" w:ascii="宋体" w:hAnsi="宋体" w:cs="宋体"/>
          <w:b/>
          <w:sz w:val="30"/>
          <w:szCs w:val="30"/>
        </w:rPr>
        <w:t>附件2：</w:t>
      </w:r>
    </w:p>
    <w:p>
      <w:pPr>
        <w:spacing w:line="360" w:lineRule="auto"/>
        <w:ind w:left="1"/>
        <w:jc w:val="center"/>
        <w:rPr>
          <w:rFonts w:ascii="宋体" w:hAnsi="宋体" w:cs="宋体"/>
          <w:b/>
          <w:sz w:val="36"/>
          <w:szCs w:val="36"/>
        </w:rPr>
      </w:pPr>
    </w:p>
    <w:p>
      <w:pPr>
        <w:spacing w:line="360" w:lineRule="auto"/>
        <w:ind w:left="1"/>
        <w:jc w:val="center"/>
        <w:rPr>
          <w:rFonts w:ascii="宋体" w:hAnsi="宋体" w:cs="宋体"/>
          <w:b/>
          <w:sz w:val="36"/>
          <w:szCs w:val="36"/>
        </w:rPr>
      </w:pPr>
      <w:bookmarkStart w:id="31" w:name="OLE_LINK13"/>
      <w:bookmarkStart w:id="32" w:name="OLE_LINK14"/>
    </w:p>
    <w:p>
      <w:pPr>
        <w:spacing w:line="360" w:lineRule="auto"/>
        <w:jc w:val="center"/>
        <w:rPr>
          <w:rFonts w:ascii="宋体" w:hAnsi="宋体" w:cs="宋体"/>
          <w:b/>
          <w:sz w:val="36"/>
          <w:szCs w:val="36"/>
        </w:rPr>
      </w:pPr>
      <w:r>
        <w:rPr>
          <w:rFonts w:hint="eastAsia" w:ascii="宋体" w:hAnsi="宋体" w:cs="宋体"/>
          <w:b/>
          <w:sz w:val="36"/>
          <w:szCs w:val="36"/>
        </w:rPr>
        <w:t>中小企业声明函（货物）</w:t>
      </w:r>
    </w:p>
    <w:p>
      <w:pPr>
        <w:spacing w:line="360" w:lineRule="auto"/>
        <w:jc w:val="center"/>
        <w:rPr>
          <w:rFonts w:ascii="宋体" w:hAnsi="宋体" w:cs="宋体"/>
          <w:b/>
          <w:sz w:val="36"/>
          <w:szCs w:val="36"/>
        </w:rPr>
      </w:pPr>
    </w:p>
    <w:p>
      <w:pPr>
        <w:spacing w:line="360" w:lineRule="auto"/>
        <w:ind w:firstLine="496" w:firstLineChars="200"/>
        <w:jc w:val="left"/>
        <w:rPr>
          <w:rFonts w:ascii="宋体" w:hAnsi="宋体" w:cs="宋体"/>
          <w:spacing w:val="4"/>
          <w:sz w:val="24"/>
          <w:szCs w:val="24"/>
        </w:rPr>
      </w:pPr>
      <w:r>
        <w:rPr>
          <w:rFonts w:hint="eastAsia" w:ascii="宋体" w:hAnsi="宋体" w:cs="宋体"/>
          <w:spacing w:val="4"/>
          <w:sz w:val="24"/>
          <w:szCs w:val="24"/>
        </w:rPr>
        <w:t>本公司（联合体）郑重声明，根据《政府采购促进中小企业发展管理办法》（财库﹝2020﹞46号）的规定，本公司（联合体）参加</w:t>
      </w:r>
      <w:r>
        <w:rPr>
          <w:rFonts w:hint="eastAsia" w:ascii="宋体" w:hAnsi="宋体" w:cs="宋体"/>
          <w:i/>
          <w:spacing w:val="4"/>
          <w:sz w:val="24"/>
          <w:szCs w:val="24"/>
          <w:u w:val="single"/>
        </w:rPr>
        <w:t>（单位名称）</w:t>
      </w:r>
      <w:r>
        <w:rPr>
          <w:rFonts w:hint="eastAsia" w:ascii="宋体" w:hAnsi="宋体" w:cs="宋体"/>
          <w:spacing w:val="4"/>
          <w:sz w:val="24"/>
          <w:szCs w:val="24"/>
        </w:rPr>
        <w:t>的</w:t>
      </w:r>
      <w:r>
        <w:rPr>
          <w:rFonts w:hint="eastAsia" w:ascii="宋体" w:hAnsi="宋体" w:cs="宋体"/>
          <w:i/>
          <w:spacing w:val="4"/>
          <w:sz w:val="24"/>
          <w:szCs w:val="24"/>
          <w:u w:val="single"/>
        </w:rPr>
        <w:t>（项目名称）</w:t>
      </w:r>
      <w:r>
        <w:rPr>
          <w:rFonts w:hint="eastAsia" w:ascii="宋体" w:hAnsi="宋体" w:cs="宋体"/>
          <w:spacing w:val="4"/>
          <w:sz w:val="24"/>
          <w:szCs w:val="24"/>
        </w:rPr>
        <w:t xml:space="preserve">采购活动，提供的货物全部由符合政策要求的中小企业制造。相关企业（含联合体中的中小企业、签订分包意向协议的中小企业）的具体情况如下： </w:t>
      </w:r>
    </w:p>
    <w:p>
      <w:pPr>
        <w:spacing w:line="360" w:lineRule="auto"/>
        <w:ind w:firstLine="496" w:firstLineChars="200"/>
        <w:jc w:val="left"/>
        <w:rPr>
          <w:rFonts w:ascii="宋体" w:hAnsi="宋体" w:cs="宋体"/>
          <w:spacing w:val="4"/>
          <w:sz w:val="24"/>
          <w:szCs w:val="24"/>
        </w:rPr>
      </w:pPr>
      <w:r>
        <w:rPr>
          <w:rFonts w:hint="eastAsia" w:ascii="宋体" w:hAnsi="宋体" w:cs="宋体"/>
          <w:spacing w:val="4"/>
          <w:sz w:val="24"/>
          <w:szCs w:val="24"/>
        </w:rPr>
        <w:t>1.</w:t>
      </w:r>
      <w:r>
        <w:rPr>
          <w:rFonts w:hint="eastAsia" w:ascii="宋体" w:hAnsi="宋体" w:cs="宋体"/>
          <w:i/>
          <w:spacing w:val="4"/>
          <w:sz w:val="24"/>
          <w:szCs w:val="24"/>
          <w:u w:val="single"/>
        </w:rPr>
        <w:t>（标的名称）</w:t>
      </w:r>
      <w:r>
        <w:rPr>
          <w:rFonts w:hint="eastAsia" w:ascii="宋体" w:hAnsi="宋体" w:cs="宋体"/>
          <w:spacing w:val="4"/>
          <w:sz w:val="24"/>
          <w:szCs w:val="24"/>
        </w:rPr>
        <w:t>，属于</w:t>
      </w:r>
      <w:r>
        <w:rPr>
          <w:rFonts w:hint="eastAsia" w:ascii="宋体" w:hAnsi="宋体" w:cs="宋体"/>
          <w:i/>
          <w:spacing w:val="4"/>
          <w:sz w:val="24"/>
          <w:szCs w:val="24"/>
          <w:u w:val="single"/>
        </w:rPr>
        <w:t>（采购文件中明确的所属行业）</w:t>
      </w:r>
      <w:r>
        <w:rPr>
          <w:rFonts w:hint="eastAsia" w:ascii="宋体" w:hAnsi="宋体" w:cs="宋体"/>
          <w:spacing w:val="4"/>
          <w:sz w:val="24"/>
          <w:szCs w:val="24"/>
        </w:rPr>
        <w:t>；制造商为</w:t>
      </w:r>
      <w:r>
        <w:rPr>
          <w:rFonts w:hint="eastAsia" w:ascii="宋体" w:hAnsi="宋体" w:cs="宋体"/>
          <w:i/>
          <w:spacing w:val="4"/>
          <w:sz w:val="24"/>
          <w:szCs w:val="24"/>
          <w:u w:val="single"/>
        </w:rPr>
        <w:t>（企业名称）</w:t>
      </w:r>
      <w:r>
        <w:rPr>
          <w:rFonts w:hint="eastAsia" w:ascii="宋体" w:hAnsi="宋体" w:cs="宋体"/>
          <w:spacing w:val="4"/>
          <w:sz w:val="24"/>
          <w:szCs w:val="24"/>
        </w:rPr>
        <w:t>，从业人员人，营业收入为万元，资产总额为万元，属于</w:t>
      </w:r>
      <w:r>
        <w:rPr>
          <w:rFonts w:hint="eastAsia" w:ascii="宋体" w:hAnsi="宋体" w:cs="宋体"/>
          <w:i/>
          <w:spacing w:val="4"/>
          <w:sz w:val="24"/>
          <w:szCs w:val="24"/>
          <w:u w:val="single"/>
        </w:rPr>
        <w:t>（中型企业、小型企业、微型企业）</w:t>
      </w:r>
      <w:r>
        <w:rPr>
          <w:rFonts w:hint="eastAsia" w:ascii="宋体" w:hAnsi="宋体" w:cs="宋体"/>
          <w:spacing w:val="4"/>
          <w:sz w:val="24"/>
          <w:szCs w:val="24"/>
        </w:rPr>
        <w:t xml:space="preserve">； </w:t>
      </w:r>
    </w:p>
    <w:p>
      <w:pPr>
        <w:spacing w:line="360" w:lineRule="auto"/>
        <w:ind w:firstLine="496" w:firstLineChars="200"/>
        <w:jc w:val="left"/>
        <w:rPr>
          <w:rFonts w:ascii="宋体" w:hAnsi="宋体" w:cs="宋体"/>
          <w:spacing w:val="4"/>
          <w:sz w:val="24"/>
          <w:szCs w:val="24"/>
        </w:rPr>
      </w:pPr>
      <w:r>
        <w:rPr>
          <w:rFonts w:hint="eastAsia" w:ascii="宋体" w:hAnsi="宋体" w:cs="宋体"/>
          <w:spacing w:val="4"/>
          <w:sz w:val="24"/>
          <w:szCs w:val="24"/>
        </w:rPr>
        <w:t>2.</w:t>
      </w:r>
      <w:r>
        <w:rPr>
          <w:rFonts w:hint="eastAsia" w:ascii="宋体" w:hAnsi="宋体" w:cs="宋体"/>
          <w:i/>
          <w:spacing w:val="4"/>
          <w:sz w:val="24"/>
          <w:szCs w:val="24"/>
          <w:u w:val="single"/>
        </w:rPr>
        <w:t>（标的名称）</w:t>
      </w:r>
      <w:r>
        <w:rPr>
          <w:rFonts w:hint="eastAsia" w:ascii="宋体" w:hAnsi="宋体" w:cs="宋体"/>
          <w:spacing w:val="4"/>
          <w:sz w:val="24"/>
          <w:szCs w:val="24"/>
        </w:rPr>
        <w:t>，属于（采购文件中明确的所属行业）；制造商为</w:t>
      </w:r>
      <w:r>
        <w:rPr>
          <w:rFonts w:hint="eastAsia" w:ascii="宋体" w:hAnsi="宋体" w:cs="宋体"/>
          <w:i/>
          <w:spacing w:val="4"/>
          <w:sz w:val="24"/>
          <w:szCs w:val="24"/>
          <w:u w:val="single"/>
        </w:rPr>
        <w:t>（企业名称）</w:t>
      </w:r>
      <w:r>
        <w:rPr>
          <w:rFonts w:hint="eastAsia" w:ascii="宋体" w:hAnsi="宋体" w:cs="宋体"/>
          <w:spacing w:val="4"/>
          <w:sz w:val="24"/>
          <w:szCs w:val="24"/>
        </w:rPr>
        <w:t>，从业人员人，营业收入为万元，资产总额为万元，属于</w:t>
      </w:r>
      <w:r>
        <w:rPr>
          <w:rFonts w:hint="eastAsia" w:ascii="宋体" w:hAnsi="宋体" w:cs="宋体"/>
          <w:i/>
          <w:spacing w:val="4"/>
          <w:sz w:val="24"/>
          <w:szCs w:val="24"/>
          <w:u w:val="single"/>
        </w:rPr>
        <w:t>（中型企业、小型企业、微型企业）</w:t>
      </w:r>
      <w:r>
        <w:rPr>
          <w:rFonts w:hint="eastAsia" w:ascii="宋体" w:hAnsi="宋体" w:cs="宋体"/>
          <w:spacing w:val="4"/>
          <w:sz w:val="24"/>
          <w:szCs w:val="24"/>
        </w:rPr>
        <w:t xml:space="preserve">； </w:t>
      </w:r>
    </w:p>
    <w:p>
      <w:pPr>
        <w:spacing w:line="360" w:lineRule="auto"/>
        <w:ind w:firstLine="496" w:firstLineChars="200"/>
        <w:jc w:val="left"/>
        <w:rPr>
          <w:rFonts w:ascii="宋体" w:hAnsi="宋体" w:cs="宋体"/>
          <w:spacing w:val="4"/>
          <w:sz w:val="24"/>
          <w:szCs w:val="24"/>
        </w:rPr>
      </w:pPr>
      <w:r>
        <w:rPr>
          <w:rFonts w:hint="eastAsia" w:ascii="宋体" w:hAnsi="宋体" w:cs="宋体"/>
          <w:spacing w:val="4"/>
          <w:sz w:val="24"/>
          <w:szCs w:val="24"/>
        </w:rPr>
        <w:t xml:space="preserve">…… </w:t>
      </w:r>
    </w:p>
    <w:p>
      <w:pPr>
        <w:spacing w:line="360" w:lineRule="auto"/>
        <w:ind w:firstLine="496" w:firstLineChars="200"/>
        <w:jc w:val="left"/>
        <w:rPr>
          <w:rFonts w:ascii="宋体" w:hAnsi="宋体" w:cs="宋体"/>
          <w:spacing w:val="4"/>
          <w:sz w:val="24"/>
          <w:szCs w:val="24"/>
        </w:rPr>
      </w:pPr>
      <w:r>
        <w:rPr>
          <w:rFonts w:hint="eastAsia" w:ascii="宋体" w:hAnsi="宋体" w:cs="宋体"/>
          <w:spacing w:val="4"/>
          <w:sz w:val="24"/>
          <w:szCs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cs="宋体"/>
          <w:spacing w:val="4"/>
          <w:sz w:val="24"/>
          <w:szCs w:val="24"/>
        </w:rPr>
      </w:pPr>
      <w:r>
        <w:rPr>
          <w:rFonts w:hint="eastAsia" w:ascii="宋体" w:hAnsi="宋体" w:cs="宋体"/>
          <w:spacing w:val="4"/>
          <w:sz w:val="24"/>
          <w:szCs w:val="24"/>
        </w:rPr>
        <w:t xml:space="preserve">本企业对上述声明内容的真实性负责。如有虚假，将依法承担相应责任。 </w:t>
      </w:r>
    </w:p>
    <w:p>
      <w:pPr>
        <w:spacing w:line="360" w:lineRule="auto"/>
        <w:ind w:firstLine="4340" w:firstLineChars="1750"/>
        <w:jc w:val="left"/>
        <w:rPr>
          <w:rFonts w:ascii="宋体" w:hAnsi="宋体" w:cs="宋体"/>
          <w:spacing w:val="4"/>
          <w:sz w:val="24"/>
          <w:szCs w:val="24"/>
        </w:rPr>
      </w:pPr>
    </w:p>
    <w:p>
      <w:pPr>
        <w:spacing w:line="360" w:lineRule="auto"/>
        <w:ind w:firstLine="5332" w:firstLineChars="2150"/>
        <w:jc w:val="left"/>
        <w:rPr>
          <w:rFonts w:ascii="宋体" w:hAnsi="宋体" w:cs="宋体"/>
          <w:spacing w:val="4"/>
          <w:sz w:val="24"/>
          <w:szCs w:val="24"/>
        </w:rPr>
      </w:pPr>
      <w:r>
        <w:rPr>
          <w:rFonts w:hint="eastAsia" w:ascii="宋体" w:hAnsi="宋体" w:cs="宋体"/>
          <w:spacing w:val="4"/>
          <w:sz w:val="24"/>
          <w:szCs w:val="24"/>
        </w:rPr>
        <w:t xml:space="preserve">企业名称（盖章）： </w:t>
      </w:r>
    </w:p>
    <w:p>
      <w:pPr>
        <w:spacing w:line="360" w:lineRule="auto"/>
        <w:ind w:firstLine="5332" w:firstLineChars="2150"/>
        <w:jc w:val="left"/>
        <w:rPr>
          <w:rFonts w:ascii="宋体" w:hAnsi="宋体" w:cs="宋体"/>
          <w:spacing w:val="4"/>
          <w:sz w:val="24"/>
          <w:szCs w:val="24"/>
        </w:rPr>
      </w:pPr>
      <w:r>
        <w:rPr>
          <w:rFonts w:hint="eastAsia" w:ascii="宋体" w:hAnsi="宋体" w:cs="宋体"/>
          <w:spacing w:val="4"/>
          <w:sz w:val="24"/>
          <w:szCs w:val="24"/>
        </w:rPr>
        <w:t xml:space="preserve">日    期： </w:t>
      </w:r>
    </w:p>
    <w:p>
      <w:pPr>
        <w:spacing w:line="360" w:lineRule="auto"/>
        <w:ind w:firstLine="4900" w:firstLineChars="1750"/>
        <w:jc w:val="left"/>
        <w:rPr>
          <w:rFonts w:ascii="宋体" w:hAnsi="宋体" w:cs="宋体"/>
          <w:sz w:val="28"/>
          <w:szCs w:val="28"/>
        </w:rPr>
      </w:pPr>
    </w:p>
    <w:p>
      <w:pPr>
        <w:spacing w:line="360" w:lineRule="auto"/>
        <w:jc w:val="left"/>
        <w:rPr>
          <w:rFonts w:ascii="宋体" w:hAnsi="宋体" w:cs="宋体"/>
          <w:sz w:val="28"/>
          <w:szCs w:val="28"/>
        </w:rPr>
      </w:pPr>
    </w:p>
    <w:p>
      <w:pPr>
        <w:spacing w:line="360" w:lineRule="auto"/>
        <w:jc w:val="left"/>
        <w:rPr>
          <w:rFonts w:ascii="宋体" w:hAnsi="宋体" w:cs="宋体"/>
          <w:b/>
          <w:sz w:val="30"/>
          <w:szCs w:val="30"/>
        </w:rPr>
      </w:pPr>
    </w:p>
    <w:p>
      <w:pPr>
        <w:spacing w:line="360" w:lineRule="auto"/>
        <w:jc w:val="left"/>
        <w:rPr>
          <w:rFonts w:ascii="宋体" w:hAnsi="宋体" w:cs="宋体"/>
          <w:b/>
          <w:sz w:val="30"/>
          <w:szCs w:val="30"/>
        </w:rPr>
      </w:pPr>
    </w:p>
    <w:p>
      <w:pPr>
        <w:spacing w:line="360" w:lineRule="auto"/>
        <w:ind w:left="1"/>
        <w:rPr>
          <w:rFonts w:ascii="宋体" w:hAnsi="宋体"/>
          <w:b/>
          <w:sz w:val="30"/>
          <w:szCs w:val="30"/>
        </w:rPr>
      </w:pPr>
      <w:r>
        <w:rPr>
          <w:rFonts w:ascii="宋体" w:hAnsi="宋体"/>
          <w:b/>
          <w:sz w:val="30"/>
          <w:szCs w:val="30"/>
        </w:rPr>
        <w:t>附件</w:t>
      </w:r>
      <w:r>
        <w:rPr>
          <w:rFonts w:hint="eastAsia" w:ascii="宋体" w:hAnsi="宋体"/>
          <w:b/>
          <w:sz w:val="30"/>
          <w:szCs w:val="30"/>
        </w:rPr>
        <w:t>3：</w:t>
      </w:r>
    </w:p>
    <w:p>
      <w:pPr>
        <w:spacing w:line="360" w:lineRule="auto"/>
        <w:ind w:left="1"/>
        <w:jc w:val="center"/>
        <w:rPr>
          <w:rFonts w:ascii="宋体" w:hAnsi="宋体"/>
          <w:b/>
          <w:sz w:val="36"/>
          <w:szCs w:val="36"/>
        </w:rPr>
      </w:pPr>
    </w:p>
    <w:p>
      <w:pPr>
        <w:spacing w:line="360" w:lineRule="auto"/>
        <w:ind w:left="1"/>
        <w:jc w:val="center"/>
        <w:rPr>
          <w:rFonts w:ascii="宋体" w:hAnsi="宋体"/>
          <w:b/>
          <w:sz w:val="36"/>
          <w:szCs w:val="36"/>
        </w:rPr>
      </w:pPr>
      <w:r>
        <w:rPr>
          <w:rFonts w:hint="eastAsia" w:ascii="宋体" w:hAnsi="宋体"/>
          <w:b/>
          <w:sz w:val="36"/>
          <w:szCs w:val="36"/>
        </w:rPr>
        <w:t>供应商具有履行本合同所必需的</w:t>
      </w:r>
    </w:p>
    <w:p>
      <w:pPr>
        <w:spacing w:line="360" w:lineRule="auto"/>
        <w:ind w:left="1"/>
        <w:jc w:val="center"/>
        <w:rPr>
          <w:rFonts w:ascii="宋体" w:hAnsi="宋体"/>
          <w:b/>
          <w:sz w:val="36"/>
          <w:szCs w:val="36"/>
        </w:rPr>
      </w:pPr>
      <w:r>
        <w:rPr>
          <w:rFonts w:hint="eastAsia" w:ascii="宋体" w:hAnsi="宋体"/>
          <w:b/>
          <w:sz w:val="36"/>
          <w:szCs w:val="36"/>
        </w:rPr>
        <w:t>设备和专业技术能力的说明及承诺</w:t>
      </w:r>
    </w:p>
    <w:p>
      <w:pPr>
        <w:spacing w:line="360" w:lineRule="auto"/>
        <w:rPr>
          <w:rFonts w:ascii="宋体" w:hAnsi="宋体"/>
          <w:spacing w:val="4"/>
          <w:sz w:val="24"/>
          <w:szCs w:val="24"/>
          <w:u w:val="single"/>
        </w:rPr>
      </w:pPr>
    </w:p>
    <w:p>
      <w:pPr>
        <w:spacing w:line="360" w:lineRule="auto"/>
        <w:rPr>
          <w:rFonts w:ascii="宋体"/>
          <w:spacing w:val="4"/>
          <w:sz w:val="24"/>
          <w:szCs w:val="24"/>
          <w:u w:val="single"/>
        </w:rPr>
      </w:pPr>
      <w:r>
        <w:rPr>
          <w:rFonts w:hint="eastAsia" w:ascii="宋体" w:hAnsi="宋体"/>
          <w:spacing w:val="4"/>
          <w:sz w:val="24"/>
          <w:szCs w:val="24"/>
          <w:u w:val="single"/>
        </w:rPr>
        <w:t>致：（采购人名称）：</w:t>
      </w:r>
    </w:p>
    <w:p>
      <w:pPr>
        <w:spacing w:beforeLines="100" w:afterLines="50" w:line="360" w:lineRule="auto"/>
        <w:ind w:firstLine="170"/>
        <w:rPr>
          <w:rFonts w:ascii="宋体" w:hAnsi="宋体"/>
          <w:spacing w:val="4"/>
          <w:sz w:val="24"/>
          <w:szCs w:val="24"/>
        </w:rPr>
      </w:pPr>
      <w:r>
        <w:rPr>
          <w:rFonts w:hint="eastAsia" w:ascii="宋体" w:hAnsi="宋体"/>
          <w:spacing w:val="4"/>
          <w:sz w:val="24"/>
          <w:szCs w:val="24"/>
        </w:rPr>
        <w:t xml:space="preserve">    （-------公司）于      年  月  日在中华人民共和国境内（详细注册地址）合法注册并经营，公司主营业务为（         ），营业（生产经营）面积为（        ），现有员工数量为（       ），其中与履行本合同相关的专业技术人员有（专业能力、数量），本公司郑重承诺，具有履行本合同所必需的设备和专业技术能力。</w:t>
      </w:r>
    </w:p>
    <w:p>
      <w:pPr>
        <w:spacing w:beforeLines="100" w:afterLines="50" w:line="360" w:lineRule="auto"/>
        <w:ind w:firstLine="2480" w:firstLineChars="1000"/>
        <w:jc w:val="left"/>
        <w:rPr>
          <w:rFonts w:ascii="宋体" w:hAnsi="宋体"/>
          <w:spacing w:val="4"/>
          <w:sz w:val="24"/>
          <w:szCs w:val="24"/>
        </w:rPr>
      </w:pPr>
    </w:p>
    <w:p>
      <w:pPr>
        <w:spacing w:beforeLines="100" w:afterLines="50" w:line="360" w:lineRule="auto"/>
        <w:ind w:firstLine="2551" w:firstLineChars="1029"/>
        <w:jc w:val="left"/>
        <w:rPr>
          <w:rFonts w:ascii="宋体" w:hAnsi="宋体" w:cs="宋体"/>
          <w:spacing w:val="14"/>
          <w:kern w:val="0"/>
          <w:sz w:val="24"/>
        </w:rPr>
      </w:pPr>
      <w:r>
        <w:rPr>
          <w:rFonts w:hint="eastAsia" w:ascii="宋体" w:hAnsi="宋体"/>
          <w:spacing w:val="4"/>
          <w:sz w:val="24"/>
          <w:szCs w:val="24"/>
        </w:rPr>
        <w:t>供应商名称（盖章）：</w:t>
      </w:r>
      <w:r>
        <w:rPr>
          <w:rFonts w:hint="eastAsia" w:ascii="宋体" w:hAnsi="宋体" w:cs="宋体"/>
          <w:spacing w:val="14"/>
          <w:kern w:val="0"/>
          <w:sz w:val="24"/>
          <w:u w:val="single"/>
        </w:rPr>
        <w:t>（单位全称</w:t>
      </w:r>
      <w:r>
        <w:rPr>
          <w:rFonts w:hint="eastAsia" w:ascii="宋体" w:hAnsi="宋体" w:cs="宋体"/>
          <w:spacing w:val="14"/>
          <w:kern w:val="0"/>
          <w:sz w:val="24"/>
        </w:rPr>
        <w:t>）</w:t>
      </w:r>
    </w:p>
    <w:p>
      <w:pPr>
        <w:spacing w:beforeLines="100" w:afterLines="50" w:line="360" w:lineRule="auto"/>
        <w:ind w:firstLine="2757" w:firstLineChars="1029"/>
        <w:jc w:val="left"/>
        <w:rPr>
          <w:rFonts w:ascii="宋体" w:hAnsi="宋体" w:cs="宋体"/>
          <w:spacing w:val="14"/>
          <w:kern w:val="0"/>
          <w:sz w:val="24"/>
        </w:rPr>
      </w:pPr>
    </w:p>
    <w:p>
      <w:pPr>
        <w:spacing w:beforeLines="100" w:afterLines="50" w:line="360" w:lineRule="auto"/>
        <w:ind w:firstLine="2551" w:firstLineChars="1029"/>
        <w:jc w:val="left"/>
        <w:rPr>
          <w:rFonts w:ascii="宋体"/>
          <w:spacing w:val="4"/>
          <w:sz w:val="24"/>
          <w:szCs w:val="24"/>
        </w:rPr>
      </w:pPr>
      <w:r>
        <w:rPr>
          <w:rFonts w:hint="eastAsia" w:ascii="宋体" w:hAnsi="宋体"/>
          <w:spacing w:val="4"/>
          <w:sz w:val="24"/>
          <w:szCs w:val="24"/>
        </w:rPr>
        <w:t>法定代表人（签字或盖章）：</w:t>
      </w:r>
    </w:p>
    <w:p>
      <w:pPr>
        <w:spacing w:line="360" w:lineRule="auto"/>
        <w:ind w:left="1"/>
        <w:jc w:val="center"/>
        <w:rPr>
          <w:rFonts w:ascii="宋体" w:hAnsi="宋体"/>
          <w:spacing w:val="4"/>
          <w:sz w:val="24"/>
          <w:szCs w:val="24"/>
        </w:rPr>
      </w:pPr>
    </w:p>
    <w:p>
      <w:pPr>
        <w:spacing w:line="360" w:lineRule="auto"/>
        <w:ind w:left="1"/>
        <w:jc w:val="center"/>
        <w:rPr>
          <w:rFonts w:ascii="宋体" w:hAnsi="宋体"/>
          <w:spacing w:val="4"/>
          <w:sz w:val="24"/>
          <w:szCs w:val="24"/>
        </w:rPr>
      </w:pPr>
    </w:p>
    <w:p>
      <w:pPr>
        <w:spacing w:line="360" w:lineRule="auto"/>
        <w:ind w:left="1"/>
        <w:jc w:val="center"/>
        <w:rPr>
          <w:rFonts w:ascii="宋体" w:hAnsi="宋体"/>
          <w:spacing w:val="4"/>
          <w:sz w:val="24"/>
          <w:szCs w:val="24"/>
        </w:rPr>
      </w:pPr>
      <w:r>
        <w:rPr>
          <w:rFonts w:hint="eastAsia" w:ascii="宋体" w:hAnsi="宋体"/>
          <w:spacing w:val="4"/>
          <w:sz w:val="24"/>
          <w:szCs w:val="24"/>
        </w:rPr>
        <w:t xml:space="preserve">                                   日期：年月日</w:t>
      </w:r>
    </w:p>
    <w:p>
      <w:pPr>
        <w:spacing w:line="360" w:lineRule="auto"/>
        <w:jc w:val="left"/>
        <w:rPr>
          <w:rFonts w:ascii="宋体" w:hAnsi="宋体" w:cs="宋体"/>
          <w:b/>
          <w:sz w:val="30"/>
          <w:szCs w:val="30"/>
        </w:rPr>
      </w:pPr>
    </w:p>
    <w:p>
      <w:pPr>
        <w:spacing w:line="360" w:lineRule="auto"/>
        <w:jc w:val="left"/>
        <w:rPr>
          <w:rFonts w:ascii="宋体" w:hAnsi="宋体" w:cs="宋体"/>
          <w:b/>
          <w:sz w:val="30"/>
          <w:szCs w:val="30"/>
        </w:rPr>
      </w:pPr>
    </w:p>
    <w:p>
      <w:pPr>
        <w:spacing w:line="360" w:lineRule="auto"/>
        <w:jc w:val="left"/>
        <w:rPr>
          <w:rFonts w:ascii="宋体" w:hAnsi="宋体" w:cs="宋体"/>
          <w:b/>
          <w:sz w:val="30"/>
          <w:szCs w:val="30"/>
        </w:rPr>
      </w:pPr>
    </w:p>
    <w:p>
      <w:pPr>
        <w:spacing w:line="360" w:lineRule="auto"/>
        <w:jc w:val="left"/>
        <w:rPr>
          <w:rFonts w:ascii="宋体" w:hAnsi="宋体" w:cs="宋体"/>
          <w:b/>
          <w:sz w:val="30"/>
          <w:szCs w:val="30"/>
        </w:rPr>
      </w:pPr>
    </w:p>
    <w:p>
      <w:pPr>
        <w:spacing w:line="360" w:lineRule="auto"/>
        <w:jc w:val="left"/>
        <w:rPr>
          <w:rFonts w:ascii="宋体" w:hAnsi="宋体" w:cs="宋体"/>
          <w:b/>
          <w:sz w:val="30"/>
          <w:szCs w:val="30"/>
        </w:rPr>
      </w:pPr>
    </w:p>
    <w:p>
      <w:pPr>
        <w:spacing w:line="360" w:lineRule="auto"/>
        <w:jc w:val="left"/>
        <w:rPr>
          <w:rFonts w:ascii="宋体" w:hAnsi="宋体" w:cs="宋体"/>
          <w:b/>
          <w:sz w:val="30"/>
          <w:szCs w:val="30"/>
        </w:rPr>
      </w:pPr>
      <w:r>
        <w:rPr>
          <w:rFonts w:hint="eastAsia" w:ascii="宋体" w:hAnsi="宋体" w:cs="宋体"/>
          <w:b/>
          <w:sz w:val="30"/>
          <w:szCs w:val="30"/>
        </w:rPr>
        <w:t>附件4：</w:t>
      </w:r>
    </w:p>
    <w:p>
      <w:pPr>
        <w:spacing w:line="588" w:lineRule="exact"/>
        <w:rPr>
          <w:rFonts w:ascii="宋体" w:hAnsi="宋体" w:cs="宋体"/>
          <w:b/>
          <w:sz w:val="30"/>
          <w:szCs w:val="30"/>
        </w:rPr>
      </w:pPr>
    </w:p>
    <w:p>
      <w:pPr>
        <w:spacing w:line="360" w:lineRule="auto"/>
        <w:jc w:val="center"/>
        <w:rPr>
          <w:rFonts w:ascii="宋体" w:hAnsi="宋体" w:cs="宋体"/>
          <w:b/>
          <w:sz w:val="36"/>
          <w:szCs w:val="36"/>
        </w:rPr>
      </w:pPr>
      <w:r>
        <w:rPr>
          <w:rFonts w:hint="eastAsia" w:ascii="宋体" w:hAnsi="宋体" w:cs="宋体"/>
          <w:b/>
          <w:sz w:val="36"/>
          <w:szCs w:val="36"/>
        </w:rPr>
        <w:t>残疾人福利性单位声明函</w:t>
      </w:r>
    </w:p>
    <w:bookmarkEnd w:id="31"/>
    <w:bookmarkEnd w:id="32"/>
    <w:p>
      <w:pPr>
        <w:spacing w:line="588" w:lineRule="exact"/>
        <w:rPr>
          <w:rFonts w:ascii="宋体" w:hAnsi="宋体" w:cs="宋体"/>
          <w:b/>
          <w:spacing w:val="6"/>
          <w:sz w:val="30"/>
          <w:szCs w:val="30"/>
        </w:rPr>
      </w:pPr>
    </w:p>
    <w:p>
      <w:pPr>
        <w:spacing w:line="588" w:lineRule="exact"/>
        <w:ind w:firstLine="496" w:firstLineChars="200"/>
        <w:rPr>
          <w:rFonts w:ascii="宋体" w:hAnsi="宋体" w:cs="宋体"/>
          <w:spacing w:val="4"/>
          <w:sz w:val="24"/>
          <w:szCs w:val="24"/>
        </w:rPr>
      </w:pPr>
      <w:r>
        <w:rPr>
          <w:rFonts w:hint="eastAsia" w:ascii="宋体" w:hAnsi="宋体" w:cs="宋体"/>
          <w:spacing w:val="4"/>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pPr>
        <w:spacing w:line="360" w:lineRule="auto"/>
        <w:ind w:firstLine="496" w:firstLineChars="200"/>
        <w:jc w:val="left"/>
        <w:rPr>
          <w:rFonts w:ascii="宋体" w:hAnsi="宋体" w:cs="宋体"/>
          <w:spacing w:val="4"/>
          <w:sz w:val="24"/>
          <w:szCs w:val="24"/>
        </w:rPr>
      </w:pPr>
      <w:r>
        <w:rPr>
          <w:rFonts w:hint="eastAsia" w:ascii="宋体" w:hAnsi="宋体" w:cs="宋体"/>
          <w:spacing w:val="4"/>
          <w:sz w:val="24"/>
          <w:szCs w:val="24"/>
        </w:rPr>
        <w:t>本单位对上述声明的真实性负责。如有虚假，将依法承担相应责任。</w:t>
      </w:r>
    </w:p>
    <w:p>
      <w:pPr>
        <w:spacing w:line="360" w:lineRule="auto"/>
        <w:ind w:firstLine="496" w:firstLineChars="200"/>
        <w:jc w:val="left"/>
        <w:rPr>
          <w:rFonts w:ascii="宋体" w:hAnsi="宋体" w:cs="宋体"/>
          <w:spacing w:val="4"/>
          <w:sz w:val="24"/>
          <w:szCs w:val="24"/>
        </w:rPr>
      </w:pPr>
    </w:p>
    <w:p>
      <w:pPr>
        <w:spacing w:line="360" w:lineRule="auto"/>
        <w:ind w:firstLine="496" w:firstLineChars="200"/>
        <w:jc w:val="left"/>
        <w:rPr>
          <w:rFonts w:ascii="宋体" w:hAnsi="宋体" w:cs="宋体"/>
          <w:spacing w:val="4"/>
          <w:sz w:val="24"/>
          <w:szCs w:val="24"/>
        </w:rPr>
      </w:pPr>
    </w:p>
    <w:p>
      <w:pPr>
        <w:spacing w:line="360" w:lineRule="auto"/>
        <w:ind w:firstLine="496" w:firstLineChars="200"/>
        <w:jc w:val="left"/>
        <w:rPr>
          <w:rFonts w:ascii="宋体" w:hAnsi="宋体" w:cs="宋体"/>
          <w:spacing w:val="4"/>
          <w:sz w:val="24"/>
          <w:szCs w:val="24"/>
        </w:rPr>
      </w:pPr>
      <w:r>
        <w:rPr>
          <w:rFonts w:hint="eastAsia" w:ascii="宋体" w:hAnsi="宋体" w:cs="宋体"/>
          <w:spacing w:val="4"/>
          <w:sz w:val="24"/>
          <w:szCs w:val="24"/>
        </w:rPr>
        <w:t xml:space="preserve">                                         单位名称（盖章）：</w:t>
      </w:r>
    </w:p>
    <w:p>
      <w:pPr>
        <w:spacing w:line="360" w:lineRule="auto"/>
        <w:ind w:firstLine="496" w:firstLineChars="200"/>
        <w:jc w:val="left"/>
        <w:rPr>
          <w:rFonts w:ascii="宋体" w:hAnsi="宋体" w:cs="宋体"/>
          <w:spacing w:val="4"/>
          <w:sz w:val="24"/>
          <w:szCs w:val="24"/>
        </w:rPr>
      </w:pPr>
      <w:r>
        <w:rPr>
          <w:rFonts w:hint="eastAsia" w:ascii="宋体" w:hAnsi="宋体" w:cs="宋体"/>
          <w:spacing w:val="4"/>
          <w:sz w:val="24"/>
          <w:szCs w:val="24"/>
        </w:rPr>
        <w:t xml:space="preserve">                                         日    期：</w:t>
      </w:r>
    </w:p>
    <w:p>
      <w:pPr>
        <w:rPr>
          <w:rFonts w:ascii="宋体" w:hAnsi="宋体" w:cs="宋体"/>
        </w:rPr>
      </w:pPr>
    </w:p>
    <w:p>
      <w:pPr>
        <w:spacing w:line="360" w:lineRule="auto"/>
        <w:jc w:val="left"/>
        <w:rPr>
          <w:rFonts w:ascii="宋体" w:hAnsi="宋体" w:cs="宋体"/>
          <w:sz w:val="18"/>
          <w:szCs w:val="18"/>
        </w:rPr>
      </w:pPr>
    </w:p>
    <w:p>
      <w:pPr>
        <w:spacing w:line="360" w:lineRule="auto"/>
        <w:ind w:left="1"/>
        <w:jc w:val="center"/>
        <w:rPr>
          <w:rFonts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四、投标保证金</w:t>
      </w:r>
    </w:p>
    <w:p>
      <w:pPr>
        <w:spacing w:line="360" w:lineRule="auto"/>
        <w:ind w:left="1"/>
        <w:jc w:val="center"/>
        <w:rPr>
          <w:rFonts w:ascii="宋体" w:hAnsi="宋体" w:cs="宋体"/>
          <w:b/>
          <w:sz w:val="36"/>
          <w:szCs w:val="36"/>
        </w:rPr>
      </w:pPr>
    </w:p>
    <w:p>
      <w:pPr>
        <w:spacing w:line="360" w:lineRule="auto"/>
        <w:ind w:left="1"/>
        <w:rPr>
          <w:rFonts w:ascii="宋体" w:hAnsi="宋体" w:cs="宋体"/>
          <w:sz w:val="28"/>
          <w:szCs w:val="28"/>
        </w:rPr>
      </w:pPr>
      <w:r>
        <w:rPr>
          <w:rFonts w:hint="eastAsia" w:ascii="宋体" w:hAnsi="宋体" w:cs="宋体"/>
          <w:sz w:val="28"/>
          <w:szCs w:val="28"/>
        </w:rPr>
        <w:t>注：投标保证金必须由投标单位账户转出，不接受现金或支票形式。转账或电汇凭证请打印或者复印后，粘贴或装订在此处。提供投标担保函的请将原件装订在此处。</w:t>
      </w:r>
    </w:p>
    <w:p>
      <w:pPr>
        <w:spacing w:line="360" w:lineRule="auto"/>
        <w:ind w:left="1"/>
        <w:rPr>
          <w:rFonts w:ascii="宋体" w:hAnsi="宋体" w:cs="宋体"/>
          <w:sz w:val="24"/>
          <w:szCs w:val="24"/>
        </w:rPr>
      </w:pPr>
    </w:p>
    <w:p>
      <w:pPr>
        <w:spacing w:line="360" w:lineRule="auto"/>
        <w:ind w:left="1"/>
        <w:jc w:val="center"/>
        <w:rPr>
          <w:rFonts w:ascii="宋体" w:hAnsi="宋体" w:cs="宋体"/>
          <w:b/>
          <w:sz w:val="44"/>
          <w:szCs w:val="44"/>
        </w:rPr>
      </w:pPr>
      <w:r>
        <w:rPr>
          <w:rFonts w:hint="eastAsia" w:ascii="宋体" w:hAnsi="宋体" w:cs="宋体"/>
          <w:sz w:val="24"/>
          <w:szCs w:val="24"/>
        </w:rPr>
        <w:br w:type="page"/>
      </w:r>
      <w:r>
        <w:rPr>
          <w:rFonts w:hint="eastAsia" w:ascii="宋体" w:hAnsi="宋体" w:cs="宋体"/>
          <w:b/>
          <w:sz w:val="44"/>
          <w:szCs w:val="44"/>
        </w:rPr>
        <w:t>政府采购项目</w:t>
      </w:r>
    </w:p>
    <w:p>
      <w:pPr>
        <w:jc w:val="center"/>
        <w:rPr>
          <w:rFonts w:ascii="宋体" w:hAnsi="宋体" w:cs="宋体"/>
          <w:b/>
          <w:sz w:val="36"/>
          <w:szCs w:val="36"/>
        </w:rPr>
      </w:pPr>
    </w:p>
    <w:p>
      <w:pPr>
        <w:jc w:val="center"/>
        <w:rPr>
          <w:rFonts w:ascii="宋体" w:hAnsi="宋体" w:cs="宋体"/>
          <w:b/>
          <w:sz w:val="44"/>
          <w:szCs w:val="44"/>
        </w:rPr>
      </w:pPr>
    </w:p>
    <w:p>
      <w:pPr>
        <w:jc w:val="center"/>
        <w:rPr>
          <w:rFonts w:ascii="宋体" w:hAnsi="宋体" w:cs="宋体"/>
          <w:b/>
          <w:sz w:val="36"/>
          <w:szCs w:val="36"/>
        </w:rPr>
      </w:pPr>
    </w:p>
    <w:p>
      <w:pPr>
        <w:jc w:val="center"/>
        <w:rPr>
          <w:rFonts w:ascii="宋体" w:hAnsi="宋体" w:cs="宋体"/>
          <w:b/>
          <w:sz w:val="84"/>
          <w:szCs w:val="84"/>
        </w:rPr>
      </w:pPr>
      <w:r>
        <w:rPr>
          <w:rFonts w:hint="eastAsia" w:ascii="宋体" w:hAnsi="宋体" w:cs="宋体"/>
          <w:b/>
          <w:sz w:val="84"/>
          <w:szCs w:val="84"/>
        </w:rPr>
        <w:t>投 标 文 件</w:t>
      </w:r>
    </w:p>
    <w:p>
      <w:pPr>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（技术和商务部分）</w:t>
      </w: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sz w:val="72"/>
          <w:szCs w:val="72"/>
        </w:rPr>
      </w:pPr>
    </w:p>
    <w:p>
      <w:pPr>
        <w:tabs>
          <w:tab w:val="left" w:pos="2628"/>
        </w:tabs>
        <w:spacing w:line="360" w:lineRule="auto"/>
        <w:ind w:left="2497" w:leftChars="544" w:hanging="1355" w:hangingChars="450"/>
        <w:jc w:val="left"/>
        <w:rPr>
          <w:rFonts w:ascii="宋体" w:hAnsi="宋体" w:cs="宋体"/>
          <w:b/>
          <w:sz w:val="30"/>
          <w:szCs w:val="30"/>
        </w:rPr>
      </w:pPr>
      <w:r>
        <w:rPr>
          <w:rFonts w:hint="eastAsia" w:ascii="宋体" w:hAnsi="宋体" w:cs="宋体"/>
          <w:b/>
          <w:sz w:val="30"/>
          <w:szCs w:val="30"/>
        </w:rPr>
        <w:t>项目名称：</w:t>
      </w:r>
    </w:p>
    <w:p>
      <w:pPr>
        <w:tabs>
          <w:tab w:val="left" w:pos="2628"/>
        </w:tabs>
        <w:spacing w:line="360" w:lineRule="auto"/>
        <w:ind w:left="842" w:leftChars="401" w:firstLine="301" w:firstLineChars="100"/>
        <w:jc w:val="left"/>
        <w:rPr>
          <w:rFonts w:ascii="宋体" w:hAnsi="宋体" w:cs="宋体"/>
          <w:b/>
          <w:sz w:val="30"/>
          <w:szCs w:val="30"/>
        </w:rPr>
      </w:pPr>
      <w:r>
        <w:rPr>
          <w:rFonts w:hint="eastAsia" w:ascii="宋体" w:hAnsi="宋体" w:cs="宋体"/>
          <w:b/>
          <w:sz w:val="30"/>
          <w:szCs w:val="30"/>
        </w:rPr>
        <w:t>项目编号：</w:t>
      </w:r>
    </w:p>
    <w:p>
      <w:pPr>
        <w:tabs>
          <w:tab w:val="left" w:pos="2628"/>
        </w:tabs>
        <w:spacing w:line="360" w:lineRule="auto"/>
        <w:ind w:left="842" w:leftChars="401" w:firstLine="301" w:firstLineChars="100"/>
        <w:jc w:val="left"/>
        <w:rPr>
          <w:rFonts w:ascii="宋体" w:hAnsi="宋体" w:cs="宋体"/>
          <w:b/>
          <w:sz w:val="30"/>
          <w:szCs w:val="30"/>
        </w:rPr>
      </w:pPr>
    </w:p>
    <w:p>
      <w:pPr>
        <w:spacing w:line="360" w:lineRule="auto"/>
        <w:ind w:left="1080"/>
        <w:rPr>
          <w:rFonts w:ascii="宋体" w:hAnsi="宋体" w:cs="宋体"/>
          <w:sz w:val="30"/>
        </w:rPr>
      </w:pPr>
    </w:p>
    <w:p>
      <w:pPr>
        <w:spacing w:line="360" w:lineRule="auto"/>
        <w:ind w:left="1080"/>
        <w:rPr>
          <w:rFonts w:ascii="宋体" w:hAnsi="宋体" w:cs="宋体"/>
          <w:sz w:val="44"/>
          <w:szCs w:val="44"/>
        </w:rPr>
      </w:pPr>
    </w:p>
    <w:p>
      <w:pPr>
        <w:jc w:val="center"/>
        <w:rPr>
          <w:rFonts w:ascii="宋体" w:hAnsi="宋体" w:cs="宋体"/>
          <w:sz w:val="44"/>
          <w:szCs w:val="44"/>
        </w:rPr>
      </w:pPr>
    </w:p>
    <w:p>
      <w:pPr>
        <w:jc w:val="center"/>
        <w:rPr>
          <w:rFonts w:ascii="宋体" w:hAnsi="宋体" w:cs="宋体"/>
          <w:b/>
          <w:sz w:val="30"/>
          <w:szCs w:val="30"/>
        </w:rPr>
      </w:pPr>
      <w:r>
        <w:rPr>
          <w:rFonts w:hint="eastAsia" w:ascii="宋体" w:hAnsi="宋体" w:cs="宋体"/>
          <w:b/>
          <w:sz w:val="30"/>
          <w:szCs w:val="30"/>
        </w:rPr>
        <w:t xml:space="preserve">   供应商：（公章）</w:t>
      </w:r>
    </w:p>
    <w:p>
      <w:pPr>
        <w:jc w:val="center"/>
        <w:rPr>
          <w:rFonts w:ascii="宋体" w:hAnsi="宋体" w:cs="宋体"/>
          <w:b/>
          <w:sz w:val="30"/>
          <w:szCs w:val="30"/>
        </w:rPr>
      </w:pPr>
    </w:p>
    <w:p>
      <w:pPr>
        <w:ind w:firstLine="1807" w:firstLineChars="600"/>
        <w:rPr>
          <w:rFonts w:ascii="宋体" w:hAnsi="宋体" w:cs="宋体"/>
          <w:b/>
          <w:sz w:val="30"/>
          <w:szCs w:val="30"/>
        </w:rPr>
      </w:pPr>
      <w:r>
        <w:rPr>
          <w:rFonts w:hint="eastAsia" w:ascii="宋体" w:hAnsi="宋体" w:cs="宋体"/>
          <w:b/>
          <w:sz w:val="30"/>
          <w:szCs w:val="30"/>
        </w:rPr>
        <w:t>日  期：  年    月   日</w:t>
      </w:r>
    </w:p>
    <w:p>
      <w:pPr>
        <w:spacing w:line="500" w:lineRule="exact"/>
        <w:jc w:val="center"/>
        <w:rPr>
          <w:rFonts w:ascii="宋体" w:hAnsi="宋体" w:cs="宋体"/>
          <w:b/>
          <w:sz w:val="36"/>
          <w:szCs w:val="36"/>
        </w:rPr>
      </w:pPr>
      <w:r>
        <w:rPr>
          <w:rFonts w:hint="eastAsia" w:ascii="宋体" w:hAnsi="宋体" w:cs="宋体"/>
          <w:b/>
          <w:sz w:val="36"/>
          <w:szCs w:val="36"/>
        </w:rPr>
        <w:br w:type="page"/>
      </w:r>
    </w:p>
    <w:p>
      <w:pPr>
        <w:spacing w:line="500" w:lineRule="exact"/>
        <w:jc w:val="center"/>
        <w:rPr>
          <w:rFonts w:ascii="宋体" w:hAnsi="宋体" w:cs="宋体"/>
          <w:b/>
          <w:sz w:val="36"/>
          <w:szCs w:val="36"/>
        </w:rPr>
      </w:pPr>
    </w:p>
    <w:p>
      <w:pPr>
        <w:spacing w:line="500" w:lineRule="exact"/>
        <w:jc w:val="center"/>
        <w:rPr>
          <w:rFonts w:ascii="宋体" w:hAnsi="宋体" w:cs="宋体"/>
          <w:b/>
          <w:bCs/>
          <w:spacing w:val="4"/>
          <w:sz w:val="48"/>
          <w:szCs w:val="48"/>
        </w:rPr>
      </w:pPr>
      <w:r>
        <w:rPr>
          <w:rFonts w:hint="eastAsia" w:ascii="宋体" w:hAnsi="宋体" w:cs="宋体"/>
          <w:b/>
          <w:bCs/>
          <w:spacing w:val="4"/>
          <w:sz w:val="48"/>
          <w:szCs w:val="48"/>
        </w:rPr>
        <w:t>目 录</w:t>
      </w:r>
    </w:p>
    <w:p>
      <w:pPr>
        <w:spacing w:line="500" w:lineRule="exact"/>
        <w:jc w:val="center"/>
        <w:rPr>
          <w:rFonts w:ascii="宋体" w:hAnsi="宋体" w:cs="宋体"/>
          <w:b/>
          <w:bCs/>
          <w:spacing w:val="4"/>
          <w:sz w:val="36"/>
          <w:szCs w:val="36"/>
        </w:rPr>
      </w:pPr>
    </w:p>
    <w:p>
      <w:pPr>
        <w:numPr>
          <w:ilvl w:val="0"/>
          <w:numId w:val="6"/>
        </w:numPr>
        <w:spacing w:before="240" w:line="360" w:lineRule="auto"/>
        <w:rPr>
          <w:rFonts w:ascii="宋体" w:hAnsi="宋体" w:cs="宋体"/>
          <w:spacing w:val="4"/>
          <w:sz w:val="30"/>
          <w:szCs w:val="30"/>
        </w:rPr>
      </w:pPr>
      <w:r>
        <w:rPr>
          <w:rFonts w:hint="eastAsia" w:ascii="宋体" w:hAnsi="宋体" w:cs="宋体"/>
          <w:spacing w:val="4"/>
          <w:sz w:val="30"/>
          <w:szCs w:val="30"/>
        </w:rPr>
        <w:t>投标函</w:t>
      </w:r>
    </w:p>
    <w:p>
      <w:pPr>
        <w:numPr>
          <w:ilvl w:val="0"/>
          <w:numId w:val="6"/>
        </w:numPr>
        <w:spacing w:before="240" w:line="360" w:lineRule="auto"/>
        <w:rPr>
          <w:rFonts w:ascii="宋体" w:hAnsi="宋体" w:cs="宋体"/>
          <w:spacing w:val="4"/>
          <w:sz w:val="30"/>
          <w:szCs w:val="30"/>
        </w:rPr>
      </w:pPr>
      <w:r>
        <w:rPr>
          <w:rFonts w:hint="eastAsia" w:ascii="宋体" w:hAnsi="宋体" w:cs="宋体"/>
          <w:spacing w:val="4"/>
          <w:sz w:val="30"/>
          <w:szCs w:val="30"/>
        </w:rPr>
        <w:t>投标报价表</w:t>
      </w:r>
    </w:p>
    <w:p>
      <w:pPr>
        <w:spacing w:before="240" w:line="360" w:lineRule="auto"/>
        <w:ind w:firstLine="2519" w:firstLineChars="818"/>
        <w:rPr>
          <w:rFonts w:ascii="宋体" w:hAnsi="宋体" w:cs="宋体"/>
          <w:spacing w:val="4"/>
          <w:sz w:val="30"/>
          <w:szCs w:val="30"/>
        </w:rPr>
      </w:pPr>
      <w:r>
        <w:rPr>
          <w:rFonts w:hint="eastAsia" w:ascii="宋体" w:hAnsi="宋体" w:cs="宋体"/>
          <w:spacing w:val="4"/>
          <w:sz w:val="30"/>
          <w:szCs w:val="30"/>
        </w:rPr>
        <w:t>（三）投标方案说明书</w:t>
      </w:r>
    </w:p>
    <w:p>
      <w:pPr>
        <w:spacing w:before="240" w:line="360" w:lineRule="auto"/>
        <w:rPr>
          <w:rFonts w:ascii="宋体" w:hAnsi="宋体" w:cs="宋体"/>
          <w:sz w:val="24"/>
          <w:szCs w:val="24"/>
        </w:rPr>
      </w:pPr>
    </w:p>
    <w:p>
      <w:pPr>
        <w:spacing w:line="440" w:lineRule="exact"/>
        <w:jc w:val="center"/>
        <w:rPr>
          <w:rFonts w:ascii="宋体" w:hAnsi="宋体" w:cs="宋体"/>
          <w:spacing w:val="4"/>
          <w:sz w:val="36"/>
          <w:szCs w:val="36"/>
        </w:rPr>
      </w:pPr>
      <w:r>
        <w:rPr>
          <w:rFonts w:hint="eastAsia" w:ascii="宋体" w:hAnsi="宋体" w:cs="宋体"/>
          <w:b/>
          <w:spacing w:val="4"/>
          <w:sz w:val="36"/>
          <w:szCs w:val="36"/>
        </w:rPr>
        <w:br w:type="page"/>
      </w:r>
      <w:r>
        <w:rPr>
          <w:rFonts w:hint="eastAsia" w:ascii="宋体" w:hAnsi="宋体" w:cs="宋体"/>
          <w:b/>
          <w:spacing w:val="4"/>
          <w:sz w:val="36"/>
          <w:szCs w:val="36"/>
        </w:rPr>
        <w:t>一、投标函</w:t>
      </w:r>
    </w:p>
    <w:p>
      <w:pPr>
        <w:spacing w:line="440" w:lineRule="exact"/>
        <w:jc w:val="left"/>
        <w:rPr>
          <w:rFonts w:ascii="宋体" w:hAnsi="宋体" w:cs="宋体"/>
          <w:spacing w:val="4"/>
          <w:sz w:val="24"/>
        </w:rPr>
      </w:pPr>
    </w:p>
    <w:p>
      <w:pPr>
        <w:spacing w:line="440" w:lineRule="exact"/>
        <w:rPr>
          <w:rFonts w:ascii="宋体" w:hAnsi="宋体" w:cs="宋体"/>
          <w:spacing w:val="4"/>
          <w:sz w:val="24"/>
        </w:rPr>
      </w:pPr>
      <w:r>
        <w:rPr>
          <w:rFonts w:hint="eastAsia" w:ascii="宋体" w:hAnsi="宋体" w:cs="宋体"/>
          <w:spacing w:val="4"/>
          <w:sz w:val="24"/>
        </w:rPr>
        <w:t>致：西北（陕西）国际招标有限公司</w:t>
      </w:r>
    </w:p>
    <w:p>
      <w:pPr>
        <w:spacing w:line="440" w:lineRule="exact"/>
        <w:ind w:firstLine="496" w:firstLineChars="200"/>
        <w:rPr>
          <w:rFonts w:ascii="宋体" w:hAnsi="宋体" w:cs="宋体"/>
          <w:spacing w:val="4"/>
          <w:sz w:val="24"/>
        </w:rPr>
      </w:pPr>
      <w:r>
        <w:rPr>
          <w:rFonts w:hint="eastAsia" w:ascii="宋体" w:hAnsi="宋体" w:cs="宋体"/>
          <w:spacing w:val="4"/>
          <w:sz w:val="24"/>
        </w:rPr>
        <w:t>根据贵方为</w:t>
      </w:r>
      <w:r>
        <w:rPr>
          <w:rFonts w:hint="eastAsia" w:ascii="宋体" w:hAnsi="宋体" w:cs="宋体"/>
          <w:spacing w:val="4"/>
          <w:sz w:val="24"/>
          <w:u w:val="single"/>
        </w:rPr>
        <w:t>（项目名称）</w:t>
      </w:r>
      <w:r>
        <w:rPr>
          <w:rFonts w:hint="eastAsia" w:ascii="宋体" w:hAnsi="宋体" w:cs="宋体"/>
          <w:spacing w:val="4"/>
          <w:sz w:val="24"/>
        </w:rPr>
        <w:t>项目招标采购的投标邀请</w:t>
      </w:r>
      <w:r>
        <w:rPr>
          <w:rFonts w:hint="eastAsia" w:ascii="宋体" w:hAnsi="宋体" w:cs="宋体"/>
          <w:spacing w:val="4"/>
          <w:sz w:val="24"/>
          <w:u w:val="single"/>
        </w:rPr>
        <w:t>(项目编号)</w:t>
      </w:r>
      <w:r>
        <w:rPr>
          <w:rFonts w:hint="eastAsia" w:ascii="宋体" w:hAnsi="宋体" w:cs="宋体"/>
          <w:spacing w:val="4"/>
          <w:sz w:val="24"/>
        </w:rPr>
        <w:t>，签字代表</w:t>
      </w:r>
      <w:r>
        <w:rPr>
          <w:rFonts w:hint="eastAsia" w:ascii="宋体" w:hAnsi="宋体" w:cs="宋体"/>
          <w:spacing w:val="4"/>
          <w:sz w:val="24"/>
          <w:u w:val="single"/>
        </w:rPr>
        <w:t>（姓名、职务）</w:t>
      </w:r>
      <w:r>
        <w:rPr>
          <w:rFonts w:hint="eastAsia" w:ascii="宋体" w:hAnsi="宋体" w:cs="宋体"/>
          <w:spacing w:val="4"/>
          <w:sz w:val="24"/>
        </w:rPr>
        <w:t>经正式授权并代表供应商</w:t>
      </w:r>
      <w:r>
        <w:rPr>
          <w:rFonts w:hint="eastAsia" w:ascii="宋体" w:hAnsi="宋体" w:cs="宋体"/>
          <w:spacing w:val="4"/>
          <w:sz w:val="24"/>
          <w:u w:val="single"/>
        </w:rPr>
        <w:t>(供应商名称)</w:t>
      </w:r>
      <w:r>
        <w:rPr>
          <w:rFonts w:hint="eastAsia" w:ascii="宋体" w:hAnsi="宋体" w:cs="宋体"/>
          <w:spacing w:val="4"/>
          <w:sz w:val="24"/>
        </w:rPr>
        <w:t xml:space="preserve"> 提交下述文件正本一份及副本份，并提交投标保证金，金额为。</w:t>
      </w:r>
    </w:p>
    <w:p>
      <w:pPr>
        <w:spacing w:line="440" w:lineRule="exact"/>
        <w:ind w:left="549" w:leftChars="251" w:hanging="22" w:hangingChars="9"/>
        <w:rPr>
          <w:rFonts w:ascii="宋体" w:hAnsi="宋体" w:cs="宋体"/>
          <w:spacing w:val="4"/>
          <w:sz w:val="24"/>
        </w:rPr>
      </w:pPr>
      <w:r>
        <w:rPr>
          <w:rFonts w:hint="eastAsia" w:ascii="宋体" w:hAnsi="宋体" w:cs="宋体"/>
          <w:spacing w:val="4"/>
          <w:sz w:val="24"/>
        </w:rPr>
        <w:t>我方承诺如下：</w:t>
      </w:r>
    </w:p>
    <w:p>
      <w:pPr>
        <w:numPr>
          <w:ilvl w:val="0"/>
          <w:numId w:val="7"/>
        </w:numPr>
        <w:tabs>
          <w:tab w:val="left" w:pos="2160"/>
        </w:tabs>
        <w:spacing w:line="440" w:lineRule="exact"/>
        <w:ind w:left="0" w:firstLine="0"/>
        <w:rPr>
          <w:rFonts w:ascii="宋体" w:hAnsi="宋体" w:cs="宋体"/>
          <w:spacing w:val="4"/>
          <w:sz w:val="24"/>
        </w:rPr>
      </w:pPr>
      <w:r>
        <w:rPr>
          <w:rFonts w:hint="eastAsia" w:ascii="宋体" w:hAnsi="宋体" w:cs="宋体"/>
          <w:spacing w:val="4"/>
          <w:sz w:val="24"/>
        </w:rPr>
        <w:t>投标总价为 （人民币）、（用文字和数字表示的投标总价）。</w:t>
      </w:r>
    </w:p>
    <w:p>
      <w:pPr>
        <w:numPr>
          <w:ilvl w:val="0"/>
          <w:numId w:val="7"/>
        </w:numPr>
        <w:tabs>
          <w:tab w:val="left" w:pos="2160"/>
        </w:tabs>
        <w:spacing w:line="440" w:lineRule="exact"/>
        <w:ind w:left="0" w:firstLine="0"/>
        <w:rPr>
          <w:rFonts w:ascii="宋体" w:hAnsi="宋体" w:cs="宋体"/>
          <w:spacing w:val="4"/>
          <w:sz w:val="24"/>
        </w:rPr>
      </w:pPr>
      <w:r>
        <w:rPr>
          <w:rFonts w:hint="eastAsia" w:ascii="宋体" w:hAnsi="宋体" w:cs="宋体"/>
          <w:spacing w:val="4"/>
          <w:sz w:val="24"/>
        </w:rPr>
        <w:t>如果中标，我们根据招标文件的规定，履行合同的责任和义务。</w:t>
      </w:r>
    </w:p>
    <w:p>
      <w:pPr>
        <w:numPr>
          <w:ilvl w:val="0"/>
          <w:numId w:val="7"/>
        </w:numPr>
        <w:tabs>
          <w:tab w:val="left" w:pos="2160"/>
        </w:tabs>
        <w:spacing w:line="440" w:lineRule="exact"/>
        <w:ind w:left="0" w:firstLine="0"/>
        <w:rPr>
          <w:rFonts w:ascii="宋体" w:hAnsi="宋体" w:cs="宋体"/>
          <w:spacing w:val="4"/>
          <w:sz w:val="24"/>
        </w:rPr>
      </w:pPr>
      <w:r>
        <w:rPr>
          <w:rFonts w:hint="eastAsia" w:ascii="宋体" w:hAnsi="宋体" w:cs="宋体"/>
          <w:spacing w:val="4"/>
          <w:sz w:val="24"/>
        </w:rPr>
        <w:t>我们已详细阅读和审核全部招标文件（含修改部分，如有的话），及有关附件，我们知道必须放弃提出含糊不清或误解的问题的权利。</w:t>
      </w:r>
    </w:p>
    <w:p>
      <w:pPr>
        <w:numPr>
          <w:ilvl w:val="0"/>
          <w:numId w:val="7"/>
        </w:numPr>
        <w:tabs>
          <w:tab w:val="left" w:pos="2160"/>
        </w:tabs>
        <w:spacing w:line="440" w:lineRule="exact"/>
        <w:ind w:left="0" w:firstLine="0"/>
        <w:rPr>
          <w:rFonts w:ascii="宋体" w:hAnsi="宋体" w:cs="宋体"/>
          <w:spacing w:val="4"/>
          <w:sz w:val="24"/>
        </w:rPr>
      </w:pPr>
      <w:r>
        <w:rPr>
          <w:rFonts w:hint="eastAsia" w:ascii="宋体" w:hAnsi="宋体" w:cs="宋体"/>
          <w:spacing w:val="4"/>
          <w:sz w:val="24"/>
        </w:rPr>
        <w:t>我们同意在贵方文件规定的投标有效期内（自开标之日起</w:t>
      </w:r>
      <w:r>
        <w:rPr>
          <w:rFonts w:hint="eastAsia" w:ascii="宋体" w:hAnsi="宋体" w:cs="宋体"/>
          <w:spacing w:val="4"/>
          <w:sz w:val="24"/>
          <w:u w:val="single"/>
        </w:rPr>
        <w:t xml:space="preserve"> 90 </w:t>
      </w:r>
      <w:r>
        <w:rPr>
          <w:rFonts w:hint="eastAsia" w:ascii="宋体" w:hAnsi="宋体" w:cs="宋体"/>
          <w:spacing w:val="4"/>
          <w:sz w:val="24"/>
        </w:rPr>
        <w:t>天内），本投标函对我方具有约束力。</w:t>
      </w:r>
    </w:p>
    <w:p>
      <w:pPr>
        <w:numPr>
          <w:ilvl w:val="0"/>
          <w:numId w:val="7"/>
        </w:numPr>
        <w:tabs>
          <w:tab w:val="left" w:pos="2160"/>
        </w:tabs>
        <w:spacing w:line="440" w:lineRule="exact"/>
        <w:ind w:left="0" w:firstLine="0"/>
        <w:rPr>
          <w:rFonts w:ascii="宋体" w:hAnsi="宋体" w:cs="宋体"/>
          <w:spacing w:val="4"/>
          <w:sz w:val="24"/>
        </w:rPr>
      </w:pPr>
      <w:r>
        <w:rPr>
          <w:rFonts w:hint="eastAsia" w:ascii="宋体" w:hAnsi="宋体" w:cs="宋体"/>
          <w:spacing w:val="4"/>
          <w:sz w:val="24"/>
        </w:rPr>
        <w:t>我方承诺，按照招标要求提交的全部资格和其他证明文件的真实性，如有虚假，愿承担一切法律责任。</w:t>
      </w:r>
    </w:p>
    <w:p>
      <w:pPr>
        <w:numPr>
          <w:ilvl w:val="0"/>
          <w:numId w:val="7"/>
        </w:numPr>
        <w:tabs>
          <w:tab w:val="left" w:pos="2160"/>
        </w:tabs>
        <w:spacing w:line="440" w:lineRule="exact"/>
        <w:ind w:left="0" w:firstLine="0"/>
        <w:rPr>
          <w:rFonts w:ascii="宋体" w:hAnsi="宋体" w:cs="宋体"/>
          <w:spacing w:val="4"/>
          <w:sz w:val="24"/>
        </w:rPr>
      </w:pPr>
      <w:r>
        <w:rPr>
          <w:rFonts w:hint="eastAsia" w:ascii="宋体" w:hAnsi="宋体" w:cs="宋体"/>
          <w:spacing w:val="4"/>
          <w:sz w:val="24"/>
        </w:rPr>
        <w:t>我方同意，如果在开标后，我方出现了“供应商须知”中第</w:t>
      </w:r>
      <w:r>
        <w:rPr>
          <w:rFonts w:hint="eastAsia" w:ascii="宋体" w:hAnsi="宋体" w:cs="宋体"/>
          <w:sz w:val="24"/>
          <w:szCs w:val="24"/>
        </w:rPr>
        <w:t>15.6条</w:t>
      </w:r>
      <w:r>
        <w:rPr>
          <w:rFonts w:hint="eastAsia" w:ascii="宋体" w:hAnsi="宋体" w:cs="宋体"/>
          <w:spacing w:val="4"/>
          <w:sz w:val="24"/>
        </w:rPr>
        <w:t>规定的不予退还保证金的情形，我们的投标保证金贵方不予退还。</w:t>
      </w:r>
    </w:p>
    <w:p>
      <w:pPr>
        <w:numPr>
          <w:ilvl w:val="0"/>
          <w:numId w:val="7"/>
        </w:numPr>
        <w:tabs>
          <w:tab w:val="left" w:pos="2160"/>
        </w:tabs>
        <w:spacing w:line="440" w:lineRule="exact"/>
        <w:ind w:left="0" w:firstLine="0"/>
        <w:rPr>
          <w:rFonts w:ascii="宋体" w:hAnsi="宋体" w:cs="宋体"/>
          <w:spacing w:val="4"/>
          <w:sz w:val="24"/>
        </w:rPr>
      </w:pPr>
      <w:r>
        <w:rPr>
          <w:rFonts w:hint="eastAsia" w:ascii="宋体" w:hAnsi="宋体" w:cs="宋体"/>
          <w:spacing w:val="4"/>
          <w:sz w:val="24"/>
        </w:rPr>
        <w:t xml:space="preserve">同意提供贵方可能另外要求的与本投标有关的任何证据和资料。 </w:t>
      </w:r>
    </w:p>
    <w:p>
      <w:pPr>
        <w:numPr>
          <w:ilvl w:val="0"/>
          <w:numId w:val="7"/>
        </w:numPr>
        <w:tabs>
          <w:tab w:val="left" w:pos="2160"/>
        </w:tabs>
        <w:spacing w:line="440" w:lineRule="exact"/>
        <w:ind w:left="0" w:firstLine="0"/>
        <w:rPr>
          <w:rFonts w:ascii="宋体" w:hAnsi="宋体" w:cs="宋体"/>
          <w:spacing w:val="4"/>
          <w:sz w:val="24"/>
        </w:rPr>
      </w:pPr>
      <w:r>
        <w:rPr>
          <w:rFonts w:hint="eastAsia" w:ascii="宋体" w:hAnsi="宋体" w:cs="宋体"/>
          <w:spacing w:val="4"/>
          <w:sz w:val="24"/>
        </w:rPr>
        <w:t>我们同意，如果中标，向西北（陕西）国际招标有限公司交纳招标代理服务费。</w:t>
      </w:r>
    </w:p>
    <w:p>
      <w:pPr>
        <w:numPr>
          <w:ilvl w:val="0"/>
          <w:numId w:val="7"/>
        </w:numPr>
        <w:tabs>
          <w:tab w:val="left" w:pos="2160"/>
        </w:tabs>
        <w:spacing w:line="440" w:lineRule="exact"/>
        <w:ind w:left="0" w:firstLine="0"/>
        <w:rPr>
          <w:rFonts w:ascii="宋体" w:hAnsi="宋体" w:cs="宋体"/>
          <w:spacing w:val="4"/>
          <w:sz w:val="24"/>
        </w:rPr>
      </w:pPr>
      <w:r>
        <w:rPr>
          <w:rFonts w:hint="eastAsia" w:ascii="宋体" w:hAnsi="宋体" w:cs="宋体"/>
          <w:spacing w:val="4"/>
          <w:sz w:val="24"/>
        </w:rPr>
        <w:t>与本投标有关的一切正式信函请寄：</w:t>
      </w:r>
    </w:p>
    <w:p>
      <w:pPr>
        <w:spacing w:line="440" w:lineRule="exact"/>
        <w:ind w:firstLine="496" w:firstLineChars="200"/>
        <w:rPr>
          <w:rFonts w:ascii="宋体" w:hAnsi="宋体" w:cs="宋体"/>
          <w:spacing w:val="4"/>
          <w:sz w:val="24"/>
        </w:rPr>
      </w:pPr>
      <w:r>
        <w:rPr>
          <w:rFonts w:hint="eastAsia" w:ascii="宋体" w:hAnsi="宋体" w:cs="宋体"/>
          <w:spacing w:val="4"/>
          <w:sz w:val="24"/>
        </w:rPr>
        <w:t>详细地址：                          邮政编码：</w:t>
      </w:r>
    </w:p>
    <w:p>
      <w:pPr>
        <w:spacing w:line="440" w:lineRule="exact"/>
        <w:ind w:firstLine="496" w:firstLineChars="200"/>
        <w:rPr>
          <w:rFonts w:ascii="宋体" w:hAnsi="宋体" w:cs="宋体"/>
          <w:spacing w:val="4"/>
          <w:sz w:val="24"/>
        </w:rPr>
      </w:pPr>
      <w:r>
        <w:rPr>
          <w:rFonts w:hint="eastAsia" w:ascii="宋体" w:hAnsi="宋体" w:cs="宋体"/>
          <w:spacing w:val="4"/>
          <w:sz w:val="24"/>
        </w:rPr>
        <w:t>电话/传真：                         电子邮件：</w:t>
      </w:r>
    </w:p>
    <w:p>
      <w:pPr>
        <w:spacing w:line="440" w:lineRule="exact"/>
        <w:rPr>
          <w:rFonts w:ascii="宋体" w:hAnsi="宋体" w:cs="宋体"/>
          <w:spacing w:val="4"/>
          <w:sz w:val="24"/>
        </w:rPr>
      </w:pPr>
    </w:p>
    <w:p>
      <w:pPr>
        <w:spacing w:line="440" w:lineRule="exact"/>
        <w:rPr>
          <w:rFonts w:ascii="宋体" w:hAnsi="宋体" w:cs="宋体"/>
          <w:spacing w:val="4"/>
          <w:sz w:val="24"/>
        </w:rPr>
      </w:pPr>
      <w:r>
        <w:rPr>
          <w:rFonts w:hint="eastAsia" w:ascii="宋体" w:hAnsi="宋体" w:cs="宋体"/>
          <w:spacing w:val="4"/>
          <w:sz w:val="24"/>
        </w:rPr>
        <w:t>授权代表人签字：</w:t>
      </w:r>
    </w:p>
    <w:p>
      <w:pPr>
        <w:spacing w:line="440" w:lineRule="exact"/>
        <w:rPr>
          <w:rFonts w:ascii="宋体" w:hAnsi="宋体" w:cs="宋体"/>
          <w:spacing w:val="4"/>
          <w:sz w:val="24"/>
        </w:rPr>
      </w:pPr>
      <w:r>
        <w:rPr>
          <w:rFonts w:hint="eastAsia" w:ascii="宋体" w:hAnsi="宋体" w:cs="宋体"/>
          <w:spacing w:val="4"/>
          <w:sz w:val="24"/>
        </w:rPr>
        <w:t>供应商名称：</w:t>
      </w:r>
    </w:p>
    <w:p>
      <w:pPr>
        <w:spacing w:line="440" w:lineRule="exact"/>
        <w:rPr>
          <w:rFonts w:ascii="宋体" w:hAnsi="宋体" w:cs="宋体"/>
          <w:spacing w:val="4"/>
          <w:sz w:val="24"/>
        </w:rPr>
      </w:pPr>
      <w:r>
        <w:rPr>
          <w:rFonts w:hint="eastAsia" w:ascii="宋体" w:hAnsi="宋体" w:cs="宋体"/>
          <w:spacing w:val="4"/>
          <w:sz w:val="24"/>
        </w:rPr>
        <w:t>公章：</w:t>
      </w:r>
    </w:p>
    <w:p>
      <w:pPr>
        <w:spacing w:before="240" w:line="360" w:lineRule="auto"/>
        <w:rPr>
          <w:rFonts w:ascii="宋体" w:hAnsi="宋体" w:cs="宋体"/>
          <w:sz w:val="24"/>
          <w:szCs w:val="24"/>
        </w:rPr>
      </w:pPr>
      <w:r>
        <w:rPr>
          <w:rFonts w:hint="eastAsia" w:ascii="宋体" w:hAnsi="宋体" w:cs="宋体"/>
          <w:spacing w:val="4"/>
          <w:sz w:val="24"/>
        </w:rPr>
        <w:t>日期：</w:t>
      </w:r>
    </w:p>
    <w:p>
      <w:pPr>
        <w:spacing w:before="240" w:line="360" w:lineRule="auto"/>
        <w:rPr>
          <w:rFonts w:ascii="宋体" w:hAnsi="宋体" w:cs="宋体"/>
        </w:rPr>
      </w:pPr>
      <w:r>
        <w:rPr>
          <w:rFonts w:hint="eastAsia" w:ascii="宋体" w:hAnsi="宋体" w:cs="宋体"/>
        </w:rPr>
        <w:br w:type="page"/>
      </w:r>
    </w:p>
    <w:p>
      <w:pPr>
        <w:spacing w:line="480" w:lineRule="auto"/>
        <w:jc w:val="center"/>
        <w:rPr>
          <w:rFonts w:ascii="宋体" w:hAnsi="宋体" w:cs="宋体"/>
          <w:b/>
          <w:sz w:val="36"/>
          <w:szCs w:val="36"/>
        </w:rPr>
      </w:pPr>
      <w:r>
        <w:rPr>
          <w:rFonts w:hint="eastAsia" w:ascii="宋体" w:hAnsi="宋体" w:cs="宋体"/>
          <w:sz w:val="36"/>
          <w:szCs w:val="36"/>
        </w:rPr>
        <w:t>二、</w:t>
      </w:r>
      <w:r>
        <w:rPr>
          <w:rFonts w:hint="eastAsia" w:ascii="宋体" w:hAnsi="宋体" w:cs="宋体"/>
          <w:b/>
          <w:sz w:val="36"/>
          <w:szCs w:val="36"/>
        </w:rPr>
        <w:t>投标报价表</w:t>
      </w:r>
    </w:p>
    <w:p>
      <w:pPr>
        <w:jc w:val="center"/>
        <w:rPr>
          <w:rFonts w:ascii="宋体" w:hAnsi="宋体" w:cs="宋体"/>
          <w:b/>
          <w:sz w:val="36"/>
        </w:rPr>
      </w:pPr>
    </w:p>
    <w:p>
      <w:pPr>
        <w:jc w:val="center"/>
        <w:rPr>
          <w:rFonts w:ascii="宋体" w:hAnsi="宋体" w:cs="宋体"/>
          <w:b/>
          <w:sz w:val="32"/>
          <w:szCs w:val="32"/>
        </w:rPr>
      </w:pPr>
      <w:r>
        <w:rPr>
          <w:rFonts w:hint="eastAsia" w:ascii="宋体" w:hAnsi="宋体" w:cs="宋体"/>
          <w:b/>
          <w:sz w:val="32"/>
          <w:szCs w:val="32"/>
        </w:rPr>
        <w:t>2.1开标一览表(投标报价表)</w:t>
      </w: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供应商名称：  </w:t>
      </w:r>
      <w:r>
        <w:rPr>
          <w:rFonts w:hint="eastAsia" w:ascii="宋体" w:hAnsi="宋体" w:cs="宋体"/>
          <w:sz w:val="24"/>
          <w:szCs w:val="24"/>
          <w:lang w:val="en-US" w:eastAsia="zh-CN"/>
        </w:rPr>
        <w:t xml:space="preserve">                                     </w:t>
      </w:r>
      <w:r>
        <w:rPr>
          <w:rFonts w:hint="eastAsia" w:ascii="宋体" w:hAnsi="宋体" w:cs="宋体"/>
          <w:sz w:val="24"/>
          <w:szCs w:val="24"/>
        </w:rPr>
        <w:t>项目编号：</w:t>
      </w:r>
    </w:p>
    <w:tbl>
      <w:tblPr>
        <w:tblStyle w:val="18"/>
        <w:tblW w:w="0" w:type="auto"/>
        <w:tblInd w:w="-332" w:type="dxa"/>
        <w:tblLayout w:type="fixed"/>
        <w:tblCellMar>
          <w:top w:w="0" w:type="dxa"/>
          <w:left w:w="28" w:type="dxa"/>
          <w:bottom w:w="0" w:type="dxa"/>
          <w:right w:w="28" w:type="dxa"/>
        </w:tblCellMar>
      </w:tblPr>
      <w:tblGrid>
        <w:gridCol w:w="1547"/>
        <w:gridCol w:w="3424"/>
        <w:gridCol w:w="1377"/>
        <w:gridCol w:w="1237"/>
        <w:gridCol w:w="1413"/>
      </w:tblGrid>
      <w:tr>
        <w:tblPrEx>
          <w:tblCellMar>
            <w:top w:w="0" w:type="dxa"/>
            <w:left w:w="28" w:type="dxa"/>
            <w:bottom w:w="0" w:type="dxa"/>
            <w:right w:w="28" w:type="dxa"/>
          </w:tblCellMar>
        </w:tblPrEx>
        <w:trPr>
          <w:trHeight w:val="444" w:hRule="atLeast"/>
        </w:trPr>
        <w:tc>
          <w:tcPr>
            <w:tcW w:w="1547" w:type="dxa"/>
            <w:tcBorders>
              <w:top w:val="single" w:color="auto" w:sz="6" w:space="0"/>
              <w:left w:val="single" w:color="auto" w:sz="6" w:space="0"/>
              <w:bottom w:val="single" w:color="auto" w:sz="6" w:space="0"/>
              <w:right w:val="single" w:color="auto" w:sz="6" w:space="0"/>
            </w:tcBorders>
            <w:noWrap/>
            <w:vAlign w:val="center"/>
          </w:tcPr>
          <w:p>
            <w:pPr>
              <w:spacing w:line="0" w:lineRule="atLeast"/>
              <w:jc w:val="center"/>
              <w:rPr>
                <w:rFonts w:ascii="宋体" w:hAnsi="宋体" w:cs="宋体"/>
                <w:b/>
                <w:sz w:val="24"/>
                <w:szCs w:val="24"/>
              </w:rPr>
            </w:pPr>
            <w:r>
              <w:rPr>
                <w:rFonts w:hint="eastAsia" w:ascii="宋体" w:hAnsi="宋体" w:cs="宋体"/>
                <w:b/>
                <w:sz w:val="24"/>
                <w:szCs w:val="24"/>
              </w:rPr>
              <w:t>1</w:t>
            </w:r>
          </w:p>
        </w:tc>
        <w:tc>
          <w:tcPr>
            <w:tcW w:w="3424" w:type="dxa"/>
            <w:tcBorders>
              <w:top w:val="single" w:color="auto" w:sz="6" w:space="0"/>
              <w:left w:val="single" w:color="auto" w:sz="6" w:space="0"/>
              <w:bottom w:val="single" w:color="auto" w:sz="6" w:space="0"/>
              <w:right w:val="single" w:color="auto" w:sz="6" w:space="0"/>
            </w:tcBorders>
            <w:noWrap/>
            <w:vAlign w:val="center"/>
          </w:tcPr>
          <w:p>
            <w:pPr>
              <w:spacing w:line="0" w:lineRule="atLeast"/>
              <w:jc w:val="center"/>
              <w:rPr>
                <w:rFonts w:ascii="宋体" w:hAnsi="宋体" w:cs="宋体"/>
                <w:b/>
                <w:sz w:val="24"/>
                <w:szCs w:val="24"/>
              </w:rPr>
            </w:pPr>
            <w:r>
              <w:rPr>
                <w:rFonts w:hint="eastAsia" w:ascii="宋体" w:hAnsi="宋体" w:cs="宋体"/>
                <w:b/>
                <w:sz w:val="24"/>
                <w:szCs w:val="24"/>
              </w:rPr>
              <w:t>2</w:t>
            </w:r>
          </w:p>
        </w:tc>
        <w:tc>
          <w:tcPr>
            <w:tcW w:w="1377" w:type="dxa"/>
            <w:tcBorders>
              <w:top w:val="single" w:color="auto" w:sz="6" w:space="0"/>
              <w:left w:val="single" w:color="auto" w:sz="6" w:space="0"/>
              <w:bottom w:val="single" w:color="auto" w:sz="6" w:space="0"/>
              <w:right w:val="single" w:color="auto" w:sz="6" w:space="0"/>
            </w:tcBorders>
            <w:noWrap/>
            <w:vAlign w:val="center"/>
          </w:tcPr>
          <w:p>
            <w:pPr>
              <w:spacing w:line="0" w:lineRule="atLeast"/>
              <w:jc w:val="center"/>
              <w:rPr>
                <w:rFonts w:ascii="宋体" w:hAnsi="宋体" w:cs="宋体"/>
                <w:b/>
                <w:sz w:val="24"/>
                <w:szCs w:val="24"/>
              </w:rPr>
            </w:pPr>
            <w:r>
              <w:rPr>
                <w:rFonts w:hint="eastAsia" w:ascii="宋体" w:hAnsi="宋体" w:cs="宋体"/>
                <w:b/>
                <w:sz w:val="24"/>
                <w:szCs w:val="24"/>
              </w:rPr>
              <w:t>3</w:t>
            </w:r>
          </w:p>
        </w:tc>
        <w:tc>
          <w:tcPr>
            <w:tcW w:w="1237" w:type="dxa"/>
            <w:tcBorders>
              <w:top w:val="single" w:color="auto" w:sz="6" w:space="0"/>
              <w:left w:val="single" w:color="auto" w:sz="6" w:space="0"/>
              <w:bottom w:val="single" w:color="auto" w:sz="6" w:space="0"/>
              <w:right w:val="single" w:color="auto" w:sz="6" w:space="0"/>
            </w:tcBorders>
            <w:noWrap/>
            <w:vAlign w:val="center"/>
          </w:tcPr>
          <w:p>
            <w:pPr>
              <w:spacing w:line="0" w:lineRule="atLeast"/>
              <w:jc w:val="center"/>
              <w:rPr>
                <w:rFonts w:ascii="宋体" w:hAnsi="宋体" w:cs="宋体"/>
                <w:b/>
                <w:sz w:val="24"/>
                <w:szCs w:val="24"/>
              </w:rPr>
            </w:pPr>
            <w:r>
              <w:rPr>
                <w:rFonts w:hint="eastAsia" w:ascii="宋体" w:hAnsi="宋体" w:cs="宋体"/>
                <w:b/>
                <w:sz w:val="24"/>
                <w:szCs w:val="24"/>
              </w:rPr>
              <w:t>4</w:t>
            </w:r>
          </w:p>
        </w:tc>
        <w:tc>
          <w:tcPr>
            <w:tcW w:w="1413" w:type="dxa"/>
            <w:tcBorders>
              <w:top w:val="single" w:color="auto" w:sz="6" w:space="0"/>
              <w:left w:val="single" w:color="auto" w:sz="6" w:space="0"/>
              <w:bottom w:val="single" w:color="auto" w:sz="6" w:space="0"/>
              <w:right w:val="single" w:color="auto" w:sz="6" w:space="0"/>
            </w:tcBorders>
            <w:noWrap/>
            <w:vAlign w:val="center"/>
          </w:tcPr>
          <w:p>
            <w:pPr>
              <w:spacing w:line="0" w:lineRule="atLeast"/>
              <w:jc w:val="center"/>
              <w:rPr>
                <w:rFonts w:ascii="宋体" w:hAnsi="宋体" w:cs="宋体"/>
                <w:b/>
                <w:sz w:val="24"/>
                <w:szCs w:val="24"/>
              </w:rPr>
            </w:pPr>
            <w:r>
              <w:rPr>
                <w:rFonts w:hint="eastAsia" w:ascii="宋体" w:hAnsi="宋体" w:cs="宋体"/>
                <w:b/>
                <w:sz w:val="24"/>
                <w:szCs w:val="24"/>
              </w:rPr>
              <w:t>5</w:t>
            </w:r>
          </w:p>
        </w:tc>
      </w:tr>
      <w:tr>
        <w:tblPrEx>
          <w:tblCellMar>
            <w:top w:w="0" w:type="dxa"/>
            <w:left w:w="28" w:type="dxa"/>
            <w:bottom w:w="0" w:type="dxa"/>
            <w:right w:w="28" w:type="dxa"/>
          </w:tblCellMar>
        </w:tblPrEx>
        <w:trPr>
          <w:trHeight w:val="1378" w:hRule="atLeast"/>
        </w:trPr>
        <w:tc>
          <w:tcPr>
            <w:tcW w:w="1547" w:type="dxa"/>
            <w:tcBorders>
              <w:top w:val="single" w:color="auto" w:sz="6" w:space="0"/>
              <w:left w:val="single" w:color="auto" w:sz="6" w:space="0"/>
              <w:bottom w:val="single" w:color="auto" w:sz="6" w:space="0"/>
              <w:right w:val="single" w:color="auto" w:sz="6" w:space="0"/>
            </w:tcBorders>
            <w:noWrap/>
            <w:vAlign w:val="center"/>
          </w:tcPr>
          <w:p>
            <w:pPr>
              <w:spacing w:after="120"/>
              <w:jc w:val="center"/>
              <w:rPr>
                <w:rFonts w:ascii="宋体" w:hAnsi="宋体" w:cs="宋体"/>
                <w:sz w:val="24"/>
                <w:szCs w:val="24"/>
              </w:rPr>
            </w:pPr>
            <w:r>
              <w:rPr>
                <w:rFonts w:hint="eastAsia" w:ascii="宋体" w:hAnsi="宋体" w:cs="宋体"/>
                <w:sz w:val="24"/>
                <w:szCs w:val="24"/>
              </w:rPr>
              <w:t>项目名称</w:t>
            </w:r>
          </w:p>
        </w:tc>
        <w:tc>
          <w:tcPr>
            <w:tcW w:w="3424" w:type="dxa"/>
            <w:tcBorders>
              <w:top w:val="single" w:color="auto" w:sz="6" w:space="0"/>
              <w:left w:val="single" w:color="auto" w:sz="6" w:space="0"/>
              <w:bottom w:val="single" w:color="auto" w:sz="6" w:space="0"/>
              <w:right w:val="single" w:color="auto" w:sz="6" w:space="0"/>
            </w:tcBorders>
            <w:noWrap/>
            <w:vAlign w:val="center"/>
          </w:tcPr>
          <w:p>
            <w:pPr>
              <w:spacing w:after="120"/>
              <w:jc w:val="center"/>
              <w:rPr>
                <w:rFonts w:ascii="宋体" w:hAnsi="宋体" w:cs="宋体"/>
                <w:b/>
                <w:sz w:val="24"/>
                <w:szCs w:val="24"/>
              </w:rPr>
            </w:pPr>
            <w:r>
              <w:rPr>
                <w:rFonts w:hint="eastAsia" w:ascii="宋体" w:hAnsi="宋体" w:cs="宋体"/>
                <w:sz w:val="24"/>
                <w:szCs w:val="24"/>
              </w:rPr>
              <w:t>投标总价</w:t>
            </w:r>
          </w:p>
          <w:p>
            <w:pPr>
              <w:spacing w:after="120"/>
              <w:jc w:val="center"/>
              <w:rPr>
                <w:rFonts w:ascii="宋体" w:hAnsi="宋体" w:cs="宋体"/>
                <w:sz w:val="24"/>
                <w:szCs w:val="24"/>
              </w:rPr>
            </w:pPr>
            <w:r>
              <w:rPr>
                <w:rFonts w:hint="eastAsia" w:ascii="宋体" w:hAnsi="宋体" w:cs="宋体"/>
                <w:sz w:val="24"/>
                <w:szCs w:val="24"/>
              </w:rPr>
              <w:t>（元）</w:t>
            </w:r>
          </w:p>
        </w:tc>
        <w:tc>
          <w:tcPr>
            <w:tcW w:w="1377" w:type="dxa"/>
            <w:tcBorders>
              <w:top w:val="single" w:color="auto" w:sz="6" w:space="0"/>
              <w:left w:val="single" w:color="auto" w:sz="6" w:space="0"/>
              <w:bottom w:val="single" w:color="auto" w:sz="6" w:space="0"/>
              <w:right w:val="single" w:color="auto" w:sz="6" w:space="0"/>
            </w:tcBorders>
            <w:noWrap/>
            <w:vAlign w:val="center"/>
          </w:tcPr>
          <w:p>
            <w:pPr>
              <w:spacing w:after="120"/>
              <w:jc w:val="center"/>
              <w:rPr>
                <w:rFonts w:ascii="宋体" w:hAnsi="宋体" w:cs="宋体"/>
                <w:sz w:val="24"/>
                <w:szCs w:val="24"/>
              </w:rPr>
            </w:pPr>
            <w:r>
              <w:rPr>
                <w:rFonts w:hint="eastAsia" w:ascii="宋体" w:hAnsi="宋体" w:cs="宋体"/>
                <w:sz w:val="24"/>
                <w:szCs w:val="24"/>
              </w:rPr>
              <w:t>交货期</w:t>
            </w:r>
          </w:p>
        </w:tc>
        <w:tc>
          <w:tcPr>
            <w:tcW w:w="1237" w:type="dxa"/>
            <w:tcBorders>
              <w:top w:val="single" w:color="auto" w:sz="6" w:space="0"/>
              <w:left w:val="single" w:color="auto" w:sz="6" w:space="0"/>
              <w:bottom w:val="single" w:color="auto" w:sz="6" w:space="0"/>
              <w:right w:val="single" w:color="auto" w:sz="6" w:space="0"/>
            </w:tcBorders>
            <w:noWrap/>
            <w:vAlign w:val="center"/>
          </w:tcPr>
          <w:p>
            <w:pPr>
              <w:spacing w:after="120"/>
              <w:jc w:val="center"/>
              <w:rPr>
                <w:rFonts w:ascii="宋体" w:hAnsi="宋体" w:cs="宋体"/>
                <w:bCs/>
                <w:sz w:val="24"/>
                <w:szCs w:val="24"/>
              </w:rPr>
            </w:pPr>
            <w:r>
              <w:rPr>
                <w:rFonts w:hint="eastAsia" w:ascii="宋体" w:hAnsi="宋体" w:cs="宋体"/>
                <w:bCs/>
                <w:sz w:val="24"/>
                <w:szCs w:val="24"/>
              </w:rPr>
              <w:t>交货地点</w:t>
            </w:r>
          </w:p>
        </w:tc>
        <w:tc>
          <w:tcPr>
            <w:tcW w:w="1413" w:type="dxa"/>
            <w:tcBorders>
              <w:top w:val="single" w:color="auto" w:sz="6" w:space="0"/>
              <w:left w:val="single" w:color="auto" w:sz="6" w:space="0"/>
              <w:bottom w:val="single" w:color="auto" w:sz="6" w:space="0"/>
              <w:right w:val="single" w:color="auto" w:sz="6" w:space="0"/>
            </w:tcBorders>
            <w:noWrap/>
            <w:vAlign w:val="center"/>
          </w:tcPr>
          <w:p>
            <w:pPr>
              <w:spacing w:after="120"/>
              <w:jc w:val="center"/>
              <w:rPr>
                <w:rFonts w:ascii="宋体" w:hAnsi="宋体" w:cs="宋体"/>
                <w:bCs/>
                <w:sz w:val="24"/>
                <w:szCs w:val="24"/>
              </w:rPr>
            </w:pPr>
            <w:r>
              <w:rPr>
                <w:rFonts w:hint="eastAsia" w:ascii="宋体" w:hAnsi="宋体" w:cs="宋体"/>
                <w:bCs/>
                <w:sz w:val="24"/>
                <w:szCs w:val="24"/>
              </w:rPr>
              <w:t>备注</w:t>
            </w:r>
          </w:p>
        </w:tc>
      </w:tr>
      <w:tr>
        <w:tblPrEx>
          <w:tblCellMar>
            <w:top w:w="0" w:type="dxa"/>
            <w:left w:w="28" w:type="dxa"/>
            <w:bottom w:w="0" w:type="dxa"/>
            <w:right w:w="28" w:type="dxa"/>
          </w:tblCellMar>
        </w:tblPrEx>
        <w:trPr>
          <w:trHeight w:val="2025" w:hRule="atLeast"/>
        </w:trPr>
        <w:tc>
          <w:tcPr>
            <w:tcW w:w="1547" w:type="dxa"/>
            <w:tcBorders>
              <w:top w:val="single" w:color="auto" w:sz="6" w:space="0"/>
              <w:left w:val="single" w:color="auto" w:sz="6" w:space="0"/>
              <w:bottom w:val="single" w:color="auto" w:sz="4" w:space="0"/>
              <w:right w:val="single" w:color="auto" w:sz="6" w:space="0"/>
            </w:tcBorders>
            <w:noWrap/>
            <w:vAlign w:val="center"/>
          </w:tcPr>
          <w:p>
            <w:pPr>
              <w:jc w:val="center"/>
              <w:rPr>
                <w:rFonts w:ascii="宋体" w:hAnsi="宋体" w:cs="宋体"/>
                <w:sz w:val="24"/>
                <w:szCs w:val="24"/>
              </w:rPr>
            </w:pPr>
          </w:p>
        </w:tc>
        <w:tc>
          <w:tcPr>
            <w:tcW w:w="3424" w:type="dxa"/>
            <w:tcBorders>
              <w:top w:val="single" w:color="auto" w:sz="6" w:space="0"/>
              <w:left w:val="single" w:color="auto" w:sz="6" w:space="0"/>
              <w:bottom w:val="single" w:color="auto" w:sz="4" w:space="0"/>
              <w:right w:val="single" w:color="auto" w:sz="6" w:space="0"/>
            </w:tcBorders>
            <w:noWrap/>
            <w:vAlign w:val="center"/>
          </w:tcPr>
          <w:p>
            <w:pPr>
              <w:jc w:val="left"/>
              <w:rPr>
                <w:rFonts w:ascii="宋体" w:hAnsi="宋体" w:cs="宋体"/>
                <w:sz w:val="24"/>
                <w:szCs w:val="24"/>
              </w:rPr>
            </w:pPr>
            <w:r>
              <w:rPr>
                <w:rFonts w:hint="eastAsia" w:ascii="宋体" w:hAnsi="宋体" w:cs="宋体"/>
                <w:sz w:val="24"/>
                <w:szCs w:val="24"/>
              </w:rPr>
              <w:t>小写金额：</w:t>
            </w:r>
          </w:p>
          <w:p>
            <w:pPr>
              <w:ind w:firstLine="360" w:firstLineChars="150"/>
              <w:jc w:val="left"/>
              <w:rPr>
                <w:rFonts w:ascii="宋体" w:hAnsi="宋体" w:cs="宋体"/>
                <w:sz w:val="24"/>
                <w:szCs w:val="24"/>
              </w:rPr>
            </w:pPr>
          </w:p>
          <w:p>
            <w:pPr>
              <w:jc w:val="left"/>
              <w:rPr>
                <w:rFonts w:ascii="宋体" w:hAnsi="宋体" w:cs="宋体"/>
                <w:sz w:val="24"/>
                <w:szCs w:val="24"/>
              </w:rPr>
            </w:pPr>
            <w:r>
              <w:rPr>
                <w:rFonts w:hint="eastAsia" w:ascii="宋体" w:hAnsi="宋体" w:cs="宋体"/>
                <w:sz w:val="24"/>
                <w:szCs w:val="24"/>
              </w:rPr>
              <w:t>大写金额：</w:t>
            </w:r>
          </w:p>
        </w:tc>
        <w:tc>
          <w:tcPr>
            <w:tcW w:w="1377" w:type="dxa"/>
            <w:tcBorders>
              <w:top w:val="single" w:color="auto" w:sz="6" w:space="0"/>
              <w:left w:val="single" w:color="auto" w:sz="6" w:space="0"/>
              <w:bottom w:val="single" w:color="auto" w:sz="4" w:space="0"/>
              <w:right w:val="single" w:color="auto" w:sz="6" w:space="0"/>
            </w:tcBorders>
            <w:noWrap/>
            <w:vAlign w:val="center"/>
          </w:tcPr>
          <w:p>
            <w:pPr>
              <w:jc w:val="center"/>
              <w:rPr>
                <w:rFonts w:ascii="宋体" w:hAnsi="宋体" w:cs="宋体"/>
                <w:sz w:val="24"/>
                <w:szCs w:val="24"/>
              </w:rPr>
            </w:pPr>
          </w:p>
        </w:tc>
        <w:tc>
          <w:tcPr>
            <w:tcW w:w="1237" w:type="dxa"/>
            <w:tcBorders>
              <w:top w:val="single" w:color="auto" w:sz="6" w:space="0"/>
              <w:left w:val="single" w:color="auto" w:sz="6" w:space="0"/>
              <w:bottom w:val="single" w:color="auto" w:sz="4" w:space="0"/>
              <w:right w:val="single" w:color="auto" w:sz="6" w:space="0"/>
            </w:tcBorders>
            <w:noWrap/>
            <w:vAlign w:val="center"/>
          </w:tcPr>
          <w:p>
            <w:pPr>
              <w:jc w:val="center"/>
              <w:rPr>
                <w:rFonts w:ascii="宋体" w:hAnsi="宋体" w:cs="宋体"/>
                <w:sz w:val="24"/>
                <w:szCs w:val="24"/>
              </w:rPr>
            </w:pPr>
          </w:p>
        </w:tc>
        <w:tc>
          <w:tcPr>
            <w:tcW w:w="1413" w:type="dxa"/>
            <w:tcBorders>
              <w:top w:val="single" w:color="auto" w:sz="6" w:space="0"/>
              <w:left w:val="single" w:color="auto" w:sz="6" w:space="0"/>
              <w:bottom w:val="single" w:color="auto" w:sz="4" w:space="0"/>
              <w:right w:val="single" w:color="auto" w:sz="6" w:space="0"/>
            </w:tcBorders>
            <w:noWrap/>
            <w:vAlign w:val="center"/>
          </w:tcPr>
          <w:p>
            <w:pPr>
              <w:jc w:val="center"/>
              <w:rPr>
                <w:rFonts w:ascii="宋体" w:hAnsi="宋体" w:cs="宋体"/>
                <w:sz w:val="24"/>
                <w:szCs w:val="24"/>
              </w:rPr>
            </w:pPr>
          </w:p>
        </w:tc>
      </w:tr>
    </w:tbl>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授权代表人签字：</w:t>
      </w:r>
    </w:p>
    <w:p>
      <w:pPr>
        <w:tabs>
          <w:tab w:val="left" w:pos="3045"/>
        </w:tabs>
        <w:rPr>
          <w:rFonts w:ascii="宋体" w:hAnsi="宋体" w:cs="宋体"/>
          <w:sz w:val="24"/>
          <w:szCs w:val="24"/>
        </w:rPr>
      </w:pPr>
    </w:p>
    <w:p>
      <w:pPr>
        <w:tabs>
          <w:tab w:val="left" w:pos="3045"/>
        </w:tabs>
        <w:rPr>
          <w:rFonts w:ascii="宋体" w:hAnsi="宋体" w:cs="宋体"/>
          <w:sz w:val="24"/>
          <w:szCs w:val="24"/>
        </w:rPr>
      </w:pPr>
    </w:p>
    <w:p>
      <w:pPr>
        <w:rPr>
          <w:rFonts w:ascii="宋体" w:hAnsi="宋体" w:cs="宋体"/>
          <w:sz w:val="24"/>
          <w:szCs w:val="24"/>
        </w:rPr>
      </w:pPr>
      <w:r>
        <w:rPr>
          <w:rFonts w:hint="eastAsia" w:ascii="宋体" w:hAnsi="宋体" w:cs="宋体"/>
          <w:sz w:val="24"/>
          <w:szCs w:val="24"/>
        </w:rPr>
        <w:t>公章：</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32"/>
      </w:pPr>
      <w:r>
        <w:rPr>
          <w:rFonts w:hint="eastAsia" w:ascii="宋体" w:hAnsi="宋体" w:eastAsia="宋体" w:cs="宋体"/>
          <w:b/>
          <w:sz w:val="32"/>
          <w:szCs w:val="32"/>
        </w:rPr>
        <w:br w:type="page"/>
      </w:r>
    </w:p>
    <w:p>
      <w:pPr>
        <w:jc w:val="center"/>
        <w:rPr>
          <w:rFonts w:ascii="宋体" w:hAnsi="宋体" w:cs="宋体"/>
          <w:b/>
          <w:sz w:val="32"/>
          <w:szCs w:val="32"/>
        </w:rPr>
      </w:pPr>
      <w:r>
        <w:rPr>
          <w:rFonts w:hint="eastAsia" w:ascii="宋体" w:hAnsi="宋体" w:cs="宋体"/>
          <w:b/>
          <w:sz w:val="32"/>
          <w:szCs w:val="32"/>
        </w:rPr>
        <w:t>2.2投标分项报价表</w:t>
      </w:r>
    </w:p>
    <w:p>
      <w:pPr>
        <w:jc w:val="center"/>
        <w:rPr>
          <w:rFonts w:ascii="宋体" w:hAnsi="宋体" w:cs="宋体"/>
          <w:b/>
          <w:bCs/>
          <w:sz w:val="24"/>
          <w:szCs w:val="24"/>
        </w:rPr>
      </w:pPr>
    </w:p>
    <w:p>
      <w:pPr>
        <w:jc w:val="center"/>
        <w:rPr>
          <w:rFonts w:ascii="宋体" w:hAnsi="宋体" w:cs="宋体"/>
          <w:b/>
          <w:bCs/>
          <w:sz w:val="24"/>
          <w:szCs w:val="24"/>
        </w:rPr>
      </w:pPr>
    </w:p>
    <w:p>
      <w:pPr>
        <w:rPr>
          <w:rFonts w:ascii="宋体" w:hAnsi="宋体" w:cs="宋体"/>
          <w:sz w:val="24"/>
          <w:szCs w:val="24"/>
        </w:rPr>
      </w:pPr>
      <w:r>
        <w:rPr>
          <w:rFonts w:hint="eastAsia" w:ascii="宋体" w:hAnsi="宋体" w:cs="宋体"/>
          <w:sz w:val="24"/>
          <w:szCs w:val="24"/>
        </w:rPr>
        <w:t xml:space="preserve">供应商名称：  </w:t>
      </w:r>
      <w:r>
        <w:rPr>
          <w:rFonts w:hint="eastAsia" w:ascii="宋体" w:hAnsi="宋体" w:cs="宋体"/>
          <w:sz w:val="24"/>
          <w:szCs w:val="24"/>
          <w:lang w:val="en-US" w:eastAsia="zh-CN"/>
        </w:rPr>
        <w:t xml:space="preserve">                                      </w:t>
      </w:r>
      <w:r>
        <w:rPr>
          <w:rFonts w:hint="eastAsia" w:ascii="宋体" w:hAnsi="宋体" w:cs="宋体"/>
          <w:sz w:val="24"/>
          <w:szCs w:val="24"/>
        </w:rPr>
        <w:t>项目编号：</w:t>
      </w:r>
    </w:p>
    <w:p>
      <w:pPr>
        <w:rPr>
          <w:rFonts w:ascii="宋体" w:hAnsi="宋体" w:cs="宋体"/>
          <w:sz w:val="24"/>
          <w:szCs w:val="24"/>
        </w:rPr>
      </w:pPr>
    </w:p>
    <w:tbl>
      <w:tblPr>
        <w:tblStyle w:val="18"/>
        <w:tblW w:w="8433" w:type="dxa"/>
        <w:tblInd w:w="0" w:type="dxa"/>
        <w:tblLayout w:type="fixed"/>
        <w:tblCellMar>
          <w:top w:w="0" w:type="dxa"/>
          <w:left w:w="28" w:type="dxa"/>
          <w:bottom w:w="0" w:type="dxa"/>
          <w:right w:w="28" w:type="dxa"/>
        </w:tblCellMar>
      </w:tblPr>
      <w:tblGrid>
        <w:gridCol w:w="938"/>
        <w:gridCol w:w="1016"/>
        <w:gridCol w:w="1015"/>
        <w:gridCol w:w="1085"/>
        <w:gridCol w:w="1038"/>
        <w:gridCol w:w="1091"/>
        <w:gridCol w:w="1126"/>
        <w:gridCol w:w="1124"/>
      </w:tblGrid>
      <w:tr>
        <w:tblPrEx>
          <w:tblCellMar>
            <w:top w:w="0" w:type="dxa"/>
            <w:left w:w="28" w:type="dxa"/>
            <w:bottom w:w="0" w:type="dxa"/>
            <w:right w:w="28" w:type="dxa"/>
          </w:tblCellMar>
        </w:tblPrEx>
        <w:trPr>
          <w:trHeight w:val="344" w:hRule="atLeast"/>
        </w:trPr>
        <w:tc>
          <w:tcPr>
            <w:tcW w:w="938" w:type="dxa"/>
            <w:tcBorders>
              <w:top w:val="single" w:color="auto" w:sz="6" w:space="0"/>
              <w:left w:val="single" w:color="auto" w:sz="6" w:space="0"/>
              <w:bottom w:val="single" w:color="auto" w:sz="6" w:space="0"/>
            </w:tcBorders>
            <w:noWrap/>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1</w:t>
            </w:r>
          </w:p>
        </w:tc>
        <w:tc>
          <w:tcPr>
            <w:tcW w:w="101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2</w:t>
            </w:r>
          </w:p>
        </w:tc>
        <w:tc>
          <w:tcPr>
            <w:tcW w:w="1015"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3</w:t>
            </w:r>
          </w:p>
        </w:tc>
        <w:tc>
          <w:tcPr>
            <w:tcW w:w="1085"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4</w:t>
            </w:r>
          </w:p>
        </w:tc>
        <w:tc>
          <w:tcPr>
            <w:tcW w:w="1038"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5</w:t>
            </w:r>
          </w:p>
        </w:tc>
        <w:tc>
          <w:tcPr>
            <w:tcW w:w="109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6</w:t>
            </w:r>
          </w:p>
        </w:tc>
        <w:tc>
          <w:tcPr>
            <w:tcW w:w="112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7</w:t>
            </w:r>
          </w:p>
        </w:tc>
        <w:tc>
          <w:tcPr>
            <w:tcW w:w="1124"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8</w:t>
            </w:r>
          </w:p>
        </w:tc>
      </w:tr>
      <w:tr>
        <w:tblPrEx>
          <w:tblCellMar>
            <w:top w:w="0" w:type="dxa"/>
            <w:left w:w="28" w:type="dxa"/>
            <w:bottom w:w="0" w:type="dxa"/>
            <w:right w:w="28" w:type="dxa"/>
          </w:tblCellMar>
        </w:tblPrEx>
        <w:trPr>
          <w:trHeight w:val="376" w:hRule="atLeast"/>
        </w:trPr>
        <w:tc>
          <w:tcPr>
            <w:tcW w:w="938" w:type="dxa"/>
            <w:tcBorders>
              <w:top w:val="single" w:color="auto" w:sz="6" w:space="0"/>
              <w:left w:val="single" w:color="auto" w:sz="6" w:space="0"/>
              <w:bottom w:val="single" w:color="auto" w:sz="4" w:space="0"/>
            </w:tcBorders>
            <w:noWrap/>
            <w:vAlign w:val="center"/>
          </w:tcPr>
          <w:p>
            <w:pPr>
              <w:adjustRightInd w:val="0"/>
              <w:snapToGrid w:val="0"/>
              <w:spacing w:line="360" w:lineRule="auto"/>
              <w:jc w:val="center"/>
              <w:rPr>
                <w:rFonts w:ascii="宋体" w:hAnsi="宋体" w:cs="宋体"/>
                <w:color w:val="000000"/>
                <w:sz w:val="24"/>
                <w:szCs w:val="24"/>
              </w:rPr>
            </w:pPr>
          </w:p>
        </w:tc>
        <w:tc>
          <w:tcPr>
            <w:tcW w:w="1016" w:type="dxa"/>
            <w:tcBorders>
              <w:top w:val="single" w:color="auto" w:sz="6"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cs="宋体"/>
                <w:color w:val="000000"/>
                <w:sz w:val="24"/>
                <w:szCs w:val="24"/>
              </w:rPr>
            </w:pPr>
          </w:p>
        </w:tc>
        <w:tc>
          <w:tcPr>
            <w:tcW w:w="1015"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85"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38"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91"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126"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124"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r>
      <w:tr>
        <w:tblPrEx>
          <w:tblCellMar>
            <w:top w:w="0" w:type="dxa"/>
            <w:left w:w="28" w:type="dxa"/>
            <w:bottom w:w="0" w:type="dxa"/>
            <w:right w:w="28" w:type="dxa"/>
          </w:tblCellMar>
        </w:tblPrEx>
        <w:trPr>
          <w:trHeight w:val="376" w:hRule="atLeast"/>
        </w:trPr>
        <w:tc>
          <w:tcPr>
            <w:tcW w:w="938" w:type="dxa"/>
            <w:tcBorders>
              <w:top w:val="single" w:color="auto" w:sz="6" w:space="0"/>
              <w:left w:val="single" w:color="auto" w:sz="6" w:space="0"/>
              <w:bottom w:val="single" w:color="auto" w:sz="4" w:space="0"/>
            </w:tcBorders>
            <w:noWrap/>
            <w:vAlign w:val="center"/>
          </w:tcPr>
          <w:p>
            <w:pPr>
              <w:adjustRightInd w:val="0"/>
              <w:snapToGrid w:val="0"/>
              <w:spacing w:line="360" w:lineRule="auto"/>
              <w:jc w:val="center"/>
              <w:rPr>
                <w:rFonts w:ascii="宋体" w:hAnsi="宋体" w:cs="宋体"/>
                <w:color w:val="000000"/>
                <w:sz w:val="24"/>
                <w:szCs w:val="24"/>
              </w:rPr>
            </w:pPr>
          </w:p>
        </w:tc>
        <w:tc>
          <w:tcPr>
            <w:tcW w:w="1016" w:type="dxa"/>
            <w:tcBorders>
              <w:top w:val="single" w:color="auto" w:sz="6"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cs="宋体"/>
                <w:color w:val="000000"/>
                <w:sz w:val="24"/>
                <w:szCs w:val="24"/>
              </w:rPr>
            </w:pPr>
          </w:p>
        </w:tc>
        <w:tc>
          <w:tcPr>
            <w:tcW w:w="1015"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85"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38"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91"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126"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124"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r>
      <w:tr>
        <w:tblPrEx>
          <w:tblCellMar>
            <w:top w:w="0" w:type="dxa"/>
            <w:left w:w="28" w:type="dxa"/>
            <w:bottom w:w="0" w:type="dxa"/>
            <w:right w:w="28" w:type="dxa"/>
          </w:tblCellMar>
        </w:tblPrEx>
        <w:trPr>
          <w:trHeight w:val="376" w:hRule="atLeast"/>
        </w:trPr>
        <w:tc>
          <w:tcPr>
            <w:tcW w:w="938" w:type="dxa"/>
            <w:tcBorders>
              <w:top w:val="single" w:color="auto" w:sz="6" w:space="0"/>
              <w:left w:val="single" w:color="auto" w:sz="6" w:space="0"/>
              <w:bottom w:val="single" w:color="auto" w:sz="4" w:space="0"/>
            </w:tcBorders>
            <w:noWrap/>
            <w:vAlign w:val="center"/>
          </w:tcPr>
          <w:p>
            <w:pPr>
              <w:adjustRightInd w:val="0"/>
              <w:snapToGrid w:val="0"/>
              <w:spacing w:line="360" w:lineRule="auto"/>
              <w:jc w:val="center"/>
              <w:rPr>
                <w:rFonts w:ascii="宋体" w:hAnsi="宋体" w:cs="宋体"/>
                <w:color w:val="000000"/>
                <w:sz w:val="24"/>
                <w:szCs w:val="24"/>
              </w:rPr>
            </w:pPr>
          </w:p>
        </w:tc>
        <w:tc>
          <w:tcPr>
            <w:tcW w:w="1016" w:type="dxa"/>
            <w:tcBorders>
              <w:top w:val="single" w:color="auto" w:sz="6"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cs="宋体"/>
                <w:color w:val="000000"/>
                <w:sz w:val="24"/>
                <w:szCs w:val="24"/>
              </w:rPr>
            </w:pPr>
          </w:p>
        </w:tc>
        <w:tc>
          <w:tcPr>
            <w:tcW w:w="1015"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85"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38"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91"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126"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124"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r>
      <w:tr>
        <w:tblPrEx>
          <w:tblCellMar>
            <w:top w:w="0" w:type="dxa"/>
            <w:left w:w="28" w:type="dxa"/>
            <w:bottom w:w="0" w:type="dxa"/>
            <w:right w:w="28" w:type="dxa"/>
          </w:tblCellMar>
        </w:tblPrEx>
        <w:trPr>
          <w:trHeight w:val="376" w:hRule="atLeast"/>
        </w:trPr>
        <w:tc>
          <w:tcPr>
            <w:tcW w:w="938" w:type="dxa"/>
            <w:tcBorders>
              <w:top w:val="single" w:color="auto" w:sz="6" w:space="0"/>
              <w:left w:val="single" w:color="auto" w:sz="6" w:space="0"/>
              <w:bottom w:val="single" w:color="auto" w:sz="4" w:space="0"/>
            </w:tcBorders>
            <w:noWrap/>
            <w:vAlign w:val="center"/>
          </w:tcPr>
          <w:p>
            <w:pPr>
              <w:adjustRightInd w:val="0"/>
              <w:snapToGrid w:val="0"/>
              <w:spacing w:line="360" w:lineRule="auto"/>
              <w:jc w:val="center"/>
              <w:rPr>
                <w:rFonts w:ascii="宋体" w:hAnsi="宋体" w:cs="宋体"/>
                <w:color w:val="000000"/>
                <w:sz w:val="24"/>
                <w:szCs w:val="24"/>
              </w:rPr>
            </w:pPr>
          </w:p>
        </w:tc>
        <w:tc>
          <w:tcPr>
            <w:tcW w:w="1016" w:type="dxa"/>
            <w:tcBorders>
              <w:top w:val="single" w:color="auto" w:sz="6"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cs="宋体"/>
                <w:color w:val="000000"/>
                <w:sz w:val="24"/>
                <w:szCs w:val="24"/>
              </w:rPr>
            </w:pPr>
          </w:p>
        </w:tc>
        <w:tc>
          <w:tcPr>
            <w:tcW w:w="1015"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85"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38"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91"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126"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124"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r>
      <w:tr>
        <w:tblPrEx>
          <w:tblCellMar>
            <w:top w:w="0" w:type="dxa"/>
            <w:left w:w="28" w:type="dxa"/>
            <w:bottom w:w="0" w:type="dxa"/>
            <w:right w:w="28" w:type="dxa"/>
          </w:tblCellMar>
        </w:tblPrEx>
        <w:trPr>
          <w:trHeight w:val="376" w:hRule="atLeast"/>
        </w:trPr>
        <w:tc>
          <w:tcPr>
            <w:tcW w:w="938" w:type="dxa"/>
            <w:tcBorders>
              <w:top w:val="single" w:color="auto" w:sz="6" w:space="0"/>
              <w:left w:val="single" w:color="auto" w:sz="6" w:space="0"/>
              <w:bottom w:val="single" w:color="auto" w:sz="4" w:space="0"/>
            </w:tcBorders>
            <w:noWrap/>
            <w:vAlign w:val="center"/>
          </w:tcPr>
          <w:p>
            <w:pPr>
              <w:adjustRightInd w:val="0"/>
              <w:snapToGrid w:val="0"/>
              <w:spacing w:line="360" w:lineRule="auto"/>
              <w:jc w:val="center"/>
              <w:rPr>
                <w:rFonts w:ascii="宋体" w:hAnsi="宋体" w:cs="宋体"/>
                <w:color w:val="000000"/>
                <w:sz w:val="24"/>
                <w:szCs w:val="24"/>
              </w:rPr>
            </w:pPr>
          </w:p>
        </w:tc>
        <w:tc>
          <w:tcPr>
            <w:tcW w:w="1016" w:type="dxa"/>
            <w:tcBorders>
              <w:top w:val="single" w:color="auto" w:sz="6"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cs="宋体"/>
                <w:color w:val="000000"/>
                <w:sz w:val="24"/>
                <w:szCs w:val="24"/>
              </w:rPr>
            </w:pPr>
          </w:p>
        </w:tc>
        <w:tc>
          <w:tcPr>
            <w:tcW w:w="1015"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85"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38"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091"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126"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c>
          <w:tcPr>
            <w:tcW w:w="1124" w:type="dxa"/>
            <w:tcBorders>
              <w:top w:val="single" w:color="auto" w:sz="6" w:space="0"/>
              <w:left w:val="single" w:color="auto" w:sz="6" w:space="0"/>
              <w:bottom w:val="single" w:color="auto" w:sz="4" w:space="0"/>
              <w:right w:val="single" w:color="auto" w:sz="6" w:space="0"/>
            </w:tcBorders>
            <w:noWrap/>
            <w:vAlign w:val="center"/>
          </w:tcPr>
          <w:p>
            <w:pPr>
              <w:spacing w:line="360" w:lineRule="auto"/>
              <w:jc w:val="center"/>
              <w:rPr>
                <w:rFonts w:ascii="宋体" w:hAnsi="宋体" w:cs="宋体"/>
                <w:color w:val="000000"/>
                <w:sz w:val="24"/>
                <w:szCs w:val="24"/>
              </w:rPr>
            </w:pPr>
          </w:p>
        </w:tc>
      </w:tr>
      <w:tr>
        <w:tblPrEx>
          <w:tblCellMar>
            <w:top w:w="0" w:type="dxa"/>
            <w:left w:w="28" w:type="dxa"/>
            <w:bottom w:w="0" w:type="dxa"/>
            <w:right w:w="28" w:type="dxa"/>
          </w:tblCellMar>
        </w:tblPrEx>
        <w:trPr>
          <w:trHeight w:val="499" w:hRule="atLeast"/>
        </w:trPr>
        <w:tc>
          <w:tcPr>
            <w:tcW w:w="938" w:type="dxa"/>
            <w:tcBorders>
              <w:top w:val="single" w:color="auto" w:sz="4" w:space="0"/>
              <w:left w:val="single" w:color="auto" w:sz="6" w:space="0"/>
              <w:bottom w:val="single" w:color="auto" w:sz="4" w:space="0"/>
            </w:tcBorders>
            <w:noWrap/>
            <w:vAlign w:val="center"/>
          </w:tcPr>
          <w:p>
            <w:pPr>
              <w:adjustRightInd w:val="0"/>
              <w:snapToGrid w:val="0"/>
              <w:spacing w:line="0" w:lineRule="atLeast"/>
              <w:jc w:val="center"/>
              <w:rPr>
                <w:rFonts w:ascii="宋体" w:hAnsi="宋体" w:cs="宋体"/>
                <w:color w:val="000000"/>
                <w:sz w:val="24"/>
                <w:szCs w:val="24"/>
              </w:rPr>
            </w:pPr>
          </w:p>
        </w:tc>
        <w:tc>
          <w:tcPr>
            <w:tcW w:w="1016"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15" w:type="dxa"/>
            <w:tcBorders>
              <w:top w:val="single" w:color="auto" w:sz="4" w:space="0"/>
              <w:left w:val="single" w:color="auto" w:sz="6" w:space="0"/>
              <w:bottom w:val="single" w:color="auto" w:sz="4" w:space="0"/>
              <w:right w:val="single" w:color="auto" w:sz="6" w:space="0"/>
            </w:tcBorders>
            <w:noWrap/>
            <w:vAlign w:val="center"/>
          </w:tcPr>
          <w:p>
            <w:pPr>
              <w:spacing w:line="0" w:lineRule="atLeast"/>
              <w:jc w:val="center"/>
              <w:rPr>
                <w:rFonts w:ascii="宋体" w:hAnsi="宋体" w:cs="宋体"/>
                <w:color w:val="000000"/>
                <w:sz w:val="24"/>
                <w:szCs w:val="24"/>
              </w:rPr>
            </w:pPr>
          </w:p>
        </w:tc>
        <w:tc>
          <w:tcPr>
            <w:tcW w:w="1085" w:type="dxa"/>
            <w:tcBorders>
              <w:top w:val="single" w:color="auto" w:sz="4" w:space="0"/>
              <w:left w:val="single" w:color="auto" w:sz="6" w:space="0"/>
              <w:bottom w:val="single" w:color="auto" w:sz="4" w:space="0"/>
              <w:right w:val="single" w:color="auto" w:sz="6" w:space="0"/>
            </w:tcBorders>
            <w:noWrap/>
            <w:vAlign w:val="center"/>
          </w:tcPr>
          <w:p>
            <w:pPr>
              <w:spacing w:line="0" w:lineRule="atLeast"/>
              <w:jc w:val="center"/>
              <w:rPr>
                <w:rFonts w:ascii="宋体" w:hAnsi="宋体" w:cs="宋体"/>
                <w:color w:val="000000"/>
                <w:sz w:val="24"/>
                <w:szCs w:val="24"/>
              </w:rPr>
            </w:pPr>
          </w:p>
        </w:tc>
        <w:tc>
          <w:tcPr>
            <w:tcW w:w="1038" w:type="dxa"/>
            <w:tcBorders>
              <w:top w:val="single" w:color="auto" w:sz="4" w:space="0"/>
              <w:left w:val="single" w:color="auto" w:sz="6" w:space="0"/>
              <w:bottom w:val="single" w:color="auto" w:sz="4" w:space="0"/>
              <w:right w:val="single" w:color="auto" w:sz="6" w:space="0"/>
            </w:tcBorders>
            <w:noWrap/>
            <w:vAlign w:val="center"/>
          </w:tcPr>
          <w:p>
            <w:pPr>
              <w:spacing w:line="0" w:lineRule="atLeast"/>
              <w:jc w:val="center"/>
              <w:rPr>
                <w:rFonts w:ascii="宋体" w:hAnsi="宋体" w:cs="宋体"/>
                <w:color w:val="000000"/>
                <w:sz w:val="24"/>
                <w:szCs w:val="24"/>
              </w:rPr>
            </w:pPr>
          </w:p>
        </w:tc>
        <w:tc>
          <w:tcPr>
            <w:tcW w:w="1091" w:type="dxa"/>
            <w:tcBorders>
              <w:top w:val="single" w:color="auto" w:sz="4" w:space="0"/>
              <w:left w:val="single" w:color="auto" w:sz="6" w:space="0"/>
              <w:bottom w:val="single" w:color="auto" w:sz="4" w:space="0"/>
              <w:right w:val="single" w:color="auto" w:sz="6" w:space="0"/>
            </w:tcBorders>
            <w:noWrap/>
            <w:vAlign w:val="center"/>
          </w:tcPr>
          <w:p>
            <w:pPr>
              <w:spacing w:line="0" w:lineRule="atLeast"/>
              <w:jc w:val="center"/>
              <w:rPr>
                <w:rFonts w:ascii="宋体" w:hAnsi="宋体" w:cs="宋体"/>
                <w:color w:val="000000"/>
                <w:sz w:val="24"/>
                <w:szCs w:val="24"/>
              </w:rPr>
            </w:pPr>
          </w:p>
        </w:tc>
        <w:tc>
          <w:tcPr>
            <w:tcW w:w="1126" w:type="dxa"/>
            <w:tcBorders>
              <w:top w:val="single" w:color="auto" w:sz="4" w:space="0"/>
              <w:left w:val="single" w:color="auto" w:sz="6" w:space="0"/>
              <w:bottom w:val="single" w:color="auto" w:sz="4" w:space="0"/>
              <w:right w:val="single" w:color="auto" w:sz="6" w:space="0"/>
            </w:tcBorders>
            <w:noWrap/>
            <w:vAlign w:val="center"/>
          </w:tcPr>
          <w:p>
            <w:pPr>
              <w:spacing w:line="0" w:lineRule="atLeast"/>
              <w:jc w:val="center"/>
              <w:rPr>
                <w:rFonts w:ascii="宋体" w:hAnsi="宋体" w:cs="宋体"/>
                <w:color w:val="000000"/>
                <w:sz w:val="24"/>
                <w:szCs w:val="24"/>
              </w:rPr>
            </w:pPr>
          </w:p>
        </w:tc>
        <w:tc>
          <w:tcPr>
            <w:tcW w:w="1124" w:type="dxa"/>
            <w:tcBorders>
              <w:top w:val="single" w:color="auto" w:sz="4" w:space="0"/>
              <w:left w:val="single" w:color="auto" w:sz="6" w:space="0"/>
              <w:bottom w:val="single" w:color="auto" w:sz="4" w:space="0"/>
              <w:right w:val="single" w:color="auto" w:sz="6" w:space="0"/>
            </w:tcBorders>
            <w:noWrap/>
            <w:vAlign w:val="center"/>
          </w:tcPr>
          <w:p>
            <w:pPr>
              <w:spacing w:line="0" w:lineRule="atLeast"/>
              <w:jc w:val="center"/>
              <w:rPr>
                <w:rFonts w:ascii="宋体" w:hAnsi="宋体" w:cs="宋体"/>
                <w:color w:val="000000"/>
                <w:sz w:val="24"/>
                <w:szCs w:val="24"/>
              </w:rPr>
            </w:pPr>
          </w:p>
        </w:tc>
      </w:tr>
      <w:tr>
        <w:tblPrEx>
          <w:tblCellMar>
            <w:top w:w="0" w:type="dxa"/>
            <w:left w:w="28" w:type="dxa"/>
            <w:bottom w:w="0" w:type="dxa"/>
            <w:right w:w="28" w:type="dxa"/>
          </w:tblCellMar>
        </w:tblPrEx>
        <w:trPr>
          <w:trHeight w:val="499" w:hRule="atLeast"/>
        </w:trPr>
        <w:tc>
          <w:tcPr>
            <w:tcW w:w="938"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16"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1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8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38"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91"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126"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124"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r>
      <w:tr>
        <w:tblPrEx>
          <w:tblCellMar>
            <w:top w:w="0" w:type="dxa"/>
            <w:left w:w="28" w:type="dxa"/>
            <w:bottom w:w="0" w:type="dxa"/>
            <w:right w:w="28" w:type="dxa"/>
          </w:tblCellMar>
        </w:tblPrEx>
        <w:trPr>
          <w:trHeight w:val="499" w:hRule="atLeast"/>
        </w:trPr>
        <w:tc>
          <w:tcPr>
            <w:tcW w:w="938"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16"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1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8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38"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91"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126"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124"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r>
      <w:tr>
        <w:tblPrEx>
          <w:tblCellMar>
            <w:top w:w="0" w:type="dxa"/>
            <w:left w:w="28" w:type="dxa"/>
            <w:bottom w:w="0" w:type="dxa"/>
            <w:right w:w="28" w:type="dxa"/>
          </w:tblCellMar>
        </w:tblPrEx>
        <w:trPr>
          <w:trHeight w:val="499" w:hRule="atLeast"/>
        </w:trPr>
        <w:tc>
          <w:tcPr>
            <w:tcW w:w="938"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16"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1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8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38"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91"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126"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124"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r>
      <w:tr>
        <w:tblPrEx>
          <w:tblCellMar>
            <w:top w:w="0" w:type="dxa"/>
            <w:left w:w="28" w:type="dxa"/>
            <w:bottom w:w="0" w:type="dxa"/>
            <w:right w:w="28" w:type="dxa"/>
          </w:tblCellMar>
        </w:tblPrEx>
        <w:trPr>
          <w:trHeight w:val="499" w:hRule="atLeast"/>
        </w:trPr>
        <w:tc>
          <w:tcPr>
            <w:tcW w:w="938"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16"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1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8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38"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091"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126"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c>
          <w:tcPr>
            <w:tcW w:w="1124"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0" w:lineRule="atLeast"/>
              <w:jc w:val="center"/>
              <w:rPr>
                <w:rFonts w:ascii="宋体" w:hAnsi="宋体" w:cs="宋体"/>
                <w:color w:val="000000"/>
                <w:sz w:val="24"/>
                <w:szCs w:val="24"/>
              </w:rPr>
            </w:pPr>
          </w:p>
        </w:tc>
      </w:tr>
      <w:tr>
        <w:tblPrEx>
          <w:tblCellMar>
            <w:top w:w="0" w:type="dxa"/>
            <w:left w:w="28" w:type="dxa"/>
            <w:bottom w:w="0" w:type="dxa"/>
            <w:right w:w="28" w:type="dxa"/>
          </w:tblCellMar>
        </w:tblPrEx>
        <w:trPr>
          <w:trHeight w:val="499" w:hRule="atLeast"/>
        </w:trPr>
        <w:tc>
          <w:tcPr>
            <w:tcW w:w="8433" w:type="dxa"/>
            <w:gridSpan w:val="8"/>
            <w:tcBorders>
              <w:top w:val="single" w:color="auto" w:sz="4" w:space="0"/>
              <w:left w:val="single" w:color="auto" w:sz="6" w:space="0"/>
              <w:bottom w:val="single" w:color="auto" w:sz="6" w:space="0"/>
              <w:right w:val="single" w:color="auto" w:sz="6" w:space="0"/>
            </w:tcBorders>
            <w:noWrap/>
            <w:vAlign w:val="center"/>
          </w:tcPr>
          <w:p>
            <w:pPr>
              <w:spacing w:line="0" w:lineRule="atLeast"/>
              <w:jc w:val="left"/>
              <w:rPr>
                <w:rFonts w:ascii="宋体" w:hAnsi="宋体" w:cs="宋体"/>
                <w:color w:val="000000"/>
                <w:sz w:val="24"/>
                <w:szCs w:val="24"/>
              </w:rPr>
            </w:pPr>
            <w:r>
              <w:rPr>
                <w:rFonts w:hint="eastAsia" w:ascii="宋体" w:hAnsi="宋体" w:cs="宋体"/>
                <w:color w:val="000000"/>
                <w:sz w:val="24"/>
                <w:szCs w:val="24"/>
              </w:rPr>
              <w:t>合计金额（元）：</w:t>
            </w:r>
          </w:p>
        </w:tc>
      </w:tr>
    </w:tbl>
    <w:p>
      <w:pPr>
        <w:rPr>
          <w:rFonts w:ascii="宋体" w:hAnsi="宋体" w:cs="宋体"/>
          <w:sz w:val="24"/>
          <w:szCs w:val="24"/>
        </w:rPr>
      </w:pPr>
    </w:p>
    <w:p>
      <w:pPr>
        <w:spacing w:line="360" w:lineRule="auto"/>
        <w:ind w:firstLine="482" w:firstLineChars="200"/>
        <w:rPr>
          <w:rFonts w:ascii="宋体" w:hAnsi="宋体" w:cs="宋体"/>
          <w:b/>
          <w:bCs/>
          <w:sz w:val="24"/>
          <w:szCs w:val="24"/>
        </w:rPr>
      </w:pPr>
      <w:r>
        <w:rPr>
          <w:rFonts w:hint="eastAsia" w:ascii="宋体" w:hAnsi="宋体" w:cs="宋体"/>
          <w:b/>
          <w:bCs/>
          <w:sz w:val="24"/>
          <w:szCs w:val="24"/>
        </w:rPr>
        <w:t>注：</w:t>
      </w:r>
      <w:r>
        <w:rPr>
          <w:rFonts w:hint="eastAsia" w:ascii="宋体" w:hAnsi="宋体" w:cs="宋体"/>
          <w:b/>
          <w:sz w:val="24"/>
          <w:szCs w:val="24"/>
        </w:rPr>
        <w:t>分项报价表中各部分的合计金额需与开标一览表投标总价金额保持一致，行数不足各供应商可自行添加</w:t>
      </w:r>
      <w:r>
        <w:rPr>
          <w:rFonts w:hint="eastAsia" w:ascii="宋体" w:hAnsi="宋体" w:cs="宋体"/>
          <w:b/>
          <w:sz w:val="24"/>
          <w:szCs w:val="24"/>
          <w:lang w:eastAsia="zh-CN"/>
        </w:rPr>
        <w:t>；分项报价表中须列明所投产品规格型号、数量、生产厂家等信息</w:t>
      </w:r>
      <w:r>
        <w:rPr>
          <w:rFonts w:hint="eastAsia" w:ascii="宋体" w:hAnsi="宋体" w:cs="宋体"/>
          <w:b/>
          <w:sz w:val="24"/>
          <w:szCs w:val="24"/>
        </w:rPr>
        <w:t>。</w:t>
      </w: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授权代表人签字：</w:t>
      </w: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公章：</w:t>
      </w:r>
    </w:p>
    <w:p>
      <w:pPr>
        <w:jc w:val="center"/>
        <w:rPr>
          <w:rFonts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三、投标方案说明书</w:t>
      </w:r>
    </w:p>
    <w:p>
      <w:pPr>
        <w:spacing w:line="0" w:lineRule="atLeast"/>
        <w:rPr>
          <w:rFonts w:ascii="宋体" w:hAnsi="宋体" w:cs="宋体"/>
          <w:sz w:val="24"/>
          <w:szCs w:val="24"/>
        </w:rPr>
      </w:pPr>
      <w:r>
        <w:rPr>
          <w:rFonts w:hint="eastAsia" w:ascii="宋体" w:hAnsi="宋体" w:cs="宋体"/>
          <w:sz w:val="24"/>
          <w:szCs w:val="24"/>
        </w:rPr>
        <w:t xml:space="preserve">供应商名称： </w:t>
      </w:r>
    </w:p>
    <w:p>
      <w:pPr>
        <w:spacing w:line="0" w:lineRule="atLeast"/>
        <w:rPr>
          <w:rFonts w:ascii="宋体" w:hAnsi="宋体" w:cs="宋体"/>
          <w:sz w:val="24"/>
          <w:szCs w:val="24"/>
        </w:rPr>
      </w:pPr>
      <w:r>
        <w:rPr>
          <w:rFonts w:hint="eastAsia" w:ascii="宋体" w:hAnsi="宋体" w:cs="宋体"/>
          <w:sz w:val="24"/>
          <w:szCs w:val="24"/>
        </w:rPr>
        <w:t xml:space="preserve">项目编号： </w:t>
      </w:r>
    </w:p>
    <w:p>
      <w:pPr>
        <w:spacing w:line="0" w:lineRule="atLeast"/>
        <w:rPr>
          <w:rFonts w:ascii="宋体" w:hAnsi="宋体" w:cs="宋体"/>
          <w:sz w:val="24"/>
          <w:szCs w:val="24"/>
        </w:rPr>
      </w:pPr>
      <w:r>
        <w:rPr>
          <w:rFonts w:ascii="宋体" w:hAnsi="宋体" w:cs="宋体"/>
          <w:sz w:val="24"/>
          <w:szCs w:val="24"/>
        </w:rPr>
        <w:pict>
          <v:line id="直线 3" o:spid="_x0000_s2050" o:spt="20" style="position:absolute;left:0pt;margin-left:-18pt;margin-top:12.3pt;height:0pt;width:462pt;z-index:251659264;mso-width-relative:page;mso-height-relative:page;" coordsize="21600,21600" o:gfxdata="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mXA7XW&#10;AAAACQEAAA8AAAAAAAAAAQAgAAAAIgAAAGRycy9kb3ducmV2LnhtbFBLAQIUABQAAAAIAIdO4kA3&#10;q4336QEAANsDAAAOAAAAAAAAAAEAIAAAACUBAABkcnMvZTJvRG9jLnhtbFBLBQYAAAAABgAGAFkB&#10;AACABQAAAAA=&#10;">
            <v:path arrowok="t"/>
            <v:fill focussize="0,0"/>
            <v:stroke/>
            <v:imagedata o:title=""/>
            <o:lock v:ext="edit"/>
          </v:line>
        </w:pict>
      </w:r>
    </w:p>
    <w:p>
      <w:pPr>
        <w:spacing w:line="360" w:lineRule="auto"/>
        <w:ind w:firstLine="480" w:firstLineChars="200"/>
        <w:rPr>
          <w:rFonts w:ascii="宋体" w:hAnsi="宋体" w:cs="宋体"/>
          <w:sz w:val="24"/>
          <w:szCs w:val="24"/>
        </w:rPr>
      </w:pPr>
      <w:r>
        <w:rPr>
          <w:rFonts w:hint="eastAsia" w:ascii="宋体" w:hAnsi="宋体" w:cs="宋体"/>
          <w:sz w:val="24"/>
          <w:szCs w:val="24"/>
        </w:rPr>
        <w:t>按照招标文件的要求编制投标方案说明书，</w:t>
      </w:r>
      <w:r>
        <w:rPr>
          <w:rFonts w:hint="eastAsia" w:ascii="宋体" w:hAnsi="宋体" w:cs="宋体"/>
          <w:b/>
          <w:sz w:val="24"/>
          <w:szCs w:val="24"/>
        </w:rPr>
        <w:t>包括但不限于以下内容</w:t>
      </w:r>
      <w:r>
        <w:rPr>
          <w:rFonts w:hint="eastAsia" w:ascii="宋体" w:hAnsi="宋体" w:cs="宋体"/>
          <w:sz w:val="24"/>
          <w:szCs w:val="24"/>
        </w:rPr>
        <w:t>：</w:t>
      </w:r>
    </w:p>
    <w:p>
      <w:pPr>
        <w:spacing w:line="360" w:lineRule="auto"/>
        <w:ind w:left="959" w:leftChars="228" w:hanging="480" w:hangingChars="200"/>
        <w:rPr>
          <w:rFonts w:ascii="宋体" w:hAnsi="宋体" w:cs="宋体"/>
          <w:sz w:val="24"/>
          <w:szCs w:val="24"/>
        </w:rPr>
      </w:pPr>
      <w:r>
        <w:rPr>
          <w:rFonts w:hint="eastAsia" w:ascii="宋体" w:hAnsi="宋体" w:cs="宋体"/>
          <w:sz w:val="24"/>
          <w:szCs w:val="24"/>
        </w:rPr>
        <w:t>1）总体方案</w:t>
      </w:r>
    </w:p>
    <w:p>
      <w:pPr>
        <w:spacing w:line="360" w:lineRule="auto"/>
        <w:ind w:left="959" w:leftChars="228" w:hanging="480" w:hangingChars="200"/>
        <w:rPr>
          <w:rFonts w:ascii="宋体" w:hAnsi="宋体" w:cs="宋体"/>
          <w:sz w:val="24"/>
          <w:szCs w:val="24"/>
        </w:rPr>
      </w:pPr>
      <w:r>
        <w:rPr>
          <w:rFonts w:hint="eastAsia" w:ascii="宋体" w:hAnsi="宋体" w:cs="宋体"/>
          <w:sz w:val="24"/>
          <w:szCs w:val="24"/>
        </w:rPr>
        <w:t>2）所投产品技术指标响应程度</w:t>
      </w:r>
    </w:p>
    <w:p>
      <w:pPr>
        <w:spacing w:line="360" w:lineRule="auto"/>
        <w:ind w:left="959" w:leftChars="228" w:hanging="480" w:hangingChars="200"/>
        <w:rPr>
          <w:rFonts w:ascii="宋体" w:hAnsi="宋体" w:cs="宋体"/>
          <w:sz w:val="24"/>
          <w:szCs w:val="24"/>
        </w:rPr>
      </w:pPr>
      <w:r>
        <w:rPr>
          <w:rFonts w:hint="eastAsia" w:ascii="宋体" w:hAnsi="宋体" w:cs="宋体"/>
          <w:sz w:val="24"/>
          <w:szCs w:val="24"/>
        </w:rPr>
        <w:t>2.1投标货物的证明文件</w:t>
      </w:r>
    </w:p>
    <w:p>
      <w:pPr>
        <w:spacing w:line="360" w:lineRule="auto"/>
        <w:ind w:left="959" w:leftChars="228" w:hanging="480" w:hangingChars="200"/>
        <w:rPr>
          <w:rFonts w:ascii="宋体" w:hAnsi="宋体" w:cs="宋体"/>
          <w:sz w:val="24"/>
          <w:szCs w:val="24"/>
        </w:rPr>
      </w:pPr>
      <w:r>
        <w:rPr>
          <w:rFonts w:hint="eastAsia" w:ascii="宋体" w:hAnsi="宋体" w:cs="宋体"/>
          <w:sz w:val="24"/>
          <w:szCs w:val="24"/>
        </w:rPr>
        <w:t>2.2本次采购特别要求的货物合格性证明文件；</w:t>
      </w:r>
    </w:p>
    <w:p>
      <w:pPr>
        <w:spacing w:line="360" w:lineRule="auto"/>
        <w:ind w:left="959" w:leftChars="228" w:hanging="480" w:hangingChars="200"/>
        <w:rPr>
          <w:rFonts w:ascii="宋体" w:hAnsi="宋体" w:cs="宋体"/>
          <w:sz w:val="24"/>
          <w:szCs w:val="24"/>
        </w:rPr>
      </w:pPr>
      <w:r>
        <w:rPr>
          <w:rFonts w:hint="eastAsia" w:ascii="宋体" w:hAnsi="宋体" w:cs="宋体"/>
          <w:sz w:val="24"/>
          <w:szCs w:val="24"/>
        </w:rPr>
        <w:t>2.3产品来源渠道合法的证明文件。</w:t>
      </w:r>
    </w:p>
    <w:p>
      <w:pPr>
        <w:spacing w:line="360" w:lineRule="auto"/>
        <w:ind w:left="959" w:leftChars="228" w:hanging="480" w:hangingChars="200"/>
        <w:rPr>
          <w:rFonts w:ascii="宋体" w:hAnsi="宋体" w:cs="宋体"/>
          <w:sz w:val="24"/>
          <w:szCs w:val="24"/>
        </w:rPr>
      </w:pPr>
      <w:r>
        <w:rPr>
          <w:rFonts w:hint="eastAsia" w:ascii="宋体" w:hAnsi="宋体" w:cs="宋体"/>
          <w:sz w:val="24"/>
          <w:szCs w:val="24"/>
        </w:rPr>
        <w:t>3）技术说明书</w:t>
      </w:r>
    </w:p>
    <w:p>
      <w:pPr>
        <w:spacing w:line="360" w:lineRule="auto"/>
        <w:ind w:left="960" w:hanging="960" w:hangingChars="400"/>
        <w:rPr>
          <w:rFonts w:ascii="宋体" w:hAnsi="宋体" w:cs="宋体"/>
          <w:sz w:val="24"/>
          <w:szCs w:val="24"/>
        </w:rPr>
      </w:pPr>
      <w:r>
        <w:rPr>
          <w:rFonts w:hint="eastAsia" w:ascii="宋体" w:hAnsi="宋体" w:cs="宋体"/>
          <w:sz w:val="24"/>
          <w:szCs w:val="24"/>
        </w:rPr>
        <w:t xml:space="preserve">    3.1所投产品的商标、型号、功能、技术规格、详细的供货配置清单；货物制造商及原产地，也可以填写技术规格响应表（见附表1）或者单独说明技术规格优于或偏离招标要求的指标（如果有的话）并提供支持文件。</w:t>
      </w:r>
    </w:p>
    <w:p>
      <w:pPr>
        <w:spacing w:line="360" w:lineRule="auto"/>
        <w:ind w:left="959" w:leftChars="228" w:hanging="480" w:hangingChars="200"/>
        <w:rPr>
          <w:rFonts w:ascii="宋体" w:hAnsi="宋体" w:cs="宋体"/>
          <w:sz w:val="24"/>
          <w:szCs w:val="24"/>
        </w:rPr>
      </w:pPr>
      <w:r>
        <w:rPr>
          <w:rFonts w:hint="eastAsia" w:ascii="宋体" w:hAnsi="宋体" w:cs="宋体"/>
          <w:sz w:val="24"/>
          <w:szCs w:val="24"/>
        </w:rPr>
        <w:t>3.2所投产品的质量标准、检测标准、是否符合国家规范及相关认证等。</w:t>
      </w:r>
    </w:p>
    <w:p>
      <w:pPr>
        <w:spacing w:line="360" w:lineRule="auto"/>
        <w:ind w:left="959" w:leftChars="228" w:hanging="480" w:hangingChars="200"/>
        <w:rPr>
          <w:rFonts w:ascii="宋体" w:hAnsi="宋体" w:cs="宋体"/>
          <w:sz w:val="24"/>
          <w:szCs w:val="24"/>
        </w:rPr>
      </w:pPr>
      <w:r>
        <w:rPr>
          <w:rFonts w:hint="eastAsia" w:ascii="宋体" w:hAnsi="宋体" w:cs="宋体"/>
          <w:sz w:val="24"/>
          <w:szCs w:val="24"/>
        </w:rPr>
        <w:t>3.3所投产品的彩色样本、使用说明书，生产厂家出具的、相应的功能证明材料（包括但不限于测试报告、官网和功能截图等）</w:t>
      </w:r>
    </w:p>
    <w:p>
      <w:pPr>
        <w:spacing w:line="360" w:lineRule="auto"/>
        <w:ind w:left="959" w:leftChars="228" w:hanging="480" w:hangingChars="200"/>
        <w:rPr>
          <w:rFonts w:ascii="宋体" w:hAnsi="宋体" w:cs="宋体"/>
          <w:sz w:val="24"/>
          <w:szCs w:val="24"/>
        </w:rPr>
      </w:pPr>
      <w:r>
        <w:rPr>
          <w:rFonts w:hint="eastAsia" w:ascii="宋体" w:hAnsi="宋体" w:cs="宋体"/>
          <w:sz w:val="24"/>
          <w:szCs w:val="24"/>
        </w:rPr>
        <w:t>4）供应商实力</w:t>
      </w:r>
    </w:p>
    <w:p>
      <w:pPr>
        <w:spacing w:line="360" w:lineRule="auto"/>
        <w:ind w:left="959" w:leftChars="228" w:hanging="480" w:hangingChars="200"/>
        <w:rPr>
          <w:rFonts w:ascii="宋体" w:hAnsi="宋体" w:cs="宋体"/>
          <w:sz w:val="24"/>
          <w:szCs w:val="24"/>
        </w:rPr>
      </w:pPr>
      <w:r>
        <w:rPr>
          <w:rFonts w:hint="eastAsia" w:ascii="宋体" w:hAnsi="宋体" w:cs="宋体"/>
          <w:sz w:val="24"/>
          <w:szCs w:val="24"/>
        </w:rPr>
        <w:t>5）人员组织安排</w:t>
      </w:r>
    </w:p>
    <w:p>
      <w:pPr>
        <w:spacing w:line="360" w:lineRule="auto"/>
        <w:ind w:left="959" w:leftChars="228" w:hanging="480" w:hangingChars="200"/>
        <w:rPr>
          <w:rFonts w:ascii="宋体" w:hAnsi="宋体" w:cs="宋体"/>
          <w:sz w:val="24"/>
          <w:szCs w:val="24"/>
        </w:rPr>
      </w:pPr>
      <w:r>
        <w:rPr>
          <w:rFonts w:hint="eastAsia" w:ascii="宋体" w:hAnsi="宋体" w:cs="宋体"/>
          <w:sz w:val="24"/>
          <w:szCs w:val="24"/>
        </w:rPr>
        <w:t>6）实施措施及进度</w:t>
      </w:r>
    </w:p>
    <w:p>
      <w:pPr>
        <w:spacing w:line="360" w:lineRule="auto"/>
        <w:ind w:firstLine="480" w:firstLineChars="200"/>
        <w:rPr>
          <w:rFonts w:ascii="宋体" w:hAnsi="宋体" w:cs="宋体"/>
          <w:sz w:val="24"/>
          <w:szCs w:val="24"/>
        </w:rPr>
      </w:pPr>
      <w:r>
        <w:rPr>
          <w:rFonts w:hint="eastAsia" w:ascii="宋体" w:hAnsi="宋体" w:cs="宋体"/>
          <w:sz w:val="24"/>
          <w:szCs w:val="24"/>
        </w:rPr>
        <w:t>7）商务响应证明文件（供应商须知第12.3条要求的内容等）</w:t>
      </w:r>
    </w:p>
    <w:p>
      <w:pPr>
        <w:spacing w:line="360" w:lineRule="auto"/>
        <w:ind w:firstLine="480" w:firstLineChars="200"/>
        <w:rPr>
          <w:rFonts w:ascii="宋体" w:hAnsi="宋体" w:cs="宋体"/>
          <w:sz w:val="24"/>
          <w:szCs w:val="24"/>
        </w:rPr>
      </w:pPr>
      <w:r>
        <w:rPr>
          <w:rFonts w:hint="eastAsia" w:ascii="宋体" w:hAnsi="宋体" w:cs="宋体"/>
          <w:sz w:val="24"/>
          <w:szCs w:val="24"/>
        </w:rPr>
        <w:t>8）填写供货一览表（见附表2）并详细说明投标报价所包含的全部供货内容和服务内容。</w:t>
      </w:r>
    </w:p>
    <w:p>
      <w:pPr>
        <w:spacing w:line="360" w:lineRule="auto"/>
        <w:ind w:firstLine="480" w:firstLineChars="200"/>
        <w:rPr>
          <w:rFonts w:ascii="宋体" w:hAnsi="宋体" w:cs="宋体"/>
          <w:sz w:val="24"/>
          <w:szCs w:val="24"/>
        </w:rPr>
      </w:pPr>
      <w:r>
        <w:rPr>
          <w:rFonts w:hint="eastAsia" w:ascii="宋体" w:hAnsi="宋体" w:cs="宋体"/>
          <w:sz w:val="24"/>
          <w:szCs w:val="24"/>
        </w:rPr>
        <w:t>9）质量保修期、质量保证措施、培训、售后服务、应急预案、业绩的内容及承诺。</w:t>
      </w:r>
    </w:p>
    <w:p>
      <w:pPr>
        <w:spacing w:line="360" w:lineRule="auto"/>
        <w:ind w:firstLine="480" w:firstLineChars="200"/>
        <w:rPr>
          <w:rFonts w:ascii="宋体" w:hAnsi="宋体" w:cs="宋体"/>
          <w:bCs/>
          <w:sz w:val="24"/>
          <w:szCs w:val="24"/>
        </w:rPr>
      </w:pPr>
      <w:r>
        <w:rPr>
          <w:rFonts w:hint="eastAsia" w:ascii="宋体" w:hAnsi="宋体" w:cs="宋体"/>
          <w:sz w:val="24"/>
          <w:szCs w:val="24"/>
        </w:rPr>
        <w:t>10）交货期</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11)付款条件和付款方式。       </w:t>
      </w:r>
    </w:p>
    <w:p>
      <w:pPr>
        <w:spacing w:line="480" w:lineRule="auto"/>
        <w:jc w:val="center"/>
        <w:rPr>
          <w:rFonts w:ascii="宋体" w:hAnsi="宋体" w:cs="宋体"/>
          <w:sz w:val="24"/>
          <w:szCs w:val="24"/>
        </w:rPr>
      </w:pPr>
      <w:r>
        <w:rPr>
          <w:rFonts w:hint="eastAsia" w:ascii="宋体" w:hAnsi="宋体" w:cs="宋体"/>
          <w:sz w:val="24"/>
          <w:szCs w:val="24"/>
        </w:rPr>
        <w:t xml:space="preserve">                                            授权代表人签字：                                           </w:t>
      </w:r>
    </w:p>
    <w:p>
      <w:pPr>
        <w:spacing w:line="480" w:lineRule="auto"/>
        <w:jc w:val="center"/>
        <w:rPr>
          <w:rFonts w:ascii="宋体" w:hAnsi="宋体" w:cs="宋体"/>
          <w:sz w:val="24"/>
          <w:szCs w:val="24"/>
        </w:rPr>
      </w:pPr>
      <w:r>
        <w:rPr>
          <w:rFonts w:hint="eastAsia" w:ascii="宋体" w:hAnsi="宋体" w:cs="宋体"/>
          <w:sz w:val="24"/>
          <w:szCs w:val="24"/>
        </w:rPr>
        <w:t xml:space="preserve">                                             公章：</w:t>
      </w:r>
    </w:p>
    <w:p>
      <w:pPr>
        <w:spacing w:after="120" w:line="480" w:lineRule="auto"/>
        <w:rPr>
          <w:rFonts w:ascii="宋体" w:hAnsi="宋体" w:cs="宋体"/>
          <w:sz w:val="24"/>
          <w:szCs w:val="24"/>
        </w:rPr>
      </w:pPr>
      <w:r>
        <w:rPr>
          <w:rFonts w:hint="eastAsia" w:ascii="宋体" w:hAnsi="宋体" w:cs="宋体"/>
          <w:b/>
          <w:sz w:val="36"/>
        </w:rPr>
        <w:br w:type="page"/>
      </w:r>
      <w:r>
        <w:rPr>
          <w:rFonts w:hint="eastAsia" w:ascii="宋体" w:hAnsi="宋体" w:cs="宋体"/>
          <w:sz w:val="24"/>
          <w:szCs w:val="24"/>
        </w:rPr>
        <w:t>附表1</w:t>
      </w:r>
    </w:p>
    <w:p>
      <w:pPr>
        <w:spacing w:after="120"/>
        <w:jc w:val="center"/>
        <w:rPr>
          <w:rFonts w:ascii="宋体" w:hAnsi="宋体" w:cs="宋体"/>
          <w:b/>
          <w:sz w:val="36"/>
        </w:rPr>
      </w:pPr>
      <w:r>
        <w:rPr>
          <w:rFonts w:hint="eastAsia" w:ascii="宋体" w:hAnsi="宋体" w:cs="宋体"/>
          <w:b/>
          <w:sz w:val="36"/>
        </w:rPr>
        <w:t>技术规格响应表</w:t>
      </w:r>
    </w:p>
    <w:p>
      <w:pPr>
        <w:spacing w:line="0" w:lineRule="atLeast"/>
        <w:rPr>
          <w:rFonts w:ascii="宋体" w:hAnsi="宋体" w:cs="宋体"/>
          <w:sz w:val="24"/>
          <w:szCs w:val="24"/>
        </w:rPr>
      </w:pPr>
      <w:r>
        <w:rPr>
          <w:rFonts w:hint="eastAsia" w:ascii="宋体" w:hAnsi="宋体" w:cs="宋体"/>
          <w:sz w:val="24"/>
          <w:szCs w:val="24"/>
        </w:rPr>
        <w:t>供应商名称：</w:t>
      </w:r>
    </w:p>
    <w:p>
      <w:pPr>
        <w:spacing w:line="0" w:lineRule="atLeast"/>
      </w:pPr>
      <w:r>
        <w:rPr>
          <w:rFonts w:hint="eastAsia" w:ascii="宋体" w:hAnsi="宋体" w:cs="宋体"/>
          <w:sz w:val="24"/>
          <w:szCs w:val="24"/>
        </w:rPr>
        <w:t>项目编号：</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28"/>
        <w:gridCol w:w="2399"/>
        <w:gridCol w:w="2566"/>
        <w:gridCol w:w="1290"/>
        <w:gridCol w:w="8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228" w:type="dxa"/>
            <w:tcBorders>
              <w:bottom w:val="nil"/>
            </w:tcBorders>
            <w:noWrap/>
            <w:vAlign w:val="center"/>
          </w:tcPr>
          <w:p>
            <w:pPr>
              <w:spacing w:line="0" w:lineRule="atLeast"/>
              <w:jc w:val="center"/>
              <w:rPr>
                <w:rFonts w:ascii="宋体" w:hAnsi="宋体" w:cs="宋体"/>
                <w:sz w:val="24"/>
                <w:szCs w:val="24"/>
              </w:rPr>
            </w:pPr>
            <w:r>
              <w:rPr>
                <w:rFonts w:hint="eastAsia" w:ascii="宋体" w:hAnsi="宋体" w:cs="宋体"/>
                <w:sz w:val="24"/>
                <w:szCs w:val="24"/>
              </w:rPr>
              <w:t>条款号</w:t>
            </w:r>
          </w:p>
        </w:tc>
        <w:tc>
          <w:tcPr>
            <w:tcW w:w="2399" w:type="dxa"/>
            <w:tcBorders>
              <w:bottom w:val="nil"/>
            </w:tcBorders>
            <w:noWrap/>
            <w:vAlign w:val="center"/>
          </w:tcPr>
          <w:p>
            <w:pPr>
              <w:spacing w:line="0" w:lineRule="atLeast"/>
              <w:jc w:val="center"/>
              <w:rPr>
                <w:rFonts w:ascii="宋体" w:hAnsi="宋体" w:cs="宋体"/>
                <w:sz w:val="24"/>
                <w:szCs w:val="24"/>
              </w:rPr>
            </w:pPr>
            <w:r>
              <w:rPr>
                <w:rFonts w:hint="eastAsia" w:ascii="宋体" w:hAnsi="宋体" w:cs="宋体"/>
                <w:sz w:val="24"/>
                <w:szCs w:val="24"/>
              </w:rPr>
              <w:t>招标规格 ☆1</w:t>
            </w:r>
          </w:p>
        </w:tc>
        <w:tc>
          <w:tcPr>
            <w:tcW w:w="2566" w:type="dxa"/>
            <w:tcBorders>
              <w:bottom w:val="nil"/>
            </w:tcBorders>
            <w:noWrap/>
            <w:vAlign w:val="center"/>
          </w:tcPr>
          <w:p>
            <w:pPr>
              <w:spacing w:line="0" w:lineRule="atLeast"/>
              <w:jc w:val="center"/>
              <w:rPr>
                <w:rFonts w:ascii="宋体" w:hAnsi="宋体" w:cs="宋体"/>
                <w:sz w:val="24"/>
                <w:szCs w:val="24"/>
              </w:rPr>
            </w:pPr>
            <w:r>
              <w:rPr>
                <w:rFonts w:hint="eastAsia" w:ascii="宋体" w:hAnsi="宋体" w:cs="宋体"/>
                <w:sz w:val="24"/>
                <w:szCs w:val="24"/>
              </w:rPr>
              <w:t>投标规格 ☆2</w:t>
            </w:r>
          </w:p>
        </w:tc>
        <w:tc>
          <w:tcPr>
            <w:tcW w:w="1290" w:type="dxa"/>
            <w:tcBorders>
              <w:bottom w:val="nil"/>
            </w:tcBorders>
            <w:noWrap/>
            <w:vAlign w:val="center"/>
          </w:tcPr>
          <w:p>
            <w:pPr>
              <w:spacing w:line="0" w:lineRule="atLeast"/>
              <w:jc w:val="center"/>
              <w:rPr>
                <w:rFonts w:ascii="宋体" w:hAnsi="宋体" w:cs="宋体"/>
                <w:sz w:val="24"/>
                <w:szCs w:val="24"/>
              </w:rPr>
            </w:pPr>
            <w:r>
              <w:rPr>
                <w:rFonts w:hint="eastAsia" w:ascii="宋体" w:hAnsi="宋体" w:cs="宋体"/>
                <w:sz w:val="24"/>
                <w:szCs w:val="24"/>
              </w:rPr>
              <w:t>响应/偏离</w:t>
            </w:r>
          </w:p>
        </w:tc>
        <w:tc>
          <w:tcPr>
            <w:tcW w:w="880" w:type="dxa"/>
            <w:tcBorders>
              <w:bottom w:val="nil"/>
            </w:tcBorders>
            <w:noWrap/>
            <w:vAlign w:val="center"/>
          </w:tcPr>
          <w:p>
            <w:pPr>
              <w:spacing w:line="0" w:lineRule="atLeast"/>
              <w:jc w:val="center"/>
              <w:rPr>
                <w:rFonts w:ascii="宋体" w:hAnsi="宋体" w:cs="宋体"/>
                <w:sz w:val="24"/>
                <w:szCs w:val="24"/>
              </w:rPr>
            </w:pPr>
            <w:r>
              <w:rPr>
                <w:rFonts w:hint="eastAsia" w:ascii="宋体" w:hAnsi="宋体" w:cs="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0" w:hRule="atLeast"/>
        </w:trPr>
        <w:tc>
          <w:tcPr>
            <w:tcW w:w="1228" w:type="dxa"/>
            <w:tcBorders>
              <w:top w:val="single" w:color="auto" w:sz="12" w:space="0"/>
              <w:left w:val="single" w:color="auto" w:sz="12" w:space="0"/>
              <w:right w:val="single" w:color="auto" w:sz="6" w:space="0"/>
            </w:tcBorders>
            <w:noWrap/>
          </w:tcPr>
          <w:p>
            <w:pPr>
              <w:rPr>
                <w:rFonts w:ascii="宋体" w:hAnsi="宋体" w:cs="宋体"/>
                <w:sz w:val="24"/>
                <w:szCs w:val="24"/>
              </w:rPr>
            </w:pPr>
          </w:p>
        </w:tc>
        <w:tc>
          <w:tcPr>
            <w:tcW w:w="2399" w:type="dxa"/>
            <w:tcBorders>
              <w:top w:val="single" w:color="auto" w:sz="12" w:space="0"/>
              <w:left w:val="single" w:color="auto" w:sz="6" w:space="0"/>
              <w:right w:val="single" w:color="auto" w:sz="6" w:space="0"/>
            </w:tcBorders>
            <w:noWrap/>
          </w:tcPr>
          <w:p>
            <w:pPr>
              <w:rPr>
                <w:rFonts w:ascii="宋体" w:hAnsi="宋体" w:cs="宋体"/>
                <w:sz w:val="24"/>
                <w:szCs w:val="24"/>
              </w:rPr>
            </w:pPr>
          </w:p>
        </w:tc>
        <w:tc>
          <w:tcPr>
            <w:tcW w:w="2566" w:type="dxa"/>
            <w:tcBorders>
              <w:top w:val="single" w:color="auto" w:sz="12" w:space="0"/>
              <w:left w:val="single" w:color="auto" w:sz="6" w:space="0"/>
              <w:right w:val="single" w:color="auto" w:sz="6" w:space="0"/>
            </w:tcBorders>
            <w:noWrap/>
          </w:tcPr>
          <w:p>
            <w:pPr>
              <w:rPr>
                <w:rFonts w:ascii="宋体" w:hAnsi="宋体" w:cs="宋体"/>
                <w:sz w:val="24"/>
                <w:szCs w:val="24"/>
              </w:rPr>
            </w:pPr>
          </w:p>
        </w:tc>
        <w:tc>
          <w:tcPr>
            <w:tcW w:w="1290" w:type="dxa"/>
            <w:tcBorders>
              <w:top w:val="single" w:color="auto" w:sz="12" w:space="0"/>
              <w:left w:val="single" w:color="auto" w:sz="6" w:space="0"/>
              <w:right w:val="single" w:color="auto" w:sz="6" w:space="0"/>
            </w:tcBorders>
            <w:noWrap/>
          </w:tcPr>
          <w:p>
            <w:pPr>
              <w:rPr>
                <w:rFonts w:ascii="宋体" w:hAnsi="宋体" w:cs="宋体"/>
                <w:sz w:val="24"/>
                <w:szCs w:val="24"/>
              </w:rPr>
            </w:pPr>
          </w:p>
        </w:tc>
        <w:tc>
          <w:tcPr>
            <w:tcW w:w="880" w:type="dxa"/>
            <w:tcBorders>
              <w:top w:val="single" w:color="auto" w:sz="12" w:space="0"/>
              <w:left w:val="single" w:color="auto" w:sz="6" w:space="0"/>
              <w:right w:val="single" w:color="auto" w:sz="12" w:space="0"/>
            </w:tcBorders>
            <w:noWrap/>
          </w:tcPr>
          <w:p>
            <w:pPr>
              <w:rPr>
                <w:rFonts w:ascii="宋体" w:hAnsi="宋体" w:cs="宋体"/>
                <w:sz w:val="24"/>
                <w:szCs w:val="24"/>
              </w:rPr>
            </w:pPr>
          </w:p>
        </w:tc>
      </w:tr>
    </w:tbl>
    <w:p>
      <w:pPr>
        <w:rPr>
          <w:rFonts w:ascii="宋体" w:hAnsi="宋体" w:cs="宋体"/>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授权代表人签字： </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公章：</w:t>
      </w:r>
    </w:p>
    <w:p>
      <w:pPr>
        <w:rPr>
          <w:rFonts w:ascii="宋体" w:hAnsi="宋体" w:cs="宋体"/>
          <w:sz w:val="24"/>
          <w:szCs w:val="24"/>
        </w:rPr>
      </w:pPr>
    </w:p>
    <w:p>
      <w:pPr>
        <w:rPr>
          <w:rFonts w:ascii="宋体" w:hAnsi="宋体" w:cs="宋体"/>
          <w:sz w:val="24"/>
          <w:szCs w:val="24"/>
        </w:rPr>
      </w:pPr>
    </w:p>
    <w:p>
      <w:pPr>
        <w:ind w:left="1560" w:hanging="1560" w:hangingChars="650"/>
        <w:rPr>
          <w:rFonts w:ascii="宋体" w:hAnsi="宋体" w:cs="宋体"/>
          <w:sz w:val="24"/>
          <w:szCs w:val="24"/>
        </w:rPr>
      </w:pPr>
      <w:r>
        <w:rPr>
          <w:rFonts w:hint="eastAsia" w:ascii="宋体" w:hAnsi="宋体" w:cs="宋体"/>
          <w:sz w:val="24"/>
          <w:szCs w:val="24"/>
        </w:rPr>
        <w:t>注：</w:t>
      </w:r>
    </w:p>
    <w:p>
      <w:pPr>
        <w:ind w:left="2"/>
        <w:rPr>
          <w:rFonts w:ascii="宋体" w:hAnsi="宋体" w:cs="宋体"/>
          <w:sz w:val="24"/>
          <w:szCs w:val="24"/>
        </w:rPr>
      </w:pPr>
      <w:r>
        <w:rPr>
          <w:rFonts w:hint="eastAsia" w:ascii="宋体" w:hAnsi="宋体" w:cs="宋体"/>
          <w:sz w:val="24"/>
          <w:szCs w:val="24"/>
        </w:rPr>
        <w:t>1.☆1指招标文件中的技术规格(参数),供应商应按照招标文件中的内容逐条抄写。</w:t>
      </w:r>
    </w:p>
    <w:p>
      <w:pPr>
        <w:ind w:left="2"/>
        <w:rPr>
          <w:rFonts w:ascii="宋体" w:hAnsi="宋体" w:cs="宋体"/>
          <w:sz w:val="24"/>
          <w:szCs w:val="24"/>
        </w:rPr>
      </w:pPr>
      <w:r>
        <w:rPr>
          <w:rFonts w:hint="eastAsia" w:ascii="宋体" w:hAnsi="宋体" w:cs="宋体"/>
          <w:sz w:val="24"/>
          <w:szCs w:val="24"/>
        </w:rPr>
        <w:t xml:space="preserve">2.☆2 指供应商拟提供的投标设备的功能及技术规格(参数),供应商应逐条如实填写并提供相应的支持文件。 </w:t>
      </w:r>
    </w:p>
    <w:p>
      <w:pPr>
        <w:spacing w:after="12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附表2</w:t>
      </w:r>
    </w:p>
    <w:p>
      <w:pPr>
        <w:spacing w:after="120"/>
        <w:jc w:val="center"/>
        <w:rPr>
          <w:rFonts w:ascii="宋体" w:hAnsi="宋体" w:cs="宋体"/>
          <w:b/>
          <w:sz w:val="36"/>
        </w:rPr>
      </w:pPr>
      <w:r>
        <w:rPr>
          <w:rFonts w:hint="eastAsia" w:ascii="宋体" w:hAnsi="宋体" w:cs="宋体"/>
          <w:b/>
          <w:sz w:val="36"/>
        </w:rPr>
        <w:t>供货一览表</w:t>
      </w:r>
    </w:p>
    <w:p>
      <w:pPr>
        <w:spacing w:line="0" w:lineRule="atLeast"/>
        <w:rPr>
          <w:rFonts w:ascii="宋体" w:hAnsi="宋体" w:cs="宋体"/>
          <w:sz w:val="24"/>
          <w:szCs w:val="24"/>
        </w:rPr>
      </w:pPr>
      <w:r>
        <w:rPr>
          <w:rFonts w:hint="eastAsia" w:ascii="宋体" w:hAnsi="宋体" w:cs="宋体"/>
          <w:sz w:val="24"/>
          <w:szCs w:val="24"/>
        </w:rPr>
        <w:t>供应商名称：</w:t>
      </w:r>
    </w:p>
    <w:p>
      <w:pPr>
        <w:spacing w:line="0" w:lineRule="atLeast"/>
        <w:rPr>
          <w:rFonts w:ascii="宋体" w:hAnsi="宋体" w:cs="宋体"/>
          <w:sz w:val="24"/>
          <w:szCs w:val="24"/>
        </w:rPr>
      </w:pPr>
      <w:r>
        <w:rPr>
          <w:rFonts w:hint="eastAsia" w:ascii="宋体" w:hAnsi="宋体" w:cs="宋体"/>
          <w:sz w:val="24"/>
          <w:szCs w:val="24"/>
        </w:rPr>
        <w:t>项目编号：</w:t>
      </w:r>
    </w:p>
    <w:tbl>
      <w:tblPr>
        <w:tblStyle w:val="18"/>
        <w:tblW w:w="895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28"/>
        <w:gridCol w:w="1950"/>
        <w:gridCol w:w="1311"/>
        <w:gridCol w:w="1314"/>
        <w:gridCol w:w="1785"/>
        <w:gridCol w:w="13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228" w:type="dxa"/>
            <w:tcBorders>
              <w:bottom w:val="nil"/>
            </w:tcBorders>
            <w:noWrap/>
            <w:vAlign w:val="center"/>
          </w:tcPr>
          <w:p>
            <w:pPr>
              <w:spacing w:line="0" w:lineRule="atLeast"/>
              <w:jc w:val="center"/>
              <w:rPr>
                <w:rFonts w:ascii="宋体" w:hAnsi="宋体" w:cs="宋体"/>
                <w:sz w:val="24"/>
                <w:szCs w:val="24"/>
              </w:rPr>
            </w:pPr>
            <w:r>
              <w:rPr>
                <w:rFonts w:hint="eastAsia" w:ascii="宋体" w:hAnsi="宋体" w:cs="宋体"/>
                <w:sz w:val="24"/>
                <w:szCs w:val="24"/>
              </w:rPr>
              <w:t>序号</w:t>
            </w:r>
          </w:p>
        </w:tc>
        <w:tc>
          <w:tcPr>
            <w:tcW w:w="1950" w:type="dxa"/>
            <w:tcBorders>
              <w:bottom w:val="nil"/>
            </w:tcBorders>
            <w:noWrap/>
            <w:vAlign w:val="center"/>
          </w:tcPr>
          <w:p>
            <w:pPr>
              <w:spacing w:line="0" w:lineRule="atLeast"/>
              <w:jc w:val="center"/>
              <w:rPr>
                <w:rFonts w:ascii="宋体" w:hAnsi="宋体" w:cs="宋体"/>
                <w:sz w:val="24"/>
                <w:szCs w:val="24"/>
              </w:rPr>
            </w:pPr>
            <w:r>
              <w:rPr>
                <w:rFonts w:hint="eastAsia" w:ascii="宋体" w:hAnsi="宋体" w:cs="宋体"/>
                <w:sz w:val="24"/>
                <w:szCs w:val="24"/>
              </w:rPr>
              <w:t>货物名称</w:t>
            </w:r>
          </w:p>
        </w:tc>
        <w:tc>
          <w:tcPr>
            <w:tcW w:w="1311" w:type="dxa"/>
            <w:tcBorders>
              <w:bottom w:val="nil"/>
              <w:right w:val="single" w:color="auto" w:sz="4" w:space="0"/>
            </w:tcBorders>
            <w:noWrap/>
            <w:vAlign w:val="center"/>
          </w:tcPr>
          <w:p>
            <w:pPr>
              <w:spacing w:line="0" w:lineRule="atLeast"/>
              <w:jc w:val="center"/>
              <w:rPr>
                <w:rFonts w:ascii="宋体" w:hAnsi="宋体" w:cs="宋体"/>
                <w:sz w:val="24"/>
                <w:szCs w:val="24"/>
              </w:rPr>
            </w:pPr>
            <w:r>
              <w:rPr>
                <w:rFonts w:hint="eastAsia" w:ascii="宋体" w:hAnsi="宋体" w:cs="宋体"/>
                <w:sz w:val="24"/>
                <w:szCs w:val="24"/>
              </w:rPr>
              <w:t>数量</w:t>
            </w:r>
          </w:p>
        </w:tc>
        <w:tc>
          <w:tcPr>
            <w:tcW w:w="1314" w:type="dxa"/>
            <w:tcBorders>
              <w:left w:val="single" w:color="auto" w:sz="4" w:space="0"/>
              <w:bottom w:val="nil"/>
            </w:tcBorders>
            <w:noWrap/>
            <w:vAlign w:val="center"/>
          </w:tcPr>
          <w:p>
            <w:pPr>
              <w:spacing w:line="0" w:lineRule="atLeast"/>
              <w:jc w:val="center"/>
              <w:rPr>
                <w:rFonts w:ascii="宋体" w:hAnsi="宋体" w:cs="宋体"/>
                <w:sz w:val="24"/>
                <w:szCs w:val="24"/>
              </w:rPr>
            </w:pPr>
            <w:r>
              <w:rPr>
                <w:rFonts w:hint="eastAsia" w:ascii="宋体" w:hAnsi="宋体" w:cs="宋体"/>
                <w:sz w:val="24"/>
                <w:szCs w:val="24"/>
              </w:rPr>
              <w:t>交货期</w:t>
            </w:r>
          </w:p>
        </w:tc>
        <w:tc>
          <w:tcPr>
            <w:tcW w:w="1785" w:type="dxa"/>
            <w:tcBorders>
              <w:bottom w:val="nil"/>
            </w:tcBorders>
            <w:noWrap/>
            <w:vAlign w:val="center"/>
          </w:tcPr>
          <w:p>
            <w:pPr>
              <w:spacing w:line="0" w:lineRule="atLeast"/>
              <w:jc w:val="center"/>
              <w:rPr>
                <w:rFonts w:ascii="宋体" w:hAnsi="宋体" w:cs="宋体"/>
                <w:sz w:val="24"/>
                <w:szCs w:val="24"/>
              </w:rPr>
            </w:pPr>
            <w:r>
              <w:rPr>
                <w:rFonts w:hint="eastAsia" w:ascii="宋体" w:hAnsi="宋体" w:cs="宋体"/>
                <w:sz w:val="24"/>
                <w:szCs w:val="24"/>
              </w:rPr>
              <w:t>交货地点</w:t>
            </w:r>
          </w:p>
        </w:tc>
        <w:tc>
          <w:tcPr>
            <w:tcW w:w="1365" w:type="dxa"/>
            <w:tcBorders>
              <w:bottom w:val="nil"/>
            </w:tcBorders>
            <w:noWrap/>
            <w:vAlign w:val="center"/>
          </w:tcPr>
          <w:p>
            <w:pPr>
              <w:spacing w:line="0" w:lineRule="atLeast"/>
              <w:jc w:val="center"/>
              <w:rPr>
                <w:rFonts w:ascii="宋体" w:hAnsi="宋体" w:cs="宋体"/>
                <w:sz w:val="24"/>
                <w:szCs w:val="24"/>
              </w:rPr>
            </w:pPr>
            <w:r>
              <w:rPr>
                <w:rFonts w:hint="eastAsia" w:ascii="宋体" w:hAnsi="宋体" w:cs="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0" w:hRule="atLeast"/>
        </w:trPr>
        <w:tc>
          <w:tcPr>
            <w:tcW w:w="1228" w:type="dxa"/>
            <w:tcBorders>
              <w:top w:val="single" w:color="auto" w:sz="12" w:space="0"/>
              <w:left w:val="single" w:color="auto" w:sz="12" w:space="0"/>
              <w:right w:val="single" w:color="auto" w:sz="6" w:space="0"/>
            </w:tcBorders>
            <w:noWrap/>
          </w:tcPr>
          <w:p>
            <w:pPr>
              <w:rPr>
                <w:rFonts w:ascii="宋体" w:hAnsi="宋体" w:cs="宋体"/>
                <w:sz w:val="24"/>
                <w:szCs w:val="24"/>
              </w:rPr>
            </w:pPr>
          </w:p>
        </w:tc>
        <w:tc>
          <w:tcPr>
            <w:tcW w:w="1950" w:type="dxa"/>
            <w:tcBorders>
              <w:top w:val="single" w:color="auto" w:sz="12" w:space="0"/>
              <w:left w:val="single" w:color="auto" w:sz="6" w:space="0"/>
              <w:right w:val="single" w:color="auto" w:sz="6" w:space="0"/>
            </w:tcBorders>
            <w:noWrap/>
          </w:tcPr>
          <w:p>
            <w:pPr>
              <w:rPr>
                <w:rFonts w:ascii="宋体" w:hAnsi="宋体" w:cs="宋体"/>
                <w:sz w:val="24"/>
                <w:szCs w:val="24"/>
              </w:rPr>
            </w:pPr>
          </w:p>
        </w:tc>
        <w:tc>
          <w:tcPr>
            <w:tcW w:w="1311" w:type="dxa"/>
            <w:tcBorders>
              <w:top w:val="single" w:color="auto" w:sz="12" w:space="0"/>
              <w:left w:val="single" w:color="auto" w:sz="6" w:space="0"/>
              <w:right w:val="single" w:color="auto" w:sz="4" w:space="0"/>
            </w:tcBorders>
            <w:noWrap/>
          </w:tcPr>
          <w:p>
            <w:pPr>
              <w:rPr>
                <w:rFonts w:ascii="宋体" w:hAnsi="宋体" w:cs="宋体"/>
                <w:sz w:val="24"/>
                <w:szCs w:val="24"/>
              </w:rPr>
            </w:pPr>
          </w:p>
        </w:tc>
        <w:tc>
          <w:tcPr>
            <w:tcW w:w="1314" w:type="dxa"/>
            <w:tcBorders>
              <w:top w:val="single" w:color="auto" w:sz="12" w:space="0"/>
              <w:left w:val="single" w:color="auto" w:sz="4" w:space="0"/>
              <w:right w:val="single" w:color="auto" w:sz="6" w:space="0"/>
            </w:tcBorders>
            <w:noWrap/>
          </w:tcPr>
          <w:p>
            <w:pPr>
              <w:rPr>
                <w:rFonts w:ascii="宋体" w:hAnsi="宋体" w:cs="宋体"/>
                <w:sz w:val="24"/>
                <w:szCs w:val="24"/>
              </w:rPr>
            </w:pPr>
          </w:p>
        </w:tc>
        <w:tc>
          <w:tcPr>
            <w:tcW w:w="1785" w:type="dxa"/>
            <w:tcBorders>
              <w:top w:val="single" w:color="auto" w:sz="12" w:space="0"/>
              <w:left w:val="single" w:color="auto" w:sz="6" w:space="0"/>
              <w:right w:val="single" w:color="auto" w:sz="6" w:space="0"/>
            </w:tcBorders>
            <w:noWrap/>
          </w:tcPr>
          <w:p>
            <w:pPr>
              <w:rPr>
                <w:rFonts w:ascii="宋体" w:hAnsi="宋体" w:cs="宋体"/>
                <w:sz w:val="24"/>
                <w:szCs w:val="24"/>
              </w:rPr>
            </w:pPr>
          </w:p>
        </w:tc>
        <w:tc>
          <w:tcPr>
            <w:tcW w:w="1365" w:type="dxa"/>
            <w:tcBorders>
              <w:top w:val="single" w:color="auto" w:sz="12" w:space="0"/>
              <w:left w:val="single" w:color="auto" w:sz="6" w:space="0"/>
              <w:right w:val="single" w:color="auto" w:sz="12" w:space="0"/>
            </w:tcBorders>
            <w:noWrap/>
          </w:tcPr>
          <w:p>
            <w:pPr>
              <w:rPr>
                <w:rFonts w:ascii="宋体" w:hAnsi="宋体" w:cs="宋体"/>
                <w:sz w:val="24"/>
                <w:szCs w:val="24"/>
              </w:rPr>
            </w:pPr>
          </w:p>
        </w:tc>
      </w:tr>
    </w:tbl>
    <w:p>
      <w:pPr>
        <w:rPr>
          <w:rFonts w:ascii="宋体" w:hAnsi="宋体" w:cs="宋体"/>
        </w:rPr>
      </w:pPr>
    </w:p>
    <w:p>
      <w:pPr>
        <w:rPr>
          <w:rFonts w:ascii="宋体" w:hAnsi="宋体" w:cs="宋体"/>
        </w:rPr>
      </w:pPr>
    </w:p>
    <w:p>
      <w:pPr>
        <w:rPr>
          <w:rFonts w:ascii="宋体" w:hAnsi="宋体" w:cs="宋体"/>
          <w:sz w:val="24"/>
          <w:szCs w:val="24"/>
        </w:rPr>
      </w:pPr>
      <w:r>
        <w:rPr>
          <w:rFonts w:hint="eastAsia" w:ascii="宋体" w:hAnsi="宋体" w:cs="宋体"/>
          <w:sz w:val="24"/>
          <w:szCs w:val="24"/>
        </w:rPr>
        <w:t>授权代表人签字：</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公章：</w:t>
      </w:r>
    </w:p>
    <w:p>
      <w:pPr>
        <w:spacing w:line="360" w:lineRule="auto"/>
        <w:jc w:val="center"/>
        <w:rPr>
          <w:rFonts w:ascii="宋体" w:hAnsi="宋体" w:cs="宋体"/>
          <w:b/>
          <w:sz w:val="44"/>
          <w:szCs w:val="44"/>
        </w:rPr>
      </w:pPr>
      <w:r>
        <w:rPr>
          <w:rFonts w:hint="eastAsia" w:ascii="宋体" w:hAnsi="宋体" w:cs="宋体"/>
          <w:b/>
          <w:sz w:val="36"/>
          <w:szCs w:val="36"/>
        </w:rPr>
        <w:br w:type="page"/>
      </w:r>
      <w:r>
        <w:rPr>
          <w:rFonts w:hint="eastAsia" w:ascii="宋体" w:hAnsi="宋体" w:cs="宋体"/>
          <w:b/>
          <w:sz w:val="44"/>
          <w:szCs w:val="44"/>
        </w:rPr>
        <w:t>第七章  招标内容及技术规范</w:t>
      </w:r>
    </w:p>
    <w:p>
      <w:pPr>
        <w:spacing w:line="440" w:lineRule="exact"/>
        <w:rPr>
          <w:rFonts w:ascii="宋体" w:hAnsi="宋体" w:cs="宋体"/>
          <w:b/>
          <w:sz w:val="24"/>
          <w:szCs w:val="24"/>
        </w:rPr>
      </w:pPr>
    </w:p>
    <w:p>
      <w:pPr>
        <w:numPr>
          <w:ilvl w:val="0"/>
          <w:numId w:val="8"/>
        </w:numPr>
        <w:snapToGrid w:val="0"/>
        <w:spacing w:line="360" w:lineRule="auto"/>
        <w:jc w:val="left"/>
        <w:rPr>
          <w:rFonts w:ascii="宋体" w:hAnsi="宋体" w:cs="宋体"/>
          <w:b/>
          <w:sz w:val="24"/>
          <w:szCs w:val="24"/>
        </w:rPr>
      </w:pPr>
      <w:r>
        <w:rPr>
          <w:rFonts w:hint="eastAsia" w:ascii="宋体" w:hAnsi="宋体" w:cs="宋体"/>
          <w:b/>
          <w:sz w:val="24"/>
          <w:szCs w:val="24"/>
        </w:rPr>
        <w:t>招标内容一览表：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3"/>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53" w:type="pct"/>
            <w:noWrap/>
            <w:vAlign w:val="center"/>
          </w:tcPr>
          <w:p>
            <w:pPr>
              <w:spacing w:line="240" w:lineRule="exact"/>
              <w:jc w:val="center"/>
              <w:rPr>
                <w:rFonts w:ascii="宋体" w:hAnsi="宋体" w:cs="宋体"/>
                <w:szCs w:val="21"/>
              </w:rPr>
            </w:pPr>
            <w:r>
              <w:rPr>
                <w:rFonts w:hint="eastAsia" w:ascii="宋体" w:hAnsi="宋体" w:cs="宋体"/>
                <w:szCs w:val="21"/>
              </w:rPr>
              <w:t>物品名称</w:t>
            </w:r>
          </w:p>
        </w:tc>
        <w:tc>
          <w:tcPr>
            <w:tcW w:w="1846" w:type="pct"/>
            <w:noWrap/>
            <w:vAlign w:val="center"/>
          </w:tcPr>
          <w:p>
            <w:pPr>
              <w:spacing w:line="240" w:lineRule="exact"/>
              <w:jc w:val="center"/>
              <w:rPr>
                <w:rFonts w:ascii="宋体" w:hAnsi="宋体" w:cs="宋体"/>
                <w:szCs w:val="21"/>
              </w:rPr>
            </w:pPr>
            <w:r>
              <w:rPr>
                <w:rFonts w:hint="eastAsia" w:ascii="宋体" w:hAnsi="宋体" w:cs="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53" w:type="pct"/>
            <w:noWrap/>
            <w:vAlign w:val="center"/>
          </w:tcPr>
          <w:p>
            <w:pPr>
              <w:spacing w:line="240" w:lineRule="exact"/>
              <w:jc w:val="center"/>
              <w:rPr>
                <w:rFonts w:ascii="宋体" w:hAnsi="宋体" w:cs="宋体"/>
                <w:szCs w:val="21"/>
              </w:rPr>
            </w:pPr>
            <w:r>
              <w:rPr>
                <w:rFonts w:hint="eastAsia" w:ascii="宋体" w:hAnsi="宋体" w:cs="宋体"/>
                <w:szCs w:val="21"/>
              </w:rPr>
              <w:t>超高清4K腹腔镜系统</w:t>
            </w:r>
          </w:p>
        </w:tc>
        <w:tc>
          <w:tcPr>
            <w:tcW w:w="1846" w:type="pct"/>
            <w:noWrap/>
            <w:vAlign w:val="center"/>
          </w:tcPr>
          <w:p>
            <w:pPr>
              <w:spacing w:line="240" w:lineRule="exact"/>
              <w:jc w:val="center"/>
              <w:rPr>
                <w:rFonts w:ascii="宋体" w:hAnsi="宋体" w:cs="宋体"/>
                <w:szCs w:val="21"/>
              </w:rPr>
            </w:pPr>
            <w:r>
              <w:rPr>
                <w:rFonts w:hint="eastAsia" w:ascii="宋体" w:hAnsi="宋体" w:cs="宋体"/>
                <w:szCs w:val="21"/>
              </w:rPr>
              <w:t>1套</w:t>
            </w:r>
          </w:p>
        </w:tc>
      </w:tr>
    </w:tbl>
    <w:p>
      <w:pPr>
        <w:pStyle w:val="57"/>
        <w:spacing w:line="360" w:lineRule="auto"/>
        <w:ind w:firstLine="0" w:firstLineChars="0"/>
        <w:rPr>
          <w:rFonts w:ascii="宋体" w:hAnsi="宋体" w:cs="宋体"/>
          <w:b/>
          <w:sz w:val="24"/>
          <w:szCs w:val="24"/>
        </w:rPr>
      </w:pPr>
    </w:p>
    <w:p>
      <w:pPr>
        <w:pStyle w:val="57"/>
        <w:spacing w:line="360" w:lineRule="auto"/>
        <w:ind w:firstLine="0" w:firstLineChars="0"/>
        <w:rPr>
          <w:rFonts w:ascii="宋体" w:hAnsi="宋体" w:cs="宋体"/>
          <w:color w:val="000000"/>
          <w:sz w:val="24"/>
          <w:szCs w:val="24"/>
        </w:rPr>
      </w:pPr>
      <w:r>
        <w:rPr>
          <w:rFonts w:hint="eastAsia" w:ascii="宋体" w:hAnsi="宋体" w:cs="宋体"/>
          <w:b/>
          <w:sz w:val="24"/>
          <w:szCs w:val="24"/>
        </w:rPr>
        <w:t>二、技术参数</w:t>
      </w:r>
    </w:p>
    <w:p>
      <w:pPr>
        <w:pStyle w:val="57"/>
        <w:spacing w:line="360" w:lineRule="auto"/>
        <w:ind w:firstLine="482"/>
        <w:rPr>
          <w:rFonts w:hint="eastAsia" w:ascii="宋体" w:hAnsi="宋体" w:cs="宋体"/>
          <w:b/>
          <w:bCs/>
          <w:sz w:val="24"/>
          <w:szCs w:val="24"/>
        </w:rPr>
      </w:pPr>
      <w:r>
        <w:rPr>
          <w:rFonts w:hint="eastAsia" w:ascii="宋体" w:hAnsi="宋体" w:cs="宋体"/>
          <w:b/>
          <w:bCs/>
          <w:sz w:val="24"/>
          <w:szCs w:val="24"/>
        </w:rPr>
        <w:t>1、摄像主机与摄像头技术参数</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1.1、摄像系统主机具有4K分辨率超高清摄像头，具备4K图像处理性能，能够输出≥3840*2160P 60Hz动态图像；</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1.2、★采用触摸屏设计，屏幕尺寸≥7英寸，可在触摸屏上进行功能设置和常用参数显示；</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1.3摄像主机内置刻录功能，可进行静态和动态图像采集功能，并通过USB端口进行录像和图片输出，至少在主机上配置1个USB接口；</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1.4、★摄像主机具备USB移动设备识别功能，可读取移动设备并在触摸屏上显示移动设备状态和可录制剩余时间；</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1.5、能够同时具备4K和全高清输出能力，具备多种4K和全高清输出接口。</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1.6、★具备≥4个同时输出的4K超高清信号，信号输出方式应包括12G-SDI或HDMI。</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1.7、具备至少2个能够同时输出的全高清信号，信号输出方式包括3G-SDI或DVI；</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1.8、出厂预设手术模式≥5种，满足胸腹腔镜、宫腔镜、纤维镜等常见镜种的手术，另可通过菜单，调节其他设置，进行自定义操作；</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1.9、具备≥2倍电子变焦技术，可进行最小每次0.1倍逐级放大；</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1.10、摄像头采用CMOS成像技术；</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1.11、摄像头可连接目镜杯卡口为32mm直径的各类光学视管；</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1.12、★摄像头具备≥4个遥控按钮，可进行白平衡、拍照、录像、电子放大等功能设置；</w:t>
      </w:r>
    </w:p>
    <w:p>
      <w:pPr>
        <w:pStyle w:val="57"/>
        <w:spacing w:line="360" w:lineRule="auto"/>
        <w:ind w:firstLine="482"/>
        <w:rPr>
          <w:rFonts w:hint="eastAsia" w:ascii="宋体" w:hAnsi="宋体" w:cs="宋体"/>
          <w:b/>
          <w:bCs/>
          <w:sz w:val="24"/>
          <w:szCs w:val="24"/>
          <w:highlight w:val="none"/>
        </w:rPr>
      </w:pPr>
      <w:r>
        <w:rPr>
          <w:rFonts w:hint="eastAsia" w:ascii="宋体" w:hAnsi="宋体" w:cs="宋体"/>
          <w:b/>
          <w:bCs/>
          <w:sz w:val="24"/>
          <w:szCs w:val="24"/>
          <w:highlight w:val="none"/>
        </w:rPr>
        <w:t>2、LED冷光源技术参数</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2.1、整机输入电源电压： AC 100～220V±10%，50/60HZ；</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2.2、采用触摸屏设计，屏幕尺寸≥7英寸，可在触摸屏上进行常用参数调整；</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2.3、设备类型：Ⅰ类CF型，可用于直接接触心脏的手术；</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2.4、灯泡输入功率：≥135W；</w:t>
      </w:r>
    </w:p>
    <w:p>
      <w:pPr>
        <w:pStyle w:val="57"/>
        <w:spacing w:line="36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 xml:space="preserve">      2.5、冷光源300nm-1700nm波长范围内的辐射通量和光通量比值≤4mW/lm；</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2.6、冷光源的输出总光通量应≥1300lm；</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2.7、灯泡工作寿命≥20000小时；</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2.8、色温≥6600K；</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2.9、光输出最大中心照度≥3000000LX；</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2.10、可进行多级亮度调节；</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2.11、冷光源在正常运行时产生的最大噪音噪音≤50dB（A）。</w:t>
      </w:r>
    </w:p>
    <w:p>
      <w:pPr>
        <w:pStyle w:val="57"/>
        <w:spacing w:line="360" w:lineRule="auto"/>
        <w:ind w:firstLine="482"/>
        <w:rPr>
          <w:rFonts w:hint="eastAsia" w:ascii="宋体" w:hAnsi="宋体" w:cs="宋体"/>
          <w:b/>
          <w:bCs/>
          <w:sz w:val="24"/>
          <w:szCs w:val="24"/>
          <w:highlight w:val="none"/>
        </w:rPr>
      </w:pPr>
      <w:r>
        <w:rPr>
          <w:rFonts w:hint="eastAsia" w:ascii="宋体" w:hAnsi="宋体" w:cs="宋体"/>
          <w:b/>
          <w:bCs/>
          <w:sz w:val="24"/>
          <w:szCs w:val="24"/>
          <w:highlight w:val="none"/>
        </w:rPr>
        <w:t>3、高流速气腹机技术参数</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3.1、★流速≥45升/分钟，流量调节范围0.1-50L/min；</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3.2、压力范围：1mmHg-30mmHg，气压显示准确性±2mmHg；</w:t>
      </w:r>
      <w:r>
        <w:rPr>
          <w:rFonts w:hint="eastAsia" w:ascii="宋体" w:hAnsi="宋体" w:cs="宋体"/>
          <w:sz w:val="24"/>
          <w:szCs w:val="24"/>
          <w:highlight w:val="none"/>
        </w:rPr>
        <w:tab/>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3.3、★采用触摸屏设计，显示参数和故障信息，屏幕尺寸≥6英寸；</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3.4、具备少儿模式、成人模式、肥胖模式、后腹腔模式，亦可自定义模式；</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3.5、具有双重报警系统，气压过高、管道堵塞、供气不足、自检失败、温度过高等情况下，有声音提醒和文字提示；</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3.6、气压过高时，具有自动排气功能；</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3.7、★具有排烟功能，在负压吸力为0.04-0.06MPa的情况下，最大排烟流量≥8L/min；</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3.8、具有气腹机末端CO2气体加热功能，加热温度为37℃；</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3.9、★与影像链成像系统为同一制造商；</w:t>
      </w:r>
    </w:p>
    <w:p>
      <w:pPr>
        <w:pStyle w:val="57"/>
        <w:spacing w:line="360" w:lineRule="auto"/>
        <w:ind w:firstLine="482"/>
        <w:rPr>
          <w:rFonts w:hint="eastAsia" w:ascii="宋体" w:hAnsi="宋体" w:cs="宋体"/>
          <w:b/>
          <w:bCs/>
          <w:sz w:val="24"/>
          <w:szCs w:val="24"/>
          <w:highlight w:val="none"/>
        </w:rPr>
      </w:pPr>
      <w:r>
        <w:rPr>
          <w:rFonts w:hint="eastAsia" w:ascii="宋体" w:hAnsi="宋体" w:cs="宋体"/>
          <w:b/>
          <w:bCs/>
          <w:sz w:val="24"/>
          <w:szCs w:val="24"/>
          <w:highlight w:val="none"/>
        </w:rPr>
        <w:t>4、高清腹腔镜光学视管技术参数</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4.1、与摄像主机为同一制造商；</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4.2、直径10mm， 30度视野方向，视野角度≥80°，工作长度≥320mm；</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4.3、视场中心角分辨率≥7.0C/(°)；</w:t>
      </w:r>
    </w:p>
    <w:p>
      <w:pPr>
        <w:pStyle w:val="57"/>
        <w:spacing w:line="360" w:lineRule="auto"/>
        <w:ind w:firstLine="720" w:firstLineChars="300"/>
        <w:jc w:val="left"/>
        <w:rPr>
          <w:rFonts w:hint="eastAsia" w:ascii="宋体" w:hAnsi="宋体" w:cs="宋体"/>
          <w:sz w:val="24"/>
          <w:szCs w:val="24"/>
          <w:highlight w:val="none"/>
        </w:rPr>
      </w:pPr>
      <w:bookmarkStart w:id="33" w:name="_Hlk84708240"/>
      <w:r>
        <w:rPr>
          <w:rFonts w:hint="eastAsia" w:ascii="宋体" w:hAnsi="宋体" w:cs="宋体"/>
          <w:sz w:val="24"/>
          <w:szCs w:val="24"/>
          <w:highlight w:val="none"/>
        </w:rPr>
        <w:t>4.4、★</w:t>
      </w:r>
      <w:bookmarkEnd w:id="33"/>
      <w:r>
        <w:rPr>
          <w:rFonts w:hint="eastAsia" w:ascii="宋体" w:hAnsi="宋体" w:cs="宋体"/>
          <w:sz w:val="24"/>
          <w:szCs w:val="24"/>
          <w:highlight w:val="none"/>
        </w:rPr>
        <w:t>大景深光学视管，有效景深3mm-190mm；</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4.5、降低畸变影象设计，中心到边缘图像无扭曲；</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4.6、可进行高温高压、等温等离子等灭菌，高温高压灭菌次数≥400次。</w:t>
      </w:r>
    </w:p>
    <w:p>
      <w:pPr>
        <w:pStyle w:val="57"/>
        <w:spacing w:line="360" w:lineRule="auto"/>
        <w:ind w:firstLine="482"/>
        <w:rPr>
          <w:rFonts w:hint="eastAsia" w:ascii="宋体" w:hAnsi="宋体" w:cs="宋体"/>
          <w:b/>
          <w:bCs/>
          <w:sz w:val="24"/>
          <w:szCs w:val="24"/>
          <w:highlight w:val="none"/>
        </w:rPr>
      </w:pPr>
      <w:r>
        <w:rPr>
          <w:rFonts w:hint="eastAsia" w:ascii="宋体" w:hAnsi="宋体" w:cs="宋体"/>
          <w:b/>
          <w:bCs/>
          <w:sz w:val="24"/>
          <w:szCs w:val="24"/>
          <w:highlight w:val="none"/>
        </w:rPr>
        <w:t>5、55</w:t>
      </w:r>
      <w:r>
        <w:rPr>
          <w:rFonts w:hint="eastAsia" w:ascii="宋体" w:hAnsi="宋体" w:cs="宋体"/>
          <w:sz w:val="24"/>
          <w:szCs w:val="24"/>
          <w:highlight w:val="none"/>
        </w:rPr>
        <w:t>英</w:t>
      </w:r>
      <w:r>
        <w:rPr>
          <w:rFonts w:hint="eastAsia" w:ascii="宋体" w:hAnsi="宋体" w:cs="宋体"/>
          <w:b/>
          <w:bCs/>
          <w:sz w:val="24"/>
          <w:szCs w:val="24"/>
          <w:highlight w:val="none"/>
        </w:rPr>
        <w:t>寸医用监视器技术参数</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5.1、≥55英寸4K医用LCD监视器；</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5.2、支持≥3840*2160P 50/60Hz超高清4K显示；</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5.3、具有HDMI或12G-SDI的4K超高清接口；</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5.4、具有3G-SDI或DVI的全高清接口；</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5.5、支持环出功能，可通过监视器输出连接到其他同信号监视器；</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5.6、显示面板使用光学玻璃全贴合技术；</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5.7、最大背光亮度≥900cd/m</w:t>
      </w:r>
      <w:r>
        <w:rPr>
          <w:rFonts w:hint="eastAsia" w:ascii="宋体" w:hAnsi="宋体" w:cs="宋体"/>
          <w:sz w:val="32"/>
          <w:szCs w:val="32"/>
          <w:highlight w:val="none"/>
          <w:vertAlign w:val="superscript"/>
        </w:rPr>
        <w:t>2</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5.8、具有≥178°可视角度，满足手术室不同站位需求；</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5.9、显示器对比度≥1400:1；</w:t>
      </w:r>
    </w:p>
    <w:p>
      <w:pPr>
        <w:pStyle w:val="57"/>
        <w:spacing w:line="360" w:lineRule="auto"/>
        <w:ind w:firstLine="482"/>
        <w:rPr>
          <w:rFonts w:hint="eastAsia" w:ascii="宋体" w:hAnsi="宋体" w:cs="宋体"/>
          <w:b/>
          <w:bCs/>
          <w:sz w:val="24"/>
          <w:szCs w:val="24"/>
          <w:highlight w:val="none"/>
        </w:rPr>
      </w:pPr>
      <w:r>
        <w:rPr>
          <w:rFonts w:hint="eastAsia" w:ascii="宋体" w:hAnsi="宋体" w:cs="宋体"/>
          <w:b/>
          <w:bCs/>
          <w:sz w:val="24"/>
          <w:szCs w:val="24"/>
          <w:highlight w:val="none"/>
        </w:rPr>
        <w:t>6、30</w:t>
      </w:r>
      <w:r>
        <w:rPr>
          <w:rFonts w:hint="eastAsia" w:ascii="宋体" w:hAnsi="宋体" w:cs="宋体"/>
          <w:sz w:val="24"/>
          <w:szCs w:val="24"/>
          <w:highlight w:val="none"/>
        </w:rPr>
        <w:t>英</w:t>
      </w:r>
      <w:r>
        <w:rPr>
          <w:rFonts w:hint="eastAsia" w:ascii="宋体" w:hAnsi="宋体" w:cs="宋体"/>
          <w:b/>
          <w:bCs/>
          <w:sz w:val="24"/>
          <w:szCs w:val="24"/>
          <w:highlight w:val="none"/>
        </w:rPr>
        <w:t>寸医用监视器技术参数</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6.1、≥30英寸4K医用LCD监视器；</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 xml:space="preserve">6.2、支持≥3840*2160P </w:t>
      </w:r>
      <w:bookmarkStart w:id="34" w:name="OLE_LINK1"/>
      <w:bookmarkStart w:id="35" w:name="OLE_LINK2"/>
      <w:r>
        <w:rPr>
          <w:rFonts w:hint="eastAsia" w:ascii="宋体" w:hAnsi="宋体" w:cs="宋体"/>
          <w:sz w:val="24"/>
          <w:szCs w:val="24"/>
          <w:highlight w:val="none"/>
        </w:rPr>
        <w:t>50/60Hz</w:t>
      </w:r>
      <w:bookmarkEnd w:id="34"/>
      <w:bookmarkEnd w:id="35"/>
      <w:r>
        <w:rPr>
          <w:rFonts w:hint="eastAsia" w:ascii="宋体" w:hAnsi="宋体" w:cs="宋体"/>
          <w:sz w:val="24"/>
          <w:szCs w:val="24"/>
          <w:highlight w:val="none"/>
        </w:rPr>
        <w:t>超高清4K显示；</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6.3、具有HDMI或12G-SDI的4K超高清接口；</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6.4、具有3G-SDI或DVI的全高清接口；</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6.5、支持环出功能，可通过监视器输出连接到其他同信号监视器；</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6.6、显示面板使用光学玻璃全贴合技术；</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6.7、最大背光亮度≥900cd/m</w:t>
      </w:r>
      <w:r>
        <w:rPr>
          <w:rFonts w:hint="eastAsia" w:ascii="宋体" w:hAnsi="宋体" w:cs="宋体"/>
          <w:sz w:val="32"/>
          <w:szCs w:val="32"/>
          <w:highlight w:val="none"/>
          <w:vertAlign w:val="superscript"/>
        </w:rPr>
        <w:t>2</w:t>
      </w:r>
      <w:r>
        <w:rPr>
          <w:rFonts w:hint="eastAsia" w:ascii="宋体" w:hAnsi="宋体" w:cs="宋体"/>
          <w:sz w:val="24"/>
          <w:szCs w:val="24"/>
          <w:highlight w:val="none"/>
        </w:rPr>
        <w:t>；</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6.8、具有≥178°可视角度，满足手术室不同站位需求；</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6.9、显示器对比度≥1400:1；</w:t>
      </w:r>
    </w:p>
    <w:p>
      <w:pPr>
        <w:pStyle w:val="57"/>
        <w:spacing w:line="360" w:lineRule="auto"/>
        <w:ind w:firstLine="482"/>
        <w:rPr>
          <w:rFonts w:hint="eastAsia" w:ascii="宋体" w:hAnsi="宋体" w:cs="宋体"/>
          <w:b/>
          <w:bCs/>
          <w:sz w:val="24"/>
          <w:szCs w:val="24"/>
          <w:highlight w:val="none"/>
        </w:rPr>
      </w:pPr>
      <w:r>
        <w:rPr>
          <w:rFonts w:hint="eastAsia" w:ascii="宋体" w:hAnsi="宋体" w:cs="宋体"/>
          <w:b/>
          <w:bCs/>
          <w:sz w:val="24"/>
          <w:szCs w:val="24"/>
          <w:highlight w:val="none"/>
        </w:rPr>
        <w:t>7、其他技术参数</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7.1、同品牌医用台车一个和监视器支架1个；</w:t>
      </w:r>
    </w:p>
    <w:p>
      <w:pPr>
        <w:pStyle w:val="57"/>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7.2、台车可放置55寸医用4K医用监视器，节约手术室空间。</w:t>
      </w:r>
    </w:p>
    <w:p>
      <w:pPr>
        <w:spacing w:line="360" w:lineRule="auto"/>
        <w:rPr>
          <w:rFonts w:ascii="宋体" w:hAnsi="宋体" w:cs="宋体"/>
          <w:b/>
          <w:sz w:val="24"/>
          <w:szCs w:val="24"/>
          <w:highlight w:val="none"/>
        </w:rPr>
      </w:pPr>
    </w:p>
    <w:p>
      <w:pPr>
        <w:spacing w:line="360" w:lineRule="auto"/>
        <w:rPr>
          <w:rFonts w:ascii="宋体" w:hAnsi="宋体" w:cs="宋体"/>
          <w:b/>
          <w:sz w:val="24"/>
          <w:szCs w:val="24"/>
          <w:highlight w:val="none"/>
        </w:rPr>
      </w:pPr>
      <w:r>
        <w:rPr>
          <w:rFonts w:hint="eastAsia" w:ascii="宋体" w:hAnsi="宋体" w:cs="宋体"/>
          <w:b/>
          <w:sz w:val="24"/>
          <w:szCs w:val="24"/>
          <w:highlight w:val="none"/>
        </w:rPr>
        <w:t>三、商务要求</w:t>
      </w:r>
    </w:p>
    <w:p>
      <w:pPr>
        <w:adjustRightInd w:val="0"/>
        <w:snapToGrid w:val="0"/>
        <w:spacing w:line="360" w:lineRule="auto"/>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1、交货期、质量保修期及付款计划。</w:t>
      </w:r>
    </w:p>
    <w:p>
      <w:pPr>
        <w:spacing w:line="360" w:lineRule="auto"/>
        <w:ind w:firstLine="241" w:firstLineChars="100"/>
        <w:rPr>
          <w:rFonts w:ascii="宋体" w:hAnsi="宋体" w:cs="宋体"/>
          <w:bCs/>
          <w:sz w:val="24"/>
          <w:szCs w:val="24"/>
          <w:highlight w:val="none"/>
        </w:rPr>
      </w:pPr>
      <w:r>
        <w:rPr>
          <w:rFonts w:hint="eastAsia" w:ascii="宋体" w:hAnsi="宋体" w:cs="宋体"/>
          <w:b/>
          <w:sz w:val="24"/>
          <w:szCs w:val="24"/>
          <w:highlight w:val="none"/>
        </w:rPr>
        <w:t>*（1）交货期：</w:t>
      </w:r>
      <w:r>
        <w:rPr>
          <w:rFonts w:hint="eastAsia" w:ascii="宋体" w:hAnsi="宋体" w:cs="宋体"/>
          <w:bCs/>
          <w:sz w:val="24"/>
          <w:szCs w:val="24"/>
          <w:highlight w:val="none"/>
        </w:rPr>
        <w:t>接中标通知书后30个日历日内，全部安装调试完毕，交付采购人使用。</w:t>
      </w:r>
    </w:p>
    <w:p>
      <w:pPr>
        <w:spacing w:line="360" w:lineRule="auto"/>
        <w:ind w:firstLine="236" w:firstLineChars="98"/>
        <w:rPr>
          <w:rFonts w:ascii="宋体" w:hAnsi="宋体" w:cs="宋体"/>
          <w:b/>
          <w:sz w:val="24"/>
          <w:szCs w:val="24"/>
          <w:highlight w:val="none"/>
        </w:rPr>
      </w:pPr>
      <w:r>
        <w:rPr>
          <w:rFonts w:hint="eastAsia" w:ascii="宋体" w:hAnsi="宋体" w:cs="宋体"/>
          <w:b/>
          <w:sz w:val="24"/>
          <w:szCs w:val="24"/>
          <w:highlight w:val="none"/>
        </w:rPr>
        <w:t>*（2）质量保修期：</w:t>
      </w:r>
      <w:r>
        <w:rPr>
          <w:rFonts w:hint="eastAsia" w:ascii="宋体" w:hAnsi="宋体" w:cs="宋体"/>
          <w:sz w:val="24"/>
          <w:szCs w:val="22"/>
          <w:highlight w:val="none"/>
        </w:rPr>
        <w:t>自最终验收合格之日起质量保修期3年。</w:t>
      </w:r>
    </w:p>
    <w:p>
      <w:pPr>
        <w:spacing w:line="360" w:lineRule="auto"/>
        <w:ind w:firstLine="236" w:firstLineChars="98"/>
        <w:rPr>
          <w:rFonts w:ascii="宋体" w:hAnsi="宋体" w:cs="宋体"/>
          <w:b/>
          <w:sz w:val="24"/>
          <w:szCs w:val="24"/>
          <w:highlight w:val="none"/>
        </w:rPr>
      </w:pPr>
      <w:r>
        <w:rPr>
          <w:rFonts w:hint="eastAsia" w:ascii="宋体" w:hAnsi="宋体" w:cs="宋体"/>
          <w:b/>
          <w:sz w:val="24"/>
          <w:szCs w:val="24"/>
          <w:highlight w:val="none"/>
        </w:rPr>
        <w:t>*（3）付款计划：</w:t>
      </w:r>
    </w:p>
    <w:p>
      <w:pPr>
        <w:spacing w:line="380" w:lineRule="exact"/>
        <w:ind w:firstLine="240" w:firstLineChars="100"/>
        <w:rPr>
          <w:sz w:val="24"/>
          <w:highlight w:val="none"/>
        </w:rPr>
      </w:pPr>
      <w:r>
        <w:rPr>
          <w:rFonts w:hint="eastAsia"/>
          <w:sz w:val="24"/>
          <w:highlight w:val="none"/>
        </w:rPr>
        <w:t>1）验收合格后一个月内支付合同款的60%。</w:t>
      </w:r>
    </w:p>
    <w:p>
      <w:pPr>
        <w:spacing w:line="380" w:lineRule="exact"/>
        <w:ind w:firstLine="240" w:firstLineChars="100"/>
        <w:rPr>
          <w:sz w:val="24"/>
          <w:highlight w:val="none"/>
        </w:rPr>
      </w:pPr>
      <w:r>
        <w:rPr>
          <w:rFonts w:hint="eastAsia"/>
          <w:sz w:val="24"/>
          <w:highlight w:val="none"/>
        </w:rPr>
        <w:t>2）验收合格后三个月后支付合同款的30%。</w:t>
      </w:r>
    </w:p>
    <w:p>
      <w:pPr>
        <w:spacing w:line="360" w:lineRule="auto"/>
        <w:ind w:left="359" w:leftChars="114" w:hanging="120" w:hangingChars="50"/>
        <w:rPr>
          <w:sz w:val="24"/>
          <w:highlight w:val="none"/>
        </w:rPr>
      </w:pPr>
      <w:r>
        <w:rPr>
          <w:rFonts w:hint="eastAsia"/>
          <w:sz w:val="24"/>
          <w:highlight w:val="none"/>
        </w:rPr>
        <w:t>3）剩余10%作为质保金，质保1年后支付5%，质保期满后支付5%。</w:t>
      </w:r>
    </w:p>
    <w:p>
      <w:pPr>
        <w:spacing w:line="360" w:lineRule="auto"/>
        <w:ind w:left="359" w:leftChars="114" w:hanging="120" w:hangingChars="50"/>
        <w:rPr>
          <w:rFonts w:ascii="宋体" w:hAnsi="宋体" w:cs="宋体"/>
          <w:sz w:val="24"/>
          <w:szCs w:val="24"/>
          <w:highlight w:val="none"/>
        </w:rPr>
      </w:pPr>
      <w:r>
        <w:rPr>
          <w:rFonts w:hint="eastAsia" w:ascii="宋体" w:hAnsi="宋体" w:cs="宋体"/>
          <w:sz w:val="24"/>
          <w:szCs w:val="24"/>
          <w:highlight w:val="none"/>
        </w:rPr>
        <w:t>4）支付方式：银行转账。</w:t>
      </w:r>
    </w:p>
    <w:p>
      <w:pPr>
        <w:spacing w:line="360" w:lineRule="auto"/>
        <w:ind w:firstLine="240" w:firstLineChars="100"/>
        <w:rPr>
          <w:rFonts w:ascii="宋体" w:hAnsi="宋体" w:cs="宋体"/>
          <w:b/>
          <w:sz w:val="24"/>
          <w:szCs w:val="24"/>
          <w:highlight w:val="none"/>
        </w:rPr>
      </w:pPr>
      <w:r>
        <w:rPr>
          <w:rFonts w:hint="eastAsia" w:ascii="宋体" w:hAnsi="宋体" w:cs="宋体"/>
          <w:sz w:val="24"/>
          <w:szCs w:val="24"/>
          <w:highlight w:val="none"/>
        </w:rPr>
        <w:t>5）结算方式：供应商持验收书，增值税发票，中标通知书、供货合同，与采购人结算。</w:t>
      </w:r>
    </w:p>
    <w:p>
      <w:pPr>
        <w:spacing w:line="360" w:lineRule="auto"/>
        <w:ind w:firstLine="482" w:firstLineChars="200"/>
        <w:jc w:val="left"/>
        <w:rPr>
          <w:rFonts w:ascii="宋体" w:hAnsi="宋体" w:cs="宋体"/>
          <w:b/>
          <w:sz w:val="24"/>
          <w:szCs w:val="24"/>
          <w:highlight w:val="none"/>
        </w:rPr>
      </w:pPr>
    </w:p>
    <w:p>
      <w:pPr>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注：</w:t>
      </w:r>
    </w:p>
    <w:p>
      <w:pPr>
        <w:spacing w:line="360" w:lineRule="auto"/>
        <w:jc w:val="left"/>
        <w:rPr>
          <w:rFonts w:hint="eastAsia" w:ascii="宋体" w:hAnsi="宋体" w:eastAsia="宋体" w:cs="宋体"/>
          <w:b/>
          <w:bCs/>
          <w:kern w:val="0"/>
          <w:sz w:val="24"/>
          <w:szCs w:val="24"/>
          <w:highlight w:val="none"/>
        </w:rPr>
      </w:pPr>
      <w:r>
        <w:rPr>
          <w:rFonts w:hint="eastAsia" w:ascii="宋体" w:hAnsi="宋体" w:cs="宋体"/>
          <w:b/>
          <w:bCs/>
          <w:kern w:val="0"/>
          <w:sz w:val="24"/>
          <w:szCs w:val="24"/>
          <w:highlight w:val="none"/>
          <w:lang w:val="en-US" w:eastAsia="zh-CN"/>
        </w:rPr>
        <w:t>1、</w:t>
      </w:r>
      <w:r>
        <w:rPr>
          <w:rFonts w:hint="eastAsia" w:ascii="宋体" w:hAnsi="宋体" w:cs="宋体"/>
          <w:b/>
          <w:bCs/>
          <w:kern w:val="0"/>
          <w:sz w:val="24"/>
          <w:szCs w:val="24"/>
          <w:highlight w:val="none"/>
        </w:rPr>
        <w:t>技术参数中所标注的“</w:t>
      </w:r>
      <w:r>
        <w:rPr>
          <w:rFonts w:hint="eastAsia" w:ascii="宋体" w:hAnsi="宋体" w:cs="宋体"/>
          <w:sz w:val="24"/>
          <w:szCs w:val="24"/>
          <w:highlight w:val="none"/>
        </w:rPr>
        <w:t>★</w:t>
      </w:r>
      <w:r>
        <w:rPr>
          <w:rFonts w:hint="eastAsia" w:ascii="宋体" w:hAnsi="宋体" w:cs="宋体"/>
          <w:b/>
          <w:bCs/>
          <w:kern w:val="0"/>
          <w:sz w:val="24"/>
          <w:szCs w:val="24"/>
          <w:highlight w:val="none"/>
        </w:rPr>
        <w:t>”号项为重要技术条款，“</w:t>
      </w:r>
      <w:r>
        <w:rPr>
          <w:rFonts w:hint="eastAsia" w:ascii="宋体" w:hAnsi="宋体" w:cs="宋体"/>
          <w:sz w:val="24"/>
          <w:szCs w:val="24"/>
          <w:highlight w:val="none"/>
        </w:rPr>
        <w:t>★</w:t>
      </w:r>
      <w:r>
        <w:rPr>
          <w:rFonts w:hint="eastAsia" w:ascii="宋体" w:hAnsi="宋体" w:cs="宋体"/>
          <w:b/>
          <w:bCs/>
          <w:kern w:val="0"/>
          <w:sz w:val="24"/>
          <w:szCs w:val="24"/>
          <w:highlight w:val="none"/>
        </w:rPr>
        <w:t>”项指标偏离按招标</w:t>
      </w:r>
      <w:r>
        <w:rPr>
          <w:rFonts w:hint="eastAsia" w:ascii="宋体" w:hAnsi="宋体" w:eastAsia="宋体" w:cs="宋体"/>
          <w:b/>
          <w:bCs/>
          <w:kern w:val="0"/>
          <w:sz w:val="24"/>
          <w:szCs w:val="24"/>
          <w:highlight w:val="none"/>
        </w:rPr>
        <w:t>文件第八章评标方法“评审因素量化赋分表”中对应的打分标准进行评审，“★”项仅作为打分项，非废标条款。</w:t>
      </w:r>
    </w:p>
    <w:p>
      <w:pPr>
        <w:spacing w:line="360" w:lineRule="auto"/>
        <w:jc w:val="left"/>
        <w:rPr>
          <w:rFonts w:ascii="宋体" w:hAnsi="宋体" w:cs="宋体"/>
          <w:b/>
          <w:sz w:val="44"/>
          <w:szCs w:val="44"/>
        </w:rPr>
      </w:pPr>
      <w:r>
        <w:rPr>
          <w:rFonts w:hint="eastAsia" w:ascii="宋体" w:hAnsi="宋体" w:eastAsia="宋体" w:cs="宋体"/>
          <w:b/>
          <w:bCs/>
          <w:kern w:val="0"/>
          <w:sz w:val="24"/>
          <w:szCs w:val="24"/>
          <w:highlight w:val="none"/>
          <w:lang w:val="en-US" w:eastAsia="zh-CN"/>
        </w:rPr>
        <w:t>2、</w:t>
      </w:r>
      <w:r>
        <w:rPr>
          <w:rFonts w:hint="eastAsia" w:ascii="宋体" w:hAnsi="宋体" w:eastAsia="宋体" w:cs="宋体"/>
          <w:b/>
          <w:bCs/>
          <w:kern w:val="0"/>
          <w:sz w:val="24"/>
          <w:szCs w:val="24"/>
          <w:highlight w:val="none"/>
        </w:rPr>
        <w:t>以“*”号标记的条款为不允许偏离商务的实质性要求和条件，不满足实质性要求和条件的投标为无效投标。</w:t>
      </w:r>
      <w:r>
        <w:rPr>
          <w:rFonts w:hint="eastAsia" w:ascii="宋体" w:hAnsi="宋体" w:cs="宋体"/>
          <w:b/>
          <w:sz w:val="36"/>
          <w:szCs w:val="36"/>
          <w:highlight w:val="none"/>
        </w:rPr>
        <w:br w:type="page"/>
      </w:r>
      <w:r>
        <w:rPr>
          <w:rFonts w:hint="eastAsia" w:ascii="宋体" w:hAnsi="宋体" w:cs="宋体"/>
          <w:b/>
          <w:sz w:val="36"/>
          <w:szCs w:val="36"/>
          <w:lang w:val="en-US" w:eastAsia="zh-CN"/>
        </w:rPr>
        <w:t xml:space="preserve">              </w:t>
      </w:r>
      <w:r>
        <w:rPr>
          <w:rFonts w:hint="eastAsia" w:ascii="宋体" w:hAnsi="宋体" w:cs="宋体"/>
          <w:b/>
          <w:sz w:val="44"/>
          <w:szCs w:val="44"/>
        </w:rPr>
        <w:t>第八章 评标方法</w:t>
      </w:r>
    </w:p>
    <w:p>
      <w:pPr>
        <w:spacing w:line="350" w:lineRule="exact"/>
        <w:rPr>
          <w:rFonts w:ascii="宋体" w:hAnsi="宋体" w:cs="宋体"/>
          <w:b/>
          <w:spacing w:val="4"/>
          <w:sz w:val="24"/>
        </w:rPr>
      </w:pPr>
    </w:p>
    <w:p>
      <w:pPr>
        <w:spacing w:line="360" w:lineRule="auto"/>
        <w:rPr>
          <w:rFonts w:ascii="宋体" w:hAnsi="宋体" w:cs="宋体"/>
          <w:b/>
          <w:spacing w:val="4"/>
          <w:sz w:val="24"/>
        </w:rPr>
      </w:pPr>
      <w:r>
        <w:rPr>
          <w:rFonts w:hint="eastAsia" w:ascii="宋体" w:hAnsi="宋体" w:cs="宋体"/>
          <w:b/>
          <w:spacing w:val="4"/>
          <w:sz w:val="24"/>
        </w:rPr>
        <w:t>一．评标方法</w:t>
      </w:r>
    </w:p>
    <w:p>
      <w:pPr>
        <w:spacing w:line="360" w:lineRule="auto"/>
        <w:ind w:firstLine="480" w:firstLineChars="200"/>
        <w:rPr>
          <w:rFonts w:ascii="宋体" w:hAnsi="宋体" w:cs="宋体"/>
          <w:spacing w:val="4"/>
          <w:sz w:val="24"/>
        </w:rPr>
      </w:pPr>
      <w:r>
        <w:rPr>
          <w:rFonts w:hint="eastAsia" w:ascii="宋体" w:hAnsi="宋体" w:cs="宋体"/>
          <w:sz w:val="24"/>
          <w:szCs w:val="24"/>
        </w:rPr>
        <w:t>按照《中华人民共和国政府采购法》﹝2002﹞第68号、《中华人民共和国政府采购法实施条例》﹝2015﹞第658号和《政府采购服务和服务招标投标管理办法》﹝2017﹞第87号的规定，</w:t>
      </w:r>
      <w:r>
        <w:rPr>
          <w:rFonts w:hint="eastAsia" w:ascii="宋体" w:hAnsi="宋体" w:cs="宋体"/>
          <w:spacing w:val="4"/>
          <w:sz w:val="24"/>
        </w:rPr>
        <w:t>本次评标采用</w:t>
      </w:r>
      <w:r>
        <w:rPr>
          <w:rFonts w:hint="eastAsia" w:ascii="宋体" w:hAnsi="宋体" w:cs="宋体"/>
          <w:b/>
          <w:spacing w:val="4"/>
          <w:sz w:val="24"/>
        </w:rPr>
        <w:t>综合评分法，</w:t>
      </w:r>
      <w:r>
        <w:rPr>
          <w:rFonts w:hint="eastAsia" w:ascii="宋体" w:hAnsi="宋体" w:cs="宋体"/>
          <w:kern w:val="0"/>
          <w:sz w:val="24"/>
          <w:szCs w:val="24"/>
        </w:rPr>
        <w:t>投标文件满足招标文件全部实质性要求，且按照评审因素的量化指标评审得分最高的供应商为中标候选人。</w:t>
      </w:r>
    </w:p>
    <w:p>
      <w:pPr>
        <w:spacing w:line="360" w:lineRule="auto"/>
        <w:rPr>
          <w:rFonts w:ascii="宋体" w:hAnsi="宋体" w:cs="宋体"/>
          <w:b/>
          <w:spacing w:val="4"/>
          <w:sz w:val="24"/>
        </w:rPr>
      </w:pPr>
      <w:r>
        <w:rPr>
          <w:rFonts w:hint="eastAsia" w:ascii="宋体" w:hAnsi="宋体" w:cs="宋体"/>
          <w:b/>
          <w:spacing w:val="4"/>
          <w:sz w:val="24"/>
        </w:rPr>
        <w:t>二．评标委员会负责具体评标事务，并独立履行下列职责：</w:t>
      </w:r>
    </w:p>
    <w:p>
      <w:pPr>
        <w:spacing w:line="360" w:lineRule="auto"/>
        <w:ind w:firstLine="372" w:firstLineChars="150"/>
        <w:rPr>
          <w:rFonts w:ascii="宋体" w:hAnsi="宋体" w:cs="宋体"/>
          <w:spacing w:val="4"/>
          <w:sz w:val="24"/>
        </w:rPr>
      </w:pPr>
      <w:r>
        <w:rPr>
          <w:rFonts w:hint="eastAsia" w:ascii="宋体" w:hAnsi="宋体" w:cs="宋体"/>
          <w:spacing w:val="4"/>
          <w:sz w:val="24"/>
        </w:rPr>
        <w:t>（一）审查、评价投标文件是否符合招标文件的商务、技术等实质性要求；</w:t>
      </w:r>
    </w:p>
    <w:p>
      <w:pPr>
        <w:spacing w:line="360" w:lineRule="auto"/>
        <w:ind w:firstLine="372" w:firstLineChars="150"/>
        <w:rPr>
          <w:rFonts w:ascii="宋体" w:hAnsi="宋体" w:cs="宋体"/>
          <w:spacing w:val="4"/>
          <w:sz w:val="24"/>
        </w:rPr>
      </w:pPr>
      <w:r>
        <w:rPr>
          <w:rFonts w:hint="eastAsia" w:ascii="宋体" w:hAnsi="宋体" w:cs="宋体"/>
          <w:spacing w:val="4"/>
          <w:sz w:val="24"/>
        </w:rPr>
        <w:t>（二）要求供应商对投标文件有关事项作出澄清或者说明；</w:t>
      </w:r>
    </w:p>
    <w:p>
      <w:pPr>
        <w:spacing w:line="360" w:lineRule="auto"/>
        <w:ind w:firstLine="372" w:firstLineChars="150"/>
        <w:rPr>
          <w:rFonts w:ascii="宋体" w:hAnsi="宋体" w:cs="宋体"/>
          <w:spacing w:val="4"/>
          <w:sz w:val="24"/>
        </w:rPr>
      </w:pPr>
      <w:r>
        <w:rPr>
          <w:rFonts w:hint="eastAsia" w:ascii="宋体" w:hAnsi="宋体" w:cs="宋体"/>
          <w:spacing w:val="4"/>
          <w:sz w:val="24"/>
        </w:rPr>
        <w:t>（三）对投标文件进行比较和评价；</w:t>
      </w:r>
    </w:p>
    <w:p>
      <w:pPr>
        <w:spacing w:line="360" w:lineRule="auto"/>
        <w:ind w:firstLine="372" w:firstLineChars="150"/>
        <w:rPr>
          <w:rFonts w:ascii="宋体" w:hAnsi="宋体" w:cs="宋体"/>
          <w:spacing w:val="4"/>
          <w:sz w:val="24"/>
        </w:rPr>
      </w:pPr>
      <w:r>
        <w:rPr>
          <w:rFonts w:hint="eastAsia" w:ascii="宋体" w:hAnsi="宋体" w:cs="宋体"/>
          <w:spacing w:val="4"/>
          <w:sz w:val="24"/>
        </w:rPr>
        <w:t>（四）确定中标候选人名单，以及根据采购人委托直接确定中标人；</w:t>
      </w:r>
    </w:p>
    <w:p>
      <w:pPr>
        <w:spacing w:line="360" w:lineRule="auto"/>
        <w:ind w:firstLine="372" w:firstLineChars="150"/>
        <w:rPr>
          <w:rFonts w:ascii="宋体" w:hAnsi="宋体" w:cs="宋体"/>
          <w:spacing w:val="4"/>
          <w:sz w:val="24"/>
        </w:rPr>
      </w:pPr>
      <w:r>
        <w:rPr>
          <w:rFonts w:hint="eastAsia" w:ascii="宋体" w:hAnsi="宋体" w:cs="宋体"/>
          <w:spacing w:val="4"/>
          <w:sz w:val="24"/>
        </w:rPr>
        <w:t>（五）向采购人、采购代理机构或者有关部门报告评标中发现的违法行为。</w:t>
      </w:r>
    </w:p>
    <w:p>
      <w:pPr>
        <w:spacing w:line="360" w:lineRule="auto"/>
        <w:rPr>
          <w:rFonts w:ascii="宋体" w:hAnsi="宋体" w:cs="宋体"/>
          <w:b/>
          <w:spacing w:val="4"/>
          <w:sz w:val="24"/>
        </w:rPr>
      </w:pPr>
      <w:r>
        <w:rPr>
          <w:rFonts w:hint="eastAsia" w:ascii="宋体" w:hAnsi="宋体" w:cs="宋体"/>
          <w:b/>
          <w:spacing w:val="4"/>
          <w:sz w:val="24"/>
        </w:rPr>
        <w:t>三.供应商存在下列情况之一的，投标无效:</w:t>
      </w:r>
    </w:p>
    <w:p>
      <w:pPr>
        <w:spacing w:line="360" w:lineRule="auto"/>
        <w:ind w:firstLine="372" w:firstLineChars="150"/>
        <w:rPr>
          <w:rFonts w:ascii="宋体" w:hAnsi="宋体" w:cs="宋体"/>
          <w:spacing w:val="4"/>
          <w:sz w:val="24"/>
        </w:rPr>
      </w:pPr>
      <w:r>
        <w:rPr>
          <w:rFonts w:hint="eastAsia" w:ascii="宋体" w:hAnsi="宋体" w:cs="宋体"/>
          <w:spacing w:val="4"/>
          <w:sz w:val="24"/>
        </w:rPr>
        <w:t>（一）未按照招标文件的规定提交投标保证金的；</w:t>
      </w:r>
    </w:p>
    <w:p>
      <w:pPr>
        <w:spacing w:line="360" w:lineRule="auto"/>
        <w:ind w:firstLine="372" w:firstLineChars="150"/>
        <w:rPr>
          <w:rFonts w:ascii="宋体" w:hAnsi="宋体" w:cs="宋体"/>
          <w:spacing w:val="4"/>
          <w:sz w:val="24"/>
        </w:rPr>
      </w:pPr>
      <w:r>
        <w:rPr>
          <w:rFonts w:hint="eastAsia" w:ascii="宋体" w:hAnsi="宋体" w:cs="宋体"/>
          <w:spacing w:val="4"/>
          <w:sz w:val="24"/>
        </w:rPr>
        <w:t>（二）投标文件未按招标文件要求签署、盖章的；</w:t>
      </w:r>
    </w:p>
    <w:p>
      <w:pPr>
        <w:spacing w:line="360" w:lineRule="auto"/>
        <w:ind w:firstLine="372" w:firstLineChars="150"/>
        <w:rPr>
          <w:rFonts w:ascii="宋体" w:hAnsi="宋体" w:cs="宋体"/>
          <w:spacing w:val="4"/>
          <w:sz w:val="24"/>
        </w:rPr>
      </w:pPr>
      <w:r>
        <w:rPr>
          <w:rFonts w:hint="eastAsia" w:ascii="宋体" w:hAnsi="宋体" w:cs="宋体"/>
          <w:spacing w:val="4"/>
          <w:sz w:val="24"/>
        </w:rPr>
        <w:t>（三）不具备招标文件中规定的资格要求的；</w:t>
      </w:r>
    </w:p>
    <w:p>
      <w:pPr>
        <w:spacing w:line="360" w:lineRule="auto"/>
        <w:ind w:firstLine="372" w:firstLineChars="150"/>
        <w:rPr>
          <w:rFonts w:ascii="宋体" w:hAnsi="宋体" w:cs="宋体"/>
          <w:spacing w:val="4"/>
          <w:sz w:val="24"/>
        </w:rPr>
      </w:pPr>
      <w:r>
        <w:rPr>
          <w:rFonts w:hint="eastAsia" w:ascii="宋体" w:hAnsi="宋体" w:cs="宋体"/>
          <w:spacing w:val="4"/>
          <w:sz w:val="24"/>
        </w:rPr>
        <w:t>（四）报价超过招标文件中规定的预算金额或者最高限价的；</w:t>
      </w:r>
    </w:p>
    <w:p>
      <w:pPr>
        <w:spacing w:line="360" w:lineRule="auto"/>
        <w:ind w:firstLine="372" w:firstLineChars="150"/>
        <w:rPr>
          <w:rFonts w:ascii="宋体" w:hAnsi="宋体" w:cs="宋体"/>
          <w:spacing w:val="4"/>
          <w:sz w:val="24"/>
        </w:rPr>
      </w:pPr>
      <w:r>
        <w:rPr>
          <w:rFonts w:hint="eastAsia" w:ascii="宋体" w:hAnsi="宋体" w:cs="宋体"/>
          <w:spacing w:val="4"/>
          <w:sz w:val="24"/>
        </w:rPr>
        <w:t>（五）投标文件含有采购人不能接受的附加条件的；</w:t>
      </w:r>
    </w:p>
    <w:p>
      <w:pPr>
        <w:spacing w:line="360" w:lineRule="auto"/>
        <w:ind w:firstLine="372" w:firstLineChars="150"/>
        <w:rPr>
          <w:rFonts w:ascii="宋体" w:hAnsi="宋体" w:cs="宋体"/>
          <w:spacing w:val="4"/>
          <w:sz w:val="24"/>
        </w:rPr>
      </w:pPr>
      <w:r>
        <w:rPr>
          <w:rFonts w:hint="eastAsia" w:ascii="宋体" w:hAnsi="宋体" w:cs="宋体"/>
          <w:spacing w:val="4"/>
          <w:sz w:val="24"/>
        </w:rPr>
        <w:t>（六）单位负责人为同一人或者存在直接控股、管理关系的不同供应商，参加本项目同一合同项下的投标的；</w:t>
      </w:r>
    </w:p>
    <w:p>
      <w:pPr>
        <w:spacing w:line="360" w:lineRule="auto"/>
        <w:ind w:firstLine="372" w:firstLineChars="150"/>
        <w:rPr>
          <w:rFonts w:ascii="宋体" w:hAnsi="宋体" w:cs="宋体"/>
          <w:spacing w:val="4"/>
          <w:sz w:val="24"/>
        </w:rPr>
      </w:pPr>
      <w:r>
        <w:rPr>
          <w:rFonts w:hint="eastAsia" w:ascii="宋体" w:hAnsi="宋体" w:cs="宋体"/>
          <w:spacing w:val="4"/>
          <w:sz w:val="24"/>
        </w:rPr>
        <w:t>（七）为本采购项目提供整体设计、规范编制或者项目管理、监理、检测等服务的供应商，参加本采购项目投标的；</w:t>
      </w:r>
    </w:p>
    <w:p>
      <w:pPr>
        <w:spacing w:line="360" w:lineRule="auto"/>
        <w:ind w:firstLine="372" w:firstLineChars="150"/>
        <w:rPr>
          <w:rFonts w:ascii="宋体" w:hAnsi="宋体" w:cs="宋体"/>
          <w:spacing w:val="4"/>
          <w:sz w:val="24"/>
        </w:rPr>
      </w:pPr>
      <w:r>
        <w:rPr>
          <w:rFonts w:hint="eastAsia" w:ascii="宋体" w:hAnsi="宋体" w:cs="宋体"/>
          <w:spacing w:val="4"/>
          <w:sz w:val="24"/>
        </w:rPr>
        <w:t>（八）提供虚假投标文件和资料的。</w:t>
      </w:r>
    </w:p>
    <w:p>
      <w:pPr>
        <w:spacing w:line="360" w:lineRule="auto"/>
        <w:ind w:firstLine="372" w:firstLineChars="150"/>
        <w:rPr>
          <w:rFonts w:ascii="宋体" w:hAnsi="宋体" w:cs="宋体"/>
          <w:spacing w:val="4"/>
          <w:sz w:val="24"/>
        </w:rPr>
      </w:pPr>
      <w:r>
        <w:rPr>
          <w:rFonts w:hint="eastAsia" w:ascii="宋体" w:hAnsi="宋体" w:cs="宋体"/>
          <w:spacing w:val="4"/>
          <w:sz w:val="24"/>
        </w:rPr>
        <w:t>（九）法律、法规和招标文件规定的其他无效情形；</w:t>
      </w:r>
    </w:p>
    <w:p>
      <w:pPr>
        <w:spacing w:line="360" w:lineRule="auto"/>
        <w:rPr>
          <w:rFonts w:ascii="宋体" w:hAnsi="宋体" w:cs="宋体"/>
          <w:b/>
          <w:spacing w:val="4"/>
          <w:sz w:val="24"/>
        </w:rPr>
      </w:pPr>
      <w:r>
        <w:rPr>
          <w:rFonts w:hint="eastAsia" w:ascii="宋体" w:hAnsi="宋体" w:cs="宋体"/>
          <w:b/>
          <w:spacing w:val="4"/>
          <w:sz w:val="24"/>
        </w:rPr>
        <w:t>四.供应商有下列情形之一的，视为供应商串通投标，其投标无效：</w:t>
      </w:r>
    </w:p>
    <w:p>
      <w:pPr>
        <w:spacing w:line="360" w:lineRule="auto"/>
        <w:ind w:firstLine="372" w:firstLineChars="150"/>
        <w:rPr>
          <w:rFonts w:ascii="宋体" w:hAnsi="宋体" w:cs="宋体"/>
          <w:spacing w:val="4"/>
          <w:sz w:val="24"/>
        </w:rPr>
      </w:pPr>
      <w:r>
        <w:rPr>
          <w:rFonts w:hint="eastAsia" w:ascii="宋体" w:hAnsi="宋体" w:cs="宋体"/>
          <w:spacing w:val="4"/>
          <w:sz w:val="24"/>
        </w:rPr>
        <w:t>（一）不同供应商的投标文件由同一单位或者个人编制；</w:t>
      </w:r>
    </w:p>
    <w:p>
      <w:pPr>
        <w:spacing w:line="360" w:lineRule="auto"/>
        <w:ind w:firstLine="372" w:firstLineChars="150"/>
        <w:rPr>
          <w:rFonts w:ascii="宋体" w:hAnsi="宋体" w:cs="宋体"/>
          <w:spacing w:val="4"/>
          <w:sz w:val="24"/>
        </w:rPr>
      </w:pPr>
      <w:r>
        <w:rPr>
          <w:rFonts w:hint="eastAsia" w:ascii="宋体" w:hAnsi="宋体" w:cs="宋体"/>
          <w:spacing w:val="4"/>
          <w:sz w:val="24"/>
        </w:rPr>
        <w:t>（二）不同供应商委托同一单位或者个人办理投标事宜；</w:t>
      </w:r>
    </w:p>
    <w:p>
      <w:pPr>
        <w:spacing w:line="360" w:lineRule="auto"/>
        <w:ind w:firstLine="372" w:firstLineChars="150"/>
        <w:rPr>
          <w:rFonts w:ascii="宋体" w:hAnsi="宋体" w:cs="宋体"/>
          <w:spacing w:val="4"/>
          <w:sz w:val="24"/>
        </w:rPr>
      </w:pPr>
      <w:r>
        <w:rPr>
          <w:rFonts w:hint="eastAsia" w:ascii="宋体" w:hAnsi="宋体" w:cs="宋体"/>
          <w:spacing w:val="4"/>
          <w:sz w:val="24"/>
        </w:rPr>
        <w:t>（三）不同供应商的投标文件载明的项目管理成员或者联系人员为同一人；</w:t>
      </w:r>
    </w:p>
    <w:p>
      <w:pPr>
        <w:spacing w:line="360" w:lineRule="auto"/>
        <w:ind w:firstLine="372" w:firstLineChars="150"/>
        <w:rPr>
          <w:rFonts w:ascii="宋体" w:hAnsi="宋体" w:cs="宋体"/>
          <w:spacing w:val="4"/>
          <w:sz w:val="24"/>
        </w:rPr>
      </w:pPr>
      <w:r>
        <w:rPr>
          <w:rFonts w:hint="eastAsia" w:ascii="宋体" w:hAnsi="宋体" w:cs="宋体"/>
          <w:spacing w:val="4"/>
          <w:sz w:val="24"/>
        </w:rPr>
        <w:t>（四）不同供应商的投标文件异常一致或者投标报价呈规律性差异；</w:t>
      </w:r>
    </w:p>
    <w:p>
      <w:pPr>
        <w:spacing w:line="360" w:lineRule="auto"/>
        <w:ind w:firstLine="372" w:firstLineChars="150"/>
        <w:rPr>
          <w:rFonts w:ascii="宋体" w:hAnsi="宋体" w:cs="宋体"/>
          <w:spacing w:val="4"/>
          <w:sz w:val="24"/>
        </w:rPr>
      </w:pPr>
      <w:r>
        <w:rPr>
          <w:rFonts w:hint="eastAsia" w:ascii="宋体" w:hAnsi="宋体" w:cs="宋体"/>
          <w:spacing w:val="4"/>
          <w:sz w:val="24"/>
        </w:rPr>
        <w:t>（五）不同供应商的投标文件相互混装；</w:t>
      </w:r>
    </w:p>
    <w:p>
      <w:pPr>
        <w:spacing w:line="360" w:lineRule="auto"/>
        <w:ind w:firstLine="372" w:firstLineChars="150"/>
        <w:rPr>
          <w:rFonts w:ascii="宋体" w:hAnsi="宋体" w:cs="宋体"/>
          <w:spacing w:val="4"/>
          <w:sz w:val="24"/>
        </w:rPr>
      </w:pPr>
      <w:r>
        <w:rPr>
          <w:rFonts w:hint="eastAsia" w:ascii="宋体" w:hAnsi="宋体" w:cs="宋体"/>
          <w:spacing w:val="4"/>
          <w:sz w:val="24"/>
        </w:rPr>
        <w:t>（六）不同供应商的投标保证金从同一单位或者个人的账户转出。</w:t>
      </w:r>
    </w:p>
    <w:p>
      <w:pPr>
        <w:spacing w:line="360" w:lineRule="auto"/>
        <w:rPr>
          <w:rFonts w:ascii="宋体" w:hAnsi="宋体" w:cs="宋体"/>
          <w:b/>
          <w:spacing w:val="4"/>
          <w:sz w:val="24"/>
        </w:rPr>
      </w:pPr>
      <w:r>
        <w:rPr>
          <w:rFonts w:hint="eastAsia" w:ascii="宋体" w:hAnsi="宋体" w:cs="宋体"/>
          <w:b/>
          <w:spacing w:val="4"/>
          <w:sz w:val="24"/>
        </w:rPr>
        <w:t>三. 评标程序</w:t>
      </w:r>
    </w:p>
    <w:p>
      <w:pPr>
        <w:spacing w:line="360" w:lineRule="auto"/>
        <w:ind w:firstLine="496" w:firstLineChars="200"/>
        <w:rPr>
          <w:rFonts w:ascii="宋体" w:hAnsi="宋体" w:cs="宋体"/>
          <w:spacing w:val="4"/>
          <w:sz w:val="24"/>
        </w:rPr>
      </w:pPr>
      <w:r>
        <w:rPr>
          <w:rFonts w:hint="eastAsia" w:ascii="宋体" w:hAnsi="宋体" w:cs="宋体"/>
          <w:spacing w:val="4"/>
          <w:sz w:val="24"/>
        </w:rPr>
        <w:t>1、投标文件的审查</w:t>
      </w:r>
    </w:p>
    <w:p>
      <w:pPr>
        <w:spacing w:line="360" w:lineRule="auto"/>
        <w:ind w:left="959" w:leftChars="228" w:hanging="480" w:hangingChars="200"/>
        <w:rPr>
          <w:rFonts w:ascii="宋体" w:hAnsi="宋体" w:cs="宋体"/>
          <w:kern w:val="0"/>
          <w:sz w:val="24"/>
          <w:szCs w:val="24"/>
        </w:rPr>
      </w:pPr>
      <w:r>
        <w:rPr>
          <w:rFonts w:hint="eastAsia" w:ascii="宋体" w:hAnsi="宋体" w:cs="宋体"/>
          <w:sz w:val="24"/>
          <w:szCs w:val="24"/>
        </w:rPr>
        <w:t>1.1</w:t>
      </w:r>
      <w:r>
        <w:rPr>
          <w:rFonts w:hint="eastAsia" w:ascii="宋体" w:hAnsi="宋体" w:cs="宋体"/>
          <w:kern w:val="0"/>
          <w:sz w:val="24"/>
          <w:szCs w:val="24"/>
        </w:rPr>
        <w:t>评标委员会对符合资格的供应商的投标文件进行符合性审查，以确定其是否满足招标文件的商务、技术等实质性要求。</w:t>
      </w:r>
    </w:p>
    <w:p>
      <w:pPr>
        <w:spacing w:line="360" w:lineRule="auto"/>
        <w:ind w:firstLine="480" w:firstLineChars="200"/>
        <w:rPr>
          <w:rFonts w:ascii="宋体" w:hAnsi="宋体"/>
          <w:sz w:val="24"/>
          <w:szCs w:val="24"/>
        </w:rPr>
      </w:pPr>
      <w:r>
        <w:rPr>
          <w:rFonts w:hint="eastAsia" w:ascii="宋体" w:hAnsi="宋体"/>
          <w:sz w:val="24"/>
          <w:szCs w:val="24"/>
        </w:rPr>
        <w:t>1.2符合性检查</w:t>
      </w:r>
    </w:p>
    <w:p>
      <w:pPr>
        <w:spacing w:line="360" w:lineRule="auto"/>
        <w:ind w:left="1" w:firstLine="480" w:firstLineChars="200"/>
        <w:rPr>
          <w:rFonts w:ascii="宋体" w:hAnsi="宋体"/>
          <w:spacing w:val="4"/>
          <w:sz w:val="24"/>
          <w:szCs w:val="24"/>
        </w:rPr>
      </w:pPr>
      <w:r>
        <w:rPr>
          <w:rFonts w:hint="eastAsia" w:ascii="宋体" w:hAnsi="宋体"/>
          <w:sz w:val="24"/>
          <w:szCs w:val="24"/>
        </w:rPr>
        <w:t>1.2.1</w:t>
      </w:r>
      <w:r>
        <w:rPr>
          <w:rFonts w:hint="eastAsia" w:ascii="宋体" w:hAnsi="宋体"/>
          <w:spacing w:val="4"/>
          <w:sz w:val="24"/>
          <w:szCs w:val="24"/>
        </w:rPr>
        <w:t>投标文件的完整性审查。</w:t>
      </w:r>
    </w:p>
    <w:p>
      <w:pPr>
        <w:spacing w:line="360" w:lineRule="auto"/>
        <w:ind w:left="17" w:firstLine="496" w:firstLineChars="200"/>
        <w:rPr>
          <w:rFonts w:ascii="宋体" w:hAnsi="宋体"/>
          <w:spacing w:val="4"/>
          <w:sz w:val="24"/>
          <w:szCs w:val="24"/>
        </w:rPr>
      </w:pPr>
      <w:r>
        <w:rPr>
          <w:rFonts w:hint="eastAsia" w:ascii="宋体" w:hAnsi="宋体"/>
          <w:spacing w:val="4"/>
          <w:sz w:val="24"/>
          <w:szCs w:val="24"/>
        </w:rPr>
        <w:t>1.2.1.1投标文件是否按照招标文件要求的格式编写；</w:t>
      </w:r>
    </w:p>
    <w:p>
      <w:pPr>
        <w:spacing w:line="360" w:lineRule="auto"/>
        <w:ind w:left="17" w:firstLine="496" w:firstLineChars="200"/>
        <w:rPr>
          <w:rFonts w:ascii="宋体" w:hAnsi="宋体"/>
          <w:spacing w:val="4"/>
          <w:sz w:val="24"/>
          <w:szCs w:val="24"/>
        </w:rPr>
      </w:pPr>
      <w:r>
        <w:rPr>
          <w:rFonts w:hint="eastAsia" w:ascii="宋体" w:hAnsi="宋体"/>
          <w:spacing w:val="4"/>
          <w:sz w:val="24"/>
          <w:szCs w:val="24"/>
        </w:rPr>
        <w:t xml:space="preserve">1.2.1.2投标报价内容是否有重大缺漏项。 </w:t>
      </w:r>
    </w:p>
    <w:p>
      <w:pPr>
        <w:spacing w:line="360" w:lineRule="auto"/>
        <w:ind w:left="17" w:firstLine="496" w:firstLineChars="200"/>
        <w:rPr>
          <w:rFonts w:ascii="宋体" w:hAnsi="宋体"/>
          <w:spacing w:val="4"/>
          <w:sz w:val="24"/>
          <w:szCs w:val="24"/>
        </w:rPr>
      </w:pPr>
      <w:r>
        <w:rPr>
          <w:rFonts w:hint="eastAsia" w:ascii="宋体" w:hAnsi="宋体"/>
          <w:spacing w:val="4"/>
          <w:sz w:val="24"/>
          <w:szCs w:val="24"/>
        </w:rPr>
        <w:t>1.2.2投标响应文件的有效性审查。</w:t>
      </w:r>
    </w:p>
    <w:p>
      <w:pPr>
        <w:spacing w:line="360" w:lineRule="auto"/>
        <w:ind w:left="17" w:firstLine="496" w:firstLineChars="200"/>
        <w:rPr>
          <w:rFonts w:ascii="宋体" w:hAnsi="宋体"/>
          <w:spacing w:val="4"/>
          <w:sz w:val="24"/>
          <w:szCs w:val="24"/>
        </w:rPr>
      </w:pPr>
      <w:r>
        <w:rPr>
          <w:rFonts w:hint="eastAsia" w:ascii="宋体" w:hAnsi="宋体"/>
          <w:spacing w:val="4"/>
          <w:sz w:val="24"/>
          <w:szCs w:val="24"/>
        </w:rPr>
        <w:t>1.2.2.1投标响应文件的签署、加盖印章是否有效。</w:t>
      </w:r>
    </w:p>
    <w:p>
      <w:pPr>
        <w:spacing w:line="360" w:lineRule="auto"/>
        <w:ind w:left="17" w:firstLine="496" w:firstLineChars="200"/>
        <w:rPr>
          <w:rFonts w:ascii="宋体" w:hAnsi="宋体"/>
          <w:spacing w:val="4"/>
          <w:sz w:val="24"/>
          <w:szCs w:val="24"/>
        </w:rPr>
      </w:pPr>
      <w:r>
        <w:rPr>
          <w:rFonts w:hint="eastAsia" w:ascii="宋体" w:hAnsi="宋体"/>
          <w:spacing w:val="4"/>
          <w:sz w:val="24"/>
          <w:szCs w:val="24"/>
        </w:rPr>
        <w:t>1.2.3投标文件的响应性审查。</w:t>
      </w:r>
    </w:p>
    <w:p>
      <w:pPr>
        <w:spacing w:line="360" w:lineRule="auto"/>
        <w:ind w:left="17" w:firstLine="496" w:firstLineChars="200"/>
        <w:rPr>
          <w:rFonts w:ascii="宋体" w:hAnsi="宋体"/>
          <w:spacing w:val="4"/>
          <w:sz w:val="24"/>
          <w:szCs w:val="24"/>
        </w:rPr>
      </w:pPr>
      <w:r>
        <w:rPr>
          <w:rFonts w:hint="eastAsia" w:ascii="宋体" w:hAnsi="宋体"/>
          <w:spacing w:val="4"/>
          <w:sz w:val="24"/>
          <w:szCs w:val="24"/>
        </w:rPr>
        <w:t>1.2.3.1投标报价是否超过采购预算；</w:t>
      </w:r>
    </w:p>
    <w:p>
      <w:pPr>
        <w:spacing w:line="360" w:lineRule="auto"/>
        <w:ind w:left="1" w:firstLine="505" w:firstLineChars="204"/>
        <w:rPr>
          <w:rFonts w:ascii="宋体" w:hAnsi="宋体"/>
          <w:spacing w:val="4"/>
          <w:sz w:val="24"/>
          <w:szCs w:val="24"/>
        </w:rPr>
      </w:pPr>
      <w:r>
        <w:rPr>
          <w:rFonts w:hint="eastAsia" w:ascii="宋体" w:hAnsi="宋体"/>
          <w:spacing w:val="4"/>
          <w:sz w:val="24"/>
          <w:szCs w:val="24"/>
        </w:rPr>
        <w:t>1.2.3.2投标报价是否低于成本价，涉嫌不正当竞争；</w:t>
      </w:r>
    </w:p>
    <w:p>
      <w:pPr>
        <w:spacing w:line="360" w:lineRule="auto"/>
        <w:ind w:left="744" w:leftChars="236" w:hanging="248" w:hangingChars="100"/>
        <w:rPr>
          <w:rFonts w:ascii="宋体" w:hAnsi="宋体"/>
          <w:spacing w:val="4"/>
          <w:sz w:val="24"/>
          <w:szCs w:val="24"/>
        </w:rPr>
      </w:pPr>
      <w:r>
        <w:rPr>
          <w:rFonts w:hint="eastAsia" w:ascii="宋体" w:hAnsi="宋体"/>
          <w:spacing w:val="4"/>
          <w:sz w:val="24"/>
          <w:szCs w:val="24"/>
        </w:rPr>
        <w:t>1.2.3.3投标报价有效期是否符合招标文件的要求；</w:t>
      </w:r>
    </w:p>
    <w:p>
      <w:pPr>
        <w:spacing w:line="360" w:lineRule="auto"/>
        <w:ind w:left="975" w:leftChars="228" w:hanging="496" w:hangingChars="200"/>
        <w:rPr>
          <w:rFonts w:ascii="宋体" w:hAnsi="宋体"/>
          <w:spacing w:val="4"/>
          <w:sz w:val="24"/>
          <w:szCs w:val="24"/>
        </w:rPr>
      </w:pPr>
      <w:r>
        <w:rPr>
          <w:rFonts w:hint="eastAsia" w:ascii="宋体" w:hAnsi="宋体"/>
          <w:spacing w:val="4"/>
          <w:sz w:val="24"/>
          <w:szCs w:val="24"/>
        </w:rPr>
        <w:t>1.2.3.4投标文件内容是否符合国家法律法规，符合第七章“招标内容及技术规范”的要求及规定。</w:t>
      </w:r>
    </w:p>
    <w:p>
      <w:pPr>
        <w:spacing w:line="360" w:lineRule="auto"/>
        <w:ind w:left="959" w:leftChars="228" w:hanging="480" w:hangingChars="200"/>
        <w:rPr>
          <w:rFonts w:ascii="宋体" w:hAnsi="宋体" w:cs="宋体"/>
          <w:kern w:val="0"/>
          <w:sz w:val="24"/>
          <w:szCs w:val="24"/>
        </w:rPr>
      </w:pPr>
      <w:r>
        <w:rPr>
          <w:rFonts w:hint="eastAsia" w:ascii="宋体" w:hAnsi="宋体" w:cs="宋体"/>
          <w:kern w:val="0"/>
          <w:sz w:val="24"/>
          <w:szCs w:val="24"/>
        </w:rPr>
        <w:t>1.3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2、相同品牌产品投标的处理：</w:t>
      </w:r>
    </w:p>
    <w:p>
      <w:pPr>
        <w:spacing w:line="360" w:lineRule="auto"/>
        <w:ind w:left="535" w:leftChars="255" w:firstLine="480" w:firstLineChars="200"/>
        <w:rPr>
          <w:rFonts w:ascii="宋体" w:hAnsi="宋体" w:cs="宋体"/>
          <w:sz w:val="24"/>
          <w:szCs w:val="24"/>
        </w:rPr>
      </w:pPr>
      <w:r>
        <w:rPr>
          <w:rFonts w:hint="eastAsia" w:ascii="宋体" w:hAnsi="宋体" w:cs="宋体"/>
          <w:sz w:val="24"/>
          <w:szCs w:val="24"/>
        </w:rPr>
        <w:t>提供相同品牌产品且通过资格审查、符合性审查的不同供应商参加同一包（标段）投标的，按一家供应商计算，评审后得分最高的同品牌供应商获得中标人推荐资格；评审得分相同的，由采购人自行确定一个供应商获得中标人推荐资格，其他同品牌供应商不作为中标候选人。</w:t>
      </w:r>
    </w:p>
    <w:p>
      <w:pPr>
        <w:spacing w:line="360" w:lineRule="auto"/>
        <w:ind w:left="535" w:leftChars="255" w:firstLine="480" w:firstLineChars="200"/>
        <w:rPr>
          <w:rFonts w:ascii="宋体" w:hAnsi="宋体" w:cs="宋体"/>
          <w:sz w:val="24"/>
          <w:szCs w:val="24"/>
        </w:rPr>
      </w:pPr>
      <w:r>
        <w:rPr>
          <w:rFonts w:hint="eastAsia" w:ascii="宋体" w:hAnsi="宋体" w:cs="宋体"/>
          <w:sz w:val="24"/>
          <w:szCs w:val="24"/>
        </w:rPr>
        <w:t>在第六章招标内容招 标内容一览表中载明核心产品，供应商提供的核心产品中只要有1 个核心产品的品牌相同，相关供应商将被认定为属于提供相同品牌产品，按以上规定处理。</w:t>
      </w:r>
    </w:p>
    <w:p>
      <w:pPr>
        <w:spacing w:line="360" w:lineRule="auto"/>
        <w:ind w:left="1103" w:leftChars="171" w:hanging="744" w:hangingChars="300"/>
        <w:rPr>
          <w:rFonts w:ascii="宋体" w:hAnsi="宋体" w:cs="宋体"/>
          <w:spacing w:val="4"/>
          <w:sz w:val="24"/>
        </w:rPr>
      </w:pPr>
      <w:r>
        <w:rPr>
          <w:rFonts w:hint="eastAsia" w:ascii="宋体" w:hAnsi="宋体" w:cs="宋体"/>
          <w:spacing w:val="4"/>
          <w:sz w:val="24"/>
        </w:rPr>
        <w:t>3、澄清有关问题：</w:t>
      </w:r>
    </w:p>
    <w:p>
      <w:pPr>
        <w:spacing w:line="360" w:lineRule="auto"/>
        <w:ind w:left="992" w:leftChars="177" w:hanging="620" w:hangingChars="250"/>
        <w:rPr>
          <w:rFonts w:ascii="宋体" w:hAnsi="宋体" w:cs="宋体"/>
          <w:kern w:val="0"/>
          <w:sz w:val="24"/>
          <w:szCs w:val="24"/>
        </w:rPr>
      </w:pPr>
      <w:r>
        <w:rPr>
          <w:rFonts w:hint="eastAsia" w:ascii="宋体" w:hAnsi="宋体" w:cs="宋体"/>
          <w:spacing w:val="4"/>
          <w:sz w:val="24"/>
        </w:rPr>
        <w:t>3.1</w:t>
      </w:r>
      <w:r>
        <w:rPr>
          <w:rFonts w:hint="eastAsia" w:ascii="宋体" w:hAnsi="宋体" w:cs="宋体"/>
          <w:kern w:val="0"/>
          <w:sz w:val="24"/>
          <w:szCs w:val="24"/>
        </w:rPr>
        <w:t>对于投标文件中含义不明确、同类问题表述不一致或者有明显文字和计算错误的内容，评标委员会以书面形式要求供应商做出必要的澄清、说明或者补正。供应商的澄清、说明或者补正应当采用书面形式，由法定代表人或其授权的代表签署全名。供应商的澄清、说明或者补正不得超出投标文件的范围或者改变投标文件的实质性内容。</w:t>
      </w:r>
    </w:p>
    <w:p>
      <w:pPr>
        <w:spacing w:line="360" w:lineRule="auto"/>
        <w:ind w:firstLine="372" w:firstLineChars="150"/>
        <w:rPr>
          <w:rFonts w:ascii="宋体" w:hAnsi="宋体" w:cs="宋体"/>
          <w:kern w:val="0"/>
          <w:sz w:val="24"/>
          <w:szCs w:val="24"/>
        </w:rPr>
      </w:pPr>
      <w:r>
        <w:rPr>
          <w:rFonts w:hint="eastAsia" w:ascii="宋体" w:hAnsi="宋体" w:cs="宋体"/>
          <w:spacing w:val="4"/>
          <w:sz w:val="24"/>
        </w:rPr>
        <w:t>3.2</w:t>
      </w:r>
      <w:r>
        <w:rPr>
          <w:rFonts w:hint="eastAsia" w:ascii="宋体" w:hAnsi="宋体" w:cs="宋体"/>
          <w:kern w:val="0"/>
          <w:sz w:val="24"/>
          <w:szCs w:val="24"/>
        </w:rPr>
        <w:t>投标文件报价出现前后不一致的，按照下列规定修正：</w:t>
      </w:r>
    </w:p>
    <w:p>
      <w:pPr>
        <w:spacing w:line="360" w:lineRule="auto"/>
        <w:ind w:left="1267" w:leftChars="249" w:hanging="744" w:hangingChars="300"/>
        <w:rPr>
          <w:rFonts w:ascii="宋体" w:hAnsi="宋体" w:cs="宋体"/>
          <w:spacing w:val="4"/>
          <w:sz w:val="24"/>
        </w:rPr>
      </w:pPr>
      <w:r>
        <w:rPr>
          <w:rFonts w:hint="eastAsia" w:ascii="宋体" w:hAnsi="宋体" w:cs="宋体"/>
          <w:spacing w:val="4"/>
          <w:sz w:val="24"/>
        </w:rPr>
        <w:t>（一）投标文件中开标一览表（报价表）内容与投标文件中相应内容不一致的，以开标一览表（报价表）为准；</w:t>
      </w:r>
    </w:p>
    <w:p>
      <w:pPr>
        <w:spacing w:line="360" w:lineRule="auto"/>
        <w:ind w:left="523" w:leftChars="249"/>
        <w:rPr>
          <w:rFonts w:ascii="宋体" w:hAnsi="宋体" w:cs="宋体"/>
          <w:spacing w:val="4"/>
          <w:sz w:val="24"/>
        </w:rPr>
      </w:pPr>
      <w:r>
        <w:rPr>
          <w:rFonts w:hint="eastAsia" w:ascii="宋体" w:hAnsi="宋体" w:cs="宋体"/>
          <w:spacing w:val="4"/>
          <w:sz w:val="24"/>
        </w:rPr>
        <w:t>（二）大写金额和小写金额不一致的，以大写金额为准；</w:t>
      </w:r>
    </w:p>
    <w:p>
      <w:pPr>
        <w:spacing w:line="360" w:lineRule="auto"/>
        <w:ind w:left="1267" w:leftChars="249" w:hanging="744" w:hangingChars="300"/>
        <w:rPr>
          <w:rFonts w:ascii="宋体" w:hAnsi="宋体" w:cs="宋体"/>
          <w:spacing w:val="4"/>
          <w:sz w:val="24"/>
        </w:rPr>
      </w:pPr>
      <w:r>
        <w:rPr>
          <w:rFonts w:hint="eastAsia" w:ascii="宋体" w:hAnsi="宋体" w:cs="宋体"/>
          <w:spacing w:val="4"/>
          <w:sz w:val="24"/>
        </w:rPr>
        <w:t>（三）单价金额小数点或者百分比有明显错位的，以开标一览表的总价为准，并修改单价；</w:t>
      </w:r>
    </w:p>
    <w:p>
      <w:pPr>
        <w:spacing w:line="360" w:lineRule="auto"/>
        <w:ind w:left="523" w:leftChars="249"/>
        <w:rPr>
          <w:rFonts w:ascii="宋体" w:hAnsi="宋体" w:cs="宋体"/>
          <w:spacing w:val="4"/>
          <w:sz w:val="24"/>
        </w:rPr>
      </w:pPr>
      <w:r>
        <w:rPr>
          <w:rFonts w:hint="eastAsia" w:ascii="宋体" w:hAnsi="宋体" w:cs="宋体"/>
          <w:spacing w:val="4"/>
          <w:sz w:val="24"/>
        </w:rPr>
        <w:t>（四）总价金额与按单价汇总金额不一致的，以单价金额计算结果为准。</w:t>
      </w:r>
    </w:p>
    <w:p>
      <w:pPr>
        <w:spacing w:line="360" w:lineRule="auto"/>
        <w:ind w:left="718" w:leftChars="342" w:firstLine="480" w:firstLineChars="200"/>
        <w:rPr>
          <w:rFonts w:ascii="宋体" w:hAnsi="宋体" w:cs="宋体"/>
          <w:spacing w:val="4"/>
          <w:sz w:val="24"/>
        </w:rPr>
      </w:pPr>
      <w:r>
        <w:rPr>
          <w:rFonts w:hint="eastAsia" w:ascii="宋体" w:hAnsi="宋体" w:cs="宋体"/>
          <w:kern w:val="0"/>
          <w:sz w:val="24"/>
          <w:szCs w:val="24"/>
        </w:rPr>
        <w:t>同时出现两种以上不一致的，按照前款规定的顺序修正。修正后的报价经供应商书面确认后产生约束力，供应商不确认的，其投标无效。</w:t>
      </w:r>
    </w:p>
    <w:p>
      <w:pPr>
        <w:spacing w:line="360" w:lineRule="auto"/>
        <w:ind w:firstLine="496" w:firstLineChars="200"/>
        <w:rPr>
          <w:rFonts w:ascii="宋体" w:hAnsi="宋体" w:cs="宋体"/>
          <w:spacing w:val="4"/>
          <w:sz w:val="24"/>
        </w:rPr>
      </w:pPr>
      <w:r>
        <w:rPr>
          <w:rFonts w:hint="eastAsia" w:ascii="宋体" w:hAnsi="宋体" w:cs="宋体"/>
          <w:spacing w:val="4"/>
          <w:sz w:val="24"/>
        </w:rPr>
        <w:t>4、评标价的确定：</w:t>
      </w:r>
    </w:p>
    <w:p>
      <w:pPr>
        <w:spacing w:line="360" w:lineRule="auto"/>
        <w:ind w:left="372" w:leftChars="177" w:firstLine="496" w:firstLineChars="200"/>
        <w:rPr>
          <w:rFonts w:ascii="宋体" w:hAnsi="宋体" w:cs="宋体"/>
          <w:sz w:val="24"/>
          <w:szCs w:val="24"/>
        </w:rPr>
      </w:pPr>
      <w:r>
        <w:rPr>
          <w:rFonts w:hint="eastAsia" w:ascii="宋体" w:hAnsi="宋体" w:cs="宋体"/>
          <w:spacing w:val="4"/>
          <w:sz w:val="24"/>
        </w:rPr>
        <w:t>投标文件经审查合格的</w:t>
      </w:r>
      <w:r>
        <w:rPr>
          <w:rFonts w:hint="eastAsia" w:ascii="宋体" w:hAnsi="宋体" w:cs="宋体"/>
          <w:sz w:val="24"/>
          <w:szCs w:val="24"/>
        </w:rPr>
        <w:t>，为有效投标。对于所有有效投标按照以下规则进行评标价的确定。</w:t>
      </w:r>
    </w:p>
    <w:p>
      <w:pPr>
        <w:spacing w:line="360" w:lineRule="auto"/>
        <w:ind w:left="992" w:hanging="992" w:hangingChars="400"/>
        <w:rPr>
          <w:rFonts w:ascii="宋体" w:hAnsi="宋体" w:cs="宋体"/>
          <w:spacing w:val="4"/>
          <w:sz w:val="24"/>
        </w:rPr>
      </w:pPr>
      <w:r>
        <w:rPr>
          <w:rFonts w:hint="eastAsia" w:ascii="宋体" w:hAnsi="宋体" w:cs="宋体"/>
          <w:spacing w:val="4"/>
          <w:sz w:val="24"/>
        </w:rPr>
        <w:t>4.1对于不需要进行政策性价格优惠调整的，其评标价为按照以上3.2条款修正后的投标总价。</w:t>
      </w:r>
    </w:p>
    <w:p>
      <w:pPr>
        <w:spacing w:line="360" w:lineRule="auto"/>
        <w:ind w:firstLine="496" w:firstLineChars="200"/>
        <w:rPr>
          <w:rFonts w:ascii="宋体" w:hAnsi="宋体" w:cs="宋体"/>
          <w:spacing w:val="4"/>
          <w:sz w:val="24"/>
        </w:rPr>
      </w:pPr>
      <w:r>
        <w:rPr>
          <w:rFonts w:hint="eastAsia" w:ascii="宋体" w:hAnsi="宋体" w:cs="宋体"/>
          <w:spacing w:val="4"/>
          <w:sz w:val="24"/>
        </w:rPr>
        <w:t>4.2对于符合政策性优惠的，其评标价按照以下规则进行计算调整。</w:t>
      </w:r>
    </w:p>
    <w:p>
      <w:pPr>
        <w:spacing w:line="360" w:lineRule="auto"/>
        <w:ind w:firstLine="520" w:firstLineChars="210"/>
        <w:rPr>
          <w:rFonts w:ascii="宋体" w:hAnsi="宋体" w:cs="宋体"/>
          <w:spacing w:val="4"/>
          <w:sz w:val="24"/>
        </w:rPr>
      </w:pPr>
      <w:r>
        <w:rPr>
          <w:rFonts w:hint="eastAsia" w:ascii="宋体" w:hAnsi="宋体" w:cs="宋体"/>
          <w:spacing w:val="4"/>
          <w:sz w:val="24"/>
        </w:rPr>
        <w:t>4.2.1符合（财库〔2020〕46号）文件规定的小微企业</w:t>
      </w:r>
      <w:r>
        <w:rPr>
          <w:rFonts w:hint="eastAsia" w:ascii="宋体" w:hAnsi="宋体" w:cs="宋体"/>
          <w:sz w:val="24"/>
          <w:szCs w:val="24"/>
        </w:rPr>
        <w:t>单位</w:t>
      </w:r>
      <w:r>
        <w:rPr>
          <w:rFonts w:hint="eastAsia" w:ascii="宋体" w:hAnsi="宋体" w:cs="宋体"/>
          <w:spacing w:val="4"/>
          <w:sz w:val="24"/>
        </w:rPr>
        <w:t>的评标价计算规则：</w:t>
      </w:r>
    </w:p>
    <w:p>
      <w:pPr>
        <w:spacing w:line="360" w:lineRule="auto"/>
        <w:ind w:firstLine="520" w:firstLineChars="210"/>
        <w:rPr>
          <w:rFonts w:ascii="宋体" w:hAnsi="宋体" w:cs="宋体"/>
          <w:spacing w:val="4"/>
          <w:sz w:val="24"/>
        </w:rPr>
      </w:pPr>
      <w:r>
        <w:rPr>
          <w:rFonts w:hint="eastAsia" w:ascii="宋体" w:hAnsi="宋体" w:cs="宋体"/>
          <w:spacing w:val="4"/>
          <w:sz w:val="24"/>
        </w:rPr>
        <w:t>4.2.1.1对符合规定的小型和微型企业（非联合体投标）报价给予8%的扣除，用扣除后的价格参加评审。</w:t>
      </w:r>
    </w:p>
    <w:p>
      <w:pPr>
        <w:spacing w:line="360" w:lineRule="auto"/>
        <w:ind w:firstLine="496" w:firstLineChars="200"/>
        <w:rPr>
          <w:rFonts w:ascii="宋体" w:hAnsi="宋体" w:cs="宋体"/>
          <w:spacing w:val="4"/>
          <w:sz w:val="24"/>
        </w:rPr>
      </w:pPr>
      <w:r>
        <w:rPr>
          <w:rFonts w:hint="eastAsia" w:ascii="宋体" w:hAnsi="宋体" w:cs="宋体"/>
          <w:spacing w:val="4"/>
          <w:sz w:val="24"/>
        </w:rPr>
        <w:t>其评标价=投标报价*（1-8%）</w:t>
      </w:r>
    </w:p>
    <w:p>
      <w:pPr>
        <w:spacing w:line="360" w:lineRule="auto"/>
        <w:ind w:firstLine="496" w:firstLineChars="200"/>
        <w:rPr>
          <w:rFonts w:ascii="宋体" w:hAnsi="宋体" w:cs="宋体"/>
          <w:spacing w:val="4"/>
          <w:sz w:val="24"/>
        </w:rPr>
      </w:pPr>
      <w:r>
        <w:rPr>
          <w:rFonts w:hint="eastAsia" w:ascii="宋体" w:hAnsi="宋体" w:cs="宋体"/>
          <w:spacing w:val="4"/>
          <w:sz w:val="24"/>
        </w:rPr>
        <w:t>4.2.1.2对于联合协议或者分包意向协议约定小微企业的合同份额占到合同总金额30%以上的，对联合体或者大中型企业的报价给予2%的扣除，用扣除后的价格参加评审。</w:t>
      </w:r>
    </w:p>
    <w:p>
      <w:pPr>
        <w:spacing w:line="360" w:lineRule="auto"/>
        <w:ind w:firstLine="496" w:firstLineChars="200"/>
        <w:rPr>
          <w:rFonts w:ascii="宋体" w:hAnsi="宋体" w:cs="宋体"/>
          <w:spacing w:val="4"/>
          <w:sz w:val="24"/>
        </w:rPr>
      </w:pPr>
      <w:r>
        <w:rPr>
          <w:rFonts w:hint="eastAsia" w:ascii="宋体" w:hAnsi="宋体" w:cs="宋体"/>
          <w:spacing w:val="4"/>
          <w:sz w:val="24"/>
        </w:rPr>
        <w:t>其评标价=投标报价*（1-2%）</w:t>
      </w:r>
    </w:p>
    <w:p>
      <w:pPr>
        <w:spacing w:line="360" w:lineRule="auto"/>
        <w:ind w:firstLine="495"/>
        <w:rPr>
          <w:rFonts w:ascii="宋体" w:hAnsi="宋体" w:cs="宋体"/>
          <w:spacing w:val="4"/>
          <w:sz w:val="24"/>
        </w:rPr>
      </w:pPr>
      <w:r>
        <w:rPr>
          <w:rFonts w:hint="eastAsia" w:ascii="宋体" w:hAnsi="宋体" w:cs="宋体"/>
          <w:spacing w:val="4"/>
          <w:sz w:val="24"/>
        </w:rPr>
        <w:t>4.2.1.3确认为小微企业（含小型、微型企业，下同）投标的，应当同时符合以下条件：</w:t>
      </w:r>
    </w:p>
    <w:p>
      <w:pPr>
        <w:spacing w:line="360" w:lineRule="auto"/>
        <w:ind w:left="1" w:firstLine="520" w:firstLineChars="210"/>
        <w:rPr>
          <w:rFonts w:ascii="宋体" w:hAnsi="宋体" w:cs="宋体"/>
          <w:spacing w:val="4"/>
          <w:sz w:val="24"/>
        </w:rPr>
      </w:pPr>
      <w:r>
        <w:rPr>
          <w:rFonts w:hint="eastAsia" w:ascii="宋体" w:hAnsi="宋体" w:cs="宋体"/>
          <w:spacing w:val="4"/>
          <w:sz w:val="24"/>
        </w:rPr>
        <w:t>4.2.1.3.1符合国务院有关部门根据企业从业人员、营业收入、资产总额等指标制定的中小企业划型标准（工信部联企业〔2011〕300号）；</w:t>
      </w:r>
    </w:p>
    <w:p>
      <w:pPr>
        <w:spacing w:line="360" w:lineRule="auto"/>
        <w:ind w:firstLine="496" w:firstLineChars="200"/>
        <w:rPr>
          <w:rFonts w:ascii="宋体" w:hAnsi="宋体" w:cs="宋体"/>
          <w:spacing w:val="4"/>
          <w:sz w:val="24"/>
        </w:rPr>
      </w:pPr>
      <w:r>
        <w:rPr>
          <w:rFonts w:hint="eastAsia" w:ascii="宋体" w:hAnsi="宋体" w:cs="宋体"/>
          <w:spacing w:val="4"/>
          <w:sz w:val="24"/>
        </w:rPr>
        <w:t xml:space="preserve">4.2.1.3.2在货物采购项目中，货物由中小企业制造，即货物由中小企业生产且使用该中小企业商号或者注册商标； </w:t>
      </w:r>
    </w:p>
    <w:p>
      <w:pPr>
        <w:spacing w:line="360" w:lineRule="auto"/>
        <w:ind w:left="1143" w:leftChars="249" w:hanging="620" w:hangingChars="250"/>
        <w:rPr>
          <w:rFonts w:ascii="宋体" w:hAnsi="宋体" w:cs="宋体"/>
          <w:sz w:val="24"/>
          <w:szCs w:val="24"/>
        </w:rPr>
      </w:pPr>
      <w:r>
        <w:rPr>
          <w:rFonts w:hint="eastAsia" w:ascii="宋体" w:hAnsi="宋体" w:cs="宋体"/>
          <w:spacing w:val="4"/>
          <w:sz w:val="24"/>
        </w:rPr>
        <w:t>4.2.1.3.3投标时须</w:t>
      </w:r>
      <w:r>
        <w:rPr>
          <w:rFonts w:hint="eastAsia" w:ascii="宋体" w:hAnsi="宋体" w:cs="宋体"/>
          <w:sz w:val="24"/>
          <w:szCs w:val="24"/>
        </w:rPr>
        <w:t>提供《中小企业声明函》。</w:t>
      </w:r>
    </w:p>
    <w:p>
      <w:pPr>
        <w:spacing w:line="360" w:lineRule="auto"/>
        <w:ind w:firstLine="520" w:firstLineChars="210"/>
        <w:rPr>
          <w:rFonts w:ascii="宋体" w:hAnsi="宋体" w:cs="宋体"/>
          <w:spacing w:val="4"/>
          <w:sz w:val="24"/>
        </w:rPr>
      </w:pPr>
    </w:p>
    <w:p>
      <w:pPr>
        <w:spacing w:line="360" w:lineRule="auto"/>
        <w:ind w:firstLine="520" w:firstLineChars="210"/>
        <w:rPr>
          <w:rFonts w:ascii="宋体" w:hAnsi="宋体" w:cs="宋体"/>
          <w:spacing w:val="4"/>
          <w:sz w:val="24"/>
        </w:rPr>
      </w:pPr>
      <w:r>
        <w:rPr>
          <w:rFonts w:hint="eastAsia" w:ascii="宋体" w:hAnsi="宋体" w:cs="宋体"/>
          <w:spacing w:val="4"/>
          <w:sz w:val="24"/>
        </w:rPr>
        <w:t>4.2.2符合（财库〔2017〕141号）文件规定的残疾人福利性单位的评标价计算规则：</w:t>
      </w:r>
    </w:p>
    <w:p>
      <w:pPr>
        <w:spacing w:line="360" w:lineRule="auto"/>
        <w:ind w:firstLine="496" w:firstLineChars="200"/>
        <w:rPr>
          <w:rFonts w:ascii="宋体" w:hAnsi="宋体" w:cs="宋体"/>
          <w:spacing w:val="4"/>
          <w:sz w:val="24"/>
        </w:rPr>
      </w:pPr>
      <w:r>
        <w:rPr>
          <w:rFonts w:hint="eastAsia" w:ascii="宋体" w:hAnsi="宋体" w:cs="宋体"/>
          <w:spacing w:val="4"/>
          <w:sz w:val="24"/>
        </w:rPr>
        <w:t>4.2.2.1在政府采购活动中，残疾人福利性单位视同小型、微型企业，享受预留份额、评审中价格扣除等促进中小企业发展的政府采购政策。向残疾人福利性单位采购的金额，计入面向中小企业采购的统计数据。报价给予8%的扣除，用扣除后的价格参加评审。</w:t>
      </w:r>
    </w:p>
    <w:p>
      <w:pPr>
        <w:spacing w:line="360" w:lineRule="auto"/>
        <w:ind w:firstLine="496" w:firstLineChars="200"/>
        <w:rPr>
          <w:rFonts w:ascii="宋体" w:hAnsi="宋体" w:cs="宋体"/>
          <w:spacing w:val="4"/>
          <w:sz w:val="24"/>
        </w:rPr>
      </w:pPr>
      <w:r>
        <w:rPr>
          <w:rFonts w:hint="eastAsia" w:ascii="宋体" w:hAnsi="宋体" w:cs="宋体"/>
          <w:spacing w:val="4"/>
          <w:sz w:val="24"/>
        </w:rPr>
        <w:t>其评标价=投标报价*（1-8%）</w:t>
      </w:r>
    </w:p>
    <w:p>
      <w:pPr>
        <w:spacing w:line="360" w:lineRule="auto"/>
        <w:ind w:firstLine="496" w:firstLineChars="200"/>
        <w:rPr>
          <w:rFonts w:ascii="宋体" w:hAnsi="宋体" w:cs="宋体"/>
          <w:spacing w:val="4"/>
          <w:sz w:val="24"/>
        </w:rPr>
      </w:pPr>
      <w:r>
        <w:rPr>
          <w:rFonts w:hint="eastAsia" w:ascii="宋体" w:hAnsi="宋体" w:cs="宋体"/>
          <w:spacing w:val="4"/>
          <w:sz w:val="24"/>
        </w:rPr>
        <w:t>4.2.2.2对于联合协议或者分包意向协议约定残疾人福利性单位的合同份额占到合同总金额30%以上的，对联合体或者大中型企业的报价给予2%的扣除，用扣除后的价格参加评审。</w:t>
      </w:r>
    </w:p>
    <w:p>
      <w:pPr>
        <w:spacing w:line="360" w:lineRule="auto"/>
        <w:ind w:firstLine="496" w:firstLineChars="200"/>
        <w:rPr>
          <w:rFonts w:ascii="宋体" w:hAnsi="宋体" w:cs="宋体"/>
          <w:spacing w:val="4"/>
          <w:sz w:val="24"/>
        </w:rPr>
      </w:pPr>
      <w:r>
        <w:rPr>
          <w:rFonts w:hint="eastAsia" w:ascii="宋体" w:hAnsi="宋体" w:cs="宋体"/>
          <w:spacing w:val="4"/>
          <w:sz w:val="24"/>
        </w:rPr>
        <w:t>其评标价=投标报价*（1-2%）</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4.2.2.3确认为残疾人福利性单位投标的，应当同时符合以下条件：</w:t>
      </w:r>
    </w:p>
    <w:p>
      <w:pPr>
        <w:spacing w:line="360" w:lineRule="auto"/>
        <w:ind w:firstLine="520" w:firstLineChars="210"/>
        <w:rPr>
          <w:rFonts w:ascii="宋体" w:hAnsi="宋体" w:cs="宋体"/>
          <w:spacing w:val="4"/>
          <w:sz w:val="24"/>
        </w:rPr>
      </w:pPr>
      <w:r>
        <w:rPr>
          <w:rFonts w:hint="eastAsia" w:ascii="宋体" w:hAnsi="宋体" w:cs="宋体"/>
          <w:spacing w:val="4"/>
          <w:sz w:val="24"/>
        </w:rPr>
        <w:t>4.2.2.3.1符合（财库〔2017〕141号）文件相关规定。</w:t>
      </w:r>
    </w:p>
    <w:p>
      <w:pPr>
        <w:spacing w:line="360" w:lineRule="auto"/>
        <w:ind w:firstLine="496" w:firstLineChars="200"/>
        <w:rPr>
          <w:rFonts w:ascii="宋体" w:hAnsi="宋体" w:cs="宋体"/>
          <w:spacing w:val="4"/>
          <w:sz w:val="24"/>
        </w:rPr>
      </w:pPr>
      <w:r>
        <w:rPr>
          <w:rFonts w:hint="eastAsia" w:ascii="宋体" w:hAnsi="宋体" w:cs="宋体"/>
          <w:spacing w:val="4"/>
          <w:sz w:val="24"/>
        </w:rPr>
        <w:t>4.2.2.3.2投标时提供本单位制造的货物、承担的工程或者服务（以下简称产品），或者提供其他残疾人福利性单位制造的货物（不包括使用非残疾人福利性单位注册商标的货物）。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4.2.2.3.3供应商须提供《残疾人福利性单位声明函》。</w:t>
      </w:r>
    </w:p>
    <w:p>
      <w:pPr>
        <w:spacing w:line="360" w:lineRule="auto"/>
        <w:ind w:firstLine="520" w:firstLineChars="210"/>
        <w:rPr>
          <w:rFonts w:ascii="宋体" w:hAnsi="宋体" w:cs="宋体"/>
          <w:spacing w:val="4"/>
          <w:sz w:val="24"/>
        </w:rPr>
      </w:pPr>
    </w:p>
    <w:p>
      <w:pPr>
        <w:spacing w:line="360" w:lineRule="auto"/>
        <w:ind w:firstLine="520" w:firstLineChars="210"/>
        <w:rPr>
          <w:rFonts w:ascii="宋体" w:hAnsi="宋体" w:cs="宋体"/>
          <w:spacing w:val="4"/>
          <w:sz w:val="24"/>
        </w:rPr>
      </w:pPr>
      <w:r>
        <w:rPr>
          <w:rFonts w:hint="eastAsia" w:ascii="宋体" w:hAnsi="宋体" w:cs="宋体"/>
          <w:spacing w:val="4"/>
          <w:sz w:val="24"/>
        </w:rPr>
        <w:t>4.2.3符合（财库〔2014〕68号）文件规定的监狱企业的评标价计算规则：</w:t>
      </w:r>
    </w:p>
    <w:p>
      <w:pPr>
        <w:spacing w:line="360" w:lineRule="auto"/>
        <w:ind w:firstLine="520" w:firstLineChars="210"/>
        <w:rPr>
          <w:rFonts w:ascii="宋体" w:hAnsi="宋体" w:cs="宋体"/>
          <w:spacing w:val="4"/>
          <w:sz w:val="24"/>
        </w:rPr>
      </w:pPr>
      <w:r>
        <w:rPr>
          <w:rFonts w:hint="eastAsia" w:ascii="宋体" w:hAnsi="宋体" w:cs="宋体"/>
          <w:spacing w:val="4"/>
          <w:sz w:val="24"/>
        </w:rPr>
        <w:t>4.2.3.1在政府采购活动中，监狱企业视同小型、微型企业，享受预留份额、评审中价格扣除等政府采购促进中小企业发展的政府采购政策。向监狱企业采购的金额，计入面向中小企业采购的统计数据。报价给予8%的扣除，用扣除后的价格参加评审。</w:t>
      </w:r>
    </w:p>
    <w:p>
      <w:pPr>
        <w:spacing w:line="360" w:lineRule="auto"/>
        <w:ind w:firstLine="496" w:firstLineChars="200"/>
        <w:rPr>
          <w:rFonts w:ascii="宋体" w:hAnsi="宋体" w:cs="宋体"/>
          <w:spacing w:val="4"/>
          <w:sz w:val="24"/>
        </w:rPr>
      </w:pPr>
      <w:r>
        <w:rPr>
          <w:rFonts w:hint="eastAsia" w:ascii="宋体" w:hAnsi="宋体" w:cs="宋体"/>
          <w:spacing w:val="4"/>
          <w:sz w:val="24"/>
        </w:rPr>
        <w:t>其评标价=投标报价*（1-8%）</w:t>
      </w:r>
    </w:p>
    <w:p>
      <w:pPr>
        <w:spacing w:line="360" w:lineRule="auto"/>
        <w:ind w:firstLine="496" w:firstLineChars="200"/>
        <w:rPr>
          <w:rFonts w:ascii="宋体" w:hAnsi="宋体" w:cs="宋体"/>
          <w:spacing w:val="4"/>
          <w:sz w:val="24"/>
        </w:rPr>
      </w:pPr>
      <w:r>
        <w:rPr>
          <w:rFonts w:hint="eastAsia" w:ascii="宋体" w:hAnsi="宋体" w:cs="宋体"/>
          <w:spacing w:val="4"/>
          <w:sz w:val="24"/>
        </w:rPr>
        <w:t>4.2.3.2对于联合协议或者分包意向协议约定监狱企业的合同份额占到合同总金额30%以上的，对联合体或者大中型企业的报价给予2%的扣除，用扣除后的价格参加评审。</w:t>
      </w:r>
    </w:p>
    <w:p>
      <w:pPr>
        <w:spacing w:line="360" w:lineRule="auto"/>
        <w:ind w:firstLine="496" w:firstLineChars="200"/>
        <w:rPr>
          <w:rFonts w:ascii="宋体" w:hAnsi="宋体" w:cs="宋体"/>
          <w:spacing w:val="4"/>
          <w:sz w:val="24"/>
        </w:rPr>
      </w:pPr>
      <w:r>
        <w:rPr>
          <w:rFonts w:hint="eastAsia" w:ascii="宋体" w:hAnsi="宋体" w:cs="宋体"/>
          <w:spacing w:val="4"/>
          <w:sz w:val="24"/>
        </w:rPr>
        <w:t>其评标价=投标报价*（1-2%）</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4.2.3.3确认为监狱企业投标的，应当同时符合以下条件：</w:t>
      </w:r>
    </w:p>
    <w:p>
      <w:pPr>
        <w:spacing w:line="360" w:lineRule="auto"/>
        <w:ind w:firstLine="520" w:firstLineChars="210"/>
        <w:rPr>
          <w:rFonts w:ascii="宋体" w:hAnsi="宋体" w:cs="宋体"/>
          <w:spacing w:val="4"/>
          <w:sz w:val="24"/>
        </w:rPr>
      </w:pPr>
      <w:r>
        <w:rPr>
          <w:rFonts w:hint="eastAsia" w:ascii="宋体" w:hAnsi="宋体" w:cs="宋体"/>
          <w:spacing w:val="4"/>
          <w:sz w:val="24"/>
        </w:rPr>
        <w:t>4.2.3.3.1符合（财库〔2014〕68号）文件相关规定。</w:t>
      </w:r>
    </w:p>
    <w:p>
      <w:pPr>
        <w:spacing w:line="360" w:lineRule="auto"/>
        <w:ind w:firstLine="496" w:firstLineChars="200"/>
        <w:rPr>
          <w:rFonts w:ascii="宋体" w:hAnsi="宋体" w:cs="宋体"/>
          <w:spacing w:val="4"/>
          <w:sz w:val="24"/>
        </w:rPr>
      </w:pPr>
      <w:r>
        <w:rPr>
          <w:rFonts w:hint="eastAsia" w:ascii="宋体" w:hAnsi="宋体" w:cs="宋体"/>
          <w:spacing w:val="4"/>
          <w:sz w:val="24"/>
        </w:rPr>
        <w:t>4.2.3.3.2投标时提供本单位生产的货物，或者提供其他监狱企业生产的货物。</w:t>
      </w:r>
    </w:p>
    <w:p>
      <w:pPr>
        <w:spacing w:line="360" w:lineRule="auto"/>
        <w:ind w:firstLine="520" w:firstLineChars="210"/>
        <w:rPr>
          <w:rFonts w:ascii="宋体" w:hAnsi="宋体" w:cs="宋体"/>
          <w:spacing w:val="4"/>
          <w:sz w:val="24"/>
        </w:rPr>
      </w:pPr>
      <w:r>
        <w:rPr>
          <w:rFonts w:hint="eastAsia" w:ascii="宋体" w:hAnsi="宋体" w:cs="宋体"/>
          <w:spacing w:val="4"/>
          <w:sz w:val="24"/>
        </w:rPr>
        <w:t>4.2.3.3.3供应商须提供由省级以上监狱管理局、戒毒管理局（含新疆生产建设兵团）出具的属于监狱企业的证明文件。</w:t>
      </w:r>
    </w:p>
    <w:p>
      <w:pPr>
        <w:pStyle w:val="2"/>
      </w:pPr>
    </w:p>
    <w:p>
      <w:pPr>
        <w:spacing w:line="360" w:lineRule="auto"/>
        <w:ind w:firstLine="520" w:firstLineChars="210"/>
        <w:rPr>
          <w:rFonts w:ascii="宋体" w:hAnsi="宋体" w:cs="宋体"/>
          <w:spacing w:val="4"/>
          <w:sz w:val="24"/>
        </w:rPr>
      </w:pPr>
      <w:r>
        <w:rPr>
          <w:rFonts w:hint="eastAsia" w:ascii="宋体" w:hAnsi="宋体" w:cs="宋体"/>
          <w:spacing w:val="4"/>
          <w:sz w:val="24"/>
        </w:rPr>
        <w:t>4.2.4符合节能产品文件规定的评标价计算规则：</w:t>
      </w:r>
    </w:p>
    <w:p>
      <w:pPr>
        <w:spacing w:line="360" w:lineRule="auto"/>
        <w:ind w:firstLine="496" w:firstLineChars="200"/>
        <w:rPr>
          <w:rFonts w:ascii="宋体" w:hAnsi="宋体" w:cs="宋体"/>
          <w:spacing w:val="4"/>
          <w:sz w:val="24"/>
        </w:rPr>
      </w:pPr>
      <w:r>
        <w:rPr>
          <w:rFonts w:hint="eastAsia" w:ascii="宋体" w:hAnsi="宋体" w:cs="宋体"/>
          <w:spacing w:val="4"/>
          <w:sz w:val="24"/>
        </w:rPr>
        <w:t>4.2.4.1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cs="宋体"/>
          <w:spacing w:val="4"/>
          <w:sz w:val="24"/>
        </w:rPr>
      </w:pPr>
    </w:p>
    <w:p>
      <w:pPr>
        <w:spacing w:line="360" w:lineRule="auto"/>
        <w:ind w:firstLine="520" w:firstLineChars="210"/>
        <w:rPr>
          <w:rFonts w:ascii="宋体" w:hAnsi="宋体" w:cs="宋体"/>
          <w:spacing w:val="4"/>
          <w:sz w:val="24"/>
        </w:rPr>
      </w:pPr>
      <w:r>
        <w:rPr>
          <w:rFonts w:hint="eastAsia" w:ascii="宋体" w:hAnsi="宋体" w:cs="宋体"/>
          <w:spacing w:val="4"/>
          <w:sz w:val="24"/>
        </w:rPr>
        <w:t>4.2.5符合环境标志产品文件规定的评标价计算规则：</w:t>
      </w:r>
    </w:p>
    <w:p>
      <w:pPr>
        <w:spacing w:line="360" w:lineRule="auto"/>
        <w:ind w:firstLine="495"/>
        <w:rPr>
          <w:rFonts w:ascii="宋体" w:hAnsi="宋体" w:cs="宋体"/>
          <w:spacing w:val="4"/>
          <w:sz w:val="24"/>
        </w:rPr>
      </w:pPr>
      <w:r>
        <w:rPr>
          <w:rFonts w:hint="eastAsia" w:ascii="宋体" w:hAnsi="宋体" w:cs="宋体"/>
          <w:spacing w:val="4"/>
          <w:sz w:val="24"/>
        </w:rPr>
        <w:t xml:space="preserve">4.2.5.1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ind w:left="523" w:leftChars="249"/>
        <w:rPr>
          <w:rFonts w:ascii="宋体" w:hAnsi="宋体" w:cs="宋体"/>
          <w:sz w:val="24"/>
          <w:szCs w:val="24"/>
        </w:rPr>
      </w:pPr>
      <w:r>
        <w:rPr>
          <w:rFonts w:hint="eastAsia" w:ascii="宋体" w:hAnsi="宋体" w:cs="宋体"/>
          <w:sz w:val="24"/>
          <w:szCs w:val="24"/>
        </w:rPr>
        <w:t>5、比较与评价：</w:t>
      </w:r>
    </w:p>
    <w:p>
      <w:pPr>
        <w:spacing w:line="360" w:lineRule="auto"/>
        <w:ind w:left="598" w:leftChars="285" w:firstLine="360" w:firstLineChars="150"/>
        <w:rPr>
          <w:rFonts w:ascii="宋体" w:hAnsi="宋体" w:cs="宋体"/>
          <w:sz w:val="24"/>
          <w:szCs w:val="24"/>
        </w:rPr>
      </w:pPr>
      <w:r>
        <w:rPr>
          <w:rFonts w:hint="eastAsia" w:ascii="宋体" w:hAnsi="宋体" w:cs="宋体"/>
          <w:sz w:val="24"/>
          <w:szCs w:val="24"/>
        </w:rPr>
        <w:t xml:space="preserve">评委会各成员按照《评审因素量化赋分表》规定的内容，独立进行综合比较、评价打分。 </w:t>
      </w:r>
    </w:p>
    <w:p>
      <w:pPr>
        <w:spacing w:line="360" w:lineRule="auto"/>
        <w:ind w:left="525" w:leftChars="250"/>
        <w:rPr>
          <w:rFonts w:ascii="宋体" w:hAnsi="宋体" w:cs="宋体"/>
          <w:spacing w:val="4"/>
          <w:sz w:val="24"/>
        </w:rPr>
      </w:pPr>
      <w:r>
        <w:rPr>
          <w:rFonts w:hint="eastAsia" w:ascii="宋体" w:hAnsi="宋体" w:cs="宋体"/>
          <w:spacing w:val="4"/>
          <w:sz w:val="24"/>
        </w:rPr>
        <w:t>6、推荐中标候选人名单：</w:t>
      </w:r>
    </w:p>
    <w:p>
      <w:pPr>
        <w:spacing w:line="360" w:lineRule="auto"/>
        <w:ind w:left="992" w:leftChars="236" w:hanging="496" w:hangingChars="200"/>
        <w:rPr>
          <w:rFonts w:ascii="宋体" w:hAnsi="宋体" w:cs="宋体"/>
          <w:spacing w:val="4"/>
          <w:sz w:val="24"/>
        </w:rPr>
      </w:pPr>
      <w:r>
        <w:rPr>
          <w:rFonts w:hint="eastAsia" w:ascii="宋体" w:hAnsi="宋体" w:cs="宋体"/>
          <w:spacing w:val="4"/>
          <w:sz w:val="24"/>
        </w:rPr>
        <w:t>6.1</w:t>
      </w:r>
      <w:r>
        <w:rPr>
          <w:rFonts w:hint="eastAsia" w:ascii="宋体" w:hAnsi="宋体" w:cs="宋体"/>
          <w:sz w:val="24"/>
          <w:szCs w:val="24"/>
        </w:rPr>
        <w:t>汇总全体评委对每个供应商的赋分，计算出每个供应商的综合得分，按包得分</w:t>
      </w:r>
      <w:r>
        <w:rPr>
          <w:rFonts w:hint="eastAsia" w:ascii="宋体" w:hAnsi="宋体" w:cs="宋体"/>
          <w:spacing w:val="4"/>
          <w:sz w:val="24"/>
        </w:rPr>
        <w:t>从高到低顺序排列，推荐前3名为中标候选人。</w:t>
      </w:r>
    </w:p>
    <w:p>
      <w:pPr>
        <w:spacing w:line="360" w:lineRule="auto"/>
        <w:ind w:left="992" w:leftChars="236" w:hanging="496" w:hangingChars="200"/>
        <w:rPr>
          <w:rFonts w:ascii="宋体" w:hAnsi="宋体" w:cs="宋体"/>
          <w:spacing w:val="4"/>
          <w:sz w:val="24"/>
        </w:rPr>
      </w:pPr>
      <w:r>
        <w:rPr>
          <w:rFonts w:hint="eastAsia" w:ascii="宋体" w:hAnsi="宋体" w:cs="宋体"/>
          <w:spacing w:val="4"/>
          <w:sz w:val="24"/>
        </w:rPr>
        <w:t>6.2</w:t>
      </w:r>
      <w:r>
        <w:rPr>
          <w:rFonts w:hint="eastAsia" w:ascii="宋体" w:hAnsi="宋体" w:cs="宋体"/>
          <w:kern w:val="0"/>
          <w:sz w:val="24"/>
          <w:szCs w:val="24"/>
        </w:rPr>
        <w:t>得分相同的，按投标报价由低到高顺序排列。得分且投标报价相同的并列。</w:t>
      </w:r>
    </w:p>
    <w:p>
      <w:pPr>
        <w:spacing w:line="360" w:lineRule="auto"/>
        <w:jc w:val="center"/>
        <w:rPr>
          <w:rFonts w:ascii="宋体" w:hAnsi="宋体" w:cs="宋体"/>
          <w:b/>
          <w:sz w:val="32"/>
          <w:szCs w:val="32"/>
        </w:rPr>
      </w:pPr>
      <w:r>
        <w:rPr>
          <w:rFonts w:hint="eastAsia" w:ascii="宋体" w:hAnsi="宋体" w:cs="宋体"/>
        </w:rPr>
        <w:br w:type="page"/>
      </w:r>
      <w:r>
        <w:rPr>
          <w:rFonts w:hint="eastAsia" w:ascii="宋体" w:hAnsi="宋体" w:cs="宋体"/>
          <w:b/>
          <w:sz w:val="32"/>
          <w:szCs w:val="32"/>
        </w:rPr>
        <w:t>评审因素量化赋分表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702"/>
        <w:gridCol w:w="1220"/>
        <w:gridCol w:w="5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07" w:type="dxa"/>
            <w:noWrap/>
            <w:vAlign w:val="center"/>
          </w:tcPr>
          <w:p>
            <w:pPr>
              <w:pStyle w:val="11"/>
              <w:jc w:val="center"/>
              <w:rPr>
                <w:rFonts w:hAnsi="宋体"/>
                <w:bCs/>
                <w:szCs w:val="24"/>
              </w:rPr>
            </w:pPr>
            <w:r>
              <w:rPr>
                <w:rFonts w:hint="eastAsia" w:hAnsi="宋体"/>
                <w:bCs/>
                <w:szCs w:val="24"/>
              </w:rPr>
              <w:t>类别</w:t>
            </w:r>
          </w:p>
        </w:tc>
        <w:tc>
          <w:tcPr>
            <w:tcW w:w="702" w:type="dxa"/>
            <w:noWrap/>
            <w:vAlign w:val="center"/>
          </w:tcPr>
          <w:p>
            <w:pPr>
              <w:jc w:val="center"/>
              <w:rPr>
                <w:rFonts w:ascii="宋体" w:hAnsi="宋体"/>
                <w:bCs/>
                <w:sz w:val="24"/>
                <w:szCs w:val="24"/>
              </w:rPr>
            </w:pPr>
            <w:r>
              <w:rPr>
                <w:rFonts w:hint="eastAsia" w:ascii="宋体" w:hAnsi="宋体"/>
                <w:bCs/>
                <w:sz w:val="24"/>
                <w:szCs w:val="24"/>
              </w:rPr>
              <w:t>序号</w:t>
            </w:r>
          </w:p>
        </w:tc>
        <w:tc>
          <w:tcPr>
            <w:tcW w:w="1220" w:type="dxa"/>
            <w:noWrap/>
            <w:vAlign w:val="center"/>
          </w:tcPr>
          <w:p>
            <w:pPr>
              <w:jc w:val="center"/>
              <w:rPr>
                <w:rFonts w:ascii="宋体" w:hAnsi="宋体"/>
                <w:bCs/>
                <w:sz w:val="24"/>
                <w:szCs w:val="24"/>
              </w:rPr>
            </w:pPr>
            <w:r>
              <w:rPr>
                <w:rFonts w:hint="eastAsia" w:ascii="宋体" w:hAnsi="宋体"/>
                <w:bCs/>
                <w:sz w:val="24"/>
                <w:szCs w:val="24"/>
              </w:rPr>
              <w:t>评审要素及分值</w:t>
            </w:r>
          </w:p>
        </w:tc>
        <w:tc>
          <w:tcPr>
            <w:tcW w:w="5793" w:type="dxa"/>
            <w:noWrap/>
            <w:vAlign w:val="center"/>
          </w:tcPr>
          <w:p>
            <w:pPr>
              <w:jc w:val="center"/>
              <w:rPr>
                <w:rFonts w:ascii="宋体" w:hAnsi="宋体"/>
                <w:bCs/>
                <w:sz w:val="24"/>
                <w:szCs w:val="24"/>
              </w:rPr>
            </w:pPr>
            <w:r>
              <w:rPr>
                <w:rFonts w:hint="eastAsia" w:ascii="宋体" w:hAnsi="宋体"/>
                <w:bCs/>
                <w:sz w:val="24"/>
                <w:szCs w:val="24"/>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trPr>
        <w:tc>
          <w:tcPr>
            <w:tcW w:w="807" w:type="dxa"/>
            <w:vMerge w:val="restart"/>
            <w:noWrap/>
            <w:vAlign w:val="center"/>
          </w:tcPr>
          <w:p>
            <w:pPr>
              <w:jc w:val="center"/>
              <w:rPr>
                <w:rFonts w:ascii="宋体" w:hAnsi="宋体"/>
                <w:sz w:val="24"/>
                <w:szCs w:val="24"/>
              </w:rPr>
            </w:pPr>
            <w:r>
              <w:rPr>
                <w:rFonts w:hint="eastAsia" w:ascii="宋体" w:hAnsi="宋体"/>
                <w:sz w:val="24"/>
                <w:szCs w:val="24"/>
              </w:rPr>
              <w:t>技术</w:t>
            </w:r>
          </w:p>
          <w:p>
            <w:pPr>
              <w:jc w:val="center"/>
              <w:rPr>
                <w:rFonts w:ascii="宋体" w:hAnsi="宋体"/>
                <w:sz w:val="24"/>
                <w:szCs w:val="24"/>
              </w:rPr>
            </w:pPr>
            <w:r>
              <w:rPr>
                <w:rFonts w:hint="eastAsia" w:ascii="宋体" w:hAnsi="宋体"/>
                <w:sz w:val="24"/>
                <w:szCs w:val="24"/>
              </w:rPr>
              <w:t>70分</w:t>
            </w:r>
          </w:p>
        </w:tc>
        <w:tc>
          <w:tcPr>
            <w:tcW w:w="702" w:type="dxa"/>
            <w:noWrap/>
            <w:vAlign w:val="center"/>
          </w:tcPr>
          <w:p>
            <w:pPr>
              <w:ind w:right="-107" w:rightChars="-51"/>
              <w:jc w:val="center"/>
              <w:rPr>
                <w:rFonts w:ascii="宋体" w:hAnsi="宋体"/>
                <w:sz w:val="24"/>
                <w:szCs w:val="24"/>
              </w:rPr>
            </w:pPr>
            <w:r>
              <w:rPr>
                <w:rFonts w:hint="eastAsia" w:ascii="宋体" w:hAnsi="宋体"/>
                <w:sz w:val="24"/>
                <w:szCs w:val="24"/>
              </w:rPr>
              <w:t>1</w:t>
            </w:r>
          </w:p>
        </w:tc>
        <w:tc>
          <w:tcPr>
            <w:tcW w:w="1220" w:type="dxa"/>
            <w:noWrap/>
            <w:vAlign w:val="center"/>
          </w:tcPr>
          <w:p>
            <w:pPr>
              <w:spacing w:line="320" w:lineRule="exact"/>
              <w:jc w:val="center"/>
              <w:rPr>
                <w:rFonts w:ascii="宋体" w:hAnsi="宋体" w:cs="宋体"/>
                <w:sz w:val="24"/>
                <w:szCs w:val="24"/>
              </w:rPr>
            </w:pPr>
            <w:r>
              <w:rPr>
                <w:rFonts w:hint="eastAsia" w:ascii="宋体" w:hAnsi="宋体" w:cs="宋体"/>
                <w:sz w:val="24"/>
                <w:szCs w:val="24"/>
              </w:rPr>
              <w:t>技术参数的响应程度</w:t>
            </w:r>
          </w:p>
          <w:p>
            <w:pPr>
              <w:spacing w:line="320" w:lineRule="exact"/>
              <w:jc w:val="center"/>
              <w:rPr>
                <w:rFonts w:ascii="宋体" w:hAnsi="宋体"/>
                <w:sz w:val="24"/>
                <w:szCs w:val="24"/>
              </w:rPr>
            </w:pPr>
            <w:r>
              <w:rPr>
                <w:rFonts w:hint="eastAsia" w:ascii="宋体" w:hAnsi="宋体" w:cs="宋体"/>
                <w:sz w:val="24"/>
                <w:szCs w:val="24"/>
                <w:highlight w:val="none"/>
                <w:lang w:val="en-US" w:eastAsia="zh-CN"/>
              </w:rPr>
              <w:t>24</w:t>
            </w:r>
            <w:r>
              <w:rPr>
                <w:rFonts w:hint="eastAsia" w:ascii="宋体" w:hAnsi="宋体" w:cs="宋体"/>
                <w:sz w:val="24"/>
                <w:szCs w:val="24"/>
              </w:rPr>
              <w:t>分</w:t>
            </w:r>
          </w:p>
        </w:tc>
        <w:tc>
          <w:tcPr>
            <w:tcW w:w="5793" w:type="dxa"/>
            <w:noWrap/>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rPr>
              <w:t>投标设备技术参数清楚、明确，满足或优于招标文件要求，无重大偏离</w:t>
            </w:r>
            <w:r>
              <w:rPr>
                <w:rFonts w:hint="eastAsia" w:ascii="宋体" w:hAnsi="宋体" w:eastAsia="宋体" w:cs="宋体"/>
                <w:sz w:val="24"/>
                <w:szCs w:val="24"/>
                <w:highlight w:val="none"/>
              </w:rPr>
              <w:t>，技术资料齐全。</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完全满足技术参数要求，得</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分。若任意一项标注“★”号的技术参数不满足招标文件要求，每项扣2分；若任意一项未标注“★”号的技术参数不满足招标文件要求，每项扣1分，本项最低得0分。</w:t>
            </w:r>
          </w:p>
          <w:p>
            <w:pPr>
              <w:spacing w:line="360" w:lineRule="auto"/>
              <w:jc w:val="left"/>
              <w:rPr>
                <w:rFonts w:eastAsia="仿宋_GB2312"/>
              </w:rPr>
            </w:pPr>
            <w:r>
              <w:rPr>
                <w:rFonts w:hint="eastAsia" w:ascii="宋体" w:hAnsi="宋体" w:eastAsia="宋体" w:cs="宋体"/>
                <w:sz w:val="24"/>
                <w:szCs w:val="24"/>
                <w:highlight w:val="none"/>
                <w:lang w:eastAsia="zh-CN"/>
              </w:rPr>
              <w:t>注：须提供所响应产品</w:t>
            </w:r>
            <w:r>
              <w:rPr>
                <w:rFonts w:hint="eastAsia" w:ascii="宋体" w:hAnsi="宋体" w:eastAsia="宋体" w:cs="宋体"/>
                <w:sz w:val="24"/>
                <w:szCs w:val="24"/>
                <w:highlight w:val="none"/>
              </w:rPr>
              <w:t>相关证明</w:t>
            </w:r>
            <w:r>
              <w:rPr>
                <w:rFonts w:hint="eastAsia" w:ascii="宋体" w:hAnsi="宋体" w:eastAsia="宋体" w:cs="宋体"/>
                <w:sz w:val="24"/>
                <w:szCs w:val="24"/>
                <w:highlight w:val="none"/>
                <w:lang w:eastAsia="zh-CN"/>
              </w:rPr>
              <w:t>材料</w:t>
            </w:r>
            <w:r>
              <w:rPr>
                <w:rFonts w:hint="eastAsia" w:ascii="宋体" w:hAnsi="宋体" w:eastAsia="宋体" w:cs="宋体"/>
                <w:sz w:val="24"/>
                <w:szCs w:val="24"/>
                <w:highlight w:val="none"/>
              </w:rPr>
              <w:t>（提供生产厂家确认的、相应的功能证明材料</w:t>
            </w:r>
            <w:r>
              <w:rPr>
                <w:rFonts w:hint="eastAsia" w:ascii="宋体" w:hAnsi="宋体" w:eastAsia="宋体" w:cs="宋体"/>
                <w:sz w:val="24"/>
                <w:szCs w:val="24"/>
                <w:highlight w:val="none"/>
                <w:lang w:eastAsia="zh-CN"/>
              </w:rPr>
              <w:t>，包括但不限于</w:t>
            </w:r>
            <w:r>
              <w:rPr>
                <w:rFonts w:hint="eastAsia" w:ascii="宋体" w:hAnsi="宋体" w:eastAsia="宋体" w:cs="宋体"/>
                <w:sz w:val="24"/>
                <w:szCs w:val="24"/>
                <w:highlight w:val="none"/>
              </w:rPr>
              <w:t>技术白皮书或检测报告</w:t>
            </w:r>
            <w:r>
              <w:rPr>
                <w:rFonts w:hint="eastAsia" w:ascii="宋体" w:hAnsi="宋体" w:eastAsia="宋体" w:cs="宋体"/>
                <w:sz w:val="24"/>
                <w:szCs w:val="24"/>
                <w:highlight w:val="none"/>
                <w:lang w:eastAsia="zh-CN"/>
              </w:rPr>
              <w:t>等</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807" w:type="dxa"/>
            <w:vMerge w:val="continue"/>
            <w:noWrap/>
            <w:vAlign w:val="center"/>
          </w:tcPr>
          <w:p>
            <w:pPr>
              <w:jc w:val="center"/>
              <w:rPr>
                <w:rFonts w:ascii="宋体" w:hAnsi="宋体"/>
                <w:sz w:val="24"/>
                <w:szCs w:val="24"/>
              </w:rPr>
            </w:pPr>
          </w:p>
        </w:tc>
        <w:tc>
          <w:tcPr>
            <w:tcW w:w="702" w:type="dxa"/>
            <w:noWrap/>
            <w:vAlign w:val="center"/>
          </w:tcPr>
          <w:p>
            <w:pPr>
              <w:ind w:right="-107" w:rightChars="-51"/>
              <w:jc w:val="center"/>
              <w:rPr>
                <w:rFonts w:ascii="宋体" w:hAnsi="宋体"/>
                <w:sz w:val="24"/>
                <w:szCs w:val="24"/>
              </w:rPr>
            </w:pPr>
            <w:r>
              <w:rPr>
                <w:rFonts w:hint="eastAsia" w:ascii="宋体" w:hAnsi="宋体"/>
                <w:sz w:val="24"/>
                <w:szCs w:val="24"/>
              </w:rPr>
              <w:t>2</w:t>
            </w:r>
          </w:p>
        </w:tc>
        <w:tc>
          <w:tcPr>
            <w:tcW w:w="1220" w:type="dxa"/>
            <w:noWrap/>
            <w:vAlign w:val="center"/>
          </w:tcPr>
          <w:p>
            <w:pPr>
              <w:spacing w:line="320" w:lineRule="exact"/>
              <w:jc w:val="center"/>
              <w:rPr>
                <w:rFonts w:ascii="宋体" w:hAnsi="宋体" w:cs="宋体"/>
                <w:sz w:val="24"/>
                <w:szCs w:val="24"/>
              </w:rPr>
            </w:pPr>
            <w:r>
              <w:rPr>
                <w:rFonts w:hint="eastAsia" w:ascii="宋体" w:hAnsi="宋体" w:cs="宋体"/>
                <w:sz w:val="24"/>
                <w:szCs w:val="24"/>
              </w:rPr>
              <w:t>产品功能配置等</w:t>
            </w:r>
          </w:p>
          <w:p>
            <w:pPr>
              <w:spacing w:line="320" w:lineRule="exact"/>
              <w:jc w:val="center"/>
              <w:rPr>
                <w:rFonts w:ascii="宋体" w:hAnsi="宋体"/>
                <w:sz w:val="24"/>
                <w:szCs w:val="24"/>
              </w:rPr>
            </w:pPr>
            <w:r>
              <w:rPr>
                <w:rFonts w:hint="eastAsia" w:ascii="宋体" w:hAnsi="宋体" w:cs="宋体"/>
                <w:sz w:val="24"/>
                <w:szCs w:val="24"/>
              </w:rPr>
              <w:t>15分</w:t>
            </w:r>
          </w:p>
        </w:tc>
        <w:tc>
          <w:tcPr>
            <w:tcW w:w="5793" w:type="dxa"/>
            <w:noWrap/>
            <w:vAlign w:val="center"/>
          </w:tcPr>
          <w:p>
            <w:pPr>
              <w:spacing w:line="360" w:lineRule="auto"/>
              <w:jc w:val="left"/>
              <w:rPr>
                <w:rFonts w:ascii="宋体" w:hAnsi="宋体" w:cs="宋体"/>
                <w:sz w:val="24"/>
                <w:szCs w:val="24"/>
              </w:rPr>
            </w:pPr>
            <w:r>
              <w:rPr>
                <w:rFonts w:hint="eastAsia" w:ascii="宋体" w:hAnsi="宋体" w:cs="宋体"/>
                <w:sz w:val="24"/>
                <w:szCs w:val="24"/>
              </w:rPr>
              <w:t>1、所响应设备配置齐全，整体功能完备且满足使用要求、提供了响应产品技术支持文件（提供生产厂家确认的、相应的功能证明材料</w:t>
            </w:r>
            <w:r>
              <w:rPr>
                <w:rFonts w:hint="eastAsia" w:ascii="宋体" w:hAnsi="宋体" w:cs="宋体"/>
                <w:sz w:val="24"/>
                <w:szCs w:val="24"/>
                <w:lang w:eastAsia="zh-CN"/>
              </w:rPr>
              <w:t>，</w:t>
            </w:r>
            <w:r>
              <w:rPr>
                <w:rFonts w:hint="eastAsia" w:ascii="宋体" w:hAnsi="宋体" w:eastAsia="宋体" w:cs="宋体"/>
                <w:sz w:val="24"/>
                <w:szCs w:val="24"/>
                <w:highlight w:val="none"/>
                <w:lang w:eastAsia="zh-CN"/>
              </w:rPr>
              <w:t>包括但不限于</w:t>
            </w:r>
            <w:r>
              <w:rPr>
                <w:rFonts w:hint="eastAsia" w:ascii="宋体" w:hAnsi="宋体" w:eastAsia="宋体" w:cs="宋体"/>
                <w:sz w:val="24"/>
                <w:szCs w:val="24"/>
                <w:highlight w:val="none"/>
              </w:rPr>
              <w:t>技术白皮书或检测报告</w:t>
            </w:r>
            <w:r>
              <w:rPr>
                <w:rFonts w:hint="eastAsia" w:ascii="宋体" w:hAnsi="宋体" w:eastAsia="宋体" w:cs="宋体"/>
                <w:sz w:val="24"/>
                <w:szCs w:val="24"/>
                <w:highlight w:val="none"/>
                <w:lang w:eastAsia="zh-CN"/>
              </w:rPr>
              <w:t>等</w:t>
            </w:r>
            <w:r>
              <w:rPr>
                <w:rFonts w:hint="eastAsia" w:ascii="宋体" w:hAnsi="宋体" w:cs="宋体"/>
                <w:sz w:val="24"/>
                <w:szCs w:val="24"/>
                <w:highlight w:val="none"/>
              </w:rPr>
              <w:t>），根据响应情况得15～10分。</w:t>
            </w:r>
          </w:p>
          <w:p>
            <w:pPr>
              <w:spacing w:line="360" w:lineRule="auto"/>
              <w:jc w:val="left"/>
              <w:rPr>
                <w:rFonts w:ascii="宋体" w:hAnsi="宋体" w:cs="宋体"/>
                <w:sz w:val="24"/>
                <w:szCs w:val="24"/>
              </w:rPr>
            </w:pPr>
            <w:r>
              <w:rPr>
                <w:rFonts w:hint="eastAsia" w:ascii="宋体" w:hAnsi="宋体" w:cs="宋体"/>
                <w:sz w:val="24"/>
                <w:szCs w:val="24"/>
              </w:rPr>
              <w:t>2、所响应设备配置较齐全，整体功能基本满足使用要求</w:t>
            </w:r>
            <w:r>
              <w:rPr>
                <w:rFonts w:hint="eastAsia" w:ascii="宋体" w:hAnsi="宋体" w:cs="宋体"/>
                <w:sz w:val="24"/>
                <w:szCs w:val="24"/>
                <w:lang w:eastAsia="zh-CN"/>
              </w:rPr>
              <w:t>，所提供的</w:t>
            </w:r>
            <w:r>
              <w:rPr>
                <w:rFonts w:hint="eastAsia" w:ascii="宋体" w:hAnsi="宋体" w:cs="宋体"/>
                <w:sz w:val="24"/>
                <w:szCs w:val="24"/>
              </w:rPr>
              <w:t>产品技术支持文件</w:t>
            </w:r>
            <w:r>
              <w:rPr>
                <w:rFonts w:hint="eastAsia" w:ascii="宋体" w:hAnsi="宋体" w:cs="宋体"/>
                <w:sz w:val="24"/>
                <w:szCs w:val="24"/>
                <w:lang w:eastAsia="zh-CN"/>
              </w:rPr>
              <w:t>基本完善</w:t>
            </w:r>
            <w:r>
              <w:rPr>
                <w:rFonts w:hint="eastAsia" w:ascii="宋体" w:hAnsi="宋体" w:cs="宋体"/>
                <w:sz w:val="24"/>
                <w:szCs w:val="24"/>
              </w:rPr>
              <w:t>，根据响应情况得9.9～5分。</w:t>
            </w:r>
          </w:p>
          <w:p>
            <w:pPr>
              <w:spacing w:line="360" w:lineRule="auto"/>
              <w:rPr>
                <w:rFonts w:ascii="宋体" w:hAnsi="宋体"/>
                <w:sz w:val="24"/>
                <w:szCs w:val="24"/>
              </w:rPr>
            </w:pPr>
            <w:r>
              <w:rPr>
                <w:rFonts w:hint="eastAsia" w:ascii="宋体" w:hAnsi="宋体" w:cs="宋体"/>
                <w:sz w:val="24"/>
                <w:szCs w:val="24"/>
              </w:rPr>
              <w:t>3、配置较差，功能存在明显不满足要求的情况，根据响应情况得4.9～0分。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07" w:type="dxa"/>
            <w:vMerge w:val="continue"/>
            <w:noWrap/>
            <w:vAlign w:val="center"/>
          </w:tcPr>
          <w:p>
            <w:pPr>
              <w:jc w:val="center"/>
              <w:rPr>
                <w:rFonts w:ascii="宋体" w:hAnsi="宋体"/>
                <w:sz w:val="24"/>
                <w:szCs w:val="24"/>
                <w:highlight w:val="none"/>
              </w:rPr>
            </w:pPr>
          </w:p>
        </w:tc>
        <w:tc>
          <w:tcPr>
            <w:tcW w:w="702" w:type="dxa"/>
            <w:noWrap/>
            <w:vAlign w:val="center"/>
          </w:tcPr>
          <w:p>
            <w:pPr>
              <w:ind w:right="-107" w:rightChars="-51"/>
              <w:jc w:val="center"/>
              <w:rPr>
                <w:rFonts w:ascii="宋体" w:hAnsi="宋体"/>
                <w:sz w:val="24"/>
                <w:szCs w:val="24"/>
                <w:highlight w:val="none"/>
              </w:rPr>
            </w:pPr>
            <w:r>
              <w:rPr>
                <w:rFonts w:hint="eastAsia" w:ascii="宋体" w:hAnsi="宋体"/>
                <w:sz w:val="24"/>
                <w:szCs w:val="24"/>
                <w:highlight w:val="none"/>
              </w:rPr>
              <w:t>3</w:t>
            </w:r>
          </w:p>
        </w:tc>
        <w:tc>
          <w:tcPr>
            <w:tcW w:w="1220" w:type="dxa"/>
            <w:noWrap/>
            <w:vAlign w:val="center"/>
          </w:tcPr>
          <w:p>
            <w:pPr>
              <w:spacing w:line="320" w:lineRule="exact"/>
              <w:jc w:val="center"/>
              <w:rPr>
                <w:rFonts w:ascii="宋体" w:hAnsi="宋体" w:cs="宋体"/>
                <w:sz w:val="24"/>
                <w:szCs w:val="24"/>
                <w:highlight w:val="none"/>
              </w:rPr>
            </w:pPr>
            <w:r>
              <w:rPr>
                <w:rFonts w:hint="eastAsia" w:ascii="宋体" w:hAnsi="宋体" w:cs="宋体"/>
                <w:sz w:val="24"/>
                <w:szCs w:val="24"/>
                <w:highlight w:val="none"/>
              </w:rPr>
              <w:t>供货能力、履约能力等</w:t>
            </w:r>
          </w:p>
          <w:p>
            <w:pPr>
              <w:spacing w:line="320" w:lineRule="exact"/>
              <w:jc w:val="center"/>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c>
          <w:tcPr>
            <w:tcW w:w="5793" w:type="dxa"/>
            <w:noWrap/>
            <w:vAlign w:val="center"/>
          </w:tcPr>
          <w:p>
            <w:pPr>
              <w:spacing w:line="360" w:lineRule="auto"/>
              <w:rPr>
                <w:rFonts w:ascii="宋体" w:hAnsi="宋体"/>
                <w:sz w:val="24"/>
                <w:szCs w:val="24"/>
                <w:highlight w:val="none"/>
              </w:rPr>
            </w:pPr>
            <w:r>
              <w:rPr>
                <w:rFonts w:hint="eastAsia" w:ascii="宋体" w:hAnsi="宋体"/>
                <w:sz w:val="24"/>
                <w:szCs w:val="24"/>
                <w:highlight w:val="none"/>
              </w:rPr>
              <w:t>由评标委员会综合评审：</w:t>
            </w:r>
          </w:p>
          <w:p>
            <w:pPr>
              <w:spacing w:line="360" w:lineRule="auto"/>
              <w:rPr>
                <w:rFonts w:ascii="宋体" w:hAnsi="宋体"/>
                <w:sz w:val="24"/>
                <w:szCs w:val="24"/>
                <w:highlight w:val="none"/>
              </w:rPr>
            </w:pPr>
            <w:r>
              <w:rPr>
                <w:rFonts w:hint="eastAsia" w:ascii="宋体" w:hAnsi="宋体"/>
                <w:sz w:val="24"/>
                <w:szCs w:val="24"/>
                <w:highlight w:val="none"/>
              </w:rPr>
              <w:t>1、所响应的供货、履约方案细致完整、可行、描述条理清晰，内容齐全，有较高的针对性，根据相应情况得5～3分。</w:t>
            </w:r>
          </w:p>
          <w:p>
            <w:pPr>
              <w:spacing w:line="360" w:lineRule="auto"/>
              <w:rPr>
                <w:rFonts w:ascii="宋体" w:hAnsi="宋体"/>
                <w:sz w:val="24"/>
                <w:szCs w:val="24"/>
                <w:highlight w:val="none"/>
              </w:rPr>
            </w:pPr>
            <w:r>
              <w:rPr>
                <w:rFonts w:hint="eastAsia" w:ascii="宋体" w:hAnsi="宋体"/>
                <w:sz w:val="24"/>
                <w:szCs w:val="24"/>
                <w:highlight w:val="none"/>
              </w:rPr>
              <w:t>2、所响应方案较完整，可基本实现及满足供货、履约要求，根据响应情况得2.9～1分。</w:t>
            </w:r>
          </w:p>
          <w:p>
            <w:pPr>
              <w:spacing w:line="360" w:lineRule="auto"/>
              <w:rPr>
                <w:rFonts w:ascii="宋体" w:hAnsi="宋体"/>
                <w:sz w:val="24"/>
                <w:szCs w:val="24"/>
                <w:highlight w:val="none"/>
              </w:rPr>
            </w:pPr>
            <w:r>
              <w:rPr>
                <w:rFonts w:hint="eastAsia" w:ascii="宋体" w:hAnsi="宋体"/>
                <w:sz w:val="24"/>
                <w:szCs w:val="24"/>
                <w:highlight w:val="none"/>
              </w:rPr>
              <w:t>3、所响应方案有明显缺陷，针对性较差，不能完全满足供货、履约要求，根据响应情况得0.9～0分。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07" w:type="dxa"/>
            <w:vMerge w:val="continue"/>
            <w:noWrap/>
            <w:vAlign w:val="center"/>
          </w:tcPr>
          <w:p>
            <w:pPr>
              <w:rPr>
                <w:rFonts w:ascii="宋体" w:hAnsi="宋体"/>
                <w:sz w:val="24"/>
                <w:szCs w:val="24"/>
                <w:highlight w:val="none"/>
              </w:rPr>
            </w:pPr>
          </w:p>
        </w:tc>
        <w:tc>
          <w:tcPr>
            <w:tcW w:w="702" w:type="dxa"/>
            <w:noWrap/>
            <w:vAlign w:val="center"/>
          </w:tcPr>
          <w:p>
            <w:pPr>
              <w:jc w:val="center"/>
              <w:rPr>
                <w:rFonts w:ascii="宋体" w:hAnsi="宋体"/>
                <w:sz w:val="24"/>
                <w:szCs w:val="24"/>
                <w:highlight w:val="none"/>
              </w:rPr>
            </w:pPr>
            <w:r>
              <w:rPr>
                <w:rFonts w:hint="eastAsia" w:ascii="宋体" w:hAnsi="宋体"/>
                <w:sz w:val="24"/>
                <w:szCs w:val="24"/>
                <w:highlight w:val="none"/>
              </w:rPr>
              <w:t>4</w:t>
            </w:r>
          </w:p>
        </w:tc>
        <w:tc>
          <w:tcPr>
            <w:tcW w:w="1220" w:type="dxa"/>
            <w:noWrap/>
            <w:vAlign w:val="center"/>
          </w:tcPr>
          <w:p>
            <w:pPr>
              <w:spacing w:line="320" w:lineRule="exact"/>
              <w:jc w:val="center"/>
              <w:rPr>
                <w:rFonts w:ascii="宋体" w:hAnsi="宋体" w:cs="宋体"/>
                <w:sz w:val="24"/>
                <w:szCs w:val="24"/>
                <w:highlight w:val="none"/>
              </w:rPr>
            </w:pPr>
            <w:r>
              <w:rPr>
                <w:rFonts w:hint="eastAsia" w:ascii="宋体" w:hAnsi="宋体" w:cs="宋体"/>
                <w:sz w:val="24"/>
                <w:szCs w:val="24"/>
                <w:highlight w:val="none"/>
              </w:rPr>
              <w:t>来源渠道合法证明文件</w:t>
            </w:r>
          </w:p>
          <w:p>
            <w:pPr>
              <w:spacing w:line="320" w:lineRule="exact"/>
              <w:jc w:val="center"/>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tc>
        <w:tc>
          <w:tcPr>
            <w:tcW w:w="5793" w:type="dxa"/>
            <w:noWrap/>
            <w:vAlign w:val="center"/>
          </w:tcPr>
          <w:p>
            <w:pPr>
              <w:spacing w:line="360" w:lineRule="auto"/>
              <w:rPr>
                <w:rFonts w:ascii="宋体" w:hAnsi="宋体"/>
                <w:sz w:val="24"/>
                <w:szCs w:val="24"/>
                <w:highlight w:val="none"/>
              </w:rPr>
            </w:pPr>
            <w:r>
              <w:rPr>
                <w:rFonts w:hint="eastAsia" w:ascii="宋体" w:hAnsi="宋体" w:cs="宋体"/>
                <w:sz w:val="24"/>
                <w:szCs w:val="24"/>
                <w:highlight w:val="none"/>
              </w:rPr>
              <w:t>提供第七章招标内容中所要求器材的货物来源渠道合法证明文件（</w:t>
            </w:r>
            <w:r>
              <w:rPr>
                <w:rFonts w:hint="eastAsia" w:ascii="宋体" w:hAnsi="宋体" w:cs="宋体"/>
                <w:b/>
                <w:bCs/>
                <w:sz w:val="24"/>
                <w:szCs w:val="24"/>
                <w:highlight w:val="none"/>
              </w:rPr>
              <w:t>包括但不限于原厂授权、销售协议、代理协议等</w:t>
            </w:r>
            <w:r>
              <w:rPr>
                <w:rFonts w:hint="eastAsia" w:ascii="宋体" w:hAnsi="宋体" w:cs="宋体"/>
                <w:sz w:val="24"/>
                <w:szCs w:val="24"/>
                <w:highlight w:val="none"/>
              </w:rPr>
              <w:t>）的，提供得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07" w:type="dxa"/>
            <w:vMerge w:val="continue"/>
            <w:noWrap/>
            <w:vAlign w:val="center"/>
          </w:tcPr>
          <w:p>
            <w:pPr>
              <w:rPr>
                <w:rFonts w:ascii="宋体" w:hAnsi="宋体"/>
                <w:sz w:val="24"/>
                <w:szCs w:val="24"/>
                <w:highlight w:val="none"/>
              </w:rPr>
            </w:pPr>
          </w:p>
        </w:tc>
        <w:tc>
          <w:tcPr>
            <w:tcW w:w="702" w:type="dxa"/>
            <w:noWrap/>
            <w:vAlign w:val="center"/>
          </w:tcPr>
          <w:p>
            <w:pPr>
              <w:jc w:val="center"/>
              <w:rPr>
                <w:rFonts w:ascii="宋体" w:hAnsi="宋体"/>
                <w:sz w:val="24"/>
                <w:szCs w:val="24"/>
                <w:highlight w:val="none"/>
              </w:rPr>
            </w:pPr>
            <w:r>
              <w:rPr>
                <w:rFonts w:hint="eastAsia" w:ascii="宋体" w:hAnsi="宋体"/>
                <w:sz w:val="24"/>
                <w:szCs w:val="24"/>
                <w:highlight w:val="none"/>
              </w:rPr>
              <w:t>5</w:t>
            </w:r>
          </w:p>
        </w:tc>
        <w:tc>
          <w:tcPr>
            <w:tcW w:w="1220" w:type="dxa"/>
            <w:noWrap/>
            <w:vAlign w:val="center"/>
          </w:tcPr>
          <w:p>
            <w:pPr>
              <w:spacing w:line="320" w:lineRule="exact"/>
              <w:jc w:val="center"/>
              <w:rPr>
                <w:rFonts w:ascii="宋体" w:hAnsi="宋体" w:cs="宋体"/>
                <w:sz w:val="24"/>
                <w:szCs w:val="24"/>
                <w:highlight w:val="none"/>
              </w:rPr>
            </w:pPr>
            <w:r>
              <w:rPr>
                <w:rFonts w:hint="eastAsia" w:ascii="宋体" w:hAnsi="宋体" w:cs="宋体"/>
                <w:sz w:val="24"/>
                <w:szCs w:val="24"/>
                <w:highlight w:val="none"/>
              </w:rPr>
              <w:t>项目整体实施方案</w:t>
            </w:r>
          </w:p>
          <w:p>
            <w:pPr>
              <w:spacing w:line="320" w:lineRule="exact"/>
              <w:jc w:val="center"/>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tc>
        <w:tc>
          <w:tcPr>
            <w:tcW w:w="5793" w:type="dxa"/>
            <w:noWrap/>
            <w:vAlign w:val="center"/>
          </w:tcPr>
          <w:p>
            <w:pPr>
              <w:spacing w:line="360" w:lineRule="auto"/>
              <w:rPr>
                <w:rFonts w:ascii="宋体" w:hAnsi="宋体"/>
                <w:sz w:val="24"/>
                <w:szCs w:val="24"/>
                <w:highlight w:val="none"/>
              </w:rPr>
            </w:pPr>
            <w:r>
              <w:rPr>
                <w:rFonts w:hint="eastAsia" w:ascii="宋体" w:hAnsi="宋体"/>
                <w:sz w:val="24"/>
                <w:szCs w:val="24"/>
                <w:highlight w:val="none"/>
              </w:rPr>
              <w:t>根据对各供应商的整体实施方案(根据采购人现状，设计合理的措施方案。包括但不限于：安装调试进度计划及措施方案、质量保证措施、安全保证措施，配套装修方案，劳动力安排、主要机械设备配备计划及环境保护措施等)。</w:t>
            </w:r>
          </w:p>
          <w:p>
            <w:pPr>
              <w:spacing w:line="360" w:lineRule="auto"/>
              <w:rPr>
                <w:rFonts w:ascii="宋体" w:hAnsi="宋体"/>
                <w:sz w:val="24"/>
                <w:szCs w:val="24"/>
                <w:highlight w:val="none"/>
              </w:rPr>
            </w:pPr>
            <w:r>
              <w:rPr>
                <w:rFonts w:hint="eastAsia" w:ascii="宋体" w:hAnsi="宋体"/>
                <w:sz w:val="24"/>
                <w:szCs w:val="24"/>
                <w:highlight w:val="none"/>
              </w:rPr>
              <w:t>1、方案完整可行，针对采购人现状合理设计安装调试与措施方案，满足采购人实际需求，描述条理清晰，有较高针对性，根据响应情况得</w:t>
            </w:r>
            <w:r>
              <w:rPr>
                <w:rFonts w:hint="eastAsia" w:ascii="宋体" w:hAnsi="宋体"/>
                <w:sz w:val="24"/>
                <w:szCs w:val="24"/>
                <w:highlight w:val="none"/>
                <w:lang w:val="en-US" w:eastAsia="zh-CN"/>
              </w:rPr>
              <w:t>7</w:t>
            </w:r>
            <w:r>
              <w:rPr>
                <w:rFonts w:hint="eastAsia"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分。</w:t>
            </w:r>
          </w:p>
          <w:p>
            <w:pPr>
              <w:spacing w:line="360" w:lineRule="auto"/>
              <w:rPr>
                <w:rFonts w:ascii="宋体" w:hAnsi="宋体"/>
                <w:sz w:val="24"/>
                <w:szCs w:val="24"/>
                <w:highlight w:val="none"/>
              </w:rPr>
            </w:pPr>
            <w:r>
              <w:rPr>
                <w:rFonts w:hint="eastAsia" w:ascii="宋体" w:hAnsi="宋体"/>
                <w:sz w:val="24"/>
                <w:szCs w:val="24"/>
                <w:highlight w:val="none"/>
              </w:rPr>
              <w:t>2、方案较为完整，安装调试与措施方案基本满足采购人实际需求，根据响应情况得</w:t>
            </w:r>
            <w:r>
              <w:rPr>
                <w:rFonts w:hint="eastAsia" w:ascii="宋体" w:hAnsi="宋体"/>
                <w:sz w:val="24"/>
                <w:szCs w:val="24"/>
                <w:highlight w:val="none"/>
                <w:lang w:val="en-US" w:eastAsia="zh-CN"/>
              </w:rPr>
              <w:t>3</w:t>
            </w:r>
            <w:r>
              <w:rPr>
                <w:rFonts w:hint="eastAsia" w:ascii="宋体" w:hAnsi="宋体"/>
                <w:sz w:val="24"/>
                <w:szCs w:val="24"/>
                <w:highlight w:val="none"/>
              </w:rPr>
              <w:t>.9～</w:t>
            </w:r>
            <w:r>
              <w:rPr>
                <w:rFonts w:hint="eastAsia" w:ascii="宋体" w:hAnsi="宋体"/>
                <w:sz w:val="24"/>
                <w:szCs w:val="24"/>
                <w:highlight w:val="none"/>
                <w:lang w:val="en-US" w:eastAsia="zh-CN"/>
              </w:rPr>
              <w:t>2</w:t>
            </w:r>
            <w:r>
              <w:rPr>
                <w:rFonts w:hint="eastAsia" w:ascii="宋体" w:hAnsi="宋体"/>
                <w:sz w:val="24"/>
                <w:szCs w:val="24"/>
                <w:highlight w:val="none"/>
              </w:rPr>
              <w:t>分。</w:t>
            </w:r>
          </w:p>
          <w:p>
            <w:pPr>
              <w:spacing w:line="360" w:lineRule="auto"/>
              <w:rPr>
                <w:rFonts w:ascii="宋体" w:hAnsi="宋体"/>
                <w:sz w:val="24"/>
                <w:szCs w:val="24"/>
                <w:highlight w:val="none"/>
              </w:rPr>
            </w:pPr>
            <w:r>
              <w:rPr>
                <w:rFonts w:hint="eastAsia" w:ascii="宋体" w:hAnsi="宋体"/>
                <w:sz w:val="24"/>
                <w:szCs w:val="24"/>
                <w:highlight w:val="none"/>
              </w:rPr>
              <w:t>3、方案有明显缺陷，针对性较差，根据响应情况得</w:t>
            </w:r>
            <w:r>
              <w:rPr>
                <w:rFonts w:hint="eastAsia" w:ascii="宋体" w:hAnsi="宋体"/>
                <w:sz w:val="24"/>
                <w:szCs w:val="24"/>
                <w:highlight w:val="none"/>
                <w:lang w:val="en-US" w:eastAsia="zh-CN"/>
              </w:rPr>
              <w:t>1.9</w:t>
            </w:r>
            <w:r>
              <w:rPr>
                <w:rFonts w:hint="eastAsia" w:ascii="宋体" w:hAnsi="宋体"/>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07" w:type="dxa"/>
            <w:vMerge w:val="continue"/>
            <w:noWrap/>
            <w:vAlign w:val="center"/>
          </w:tcPr>
          <w:p>
            <w:pPr>
              <w:rPr>
                <w:rFonts w:ascii="宋体" w:hAnsi="宋体"/>
                <w:sz w:val="24"/>
                <w:szCs w:val="24"/>
                <w:highlight w:val="none"/>
              </w:rPr>
            </w:pPr>
          </w:p>
        </w:tc>
        <w:tc>
          <w:tcPr>
            <w:tcW w:w="702" w:type="dxa"/>
            <w:noWrap/>
            <w:vAlign w:val="center"/>
          </w:tcPr>
          <w:p>
            <w:pPr>
              <w:jc w:val="center"/>
              <w:rPr>
                <w:rFonts w:ascii="宋体" w:hAnsi="宋体"/>
                <w:sz w:val="24"/>
                <w:szCs w:val="24"/>
                <w:highlight w:val="none"/>
              </w:rPr>
            </w:pPr>
            <w:r>
              <w:rPr>
                <w:rFonts w:hint="eastAsia" w:ascii="宋体" w:hAnsi="宋体"/>
                <w:sz w:val="24"/>
                <w:szCs w:val="24"/>
                <w:highlight w:val="none"/>
              </w:rPr>
              <w:t>6</w:t>
            </w:r>
          </w:p>
        </w:tc>
        <w:tc>
          <w:tcPr>
            <w:tcW w:w="1220" w:type="dxa"/>
            <w:noWrap/>
            <w:vAlign w:val="center"/>
          </w:tcPr>
          <w:p>
            <w:pPr>
              <w:spacing w:line="320" w:lineRule="exact"/>
              <w:jc w:val="center"/>
              <w:rPr>
                <w:rFonts w:ascii="宋体" w:hAnsi="宋体" w:cs="宋体"/>
                <w:sz w:val="24"/>
                <w:szCs w:val="24"/>
                <w:highlight w:val="none"/>
              </w:rPr>
            </w:pPr>
            <w:r>
              <w:rPr>
                <w:rFonts w:hint="eastAsia" w:ascii="宋体" w:hAnsi="宋体" w:cs="宋体"/>
                <w:sz w:val="24"/>
                <w:szCs w:val="24"/>
                <w:highlight w:val="none"/>
              </w:rPr>
              <w:t>售后服务</w:t>
            </w:r>
          </w:p>
          <w:p>
            <w:pPr>
              <w:spacing w:line="320" w:lineRule="exact"/>
              <w:jc w:val="center"/>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tc>
        <w:tc>
          <w:tcPr>
            <w:tcW w:w="5793" w:type="dxa"/>
            <w:noWrap/>
            <w:vAlign w:val="center"/>
          </w:tcPr>
          <w:p>
            <w:pPr>
              <w:spacing w:line="360" w:lineRule="auto"/>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有可靠的售后服务承诺和措施，在本地售后服务机构运行正常</w:t>
            </w:r>
            <w:r>
              <w:rPr>
                <w:rFonts w:hint="eastAsia" w:ascii="宋体" w:hAnsi="宋体"/>
                <w:sz w:val="24"/>
                <w:szCs w:val="24"/>
                <w:highlight w:val="none"/>
              </w:rPr>
              <w:t>，能够在报修后4小时内派技术人员到场提供技术支持和售后服务（提供证明材料，如租房协议或产权证明材料等）由评标委员会横向比较，综合评审，根据响应情况得</w:t>
            </w:r>
            <w:r>
              <w:rPr>
                <w:rFonts w:hint="eastAsia" w:ascii="宋体" w:hAnsi="宋体"/>
                <w:sz w:val="24"/>
                <w:szCs w:val="24"/>
                <w:highlight w:val="none"/>
                <w:lang w:val="en-US" w:eastAsia="zh-CN"/>
              </w:rPr>
              <w:t>2</w:t>
            </w:r>
            <w:r>
              <w:rPr>
                <w:rFonts w:hint="eastAsia" w:ascii="宋体" w:hAnsi="宋体"/>
                <w:sz w:val="24"/>
                <w:szCs w:val="24"/>
                <w:highlight w:val="none"/>
              </w:rPr>
              <w:t>～0分。</w:t>
            </w:r>
          </w:p>
          <w:p>
            <w:pPr>
              <w:spacing w:line="360" w:lineRule="auto"/>
              <w:rPr>
                <w:rFonts w:ascii="宋体" w:hAnsi="宋体"/>
                <w:sz w:val="24"/>
                <w:szCs w:val="24"/>
                <w:highlight w:val="none"/>
              </w:rPr>
            </w:pPr>
            <w:r>
              <w:rPr>
                <w:rFonts w:hint="eastAsia" w:ascii="宋体" w:hAnsi="宋体"/>
                <w:sz w:val="24"/>
                <w:szCs w:val="24"/>
                <w:highlight w:val="none"/>
              </w:rPr>
              <w:t>2、质量保修期过后有完善的维保服务，维保价格、配套零配件、耗材或主要易损零配件价格合理，由评标委员会横向比较，综合评审，根据响应情况得</w:t>
            </w:r>
            <w:r>
              <w:rPr>
                <w:rFonts w:hint="eastAsia" w:ascii="宋体" w:hAnsi="宋体"/>
                <w:sz w:val="24"/>
                <w:szCs w:val="24"/>
                <w:highlight w:val="none"/>
                <w:lang w:val="en-US" w:eastAsia="zh-CN"/>
              </w:rPr>
              <w:t>2</w:t>
            </w:r>
            <w:r>
              <w:rPr>
                <w:rFonts w:hint="eastAsia" w:ascii="宋体" w:hAnsi="宋体"/>
                <w:sz w:val="24"/>
                <w:szCs w:val="24"/>
                <w:highlight w:val="none"/>
              </w:rPr>
              <w:t>～0分。</w:t>
            </w:r>
          </w:p>
          <w:p>
            <w:pPr>
              <w:spacing w:line="360" w:lineRule="auto"/>
              <w:rPr>
                <w:rFonts w:ascii="宋体" w:hAnsi="宋体"/>
                <w:sz w:val="24"/>
                <w:szCs w:val="24"/>
                <w:highlight w:val="none"/>
              </w:rPr>
            </w:pPr>
            <w:r>
              <w:rPr>
                <w:rFonts w:hint="eastAsia" w:ascii="宋体" w:hAnsi="宋体" w:cs="宋体"/>
                <w:sz w:val="24"/>
                <w:szCs w:val="24"/>
                <w:highlight w:val="none"/>
              </w:rPr>
              <w:t>3、提供所响应产品原厂售后服务承诺函，根据响应情况</w:t>
            </w:r>
            <w:r>
              <w:rPr>
                <w:rFonts w:hint="eastAsia" w:ascii="宋体" w:hAnsi="宋体"/>
                <w:sz w:val="24"/>
                <w:szCs w:val="24"/>
                <w:highlight w:val="none"/>
              </w:rPr>
              <w:t>得2～0分</w:t>
            </w: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07" w:type="dxa"/>
            <w:vMerge w:val="continue"/>
            <w:noWrap/>
            <w:vAlign w:val="center"/>
          </w:tcPr>
          <w:p>
            <w:pPr>
              <w:rPr>
                <w:rFonts w:ascii="宋体" w:hAnsi="宋体"/>
                <w:sz w:val="24"/>
                <w:szCs w:val="24"/>
              </w:rPr>
            </w:pPr>
          </w:p>
        </w:tc>
        <w:tc>
          <w:tcPr>
            <w:tcW w:w="702" w:type="dxa"/>
            <w:noWrap/>
            <w:vAlign w:val="center"/>
          </w:tcPr>
          <w:p>
            <w:pPr>
              <w:spacing w:line="360" w:lineRule="auto"/>
              <w:jc w:val="center"/>
              <w:rPr>
                <w:rFonts w:ascii="宋体" w:hAnsi="宋体"/>
                <w:sz w:val="24"/>
                <w:szCs w:val="24"/>
              </w:rPr>
            </w:pPr>
            <w:r>
              <w:rPr>
                <w:rFonts w:hint="eastAsia" w:ascii="宋体" w:hAnsi="宋体"/>
                <w:sz w:val="24"/>
                <w:szCs w:val="24"/>
              </w:rPr>
              <w:t>7</w:t>
            </w:r>
          </w:p>
        </w:tc>
        <w:tc>
          <w:tcPr>
            <w:tcW w:w="1220" w:type="dxa"/>
            <w:noWrap/>
            <w:vAlign w:val="center"/>
          </w:tcPr>
          <w:p>
            <w:pPr>
              <w:spacing w:line="360" w:lineRule="auto"/>
              <w:jc w:val="center"/>
              <w:rPr>
                <w:rFonts w:ascii="宋体" w:hAnsi="宋体" w:cs="宋体"/>
                <w:sz w:val="24"/>
                <w:szCs w:val="22"/>
              </w:rPr>
            </w:pPr>
            <w:r>
              <w:rPr>
                <w:rFonts w:hint="eastAsia" w:ascii="宋体" w:hAnsi="宋体" w:cs="宋体"/>
                <w:sz w:val="24"/>
                <w:szCs w:val="22"/>
              </w:rPr>
              <w:t>培训方案</w:t>
            </w:r>
          </w:p>
          <w:p>
            <w:pPr>
              <w:spacing w:line="360" w:lineRule="auto"/>
              <w:jc w:val="center"/>
              <w:rPr>
                <w:rFonts w:ascii="宋体" w:hAnsi="宋体" w:cs="宋体"/>
                <w:sz w:val="24"/>
                <w:szCs w:val="24"/>
              </w:rPr>
            </w:pPr>
            <w:r>
              <w:rPr>
                <w:rFonts w:hint="eastAsia" w:ascii="宋体" w:hAnsi="宋体" w:cs="宋体"/>
                <w:sz w:val="24"/>
                <w:szCs w:val="24"/>
              </w:rPr>
              <w:t>5</w:t>
            </w:r>
          </w:p>
        </w:tc>
        <w:tc>
          <w:tcPr>
            <w:tcW w:w="5793" w:type="dxa"/>
            <w:noWrap/>
            <w:vAlign w:val="center"/>
          </w:tcPr>
          <w:p>
            <w:pPr>
              <w:spacing w:line="360" w:lineRule="auto"/>
              <w:rPr>
                <w:rFonts w:ascii="宋体" w:hAnsi="宋体" w:cs="宋体"/>
                <w:sz w:val="24"/>
                <w:szCs w:val="22"/>
              </w:rPr>
            </w:pPr>
            <w:r>
              <w:rPr>
                <w:rFonts w:hint="eastAsia" w:ascii="宋体" w:hAnsi="宋体" w:cs="宋体"/>
                <w:sz w:val="24"/>
                <w:szCs w:val="22"/>
              </w:rPr>
              <w:t>免费对采购方技术人员的操作，维修、保养等方面进行专业培训，须列出具体培训工作的响应方案并编制详细的响应说明（响应说明需包含培训具体内容、时长、地点等内容，保证使用人员正常操作设备的各种功能）。</w:t>
            </w:r>
          </w:p>
          <w:p>
            <w:pPr>
              <w:spacing w:line="360" w:lineRule="auto"/>
              <w:rPr>
                <w:rFonts w:ascii="宋体" w:hAnsi="宋体" w:cs="宋体"/>
                <w:sz w:val="24"/>
                <w:szCs w:val="22"/>
              </w:rPr>
            </w:pPr>
            <w:r>
              <w:rPr>
                <w:rFonts w:hint="eastAsia" w:ascii="宋体" w:hAnsi="宋体" w:cs="宋体"/>
                <w:sz w:val="24"/>
                <w:szCs w:val="22"/>
              </w:rPr>
              <w:t>1.培训方案细致完整、可行、描述条理清晰，内容包括卖方应提供现场技术培训与向买方提供使用和维修技术人员培训，有较高的针对性，能够完全满足</w:t>
            </w:r>
            <w:r>
              <w:rPr>
                <w:rFonts w:hint="eastAsia" w:ascii="宋体" w:hAnsi="宋体"/>
                <w:bCs/>
                <w:kern w:val="0"/>
                <w:sz w:val="24"/>
                <w:szCs w:val="24"/>
              </w:rPr>
              <w:t>采购人实际需求</w:t>
            </w:r>
            <w:r>
              <w:rPr>
                <w:rFonts w:hint="eastAsia" w:ascii="宋体" w:hAnsi="宋体" w:cs="宋体"/>
                <w:sz w:val="24"/>
                <w:szCs w:val="22"/>
              </w:rPr>
              <w:t>，</w:t>
            </w:r>
            <w:r>
              <w:rPr>
                <w:rFonts w:hint="eastAsia" w:ascii="宋体" w:hAnsi="宋体"/>
                <w:sz w:val="24"/>
                <w:szCs w:val="24"/>
                <w:highlight w:val="none"/>
              </w:rPr>
              <w:t>根据响应情况得</w:t>
            </w:r>
            <w:r>
              <w:rPr>
                <w:rFonts w:hint="eastAsia" w:ascii="宋体" w:hAnsi="宋体" w:cs="宋体"/>
                <w:sz w:val="24"/>
                <w:szCs w:val="22"/>
              </w:rPr>
              <w:t>5分～4分；</w:t>
            </w:r>
          </w:p>
          <w:p>
            <w:pPr>
              <w:spacing w:line="360" w:lineRule="auto"/>
              <w:rPr>
                <w:rFonts w:ascii="宋体" w:hAnsi="宋体" w:cs="宋体"/>
                <w:sz w:val="24"/>
                <w:szCs w:val="22"/>
              </w:rPr>
            </w:pPr>
            <w:r>
              <w:rPr>
                <w:rFonts w:hint="eastAsia" w:ascii="宋体" w:hAnsi="宋体" w:cs="宋体"/>
                <w:sz w:val="24"/>
                <w:szCs w:val="22"/>
              </w:rPr>
              <w:t>2.方案较完整，可基本实现及满足采购要求，</w:t>
            </w:r>
            <w:r>
              <w:rPr>
                <w:rFonts w:hint="eastAsia" w:ascii="宋体" w:hAnsi="宋体"/>
                <w:sz w:val="24"/>
                <w:szCs w:val="24"/>
                <w:highlight w:val="none"/>
              </w:rPr>
              <w:t>根据响应情况得</w:t>
            </w:r>
            <w:r>
              <w:rPr>
                <w:rFonts w:hint="eastAsia" w:ascii="宋体" w:hAnsi="宋体" w:cs="宋体"/>
                <w:sz w:val="24"/>
                <w:szCs w:val="22"/>
              </w:rPr>
              <w:t>3.9～</w:t>
            </w:r>
            <w:r>
              <w:rPr>
                <w:rFonts w:hint="eastAsia" w:ascii="宋体" w:hAnsi="宋体" w:cs="宋体"/>
                <w:sz w:val="24"/>
                <w:szCs w:val="22"/>
                <w:lang w:val="en-US" w:eastAsia="zh-CN"/>
              </w:rPr>
              <w:t>2</w:t>
            </w:r>
            <w:r>
              <w:rPr>
                <w:rFonts w:hint="eastAsia" w:ascii="宋体" w:hAnsi="宋体" w:cs="宋体"/>
                <w:sz w:val="24"/>
                <w:szCs w:val="22"/>
              </w:rPr>
              <w:t>分；</w:t>
            </w:r>
          </w:p>
          <w:p>
            <w:pPr>
              <w:spacing w:line="360" w:lineRule="auto"/>
              <w:rPr>
                <w:rFonts w:ascii="宋体" w:hAnsi="宋体" w:cs="宋体"/>
                <w:sz w:val="24"/>
                <w:szCs w:val="24"/>
              </w:rPr>
            </w:pPr>
            <w:r>
              <w:rPr>
                <w:rFonts w:hint="eastAsia" w:ascii="宋体" w:hAnsi="宋体" w:cs="宋体"/>
                <w:sz w:val="24"/>
                <w:szCs w:val="22"/>
              </w:rPr>
              <w:t>3.方案有明显缺陷，针对性较差，</w:t>
            </w:r>
            <w:r>
              <w:rPr>
                <w:rFonts w:hint="eastAsia" w:ascii="宋体" w:hAnsi="宋体"/>
                <w:sz w:val="24"/>
                <w:szCs w:val="24"/>
                <w:highlight w:val="none"/>
              </w:rPr>
              <w:t>根据响应情况得</w:t>
            </w:r>
            <w:r>
              <w:rPr>
                <w:rFonts w:hint="eastAsia" w:ascii="宋体" w:hAnsi="宋体" w:cs="宋体"/>
                <w:sz w:val="24"/>
                <w:szCs w:val="22"/>
                <w:lang w:val="en-US" w:eastAsia="zh-CN"/>
              </w:rPr>
              <w:t>1.9</w:t>
            </w:r>
            <w:r>
              <w:rPr>
                <w:rFonts w:hint="eastAsia" w:ascii="宋体" w:hAnsi="宋体" w:cs="宋体"/>
                <w:sz w:val="24"/>
                <w:szCs w:val="22"/>
              </w:rPr>
              <w:t>～</w:t>
            </w:r>
            <w:r>
              <w:rPr>
                <w:rFonts w:hint="eastAsia" w:ascii="宋体" w:hAnsi="宋体" w:cs="宋体"/>
                <w:sz w:val="24"/>
                <w:szCs w:val="22"/>
                <w:lang w:val="en-US" w:eastAsia="zh-CN"/>
              </w:rPr>
              <w:t>0</w:t>
            </w:r>
            <w:r>
              <w:rPr>
                <w:rFonts w:hint="eastAsia" w:ascii="宋体" w:hAnsi="宋体" w:cs="宋体"/>
                <w:sz w:val="24"/>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07" w:type="dxa"/>
            <w:vMerge w:val="continue"/>
            <w:noWrap/>
            <w:vAlign w:val="center"/>
          </w:tcPr>
          <w:p>
            <w:pPr>
              <w:rPr>
                <w:rFonts w:ascii="宋体" w:hAnsi="宋体"/>
                <w:sz w:val="24"/>
                <w:szCs w:val="24"/>
                <w:highlight w:val="none"/>
              </w:rPr>
            </w:pPr>
          </w:p>
        </w:tc>
        <w:tc>
          <w:tcPr>
            <w:tcW w:w="702" w:type="dxa"/>
            <w:noWrap/>
            <w:vAlign w:val="center"/>
          </w:tcPr>
          <w:p>
            <w:pPr>
              <w:jc w:val="center"/>
              <w:rPr>
                <w:rFonts w:ascii="宋体" w:hAnsi="宋体"/>
                <w:sz w:val="24"/>
                <w:szCs w:val="24"/>
                <w:highlight w:val="none"/>
              </w:rPr>
            </w:pPr>
            <w:r>
              <w:rPr>
                <w:rFonts w:hint="eastAsia" w:ascii="宋体" w:hAnsi="宋体"/>
                <w:sz w:val="24"/>
                <w:szCs w:val="24"/>
                <w:highlight w:val="none"/>
              </w:rPr>
              <w:t>8</w:t>
            </w:r>
          </w:p>
        </w:tc>
        <w:tc>
          <w:tcPr>
            <w:tcW w:w="1220" w:type="dxa"/>
            <w:noWrap/>
            <w:vAlign w:val="center"/>
          </w:tcPr>
          <w:p>
            <w:pPr>
              <w:spacing w:line="320" w:lineRule="exact"/>
              <w:jc w:val="center"/>
              <w:rPr>
                <w:rFonts w:ascii="宋体" w:hAnsi="宋体" w:cs="宋体"/>
                <w:sz w:val="24"/>
                <w:szCs w:val="24"/>
                <w:highlight w:val="none"/>
              </w:rPr>
            </w:pPr>
            <w:r>
              <w:rPr>
                <w:rFonts w:hint="eastAsia" w:ascii="宋体" w:hAnsi="宋体" w:cs="宋体"/>
                <w:sz w:val="24"/>
                <w:szCs w:val="24"/>
                <w:highlight w:val="none"/>
              </w:rPr>
              <w:t>业绩</w:t>
            </w:r>
          </w:p>
          <w:p>
            <w:pPr>
              <w:spacing w:line="320" w:lineRule="exact"/>
              <w:jc w:val="center"/>
              <w:rPr>
                <w:rFonts w:ascii="宋体" w:hAnsi="宋体" w:cs="宋体"/>
                <w:sz w:val="24"/>
                <w:szCs w:val="24"/>
                <w:highlight w:val="none"/>
              </w:rPr>
            </w:pPr>
            <w:r>
              <w:rPr>
                <w:rFonts w:hint="eastAsia" w:ascii="宋体" w:hAnsi="宋体" w:cs="宋体"/>
                <w:sz w:val="24"/>
                <w:szCs w:val="24"/>
                <w:highlight w:val="none"/>
              </w:rPr>
              <w:t>5分</w:t>
            </w:r>
          </w:p>
        </w:tc>
        <w:tc>
          <w:tcPr>
            <w:tcW w:w="5793" w:type="dxa"/>
            <w:noWrap/>
            <w:vAlign w:val="center"/>
          </w:tcPr>
          <w:p>
            <w:pPr>
              <w:spacing w:line="360" w:lineRule="auto"/>
              <w:rPr>
                <w:rFonts w:ascii="宋体" w:hAnsi="宋体" w:cs="宋体"/>
                <w:sz w:val="24"/>
                <w:szCs w:val="24"/>
                <w:highlight w:val="none"/>
              </w:rPr>
            </w:pPr>
            <w:r>
              <w:rPr>
                <w:rFonts w:hint="eastAsia" w:ascii="宋体" w:hAnsi="宋体"/>
                <w:color w:val="000000"/>
                <w:sz w:val="24"/>
                <w:szCs w:val="24"/>
                <w:highlight w:val="none"/>
              </w:rPr>
              <w:t>2019年1月1日之日起（以合同签署日期为准）提供供应商的同类项目的供货业绩证明（合同复印件加盖单位公章，原件备查）；</w:t>
            </w:r>
            <w:r>
              <w:rPr>
                <w:rFonts w:hint="eastAsia" w:ascii="宋体" w:hAnsi="宋体"/>
                <w:sz w:val="24"/>
                <w:szCs w:val="24"/>
                <w:highlight w:val="none"/>
              </w:rPr>
              <w:t>每提供一份有效业绩得1分，最高得5分。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807" w:type="dxa"/>
            <w:noWrap/>
            <w:vAlign w:val="center"/>
          </w:tcPr>
          <w:p>
            <w:pPr>
              <w:jc w:val="center"/>
              <w:rPr>
                <w:rFonts w:ascii="宋体" w:hAnsi="宋体"/>
                <w:sz w:val="24"/>
                <w:szCs w:val="24"/>
              </w:rPr>
            </w:pPr>
            <w:r>
              <w:rPr>
                <w:rFonts w:hint="eastAsia" w:ascii="宋体" w:hAnsi="宋体"/>
                <w:sz w:val="24"/>
                <w:szCs w:val="24"/>
              </w:rPr>
              <w:t>商务30分</w:t>
            </w:r>
          </w:p>
        </w:tc>
        <w:tc>
          <w:tcPr>
            <w:tcW w:w="702" w:type="dxa"/>
            <w:noWrap/>
            <w:vAlign w:val="center"/>
          </w:tcPr>
          <w:p>
            <w:pPr>
              <w:jc w:val="center"/>
              <w:rPr>
                <w:rFonts w:ascii="宋体" w:hAnsi="宋体"/>
                <w:sz w:val="24"/>
                <w:szCs w:val="24"/>
              </w:rPr>
            </w:pPr>
            <w:r>
              <w:rPr>
                <w:rFonts w:hint="eastAsia" w:ascii="宋体" w:hAnsi="宋体"/>
                <w:sz w:val="24"/>
                <w:szCs w:val="24"/>
              </w:rPr>
              <w:t>1</w:t>
            </w:r>
          </w:p>
        </w:tc>
        <w:tc>
          <w:tcPr>
            <w:tcW w:w="1220" w:type="dxa"/>
            <w:noWrap/>
            <w:vAlign w:val="center"/>
          </w:tcPr>
          <w:p>
            <w:pPr>
              <w:spacing w:line="320" w:lineRule="exact"/>
              <w:jc w:val="center"/>
              <w:rPr>
                <w:rFonts w:ascii="宋体" w:hAnsi="宋体" w:cs="宋体"/>
                <w:sz w:val="24"/>
                <w:szCs w:val="24"/>
              </w:rPr>
            </w:pPr>
            <w:r>
              <w:rPr>
                <w:rFonts w:hint="eastAsia" w:ascii="宋体" w:hAnsi="宋体" w:cs="宋体"/>
                <w:sz w:val="24"/>
                <w:szCs w:val="24"/>
              </w:rPr>
              <w:t>价格</w:t>
            </w:r>
          </w:p>
          <w:p>
            <w:pPr>
              <w:spacing w:line="320" w:lineRule="exact"/>
              <w:jc w:val="center"/>
              <w:rPr>
                <w:rFonts w:ascii="宋体" w:hAnsi="宋体" w:cs="宋体"/>
                <w:sz w:val="24"/>
                <w:szCs w:val="24"/>
              </w:rPr>
            </w:pPr>
            <w:r>
              <w:rPr>
                <w:rFonts w:hint="eastAsia" w:ascii="宋体" w:hAnsi="宋体" w:cs="宋体"/>
                <w:sz w:val="24"/>
                <w:szCs w:val="24"/>
              </w:rPr>
              <w:t>30分</w:t>
            </w:r>
          </w:p>
        </w:tc>
        <w:tc>
          <w:tcPr>
            <w:tcW w:w="5793" w:type="dxa"/>
            <w:noWrap/>
            <w:vAlign w:val="center"/>
          </w:tcPr>
          <w:p>
            <w:pPr>
              <w:spacing w:line="360" w:lineRule="auto"/>
              <w:rPr>
                <w:rFonts w:ascii="宋体" w:hAnsi="宋体"/>
                <w:sz w:val="24"/>
                <w:szCs w:val="24"/>
              </w:rPr>
            </w:pPr>
            <w:r>
              <w:rPr>
                <w:rFonts w:hint="eastAsia" w:ascii="宋体" w:hAnsi="宋体"/>
                <w:sz w:val="24"/>
                <w:szCs w:val="24"/>
              </w:rPr>
              <w:t>1、最低评标价为评标基准价，得30分。</w:t>
            </w:r>
          </w:p>
          <w:p>
            <w:pPr>
              <w:widowControl/>
              <w:spacing w:line="360" w:lineRule="auto"/>
              <w:ind w:left="15" w:leftChars="6" w:hanging="2"/>
              <w:jc w:val="left"/>
              <w:rPr>
                <w:rFonts w:ascii="宋体" w:hAnsi="宋体"/>
                <w:sz w:val="24"/>
                <w:szCs w:val="24"/>
              </w:rPr>
            </w:pPr>
            <w:r>
              <w:rPr>
                <w:rFonts w:hint="eastAsia" w:ascii="宋体" w:hAnsi="宋体"/>
                <w:sz w:val="24"/>
                <w:szCs w:val="24"/>
              </w:rPr>
              <w:t>2、按（评标基准价/评标价×30）的公式计算价格得分。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8522" w:type="dxa"/>
            <w:gridSpan w:val="4"/>
            <w:noWrap/>
            <w:vAlign w:val="center"/>
          </w:tcPr>
          <w:p>
            <w:pPr>
              <w:rPr>
                <w:rFonts w:ascii="宋体" w:hAnsi="宋体"/>
                <w:szCs w:val="21"/>
                <w:highlight w:val="none"/>
              </w:rPr>
            </w:pPr>
            <w:r>
              <w:rPr>
                <w:rFonts w:hint="eastAsia" w:ascii="宋体" w:hAnsi="宋体"/>
                <w:szCs w:val="21"/>
                <w:highlight w:val="none"/>
              </w:rPr>
              <w:t>1）各评委独立打分。</w:t>
            </w:r>
          </w:p>
          <w:p>
            <w:pPr>
              <w:rPr>
                <w:rFonts w:ascii="宋体" w:hAnsi="宋体"/>
                <w:szCs w:val="21"/>
                <w:highlight w:val="none"/>
              </w:rPr>
            </w:pPr>
            <w:r>
              <w:rPr>
                <w:rFonts w:hint="eastAsia" w:ascii="宋体" w:hAnsi="宋体"/>
                <w:szCs w:val="21"/>
                <w:highlight w:val="none"/>
              </w:rPr>
              <w:t>2）评委打分超过得分界限或未按本表规定赋分时，该评委的打分无效，不计入汇总分。</w:t>
            </w:r>
          </w:p>
          <w:p>
            <w:pPr>
              <w:ind w:left="315" w:hanging="315" w:hangingChars="150"/>
              <w:rPr>
                <w:rFonts w:ascii="宋体" w:hAnsi="宋体"/>
                <w:sz w:val="24"/>
                <w:szCs w:val="24"/>
                <w:highlight w:val="none"/>
              </w:rPr>
            </w:pPr>
            <w:r>
              <w:rPr>
                <w:rFonts w:hint="eastAsia" w:ascii="宋体" w:hAnsi="宋体"/>
                <w:szCs w:val="21"/>
                <w:highlight w:val="none"/>
              </w:rPr>
              <w:t>3）各种计算采用插入法，最终结果数字保留二位小数，第三位“四舍五入”。</w:t>
            </w:r>
          </w:p>
        </w:tc>
      </w:tr>
    </w:tbl>
    <w:p>
      <w:pPr>
        <w:spacing w:before="240" w:line="360" w:lineRule="auto"/>
        <w:rPr>
          <w:rFonts w:ascii="宋体" w:hAnsi="宋体" w:cs="宋体"/>
          <w:b/>
          <w:sz w:val="32"/>
          <w:szCs w:val="32"/>
        </w:rPr>
      </w:pPr>
    </w:p>
    <w:sectPr>
      <w:headerReference r:id="rId3" w:type="default"/>
      <w:footerReference r:id="rId4" w:type="default"/>
      <w:footerReference r:id="rId5"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65</w:t>
    </w:r>
    <w:r>
      <w:fldChar w:fldCharType="end"/>
    </w:r>
  </w:p>
  <w:p>
    <w:pPr>
      <w:pStyle w:val="12"/>
      <w:framePr w:w="361" w:wrap="around" w:vAnchor="text" w:hAnchor="page" w:x="5761" w:y="-5"/>
      <w:rPr>
        <w:rStyle w:val="22"/>
      </w:rP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r>
      <w:pict>
        <v:line id="直线 1" o:spid="_x0000_s1026" o:spt="20" style="position:absolute;left:0pt;margin-left:0pt;margin-top:11.65pt;height:0pt;width:414pt;z-index:251659264;mso-width-relative:page;mso-height-relative:page;" coordsize="21600,21600" o:gfxdata="UEsDBAoAAAAAAIdO4kAAAAAAAAAAAAAAAAAEAAAAZHJzL1BLAwQUAAAACACHTuJAtREvy9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URL8vTAAAABgEA&#10;AA8AAAAAAAAAAQAgAAAAIgAAAGRycy9kb3ducmV2LnhtbFBLAQIUABQAAAAIAIdO4kD8F/Re5gEA&#10;ANsDAAAOAAAAAAAAAAEAIAAAACIBAABkcnMvZTJvRG9jLnhtbFBLBQYAAAAABgAGAFkBAAB6BQAA&#10;AAA=&#10;">
          <v:path arrowok="t"/>
          <v:fill focussize="0,0"/>
          <v:stroke/>
          <v:imagedata o:title=""/>
          <o:lock v:ext="edit"/>
        </v:line>
      </w:pict>
    </w:r>
    <w:r>
      <w:rPr>
        <w:rFonts w:hint="eastAsia"/>
      </w:rPr>
      <w:t>政府采购项目招标文件                                         西北（陕西）国际招标有限公司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000003"/>
    <w:multiLevelType w:val="singleLevel"/>
    <w:tmpl w:val="00000003"/>
    <w:lvl w:ilvl="0" w:tentative="0">
      <w:start w:val="5"/>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1）"/>
      <w:lvlJc w:val="left"/>
      <w:pPr>
        <w:ind w:left="3599" w:hanging="1080"/>
      </w:pPr>
      <w:rPr>
        <w:rFonts w:hint="default"/>
      </w:rPr>
    </w:lvl>
    <w:lvl w:ilvl="1" w:tentative="0">
      <w:start w:val="1"/>
      <w:numFmt w:val="lowerLetter"/>
      <w:lvlText w:val="%2)"/>
      <w:lvlJc w:val="left"/>
      <w:pPr>
        <w:ind w:left="3359" w:hanging="420"/>
      </w:pPr>
    </w:lvl>
    <w:lvl w:ilvl="2" w:tentative="0">
      <w:start w:val="1"/>
      <w:numFmt w:val="lowerRoman"/>
      <w:lvlText w:val="%3."/>
      <w:lvlJc w:val="right"/>
      <w:pPr>
        <w:ind w:left="3779" w:hanging="420"/>
      </w:pPr>
    </w:lvl>
    <w:lvl w:ilvl="3" w:tentative="0">
      <w:start w:val="1"/>
      <w:numFmt w:val="decimal"/>
      <w:lvlText w:val="%4."/>
      <w:lvlJc w:val="left"/>
      <w:pPr>
        <w:ind w:left="4199" w:hanging="420"/>
      </w:pPr>
    </w:lvl>
    <w:lvl w:ilvl="4" w:tentative="0">
      <w:start w:val="1"/>
      <w:numFmt w:val="lowerLetter"/>
      <w:lvlText w:val="%5)"/>
      <w:lvlJc w:val="left"/>
      <w:pPr>
        <w:ind w:left="4619" w:hanging="420"/>
      </w:pPr>
    </w:lvl>
    <w:lvl w:ilvl="5" w:tentative="0">
      <w:start w:val="1"/>
      <w:numFmt w:val="lowerRoman"/>
      <w:lvlText w:val="%6."/>
      <w:lvlJc w:val="right"/>
      <w:pPr>
        <w:ind w:left="5039" w:hanging="420"/>
      </w:pPr>
    </w:lvl>
    <w:lvl w:ilvl="6" w:tentative="0">
      <w:start w:val="1"/>
      <w:numFmt w:val="decimal"/>
      <w:lvlText w:val="%7."/>
      <w:lvlJc w:val="left"/>
      <w:pPr>
        <w:ind w:left="5459" w:hanging="420"/>
      </w:pPr>
    </w:lvl>
    <w:lvl w:ilvl="7" w:tentative="0">
      <w:start w:val="1"/>
      <w:numFmt w:val="lowerLetter"/>
      <w:lvlText w:val="%8)"/>
      <w:lvlJc w:val="left"/>
      <w:pPr>
        <w:ind w:left="5879" w:hanging="420"/>
      </w:pPr>
    </w:lvl>
    <w:lvl w:ilvl="8" w:tentative="0">
      <w:start w:val="1"/>
      <w:numFmt w:val="lowerRoman"/>
      <w:lvlText w:val="%9."/>
      <w:lvlJc w:val="right"/>
      <w:pPr>
        <w:ind w:left="6299" w:hanging="420"/>
      </w:pPr>
    </w:lvl>
  </w:abstractNum>
  <w:abstractNum w:abstractNumId="3">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8"/>
    <w:multiLevelType w:val="multilevel"/>
    <w:tmpl w:val="00000008"/>
    <w:lvl w:ilvl="0" w:tentative="0">
      <w:start w:val="1"/>
      <w:numFmt w:val="japaneseCounting"/>
      <w:lvlText w:val="（%1）"/>
      <w:lvlJc w:val="left"/>
      <w:pPr>
        <w:ind w:left="1960" w:hanging="720"/>
      </w:pPr>
      <w:rPr>
        <w:rFonts w:hint="default"/>
        <w:sz w:val="24"/>
      </w:rPr>
    </w:lvl>
    <w:lvl w:ilvl="1" w:tentative="0">
      <w:start w:val="1"/>
      <w:numFmt w:val="lowerLetter"/>
      <w:lvlText w:val="%2)"/>
      <w:lvlJc w:val="left"/>
      <w:pPr>
        <w:ind w:left="2080" w:hanging="420"/>
      </w:pPr>
    </w:lvl>
    <w:lvl w:ilvl="2" w:tentative="0">
      <w:start w:val="1"/>
      <w:numFmt w:val="lowerRoman"/>
      <w:lvlText w:val="%3."/>
      <w:lvlJc w:val="right"/>
      <w:pPr>
        <w:ind w:left="2500" w:hanging="420"/>
      </w:pPr>
    </w:lvl>
    <w:lvl w:ilvl="3" w:tentative="0">
      <w:start w:val="1"/>
      <w:numFmt w:val="decimal"/>
      <w:lvlText w:val="%4."/>
      <w:lvlJc w:val="left"/>
      <w:pPr>
        <w:ind w:left="2920" w:hanging="420"/>
      </w:pPr>
    </w:lvl>
    <w:lvl w:ilvl="4" w:tentative="0">
      <w:start w:val="1"/>
      <w:numFmt w:val="lowerLetter"/>
      <w:lvlText w:val="%5)"/>
      <w:lvlJc w:val="left"/>
      <w:pPr>
        <w:ind w:left="3340" w:hanging="420"/>
      </w:pPr>
    </w:lvl>
    <w:lvl w:ilvl="5" w:tentative="0">
      <w:start w:val="1"/>
      <w:numFmt w:val="lowerRoman"/>
      <w:lvlText w:val="%6."/>
      <w:lvlJc w:val="right"/>
      <w:pPr>
        <w:ind w:left="3760" w:hanging="420"/>
      </w:pPr>
    </w:lvl>
    <w:lvl w:ilvl="6" w:tentative="0">
      <w:start w:val="1"/>
      <w:numFmt w:val="decimal"/>
      <w:lvlText w:val="%7."/>
      <w:lvlJc w:val="left"/>
      <w:pPr>
        <w:ind w:left="4180" w:hanging="420"/>
      </w:pPr>
    </w:lvl>
    <w:lvl w:ilvl="7" w:tentative="0">
      <w:start w:val="1"/>
      <w:numFmt w:val="lowerLetter"/>
      <w:lvlText w:val="%8)"/>
      <w:lvlJc w:val="left"/>
      <w:pPr>
        <w:ind w:left="4600" w:hanging="420"/>
      </w:pPr>
    </w:lvl>
    <w:lvl w:ilvl="8" w:tentative="0">
      <w:start w:val="1"/>
      <w:numFmt w:val="lowerRoman"/>
      <w:lvlText w:val="%9."/>
      <w:lvlJc w:val="right"/>
      <w:pPr>
        <w:ind w:left="5020" w:hanging="420"/>
      </w:pPr>
    </w:lvl>
  </w:abstractNum>
  <w:abstractNum w:abstractNumId="5">
    <w:nsid w:val="0000000A"/>
    <w:multiLevelType w:val="singleLevel"/>
    <w:tmpl w:val="0000000A"/>
    <w:lvl w:ilvl="0" w:tentative="0">
      <w:start w:val="1"/>
      <w:numFmt w:val="decimal"/>
      <w:lvlText w:val="（%1）"/>
      <w:lvlJc w:val="left"/>
      <w:pPr>
        <w:tabs>
          <w:tab w:val="left" w:pos="720"/>
        </w:tabs>
        <w:ind w:left="720" w:hanging="720"/>
      </w:pPr>
      <w:rPr>
        <w:rFonts w:hint="eastAsia"/>
      </w:rPr>
    </w:lvl>
  </w:abstractNum>
  <w:abstractNum w:abstractNumId="6">
    <w:nsid w:val="4FE1B547"/>
    <w:multiLevelType w:val="singleLevel"/>
    <w:tmpl w:val="4FE1B547"/>
    <w:lvl w:ilvl="0" w:tentative="0">
      <w:start w:val="1"/>
      <w:numFmt w:val="chineseCounting"/>
      <w:suff w:val="nothing"/>
      <w:lvlText w:val="%1、"/>
      <w:lvlJc w:val="left"/>
      <w:rPr>
        <w:rFonts w:hint="eastAsia"/>
      </w:rPr>
    </w:lvl>
  </w:abstractNum>
  <w:abstractNum w:abstractNumId="7">
    <w:nsid w:val="7ED87E52"/>
    <w:multiLevelType w:val="multilevel"/>
    <w:tmpl w:val="7ED87E52"/>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1"/>
  </w:num>
  <w:num w:numId="4">
    <w:abstractNumId w:val="7"/>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B66"/>
    <w:rsid w:val="0000130B"/>
    <w:rsid w:val="00003ED1"/>
    <w:rsid w:val="0000441E"/>
    <w:rsid w:val="00004514"/>
    <w:rsid w:val="0000467C"/>
    <w:rsid w:val="00004B36"/>
    <w:rsid w:val="00005A5B"/>
    <w:rsid w:val="00007DA5"/>
    <w:rsid w:val="00011849"/>
    <w:rsid w:val="000129C3"/>
    <w:rsid w:val="000153A7"/>
    <w:rsid w:val="00016074"/>
    <w:rsid w:val="00016747"/>
    <w:rsid w:val="00016780"/>
    <w:rsid w:val="0001730A"/>
    <w:rsid w:val="000179D9"/>
    <w:rsid w:val="00022FC2"/>
    <w:rsid w:val="00023C67"/>
    <w:rsid w:val="0002628F"/>
    <w:rsid w:val="00026A83"/>
    <w:rsid w:val="00026B18"/>
    <w:rsid w:val="00027245"/>
    <w:rsid w:val="00027DC9"/>
    <w:rsid w:val="00034064"/>
    <w:rsid w:val="0003541A"/>
    <w:rsid w:val="00037C50"/>
    <w:rsid w:val="00040005"/>
    <w:rsid w:val="00041008"/>
    <w:rsid w:val="000418CD"/>
    <w:rsid w:val="000423AB"/>
    <w:rsid w:val="00042AB8"/>
    <w:rsid w:val="00043C34"/>
    <w:rsid w:val="000442B2"/>
    <w:rsid w:val="000451EB"/>
    <w:rsid w:val="000458B0"/>
    <w:rsid w:val="000468C6"/>
    <w:rsid w:val="00047EB8"/>
    <w:rsid w:val="00051277"/>
    <w:rsid w:val="00051F1D"/>
    <w:rsid w:val="00052D57"/>
    <w:rsid w:val="00054063"/>
    <w:rsid w:val="00054D22"/>
    <w:rsid w:val="0005565B"/>
    <w:rsid w:val="00056B70"/>
    <w:rsid w:val="000607CC"/>
    <w:rsid w:val="00060FB1"/>
    <w:rsid w:val="00061B95"/>
    <w:rsid w:val="0006212D"/>
    <w:rsid w:val="00062DD3"/>
    <w:rsid w:val="0006336A"/>
    <w:rsid w:val="00063B47"/>
    <w:rsid w:val="00064329"/>
    <w:rsid w:val="00064A58"/>
    <w:rsid w:val="0006557E"/>
    <w:rsid w:val="00065781"/>
    <w:rsid w:val="00067555"/>
    <w:rsid w:val="00067849"/>
    <w:rsid w:val="00067F43"/>
    <w:rsid w:val="00071CF6"/>
    <w:rsid w:val="0007245B"/>
    <w:rsid w:val="0007404B"/>
    <w:rsid w:val="0007422F"/>
    <w:rsid w:val="00074846"/>
    <w:rsid w:val="000757A9"/>
    <w:rsid w:val="00080978"/>
    <w:rsid w:val="00081947"/>
    <w:rsid w:val="0008287A"/>
    <w:rsid w:val="00083D6D"/>
    <w:rsid w:val="0008551A"/>
    <w:rsid w:val="00085C2E"/>
    <w:rsid w:val="00086F3B"/>
    <w:rsid w:val="00087BEB"/>
    <w:rsid w:val="000913F1"/>
    <w:rsid w:val="000918D0"/>
    <w:rsid w:val="000932A5"/>
    <w:rsid w:val="0009344A"/>
    <w:rsid w:val="00095542"/>
    <w:rsid w:val="00095665"/>
    <w:rsid w:val="00097A8A"/>
    <w:rsid w:val="000A65C1"/>
    <w:rsid w:val="000A6A34"/>
    <w:rsid w:val="000A6CDF"/>
    <w:rsid w:val="000A73D3"/>
    <w:rsid w:val="000B0971"/>
    <w:rsid w:val="000B1E4C"/>
    <w:rsid w:val="000B2B57"/>
    <w:rsid w:val="000B370F"/>
    <w:rsid w:val="000B43C5"/>
    <w:rsid w:val="000B4788"/>
    <w:rsid w:val="000B4D0D"/>
    <w:rsid w:val="000B506C"/>
    <w:rsid w:val="000B641F"/>
    <w:rsid w:val="000C035E"/>
    <w:rsid w:val="000C19DD"/>
    <w:rsid w:val="000C1C60"/>
    <w:rsid w:val="000C1D92"/>
    <w:rsid w:val="000C21B0"/>
    <w:rsid w:val="000C709E"/>
    <w:rsid w:val="000D1D7C"/>
    <w:rsid w:val="000D43CF"/>
    <w:rsid w:val="000D4713"/>
    <w:rsid w:val="000D4DF5"/>
    <w:rsid w:val="000D66EC"/>
    <w:rsid w:val="000D6C0D"/>
    <w:rsid w:val="000E054D"/>
    <w:rsid w:val="000E31DA"/>
    <w:rsid w:val="000E4596"/>
    <w:rsid w:val="000E7915"/>
    <w:rsid w:val="000F0DDA"/>
    <w:rsid w:val="000F1652"/>
    <w:rsid w:val="000F1FD6"/>
    <w:rsid w:val="000F3786"/>
    <w:rsid w:val="000F411A"/>
    <w:rsid w:val="000F489A"/>
    <w:rsid w:val="000F4952"/>
    <w:rsid w:val="000F4B75"/>
    <w:rsid w:val="000F57F9"/>
    <w:rsid w:val="000F5A18"/>
    <w:rsid w:val="000F5D17"/>
    <w:rsid w:val="000F6855"/>
    <w:rsid w:val="000F7B51"/>
    <w:rsid w:val="000F7CEB"/>
    <w:rsid w:val="00101AE8"/>
    <w:rsid w:val="00101AF2"/>
    <w:rsid w:val="00101DA2"/>
    <w:rsid w:val="00102615"/>
    <w:rsid w:val="00104DBB"/>
    <w:rsid w:val="00110184"/>
    <w:rsid w:val="00112396"/>
    <w:rsid w:val="00114C16"/>
    <w:rsid w:val="00115AFB"/>
    <w:rsid w:val="00115C5C"/>
    <w:rsid w:val="00116585"/>
    <w:rsid w:val="00117742"/>
    <w:rsid w:val="00117EF8"/>
    <w:rsid w:val="00117FE5"/>
    <w:rsid w:val="001219AA"/>
    <w:rsid w:val="00121CBE"/>
    <w:rsid w:val="0012601E"/>
    <w:rsid w:val="001268B0"/>
    <w:rsid w:val="00126C2E"/>
    <w:rsid w:val="00130B03"/>
    <w:rsid w:val="0013291C"/>
    <w:rsid w:val="00133C29"/>
    <w:rsid w:val="00134290"/>
    <w:rsid w:val="00134C00"/>
    <w:rsid w:val="00135568"/>
    <w:rsid w:val="00136826"/>
    <w:rsid w:val="00141A1E"/>
    <w:rsid w:val="0014342C"/>
    <w:rsid w:val="0014346A"/>
    <w:rsid w:val="0014368E"/>
    <w:rsid w:val="00145F12"/>
    <w:rsid w:val="001461FB"/>
    <w:rsid w:val="001466D5"/>
    <w:rsid w:val="00147BA8"/>
    <w:rsid w:val="00150B16"/>
    <w:rsid w:val="001510CE"/>
    <w:rsid w:val="001512DF"/>
    <w:rsid w:val="0015208D"/>
    <w:rsid w:val="00153148"/>
    <w:rsid w:val="0015376C"/>
    <w:rsid w:val="00153BAA"/>
    <w:rsid w:val="0015514B"/>
    <w:rsid w:val="0015560D"/>
    <w:rsid w:val="0015704F"/>
    <w:rsid w:val="001574B1"/>
    <w:rsid w:val="00161BB3"/>
    <w:rsid w:val="00162180"/>
    <w:rsid w:val="00162848"/>
    <w:rsid w:val="00162DD7"/>
    <w:rsid w:val="001630FA"/>
    <w:rsid w:val="00163C85"/>
    <w:rsid w:val="00165E30"/>
    <w:rsid w:val="00166A16"/>
    <w:rsid w:val="00167DD3"/>
    <w:rsid w:val="0017046E"/>
    <w:rsid w:val="00170B81"/>
    <w:rsid w:val="00170CDA"/>
    <w:rsid w:val="00171421"/>
    <w:rsid w:val="00172088"/>
    <w:rsid w:val="00172374"/>
    <w:rsid w:val="00172A27"/>
    <w:rsid w:val="00175F35"/>
    <w:rsid w:val="001764F7"/>
    <w:rsid w:val="00176DD9"/>
    <w:rsid w:val="00177B65"/>
    <w:rsid w:val="00177DAE"/>
    <w:rsid w:val="00183581"/>
    <w:rsid w:val="00184062"/>
    <w:rsid w:val="00184BA6"/>
    <w:rsid w:val="00185FD9"/>
    <w:rsid w:val="00186444"/>
    <w:rsid w:val="00187C90"/>
    <w:rsid w:val="00193A29"/>
    <w:rsid w:val="0019442E"/>
    <w:rsid w:val="00194E3B"/>
    <w:rsid w:val="001959FC"/>
    <w:rsid w:val="00195EBF"/>
    <w:rsid w:val="00196562"/>
    <w:rsid w:val="001A0E3F"/>
    <w:rsid w:val="001A0E5E"/>
    <w:rsid w:val="001A14B5"/>
    <w:rsid w:val="001A28D3"/>
    <w:rsid w:val="001A3D25"/>
    <w:rsid w:val="001A52A9"/>
    <w:rsid w:val="001A52BF"/>
    <w:rsid w:val="001A7B80"/>
    <w:rsid w:val="001B2458"/>
    <w:rsid w:val="001B37BD"/>
    <w:rsid w:val="001B3B69"/>
    <w:rsid w:val="001B51EA"/>
    <w:rsid w:val="001B5FA5"/>
    <w:rsid w:val="001B7C58"/>
    <w:rsid w:val="001C00E0"/>
    <w:rsid w:val="001C05B0"/>
    <w:rsid w:val="001C20F6"/>
    <w:rsid w:val="001C389D"/>
    <w:rsid w:val="001C42B1"/>
    <w:rsid w:val="001C42DD"/>
    <w:rsid w:val="001C46BD"/>
    <w:rsid w:val="001C49B1"/>
    <w:rsid w:val="001C5F42"/>
    <w:rsid w:val="001C64BA"/>
    <w:rsid w:val="001D171D"/>
    <w:rsid w:val="001D1DA0"/>
    <w:rsid w:val="001D23A6"/>
    <w:rsid w:val="001D4D68"/>
    <w:rsid w:val="001D5128"/>
    <w:rsid w:val="001D5EB4"/>
    <w:rsid w:val="001D667A"/>
    <w:rsid w:val="001D6818"/>
    <w:rsid w:val="001E0350"/>
    <w:rsid w:val="001E47DD"/>
    <w:rsid w:val="001E519D"/>
    <w:rsid w:val="001E6791"/>
    <w:rsid w:val="001E70D6"/>
    <w:rsid w:val="001E74B1"/>
    <w:rsid w:val="001E7FDF"/>
    <w:rsid w:val="001F02DA"/>
    <w:rsid w:val="001F0533"/>
    <w:rsid w:val="001F3A62"/>
    <w:rsid w:val="001F3E72"/>
    <w:rsid w:val="001F45F5"/>
    <w:rsid w:val="001F480D"/>
    <w:rsid w:val="001F67BE"/>
    <w:rsid w:val="002001CC"/>
    <w:rsid w:val="00200D3C"/>
    <w:rsid w:val="00200E74"/>
    <w:rsid w:val="002014C1"/>
    <w:rsid w:val="002032B0"/>
    <w:rsid w:val="0020330F"/>
    <w:rsid w:val="0020413F"/>
    <w:rsid w:val="002051E7"/>
    <w:rsid w:val="00206D54"/>
    <w:rsid w:val="00206DA2"/>
    <w:rsid w:val="00207A8F"/>
    <w:rsid w:val="00207CB5"/>
    <w:rsid w:val="0021153E"/>
    <w:rsid w:val="00211E16"/>
    <w:rsid w:val="002123A5"/>
    <w:rsid w:val="00212966"/>
    <w:rsid w:val="00213623"/>
    <w:rsid w:val="00213665"/>
    <w:rsid w:val="00215310"/>
    <w:rsid w:val="002177E0"/>
    <w:rsid w:val="00217B64"/>
    <w:rsid w:val="002214C7"/>
    <w:rsid w:val="00221DDD"/>
    <w:rsid w:val="00222A7A"/>
    <w:rsid w:val="0022439F"/>
    <w:rsid w:val="00225197"/>
    <w:rsid w:val="00227834"/>
    <w:rsid w:val="00227E45"/>
    <w:rsid w:val="002305EC"/>
    <w:rsid w:val="00230C64"/>
    <w:rsid w:val="0023310E"/>
    <w:rsid w:val="00234EA1"/>
    <w:rsid w:val="00235AB9"/>
    <w:rsid w:val="00235F91"/>
    <w:rsid w:val="00237126"/>
    <w:rsid w:val="00237E34"/>
    <w:rsid w:val="00240CE6"/>
    <w:rsid w:val="00240FB8"/>
    <w:rsid w:val="0024133E"/>
    <w:rsid w:val="00241CC1"/>
    <w:rsid w:val="00243173"/>
    <w:rsid w:val="0024319D"/>
    <w:rsid w:val="00244255"/>
    <w:rsid w:val="00244497"/>
    <w:rsid w:val="00246EE3"/>
    <w:rsid w:val="002477D5"/>
    <w:rsid w:val="0025122B"/>
    <w:rsid w:val="00251D54"/>
    <w:rsid w:val="0025203B"/>
    <w:rsid w:val="00253808"/>
    <w:rsid w:val="002556FF"/>
    <w:rsid w:val="00255BBF"/>
    <w:rsid w:val="002625BF"/>
    <w:rsid w:val="002627B2"/>
    <w:rsid w:val="00262E6C"/>
    <w:rsid w:val="00267406"/>
    <w:rsid w:val="002713A9"/>
    <w:rsid w:val="00271F17"/>
    <w:rsid w:val="00272B2A"/>
    <w:rsid w:val="00272E02"/>
    <w:rsid w:val="00273135"/>
    <w:rsid w:val="002734AE"/>
    <w:rsid w:val="00274124"/>
    <w:rsid w:val="00280454"/>
    <w:rsid w:val="0028204F"/>
    <w:rsid w:val="00286146"/>
    <w:rsid w:val="00287F36"/>
    <w:rsid w:val="0029190E"/>
    <w:rsid w:val="002932B6"/>
    <w:rsid w:val="00293E21"/>
    <w:rsid w:val="00297303"/>
    <w:rsid w:val="00297B68"/>
    <w:rsid w:val="002A0927"/>
    <w:rsid w:val="002A0D8E"/>
    <w:rsid w:val="002A2553"/>
    <w:rsid w:val="002A3313"/>
    <w:rsid w:val="002A499D"/>
    <w:rsid w:val="002A56A6"/>
    <w:rsid w:val="002A680E"/>
    <w:rsid w:val="002A7198"/>
    <w:rsid w:val="002A7DFB"/>
    <w:rsid w:val="002B1ADF"/>
    <w:rsid w:val="002B352D"/>
    <w:rsid w:val="002B3EEA"/>
    <w:rsid w:val="002B460E"/>
    <w:rsid w:val="002B5CAC"/>
    <w:rsid w:val="002B768F"/>
    <w:rsid w:val="002C11E9"/>
    <w:rsid w:val="002C16DB"/>
    <w:rsid w:val="002C3C4A"/>
    <w:rsid w:val="002C3F7B"/>
    <w:rsid w:val="002C41D6"/>
    <w:rsid w:val="002C4E40"/>
    <w:rsid w:val="002C4F3E"/>
    <w:rsid w:val="002D22BD"/>
    <w:rsid w:val="002D296B"/>
    <w:rsid w:val="002D2A46"/>
    <w:rsid w:val="002D336A"/>
    <w:rsid w:val="002D3A69"/>
    <w:rsid w:val="002D4329"/>
    <w:rsid w:val="002D7282"/>
    <w:rsid w:val="002D7B33"/>
    <w:rsid w:val="002E062F"/>
    <w:rsid w:val="002E1B10"/>
    <w:rsid w:val="002E38B8"/>
    <w:rsid w:val="002E3BFA"/>
    <w:rsid w:val="002E440F"/>
    <w:rsid w:val="002E4863"/>
    <w:rsid w:val="002E5211"/>
    <w:rsid w:val="002E5EF6"/>
    <w:rsid w:val="002E689C"/>
    <w:rsid w:val="002E7037"/>
    <w:rsid w:val="002E7075"/>
    <w:rsid w:val="002F200F"/>
    <w:rsid w:val="002F2449"/>
    <w:rsid w:val="002F28A8"/>
    <w:rsid w:val="002F6CB1"/>
    <w:rsid w:val="003005A9"/>
    <w:rsid w:val="003005C5"/>
    <w:rsid w:val="00300BFD"/>
    <w:rsid w:val="0030159A"/>
    <w:rsid w:val="003030B1"/>
    <w:rsid w:val="003047A3"/>
    <w:rsid w:val="003110D8"/>
    <w:rsid w:val="003148EC"/>
    <w:rsid w:val="00315F1B"/>
    <w:rsid w:val="00316A26"/>
    <w:rsid w:val="003218CF"/>
    <w:rsid w:val="00321A18"/>
    <w:rsid w:val="00321F16"/>
    <w:rsid w:val="00323914"/>
    <w:rsid w:val="003241D8"/>
    <w:rsid w:val="00325A85"/>
    <w:rsid w:val="00326773"/>
    <w:rsid w:val="003268EA"/>
    <w:rsid w:val="003269EE"/>
    <w:rsid w:val="003277CA"/>
    <w:rsid w:val="00331387"/>
    <w:rsid w:val="00331602"/>
    <w:rsid w:val="0033295F"/>
    <w:rsid w:val="00332AE8"/>
    <w:rsid w:val="00332DF3"/>
    <w:rsid w:val="00333B56"/>
    <w:rsid w:val="00334947"/>
    <w:rsid w:val="0033542E"/>
    <w:rsid w:val="00335521"/>
    <w:rsid w:val="00335ADC"/>
    <w:rsid w:val="00335C94"/>
    <w:rsid w:val="003405C4"/>
    <w:rsid w:val="00341419"/>
    <w:rsid w:val="003435F5"/>
    <w:rsid w:val="003438C0"/>
    <w:rsid w:val="00344580"/>
    <w:rsid w:val="00350D57"/>
    <w:rsid w:val="00352773"/>
    <w:rsid w:val="00352BF0"/>
    <w:rsid w:val="003532E1"/>
    <w:rsid w:val="003546ED"/>
    <w:rsid w:val="00354B75"/>
    <w:rsid w:val="0035522A"/>
    <w:rsid w:val="00355BDE"/>
    <w:rsid w:val="00356250"/>
    <w:rsid w:val="003575D8"/>
    <w:rsid w:val="00357DB2"/>
    <w:rsid w:val="00360318"/>
    <w:rsid w:val="00360470"/>
    <w:rsid w:val="003611D2"/>
    <w:rsid w:val="00361BCF"/>
    <w:rsid w:val="003624BB"/>
    <w:rsid w:val="003625D1"/>
    <w:rsid w:val="0036400C"/>
    <w:rsid w:val="00366946"/>
    <w:rsid w:val="00367B77"/>
    <w:rsid w:val="00370C49"/>
    <w:rsid w:val="003719BD"/>
    <w:rsid w:val="00372FB9"/>
    <w:rsid w:val="0037457E"/>
    <w:rsid w:val="003753B6"/>
    <w:rsid w:val="003758F0"/>
    <w:rsid w:val="003767A0"/>
    <w:rsid w:val="00376A3E"/>
    <w:rsid w:val="0038059D"/>
    <w:rsid w:val="00382D27"/>
    <w:rsid w:val="00383F52"/>
    <w:rsid w:val="00385086"/>
    <w:rsid w:val="003858BF"/>
    <w:rsid w:val="00386F86"/>
    <w:rsid w:val="003872B6"/>
    <w:rsid w:val="00387751"/>
    <w:rsid w:val="003879CD"/>
    <w:rsid w:val="00387E51"/>
    <w:rsid w:val="0039100B"/>
    <w:rsid w:val="00392534"/>
    <w:rsid w:val="00393610"/>
    <w:rsid w:val="003945CC"/>
    <w:rsid w:val="0039485C"/>
    <w:rsid w:val="0039666E"/>
    <w:rsid w:val="003966DD"/>
    <w:rsid w:val="00396AA4"/>
    <w:rsid w:val="00397254"/>
    <w:rsid w:val="003A2CCD"/>
    <w:rsid w:val="003A5342"/>
    <w:rsid w:val="003A58E0"/>
    <w:rsid w:val="003A5D22"/>
    <w:rsid w:val="003A72C0"/>
    <w:rsid w:val="003B0890"/>
    <w:rsid w:val="003B0D07"/>
    <w:rsid w:val="003B11EB"/>
    <w:rsid w:val="003B1872"/>
    <w:rsid w:val="003B2684"/>
    <w:rsid w:val="003B4D7B"/>
    <w:rsid w:val="003B51B0"/>
    <w:rsid w:val="003B5682"/>
    <w:rsid w:val="003B5AD0"/>
    <w:rsid w:val="003B7ECD"/>
    <w:rsid w:val="003C0972"/>
    <w:rsid w:val="003C271F"/>
    <w:rsid w:val="003C3E87"/>
    <w:rsid w:val="003C417B"/>
    <w:rsid w:val="003C4876"/>
    <w:rsid w:val="003C4EFC"/>
    <w:rsid w:val="003C5B32"/>
    <w:rsid w:val="003C5D07"/>
    <w:rsid w:val="003C751D"/>
    <w:rsid w:val="003D1FAB"/>
    <w:rsid w:val="003D27BF"/>
    <w:rsid w:val="003D2D23"/>
    <w:rsid w:val="003D2E9D"/>
    <w:rsid w:val="003D4AAD"/>
    <w:rsid w:val="003D5517"/>
    <w:rsid w:val="003D5728"/>
    <w:rsid w:val="003D7745"/>
    <w:rsid w:val="003D78DA"/>
    <w:rsid w:val="003E0C56"/>
    <w:rsid w:val="003E0CDF"/>
    <w:rsid w:val="003E0E16"/>
    <w:rsid w:val="003E158A"/>
    <w:rsid w:val="003E233C"/>
    <w:rsid w:val="003E4E67"/>
    <w:rsid w:val="003E6217"/>
    <w:rsid w:val="003E7462"/>
    <w:rsid w:val="003E7CB1"/>
    <w:rsid w:val="003E7EBE"/>
    <w:rsid w:val="003F1094"/>
    <w:rsid w:val="003F147C"/>
    <w:rsid w:val="003F1CB3"/>
    <w:rsid w:val="003F314A"/>
    <w:rsid w:val="003F426D"/>
    <w:rsid w:val="003F5199"/>
    <w:rsid w:val="003F66E6"/>
    <w:rsid w:val="003F6FC1"/>
    <w:rsid w:val="00401797"/>
    <w:rsid w:val="00401B72"/>
    <w:rsid w:val="00401BC9"/>
    <w:rsid w:val="00402A65"/>
    <w:rsid w:val="00404803"/>
    <w:rsid w:val="0040480A"/>
    <w:rsid w:val="0040684C"/>
    <w:rsid w:val="004110A8"/>
    <w:rsid w:val="00411B03"/>
    <w:rsid w:val="00411E23"/>
    <w:rsid w:val="004127CC"/>
    <w:rsid w:val="00413887"/>
    <w:rsid w:val="0041502E"/>
    <w:rsid w:val="004158A1"/>
    <w:rsid w:val="00416193"/>
    <w:rsid w:val="00422EAE"/>
    <w:rsid w:val="0042320F"/>
    <w:rsid w:val="00423AC8"/>
    <w:rsid w:val="00424078"/>
    <w:rsid w:val="00424D50"/>
    <w:rsid w:val="004278BE"/>
    <w:rsid w:val="004307BA"/>
    <w:rsid w:val="004310D7"/>
    <w:rsid w:val="00432361"/>
    <w:rsid w:val="00433259"/>
    <w:rsid w:val="004333CD"/>
    <w:rsid w:val="004353F8"/>
    <w:rsid w:val="004357CC"/>
    <w:rsid w:val="00436FF7"/>
    <w:rsid w:val="004374DF"/>
    <w:rsid w:val="0044075E"/>
    <w:rsid w:val="00444096"/>
    <w:rsid w:val="00444753"/>
    <w:rsid w:val="00445642"/>
    <w:rsid w:val="00452E96"/>
    <w:rsid w:val="004547CE"/>
    <w:rsid w:val="00454E10"/>
    <w:rsid w:val="004558B5"/>
    <w:rsid w:val="00456C08"/>
    <w:rsid w:val="0046187C"/>
    <w:rsid w:val="0046204A"/>
    <w:rsid w:val="0046205B"/>
    <w:rsid w:val="00462EC8"/>
    <w:rsid w:val="00463657"/>
    <w:rsid w:val="00465755"/>
    <w:rsid w:val="00467835"/>
    <w:rsid w:val="00467B98"/>
    <w:rsid w:val="00471982"/>
    <w:rsid w:val="00471DB6"/>
    <w:rsid w:val="00471F96"/>
    <w:rsid w:val="0047258D"/>
    <w:rsid w:val="0047382C"/>
    <w:rsid w:val="00474146"/>
    <w:rsid w:val="00474E08"/>
    <w:rsid w:val="00475D26"/>
    <w:rsid w:val="00476FB3"/>
    <w:rsid w:val="00480755"/>
    <w:rsid w:val="00484058"/>
    <w:rsid w:val="004841FC"/>
    <w:rsid w:val="00484341"/>
    <w:rsid w:val="00485D66"/>
    <w:rsid w:val="004869AE"/>
    <w:rsid w:val="00486A0C"/>
    <w:rsid w:val="0049239D"/>
    <w:rsid w:val="0049420E"/>
    <w:rsid w:val="00495CE9"/>
    <w:rsid w:val="00495ED2"/>
    <w:rsid w:val="00497681"/>
    <w:rsid w:val="004A0315"/>
    <w:rsid w:val="004A1C21"/>
    <w:rsid w:val="004A2189"/>
    <w:rsid w:val="004A4A8E"/>
    <w:rsid w:val="004A51C4"/>
    <w:rsid w:val="004A5435"/>
    <w:rsid w:val="004A5440"/>
    <w:rsid w:val="004A54F0"/>
    <w:rsid w:val="004A6C2B"/>
    <w:rsid w:val="004A7E63"/>
    <w:rsid w:val="004B01AA"/>
    <w:rsid w:val="004B0890"/>
    <w:rsid w:val="004B26EA"/>
    <w:rsid w:val="004B2AC1"/>
    <w:rsid w:val="004B34B6"/>
    <w:rsid w:val="004B5E5E"/>
    <w:rsid w:val="004B62BA"/>
    <w:rsid w:val="004B6BAA"/>
    <w:rsid w:val="004C0C5F"/>
    <w:rsid w:val="004C0D52"/>
    <w:rsid w:val="004C22EE"/>
    <w:rsid w:val="004C49E4"/>
    <w:rsid w:val="004C4E0A"/>
    <w:rsid w:val="004C5E24"/>
    <w:rsid w:val="004C621F"/>
    <w:rsid w:val="004C633F"/>
    <w:rsid w:val="004C64D4"/>
    <w:rsid w:val="004C6D7C"/>
    <w:rsid w:val="004D104C"/>
    <w:rsid w:val="004D159A"/>
    <w:rsid w:val="004D1CD1"/>
    <w:rsid w:val="004D4733"/>
    <w:rsid w:val="004D54AA"/>
    <w:rsid w:val="004D5E9F"/>
    <w:rsid w:val="004D7791"/>
    <w:rsid w:val="004E1D17"/>
    <w:rsid w:val="004E1E47"/>
    <w:rsid w:val="004E26A0"/>
    <w:rsid w:val="004E4CF1"/>
    <w:rsid w:val="004E5220"/>
    <w:rsid w:val="004E5727"/>
    <w:rsid w:val="004E594D"/>
    <w:rsid w:val="004E5B81"/>
    <w:rsid w:val="004F0C9D"/>
    <w:rsid w:val="004F1172"/>
    <w:rsid w:val="004F1E4C"/>
    <w:rsid w:val="004F1EB8"/>
    <w:rsid w:val="004F228D"/>
    <w:rsid w:val="004F29AD"/>
    <w:rsid w:val="004F3B90"/>
    <w:rsid w:val="004F451F"/>
    <w:rsid w:val="004F64F4"/>
    <w:rsid w:val="004F73E2"/>
    <w:rsid w:val="005012B4"/>
    <w:rsid w:val="005021EB"/>
    <w:rsid w:val="0050285E"/>
    <w:rsid w:val="005028E0"/>
    <w:rsid w:val="00503D96"/>
    <w:rsid w:val="00504D20"/>
    <w:rsid w:val="00504D6D"/>
    <w:rsid w:val="00505435"/>
    <w:rsid w:val="00505C42"/>
    <w:rsid w:val="00506E62"/>
    <w:rsid w:val="0050722A"/>
    <w:rsid w:val="00507420"/>
    <w:rsid w:val="005074F4"/>
    <w:rsid w:val="0050765A"/>
    <w:rsid w:val="00507970"/>
    <w:rsid w:val="00511C7B"/>
    <w:rsid w:val="005130C1"/>
    <w:rsid w:val="005138E3"/>
    <w:rsid w:val="0051471C"/>
    <w:rsid w:val="00514E94"/>
    <w:rsid w:val="00516F2E"/>
    <w:rsid w:val="005179BC"/>
    <w:rsid w:val="00517DE9"/>
    <w:rsid w:val="00520219"/>
    <w:rsid w:val="00520812"/>
    <w:rsid w:val="0052184A"/>
    <w:rsid w:val="00522959"/>
    <w:rsid w:val="00522F92"/>
    <w:rsid w:val="00526256"/>
    <w:rsid w:val="00527B41"/>
    <w:rsid w:val="00527E65"/>
    <w:rsid w:val="0053005D"/>
    <w:rsid w:val="00531E2C"/>
    <w:rsid w:val="00533631"/>
    <w:rsid w:val="00534945"/>
    <w:rsid w:val="00535A64"/>
    <w:rsid w:val="00535D1C"/>
    <w:rsid w:val="00535D5B"/>
    <w:rsid w:val="00536248"/>
    <w:rsid w:val="005371B1"/>
    <w:rsid w:val="005371B9"/>
    <w:rsid w:val="00537A0A"/>
    <w:rsid w:val="00540895"/>
    <w:rsid w:val="00545500"/>
    <w:rsid w:val="005460A6"/>
    <w:rsid w:val="00547052"/>
    <w:rsid w:val="005471E2"/>
    <w:rsid w:val="005479EC"/>
    <w:rsid w:val="005506F7"/>
    <w:rsid w:val="00550CA9"/>
    <w:rsid w:val="005513DA"/>
    <w:rsid w:val="00553656"/>
    <w:rsid w:val="00553B92"/>
    <w:rsid w:val="00553C40"/>
    <w:rsid w:val="00555248"/>
    <w:rsid w:val="00555BA6"/>
    <w:rsid w:val="00555BAC"/>
    <w:rsid w:val="0055706B"/>
    <w:rsid w:val="005603C3"/>
    <w:rsid w:val="00560F36"/>
    <w:rsid w:val="0056231D"/>
    <w:rsid w:val="00562BFF"/>
    <w:rsid w:val="005643C6"/>
    <w:rsid w:val="00565411"/>
    <w:rsid w:val="005660DC"/>
    <w:rsid w:val="00566DFB"/>
    <w:rsid w:val="005679C2"/>
    <w:rsid w:val="00572851"/>
    <w:rsid w:val="005735F0"/>
    <w:rsid w:val="0057581A"/>
    <w:rsid w:val="00575F22"/>
    <w:rsid w:val="005801A3"/>
    <w:rsid w:val="00580614"/>
    <w:rsid w:val="00581087"/>
    <w:rsid w:val="00581C22"/>
    <w:rsid w:val="00581FA9"/>
    <w:rsid w:val="005822C6"/>
    <w:rsid w:val="005827C8"/>
    <w:rsid w:val="00582A5F"/>
    <w:rsid w:val="005833D4"/>
    <w:rsid w:val="0058562C"/>
    <w:rsid w:val="005858D9"/>
    <w:rsid w:val="00586FE5"/>
    <w:rsid w:val="005871BA"/>
    <w:rsid w:val="005878B2"/>
    <w:rsid w:val="00590A94"/>
    <w:rsid w:val="00590B44"/>
    <w:rsid w:val="00592456"/>
    <w:rsid w:val="00592A8B"/>
    <w:rsid w:val="00593243"/>
    <w:rsid w:val="00594EEC"/>
    <w:rsid w:val="005A0976"/>
    <w:rsid w:val="005A204C"/>
    <w:rsid w:val="005A224C"/>
    <w:rsid w:val="005A25B8"/>
    <w:rsid w:val="005A2B19"/>
    <w:rsid w:val="005A2B50"/>
    <w:rsid w:val="005A2D5C"/>
    <w:rsid w:val="005A331B"/>
    <w:rsid w:val="005A3505"/>
    <w:rsid w:val="005A4C9F"/>
    <w:rsid w:val="005A7B03"/>
    <w:rsid w:val="005B040B"/>
    <w:rsid w:val="005B21A2"/>
    <w:rsid w:val="005B360D"/>
    <w:rsid w:val="005B41DE"/>
    <w:rsid w:val="005B4522"/>
    <w:rsid w:val="005B48B1"/>
    <w:rsid w:val="005B494F"/>
    <w:rsid w:val="005B4C1B"/>
    <w:rsid w:val="005B5B60"/>
    <w:rsid w:val="005B7563"/>
    <w:rsid w:val="005C1BEC"/>
    <w:rsid w:val="005C3339"/>
    <w:rsid w:val="005C3393"/>
    <w:rsid w:val="005C5DD2"/>
    <w:rsid w:val="005D0520"/>
    <w:rsid w:val="005D231A"/>
    <w:rsid w:val="005D26DA"/>
    <w:rsid w:val="005D2AB9"/>
    <w:rsid w:val="005D2E5B"/>
    <w:rsid w:val="005D3F68"/>
    <w:rsid w:val="005D504B"/>
    <w:rsid w:val="005D7F96"/>
    <w:rsid w:val="005E0B73"/>
    <w:rsid w:val="005E1B0D"/>
    <w:rsid w:val="005E2B54"/>
    <w:rsid w:val="005E2F8C"/>
    <w:rsid w:val="005E3468"/>
    <w:rsid w:val="005E3F73"/>
    <w:rsid w:val="005E4EE7"/>
    <w:rsid w:val="005E79DD"/>
    <w:rsid w:val="005F0C39"/>
    <w:rsid w:val="005F19AD"/>
    <w:rsid w:val="005F1B9D"/>
    <w:rsid w:val="005F4D0F"/>
    <w:rsid w:val="005F5760"/>
    <w:rsid w:val="005F5C4C"/>
    <w:rsid w:val="005F5E4F"/>
    <w:rsid w:val="005F607A"/>
    <w:rsid w:val="005F6E8D"/>
    <w:rsid w:val="00600F34"/>
    <w:rsid w:val="0060209F"/>
    <w:rsid w:val="00602516"/>
    <w:rsid w:val="00602650"/>
    <w:rsid w:val="00604167"/>
    <w:rsid w:val="00604A58"/>
    <w:rsid w:val="00604A9C"/>
    <w:rsid w:val="00604C47"/>
    <w:rsid w:val="006057B4"/>
    <w:rsid w:val="00606AD1"/>
    <w:rsid w:val="00607A6B"/>
    <w:rsid w:val="00607E8D"/>
    <w:rsid w:val="00610892"/>
    <w:rsid w:val="00610BFF"/>
    <w:rsid w:val="006111EE"/>
    <w:rsid w:val="00611215"/>
    <w:rsid w:val="00612A49"/>
    <w:rsid w:val="0061367C"/>
    <w:rsid w:val="0061480F"/>
    <w:rsid w:val="0061790D"/>
    <w:rsid w:val="00617F5C"/>
    <w:rsid w:val="00620323"/>
    <w:rsid w:val="00621D2D"/>
    <w:rsid w:val="00623EB5"/>
    <w:rsid w:val="00624C30"/>
    <w:rsid w:val="00625644"/>
    <w:rsid w:val="00626674"/>
    <w:rsid w:val="00627CAE"/>
    <w:rsid w:val="006301D1"/>
    <w:rsid w:val="00630323"/>
    <w:rsid w:val="00630B6C"/>
    <w:rsid w:val="00631BA1"/>
    <w:rsid w:val="00633E69"/>
    <w:rsid w:val="0063409E"/>
    <w:rsid w:val="00635728"/>
    <w:rsid w:val="00635B53"/>
    <w:rsid w:val="00635CB8"/>
    <w:rsid w:val="006365C2"/>
    <w:rsid w:val="0064102E"/>
    <w:rsid w:val="00643BEB"/>
    <w:rsid w:val="00643CCA"/>
    <w:rsid w:val="006448A5"/>
    <w:rsid w:val="006450C0"/>
    <w:rsid w:val="00645807"/>
    <w:rsid w:val="006458C1"/>
    <w:rsid w:val="00647F6E"/>
    <w:rsid w:val="006503B2"/>
    <w:rsid w:val="006504B3"/>
    <w:rsid w:val="00650F45"/>
    <w:rsid w:val="00652223"/>
    <w:rsid w:val="00652493"/>
    <w:rsid w:val="006541A4"/>
    <w:rsid w:val="00654ACA"/>
    <w:rsid w:val="00655DF5"/>
    <w:rsid w:val="0065632E"/>
    <w:rsid w:val="00657A9F"/>
    <w:rsid w:val="00661139"/>
    <w:rsid w:val="00666454"/>
    <w:rsid w:val="00670B3D"/>
    <w:rsid w:val="00670D62"/>
    <w:rsid w:val="00671018"/>
    <w:rsid w:val="006729E7"/>
    <w:rsid w:val="00673CE4"/>
    <w:rsid w:val="00674D93"/>
    <w:rsid w:val="006768F3"/>
    <w:rsid w:val="00676E2B"/>
    <w:rsid w:val="00676F31"/>
    <w:rsid w:val="006806B3"/>
    <w:rsid w:val="006815B0"/>
    <w:rsid w:val="006818D8"/>
    <w:rsid w:val="006819B1"/>
    <w:rsid w:val="00681C1E"/>
    <w:rsid w:val="0068413F"/>
    <w:rsid w:val="00684AF8"/>
    <w:rsid w:val="00684F9F"/>
    <w:rsid w:val="00686A4B"/>
    <w:rsid w:val="0068704F"/>
    <w:rsid w:val="00687459"/>
    <w:rsid w:val="006914BF"/>
    <w:rsid w:val="00691A50"/>
    <w:rsid w:val="00691DE0"/>
    <w:rsid w:val="006920CF"/>
    <w:rsid w:val="006944B4"/>
    <w:rsid w:val="006945E9"/>
    <w:rsid w:val="0069467D"/>
    <w:rsid w:val="00694861"/>
    <w:rsid w:val="006A01BB"/>
    <w:rsid w:val="006A1A97"/>
    <w:rsid w:val="006A1B1F"/>
    <w:rsid w:val="006A2383"/>
    <w:rsid w:val="006A3205"/>
    <w:rsid w:val="006A363C"/>
    <w:rsid w:val="006A456C"/>
    <w:rsid w:val="006A4A6B"/>
    <w:rsid w:val="006A6309"/>
    <w:rsid w:val="006A6A70"/>
    <w:rsid w:val="006A6B5E"/>
    <w:rsid w:val="006A798F"/>
    <w:rsid w:val="006A7C98"/>
    <w:rsid w:val="006B1955"/>
    <w:rsid w:val="006B353E"/>
    <w:rsid w:val="006B3F11"/>
    <w:rsid w:val="006B535A"/>
    <w:rsid w:val="006B537C"/>
    <w:rsid w:val="006B548B"/>
    <w:rsid w:val="006B55DE"/>
    <w:rsid w:val="006B73B2"/>
    <w:rsid w:val="006B7756"/>
    <w:rsid w:val="006C01E7"/>
    <w:rsid w:val="006C0CDD"/>
    <w:rsid w:val="006C1692"/>
    <w:rsid w:val="006C3955"/>
    <w:rsid w:val="006C58EA"/>
    <w:rsid w:val="006D0DA6"/>
    <w:rsid w:val="006D32F7"/>
    <w:rsid w:val="006D66D0"/>
    <w:rsid w:val="006D6C9F"/>
    <w:rsid w:val="006E0BE7"/>
    <w:rsid w:val="006E1231"/>
    <w:rsid w:val="006E12CE"/>
    <w:rsid w:val="006E3223"/>
    <w:rsid w:val="006E325A"/>
    <w:rsid w:val="006E42E3"/>
    <w:rsid w:val="006E7127"/>
    <w:rsid w:val="006E72F0"/>
    <w:rsid w:val="006E7F89"/>
    <w:rsid w:val="006F0BB7"/>
    <w:rsid w:val="006F1E0B"/>
    <w:rsid w:val="006F2A21"/>
    <w:rsid w:val="006F3E1E"/>
    <w:rsid w:val="006F453C"/>
    <w:rsid w:val="006F592A"/>
    <w:rsid w:val="006F6419"/>
    <w:rsid w:val="006F793B"/>
    <w:rsid w:val="007008A6"/>
    <w:rsid w:val="007011C9"/>
    <w:rsid w:val="00702A4C"/>
    <w:rsid w:val="00702BAE"/>
    <w:rsid w:val="00704F22"/>
    <w:rsid w:val="00705EAE"/>
    <w:rsid w:val="0070659E"/>
    <w:rsid w:val="00707290"/>
    <w:rsid w:val="00707AF3"/>
    <w:rsid w:val="00707E27"/>
    <w:rsid w:val="00711DEE"/>
    <w:rsid w:val="007124B7"/>
    <w:rsid w:val="00712503"/>
    <w:rsid w:val="00714E37"/>
    <w:rsid w:val="007154AB"/>
    <w:rsid w:val="00716014"/>
    <w:rsid w:val="0071648A"/>
    <w:rsid w:val="00716C2F"/>
    <w:rsid w:val="007218FF"/>
    <w:rsid w:val="0072305D"/>
    <w:rsid w:val="007236A4"/>
    <w:rsid w:val="00725D8E"/>
    <w:rsid w:val="00725EC2"/>
    <w:rsid w:val="00726C21"/>
    <w:rsid w:val="00730281"/>
    <w:rsid w:val="00730BF9"/>
    <w:rsid w:val="00731133"/>
    <w:rsid w:val="00731454"/>
    <w:rsid w:val="0073200F"/>
    <w:rsid w:val="00732847"/>
    <w:rsid w:val="00732F21"/>
    <w:rsid w:val="00733BF3"/>
    <w:rsid w:val="00734106"/>
    <w:rsid w:val="00734716"/>
    <w:rsid w:val="0073600F"/>
    <w:rsid w:val="00736852"/>
    <w:rsid w:val="007404B3"/>
    <w:rsid w:val="00741931"/>
    <w:rsid w:val="00741DE1"/>
    <w:rsid w:val="007421ED"/>
    <w:rsid w:val="00745C43"/>
    <w:rsid w:val="0074617A"/>
    <w:rsid w:val="007461AA"/>
    <w:rsid w:val="00746BF1"/>
    <w:rsid w:val="0075191C"/>
    <w:rsid w:val="00755134"/>
    <w:rsid w:val="007563FE"/>
    <w:rsid w:val="00757419"/>
    <w:rsid w:val="00757D59"/>
    <w:rsid w:val="00757EA9"/>
    <w:rsid w:val="00757FF3"/>
    <w:rsid w:val="00760172"/>
    <w:rsid w:val="0076054E"/>
    <w:rsid w:val="00760D67"/>
    <w:rsid w:val="00764BA2"/>
    <w:rsid w:val="00766185"/>
    <w:rsid w:val="00766291"/>
    <w:rsid w:val="00766C2E"/>
    <w:rsid w:val="00766DF1"/>
    <w:rsid w:val="00766E9A"/>
    <w:rsid w:val="007704CF"/>
    <w:rsid w:val="00770D2F"/>
    <w:rsid w:val="007712CA"/>
    <w:rsid w:val="00771AA9"/>
    <w:rsid w:val="00773E5B"/>
    <w:rsid w:val="00774E35"/>
    <w:rsid w:val="00776CD7"/>
    <w:rsid w:val="00776CE7"/>
    <w:rsid w:val="0077708C"/>
    <w:rsid w:val="007773C5"/>
    <w:rsid w:val="00780B85"/>
    <w:rsid w:val="007827DE"/>
    <w:rsid w:val="00782AF8"/>
    <w:rsid w:val="00784310"/>
    <w:rsid w:val="00784703"/>
    <w:rsid w:val="0078560F"/>
    <w:rsid w:val="007859E6"/>
    <w:rsid w:val="00785A81"/>
    <w:rsid w:val="00786AF9"/>
    <w:rsid w:val="0078752F"/>
    <w:rsid w:val="00787D25"/>
    <w:rsid w:val="00790043"/>
    <w:rsid w:val="007906B6"/>
    <w:rsid w:val="007924FA"/>
    <w:rsid w:val="00793E2D"/>
    <w:rsid w:val="00795D32"/>
    <w:rsid w:val="00796EEB"/>
    <w:rsid w:val="0079712B"/>
    <w:rsid w:val="0079728D"/>
    <w:rsid w:val="007977E4"/>
    <w:rsid w:val="007978D2"/>
    <w:rsid w:val="007A0AFE"/>
    <w:rsid w:val="007A0C61"/>
    <w:rsid w:val="007A0C98"/>
    <w:rsid w:val="007A15FD"/>
    <w:rsid w:val="007A24C1"/>
    <w:rsid w:val="007A62FF"/>
    <w:rsid w:val="007A7575"/>
    <w:rsid w:val="007A7DEC"/>
    <w:rsid w:val="007B4820"/>
    <w:rsid w:val="007B679D"/>
    <w:rsid w:val="007B6BFE"/>
    <w:rsid w:val="007B6C1B"/>
    <w:rsid w:val="007B7230"/>
    <w:rsid w:val="007C0698"/>
    <w:rsid w:val="007C0803"/>
    <w:rsid w:val="007C128E"/>
    <w:rsid w:val="007C12AB"/>
    <w:rsid w:val="007C39D7"/>
    <w:rsid w:val="007C494A"/>
    <w:rsid w:val="007C70DC"/>
    <w:rsid w:val="007C7EC3"/>
    <w:rsid w:val="007D13A4"/>
    <w:rsid w:val="007D1AD7"/>
    <w:rsid w:val="007D2F8C"/>
    <w:rsid w:val="007D4006"/>
    <w:rsid w:val="007D4679"/>
    <w:rsid w:val="007D49BE"/>
    <w:rsid w:val="007D4C7B"/>
    <w:rsid w:val="007D5FD5"/>
    <w:rsid w:val="007D6470"/>
    <w:rsid w:val="007D686C"/>
    <w:rsid w:val="007D72C3"/>
    <w:rsid w:val="007D785B"/>
    <w:rsid w:val="007D7B63"/>
    <w:rsid w:val="007E09AD"/>
    <w:rsid w:val="007E1FEB"/>
    <w:rsid w:val="007E2C7D"/>
    <w:rsid w:val="007E6105"/>
    <w:rsid w:val="007E7449"/>
    <w:rsid w:val="007E7D8E"/>
    <w:rsid w:val="007F088A"/>
    <w:rsid w:val="007F31C5"/>
    <w:rsid w:val="007F4500"/>
    <w:rsid w:val="007F55DA"/>
    <w:rsid w:val="007F5D17"/>
    <w:rsid w:val="007F6E6B"/>
    <w:rsid w:val="008015ED"/>
    <w:rsid w:val="008040E7"/>
    <w:rsid w:val="00804B4E"/>
    <w:rsid w:val="00804D2C"/>
    <w:rsid w:val="00805A83"/>
    <w:rsid w:val="00807CD6"/>
    <w:rsid w:val="00812C04"/>
    <w:rsid w:val="00812EE8"/>
    <w:rsid w:val="00813CFE"/>
    <w:rsid w:val="00813D79"/>
    <w:rsid w:val="00816C36"/>
    <w:rsid w:val="00817EF8"/>
    <w:rsid w:val="008202A6"/>
    <w:rsid w:val="0082071D"/>
    <w:rsid w:val="008209D5"/>
    <w:rsid w:val="00820BBD"/>
    <w:rsid w:val="008210B1"/>
    <w:rsid w:val="00822D0C"/>
    <w:rsid w:val="00822ED2"/>
    <w:rsid w:val="00825015"/>
    <w:rsid w:val="00825073"/>
    <w:rsid w:val="008259F7"/>
    <w:rsid w:val="00825D4D"/>
    <w:rsid w:val="00827498"/>
    <w:rsid w:val="00827BE9"/>
    <w:rsid w:val="00830736"/>
    <w:rsid w:val="008328CA"/>
    <w:rsid w:val="00833BAA"/>
    <w:rsid w:val="00833D54"/>
    <w:rsid w:val="00835824"/>
    <w:rsid w:val="0083734E"/>
    <w:rsid w:val="00841A67"/>
    <w:rsid w:val="00844CC2"/>
    <w:rsid w:val="0084610F"/>
    <w:rsid w:val="008466A5"/>
    <w:rsid w:val="00853315"/>
    <w:rsid w:val="00854F10"/>
    <w:rsid w:val="0085586A"/>
    <w:rsid w:val="00857B21"/>
    <w:rsid w:val="00860B0D"/>
    <w:rsid w:val="00861F17"/>
    <w:rsid w:val="00862890"/>
    <w:rsid w:val="00864CDD"/>
    <w:rsid w:val="00870765"/>
    <w:rsid w:val="0087100A"/>
    <w:rsid w:val="00872B77"/>
    <w:rsid w:val="00873440"/>
    <w:rsid w:val="0087347D"/>
    <w:rsid w:val="00874278"/>
    <w:rsid w:val="0087445A"/>
    <w:rsid w:val="0087451D"/>
    <w:rsid w:val="00876381"/>
    <w:rsid w:val="008763C4"/>
    <w:rsid w:val="008771C1"/>
    <w:rsid w:val="00877314"/>
    <w:rsid w:val="00877559"/>
    <w:rsid w:val="008812C8"/>
    <w:rsid w:val="0088264E"/>
    <w:rsid w:val="00883638"/>
    <w:rsid w:val="0088390E"/>
    <w:rsid w:val="00886302"/>
    <w:rsid w:val="0088657D"/>
    <w:rsid w:val="00886B4A"/>
    <w:rsid w:val="00887659"/>
    <w:rsid w:val="0088788C"/>
    <w:rsid w:val="00887A27"/>
    <w:rsid w:val="00890F94"/>
    <w:rsid w:val="00893192"/>
    <w:rsid w:val="008954E0"/>
    <w:rsid w:val="00895CCE"/>
    <w:rsid w:val="00895E9D"/>
    <w:rsid w:val="0089673C"/>
    <w:rsid w:val="00896871"/>
    <w:rsid w:val="00896F14"/>
    <w:rsid w:val="008970D2"/>
    <w:rsid w:val="00897C0D"/>
    <w:rsid w:val="008A0DB6"/>
    <w:rsid w:val="008A1827"/>
    <w:rsid w:val="008A1E1C"/>
    <w:rsid w:val="008A2913"/>
    <w:rsid w:val="008A3232"/>
    <w:rsid w:val="008A35A6"/>
    <w:rsid w:val="008A38C9"/>
    <w:rsid w:val="008A4BF2"/>
    <w:rsid w:val="008A5F7A"/>
    <w:rsid w:val="008A7205"/>
    <w:rsid w:val="008B029D"/>
    <w:rsid w:val="008B172A"/>
    <w:rsid w:val="008B24BB"/>
    <w:rsid w:val="008B28F1"/>
    <w:rsid w:val="008B4CD9"/>
    <w:rsid w:val="008B4D6A"/>
    <w:rsid w:val="008B6036"/>
    <w:rsid w:val="008B69BC"/>
    <w:rsid w:val="008B753E"/>
    <w:rsid w:val="008C10A9"/>
    <w:rsid w:val="008C1B4B"/>
    <w:rsid w:val="008C2023"/>
    <w:rsid w:val="008C289D"/>
    <w:rsid w:val="008C45EB"/>
    <w:rsid w:val="008C5A17"/>
    <w:rsid w:val="008C7310"/>
    <w:rsid w:val="008C7B4D"/>
    <w:rsid w:val="008C7B8B"/>
    <w:rsid w:val="008C7EAA"/>
    <w:rsid w:val="008D0E29"/>
    <w:rsid w:val="008D0E2B"/>
    <w:rsid w:val="008D1F6C"/>
    <w:rsid w:val="008D2AFC"/>
    <w:rsid w:val="008D426E"/>
    <w:rsid w:val="008D4523"/>
    <w:rsid w:val="008D61BE"/>
    <w:rsid w:val="008D6A5A"/>
    <w:rsid w:val="008D6AFA"/>
    <w:rsid w:val="008D7AC5"/>
    <w:rsid w:val="008E112B"/>
    <w:rsid w:val="008E1DF2"/>
    <w:rsid w:val="008E1F78"/>
    <w:rsid w:val="008E2056"/>
    <w:rsid w:val="008E232A"/>
    <w:rsid w:val="008E26A5"/>
    <w:rsid w:val="008E2BDB"/>
    <w:rsid w:val="008E337B"/>
    <w:rsid w:val="008E39BF"/>
    <w:rsid w:val="008E4545"/>
    <w:rsid w:val="008E4C55"/>
    <w:rsid w:val="008E6889"/>
    <w:rsid w:val="008E6F81"/>
    <w:rsid w:val="008E70A9"/>
    <w:rsid w:val="008F0251"/>
    <w:rsid w:val="008F0CA1"/>
    <w:rsid w:val="008F151D"/>
    <w:rsid w:val="008F1E0F"/>
    <w:rsid w:val="008F2E67"/>
    <w:rsid w:val="008F37C2"/>
    <w:rsid w:val="008F3AE6"/>
    <w:rsid w:val="008F4E77"/>
    <w:rsid w:val="008F506C"/>
    <w:rsid w:val="008F6A44"/>
    <w:rsid w:val="008F7213"/>
    <w:rsid w:val="00901915"/>
    <w:rsid w:val="00903F24"/>
    <w:rsid w:val="00904C1E"/>
    <w:rsid w:val="00907A20"/>
    <w:rsid w:val="00907D64"/>
    <w:rsid w:val="009122DF"/>
    <w:rsid w:val="0091382C"/>
    <w:rsid w:val="00914F82"/>
    <w:rsid w:val="00916C76"/>
    <w:rsid w:val="00920EB4"/>
    <w:rsid w:val="00922D1D"/>
    <w:rsid w:val="00923A7C"/>
    <w:rsid w:val="00923C62"/>
    <w:rsid w:val="00924499"/>
    <w:rsid w:val="00924869"/>
    <w:rsid w:val="009261BB"/>
    <w:rsid w:val="00926EBB"/>
    <w:rsid w:val="00926F7F"/>
    <w:rsid w:val="00930DAA"/>
    <w:rsid w:val="00930F69"/>
    <w:rsid w:val="00931735"/>
    <w:rsid w:val="00932BDE"/>
    <w:rsid w:val="0093377F"/>
    <w:rsid w:val="00933AF6"/>
    <w:rsid w:val="00934FCC"/>
    <w:rsid w:val="009356F5"/>
    <w:rsid w:val="00936D27"/>
    <w:rsid w:val="00937A53"/>
    <w:rsid w:val="009403D3"/>
    <w:rsid w:val="00941EC7"/>
    <w:rsid w:val="009429D2"/>
    <w:rsid w:val="009439B6"/>
    <w:rsid w:val="009444A0"/>
    <w:rsid w:val="009462A9"/>
    <w:rsid w:val="00952D68"/>
    <w:rsid w:val="00954DC8"/>
    <w:rsid w:val="0095536A"/>
    <w:rsid w:val="009557A2"/>
    <w:rsid w:val="00955DDA"/>
    <w:rsid w:val="00960123"/>
    <w:rsid w:val="009644B6"/>
    <w:rsid w:val="00964E20"/>
    <w:rsid w:val="009650BB"/>
    <w:rsid w:val="00966969"/>
    <w:rsid w:val="00966BA5"/>
    <w:rsid w:val="00966D1E"/>
    <w:rsid w:val="009702B0"/>
    <w:rsid w:val="00970B09"/>
    <w:rsid w:val="009713B7"/>
    <w:rsid w:val="009715BA"/>
    <w:rsid w:val="00971905"/>
    <w:rsid w:val="00971A98"/>
    <w:rsid w:val="00971BB6"/>
    <w:rsid w:val="00972456"/>
    <w:rsid w:val="009730C2"/>
    <w:rsid w:val="0097368F"/>
    <w:rsid w:val="009751C2"/>
    <w:rsid w:val="00977102"/>
    <w:rsid w:val="00980030"/>
    <w:rsid w:val="00980A65"/>
    <w:rsid w:val="00980E35"/>
    <w:rsid w:val="00981F4D"/>
    <w:rsid w:val="00982064"/>
    <w:rsid w:val="00982665"/>
    <w:rsid w:val="0098477D"/>
    <w:rsid w:val="00987986"/>
    <w:rsid w:val="0099094A"/>
    <w:rsid w:val="00990C69"/>
    <w:rsid w:val="00993731"/>
    <w:rsid w:val="00993F99"/>
    <w:rsid w:val="009959F3"/>
    <w:rsid w:val="00995B5B"/>
    <w:rsid w:val="00995DE5"/>
    <w:rsid w:val="00995E86"/>
    <w:rsid w:val="009A06EC"/>
    <w:rsid w:val="009A0E10"/>
    <w:rsid w:val="009A2E1E"/>
    <w:rsid w:val="009A4ED2"/>
    <w:rsid w:val="009A55D2"/>
    <w:rsid w:val="009A7A1D"/>
    <w:rsid w:val="009B138C"/>
    <w:rsid w:val="009B28DF"/>
    <w:rsid w:val="009B321D"/>
    <w:rsid w:val="009B6D23"/>
    <w:rsid w:val="009B71E0"/>
    <w:rsid w:val="009B7205"/>
    <w:rsid w:val="009C0433"/>
    <w:rsid w:val="009C2545"/>
    <w:rsid w:val="009C26B9"/>
    <w:rsid w:val="009C2EF4"/>
    <w:rsid w:val="009C3A20"/>
    <w:rsid w:val="009C4529"/>
    <w:rsid w:val="009C4C23"/>
    <w:rsid w:val="009C4CE0"/>
    <w:rsid w:val="009C562D"/>
    <w:rsid w:val="009C579D"/>
    <w:rsid w:val="009C5914"/>
    <w:rsid w:val="009C6AD5"/>
    <w:rsid w:val="009C6C67"/>
    <w:rsid w:val="009D084F"/>
    <w:rsid w:val="009D14B7"/>
    <w:rsid w:val="009D278F"/>
    <w:rsid w:val="009D73A4"/>
    <w:rsid w:val="009D75A8"/>
    <w:rsid w:val="009D7940"/>
    <w:rsid w:val="009E0461"/>
    <w:rsid w:val="009E4644"/>
    <w:rsid w:val="009E4F78"/>
    <w:rsid w:val="009E53B4"/>
    <w:rsid w:val="009E62B6"/>
    <w:rsid w:val="009E690E"/>
    <w:rsid w:val="009E6A9F"/>
    <w:rsid w:val="009F157A"/>
    <w:rsid w:val="009F15EB"/>
    <w:rsid w:val="009F306D"/>
    <w:rsid w:val="009F340A"/>
    <w:rsid w:val="009F3E32"/>
    <w:rsid w:val="009F5ED9"/>
    <w:rsid w:val="009F7213"/>
    <w:rsid w:val="00A0234D"/>
    <w:rsid w:val="00A02600"/>
    <w:rsid w:val="00A02C75"/>
    <w:rsid w:val="00A041AE"/>
    <w:rsid w:val="00A05478"/>
    <w:rsid w:val="00A06FDE"/>
    <w:rsid w:val="00A07D0F"/>
    <w:rsid w:val="00A11A5A"/>
    <w:rsid w:val="00A11DB5"/>
    <w:rsid w:val="00A11E23"/>
    <w:rsid w:val="00A149E5"/>
    <w:rsid w:val="00A15C24"/>
    <w:rsid w:val="00A160E5"/>
    <w:rsid w:val="00A20CDE"/>
    <w:rsid w:val="00A22230"/>
    <w:rsid w:val="00A22430"/>
    <w:rsid w:val="00A23695"/>
    <w:rsid w:val="00A24B3F"/>
    <w:rsid w:val="00A24B4C"/>
    <w:rsid w:val="00A24D31"/>
    <w:rsid w:val="00A24E22"/>
    <w:rsid w:val="00A26E15"/>
    <w:rsid w:val="00A27A73"/>
    <w:rsid w:val="00A3147F"/>
    <w:rsid w:val="00A32C94"/>
    <w:rsid w:val="00A32D2D"/>
    <w:rsid w:val="00A34A6F"/>
    <w:rsid w:val="00A34C9D"/>
    <w:rsid w:val="00A35263"/>
    <w:rsid w:val="00A353B1"/>
    <w:rsid w:val="00A40611"/>
    <w:rsid w:val="00A41BBF"/>
    <w:rsid w:val="00A420F9"/>
    <w:rsid w:val="00A42F84"/>
    <w:rsid w:val="00A431C9"/>
    <w:rsid w:val="00A4334F"/>
    <w:rsid w:val="00A44252"/>
    <w:rsid w:val="00A444DE"/>
    <w:rsid w:val="00A4532F"/>
    <w:rsid w:val="00A45412"/>
    <w:rsid w:val="00A45423"/>
    <w:rsid w:val="00A47789"/>
    <w:rsid w:val="00A50095"/>
    <w:rsid w:val="00A51148"/>
    <w:rsid w:val="00A51B08"/>
    <w:rsid w:val="00A51B9F"/>
    <w:rsid w:val="00A53CA3"/>
    <w:rsid w:val="00A546C6"/>
    <w:rsid w:val="00A54FA7"/>
    <w:rsid w:val="00A55DE3"/>
    <w:rsid w:val="00A56122"/>
    <w:rsid w:val="00A566B4"/>
    <w:rsid w:val="00A57921"/>
    <w:rsid w:val="00A57D3D"/>
    <w:rsid w:val="00A6074A"/>
    <w:rsid w:val="00A62860"/>
    <w:rsid w:val="00A62C9A"/>
    <w:rsid w:val="00A63235"/>
    <w:rsid w:val="00A63300"/>
    <w:rsid w:val="00A63629"/>
    <w:rsid w:val="00A6463B"/>
    <w:rsid w:val="00A65EDC"/>
    <w:rsid w:val="00A6630C"/>
    <w:rsid w:val="00A671B8"/>
    <w:rsid w:val="00A70E28"/>
    <w:rsid w:val="00A71526"/>
    <w:rsid w:val="00A73A86"/>
    <w:rsid w:val="00A753C7"/>
    <w:rsid w:val="00A75E6D"/>
    <w:rsid w:val="00A77C31"/>
    <w:rsid w:val="00A807A6"/>
    <w:rsid w:val="00A80AD5"/>
    <w:rsid w:val="00A8171B"/>
    <w:rsid w:val="00A8193E"/>
    <w:rsid w:val="00A83002"/>
    <w:rsid w:val="00A83C18"/>
    <w:rsid w:val="00A83CC2"/>
    <w:rsid w:val="00A84807"/>
    <w:rsid w:val="00A85C14"/>
    <w:rsid w:val="00A905A4"/>
    <w:rsid w:val="00A90797"/>
    <w:rsid w:val="00A94449"/>
    <w:rsid w:val="00A947FE"/>
    <w:rsid w:val="00A94A82"/>
    <w:rsid w:val="00A96ADF"/>
    <w:rsid w:val="00A96F75"/>
    <w:rsid w:val="00A97C29"/>
    <w:rsid w:val="00A97C58"/>
    <w:rsid w:val="00AA06B3"/>
    <w:rsid w:val="00AA0A68"/>
    <w:rsid w:val="00AA1840"/>
    <w:rsid w:val="00AA5F05"/>
    <w:rsid w:val="00AA6C13"/>
    <w:rsid w:val="00AA79CD"/>
    <w:rsid w:val="00AB386C"/>
    <w:rsid w:val="00AB637F"/>
    <w:rsid w:val="00AC0DE8"/>
    <w:rsid w:val="00AC2E42"/>
    <w:rsid w:val="00AC367A"/>
    <w:rsid w:val="00AC386E"/>
    <w:rsid w:val="00AC53B4"/>
    <w:rsid w:val="00AC6578"/>
    <w:rsid w:val="00AC662D"/>
    <w:rsid w:val="00AC7D9B"/>
    <w:rsid w:val="00AC7FCA"/>
    <w:rsid w:val="00AD025D"/>
    <w:rsid w:val="00AD1FF9"/>
    <w:rsid w:val="00AD3EA5"/>
    <w:rsid w:val="00AD4880"/>
    <w:rsid w:val="00AD49BD"/>
    <w:rsid w:val="00AD6322"/>
    <w:rsid w:val="00AE17D1"/>
    <w:rsid w:val="00AE20EC"/>
    <w:rsid w:val="00AE2724"/>
    <w:rsid w:val="00AE2918"/>
    <w:rsid w:val="00AE2B13"/>
    <w:rsid w:val="00AE33F3"/>
    <w:rsid w:val="00AE46B7"/>
    <w:rsid w:val="00AE5DC4"/>
    <w:rsid w:val="00AF031C"/>
    <w:rsid w:val="00AF0753"/>
    <w:rsid w:val="00AF1B97"/>
    <w:rsid w:val="00AF2E33"/>
    <w:rsid w:val="00AF5427"/>
    <w:rsid w:val="00AF566C"/>
    <w:rsid w:val="00B039E5"/>
    <w:rsid w:val="00B06A9A"/>
    <w:rsid w:val="00B06BF9"/>
    <w:rsid w:val="00B100E0"/>
    <w:rsid w:val="00B10F34"/>
    <w:rsid w:val="00B110AD"/>
    <w:rsid w:val="00B11692"/>
    <w:rsid w:val="00B11C98"/>
    <w:rsid w:val="00B11CC9"/>
    <w:rsid w:val="00B13CB5"/>
    <w:rsid w:val="00B13D23"/>
    <w:rsid w:val="00B1478C"/>
    <w:rsid w:val="00B14B3B"/>
    <w:rsid w:val="00B15916"/>
    <w:rsid w:val="00B17A94"/>
    <w:rsid w:val="00B17CFC"/>
    <w:rsid w:val="00B2035A"/>
    <w:rsid w:val="00B20ABD"/>
    <w:rsid w:val="00B21908"/>
    <w:rsid w:val="00B21D4C"/>
    <w:rsid w:val="00B232A7"/>
    <w:rsid w:val="00B23E82"/>
    <w:rsid w:val="00B24843"/>
    <w:rsid w:val="00B2563A"/>
    <w:rsid w:val="00B263A0"/>
    <w:rsid w:val="00B269ED"/>
    <w:rsid w:val="00B2773B"/>
    <w:rsid w:val="00B27AFF"/>
    <w:rsid w:val="00B30457"/>
    <w:rsid w:val="00B314E9"/>
    <w:rsid w:val="00B31A20"/>
    <w:rsid w:val="00B344A1"/>
    <w:rsid w:val="00B34895"/>
    <w:rsid w:val="00B35867"/>
    <w:rsid w:val="00B365CF"/>
    <w:rsid w:val="00B36A2D"/>
    <w:rsid w:val="00B36F11"/>
    <w:rsid w:val="00B41C33"/>
    <w:rsid w:val="00B4352D"/>
    <w:rsid w:val="00B440C8"/>
    <w:rsid w:val="00B4490B"/>
    <w:rsid w:val="00B4677C"/>
    <w:rsid w:val="00B46B6C"/>
    <w:rsid w:val="00B475A7"/>
    <w:rsid w:val="00B5168E"/>
    <w:rsid w:val="00B518EB"/>
    <w:rsid w:val="00B52608"/>
    <w:rsid w:val="00B52835"/>
    <w:rsid w:val="00B541FF"/>
    <w:rsid w:val="00B54D91"/>
    <w:rsid w:val="00B551FB"/>
    <w:rsid w:val="00B55CE6"/>
    <w:rsid w:val="00B5737D"/>
    <w:rsid w:val="00B60FC0"/>
    <w:rsid w:val="00B61829"/>
    <w:rsid w:val="00B621FA"/>
    <w:rsid w:val="00B6223F"/>
    <w:rsid w:val="00B62B3E"/>
    <w:rsid w:val="00B62E77"/>
    <w:rsid w:val="00B63221"/>
    <w:rsid w:val="00B6561E"/>
    <w:rsid w:val="00B67416"/>
    <w:rsid w:val="00B676BF"/>
    <w:rsid w:val="00B7052E"/>
    <w:rsid w:val="00B70DFB"/>
    <w:rsid w:val="00B71D68"/>
    <w:rsid w:val="00B71FB9"/>
    <w:rsid w:val="00B732F4"/>
    <w:rsid w:val="00B747B6"/>
    <w:rsid w:val="00B75361"/>
    <w:rsid w:val="00B756DE"/>
    <w:rsid w:val="00B75C6D"/>
    <w:rsid w:val="00B7602A"/>
    <w:rsid w:val="00B802F3"/>
    <w:rsid w:val="00B803D8"/>
    <w:rsid w:val="00B8060E"/>
    <w:rsid w:val="00B82C89"/>
    <w:rsid w:val="00B83414"/>
    <w:rsid w:val="00B84EFD"/>
    <w:rsid w:val="00B8582D"/>
    <w:rsid w:val="00B85BCE"/>
    <w:rsid w:val="00B86D92"/>
    <w:rsid w:val="00B87103"/>
    <w:rsid w:val="00B92CF5"/>
    <w:rsid w:val="00B92D58"/>
    <w:rsid w:val="00B95056"/>
    <w:rsid w:val="00B95DB0"/>
    <w:rsid w:val="00B95F36"/>
    <w:rsid w:val="00B97800"/>
    <w:rsid w:val="00BA03C4"/>
    <w:rsid w:val="00BA0E09"/>
    <w:rsid w:val="00BA1516"/>
    <w:rsid w:val="00BA1BF1"/>
    <w:rsid w:val="00BA1D55"/>
    <w:rsid w:val="00BA2802"/>
    <w:rsid w:val="00BA3841"/>
    <w:rsid w:val="00BA53BF"/>
    <w:rsid w:val="00BA6EDB"/>
    <w:rsid w:val="00BA7DBF"/>
    <w:rsid w:val="00BB00C9"/>
    <w:rsid w:val="00BB357A"/>
    <w:rsid w:val="00BB4196"/>
    <w:rsid w:val="00BB4E38"/>
    <w:rsid w:val="00BB541E"/>
    <w:rsid w:val="00BB7770"/>
    <w:rsid w:val="00BB7A45"/>
    <w:rsid w:val="00BC0CD8"/>
    <w:rsid w:val="00BC26D9"/>
    <w:rsid w:val="00BC5070"/>
    <w:rsid w:val="00BC6F70"/>
    <w:rsid w:val="00BC7343"/>
    <w:rsid w:val="00BD0592"/>
    <w:rsid w:val="00BD1A4A"/>
    <w:rsid w:val="00BD2CFE"/>
    <w:rsid w:val="00BD320F"/>
    <w:rsid w:val="00BD3ACD"/>
    <w:rsid w:val="00BD594C"/>
    <w:rsid w:val="00BD62FA"/>
    <w:rsid w:val="00BD65F7"/>
    <w:rsid w:val="00BD77E1"/>
    <w:rsid w:val="00BD7904"/>
    <w:rsid w:val="00BE01CC"/>
    <w:rsid w:val="00BE1E12"/>
    <w:rsid w:val="00BE2F77"/>
    <w:rsid w:val="00BE3ACB"/>
    <w:rsid w:val="00BE3B4F"/>
    <w:rsid w:val="00BE451D"/>
    <w:rsid w:val="00BE471E"/>
    <w:rsid w:val="00BE5973"/>
    <w:rsid w:val="00BE6A03"/>
    <w:rsid w:val="00BE7184"/>
    <w:rsid w:val="00BE727E"/>
    <w:rsid w:val="00BE769A"/>
    <w:rsid w:val="00BF2661"/>
    <w:rsid w:val="00BF38D6"/>
    <w:rsid w:val="00BF40F1"/>
    <w:rsid w:val="00BF6780"/>
    <w:rsid w:val="00C0086B"/>
    <w:rsid w:val="00C01232"/>
    <w:rsid w:val="00C02DB9"/>
    <w:rsid w:val="00C1144A"/>
    <w:rsid w:val="00C1256C"/>
    <w:rsid w:val="00C12996"/>
    <w:rsid w:val="00C13553"/>
    <w:rsid w:val="00C140DA"/>
    <w:rsid w:val="00C155A5"/>
    <w:rsid w:val="00C15D09"/>
    <w:rsid w:val="00C16066"/>
    <w:rsid w:val="00C21A99"/>
    <w:rsid w:val="00C223C7"/>
    <w:rsid w:val="00C22910"/>
    <w:rsid w:val="00C22D36"/>
    <w:rsid w:val="00C2394B"/>
    <w:rsid w:val="00C23C33"/>
    <w:rsid w:val="00C2577E"/>
    <w:rsid w:val="00C25F85"/>
    <w:rsid w:val="00C30070"/>
    <w:rsid w:val="00C329F9"/>
    <w:rsid w:val="00C33C6B"/>
    <w:rsid w:val="00C34032"/>
    <w:rsid w:val="00C34591"/>
    <w:rsid w:val="00C350A0"/>
    <w:rsid w:val="00C357CF"/>
    <w:rsid w:val="00C36237"/>
    <w:rsid w:val="00C365B1"/>
    <w:rsid w:val="00C44A35"/>
    <w:rsid w:val="00C452D3"/>
    <w:rsid w:val="00C477AC"/>
    <w:rsid w:val="00C52393"/>
    <w:rsid w:val="00C52B62"/>
    <w:rsid w:val="00C5353F"/>
    <w:rsid w:val="00C568A1"/>
    <w:rsid w:val="00C60208"/>
    <w:rsid w:val="00C62A8C"/>
    <w:rsid w:val="00C647FD"/>
    <w:rsid w:val="00C64A30"/>
    <w:rsid w:val="00C65474"/>
    <w:rsid w:val="00C66BB2"/>
    <w:rsid w:val="00C67B5E"/>
    <w:rsid w:val="00C70D30"/>
    <w:rsid w:val="00C7136E"/>
    <w:rsid w:val="00C71891"/>
    <w:rsid w:val="00C734EC"/>
    <w:rsid w:val="00C7398E"/>
    <w:rsid w:val="00C747F8"/>
    <w:rsid w:val="00C75D00"/>
    <w:rsid w:val="00C75FF7"/>
    <w:rsid w:val="00C76067"/>
    <w:rsid w:val="00C7669D"/>
    <w:rsid w:val="00C77682"/>
    <w:rsid w:val="00C80269"/>
    <w:rsid w:val="00C82F5D"/>
    <w:rsid w:val="00C8424C"/>
    <w:rsid w:val="00C85979"/>
    <w:rsid w:val="00C8713C"/>
    <w:rsid w:val="00C875AF"/>
    <w:rsid w:val="00C91B0E"/>
    <w:rsid w:val="00C9389F"/>
    <w:rsid w:val="00C94611"/>
    <w:rsid w:val="00C947B1"/>
    <w:rsid w:val="00C967CD"/>
    <w:rsid w:val="00C97191"/>
    <w:rsid w:val="00CA0490"/>
    <w:rsid w:val="00CA0DFD"/>
    <w:rsid w:val="00CA2196"/>
    <w:rsid w:val="00CA30E4"/>
    <w:rsid w:val="00CA3197"/>
    <w:rsid w:val="00CA34A4"/>
    <w:rsid w:val="00CA4B60"/>
    <w:rsid w:val="00CA4D30"/>
    <w:rsid w:val="00CA516B"/>
    <w:rsid w:val="00CA6165"/>
    <w:rsid w:val="00CB0CD9"/>
    <w:rsid w:val="00CB5525"/>
    <w:rsid w:val="00CB63CE"/>
    <w:rsid w:val="00CB6AB0"/>
    <w:rsid w:val="00CB78E8"/>
    <w:rsid w:val="00CC02B5"/>
    <w:rsid w:val="00CC06E5"/>
    <w:rsid w:val="00CC08F6"/>
    <w:rsid w:val="00CC0FCA"/>
    <w:rsid w:val="00CD07E8"/>
    <w:rsid w:val="00CD0DC7"/>
    <w:rsid w:val="00CD1005"/>
    <w:rsid w:val="00CD1F3D"/>
    <w:rsid w:val="00CD271D"/>
    <w:rsid w:val="00CD3966"/>
    <w:rsid w:val="00CD3B05"/>
    <w:rsid w:val="00CD453F"/>
    <w:rsid w:val="00CD4AE2"/>
    <w:rsid w:val="00CD5C49"/>
    <w:rsid w:val="00CD5D2D"/>
    <w:rsid w:val="00CD6B2E"/>
    <w:rsid w:val="00CE02E9"/>
    <w:rsid w:val="00CE2D82"/>
    <w:rsid w:val="00CE312B"/>
    <w:rsid w:val="00CE379D"/>
    <w:rsid w:val="00CE4A08"/>
    <w:rsid w:val="00CE7760"/>
    <w:rsid w:val="00CF279F"/>
    <w:rsid w:val="00CF2CC2"/>
    <w:rsid w:val="00CF5857"/>
    <w:rsid w:val="00CF59D5"/>
    <w:rsid w:val="00CF5B7A"/>
    <w:rsid w:val="00CF69CF"/>
    <w:rsid w:val="00D001AA"/>
    <w:rsid w:val="00D006A0"/>
    <w:rsid w:val="00D00EDC"/>
    <w:rsid w:val="00D0146A"/>
    <w:rsid w:val="00D05A15"/>
    <w:rsid w:val="00D0690B"/>
    <w:rsid w:val="00D07D9B"/>
    <w:rsid w:val="00D10E5B"/>
    <w:rsid w:val="00D1153C"/>
    <w:rsid w:val="00D133BC"/>
    <w:rsid w:val="00D13DE6"/>
    <w:rsid w:val="00D154C6"/>
    <w:rsid w:val="00D1792D"/>
    <w:rsid w:val="00D17BC4"/>
    <w:rsid w:val="00D221B3"/>
    <w:rsid w:val="00D22B47"/>
    <w:rsid w:val="00D22D92"/>
    <w:rsid w:val="00D23576"/>
    <w:rsid w:val="00D24B0C"/>
    <w:rsid w:val="00D25BF0"/>
    <w:rsid w:val="00D26C7A"/>
    <w:rsid w:val="00D30D91"/>
    <w:rsid w:val="00D3124D"/>
    <w:rsid w:val="00D3286B"/>
    <w:rsid w:val="00D3343D"/>
    <w:rsid w:val="00D3409A"/>
    <w:rsid w:val="00D34180"/>
    <w:rsid w:val="00D35A32"/>
    <w:rsid w:val="00D4007A"/>
    <w:rsid w:val="00D42AF5"/>
    <w:rsid w:val="00D42B36"/>
    <w:rsid w:val="00D43509"/>
    <w:rsid w:val="00D43683"/>
    <w:rsid w:val="00D43E68"/>
    <w:rsid w:val="00D44536"/>
    <w:rsid w:val="00D46EEE"/>
    <w:rsid w:val="00D47152"/>
    <w:rsid w:val="00D47A7B"/>
    <w:rsid w:val="00D50ED4"/>
    <w:rsid w:val="00D5281E"/>
    <w:rsid w:val="00D52E1D"/>
    <w:rsid w:val="00D535AB"/>
    <w:rsid w:val="00D54E6E"/>
    <w:rsid w:val="00D56675"/>
    <w:rsid w:val="00D61FAD"/>
    <w:rsid w:val="00D62618"/>
    <w:rsid w:val="00D62650"/>
    <w:rsid w:val="00D631E7"/>
    <w:rsid w:val="00D65625"/>
    <w:rsid w:val="00D6562B"/>
    <w:rsid w:val="00D669E3"/>
    <w:rsid w:val="00D71851"/>
    <w:rsid w:val="00D724BA"/>
    <w:rsid w:val="00D74D2A"/>
    <w:rsid w:val="00D8219D"/>
    <w:rsid w:val="00D83BAD"/>
    <w:rsid w:val="00D84BD4"/>
    <w:rsid w:val="00D84DAD"/>
    <w:rsid w:val="00D850C2"/>
    <w:rsid w:val="00D855C1"/>
    <w:rsid w:val="00D866DE"/>
    <w:rsid w:val="00D91C7E"/>
    <w:rsid w:val="00D92F82"/>
    <w:rsid w:val="00D93F23"/>
    <w:rsid w:val="00D947C9"/>
    <w:rsid w:val="00D94851"/>
    <w:rsid w:val="00D94D91"/>
    <w:rsid w:val="00D95AF1"/>
    <w:rsid w:val="00D96B5D"/>
    <w:rsid w:val="00D96FF4"/>
    <w:rsid w:val="00D979E3"/>
    <w:rsid w:val="00D97D81"/>
    <w:rsid w:val="00DA0C48"/>
    <w:rsid w:val="00DA1DFC"/>
    <w:rsid w:val="00DA2C8E"/>
    <w:rsid w:val="00DA3532"/>
    <w:rsid w:val="00DA402A"/>
    <w:rsid w:val="00DA440E"/>
    <w:rsid w:val="00DA511C"/>
    <w:rsid w:val="00DA52F1"/>
    <w:rsid w:val="00DA671B"/>
    <w:rsid w:val="00DA71B3"/>
    <w:rsid w:val="00DB09AD"/>
    <w:rsid w:val="00DB0F54"/>
    <w:rsid w:val="00DB3F0B"/>
    <w:rsid w:val="00DB5F8F"/>
    <w:rsid w:val="00DB6776"/>
    <w:rsid w:val="00DC0309"/>
    <w:rsid w:val="00DC0A6D"/>
    <w:rsid w:val="00DC14EB"/>
    <w:rsid w:val="00DC17BB"/>
    <w:rsid w:val="00DC21B3"/>
    <w:rsid w:val="00DC22F2"/>
    <w:rsid w:val="00DC292A"/>
    <w:rsid w:val="00DC3408"/>
    <w:rsid w:val="00DC4E12"/>
    <w:rsid w:val="00DC57A8"/>
    <w:rsid w:val="00DC590A"/>
    <w:rsid w:val="00DC61F9"/>
    <w:rsid w:val="00DC6F95"/>
    <w:rsid w:val="00DD209A"/>
    <w:rsid w:val="00DD56B5"/>
    <w:rsid w:val="00DD68CF"/>
    <w:rsid w:val="00DD761D"/>
    <w:rsid w:val="00DE1D84"/>
    <w:rsid w:val="00DE44CC"/>
    <w:rsid w:val="00DE4730"/>
    <w:rsid w:val="00DE5434"/>
    <w:rsid w:val="00DE5526"/>
    <w:rsid w:val="00DE579D"/>
    <w:rsid w:val="00DE6583"/>
    <w:rsid w:val="00DE6858"/>
    <w:rsid w:val="00DE7886"/>
    <w:rsid w:val="00DF113C"/>
    <w:rsid w:val="00DF28D3"/>
    <w:rsid w:val="00DF5299"/>
    <w:rsid w:val="00DF6034"/>
    <w:rsid w:val="00E000A8"/>
    <w:rsid w:val="00E0052F"/>
    <w:rsid w:val="00E00890"/>
    <w:rsid w:val="00E01F01"/>
    <w:rsid w:val="00E03288"/>
    <w:rsid w:val="00E04CA8"/>
    <w:rsid w:val="00E058EF"/>
    <w:rsid w:val="00E068B3"/>
    <w:rsid w:val="00E06B77"/>
    <w:rsid w:val="00E11F06"/>
    <w:rsid w:val="00E1233A"/>
    <w:rsid w:val="00E139CD"/>
    <w:rsid w:val="00E14DDD"/>
    <w:rsid w:val="00E20518"/>
    <w:rsid w:val="00E20828"/>
    <w:rsid w:val="00E20BFE"/>
    <w:rsid w:val="00E20C46"/>
    <w:rsid w:val="00E2334A"/>
    <w:rsid w:val="00E2487E"/>
    <w:rsid w:val="00E25298"/>
    <w:rsid w:val="00E26196"/>
    <w:rsid w:val="00E277FF"/>
    <w:rsid w:val="00E30529"/>
    <w:rsid w:val="00E30B21"/>
    <w:rsid w:val="00E31741"/>
    <w:rsid w:val="00E31E92"/>
    <w:rsid w:val="00E3257C"/>
    <w:rsid w:val="00E33AF6"/>
    <w:rsid w:val="00E33C1B"/>
    <w:rsid w:val="00E35D3D"/>
    <w:rsid w:val="00E36246"/>
    <w:rsid w:val="00E3659C"/>
    <w:rsid w:val="00E403EF"/>
    <w:rsid w:val="00E4062C"/>
    <w:rsid w:val="00E436D6"/>
    <w:rsid w:val="00E443EE"/>
    <w:rsid w:val="00E44725"/>
    <w:rsid w:val="00E452FD"/>
    <w:rsid w:val="00E467BA"/>
    <w:rsid w:val="00E47166"/>
    <w:rsid w:val="00E477C2"/>
    <w:rsid w:val="00E4780F"/>
    <w:rsid w:val="00E504CE"/>
    <w:rsid w:val="00E5104C"/>
    <w:rsid w:val="00E52238"/>
    <w:rsid w:val="00E537A2"/>
    <w:rsid w:val="00E53AE7"/>
    <w:rsid w:val="00E53D0D"/>
    <w:rsid w:val="00E56194"/>
    <w:rsid w:val="00E56211"/>
    <w:rsid w:val="00E56273"/>
    <w:rsid w:val="00E603EB"/>
    <w:rsid w:val="00E61993"/>
    <w:rsid w:val="00E61B41"/>
    <w:rsid w:val="00E636E5"/>
    <w:rsid w:val="00E637A0"/>
    <w:rsid w:val="00E66E0F"/>
    <w:rsid w:val="00E719EA"/>
    <w:rsid w:val="00E71DDB"/>
    <w:rsid w:val="00E72630"/>
    <w:rsid w:val="00E73340"/>
    <w:rsid w:val="00E73F70"/>
    <w:rsid w:val="00E74992"/>
    <w:rsid w:val="00E74C08"/>
    <w:rsid w:val="00E75881"/>
    <w:rsid w:val="00E77C77"/>
    <w:rsid w:val="00E836DF"/>
    <w:rsid w:val="00E85F0A"/>
    <w:rsid w:val="00E87BFE"/>
    <w:rsid w:val="00E908CE"/>
    <w:rsid w:val="00E93996"/>
    <w:rsid w:val="00E94819"/>
    <w:rsid w:val="00E95525"/>
    <w:rsid w:val="00E95D7F"/>
    <w:rsid w:val="00E97522"/>
    <w:rsid w:val="00EA00B8"/>
    <w:rsid w:val="00EA25B1"/>
    <w:rsid w:val="00EA2CF9"/>
    <w:rsid w:val="00EA3BDA"/>
    <w:rsid w:val="00EA3C4C"/>
    <w:rsid w:val="00EA40F7"/>
    <w:rsid w:val="00EA45A2"/>
    <w:rsid w:val="00EA7B96"/>
    <w:rsid w:val="00EA7BD5"/>
    <w:rsid w:val="00EB02E2"/>
    <w:rsid w:val="00EB07C0"/>
    <w:rsid w:val="00EB0CD6"/>
    <w:rsid w:val="00EB1274"/>
    <w:rsid w:val="00EB238B"/>
    <w:rsid w:val="00EB4D68"/>
    <w:rsid w:val="00EB54F9"/>
    <w:rsid w:val="00EB6C81"/>
    <w:rsid w:val="00EB7E46"/>
    <w:rsid w:val="00EC0778"/>
    <w:rsid w:val="00EC1791"/>
    <w:rsid w:val="00EC179C"/>
    <w:rsid w:val="00EC1DB1"/>
    <w:rsid w:val="00EC249A"/>
    <w:rsid w:val="00EC28C0"/>
    <w:rsid w:val="00EC304B"/>
    <w:rsid w:val="00EC30BC"/>
    <w:rsid w:val="00EC3944"/>
    <w:rsid w:val="00EC3EE7"/>
    <w:rsid w:val="00EC4498"/>
    <w:rsid w:val="00EC4A37"/>
    <w:rsid w:val="00EC4C29"/>
    <w:rsid w:val="00EC4D38"/>
    <w:rsid w:val="00EC5FCC"/>
    <w:rsid w:val="00EC6E63"/>
    <w:rsid w:val="00EC725F"/>
    <w:rsid w:val="00ED1953"/>
    <w:rsid w:val="00ED2D6B"/>
    <w:rsid w:val="00ED3936"/>
    <w:rsid w:val="00ED5233"/>
    <w:rsid w:val="00ED5DC2"/>
    <w:rsid w:val="00ED6F2C"/>
    <w:rsid w:val="00ED74E2"/>
    <w:rsid w:val="00ED782F"/>
    <w:rsid w:val="00EE0153"/>
    <w:rsid w:val="00EE095F"/>
    <w:rsid w:val="00EE0BB2"/>
    <w:rsid w:val="00EE2A27"/>
    <w:rsid w:val="00EE34C3"/>
    <w:rsid w:val="00EE4248"/>
    <w:rsid w:val="00EE4736"/>
    <w:rsid w:val="00EE49DC"/>
    <w:rsid w:val="00EE52EC"/>
    <w:rsid w:val="00EE5C1F"/>
    <w:rsid w:val="00EF0D41"/>
    <w:rsid w:val="00EF284A"/>
    <w:rsid w:val="00EF2ED4"/>
    <w:rsid w:val="00EF4A16"/>
    <w:rsid w:val="00EF4EC0"/>
    <w:rsid w:val="00EF5A79"/>
    <w:rsid w:val="00EF6B5E"/>
    <w:rsid w:val="00F01266"/>
    <w:rsid w:val="00F01FD7"/>
    <w:rsid w:val="00F034A4"/>
    <w:rsid w:val="00F049BA"/>
    <w:rsid w:val="00F04ECF"/>
    <w:rsid w:val="00F1142F"/>
    <w:rsid w:val="00F116B7"/>
    <w:rsid w:val="00F1205B"/>
    <w:rsid w:val="00F12642"/>
    <w:rsid w:val="00F13946"/>
    <w:rsid w:val="00F13F3A"/>
    <w:rsid w:val="00F14DE5"/>
    <w:rsid w:val="00F163C6"/>
    <w:rsid w:val="00F17DEF"/>
    <w:rsid w:val="00F203B8"/>
    <w:rsid w:val="00F21766"/>
    <w:rsid w:val="00F23A0E"/>
    <w:rsid w:val="00F24B1A"/>
    <w:rsid w:val="00F25A57"/>
    <w:rsid w:val="00F26AAA"/>
    <w:rsid w:val="00F3090F"/>
    <w:rsid w:val="00F311AB"/>
    <w:rsid w:val="00F32562"/>
    <w:rsid w:val="00F32F62"/>
    <w:rsid w:val="00F33FED"/>
    <w:rsid w:val="00F3588F"/>
    <w:rsid w:val="00F361B6"/>
    <w:rsid w:val="00F3726B"/>
    <w:rsid w:val="00F401B2"/>
    <w:rsid w:val="00F410E7"/>
    <w:rsid w:val="00F4113D"/>
    <w:rsid w:val="00F41AFA"/>
    <w:rsid w:val="00F4207A"/>
    <w:rsid w:val="00F44F18"/>
    <w:rsid w:val="00F4514B"/>
    <w:rsid w:val="00F46C36"/>
    <w:rsid w:val="00F47175"/>
    <w:rsid w:val="00F47630"/>
    <w:rsid w:val="00F52C0F"/>
    <w:rsid w:val="00F54B67"/>
    <w:rsid w:val="00F55404"/>
    <w:rsid w:val="00F5547E"/>
    <w:rsid w:val="00F557FB"/>
    <w:rsid w:val="00F55C19"/>
    <w:rsid w:val="00F55D61"/>
    <w:rsid w:val="00F56992"/>
    <w:rsid w:val="00F6115A"/>
    <w:rsid w:val="00F62AE7"/>
    <w:rsid w:val="00F62F01"/>
    <w:rsid w:val="00F63D75"/>
    <w:rsid w:val="00F644E7"/>
    <w:rsid w:val="00F65B28"/>
    <w:rsid w:val="00F6684F"/>
    <w:rsid w:val="00F66B45"/>
    <w:rsid w:val="00F670F5"/>
    <w:rsid w:val="00F67FAB"/>
    <w:rsid w:val="00F7010E"/>
    <w:rsid w:val="00F73AFB"/>
    <w:rsid w:val="00F73D82"/>
    <w:rsid w:val="00F740A9"/>
    <w:rsid w:val="00F74EA6"/>
    <w:rsid w:val="00F76F86"/>
    <w:rsid w:val="00F77EF9"/>
    <w:rsid w:val="00F8044D"/>
    <w:rsid w:val="00F8115C"/>
    <w:rsid w:val="00F81818"/>
    <w:rsid w:val="00F85621"/>
    <w:rsid w:val="00F85648"/>
    <w:rsid w:val="00F86580"/>
    <w:rsid w:val="00F87D7A"/>
    <w:rsid w:val="00F90AC2"/>
    <w:rsid w:val="00F917EE"/>
    <w:rsid w:val="00F936BC"/>
    <w:rsid w:val="00F95641"/>
    <w:rsid w:val="00F96024"/>
    <w:rsid w:val="00F96217"/>
    <w:rsid w:val="00F96FCA"/>
    <w:rsid w:val="00FA171A"/>
    <w:rsid w:val="00FA182A"/>
    <w:rsid w:val="00FA1C3F"/>
    <w:rsid w:val="00FA2BCF"/>
    <w:rsid w:val="00FA2E5C"/>
    <w:rsid w:val="00FA47A8"/>
    <w:rsid w:val="00FA584D"/>
    <w:rsid w:val="00FA6076"/>
    <w:rsid w:val="00FA6DF9"/>
    <w:rsid w:val="00FA6ED7"/>
    <w:rsid w:val="00FA7500"/>
    <w:rsid w:val="00FB25EC"/>
    <w:rsid w:val="00FB26E2"/>
    <w:rsid w:val="00FB3D16"/>
    <w:rsid w:val="00FB4048"/>
    <w:rsid w:val="00FB4898"/>
    <w:rsid w:val="00FB4D28"/>
    <w:rsid w:val="00FB7FC0"/>
    <w:rsid w:val="00FC1731"/>
    <w:rsid w:val="00FC285D"/>
    <w:rsid w:val="00FC2B63"/>
    <w:rsid w:val="00FC7A12"/>
    <w:rsid w:val="00FD0FEC"/>
    <w:rsid w:val="00FD18E0"/>
    <w:rsid w:val="00FD1B3F"/>
    <w:rsid w:val="00FD2573"/>
    <w:rsid w:val="00FD4525"/>
    <w:rsid w:val="00FD5A27"/>
    <w:rsid w:val="00FD5CB1"/>
    <w:rsid w:val="00FD7FD3"/>
    <w:rsid w:val="00FE029C"/>
    <w:rsid w:val="00FE1523"/>
    <w:rsid w:val="00FE1527"/>
    <w:rsid w:val="00FE451F"/>
    <w:rsid w:val="00FE45E1"/>
    <w:rsid w:val="00FE58E7"/>
    <w:rsid w:val="00FE6187"/>
    <w:rsid w:val="00FE6872"/>
    <w:rsid w:val="00FE7E3B"/>
    <w:rsid w:val="00FF050F"/>
    <w:rsid w:val="00FF1970"/>
    <w:rsid w:val="00FF1E7C"/>
    <w:rsid w:val="00FF2392"/>
    <w:rsid w:val="00FF27A0"/>
    <w:rsid w:val="00FF2847"/>
    <w:rsid w:val="00FF3E6C"/>
    <w:rsid w:val="00FF4D75"/>
    <w:rsid w:val="00FF606A"/>
    <w:rsid w:val="00FF7F12"/>
    <w:rsid w:val="046D3600"/>
    <w:rsid w:val="06713AED"/>
    <w:rsid w:val="067C4A79"/>
    <w:rsid w:val="07675E68"/>
    <w:rsid w:val="08E416A9"/>
    <w:rsid w:val="09D10E02"/>
    <w:rsid w:val="0AEE1F99"/>
    <w:rsid w:val="0B0C7F12"/>
    <w:rsid w:val="0C285108"/>
    <w:rsid w:val="0C3836B1"/>
    <w:rsid w:val="0C5F6401"/>
    <w:rsid w:val="0CC04E8A"/>
    <w:rsid w:val="0D2A76CB"/>
    <w:rsid w:val="0DDC104D"/>
    <w:rsid w:val="0DE11C82"/>
    <w:rsid w:val="0E0C1771"/>
    <w:rsid w:val="0F150EB0"/>
    <w:rsid w:val="0F5967CD"/>
    <w:rsid w:val="0FF50A19"/>
    <w:rsid w:val="12621E56"/>
    <w:rsid w:val="128E3E2D"/>
    <w:rsid w:val="12B32F86"/>
    <w:rsid w:val="138328B6"/>
    <w:rsid w:val="13F47732"/>
    <w:rsid w:val="14DC7D1B"/>
    <w:rsid w:val="150370CD"/>
    <w:rsid w:val="15064554"/>
    <w:rsid w:val="161D0017"/>
    <w:rsid w:val="16450A98"/>
    <w:rsid w:val="16704F27"/>
    <w:rsid w:val="187D00B8"/>
    <w:rsid w:val="1956794F"/>
    <w:rsid w:val="19656B4A"/>
    <w:rsid w:val="1968650F"/>
    <w:rsid w:val="19695E7F"/>
    <w:rsid w:val="1AF06F80"/>
    <w:rsid w:val="1BA6544E"/>
    <w:rsid w:val="1C712CD3"/>
    <w:rsid w:val="2026236A"/>
    <w:rsid w:val="20A8686D"/>
    <w:rsid w:val="217B67BD"/>
    <w:rsid w:val="23676207"/>
    <w:rsid w:val="242E7848"/>
    <w:rsid w:val="245C0407"/>
    <w:rsid w:val="24D35FB7"/>
    <w:rsid w:val="25156315"/>
    <w:rsid w:val="25621623"/>
    <w:rsid w:val="257C5A85"/>
    <w:rsid w:val="26FF0F58"/>
    <w:rsid w:val="27D3062A"/>
    <w:rsid w:val="293B2EFD"/>
    <w:rsid w:val="29DD45F2"/>
    <w:rsid w:val="2A236931"/>
    <w:rsid w:val="2A5A5A14"/>
    <w:rsid w:val="2D0A373E"/>
    <w:rsid w:val="2D381313"/>
    <w:rsid w:val="2D3C32EA"/>
    <w:rsid w:val="2D8A0022"/>
    <w:rsid w:val="2F000C9E"/>
    <w:rsid w:val="2F090FC5"/>
    <w:rsid w:val="2FD752AC"/>
    <w:rsid w:val="322E6251"/>
    <w:rsid w:val="32C80A3F"/>
    <w:rsid w:val="32F21EE9"/>
    <w:rsid w:val="33563A2E"/>
    <w:rsid w:val="33661BF2"/>
    <w:rsid w:val="33900685"/>
    <w:rsid w:val="33CE424C"/>
    <w:rsid w:val="345C70E9"/>
    <w:rsid w:val="359671E0"/>
    <w:rsid w:val="35CB17D2"/>
    <w:rsid w:val="368B5C02"/>
    <w:rsid w:val="36F01751"/>
    <w:rsid w:val="378B30E4"/>
    <w:rsid w:val="37A1183B"/>
    <w:rsid w:val="37FE202F"/>
    <w:rsid w:val="38875EDF"/>
    <w:rsid w:val="38B92017"/>
    <w:rsid w:val="38F54FA9"/>
    <w:rsid w:val="39387554"/>
    <w:rsid w:val="3A530EA2"/>
    <w:rsid w:val="3A8257E7"/>
    <w:rsid w:val="3A832B9C"/>
    <w:rsid w:val="3D271F7B"/>
    <w:rsid w:val="3D4C3459"/>
    <w:rsid w:val="3E772953"/>
    <w:rsid w:val="3F2F1CF1"/>
    <w:rsid w:val="3FA64842"/>
    <w:rsid w:val="41E56F86"/>
    <w:rsid w:val="42AB6545"/>
    <w:rsid w:val="42E8477A"/>
    <w:rsid w:val="43730953"/>
    <w:rsid w:val="45F6542A"/>
    <w:rsid w:val="474C5A16"/>
    <w:rsid w:val="476D41C2"/>
    <w:rsid w:val="47EB01EC"/>
    <w:rsid w:val="48B673ED"/>
    <w:rsid w:val="48FF344F"/>
    <w:rsid w:val="4A265E30"/>
    <w:rsid w:val="4A273E76"/>
    <w:rsid w:val="4AB03A05"/>
    <w:rsid w:val="4AC3455E"/>
    <w:rsid w:val="4AF82DA9"/>
    <w:rsid w:val="4C032D7D"/>
    <w:rsid w:val="4C055690"/>
    <w:rsid w:val="4C3C6B10"/>
    <w:rsid w:val="4E35453B"/>
    <w:rsid w:val="4F974EE3"/>
    <w:rsid w:val="500508DF"/>
    <w:rsid w:val="500E4673"/>
    <w:rsid w:val="501F50EE"/>
    <w:rsid w:val="506548E6"/>
    <w:rsid w:val="518A48AD"/>
    <w:rsid w:val="533D58D2"/>
    <w:rsid w:val="53F75331"/>
    <w:rsid w:val="554C72B0"/>
    <w:rsid w:val="55C027DF"/>
    <w:rsid w:val="5860486B"/>
    <w:rsid w:val="5914119B"/>
    <w:rsid w:val="5AB51E08"/>
    <w:rsid w:val="5BEB2A40"/>
    <w:rsid w:val="5C0F1DCA"/>
    <w:rsid w:val="5C857C65"/>
    <w:rsid w:val="5D101F0E"/>
    <w:rsid w:val="5D2C678C"/>
    <w:rsid w:val="5D856030"/>
    <w:rsid w:val="5EA61A7C"/>
    <w:rsid w:val="5EF552A7"/>
    <w:rsid w:val="60E65B1D"/>
    <w:rsid w:val="61EE0701"/>
    <w:rsid w:val="620B14DC"/>
    <w:rsid w:val="626253CB"/>
    <w:rsid w:val="64DE6140"/>
    <w:rsid w:val="6649010F"/>
    <w:rsid w:val="67420BEE"/>
    <w:rsid w:val="697F5417"/>
    <w:rsid w:val="6AB86DCD"/>
    <w:rsid w:val="6B6F2523"/>
    <w:rsid w:val="6C480D65"/>
    <w:rsid w:val="6C782391"/>
    <w:rsid w:val="6CC04540"/>
    <w:rsid w:val="6CDD56EE"/>
    <w:rsid w:val="6E320192"/>
    <w:rsid w:val="6E674DAF"/>
    <w:rsid w:val="6E7E3F9D"/>
    <w:rsid w:val="6F2300DF"/>
    <w:rsid w:val="6FA20C8C"/>
    <w:rsid w:val="71034B65"/>
    <w:rsid w:val="710475CC"/>
    <w:rsid w:val="723B2A9A"/>
    <w:rsid w:val="725E2E13"/>
    <w:rsid w:val="739D0093"/>
    <w:rsid w:val="73DF642C"/>
    <w:rsid w:val="74103054"/>
    <w:rsid w:val="744E2637"/>
    <w:rsid w:val="746C3541"/>
    <w:rsid w:val="748F20F7"/>
    <w:rsid w:val="74E110CF"/>
    <w:rsid w:val="759B49AA"/>
    <w:rsid w:val="76660B0C"/>
    <w:rsid w:val="7760216E"/>
    <w:rsid w:val="78A67F88"/>
    <w:rsid w:val="79594C07"/>
    <w:rsid w:val="798B7CAF"/>
    <w:rsid w:val="7A23789F"/>
    <w:rsid w:val="7A4D015C"/>
    <w:rsid w:val="7ADF293A"/>
    <w:rsid w:val="7B4369D2"/>
    <w:rsid w:val="7B996100"/>
    <w:rsid w:val="7BA84841"/>
    <w:rsid w:val="7BB37063"/>
    <w:rsid w:val="7CBA03D6"/>
    <w:rsid w:val="7D434DDE"/>
    <w:rsid w:val="7E556286"/>
    <w:rsid w:val="7EFE23C7"/>
    <w:rsid w:val="7F723028"/>
    <w:rsid w:val="7FC51D4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jc w:val="left"/>
    </w:pPr>
    <w:rPr>
      <w:rFonts w:ascii="仿宋_GB2312" w:hAnsi="宋体" w:eastAsia="仿宋_GB2312"/>
    </w:rPr>
  </w:style>
  <w:style w:type="paragraph" w:styleId="6">
    <w:name w:val="Normal Indent"/>
    <w:basedOn w:val="1"/>
    <w:next w:val="7"/>
    <w:qFormat/>
    <w:uiPriority w:val="0"/>
    <w:pPr>
      <w:ind w:firstLine="420" w:firstLineChars="200"/>
    </w:pPr>
  </w:style>
  <w:style w:type="paragraph" w:styleId="7">
    <w:name w:val="toc 4"/>
    <w:basedOn w:val="1"/>
    <w:next w:val="1"/>
    <w:qFormat/>
    <w:uiPriority w:val="0"/>
    <w:pPr>
      <w:ind w:left="630"/>
      <w:jc w:val="left"/>
    </w:pPr>
    <w:rPr>
      <w:rFonts w:ascii="Calibri" w:hAnsi="Calibri" w:cs="Calibri"/>
      <w:sz w:val="18"/>
      <w:szCs w:val="18"/>
    </w:rPr>
  </w:style>
  <w:style w:type="paragraph" w:styleId="8">
    <w:name w:val="Body Text"/>
    <w:basedOn w:val="1"/>
    <w:qFormat/>
    <w:uiPriority w:val="0"/>
    <w:rPr>
      <w:sz w:val="24"/>
    </w:rPr>
  </w:style>
  <w:style w:type="paragraph" w:styleId="9">
    <w:name w:val="Body Text Indent"/>
    <w:basedOn w:val="1"/>
    <w:qFormat/>
    <w:uiPriority w:val="0"/>
    <w:pPr>
      <w:ind w:firstLine="552"/>
    </w:pPr>
    <w:rPr>
      <w:rFonts w:ascii="宋体"/>
      <w:sz w:val="28"/>
    </w:rPr>
  </w:style>
  <w:style w:type="paragraph" w:styleId="10">
    <w:name w:val="Plain Text"/>
    <w:basedOn w:val="1"/>
    <w:qFormat/>
    <w:uiPriority w:val="0"/>
    <w:rPr>
      <w:rFonts w:ascii="宋体" w:hAnsi="Courier New"/>
    </w:rPr>
  </w:style>
  <w:style w:type="paragraph" w:styleId="11">
    <w:name w:val="Date"/>
    <w:basedOn w:val="1"/>
    <w:next w:val="1"/>
    <w:qFormat/>
    <w:uiPriority w:val="0"/>
    <w:rPr>
      <w:rFonts w:ascii="宋体"/>
      <w:sz w:val="24"/>
    </w:rPr>
  </w:style>
  <w:style w:type="paragraph" w:styleId="12">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8"/>
    <w:qFormat/>
    <w:uiPriority w:val="0"/>
    <w:pPr>
      <w:spacing w:after="120"/>
      <w:ind w:firstLine="420" w:firstLineChars="100"/>
    </w:pPr>
    <w:rPr>
      <w:sz w:val="21"/>
    </w:rPr>
  </w:style>
  <w:style w:type="paragraph" w:styleId="17">
    <w:name w:val="Body Text First Indent 2"/>
    <w:basedOn w:val="9"/>
    <w:qFormat/>
    <w:uiPriority w:val="0"/>
    <w:pPr>
      <w:ind w:firstLine="420" w:firstLineChars="200"/>
    </w:pPr>
    <w:rPr>
      <w:rFonts w:ascii="Times New Roman"/>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Times New Roman" w:hAnsi="Times New Roman" w:eastAsia="宋体" w:cs="Times New Roman"/>
      <w:b/>
      <w:bCs/>
    </w:rPr>
  </w:style>
  <w:style w:type="character" w:styleId="22">
    <w:name w:val="page number"/>
    <w:qFormat/>
    <w:uiPriority w:val="0"/>
    <w:rPr>
      <w:rFonts w:ascii="Times New Roman" w:hAnsi="Times New Roman" w:eastAsia="宋体" w:cs="Times New Roman"/>
    </w:rPr>
  </w:style>
  <w:style w:type="character" w:styleId="23">
    <w:name w:val="FollowedHyperlink"/>
    <w:qFormat/>
    <w:uiPriority w:val="0"/>
    <w:rPr>
      <w:rFonts w:ascii="Times New Roman" w:hAnsi="Times New Roman" w:eastAsia="宋体" w:cs="Times New Roman"/>
      <w:color w:val="333333"/>
      <w:u w:val="none"/>
    </w:rPr>
  </w:style>
  <w:style w:type="character" w:styleId="24">
    <w:name w:val="Emphasis"/>
    <w:qFormat/>
    <w:uiPriority w:val="0"/>
    <w:rPr>
      <w:rFonts w:ascii="Times New Roman" w:hAnsi="Times New Roman" w:eastAsia="宋体" w:cs="Times New Roman"/>
    </w:rPr>
  </w:style>
  <w:style w:type="character" w:styleId="25">
    <w:name w:val="HTML Definition"/>
    <w:qFormat/>
    <w:uiPriority w:val="0"/>
    <w:rPr>
      <w:rFonts w:ascii="Times New Roman" w:hAnsi="Times New Roman" w:eastAsia="宋体" w:cs="Times New Roman"/>
      <w:i/>
      <w:iCs/>
    </w:rPr>
  </w:style>
  <w:style w:type="character" w:styleId="26">
    <w:name w:val="HTML Variable"/>
    <w:qFormat/>
    <w:uiPriority w:val="0"/>
    <w:rPr>
      <w:rFonts w:ascii="Times New Roman" w:hAnsi="Times New Roman" w:eastAsia="宋体" w:cs="Times New Roman"/>
    </w:rPr>
  </w:style>
  <w:style w:type="character" w:styleId="27">
    <w:name w:val="Hyperlink"/>
    <w:qFormat/>
    <w:uiPriority w:val="0"/>
    <w:rPr>
      <w:rFonts w:ascii="Times New Roman" w:hAnsi="Times New Roman" w:eastAsia="宋体" w:cs="Times New Roman"/>
      <w:color w:val="0000FF"/>
      <w:u w:val="none"/>
    </w:rPr>
  </w:style>
  <w:style w:type="character" w:styleId="28">
    <w:name w:val="HTML Code"/>
    <w:qFormat/>
    <w:uiPriority w:val="0"/>
    <w:rPr>
      <w:rFonts w:ascii="Consolas" w:hAnsi="Consolas" w:eastAsia="Consolas" w:cs="Consolas"/>
      <w:color w:val="C7254E"/>
      <w:sz w:val="21"/>
      <w:szCs w:val="21"/>
      <w:shd w:val="clear" w:color="auto" w:fill="F9F2F4"/>
    </w:rPr>
  </w:style>
  <w:style w:type="character" w:styleId="29">
    <w:name w:val="HTML Cite"/>
    <w:qFormat/>
    <w:uiPriority w:val="0"/>
    <w:rPr>
      <w:rFonts w:ascii="Times New Roman" w:hAnsi="Times New Roman" w:eastAsia="宋体" w:cs="Times New Roman"/>
    </w:rPr>
  </w:style>
  <w:style w:type="character" w:styleId="30">
    <w:name w:val="HTML Keyboard"/>
    <w:qFormat/>
    <w:uiPriority w:val="0"/>
    <w:rPr>
      <w:rFonts w:hint="default" w:ascii="Consolas" w:hAnsi="Consolas" w:eastAsia="Consolas" w:cs="Consolas"/>
      <w:color w:val="FFFFFF"/>
      <w:sz w:val="21"/>
      <w:szCs w:val="21"/>
      <w:shd w:val="clear" w:color="auto" w:fill="333333"/>
    </w:rPr>
  </w:style>
  <w:style w:type="character" w:styleId="31">
    <w:name w:val="HTML Sample"/>
    <w:qFormat/>
    <w:uiPriority w:val="0"/>
    <w:rPr>
      <w:rFonts w:hint="default" w:ascii="Consolas" w:hAnsi="Consolas" w:eastAsia="Consolas" w:cs="Consolas"/>
      <w:sz w:val="21"/>
      <w:szCs w:val="21"/>
    </w:rPr>
  </w:style>
  <w:style w:type="paragraph" w:customStyle="1" w:styleId="32">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customStyle="1" w:styleId="3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4">
    <w:name w:val="标题 41"/>
    <w:basedOn w:val="1"/>
    <w:qFormat/>
    <w:uiPriority w:val="0"/>
    <w:pPr>
      <w:ind w:left="1745"/>
      <w:outlineLvl w:val="4"/>
    </w:pPr>
    <w:rPr>
      <w:rFonts w:ascii="宋体" w:hAnsi="宋体"/>
      <w:sz w:val="26"/>
      <w:szCs w:val="26"/>
    </w:rPr>
  </w:style>
  <w:style w:type="character" w:customStyle="1" w:styleId="35">
    <w:name w:val="font51"/>
    <w:qFormat/>
    <w:uiPriority w:val="0"/>
    <w:rPr>
      <w:rFonts w:hint="eastAsia" w:ascii="宋体" w:hAnsi="宋体" w:eastAsia="宋体" w:cs="宋体"/>
      <w:color w:val="000000"/>
      <w:sz w:val="20"/>
      <w:szCs w:val="20"/>
      <w:u w:val="none"/>
    </w:rPr>
  </w:style>
  <w:style w:type="character" w:customStyle="1" w:styleId="36">
    <w:name w:val="font112"/>
    <w:qFormat/>
    <w:uiPriority w:val="0"/>
    <w:rPr>
      <w:rFonts w:hint="eastAsia" w:ascii="宋体" w:hAnsi="宋体" w:eastAsia="宋体" w:cs="宋体"/>
      <w:b/>
      <w:color w:val="000000"/>
      <w:sz w:val="20"/>
      <w:szCs w:val="20"/>
      <w:u w:val="none"/>
    </w:rPr>
  </w:style>
  <w:style w:type="character" w:customStyle="1" w:styleId="37">
    <w:name w:val="font81"/>
    <w:qFormat/>
    <w:uiPriority w:val="0"/>
    <w:rPr>
      <w:rFonts w:hint="eastAsia" w:ascii="宋体" w:hAnsi="宋体" w:eastAsia="宋体" w:cs="宋体"/>
      <w:color w:val="000000"/>
      <w:sz w:val="20"/>
      <w:szCs w:val="20"/>
      <w:u w:val="none"/>
    </w:rPr>
  </w:style>
  <w:style w:type="character" w:customStyle="1" w:styleId="38">
    <w:name w:val="font91"/>
    <w:qFormat/>
    <w:uiPriority w:val="0"/>
    <w:rPr>
      <w:rFonts w:hint="eastAsia" w:ascii="宋体" w:hAnsi="宋体" w:eastAsia="宋体" w:cs="宋体"/>
      <w:color w:val="000000"/>
      <w:sz w:val="20"/>
      <w:szCs w:val="20"/>
      <w:u w:val="none"/>
    </w:rPr>
  </w:style>
  <w:style w:type="character" w:customStyle="1" w:styleId="39">
    <w:name w:val="font11"/>
    <w:qFormat/>
    <w:uiPriority w:val="0"/>
    <w:rPr>
      <w:rFonts w:hint="eastAsia" w:ascii="宋体" w:hAnsi="宋体" w:eastAsia="宋体" w:cs="宋体"/>
      <w:color w:val="000000"/>
      <w:sz w:val="20"/>
      <w:szCs w:val="20"/>
      <w:u w:val="none"/>
    </w:rPr>
  </w:style>
  <w:style w:type="character" w:customStyle="1" w:styleId="40">
    <w:name w:val="font41"/>
    <w:qFormat/>
    <w:uiPriority w:val="0"/>
    <w:rPr>
      <w:rFonts w:hint="eastAsia" w:ascii="宋体" w:hAnsi="宋体" w:eastAsia="宋体" w:cs="宋体"/>
      <w:color w:val="000000"/>
      <w:sz w:val="20"/>
      <w:szCs w:val="20"/>
      <w:u w:val="none"/>
    </w:rPr>
  </w:style>
  <w:style w:type="character" w:customStyle="1" w:styleId="41">
    <w:name w:val="font141"/>
    <w:qFormat/>
    <w:uiPriority w:val="0"/>
    <w:rPr>
      <w:rFonts w:hint="eastAsia" w:ascii="宋体" w:hAnsi="宋体" w:eastAsia="宋体" w:cs="宋体"/>
      <w:color w:val="000000"/>
      <w:sz w:val="22"/>
      <w:szCs w:val="22"/>
      <w:u w:val="none"/>
    </w:rPr>
  </w:style>
  <w:style w:type="character" w:customStyle="1" w:styleId="42">
    <w:name w:val="font21"/>
    <w:qFormat/>
    <w:uiPriority w:val="0"/>
    <w:rPr>
      <w:rFonts w:hint="eastAsia" w:ascii="宋体" w:hAnsi="宋体" w:eastAsia="宋体" w:cs="宋体"/>
      <w:b/>
      <w:color w:val="000000"/>
      <w:sz w:val="20"/>
      <w:szCs w:val="20"/>
      <w:u w:val="none"/>
    </w:rPr>
  </w:style>
  <w:style w:type="character" w:customStyle="1" w:styleId="43">
    <w:name w:val="font71"/>
    <w:qFormat/>
    <w:uiPriority w:val="0"/>
    <w:rPr>
      <w:rFonts w:hint="eastAsia" w:ascii="宋体" w:hAnsi="宋体" w:eastAsia="宋体" w:cs="宋体"/>
      <w:b/>
      <w:color w:val="000000"/>
      <w:sz w:val="20"/>
      <w:szCs w:val="20"/>
      <w:u w:val="none"/>
    </w:rPr>
  </w:style>
  <w:style w:type="character" w:customStyle="1" w:styleId="44">
    <w:name w:val="font131"/>
    <w:qFormat/>
    <w:uiPriority w:val="0"/>
    <w:rPr>
      <w:rFonts w:hint="eastAsia" w:ascii="宋体" w:hAnsi="宋体" w:eastAsia="宋体" w:cs="宋体"/>
      <w:color w:val="000000"/>
      <w:sz w:val="20"/>
      <w:szCs w:val="20"/>
      <w:u w:val="none"/>
    </w:rPr>
  </w:style>
  <w:style w:type="character" w:customStyle="1" w:styleId="45">
    <w:name w:val="beforeinfotext"/>
    <w:qFormat/>
    <w:uiPriority w:val="0"/>
    <w:rPr>
      <w:rFonts w:ascii="Times New Roman" w:hAnsi="Times New Roman" w:eastAsia="宋体" w:cs="Times New Roman"/>
      <w:color w:val="666666"/>
    </w:rPr>
  </w:style>
  <w:style w:type="character" w:customStyle="1" w:styleId="46">
    <w:name w:val="font01"/>
    <w:qFormat/>
    <w:uiPriority w:val="0"/>
    <w:rPr>
      <w:rFonts w:hint="eastAsia" w:ascii="宋体" w:hAnsi="宋体" w:eastAsia="宋体" w:cs="宋体"/>
      <w:color w:val="FF0000"/>
      <w:sz w:val="20"/>
      <w:szCs w:val="20"/>
      <w:u w:val="none"/>
    </w:rPr>
  </w:style>
  <w:style w:type="character" w:customStyle="1" w:styleId="47">
    <w:name w:val="font61"/>
    <w:qFormat/>
    <w:uiPriority w:val="0"/>
    <w:rPr>
      <w:rFonts w:hint="eastAsia" w:ascii="宋体" w:hAnsi="宋体" w:eastAsia="宋体" w:cs="宋体"/>
      <w:color w:val="000000"/>
      <w:sz w:val="20"/>
      <w:szCs w:val="20"/>
      <w:u w:val="none"/>
    </w:rPr>
  </w:style>
  <w:style w:type="character" w:customStyle="1" w:styleId="48">
    <w:name w:val="font101"/>
    <w:qFormat/>
    <w:uiPriority w:val="0"/>
    <w:rPr>
      <w:rFonts w:hint="eastAsia" w:ascii="宋体" w:hAnsi="宋体" w:eastAsia="宋体" w:cs="宋体"/>
      <w:color w:val="000000"/>
      <w:sz w:val="20"/>
      <w:szCs w:val="20"/>
      <w:u w:val="none"/>
    </w:rPr>
  </w:style>
  <w:style w:type="character" w:customStyle="1" w:styleId="49">
    <w:name w:val="phone"/>
    <w:qFormat/>
    <w:uiPriority w:val="0"/>
    <w:rPr>
      <w:rFonts w:ascii="Times New Roman" w:hAnsi="Times New Roman" w:eastAsia="宋体" w:cs="Times New Roman"/>
      <w:color w:val="FF8833"/>
      <w:sz w:val="18"/>
      <w:szCs w:val="18"/>
    </w:rPr>
  </w:style>
  <w:style w:type="character" w:customStyle="1" w:styleId="50">
    <w:name w:val="font151"/>
    <w:qFormat/>
    <w:uiPriority w:val="0"/>
    <w:rPr>
      <w:rFonts w:hint="eastAsia" w:ascii="宋体" w:hAnsi="宋体" w:eastAsia="宋体" w:cs="宋体"/>
      <w:color w:val="FF0000"/>
      <w:sz w:val="22"/>
      <w:szCs w:val="22"/>
      <w:u w:val="none"/>
    </w:rPr>
  </w:style>
  <w:style w:type="character" w:customStyle="1" w:styleId="51">
    <w:name w:val="number"/>
    <w:qFormat/>
    <w:uiPriority w:val="0"/>
    <w:rPr>
      <w:rFonts w:ascii="Times New Roman" w:hAnsi="Times New Roman" w:eastAsia="宋体" w:cs="Times New Roman"/>
      <w:color w:val="FF8833"/>
      <w:sz w:val="18"/>
      <w:szCs w:val="18"/>
    </w:rPr>
  </w:style>
  <w:style w:type="character" w:customStyle="1" w:styleId="52">
    <w:name w:val="font31"/>
    <w:qFormat/>
    <w:uiPriority w:val="0"/>
    <w:rPr>
      <w:rFonts w:hint="eastAsia" w:ascii="宋体" w:hAnsi="宋体" w:eastAsia="宋体" w:cs="宋体"/>
      <w:color w:val="000000"/>
      <w:sz w:val="20"/>
      <w:szCs w:val="20"/>
      <w:u w:val="none"/>
    </w:rPr>
  </w:style>
  <w:style w:type="character" w:customStyle="1" w:styleId="53">
    <w:name w:val="proollist"/>
    <w:qFormat/>
    <w:uiPriority w:val="0"/>
    <w:rPr>
      <w:rFonts w:ascii="Times New Roman" w:hAnsi="Times New Roman" w:eastAsia="宋体" w:cs="Times New Roman"/>
    </w:rPr>
  </w:style>
  <w:style w:type="character" w:customStyle="1" w:styleId="54">
    <w:name w:val="stclosebtn"/>
    <w:qFormat/>
    <w:uiPriority w:val="0"/>
    <w:rPr>
      <w:rFonts w:ascii="Times New Roman" w:hAnsi="Times New Roman" w:eastAsia="宋体" w:cs="Times New Roman"/>
    </w:rPr>
  </w:style>
  <w:style w:type="character" w:customStyle="1" w:styleId="55">
    <w:name w:val="font121"/>
    <w:qFormat/>
    <w:uiPriority w:val="0"/>
    <w:rPr>
      <w:rFonts w:ascii="MS Gothic" w:hAnsi="MS Gothic" w:eastAsia="MS Gothic" w:cs="MS Gothic"/>
      <w:color w:val="000000"/>
      <w:sz w:val="20"/>
      <w:szCs w:val="20"/>
      <w:u w:val="none"/>
    </w:rPr>
  </w:style>
  <w:style w:type="paragraph" w:customStyle="1" w:styleId="56">
    <w:name w:val="Char2"/>
    <w:basedOn w:val="1"/>
    <w:qFormat/>
    <w:uiPriority w:val="0"/>
    <w:rPr>
      <w:rFonts w:ascii="Tahoma" w:hAnsi="Tahoma"/>
      <w:sz w:val="24"/>
    </w:rPr>
  </w:style>
  <w:style w:type="paragraph" w:styleId="57">
    <w:name w:val="List Paragraph"/>
    <w:basedOn w:val="1"/>
    <w:qFormat/>
    <w:uiPriority w:val="0"/>
    <w:pPr>
      <w:ind w:firstLine="420" w:firstLineChars="200"/>
    </w:pPr>
    <w:rPr>
      <w:rFonts w:ascii="Calibri" w:hAnsi="Calibri"/>
      <w:szCs w:val="22"/>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glyphicon4"/>
    <w:qFormat/>
    <w:uiPriority w:val="0"/>
    <w:rPr>
      <w:rFonts w:ascii="Times New Roman" w:hAnsi="Times New Roman" w:eastAsia="宋体" w:cs="Times New Roman"/>
    </w:rPr>
  </w:style>
  <w:style w:type="character" w:customStyle="1" w:styleId="61">
    <w:name w:val="old"/>
    <w:qFormat/>
    <w:uiPriority w:val="0"/>
    <w:rPr>
      <w:rFonts w:ascii="Times New Roman" w:hAnsi="Times New Roman" w:eastAsia="宋体" w:cs="Times New Roman"/>
      <w:color w:val="999999"/>
    </w:rPr>
  </w:style>
  <w:style w:type="character" w:customStyle="1" w:styleId="62">
    <w:name w:val="indent"/>
    <w:qFormat/>
    <w:uiPriority w:val="0"/>
    <w:rPr>
      <w:rFonts w:ascii="Times New Roman" w:hAnsi="Times New Roman" w:eastAsia="宋体" w:cs="Times New Roman"/>
    </w:rPr>
  </w:style>
  <w:style w:type="character" w:customStyle="1" w:styleId="63">
    <w:name w:val="tmpztreemove_arrow"/>
    <w:qFormat/>
    <w:uiPriority w:val="0"/>
    <w:rPr>
      <w:rFonts w:ascii="Times New Roman" w:hAnsi="Times New Roman" w:eastAsia="宋体" w:cs="Times New Roman"/>
      <w:shd w:val="clear" w:color="auto" w:fill="FFFFFF"/>
    </w:rPr>
  </w:style>
  <w:style w:type="character" w:customStyle="1" w:styleId="64">
    <w:name w:val="hover3"/>
    <w:qFormat/>
    <w:uiPriority w:val="0"/>
    <w:rPr>
      <w:rFonts w:ascii="Times New Roman" w:hAnsi="Times New Roman" w:eastAsia="宋体" w:cs="Times New Roman"/>
      <w:shd w:val="clear" w:color="auto" w:fill="EEEEEE"/>
    </w:rPr>
  </w:style>
  <w:style w:type="character" w:customStyle="1" w:styleId="65">
    <w:name w:val="hour_am"/>
    <w:qFormat/>
    <w:uiPriority w:val="0"/>
    <w:rPr>
      <w:rFonts w:ascii="Times New Roman" w:hAnsi="Times New Roman" w:eastAsia="宋体" w:cs="Times New Roman"/>
    </w:rPr>
  </w:style>
  <w:style w:type="character" w:customStyle="1" w:styleId="66">
    <w:name w:val="hour_pm"/>
    <w:qFormat/>
    <w:uiPriority w:val="0"/>
    <w:rPr>
      <w:rFonts w:ascii="Times New Roman" w:hAnsi="Times New Roman" w:eastAsia="宋体" w:cs="Times New Roman"/>
    </w:rPr>
  </w:style>
  <w:style w:type="character" w:customStyle="1" w:styleId="67">
    <w:name w:val="button"/>
    <w:qFormat/>
    <w:uiPriority w:val="0"/>
    <w:rPr>
      <w:rFonts w:ascii="Times New Roman" w:hAnsi="Times New Roman" w:eastAsia="宋体" w:cs="Times New Roman"/>
    </w:rPr>
  </w:style>
  <w:style w:type="character" w:customStyle="1" w:styleId="68">
    <w:name w:val="xdrichtextbox"/>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69">
    <w:name w:val="button4"/>
    <w:qFormat/>
    <w:uiPriority w:val="0"/>
    <w:rPr>
      <w:rFonts w:ascii="Times New Roman" w:hAnsi="Times New Roman" w:eastAsia="宋体" w:cs="Times New Roman"/>
    </w:rPr>
  </w:style>
  <w:style w:type="character" w:customStyle="1" w:styleId="70">
    <w:name w:val="active7"/>
    <w:qFormat/>
    <w:uiPriority w:val="0"/>
    <w:rPr>
      <w:rFonts w:ascii="Times New Roman" w:hAnsi="Times New Roman" w:eastAsia="宋体" w:cs="Times New Roman"/>
      <w:color w:val="00FF00"/>
      <w:shd w:val="clear" w:color="auto" w:fill="111111"/>
    </w:rPr>
  </w:style>
  <w:style w:type="character" w:customStyle="1" w:styleId="71">
    <w:name w:val="cdropright"/>
    <w:qFormat/>
    <w:uiPriority w:val="0"/>
    <w:rPr>
      <w:rFonts w:ascii="Times New Roman" w:hAnsi="Times New Roman" w:eastAsia="宋体" w:cs="Times New Roman"/>
    </w:rPr>
  </w:style>
  <w:style w:type="character" w:customStyle="1" w:styleId="72">
    <w:name w:val="design_class"/>
    <w:qFormat/>
    <w:uiPriority w:val="0"/>
    <w:rPr>
      <w:rFonts w:ascii="Times New Roman" w:hAnsi="Times New Roman" w:eastAsia="宋体" w:cs="Times New Roman"/>
    </w:rPr>
  </w:style>
  <w:style w:type="character" w:customStyle="1" w:styleId="73">
    <w:name w:val="w32"/>
    <w:qFormat/>
    <w:uiPriority w:val="0"/>
    <w:rPr>
      <w:rFonts w:ascii="Times New Roman" w:hAnsi="Times New Roman" w:eastAsia="宋体" w:cs="Times New Roman"/>
    </w:rPr>
  </w:style>
  <w:style w:type="character" w:customStyle="1" w:styleId="74">
    <w:name w:val="after"/>
    <w:qFormat/>
    <w:uiPriority w:val="0"/>
    <w:rPr>
      <w:rFonts w:ascii="Times New Roman" w:hAnsi="Times New Roman" w:eastAsia="宋体" w:cs="Times New Roman"/>
      <w:sz w:val="16"/>
      <w:szCs w:val="0"/>
    </w:rPr>
  </w:style>
  <w:style w:type="character" w:customStyle="1" w:styleId="75">
    <w:name w:val="ico1654"/>
    <w:qFormat/>
    <w:uiPriority w:val="0"/>
    <w:rPr>
      <w:rFonts w:ascii="Times New Roman" w:hAnsi="Times New Roman" w:eastAsia="宋体" w:cs="Times New Roman"/>
    </w:rPr>
  </w:style>
  <w:style w:type="character" w:customStyle="1" w:styleId="76">
    <w:name w:val="ico1655"/>
    <w:qFormat/>
    <w:uiPriority w:val="0"/>
    <w:rPr>
      <w:rFonts w:ascii="Times New Roman" w:hAnsi="Times New Roman" w:eastAsia="宋体" w:cs="Times New Roman"/>
    </w:rPr>
  </w:style>
  <w:style w:type="character" w:customStyle="1" w:styleId="77">
    <w:name w:val="cy"/>
    <w:qFormat/>
    <w:uiPriority w:val="0"/>
    <w:rPr>
      <w:rFonts w:ascii="Times New Roman" w:hAnsi="Times New Roman" w:eastAsia="宋体" w:cs="Times New Roman"/>
    </w:rPr>
  </w:style>
  <w:style w:type="character" w:customStyle="1" w:styleId="78">
    <w:name w:val="iconline2"/>
    <w:qFormat/>
    <w:uiPriority w:val="0"/>
    <w:rPr>
      <w:rFonts w:ascii="Times New Roman" w:hAnsi="Times New Roman" w:eastAsia="宋体" w:cs="Times New Roman"/>
    </w:rPr>
  </w:style>
  <w:style w:type="character" w:customStyle="1" w:styleId="79">
    <w:name w:val="iconline21"/>
    <w:qFormat/>
    <w:uiPriority w:val="0"/>
    <w:rPr>
      <w:rFonts w:ascii="Times New Roman" w:hAnsi="Times New Roman" w:eastAsia="宋体" w:cs="Times New Roman"/>
    </w:rPr>
  </w:style>
  <w:style w:type="character" w:customStyle="1" w:styleId="80">
    <w:name w:val="pagechatarealistclose_box"/>
    <w:qFormat/>
    <w:uiPriority w:val="0"/>
    <w:rPr>
      <w:rFonts w:ascii="Times New Roman" w:hAnsi="Times New Roman" w:eastAsia="宋体" w:cs="Times New Roman"/>
    </w:rPr>
  </w:style>
  <w:style w:type="character" w:customStyle="1" w:styleId="81">
    <w:name w:val="pagechatarealistclose_box1"/>
    <w:qFormat/>
    <w:uiPriority w:val="0"/>
    <w:rPr>
      <w:rFonts w:ascii="Times New Roman" w:hAnsi="Times New Roman" w:eastAsia="宋体" w:cs="Times New Roman"/>
    </w:rPr>
  </w:style>
  <w:style w:type="character" w:customStyle="1" w:styleId="82">
    <w:name w:val="icontext3"/>
    <w:qFormat/>
    <w:uiPriority w:val="0"/>
    <w:rPr>
      <w:rFonts w:ascii="Times New Roman" w:hAnsi="Times New Roman" w:eastAsia="宋体" w:cs="Times New Roman"/>
    </w:rPr>
  </w:style>
  <w:style w:type="character" w:customStyle="1" w:styleId="83">
    <w:name w:val="icontext2"/>
    <w:qFormat/>
    <w:uiPriority w:val="0"/>
    <w:rPr>
      <w:rFonts w:ascii="Times New Roman" w:hAnsi="Times New Roman" w:eastAsia="宋体" w:cs="Times New Roman"/>
    </w:rPr>
  </w:style>
  <w:style w:type="character" w:customStyle="1" w:styleId="84">
    <w:name w:val="choosename"/>
    <w:qFormat/>
    <w:uiPriority w:val="0"/>
    <w:rPr>
      <w:rFonts w:ascii="Times New Roman" w:hAnsi="Times New Roman" w:eastAsia="宋体" w:cs="Times New Roman"/>
    </w:rPr>
  </w:style>
  <w:style w:type="character" w:customStyle="1" w:styleId="85">
    <w:name w:val="first-child"/>
    <w:qFormat/>
    <w:uiPriority w:val="0"/>
    <w:rPr>
      <w:rFonts w:ascii="Times New Roman" w:hAnsi="Times New Roman" w:eastAsia="宋体" w:cs="Times New Roman"/>
    </w:rPr>
  </w:style>
  <w:style w:type="character" w:customStyle="1" w:styleId="86">
    <w:name w:val="edit_class"/>
    <w:qFormat/>
    <w:uiPriority w:val="0"/>
    <w:rPr>
      <w:rFonts w:ascii="Times New Roman" w:hAnsi="Times New Roman" w:eastAsia="宋体" w:cs="Times New Roman"/>
    </w:rPr>
  </w:style>
  <w:style w:type="character" w:customStyle="1" w:styleId="87">
    <w:name w:val="biggerthanmax"/>
    <w:qFormat/>
    <w:uiPriority w:val="0"/>
    <w:rPr>
      <w:rFonts w:ascii="Times New Roman" w:hAnsi="Times New Roman" w:eastAsia="宋体" w:cs="Times New Roman"/>
      <w:shd w:val="clear" w:color="auto" w:fill="FFFF00"/>
    </w:rPr>
  </w:style>
  <w:style w:type="character" w:customStyle="1" w:styleId="88">
    <w:name w:val="associateddata"/>
    <w:qFormat/>
    <w:uiPriority w:val="0"/>
    <w:rPr>
      <w:rFonts w:ascii="Times New Roman" w:hAnsi="Times New Roman" w:eastAsia="宋体" w:cs="Times New Roman"/>
      <w:shd w:val="clear" w:color="auto" w:fill="50A6F9"/>
    </w:rPr>
  </w:style>
  <w:style w:type="character" w:customStyle="1" w:styleId="89">
    <w:name w:val="icontext1"/>
    <w:qFormat/>
    <w:uiPriority w:val="0"/>
    <w:rPr>
      <w:rFonts w:ascii="Times New Roman" w:hAnsi="Times New Roman" w:eastAsia="宋体" w:cs="Times New Roman"/>
    </w:rPr>
  </w:style>
  <w:style w:type="character" w:customStyle="1" w:styleId="90">
    <w:name w:val="icontext11"/>
    <w:qFormat/>
    <w:uiPriority w:val="0"/>
    <w:rPr>
      <w:rFonts w:ascii="Times New Roman" w:hAnsi="Times New Roman" w:eastAsia="宋体" w:cs="Times New Roman"/>
    </w:rPr>
  </w:style>
  <w:style w:type="character" w:customStyle="1" w:styleId="91">
    <w:name w:val="icontext12"/>
    <w:qFormat/>
    <w:uiPriority w:val="0"/>
    <w:rPr>
      <w:rFonts w:ascii="Times New Roman" w:hAnsi="Times New Roman" w:eastAsia="宋体" w:cs="Times New Roman"/>
    </w:rPr>
  </w:style>
  <w:style w:type="character" w:customStyle="1" w:styleId="92">
    <w:name w:val="drapbtn"/>
    <w:qFormat/>
    <w:uiPriority w:val="0"/>
    <w:rPr>
      <w:rFonts w:ascii="Times New Roman" w:hAnsi="Times New Roman" w:eastAsia="宋体" w:cs="Times New Roman"/>
    </w:rPr>
  </w:style>
  <w:style w:type="character" w:customStyle="1" w:styleId="93">
    <w:name w:val="cdropleft"/>
    <w:qFormat/>
    <w:uiPriority w:val="0"/>
    <w:rPr>
      <w:rFonts w:ascii="Times New Roman" w:hAnsi="Times New Roman" w:eastAsia="宋体" w:cs="Times New Roman"/>
    </w:rPr>
  </w:style>
  <w:style w:type="character" w:customStyle="1" w:styleId="94">
    <w:name w:val="layui-layer-tabnow"/>
    <w:qFormat/>
    <w:uiPriority w:val="0"/>
    <w:rPr>
      <w:rFonts w:ascii="Times New Roman" w:hAnsi="Times New Roman" w:eastAsia="宋体" w:cs="Times New Roman"/>
      <w:bdr w:val="single" w:color="CCCCCC" w:sz="6" w:space="0"/>
      <w:shd w:val="clear" w:color="auto" w:fill="FFFFFF"/>
    </w:rPr>
  </w:style>
  <w:style w:type="character" w:customStyle="1" w:styleId="95">
    <w:name w:val="hilite6"/>
    <w:qFormat/>
    <w:uiPriority w:val="0"/>
    <w:rPr>
      <w:rFonts w:ascii="Times New Roman" w:hAnsi="Times New Roman" w:eastAsia="宋体" w:cs="Times New Roman"/>
      <w:color w:val="FFFFFF"/>
      <w:shd w:val="clear" w:color="auto" w:fill="66666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66</Pages>
  <Words>27684</Words>
  <Characters>29539</Characters>
  <Lines>227</Lines>
  <Paragraphs>63</Paragraphs>
  <TotalTime>0</TotalTime>
  <ScaleCrop>false</ScaleCrop>
  <LinksUpToDate>false</LinksUpToDate>
  <CharactersWithSpaces>30438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2021-11-11T08:01:00Z</dcterms:created>
  <dc:creator>User</dc:creator>
  <cp:lastModifiedBy>走路去纽约</cp:lastModifiedBy>
  <cp:lastPrinted>2021-11-23T07:20:00Z</cp:lastPrinted>
  <dcterms:modified xsi:type="dcterms:W3CDTF">2022-03-28T06:53:38Z</dcterms:modified>
  <dc:title>政府采购货物和服务项目</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184D963CAB754A8790FB4B4758C44BD9</vt:lpwstr>
  </property>
</Properties>
</file>