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183682338"/>
      <w:bookmarkStart w:id="1" w:name="_Toc217446030"/>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采购项目编号：YFC2022-GP-008H</w:t>
      </w:r>
    </w:p>
    <w:p>
      <w:pPr>
        <w:spacing w:line="360" w:lineRule="auto"/>
        <w:jc w:val="center"/>
        <w:rPr>
          <w:rFonts w:cs="宋体" w:asciiTheme="minorEastAsia" w:hAnsiTheme="minorEastAsia" w:eastAsiaTheme="minorEastAsia"/>
          <w:b/>
          <w:sz w:val="52"/>
          <w:szCs w:val="52"/>
        </w:rPr>
      </w:pPr>
    </w:p>
    <w:p>
      <w:pPr>
        <w:spacing w:line="360" w:lineRule="auto"/>
        <w:jc w:val="center"/>
        <w:rPr>
          <w:rFonts w:hint="eastAsia" w:cs="宋体" w:asciiTheme="minorEastAsia" w:hAnsiTheme="minorEastAsia" w:eastAsiaTheme="minorEastAsia"/>
          <w:b/>
          <w:sz w:val="44"/>
          <w:szCs w:val="44"/>
          <w:lang w:eastAsia="zh-CN"/>
        </w:rPr>
      </w:pPr>
      <w:r>
        <w:rPr>
          <w:rFonts w:hint="eastAsia" w:cs="宋体" w:asciiTheme="minorEastAsia" w:hAnsiTheme="minorEastAsia" w:eastAsiaTheme="minorEastAsia"/>
          <w:b/>
          <w:sz w:val="44"/>
          <w:szCs w:val="44"/>
          <w:lang w:eastAsia="zh-CN"/>
        </w:rPr>
        <w:t>陕西省无线电管理委员会</w:t>
      </w:r>
    </w:p>
    <w:p>
      <w:pPr>
        <w:spacing w:line="360" w:lineRule="auto"/>
        <w:jc w:val="center"/>
        <w:rPr>
          <w:rFonts w:hint="eastAsia" w:cs="宋体" w:asciiTheme="minorEastAsia" w:hAnsiTheme="minorEastAsia" w:eastAsiaTheme="minorEastAsia"/>
          <w:b/>
          <w:sz w:val="44"/>
          <w:szCs w:val="44"/>
          <w:lang w:eastAsia="zh-CN"/>
        </w:rPr>
      </w:pPr>
      <w:r>
        <w:rPr>
          <w:rFonts w:hint="eastAsia" w:cs="宋体" w:asciiTheme="minorEastAsia" w:hAnsiTheme="minorEastAsia" w:eastAsiaTheme="minorEastAsia"/>
          <w:b/>
          <w:sz w:val="44"/>
          <w:szCs w:val="44"/>
          <w:lang w:eastAsia="zh-CN"/>
        </w:rPr>
        <w:t>电磁信号智能分析系统采购项目</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r>
        <w:rPr>
          <w:rFonts w:hint="eastAsia" w:cs="宋体" w:asciiTheme="minorEastAsia" w:hAnsiTheme="minorEastAsia" w:eastAsiaTheme="minorEastAsia"/>
          <w:sz w:val="76"/>
          <w:szCs w:val="84"/>
        </w:rPr>
        <w:drawing>
          <wp:anchor distT="0" distB="0" distL="114300" distR="114300" simplePos="0" relativeHeight="251659264" behindDoc="0" locked="0" layoutInCell="1" allowOverlap="1">
            <wp:simplePos x="0" y="0"/>
            <wp:positionH relativeFrom="column">
              <wp:posOffset>1257935</wp:posOffset>
            </wp:positionH>
            <wp:positionV relativeFrom="paragraph">
              <wp:posOffset>285115</wp:posOffset>
            </wp:positionV>
            <wp:extent cx="3086100" cy="2857500"/>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2"/>
                    <a:stretch>
                      <a:fillRect/>
                    </a:stretch>
                  </pic:blipFill>
                  <pic:spPr>
                    <a:xfrm>
                      <a:off x="0" y="0"/>
                      <a:ext cx="3086100" cy="2857500"/>
                    </a:xfrm>
                    <a:prstGeom prst="rect">
                      <a:avLst/>
                    </a:prstGeom>
                    <a:noFill/>
                    <a:ln>
                      <a:noFill/>
                    </a:ln>
                  </pic:spPr>
                </pic:pic>
              </a:graphicData>
            </a:graphic>
          </wp:anchor>
        </w:drawing>
      </w:r>
    </w:p>
    <w:p>
      <w:pPr>
        <w:spacing w:line="360" w:lineRule="auto"/>
        <w:rPr>
          <w:rFonts w:cs="宋体" w:asciiTheme="minorEastAsia" w:hAnsiTheme="minorEastAsia" w:eastAsiaTheme="minorEastAsia"/>
          <w:sz w:val="32"/>
          <w:szCs w:val="32"/>
        </w:rPr>
      </w:pPr>
    </w:p>
    <w:p>
      <w:pPr>
        <w:pStyle w:val="16"/>
        <w:adjustRightInd w:val="0"/>
        <w:snapToGrid w:val="0"/>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 xml:space="preserve">    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w:t>
      </w:r>
      <w:r>
        <w:rPr>
          <w:rFonts w:hint="eastAsia" w:cs="宋体" w:asciiTheme="minorEastAsia" w:hAnsiTheme="minorEastAsia" w:eastAsiaTheme="minorEastAsia"/>
          <w:b/>
          <w:bCs/>
          <w:sz w:val="28"/>
          <w:szCs w:val="28"/>
        </w:rPr>
        <w:t>四</w:t>
      </w:r>
      <w:r>
        <w:rPr>
          <w:rFonts w:hint="eastAsia" w:cs="宋体" w:asciiTheme="minorEastAsia" w:hAnsiTheme="minorEastAsia" w:eastAsiaTheme="minorEastAsia"/>
          <w:b/>
          <w:bCs/>
          <w:sz w:val="28"/>
          <w:szCs w:val="28"/>
          <w:lang w:val="zh-CN"/>
        </w:rPr>
        <w:t>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spacing w:line="360" w:lineRule="auto"/>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"_Toc7564" </w:instrText>
      </w:r>
      <w:r>
        <w:fldChar w:fldCharType="separate"/>
      </w:r>
      <w:r>
        <w:rPr>
          <w:rFonts w:hint="eastAsia"/>
        </w:rPr>
        <w:t>第一章 招标公告</w:t>
      </w:r>
      <w:r>
        <w:tab/>
      </w:r>
      <w:r>
        <w:fldChar w:fldCharType="begin"/>
      </w:r>
      <w:r>
        <w:instrText xml:space="preserve"> PAGEREF _Toc7564 \h </w:instrText>
      </w:r>
      <w:r>
        <w:fldChar w:fldCharType="separate"/>
      </w:r>
      <w:r>
        <w:t>2</w:t>
      </w:r>
      <w:r>
        <w:fldChar w:fldCharType="end"/>
      </w:r>
      <w:r>
        <w:fldChar w:fldCharType="end"/>
      </w:r>
    </w:p>
    <w:p>
      <w:pPr>
        <w:pStyle w:val="22"/>
        <w:tabs>
          <w:tab w:val="right" w:leader="dot" w:pos="8733"/>
        </w:tabs>
        <w:spacing w:line="360" w:lineRule="auto"/>
      </w:pPr>
      <w:r>
        <w:fldChar w:fldCharType="begin"/>
      </w:r>
      <w:r>
        <w:instrText xml:space="preserve"> HYPERLINK \l "_Toc16915" </w:instrText>
      </w:r>
      <w:r>
        <w:fldChar w:fldCharType="separate"/>
      </w:r>
      <w:r>
        <w:rPr>
          <w:rFonts w:hint="eastAsia"/>
        </w:rPr>
        <w:t>第二章 投标供应商须知</w:t>
      </w:r>
      <w:r>
        <w:tab/>
      </w:r>
      <w:r>
        <w:fldChar w:fldCharType="begin"/>
      </w:r>
      <w:r>
        <w:instrText xml:space="preserve"> PAGEREF _Toc16915 \h </w:instrText>
      </w:r>
      <w:r>
        <w:fldChar w:fldCharType="separate"/>
      </w:r>
      <w:r>
        <w:t>6</w:t>
      </w:r>
      <w:r>
        <w:fldChar w:fldCharType="end"/>
      </w:r>
      <w:r>
        <w:fldChar w:fldCharType="end"/>
      </w:r>
    </w:p>
    <w:p>
      <w:pPr>
        <w:pStyle w:val="24"/>
        <w:tabs>
          <w:tab w:val="right" w:leader="dot" w:pos="8733"/>
        </w:tabs>
        <w:spacing w:line="360" w:lineRule="auto"/>
      </w:pPr>
      <w:r>
        <w:fldChar w:fldCharType="begin"/>
      </w:r>
      <w:r>
        <w:instrText xml:space="preserve"> HYPERLINK \l "_Toc9934"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_Toc9934 \h </w:instrText>
      </w:r>
      <w:r>
        <w:fldChar w:fldCharType="separate"/>
      </w:r>
      <w:r>
        <w:t>12</w:t>
      </w:r>
      <w:r>
        <w:fldChar w:fldCharType="end"/>
      </w:r>
      <w:r>
        <w:fldChar w:fldCharType="end"/>
      </w:r>
    </w:p>
    <w:p>
      <w:pPr>
        <w:pStyle w:val="24"/>
        <w:tabs>
          <w:tab w:val="right" w:leader="dot" w:pos="8733"/>
        </w:tabs>
        <w:spacing w:line="360" w:lineRule="auto"/>
      </w:pPr>
      <w:r>
        <w:fldChar w:fldCharType="begin"/>
      </w:r>
      <w:r>
        <w:instrText xml:space="preserve"> HYPERLINK \l "_Toc29530"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_Toc29530 \h </w:instrText>
      </w:r>
      <w:r>
        <w:fldChar w:fldCharType="separate"/>
      </w:r>
      <w:r>
        <w:t>15</w:t>
      </w:r>
      <w:r>
        <w:fldChar w:fldCharType="end"/>
      </w:r>
      <w:r>
        <w:fldChar w:fldCharType="end"/>
      </w:r>
    </w:p>
    <w:p>
      <w:pPr>
        <w:pStyle w:val="24"/>
        <w:tabs>
          <w:tab w:val="right" w:leader="dot" w:pos="8733"/>
        </w:tabs>
        <w:spacing w:line="360" w:lineRule="auto"/>
      </w:pPr>
      <w:r>
        <w:fldChar w:fldCharType="begin"/>
      </w:r>
      <w:r>
        <w:instrText xml:space="preserve"> HYPERLINK \l "_Toc2156"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_Toc2156 \h </w:instrText>
      </w:r>
      <w:r>
        <w:fldChar w:fldCharType="separate"/>
      </w:r>
      <w:r>
        <w:t>16</w:t>
      </w:r>
      <w:r>
        <w:fldChar w:fldCharType="end"/>
      </w:r>
      <w:r>
        <w:fldChar w:fldCharType="end"/>
      </w:r>
    </w:p>
    <w:p>
      <w:pPr>
        <w:pStyle w:val="24"/>
        <w:tabs>
          <w:tab w:val="right" w:leader="dot" w:pos="8733"/>
        </w:tabs>
        <w:spacing w:line="360" w:lineRule="auto"/>
      </w:pPr>
      <w:r>
        <w:fldChar w:fldCharType="begin"/>
      </w:r>
      <w:r>
        <w:instrText xml:space="preserve"> HYPERLINK \l "_Toc22597"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_Toc22597 \h </w:instrText>
      </w:r>
      <w:r>
        <w:fldChar w:fldCharType="separate"/>
      </w:r>
      <w:r>
        <w:t>21</w:t>
      </w:r>
      <w:r>
        <w:fldChar w:fldCharType="end"/>
      </w:r>
      <w:r>
        <w:fldChar w:fldCharType="end"/>
      </w:r>
    </w:p>
    <w:p>
      <w:pPr>
        <w:pStyle w:val="24"/>
        <w:tabs>
          <w:tab w:val="right" w:leader="dot" w:pos="8733"/>
        </w:tabs>
        <w:spacing w:line="360" w:lineRule="auto"/>
      </w:pPr>
      <w:r>
        <w:fldChar w:fldCharType="begin"/>
      </w:r>
      <w:r>
        <w:instrText xml:space="preserve"> HYPERLINK \l "_Toc32254"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_Toc32254 \h </w:instrText>
      </w:r>
      <w:r>
        <w:fldChar w:fldCharType="separate"/>
      </w:r>
      <w:r>
        <w:t>25</w:t>
      </w:r>
      <w:r>
        <w:fldChar w:fldCharType="end"/>
      </w:r>
      <w:r>
        <w:fldChar w:fldCharType="end"/>
      </w:r>
    </w:p>
    <w:p>
      <w:pPr>
        <w:pStyle w:val="24"/>
        <w:tabs>
          <w:tab w:val="right" w:leader="dot" w:pos="8733"/>
        </w:tabs>
        <w:spacing w:line="360" w:lineRule="auto"/>
      </w:pPr>
      <w:r>
        <w:fldChar w:fldCharType="begin"/>
      </w:r>
      <w:r>
        <w:instrText xml:space="preserve"> HYPERLINK \l "_Toc17841"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_Toc17841 \h </w:instrText>
      </w:r>
      <w:r>
        <w:fldChar w:fldCharType="separate"/>
      </w:r>
      <w:r>
        <w:t>27</w:t>
      </w:r>
      <w:r>
        <w:fldChar w:fldCharType="end"/>
      </w:r>
      <w:r>
        <w:fldChar w:fldCharType="end"/>
      </w:r>
    </w:p>
    <w:p>
      <w:pPr>
        <w:pStyle w:val="24"/>
        <w:tabs>
          <w:tab w:val="right" w:leader="dot" w:pos="8733"/>
        </w:tabs>
        <w:spacing w:line="360" w:lineRule="auto"/>
      </w:pPr>
      <w:r>
        <w:fldChar w:fldCharType="begin"/>
      </w:r>
      <w:r>
        <w:instrText xml:space="preserve"> HYPERLINK \l "_Toc6643"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_Toc6643 \h </w:instrText>
      </w:r>
      <w:r>
        <w:fldChar w:fldCharType="separate"/>
      </w:r>
      <w:r>
        <w:t>28</w:t>
      </w:r>
      <w:r>
        <w:fldChar w:fldCharType="end"/>
      </w:r>
      <w:r>
        <w:fldChar w:fldCharType="end"/>
      </w:r>
    </w:p>
    <w:p>
      <w:pPr>
        <w:pStyle w:val="24"/>
        <w:tabs>
          <w:tab w:val="right" w:leader="dot" w:pos="8733"/>
        </w:tabs>
        <w:spacing w:line="360" w:lineRule="auto"/>
      </w:pPr>
      <w:r>
        <w:fldChar w:fldCharType="begin"/>
      </w:r>
      <w:r>
        <w:instrText xml:space="preserve"> HYPERLINK \l "_Toc22863"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_Toc22863 \h </w:instrText>
      </w:r>
      <w:r>
        <w:fldChar w:fldCharType="separate"/>
      </w:r>
      <w:r>
        <w:t>30</w:t>
      </w:r>
      <w:r>
        <w:fldChar w:fldCharType="end"/>
      </w:r>
      <w:r>
        <w:fldChar w:fldCharType="end"/>
      </w:r>
    </w:p>
    <w:p>
      <w:pPr>
        <w:pStyle w:val="24"/>
        <w:tabs>
          <w:tab w:val="right" w:leader="dot" w:pos="8733"/>
        </w:tabs>
        <w:spacing w:line="360" w:lineRule="auto"/>
      </w:pPr>
      <w:r>
        <w:fldChar w:fldCharType="begin"/>
      </w:r>
      <w:r>
        <w:instrText xml:space="preserve"> HYPERLINK \l "_Toc27714"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_Toc27714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"_Toc28673"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_Toc28673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"_Toc24558"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_Toc24558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"_Toc19418"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_Toc19418 \h </w:instrText>
      </w:r>
      <w:r>
        <w:fldChar w:fldCharType="separate"/>
      </w:r>
      <w:r>
        <w:t>36</w:t>
      </w:r>
      <w:r>
        <w:fldChar w:fldCharType="end"/>
      </w:r>
      <w:r>
        <w:fldChar w:fldCharType="end"/>
      </w:r>
    </w:p>
    <w:p>
      <w:pPr>
        <w:pStyle w:val="24"/>
        <w:tabs>
          <w:tab w:val="right" w:leader="dot" w:pos="8733"/>
        </w:tabs>
        <w:spacing w:line="360" w:lineRule="auto"/>
      </w:pPr>
      <w:r>
        <w:fldChar w:fldCharType="begin"/>
      </w:r>
      <w:r>
        <w:instrText xml:space="preserve"> HYPERLINK \l "_Toc3437"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_Toc3437 \h </w:instrText>
      </w:r>
      <w:r>
        <w:fldChar w:fldCharType="separate"/>
      </w:r>
      <w:r>
        <w:t>37</w:t>
      </w:r>
      <w:r>
        <w:fldChar w:fldCharType="end"/>
      </w:r>
      <w:r>
        <w:fldChar w:fldCharType="end"/>
      </w:r>
    </w:p>
    <w:p>
      <w:pPr>
        <w:pStyle w:val="24"/>
        <w:tabs>
          <w:tab w:val="right" w:leader="dot" w:pos="8733"/>
        </w:tabs>
        <w:spacing w:line="360" w:lineRule="auto"/>
      </w:pPr>
      <w:r>
        <w:fldChar w:fldCharType="begin"/>
      </w:r>
      <w:r>
        <w:instrText xml:space="preserve"> HYPERLINK \l "_Toc20322"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_Toc20322 \h </w:instrText>
      </w:r>
      <w:r>
        <w:fldChar w:fldCharType="separate"/>
      </w:r>
      <w:r>
        <w:t>39</w:t>
      </w:r>
      <w:r>
        <w:fldChar w:fldCharType="end"/>
      </w:r>
      <w:r>
        <w:fldChar w:fldCharType="end"/>
      </w:r>
    </w:p>
    <w:p>
      <w:pPr>
        <w:pStyle w:val="22"/>
        <w:tabs>
          <w:tab w:val="right" w:leader="dot" w:pos="8733"/>
        </w:tabs>
        <w:spacing w:line="360" w:lineRule="auto"/>
      </w:pPr>
      <w:r>
        <w:fldChar w:fldCharType="begin"/>
      </w:r>
      <w:r>
        <w:instrText xml:space="preserve"> HYPERLINK \l "_Toc29032" </w:instrText>
      </w:r>
      <w:r>
        <w:fldChar w:fldCharType="separate"/>
      </w:r>
      <w:r>
        <w:rPr>
          <w:rFonts w:hint="eastAsia"/>
        </w:rPr>
        <w:t>第三章 评标办法</w:t>
      </w:r>
      <w:r>
        <w:tab/>
      </w:r>
      <w:r>
        <w:fldChar w:fldCharType="begin"/>
      </w:r>
      <w:r>
        <w:instrText xml:space="preserve"> PAGEREF _Toc29032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"_Toc8151"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_Toc8151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"_Toc12920"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_Toc12920 \h </w:instrText>
      </w:r>
      <w:r>
        <w:fldChar w:fldCharType="separate"/>
      </w:r>
      <w:r>
        <w:t>43</w:t>
      </w:r>
      <w:r>
        <w:fldChar w:fldCharType="end"/>
      </w:r>
      <w:r>
        <w:fldChar w:fldCharType="end"/>
      </w:r>
    </w:p>
    <w:p>
      <w:pPr>
        <w:pStyle w:val="22"/>
        <w:tabs>
          <w:tab w:val="right" w:leader="dot" w:pos="8733"/>
        </w:tabs>
        <w:spacing w:line="360" w:lineRule="auto"/>
      </w:pPr>
      <w:r>
        <w:fldChar w:fldCharType="begin"/>
      </w:r>
      <w:r>
        <w:instrText xml:space="preserve"> HYPERLINK \l "_Toc20086" </w:instrText>
      </w:r>
      <w:r>
        <w:fldChar w:fldCharType="separate"/>
      </w:r>
      <w:r>
        <w:rPr>
          <w:rFonts w:hint="eastAsia"/>
        </w:rPr>
        <w:t>第四章 采购内容及要求</w:t>
      </w:r>
      <w:r>
        <w:tab/>
      </w:r>
      <w:r>
        <w:fldChar w:fldCharType="begin"/>
      </w:r>
      <w:r>
        <w:instrText xml:space="preserve"> PAGEREF _Toc20086 \h </w:instrText>
      </w:r>
      <w:r>
        <w:fldChar w:fldCharType="separate"/>
      </w:r>
      <w:r>
        <w:t>48</w:t>
      </w:r>
      <w:r>
        <w:fldChar w:fldCharType="end"/>
      </w:r>
      <w:r>
        <w:fldChar w:fldCharType="end"/>
      </w:r>
    </w:p>
    <w:p>
      <w:pPr>
        <w:pStyle w:val="22"/>
        <w:tabs>
          <w:tab w:val="right" w:leader="dot" w:pos="8733"/>
        </w:tabs>
        <w:spacing w:line="360" w:lineRule="auto"/>
      </w:pPr>
      <w:r>
        <w:fldChar w:fldCharType="begin"/>
      </w:r>
      <w:r>
        <w:instrText xml:space="preserve"> HYPERLINK \l "_Toc18231" </w:instrText>
      </w:r>
      <w:r>
        <w:fldChar w:fldCharType="separate"/>
      </w:r>
      <w:r>
        <w:rPr>
          <w:rFonts w:hint="eastAsia"/>
        </w:rPr>
        <w:t>第五章 政府采购合同格式</w:t>
      </w:r>
      <w:r>
        <w:tab/>
      </w:r>
      <w:r>
        <w:fldChar w:fldCharType="begin"/>
      </w:r>
      <w:r>
        <w:instrText xml:space="preserve"> PAGEREF _Toc18231 \h </w:instrText>
      </w:r>
      <w:r>
        <w:fldChar w:fldCharType="separate"/>
      </w:r>
      <w:r>
        <w:t>53</w:t>
      </w:r>
      <w:r>
        <w:fldChar w:fldCharType="end"/>
      </w:r>
      <w:r>
        <w:fldChar w:fldCharType="end"/>
      </w:r>
    </w:p>
    <w:p>
      <w:pPr>
        <w:pStyle w:val="22"/>
        <w:tabs>
          <w:tab w:val="right" w:leader="dot" w:pos="8733"/>
        </w:tabs>
        <w:spacing w:line="360" w:lineRule="auto"/>
      </w:pPr>
      <w:r>
        <w:fldChar w:fldCharType="begin"/>
      </w:r>
      <w:r>
        <w:instrText xml:space="preserve"> HYPERLINK \l "_Toc28836" </w:instrText>
      </w:r>
      <w:r>
        <w:fldChar w:fldCharType="separate"/>
      </w:r>
      <w:r>
        <w:rPr>
          <w:rFonts w:hint="eastAsia"/>
        </w:rPr>
        <w:t>第六章 投标文件格式</w:t>
      </w:r>
      <w:r>
        <w:tab/>
      </w:r>
      <w:r>
        <w:fldChar w:fldCharType="begin"/>
      </w:r>
      <w:r>
        <w:instrText xml:space="preserve"> PAGEREF _Toc28836 \h </w:instrText>
      </w:r>
      <w:r>
        <w:fldChar w:fldCharType="separate"/>
      </w:r>
      <w:r>
        <w:t>58</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3"/>
        <w:numPr>
          <w:ilvl w:val="0"/>
          <w:numId w:val="2"/>
        </w:numPr>
        <w:jc w:val="center"/>
      </w:pPr>
      <w:bookmarkStart w:id="2" w:name="_Toc13747"/>
      <w:bookmarkStart w:id="3" w:name="_Toc14502"/>
      <w:bookmarkStart w:id="4" w:name="_Toc7564"/>
      <w:bookmarkStart w:id="5" w:name="_Toc28199"/>
      <w:bookmarkStart w:id="6" w:name="_Toc7228"/>
      <w:r>
        <w:rPr>
          <w:rFonts w:hint="eastAsia"/>
        </w:rPr>
        <w:t>招标公告</w:t>
      </w:r>
      <w:bookmarkEnd w:id="2"/>
      <w:bookmarkEnd w:id="3"/>
      <w:bookmarkEnd w:id="4"/>
      <w:bookmarkEnd w:id="5"/>
      <w:bookmarkEnd w:id="6"/>
    </w:p>
    <w:p>
      <w:pPr>
        <w:pStyle w:val="26"/>
        <w:spacing w:before="0" w:beforeAutospacing="0" w:after="0" w:afterAutospacing="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lang w:eastAsia="zh-CN" w:bidi="ar"/>
        </w:rPr>
        <w:t>陕西省无线电管理委员会电磁信号智能分析系统采购项目</w:t>
      </w:r>
      <w:r>
        <w:rPr>
          <w:rFonts w:asciiTheme="minorEastAsia" w:hAnsiTheme="minorEastAsia" w:eastAsiaTheme="minorEastAsia"/>
          <w:b/>
          <w:sz w:val="24"/>
          <w:szCs w:val="24"/>
          <w:lang w:bidi="ar"/>
        </w:rPr>
        <w:t>潜在的投标人可在</w:t>
      </w:r>
      <w:r>
        <w:rPr>
          <w:rFonts w:hint="eastAsia" w:asciiTheme="minorEastAsia" w:hAnsiTheme="minorEastAsia" w:eastAsiaTheme="minorEastAsia"/>
          <w:b/>
          <w:sz w:val="24"/>
          <w:szCs w:val="24"/>
          <w:lang w:bidi="ar"/>
        </w:rPr>
        <w:t xml:space="preserve">西安市雁塔区科技五路8号数字大厦5楼508室获取采购文件，并于2022-04-27  9:30:00前递交投标文件。 </w:t>
      </w:r>
      <w:r>
        <w:rPr>
          <w:rFonts w:asciiTheme="minorEastAsia" w:hAnsiTheme="minorEastAsia" w:eastAsiaTheme="minorEastAsia"/>
          <w:b/>
          <w:sz w:val="24"/>
          <w:szCs w:val="24"/>
          <w:lang w:bidi="ar"/>
        </w:rPr>
        <w:t xml:space="preserve"> </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YFC2022-GP-008H</w:t>
      </w:r>
    </w:p>
    <w:p>
      <w:pPr>
        <w:pStyle w:val="26"/>
        <w:spacing w:before="0" w:beforeAutospacing="0" w:after="0" w:afterAutospacing="0" w:line="360" w:lineRule="auto"/>
        <w:ind w:firstLine="42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2、项目名称：</w:t>
      </w:r>
      <w:r>
        <w:rPr>
          <w:rFonts w:hint="eastAsia" w:asciiTheme="minorEastAsia" w:hAnsiTheme="minorEastAsia" w:eastAsiaTheme="minorEastAsia"/>
          <w:bCs/>
          <w:sz w:val="24"/>
          <w:szCs w:val="24"/>
          <w:lang w:eastAsia="zh-CN" w:bidi="ar"/>
        </w:rPr>
        <w:t>陕西省无线电管理委员会电磁信号智能分析系统采购项目</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2640000.00元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w:t>
      </w:r>
      <w:r>
        <w:rPr>
          <w:rFonts w:hint="eastAsia" w:asciiTheme="minorEastAsia" w:hAnsiTheme="minorEastAsia" w:eastAsiaTheme="minorEastAsia"/>
          <w:sz w:val="24"/>
          <w:szCs w:val="24"/>
        </w:rPr>
        <w:t>本项目拟购置12套电磁信号智能分析系统（详见第四章）</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合同履行期限：202</w:t>
      </w:r>
      <w:r>
        <w:rPr>
          <w:rFonts w:hint="eastAsia" w:asciiTheme="minorEastAsia" w:hAnsiTheme="minorEastAsia" w:eastAsiaTheme="minorEastAsia"/>
          <w:sz w:val="24"/>
          <w:szCs w:val="24"/>
        </w:rPr>
        <w:t>2-04</w:t>
      </w:r>
      <w:r>
        <w:rPr>
          <w:rFonts w:asciiTheme="minorEastAsia" w:hAnsiTheme="minorEastAsia" w:eastAsiaTheme="minorEastAsia"/>
          <w:sz w:val="24"/>
          <w:szCs w:val="24"/>
        </w:rPr>
        <w:t>-</w:t>
      </w:r>
      <w:r>
        <w:rPr>
          <w:rFonts w:hint="eastAsia" w:asciiTheme="minorEastAsia" w:hAnsiTheme="minorEastAsia" w:eastAsiaTheme="minorEastAsia"/>
          <w:sz w:val="24"/>
          <w:szCs w:val="24"/>
        </w:rPr>
        <w:t>28</w:t>
      </w:r>
      <w:r>
        <w:rPr>
          <w:rFonts w:asciiTheme="minorEastAsia" w:hAnsiTheme="minorEastAsia" w:eastAsiaTheme="minorEastAsia"/>
          <w:sz w:val="24"/>
          <w:szCs w:val="24"/>
        </w:rPr>
        <w:t xml:space="preserve"> 00:00:00 至 202</w:t>
      </w:r>
      <w:r>
        <w:rPr>
          <w:rFonts w:hint="eastAsia" w:asciiTheme="minorEastAsia" w:hAnsiTheme="minorEastAsia" w:eastAsiaTheme="minorEastAsia"/>
          <w:sz w:val="24"/>
          <w:szCs w:val="24"/>
        </w:rPr>
        <w:t>2</w:t>
      </w:r>
      <w:r>
        <w:rPr>
          <w:rFonts w:asciiTheme="minorEastAsia" w:hAnsiTheme="minorEastAsia" w:eastAsiaTheme="minorEastAsia"/>
          <w:sz w:val="24"/>
          <w:szCs w:val="24"/>
        </w:rPr>
        <w:t>-0</w:t>
      </w:r>
      <w:r>
        <w:rPr>
          <w:rFonts w:hint="eastAsia" w:asciiTheme="minorEastAsia" w:hAnsiTheme="minorEastAsia" w:eastAsiaTheme="minorEastAsia"/>
          <w:sz w:val="24"/>
          <w:szCs w:val="24"/>
        </w:rPr>
        <w:t>9</w:t>
      </w:r>
      <w:r>
        <w:rPr>
          <w:rFonts w:asciiTheme="minorEastAsia" w:hAnsiTheme="minorEastAsia" w:eastAsiaTheme="minorEastAsia"/>
          <w:sz w:val="24"/>
          <w:szCs w:val="24"/>
        </w:rPr>
        <w:t>-</w:t>
      </w:r>
      <w:r>
        <w:rPr>
          <w:rFonts w:hint="eastAsia" w:asciiTheme="minorEastAsia" w:hAnsiTheme="minorEastAsia" w:eastAsiaTheme="minorEastAsia"/>
          <w:sz w:val="24"/>
          <w:szCs w:val="24"/>
        </w:rPr>
        <w:t>28</w:t>
      </w:r>
      <w:r>
        <w:rPr>
          <w:rFonts w:asciiTheme="minorEastAsia" w:hAnsiTheme="minorEastAsia" w:eastAsiaTheme="minorEastAsia"/>
          <w:sz w:val="24"/>
          <w:szCs w:val="24"/>
        </w:rPr>
        <w:t xml:space="preserve"> 00:00:00（具体服务起止日期可随合同签订时间相应顺延）</w:t>
      </w:r>
    </w:p>
    <w:p>
      <w:pPr>
        <w:pStyle w:val="26"/>
        <w:spacing w:before="0" w:beforeAutospacing="0" w:after="0" w:afterAutospacing="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2、落实政府采购政策需满足的资格要求：</w:t>
      </w:r>
      <w:r>
        <w:rPr>
          <w:rFonts w:hint="eastAsia" w:asciiTheme="minorEastAsia" w:hAnsiTheme="minorEastAsia" w:eastAsiaTheme="minorEastAsia"/>
          <w:sz w:val="24"/>
          <w:szCs w:val="24"/>
        </w:rPr>
        <w:t>本项目专门面向中小企业采购，开标提供“中小企业声明函”。</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asciiTheme="minorEastAsia" w:hAnsiTheme="minorEastAsia" w:eastAsiaTheme="minorEastAsia"/>
          <w:sz w:val="24"/>
          <w:szCs w:val="24"/>
        </w:rPr>
        <w:t>3、本项目的特定资格要求：</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lang w:bidi="ar"/>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时间：即日起至20</w:t>
      </w:r>
      <w:r>
        <w:rPr>
          <w:rFonts w:hint="eastAsia" w:asciiTheme="minorEastAsia" w:hAnsiTheme="minorEastAsia" w:eastAsiaTheme="minorEastAsia"/>
          <w:sz w:val="24"/>
          <w:szCs w:val="24"/>
        </w:rPr>
        <w:t>22</w:t>
      </w:r>
      <w:r>
        <w:rPr>
          <w:rFonts w:asciiTheme="minorEastAsia" w:hAnsiTheme="minorEastAsia" w:eastAsiaTheme="minorEastAsia"/>
          <w:sz w:val="24"/>
          <w:szCs w:val="24"/>
        </w:rPr>
        <w:t>-</w:t>
      </w:r>
      <w:r>
        <w:rPr>
          <w:rFonts w:hint="eastAsia" w:asciiTheme="minorEastAsia" w:hAnsiTheme="minorEastAsia" w:eastAsiaTheme="minorEastAsia"/>
          <w:sz w:val="24"/>
          <w:szCs w:val="24"/>
        </w:rPr>
        <w:t>04</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13 </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asciiTheme="minorEastAsia" w:hAnsiTheme="minorEastAsia" w:eastAsiaTheme="minorEastAsia"/>
          <w:sz w:val="24"/>
          <w:szCs w:val="24"/>
        </w:rPr>
        <w:t>:00:00 止</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地点：西安市雁塔区科技五路8号数字大厦5楼508室</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售价：</w:t>
      </w:r>
      <w:r>
        <w:rPr>
          <w:rFonts w:hint="eastAsia" w:asciiTheme="minorEastAsia" w:hAnsiTheme="minorEastAsia" w:eastAsiaTheme="minorEastAsia"/>
          <w:sz w:val="24"/>
          <w:szCs w:val="24"/>
        </w:rPr>
        <w:t>免费赠送</w:t>
      </w:r>
      <w:r>
        <w:rPr>
          <w:rFonts w:asciiTheme="minorEastAsia" w:hAnsiTheme="minorEastAsia" w:eastAsiaTheme="minorEastAsia"/>
          <w:sz w:val="24"/>
          <w:szCs w:val="24"/>
        </w:rPr>
        <w:t xml:space="preserve"> </w:t>
      </w:r>
    </w:p>
    <w:p>
      <w:pPr>
        <w:pStyle w:val="26"/>
        <w:spacing w:before="0" w:beforeAutospacing="0" w:after="0" w:afterAutospacing="0" w:line="360" w:lineRule="auto"/>
        <w:ind w:firstLine="420"/>
        <w:rPr>
          <w:rFonts w:asciiTheme="minorEastAsia" w:hAnsiTheme="minorEastAsia" w:eastAsiaTheme="minorEastAsia"/>
          <w:sz w:val="24"/>
          <w:szCs w:val="24"/>
        </w:rPr>
      </w:pPr>
      <w:r>
        <w:rPr>
          <w:rStyle w:val="32"/>
          <w:rFonts w:hint="eastAsia" w:cs="宋体" w:asciiTheme="minorEastAsia" w:hAnsiTheme="minorEastAsia" w:eastAsiaTheme="minorEastAsia"/>
          <w:sz w:val="24"/>
          <w:szCs w:val="24"/>
        </w:rPr>
        <w:t>注：请携带单位介绍信、经办人身份证复印件（加盖公章）获取招标文件。</w:t>
      </w:r>
      <w:r>
        <w:rPr>
          <w:rFonts w:asciiTheme="minorEastAsia" w:hAnsiTheme="minorEastAsia" w:eastAsiaTheme="minorEastAsia"/>
          <w:sz w:val="24"/>
          <w:szCs w:val="24"/>
        </w:rPr>
        <w:t xml:space="preserve"> </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四、 投标文件递交 </w:t>
      </w:r>
    </w:p>
    <w:p>
      <w:pPr>
        <w:pStyle w:val="26"/>
        <w:spacing w:before="0" w:beforeAutospacing="0" w:after="0" w:afterAutospacing="0" w:line="360" w:lineRule="auto"/>
        <w:ind w:firstLine="420"/>
        <w:rPr>
          <w:rFonts w:cs="宋体" w:asciiTheme="minorEastAsia" w:hAnsiTheme="minorEastAsia" w:eastAsiaTheme="minorEastAsia"/>
          <w:sz w:val="24"/>
          <w:szCs w:val="24"/>
        </w:rPr>
      </w:pPr>
      <w:r>
        <w:rPr>
          <w:rFonts w:asciiTheme="minorEastAsia" w:hAnsiTheme="minorEastAsia" w:eastAsiaTheme="minorEastAsia"/>
          <w:sz w:val="24"/>
          <w:szCs w:val="24"/>
        </w:rPr>
        <w:t>截止时间：</w:t>
      </w:r>
      <w:r>
        <w:rPr>
          <w:rFonts w:hint="eastAsia" w:cs="宋体" w:asciiTheme="minorEastAsia" w:hAnsiTheme="minorEastAsia" w:eastAsiaTheme="minorEastAsia"/>
          <w:sz w:val="24"/>
          <w:szCs w:val="24"/>
        </w:rPr>
        <w:t>2022-04-27  09:30:00</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w:t>
      </w:r>
      <w:r>
        <w:rPr>
          <w:rFonts w:hint="eastAsia" w:cs="宋体" w:asciiTheme="minorEastAsia" w:hAnsiTheme="minorEastAsia" w:eastAsiaTheme="minorEastAsia"/>
          <w:sz w:val="24"/>
          <w:szCs w:val="24"/>
        </w:rPr>
        <w:t>西安市雁塔区科技五路8号数字大厦10楼会议室</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自本公告发布之日起5个工作日</w:t>
      </w:r>
      <w:r>
        <w:rPr>
          <w:rFonts w:hint="eastAsia" w:asciiTheme="minorEastAsia" w:hAnsiTheme="minorEastAsia" w:eastAsiaTheme="minorEastAsia"/>
          <w:sz w:val="24"/>
          <w:szCs w:val="24"/>
          <w:lang w:val="en-US" w:eastAsia="zh-CN"/>
        </w:rPr>
        <w:t>0</w:t>
      </w:r>
      <w:bookmarkStart w:id="288" w:name="_GoBack"/>
      <w:bookmarkEnd w:id="288"/>
      <w:r>
        <w:rPr>
          <w:rFonts w:asciiTheme="minorEastAsia" w:hAnsiTheme="minorEastAsia" w:eastAsiaTheme="minorEastAsia"/>
          <w:sz w:val="24"/>
          <w:szCs w:val="24"/>
        </w:rPr>
        <w:t>。</w:t>
      </w:r>
    </w:p>
    <w:p>
      <w:pPr>
        <w:pStyle w:val="26"/>
        <w:numPr>
          <w:ilvl w:val="0"/>
          <w:numId w:val="4"/>
        </w:numPr>
        <w:spacing w:before="0" w:beforeAutospacing="0" w:after="0" w:afterAutospacing="0" w:line="360" w:lineRule="auto"/>
        <w:rPr>
          <w:rFonts w:asciiTheme="minorEastAsia" w:hAnsiTheme="minorEastAsia" w:eastAsiaTheme="minorEastAsia"/>
          <w:b/>
          <w:sz w:val="24"/>
          <w:szCs w:val="24"/>
          <w:lang w:bidi="ar"/>
        </w:rPr>
      </w:pPr>
      <w:r>
        <w:rPr>
          <w:rFonts w:asciiTheme="minorEastAsia" w:hAnsiTheme="minorEastAsia" w:eastAsiaTheme="minorEastAsia"/>
          <w:b/>
          <w:sz w:val="24"/>
          <w:szCs w:val="24"/>
          <w:lang w:bidi="ar"/>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lang w:bidi="ar"/>
        </w:rPr>
      </w:pPr>
      <w:r>
        <w:rPr>
          <w:rFonts w:hint="eastAsia" w:asciiTheme="minorEastAsia" w:hAnsiTheme="minorEastAsia" w:eastAsiaTheme="minorEastAsia"/>
          <w:bCs/>
          <w:sz w:val="24"/>
          <w:szCs w:val="24"/>
          <w:lang w:bidi="ar"/>
        </w:rPr>
        <w:t>1、请供应商按照陕西省财政厅关于政府采购供应商注册登记有关事项的通知中的要求，通过陕西省政府采购网（http://www.ccgp-shaanxi.gov.cn/）注册登记加入陕西省政府采购供应商库。</w:t>
      </w:r>
    </w:p>
    <w:p>
      <w:pPr>
        <w:pStyle w:val="26"/>
        <w:spacing w:before="0" w:beforeAutospacing="0" w:after="0" w:afterAutospacing="0" w:line="360" w:lineRule="auto"/>
        <w:ind w:firstLine="480" w:firstLineChars="200"/>
        <w:rPr>
          <w:rFonts w:asciiTheme="minorEastAsia" w:hAnsiTheme="minorEastAsia" w:eastAsiaTheme="minorEastAsia"/>
          <w:bCs/>
          <w:sz w:val="24"/>
          <w:szCs w:val="24"/>
          <w:lang w:bidi="ar"/>
        </w:rPr>
      </w:pPr>
      <w:r>
        <w:rPr>
          <w:rFonts w:hint="eastAsia" w:asciiTheme="minorEastAsia" w:hAnsiTheme="minorEastAsia" w:eastAsiaTheme="minorEastAsia"/>
          <w:bCs/>
          <w:sz w:val="24"/>
          <w:szCs w:val="24"/>
          <w:lang w:bidi="ar"/>
        </w:rPr>
        <w:t>2、由于疫情影响，在开标当天潜在供应商仅1人（法定代表人或授权代表）参加开标会议。</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1、采购人信息：</w:t>
      </w:r>
      <w:r>
        <w:rPr>
          <w:rFonts w:hint="eastAsia" w:asciiTheme="minorEastAsia" w:hAnsiTheme="minorEastAsia" w:eastAsiaTheme="minorEastAsia"/>
          <w:sz w:val="24"/>
          <w:szCs w:val="24"/>
        </w:rPr>
        <w:t>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薛工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省政府新城大院四号楼</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0</w:t>
      </w:r>
      <w:r>
        <w:rPr>
          <w:rFonts w:asciiTheme="minorEastAsia" w:hAnsiTheme="minorEastAsia" w:eastAsiaTheme="minorEastAsia"/>
          <w:sz w:val="24"/>
          <w:szCs w:val="24"/>
        </w:rPr>
        <w:t>29-88360538</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项目联系人：</w:t>
      </w:r>
      <w:r>
        <w:rPr>
          <w:rFonts w:hint="eastAsia" w:cs="宋体" w:asciiTheme="minorEastAsia" w:hAnsiTheme="minorEastAsia" w:eastAsiaTheme="minorEastAsia"/>
          <w:sz w:val="24"/>
          <w:szCs w:val="24"/>
        </w:rPr>
        <w:t>李工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电 话：029-88228984</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联系地址：西安市雁塔区科技五路8号数字大厦5楼508室</w:t>
      </w:r>
    </w:p>
    <w:p>
      <w:bookmarkStart w:id="7" w:name="_Toc8810"/>
      <w:bookmarkStart w:id="8" w:name="_Toc22912"/>
      <w:bookmarkStart w:id="9" w:name="_Toc28463"/>
      <w:bookmarkStart w:id="10" w:name="_Toc16915"/>
      <w:bookmarkStart w:id="11" w:name="_Toc13168"/>
      <w:bookmarkStart w:id="12" w:name="_Toc29060_WPSOffice_Level1"/>
      <w:r>
        <w:rPr>
          <w:rFonts w:hint="eastAsia"/>
        </w:rPr>
        <w:br w:type="page"/>
      </w:r>
    </w:p>
    <w:p>
      <w:pPr>
        <w:pStyle w:val="3"/>
        <w:numPr>
          <w:ilvl w:val="0"/>
          <w:numId w:val="5"/>
        </w:numPr>
        <w:jc w:val="center"/>
      </w:pPr>
      <w:r>
        <w:rPr>
          <w:rFonts w:hint="eastAsia"/>
        </w:rPr>
        <w:t>投标供应商须知</w:t>
      </w:r>
      <w:bookmarkEnd w:id="7"/>
      <w:bookmarkEnd w:id="8"/>
      <w:bookmarkEnd w:id="9"/>
      <w:bookmarkEnd w:id="10"/>
      <w:bookmarkEnd w:id="11"/>
      <w:bookmarkEnd w:id="12"/>
      <w:bookmarkStart w:id="13" w:name="_Toc189727030"/>
      <w:bookmarkStart w:id="14" w:name="_Toc184283909"/>
      <w:bookmarkStart w:id="15" w:name="_Toc213397010"/>
      <w:bookmarkStart w:id="16" w:name="_Toc217446032"/>
      <w:bookmarkStart w:id="17" w:name="_Toc213396760"/>
      <w:bookmarkStart w:id="18" w:name="_Toc184274915"/>
      <w:bookmarkStart w:id="19" w:name="_Toc213396946"/>
      <w:bookmarkStart w:id="20" w:name="_Toc213496268"/>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hint="eastAsia" w:cs="宋体" w:asciiTheme="minorEastAsia" w:hAnsiTheme="minorEastAsia" w:eastAsiaTheme="minorEastAsia"/>
                <w:sz w:val="24"/>
                <w:lang w:eastAsia="zh-CN"/>
              </w:rPr>
            </w:pPr>
            <w:r>
              <w:rPr>
                <w:rFonts w:hint="eastAsia" w:asciiTheme="minorEastAsia" w:hAnsiTheme="minorEastAsia" w:eastAsiaTheme="minorEastAsia"/>
                <w:sz w:val="24"/>
                <w:lang w:eastAsia="zh-CN"/>
              </w:rPr>
              <w:t>陕西省无线电管理委员会电磁信号智能分析系统采购项目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YFC2022-GP-00</w:t>
            </w:r>
            <w:r>
              <w:rPr>
                <w:rFonts w:hint="eastAsia" w:cs="宋体" w:asciiTheme="minorEastAsia" w:hAnsiTheme="minorEastAsia" w:eastAsiaTheme="minorEastAsia"/>
                <w:sz w:val="24"/>
              </w:rPr>
              <w:t>8H</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薛工</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rPr>
              <w:t>0</w:t>
            </w:r>
            <w:r>
              <w:rPr>
                <w:rFonts w:cs="宋体" w:asciiTheme="minorEastAsia" w:hAnsiTheme="minorEastAsia" w:eastAsiaTheme="minorEastAsia"/>
                <w:sz w:val="24"/>
              </w:rPr>
              <w:t>29-88360538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w:t>
            </w:r>
            <w:r>
              <w:rPr>
                <w:rFonts w:hint="eastAsia" w:cs="宋体" w:asciiTheme="minorEastAsia" w:hAnsiTheme="minorEastAsia" w:eastAsiaTheme="minorEastAsia"/>
                <w:sz w:val="24"/>
              </w:rPr>
              <w:t>西安市雁塔区科技五路8号数字大厦5楼508室</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联系人：</w:t>
            </w:r>
            <w:r>
              <w:rPr>
                <w:rFonts w:hint="eastAsia" w:cs="宋体" w:asciiTheme="minorEastAsia" w:hAnsiTheme="minorEastAsia" w:eastAsiaTheme="minorEastAsia"/>
                <w:sz w:val="24"/>
              </w:rPr>
              <w:t>李工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电话：</w:t>
            </w:r>
            <w:r>
              <w:rPr>
                <w:rFonts w:hint="eastAsia" w:cs="宋体" w:asciiTheme="minorEastAsia" w:hAnsiTheme="minorEastAsia" w:eastAsiaTheme="minorEastAsia"/>
                <w:sz w:val="24"/>
              </w:rPr>
              <w:t xml:space="preserve">029-88228984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asciiTheme="minorEastAsia" w:hAnsiTheme="minorEastAsia" w:eastAsiaTheme="minorEastAsia"/>
                <w:sz w:val="24"/>
                <w:szCs w:val="24"/>
              </w:rPr>
              <w:t>2640000.00</w:t>
            </w:r>
            <w:r>
              <w:rPr>
                <w:rFonts w:hint="eastAsia" w:cs="宋体" w:asciiTheme="minorEastAsia" w:hAnsiTheme="minorEastAsia" w:eastAsiaTheme="minorEastAsia"/>
                <w:sz w:val="24"/>
                <w:szCs w:val="24"/>
              </w:rPr>
              <w:t>元，投标</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0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拟购置12套电磁信号智能分析系统（以下简称“系统”，系统主要包括信号识别软件、业务信号测量分析模块），以此快速有效地监测、识别、分析和干扰排查复杂的数字调制信号，应对无线电监测过程中未知信号的调制类型识别、调制参数测量和业务信号的测量分析。</w:t>
            </w:r>
          </w:p>
          <w:p>
            <w:pPr>
              <w:spacing w:line="360" w:lineRule="auto"/>
              <w:ind w:firstLine="480" w:firstLineChars="200"/>
              <w:rPr>
                <w:rFonts w:cs="宋体" w:asciiTheme="minorEastAsia" w:hAnsiTheme="minorEastAsia" w:eastAsiaTheme="minorEastAsia"/>
                <w:sz w:val="24"/>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见招标文件第四章要求。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招标文件获取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时间：即日起至202</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04</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13</w:t>
            </w:r>
            <w:r>
              <w:rPr>
                <w:rFonts w:hint="eastAsia" w:cs="宋体" w:asciiTheme="minorEastAsia" w:hAnsiTheme="minorEastAsia" w:eastAsiaTheme="minorEastAsia"/>
                <w:sz w:val="24"/>
                <w:lang w:val="zh-CN"/>
              </w:rPr>
              <w:t xml:space="preserve"> </w:t>
            </w:r>
            <w:r>
              <w:rPr>
                <w:rFonts w:hint="eastAsia" w:cs="宋体" w:asciiTheme="minorEastAsia" w:hAnsiTheme="minorEastAsia" w:eastAsiaTheme="minorEastAsia"/>
                <w:sz w:val="24"/>
              </w:rPr>
              <w:t>16</w:t>
            </w:r>
            <w:r>
              <w:rPr>
                <w:rFonts w:hint="eastAsia" w:cs="宋体" w:asciiTheme="minorEastAsia" w:hAnsiTheme="minorEastAsia" w:eastAsiaTheme="minorEastAsia"/>
                <w:sz w:val="24"/>
                <w:lang w:val="zh-CN"/>
              </w:rPr>
              <w:t>:00 止</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地点：</w:t>
            </w:r>
            <w:r>
              <w:rPr>
                <w:rFonts w:asciiTheme="minorEastAsia" w:hAnsiTheme="minorEastAsia" w:eastAsiaTheme="minorEastAsia"/>
                <w:sz w:val="24"/>
              </w:rPr>
              <w:t>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地点：</w:t>
            </w:r>
            <w:r>
              <w:rPr>
                <w:rFonts w:hint="eastAsia" w:cs="宋体" w:asciiTheme="minorEastAsia" w:hAnsiTheme="minorEastAsia" w:eastAsiaTheme="minorEastAsia"/>
                <w:sz w:val="24"/>
              </w:rPr>
              <w:t>西安市雁塔区科技五路8号数字大厦10楼会议室</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w:t>
            </w:r>
            <w:r>
              <w:rPr>
                <w:rFonts w:hint="eastAsia" w:cs="宋体" w:asciiTheme="minorEastAsia" w:hAnsiTheme="minorEastAsia" w:eastAsiaTheme="minorEastAsia"/>
                <w:bCs/>
                <w:sz w:val="24"/>
                <w:szCs w:val="28"/>
              </w:rPr>
              <w:t>2022年04月27日09点30分（北京时间）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bCs/>
                <w:sz w:val="24"/>
                <w:szCs w:val="28"/>
              </w:rPr>
              <w:t>2022年04月27日09点30分（北京时间）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本项目不收取投标保证金，请忽略文件格式中关于保证金的规定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r>
              <w:rPr>
                <w:rFonts w:hint="eastAsia" w:cs="宋体" w:asciiTheme="minorEastAsia" w:hAnsiTheme="minorEastAsia" w:eastAsiaTheme="minorEastAsia"/>
                <w:bCs/>
                <w:sz w:val="24"/>
                <w:szCs w:val="28"/>
              </w:rPr>
              <w:t>2022年04月27日09点30分（北京时间）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开标地点：</w:t>
            </w:r>
            <w:r>
              <w:rPr>
                <w:rFonts w:hint="eastAsia" w:cs="宋体" w:asciiTheme="minorEastAsia" w:hAnsiTheme="minorEastAsia" w:eastAsiaTheme="minorEastAsia"/>
                <w:sz w:val="24"/>
              </w:rPr>
              <w:t>西安市雁塔区科技五路8号数字大厦10楼会议室</w:t>
            </w:r>
          </w:p>
          <w:p>
            <w:pPr>
              <w:spacing w:line="276" w:lineRule="auto"/>
              <w:jc w:val="left"/>
              <w:rPr>
                <w:rFonts w:cs="宋体" w:asciiTheme="minorEastAsia" w:hAnsiTheme="minorEastAsia" w:eastAsiaTheme="minorEastAsia"/>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评标委员会构成：</w:t>
            </w:r>
            <w:r>
              <w:rPr>
                <w:rStyle w:val="81"/>
                <w:rFonts w:hint="eastAsia" w:asciiTheme="minorEastAsia" w:hAnsiTheme="minorEastAsia" w:eastAsiaTheme="minorEastAsia"/>
                <w:sz w:val="24"/>
              </w:rPr>
              <w:t>5</w:t>
            </w:r>
            <w:r>
              <w:rPr>
                <w:rStyle w:val="81"/>
                <w:rFonts w:asciiTheme="minorEastAsia" w:hAnsiTheme="minorEastAsia" w:eastAsiaTheme="minorEastAsia"/>
                <w:sz w:val="24"/>
              </w:rPr>
              <w:t>人。</w:t>
            </w:r>
          </w:p>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其中采购人代表</w:t>
            </w:r>
            <w:r>
              <w:rPr>
                <w:rStyle w:val="81"/>
                <w:rFonts w:hint="eastAsia" w:asciiTheme="minorEastAsia" w:hAnsiTheme="minorEastAsia" w:eastAsiaTheme="minorEastAsia"/>
                <w:sz w:val="24"/>
              </w:rPr>
              <w:t>1</w:t>
            </w:r>
            <w:r>
              <w:rPr>
                <w:rStyle w:val="81"/>
                <w:rFonts w:asciiTheme="minorEastAsia" w:hAnsiTheme="minorEastAsia" w:eastAsiaTheme="minorEastAsia"/>
                <w:sz w:val="24"/>
              </w:rPr>
              <w:t>人，专家</w:t>
            </w:r>
            <w:r>
              <w:rPr>
                <w:rStyle w:val="81"/>
                <w:rFonts w:hint="eastAsia" w:asciiTheme="minorEastAsia" w:hAnsiTheme="minorEastAsia" w:eastAsiaTheme="minorEastAsia"/>
                <w:sz w:val="24"/>
              </w:rPr>
              <w:t>4</w:t>
            </w:r>
            <w:r>
              <w:rPr>
                <w:rStyle w:val="81"/>
                <w:rFonts w:asciiTheme="minorEastAsia" w:hAnsiTheme="minorEastAsia" w:eastAsiaTheme="minorEastAsia"/>
                <w:sz w:val="24"/>
              </w:rPr>
              <w:t>人</w:t>
            </w:r>
            <w:r>
              <w:rPr>
                <w:rStyle w:val="81"/>
                <w:rFonts w:hint="eastAsia" w:asciiTheme="minorEastAsia" w:hAnsiTheme="minorEastAsia" w:eastAsiaTheme="minorEastAsia"/>
                <w:sz w:val="24"/>
              </w:rPr>
              <w:t>（技术、经济专业）</w:t>
            </w:r>
            <w:r>
              <w:rPr>
                <w:rStyle w:val="81"/>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1"/>
                <w:rFonts w:asciiTheme="minorEastAsia" w:hAnsiTheme="minorEastAsia" w:eastAsiaTheme="minorEastAsia"/>
                <w:sz w:val="24"/>
              </w:rPr>
              <w:t>评标专家确定方式：陕西省政府采购专家</w:t>
            </w:r>
            <w:r>
              <w:rPr>
                <w:rStyle w:val="81"/>
                <w:rFonts w:hint="eastAsia" w:asciiTheme="minorEastAsia" w:hAnsiTheme="minorEastAsia" w:eastAsiaTheme="minorEastAsia"/>
                <w:sz w:val="24"/>
              </w:rPr>
              <w:t>库，由系统</w:t>
            </w:r>
            <w:r>
              <w:rPr>
                <w:rStyle w:val="81"/>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交货安装期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自合同签订之日1</w:t>
            </w:r>
            <w:r>
              <w:rPr>
                <w:rFonts w:cs="宋体" w:asciiTheme="minorEastAsia" w:hAnsiTheme="minorEastAsia" w:eastAsiaTheme="minorEastAsia"/>
                <w:sz w:val="24"/>
              </w:rPr>
              <w:t>50</w:t>
            </w:r>
            <w:r>
              <w:rPr>
                <w:rFonts w:hint="eastAsia" w:cs="宋体" w:asciiTheme="minorEastAsia" w:hAnsiTheme="minorEastAsia" w:eastAsiaTheme="minorEastAsia"/>
                <w:sz w:val="24"/>
              </w:rPr>
              <w:t>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3年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偏离</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负偏离采购需求中的加★条款为未响应招标文件，将被否决投标。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收</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人：李</w:t>
            </w:r>
            <w:r>
              <w:rPr>
                <w:rFonts w:hint="eastAsia" w:cs="宋体" w:asciiTheme="minorEastAsia" w:hAnsiTheme="minorEastAsia" w:eastAsiaTheme="minorEastAsia"/>
                <w:sz w:val="24"/>
              </w:rPr>
              <w:t>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029-88228984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rPr>
            </w:pPr>
            <w:r>
              <w:rPr>
                <w:rStyle w:val="81"/>
                <w:rFonts w:hint="eastAsia" w:asciiTheme="minorEastAsia" w:hAnsiTheme="minorEastAsia" w:eastAsiaTheme="minorEastAsia"/>
                <w:sz w:val="24"/>
              </w:rPr>
              <w:t>投标</w:t>
            </w:r>
            <w:r>
              <w:rPr>
                <w:rStyle w:val="81"/>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项目编号：</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项目名称：</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采购人全称：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1"/>
                <w:rFonts w:asciiTheme="minorEastAsia" w:hAnsiTheme="minorEastAsia" w:eastAsiaTheme="minorEastAsia"/>
                <w:sz w:val="24"/>
              </w:rPr>
              <w:t>文件在202</w:t>
            </w:r>
            <w:r>
              <w:rPr>
                <w:rStyle w:val="81"/>
                <w:rFonts w:hint="eastAsia" w:asciiTheme="minorEastAsia" w:hAnsiTheme="minorEastAsia" w:eastAsiaTheme="minorEastAsia"/>
                <w:sz w:val="24"/>
              </w:rPr>
              <w:t>2</w:t>
            </w:r>
            <w:r>
              <w:rPr>
                <w:rStyle w:val="81"/>
                <w:rFonts w:asciiTheme="minorEastAsia" w:hAnsiTheme="minorEastAsia" w:eastAsiaTheme="minorEastAsia"/>
                <w:sz w:val="24"/>
              </w:rPr>
              <w:t>年</w:t>
            </w:r>
            <w:r>
              <w:rPr>
                <w:rStyle w:val="81"/>
                <w:rFonts w:hint="eastAsia" w:asciiTheme="minorEastAsia" w:hAnsiTheme="minorEastAsia" w:eastAsiaTheme="minorEastAsia"/>
                <w:sz w:val="24"/>
              </w:rPr>
              <w:t>04</w:t>
            </w:r>
            <w:r>
              <w:rPr>
                <w:rStyle w:val="81"/>
                <w:rFonts w:asciiTheme="minorEastAsia" w:hAnsiTheme="minorEastAsia" w:eastAsiaTheme="minorEastAsia"/>
                <w:sz w:val="24"/>
              </w:rPr>
              <w:t>月</w:t>
            </w:r>
            <w:r>
              <w:rPr>
                <w:rStyle w:val="81"/>
                <w:rFonts w:hint="eastAsia" w:asciiTheme="minorEastAsia" w:hAnsiTheme="minorEastAsia" w:eastAsiaTheme="minorEastAsia"/>
                <w:sz w:val="24"/>
              </w:rPr>
              <w:t>27</w:t>
            </w:r>
            <w:r>
              <w:rPr>
                <w:rStyle w:val="81"/>
                <w:rFonts w:asciiTheme="minorEastAsia" w:hAnsiTheme="minorEastAsia" w:eastAsiaTheme="minorEastAsia"/>
                <w:sz w:val="24"/>
              </w:rPr>
              <w:t>日</w:t>
            </w:r>
            <w:r>
              <w:rPr>
                <w:rStyle w:val="81"/>
                <w:rFonts w:hint="eastAsia" w:asciiTheme="minorEastAsia" w:hAnsiTheme="minorEastAsia" w:eastAsiaTheme="minorEastAsia"/>
                <w:sz w:val="24"/>
              </w:rPr>
              <w:t>09:30</w:t>
            </w:r>
            <w:r>
              <w:rPr>
                <w:rStyle w:val="81"/>
                <w:rFonts w:asciiTheme="minorEastAsia" w:hAnsiTheme="minorEastAsia" w:eastAsiaTheme="minorEastAsia"/>
                <w:sz w:val="24"/>
              </w:rPr>
              <w:t>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合同总价款15%金额的银行保函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注：事业单位法人参与投标可不提供财务状况报告、社会保障资金缴纳证明及税收缴纳证明。</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（8）单位负责人为同一人或者存在控股、管理关系的不同单位不得同时参加同一项目投标；</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（9）提供“中小企业声明函”。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460" w:lineRule="exact"/>
              <w:rPr>
                <w:rFonts w:ascii="宋体" w:hAnsi="宋体" w:cs="仿宋"/>
                <w:sz w:val="24"/>
              </w:rPr>
            </w:pPr>
            <w:r>
              <w:rPr>
                <w:rFonts w:hint="eastAsia" w:ascii="宋体" w:hAnsi="宋体" w:cs="仿宋"/>
                <w:sz w:val="24"/>
              </w:rPr>
              <w:t>1、合同签订后5个工作日内，乙方向甲方出具合同总价款15%金额的银行保函，保函有效期截止时间为项目验收合格后满6个月；</w:t>
            </w:r>
          </w:p>
          <w:p>
            <w:pPr>
              <w:adjustRightInd w:val="0"/>
              <w:snapToGrid w:val="0"/>
              <w:spacing w:line="460" w:lineRule="exact"/>
              <w:rPr>
                <w:rFonts w:cs="宋体" w:asciiTheme="minorEastAsia" w:hAnsiTheme="minorEastAsia" w:eastAsiaTheme="minorEastAsia"/>
                <w:sz w:val="24"/>
              </w:rPr>
            </w:pPr>
            <w:r>
              <w:rPr>
                <w:rFonts w:hint="eastAsia" w:ascii="宋体" w:hAnsi="宋体" w:cs="仿宋"/>
                <w:sz w:val="24"/>
              </w:rPr>
              <w:t>2、甲方收到乙方合格银行保函后支付全部合同总价款。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各投标供应商需明确承诺对本项目所提供的相关资料保密，不得泄露或挪作他用，一经发现，将追究其法律责任。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1"/>
                <w:rFonts w:hint="eastAsia" w:asciiTheme="minorEastAsia" w:hAnsiTheme="minorEastAsia" w:eastAsiaTheme="minorEastAsia"/>
                <w:sz w:val="24"/>
                <w:u w:val="single"/>
              </w:rPr>
              <w:t>货物类</w:t>
            </w:r>
            <w:r>
              <w:rPr>
                <w:rStyle w:val="81"/>
                <w:rFonts w:hint="eastAsia" w:asciiTheme="minorEastAsia" w:hAnsiTheme="minorEastAsia" w:eastAsiaTheme="minorEastAsia"/>
                <w:sz w:val="24"/>
              </w:rPr>
              <w:t>规定收取。</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代理报酬的币种：人民币 汇率：无</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代理报酬的支付方式：中标人直接支付给受托人。</w:t>
            </w:r>
          </w:p>
          <w:p>
            <w:pPr>
              <w:spacing w:line="276" w:lineRule="auto"/>
              <w:jc w:val="left"/>
              <w:rPr>
                <w:rFonts w:cs="宋体" w:asciiTheme="minorEastAsia" w:hAnsiTheme="minorEastAsia" w:eastAsiaTheme="minorEastAsia"/>
                <w:sz w:val="24"/>
                <w:lang w:val="zh-CN"/>
              </w:rPr>
            </w:pPr>
            <w:r>
              <w:rPr>
                <w:rStyle w:val="81"/>
                <w:rFonts w:hint="eastAsia" w:asciiTheme="minorEastAsia" w:hAnsiTheme="minorEastAsia" w:eastAsiaTheme="minorEastAsia"/>
                <w:sz w:val="24"/>
              </w:rPr>
              <w:t>代理报酬的支付时间：《中标通知书》发出前。</w:t>
            </w:r>
          </w:p>
        </w:tc>
      </w:tr>
      <w:bookmarkEnd w:id="13"/>
      <w:bookmarkEnd w:id="14"/>
      <w:bookmarkEnd w:id="15"/>
      <w:bookmarkEnd w:id="16"/>
      <w:bookmarkEnd w:id="17"/>
      <w:bookmarkEnd w:id="18"/>
      <w:bookmarkEnd w:id="19"/>
      <w:bookmarkEnd w:id="20"/>
      <w:bookmarkEnd w:id="21"/>
    </w:tbl>
    <w:p>
      <w:pPr>
        <w:pStyle w:val="4"/>
        <w:numPr>
          <w:ilvl w:val="0"/>
          <w:numId w:val="6"/>
        </w:numPr>
        <w:tabs>
          <w:tab w:val="left" w:pos="422"/>
        </w:tabs>
        <w:spacing w:line="360" w:lineRule="auto"/>
        <w:rPr>
          <w:rFonts w:cs="宋体" w:asciiTheme="minorEastAsia" w:hAnsiTheme="minorEastAsia" w:eastAsiaTheme="minorEastAsia"/>
          <w:bCs/>
          <w:sz w:val="36"/>
          <w:szCs w:val="36"/>
        </w:rPr>
      </w:pPr>
      <w:bookmarkStart w:id="22" w:name="_Toc2761_WPSOffice_Level2"/>
      <w:bookmarkStart w:id="23" w:name="_Toc217390843"/>
      <w:bookmarkStart w:id="24" w:name="_Toc183582207"/>
      <w:bookmarkStart w:id="25" w:name="_Toc217446036"/>
      <w:bookmarkStart w:id="26" w:name="_Toc183682344"/>
      <w:r>
        <w:rPr>
          <w:rFonts w:hint="eastAsia" w:cs="宋体" w:asciiTheme="minorEastAsia" w:hAnsiTheme="minorEastAsia" w:eastAsiaTheme="minorEastAsia"/>
          <w:bCs/>
          <w:sz w:val="36"/>
          <w:szCs w:val="36"/>
        </w:rPr>
        <w:br w:type="page"/>
      </w:r>
      <w:bookmarkStart w:id="27" w:name="_Toc25601"/>
      <w:bookmarkStart w:id="28" w:name="_Toc13795"/>
      <w:bookmarkStart w:id="29" w:name="_Toc2446"/>
      <w:bookmarkStart w:id="30" w:name="_Toc23837"/>
      <w:bookmarkStart w:id="31" w:name="_Toc9934"/>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本招标文件仅适用于本次公开招标所叙述的货物类项目采购活动。</w:t>
      </w:r>
      <w:bookmarkStart w:id="32" w:name="_Toc183682343"/>
      <w:bookmarkStart w:id="33" w:name="_Toc217446035"/>
      <w:bookmarkStart w:id="34" w:name="_Toc183582206"/>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“服务”是指招标文件规定投标供应商须承担的安装、测试、检验、调试、技术支持以及其他类似的义务。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183682345"/>
      <w:bookmarkStart w:id="36" w:name="_Toc217446037"/>
      <w:bookmarkStart w:id="37" w:name="_Toc183582208"/>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89075875"/>
      <w:bookmarkStart w:id="40" w:name="_Toc77400779"/>
      <w:bookmarkStart w:id="41" w:name="_Toc217446038"/>
      <w:bookmarkStart w:id="42" w:name="_Toc183682346"/>
      <w:bookmarkStart w:id="43" w:name="_Toc183582209"/>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4"/>
        <w:tabs>
          <w:tab w:val="left" w:pos="422"/>
        </w:tabs>
        <w:spacing w:line="360" w:lineRule="auto"/>
        <w:rPr>
          <w:rFonts w:cs="宋体" w:asciiTheme="minorEastAsia" w:hAnsiTheme="minorEastAsia" w:eastAsiaTheme="minorEastAsia"/>
          <w:bCs/>
          <w:sz w:val="36"/>
          <w:szCs w:val="36"/>
        </w:rPr>
      </w:pPr>
      <w:bookmarkStart w:id="44" w:name="_Toc29530"/>
      <w:bookmarkStart w:id="45" w:name="_Toc17849"/>
      <w:bookmarkStart w:id="46" w:name="_Toc29613"/>
      <w:bookmarkStart w:id="47" w:name="_Toc32361"/>
      <w:bookmarkStart w:id="48" w:name="_Toc707"/>
      <w:bookmarkStart w:id="49" w:name="_Toc20123_WPSOffice_Level2"/>
      <w:bookmarkStart w:id="50" w:name="_Toc183582211"/>
      <w:bookmarkStart w:id="51" w:name="_Toc183682348"/>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217446039"/>
      <w:bookmarkStart w:id="54" w:name="_Toc183682347"/>
      <w:bookmarkStart w:id="55" w:name="_Toc18358221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17446041"/>
      <w:bookmarkStart w:id="57" w:name="_Toc20884897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682350"/>
      <w:bookmarkStart w:id="59" w:name="_Toc18358221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484_WPSOffice_Level2"/>
      <w:bookmarkStart w:id="61" w:name="_Toc31384"/>
      <w:bookmarkStart w:id="62" w:name="_Toc183582215"/>
      <w:bookmarkStart w:id="63" w:name="_Toc183682352"/>
      <w:bookmarkStart w:id="64" w:name="_Toc217446043"/>
    </w:p>
    <w:p>
      <w:pPr>
        <w:pStyle w:val="4"/>
        <w:spacing w:line="360" w:lineRule="auto"/>
        <w:rPr>
          <w:rFonts w:cs="宋体" w:asciiTheme="minorEastAsia" w:hAnsiTheme="minorEastAsia" w:eastAsiaTheme="minorEastAsia"/>
          <w:sz w:val="36"/>
          <w:szCs w:val="36"/>
        </w:rPr>
      </w:pPr>
      <w:bookmarkStart w:id="65" w:name="_Toc15560"/>
      <w:bookmarkStart w:id="66" w:name="_Toc14265"/>
      <w:bookmarkStart w:id="67" w:name="_Toc27335"/>
      <w:bookmarkStart w:id="68" w:name="_Toc2156"/>
      <w:r>
        <w:rPr>
          <w:rFonts w:hint="eastAsia" w:cs="宋体" w:asciiTheme="minorEastAsia" w:hAnsiTheme="minorEastAsia" w:eastAsiaTheme="minorEastAsia"/>
          <w:sz w:val="36"/>
          <w:szCs w:val="36"/>
        </w:rPr>
        <w:t>3.</w:t>
      </w:r>
      <w:bookmarkEnd w:id="60"/>
      <w:bookmarkEnd w:id="61"/>
      <w:r>
        <w:rPr>
          <w:rFonts w:hint="eastAsia" w:cs="宋体" w:asciiTheme="minorEastAsia" w:hAnsiTheme="minorEastAsia" w:eastAsiaTheme="minorEastAsia"/>
          <w:sz w:val="36"/>
          <w:szCs w:val="36"/>
        </w:rPr>
        <w:t xml:space="preserve"> </w:t>
      </w:r>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（9）提供中小企业声明函。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相关规定，小微企业报价给予6%(工程项目为3%)的扣除，用扣除后的价格参加评审。适用招标投标法的政府采购工程建设项目，采用综合评分法但未采用低价优先法计算价格分的，评标时应当在采用原报价进行评分的基础上增加其价格得分的3%作为其价格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分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4"/>
        <w:tabs>
          <w:tab w:val="left" w:pos="422"/>
        </w:tabs>
        <w:spacing w:line="360" w:lineRule="auto"/>
        <w:rPr>
          <w:rFonts w:cs="宋体" w:asciiTheme="minorEastAsia" w:hAnsiTheme="minorEastAsia" w:eastAsiaTheme="minorEastAsia"/>
          <w:bCs/>
          <w:sz w:val="36"/>
          <w:szCs w:val="36"/>
        </w:rPr>
      </w:pPr>
      <w:bookmarkStart w:id="69" w:name="_Toc27535"/>
      <w:bookmarkStart w:id="70" w:name="_Toc32581"/>
      <w:bookmarkStart w:id="71" w:name="_Toc6337"/>
      <w:bookmarkStart w:id="72" w:name="_Toc22597"/>
      <w:bookmarkStart w:id="73" w:name="_Toc10174_WPSOffice_Level2"/>
      <w:bookmarkStart w:id="74" w:name="_Toc28762"/>
      <w:bookmarkStart w:id="75" w:name="_Toc183682354"/>
      <w:bookmarkStart w:id="76" w:name="_Toc183582217"/>
      <w:bookmarkStart w:id="77" w:name="_Toc217446048"/>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（5）投标方案（含技术方案、实施方案、培训方案、售后服务方案、</w:t>
      </w:r>
      <w:r>
        <w:rPr>
          <w:rFonts w:hint="eastAsia" w:ascii="宋体" w:hAnsi="宋体" w:cs="宋体"/>
          <w:sz w:val="24"/>
        </w:rPr>
        <w:t>企业实力等</w:t>
      </w:r>
      <w:r>
        <w:rPr>
          <w:rFonts w:hint="eastAsia" w:cs="宋体" w:asciiTheme="minorEastAsia" w:hAnsiTheme="minorEastAsia" w:eastAsiaTheme="minorEastAsia"/>
          <w:sz w:val="24"/>
        </w:rPr>
        <w:t>）</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28013"/>
      <w:bookmarkStart w:id="79" w:name="_Toc14500"/>
      <w:bookmarkStart w:id="80" w:name="_Toc27019"/>
      <w:bookmarkStart w:id="81" w:name="_Toc311415592"/>
      <w:bookmarkStart w:id="82" w:name="_Toc27601"/>
      <w:bookmarkStart w:id="83" w:name="_Toc7650"/>
      <w:bookmarkStart w:id="84" w:name="_Toc32671"/>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pStyle w:val="28"/>
        <w:spacing w:line="360" w:lineRule="auto"/>
        <w:ind w:firstLine="480"/>
        <w:rPr>
          <w:rFonts w:ascii="宋体" w:hAnsi="宋体" w:cs="宋体"/>
          <w:sz w:val="24"/>
          <w:szCs w:val="24"/>
        </w:rPr>
      </w:pPr>
      <w:r>
        <w:rPr>
          <w:rFonts w:hint="eastAsia" w:ascii="宋体" w:hAnsi="宋体" w:cs="宋体"/>
          <w:sz w:val="24"/>
          <w:szCs w:val="24"/>
        </w:rPr>
        <w:t>本项目无投标保证金</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183682355"/>
      <w:bookmarkStart w:id="86" w:name="_Toc183582218"/>
      <w:bookmarkStart w:id="87" w:name="_Toc217446049"/>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183582223"/>
      <w:bookmarkStart w:id="89" w:name="_Toc183682360"/>
      <w:bookmarkStart w:id="90" w:name="_Toc217446050"/>
    </w:p>
    <w:bookmarkEnd w:id="88"/>
    <w:bookmarkEnd w:id="89"/>
    <w:bookmarkEnd w:id="90"/>
    <w:p>
      <w:pPr>
        <w:spacing w:line="360" w:lineRule="auto"/>
        <w:rPr>
          <w:rFonts w:cs="宋体" w:asciiTheme="minorEastAsia" w:hAnsiTheme="minorEastAsia" w:eastAsiaTheme="minorEastAsia"/>
          <w:b/>
          <w:sz w:val="30"/>
          <w:szCs w:val="30"/>
        </w:rPr>
      </w:pPr>
      <w:bookmarkStart w:id="91" w:name="_Toc183582225"/>
      <w:bookmarkStart w:id="92" w:name="_Toc183682362"/>
      <w:bookmarkStart w:id="93" w:name="_Toc217446052"/>
      <w:bookmarkStart w:id="94" w:name="_Toc77400781"/>
      <w:bookmarkStart w:id="95" w:name="_Toc89075877"/>
      <w:bookmarkStart w:id="96" w:name="_Toc217446053"/>
      <w:bookmarkStart w:id="97" w:name="_Toc183682363"/>
      <w:bookmarkStart w:id="98" w:name="_Toc183582226"/>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831_WPSOffice_Level2"/>
      <w:bookmarkStart w:id="100" w:name="_Toc31218"/>
      <w:bookmarkStart w:id="101" w:name="_Toc11957"/>
      <w:bookmarkStart w:id="102" w:name="_Toc10920"/>
      <w:bookmarkStart w:id="103" w:name="_Toc19082"/>
      <w:bookmarkStart w:id="104" w:name="_Toc32254"/>
      <w:bookmarkStart w:id="105" w:name="_Toc183582231"/>
      <w:bookmarkStart w:id="106" w:name="_Toc183682368"/>
      <w:bookmarkStart w:id="107" w:name="_Toc89075878"/>
      <w:bookmarkStart w:id="108" w:name="_Toc77400782"/>
      <w:bookmarkStart w:id="109" w:name="_Toc217446056"/>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682364"/>
      <w:bookmarkStart w:id="111" w:name="_Toc183582227"/>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582228"/>
      <w:bookmarkStart w:id="114" w:name="_Toc183682365"/>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11423"/>
      <w:bookmarkStart w:id="117" w:name="_Toc3795"/>
      <w:bookmarkStart w:id="118" w:name="_Toc9468_WPSOffice_Level2"/>
      <w:bookmarkStart w:id="119" w:name="_Toc32113"/>
      <w:bookmarkStart w:id="120" w:name="_Toc17841"/>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（6）唱标：当众开标，宣唱供应商名称、投标报价、交货安装期及其他内容，并记录在案；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31588"/>
      <w:bookmarkStart w:id="124" w:name="_Toc1134"/>
      <w:bookmarkStart w:id="125" w:name="_Toc6643"/>
      <w:bookmarkStart w:id="126" w:name="_Toc27704"/>
      <w:bookmarkStart w:id="127" w:name="_Toc4278_WPSOffice_Level2"/>
      <w:bookmarkStart w:id="128" w:name="_Toc24302"/>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(2)事业单位投标的：</w:t>
            </w:r>
            <w:r>
              <w:rPr>
                <w:rFonts w:hint="eastAsia" w:ascii="宋体" w:hAnsi="宋体" w:cs="宋体"/>
                <w:szCs w:val="21"/>
              </w:rPr>
              <w:t>提供</w:t>
            </w:r>
            <w:r>
              <w:rPr>
                <w:rFonts w:hint="eastAsia" w:ascii="宋体" w:hAnsi="宋体" w:cs="宋体"/>
                <w:szCs w:val="21"/>
                <w:lang w:val="zh-CN"/>
              </w:rPr>
              <w:t>事业单位法人证书复印件</w:t>
            </w:r>
          </w:p>
          <w:p>
            <w:pPr>
              <w:spacing w:line="360" w:lineRule="auto"/>
              <w:jc w:val="left"/>
              <w:rPr>
                <w:rFonts w:ascii="宋体" w:hAnsi="宋体" w:cs="宋体"/>
                <w:szCs w:val="21"/>
                <w:lang w:val="zh-CN"/>
              </w:rPr>
            </w:pPr>
            <w:r>
              <w:rPr>
                <w:rFonts w:hint="eastAsia" w:ascii="宋体" w:hAnsi="宋体" w:cs="宋体"/>
                <w:szCs w:val="21"/>
                <w:lang w:val="zh-CN"/>
              </w:rPr>
              <w:t>(3)其他组织投标的：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(4)自然人投标的：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(1)法定代表人投标的：</w:t>
            </w:r>
            <w:r>
              <w:rPr>
                <w:rFonts w:hint="eastAsia" w:ascii="宋体" w:hAnsi="宋体" w:cs="宋体"/>
                <w:szCs w:val="21"/>
              </w:rPr>
              <w:t>提供</w:t>
            </w:r>
            <w:r>
              <w:rPr>
                <w:rFonts w:hint="eastAsia" w:ascii="宋体" w:hAnsi="宋体" w:cs="宋体"/>
                <w:szCs w:val="21"/>
                <w:lang w:val="zh-CN"/>
              </w:rPr>
              <w:t>法定代表人身份证明及身份证复印件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(2)法定代表人授权他人参加投标的：提供法定代表人委托授权书并出示被授权代表的身份证复印件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szCs w:val="21"/>
              </w:rPr>
            </w:pPr>
            <w:r>
              <w:rPr>
                <w:rFonts w:hint="eastAsia" w:ascii="宋体" w:hAnsi="宋体" w:cs="宋体"/>
                <w:szCs w:val="21"/>
                <w:lang w:val="zh-CN"/>
              </w:rPr>
              <w:t>提供</w:t>
            </w:r>
            <w:r>
              <w:rPr>
                <w:rFonts w:hint="eastAsia" w:ascii="宋体" w:hAnsi="宋体" w:cs="宋体"/>
                <w:szCs w:val="21"/>
              </w:rPr>
              <w:t>2020年或</w:t>
            </w:r>
            <w:r>
              <w:rPr>
                <w:rFonts w:ascii="宋体" w:hAnsi="宋体" w:cs="宋体"/>
                <w:szCs w:val="21"/>
              </w:rPr>
              <w:t>2021</w:t>
            </w:r>
            <w:r>
              <w:rPr>
                <w:rFonts w:hint="eastAsia" w:ascii="宋体" w:hAnsi="宋体" w:cs="宋体"/>
                <w:szCs w:val="21"/>
                <w:lang w:val="zh-CN"/>
              </w:rPr>
              <w:t>年度经审计的财务会计报告；成立时间至提交投标文件截止时间不足一年的可提供成立后任意时段的资产负债表或响应截止时间前三个月内银行出具的资信证明文件或信用担保机构出具的投标担保函。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年1月1日至今任意一个月已缴纳完税凭证或税务机关开具的完税证明（</w:t>
            </w:r>
            <w:r>
              <w:rPr>
                <w:rFonts w:hint="eastAsia" w:ascii="宋体" w:hAnsi="宋体" w:cs="宋体"/>
                <w:szCs w:val="21"/>
                <w:lang w:val="zh-CN"/>
              </w:rPr>
              <w:t>提供增值税、企业所得税至少一种</w:t>
            </w:r>
            <w:r>
              <w:rPr>
                <w:rFonts w:hint="eastAsia" w:ascii="宋体" w:hAnsi="宋体" w:cs="宋体"/>
                <w:szCs w:val="21"/>
              </w:rPr>
              <w:t>）；</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（2）依法免税的应提供相关文件证明；</w:t>
            </w:r>
          </w:p>
          <w:p>
            <w:pPr>
              <w:pStyle w:val="16"/>
              <w:tabs>
                <w:tab w:val="left" w:pos="851"/>
              </w:tabs>
              <w:adjustRightInd w:val="0"/>
              <w:snapToGrid w:val="0"/>
              <w:spacing w:line="360" w:lineRule="auto"/>
              <w:rPr>
                <w:rFonts w:hAnsi="宋体" w:cs="宋体"/>
              </w:rPr>
            </w:pPr>
            <w:r>
              <w:rPr>
                <w:rFonts w:hint="eastAsia" w:hAnsi="宋体" w:cs="宋体"/>
              </w:rPr>
              <w:t>（3）公益类事业单位无需提供；</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年1月1日至今任意一个月已缴纳的社会保障资金缴存单据或社保机构开具的社会保险参保缴费情况证明；</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（2）依法不需要缴纳社会保障资金的供应商应提供相关文件证明；</w:t>
            </w:r>
          </w:p>
          <w:p>
            <w:pPr>
              <w:spacing w:line="360" w:lineRule="auto"/>
              <w:rPr>
                <w:rFonts w:ascii="宋体" w:hAnsi="宋体" w:cs="宋体"/>
                <w:szCs w:val="21"/>
              </w:rPr>
            </w:pPr>
            <w:r>
              <w:rPr>
                <w:rFonts w:hint="eastAsia" w:ascii="宋体" w:hAnsi="宋体" w:cs="宋体"/>
                <w:szCs w:val="21"/>
              </w:rPr>
              <w:t>（3）公益类事业单位无需提供；</w:t>
            </w:r>
          </w:p>
          <w:p>
            <w:pPr>
              <w:spacing w:line="276" w:lineRule="auto"/>
              <w:jc w:val="left"/>
              <w:rPr>
                <w:rFonts w:ascii="宋体" w:hAnsi="宋体" w:cs="宋体"/>
                <w:szCs w:val="21"/>
              </w:rPr>
            </w:pPr>
            <w:r>
              <w:rPr>
                <w:rFonts w:hint="eastAsia" w:ascii="宋体" w:hAnsi="宋体" w:cs="宋体"/>
                <w:szCs w:val="21"/>
              </w:rPr>
              <w:t>（4）新成立未发生缴纳社保资金事项的供应商，应提供缴纳社保资金的书面承诺；</w:t>
            </w:r>
          </w:p>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rPr>
              <w:t>（5）原件或复印件可直接装订，复印件加盖供应商单位章。</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投标供应商声明书：</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cs="宋体" w:asciiTheme="minorEastAsia" w:hAnsiTheme="minorEastAsia" w:eastAsiaTheme="minorEastAsia"/>
                <w:szCs w:val="21"/>
              </w:rPr>
            </w:pPr>
            <w:r>
              <w:rPr>
                <w:rFonts w:hint="eastAsia" w:ascii="宋体" w:hAnsi="宋体" w:cs="宋体"/>
                <w:szCs w:val="21"/>
              </w:rPr>
              <w:t>评审现场网络审查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left"/>
              <w:rPr>
                <w:szCs w:val="21"/>
                <w:lang w:val="zh-CN"/>
              </w:rPr>
            </w:pPr>
            <w:r>
              <w:rPr>
                <w:rFonts w:hint="eastAsia"/>
                <w:szCs w:val="21"/>
                <w:lang w:val="zh-CN"/>
              </w:rPr>
              <w:t>中小企业声明函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11131"/>
      <w:bookmarkStart w:id="130" w:name="_Toc22863"/>
      <w:bookmarkStart w:id="131" w:name="_Toc20902_WPSOffice_Level2"/>
      <w:bookmarkStart w:id="132" w:name="_Toc11771"/>
      <w:bookmarkStart w:id="133" w:name="_Toc14007"/>
      <w:bookmarkStart w:id="134" w:name="_Toc26362"/>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5378"/>
      <w:bookmarkStart w:id="137" w:name="_Toc9424"/>
      <w:bookmarkStart w:id="138" w:name="_Toc27714"/>
      <w:bookmarkStart w:id="139" w:name="_Toc4147"/>
      <w:bookmarkStart w:id="140" w:name="_Toc23981_WPSOffice_Level2"/>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682375"/>
      <w:bookmarkStart w:id="144" w:name="_Toc183582238"/>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28673"/>
      <w:bookmarkStart w:id="147" w:name="_Toc5460"/>
      <w:bookmarkStart w:id="148" w:name="_Toc6950"/>
      <w:bookmarkStart w:id="149" w:name="_Toc31615_WPSOffice_Level2"/>
      <w:bookmarkStart w:id="150" w:name="_Toc14076"/>
      <w:bookmarkStart w:id="151" w:name="_Toc1421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10%。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24558"/>
      <w:bookmarkStart w:id="153" w:name="_Toc12030"/>
      <w:bookmarkStart w:id="154" w:name="_Toc25573"/>
      <w:bookmarkStart w:id="155" w:name="_Toc4361_WPSOffice_Level2"/>
      <w:bookmarkStart w:id="156" w:name="_Toc4810"/>
      <w:bookmarkStart w:id="157" w:name="_Toc14868"/>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0" w:name="_Toc19418"/>
      <w:bookmarkStart w:id="161" w:name="_Toc19376"/>
      <w:bookmarkStart w:id="162" w:name="_Toc4921"/>
      <w:bookmarkStart w:id="163" w:name="_Toc7339"/>
      <w:bookmarkStart w:id="164" w:name="_Toc1554"/>
      <w:bookmarkStart w:id="165" w:name="_Toc9564_WPSOffice_Level2"/>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货物类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代理费的支付方式：中标人直接支付给受托人。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咨询电话：029-88229046</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6" w:name="_Toc3437"/>
      <w:bookmarkStart w:id="167" w:name="_Toc21870"/>
      <w:bookmarkStart w:id="168" w:name="_Toc17345_WPSOffice_Level2"/>
      <w:bookmarkStart w:id="169" w:name="_Toc31867"/>
      <w:bookmarkStart w:id="170" w:name="_Toc10035"/>
      <w:bookmarkStart w:id="171" w:name="_Toc29808"/>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2023_WPSOffice_Level2"/>
      <w:bookmarkStart w:id="173" w:name="_Toc20322"/>
      <w:bookmarkStart w:id="174" w:name="_Toc24421"/>
      <w:bookmarkStart w:id="175" w:name="_Toc28454"/>
      <w:bookmarkStart w:id="176" w:name="_Toc5420"/>
      <w:bookmarkStart w:id="177" w:name="_Toc32384"/>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bl>
    <w:p>
      <w:pPr>
        <w:spacing w:line="360" w:lineRule="auto"/>
        <w:ind w:firstLine="964" w:firstLineChars="200"/>
        <w:rPr>
          <w:rStyle w:val="96"/>
          <w:rFonts w:asciiTheme="minorEastAsia" w:hAnsiTheme="minorEastAsia" w:eastAsiaTheme="minorEastAsia"/>
          <w:sz w:val="48"/>
          <w:szCs w:val="48"/>
        </w:rPr>
        <w:sectPr>
          <w:pgSz w:w="11907" w:h="16840"/>
          <w:pgMar w:top="1474" w:right="1587" w:bottom="1474" w:left="1587" w:header="851" w:footer="992" w:gutter="0"/>
          <w:cols w:space="720" w:num="1"/>
          <w:titlePg/>
        </w:sectPr>
      </w:pPr>
    </w:p>
    <w:p>
      <w:pPr>
        <w:pStyle w:val="3"/>
        <w:numPr>
          <w:ilvl w:val="0"/>
          <w:numId w:val="5"/>
        </w:numPr>
        <w:jc w:val="center"/>
      </w:pPr>
      <w:bookmarkStart w:id="179" w:name="_Toc4672"/>
      <w:bookmarkStart w:id="180" w:name="_Toc7691"/>
      <w:bookmarkStart w:id="181" w:name="_Toc9050"/>
      <w:bookmarkStart w:id="182" w:name="_Toc29032"/>
      <w:bookmarkStart w:id="183" w:name="_Toc217446093"/>
      <w:r>
        <w:rPr>
          <w:rFonts w:hint="eastAsia"/>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0"/>
        </w:numPr>
        <w:spacing w:after="120" w:afterLines="50" w:line="360" w:lineRule="auto"/>
        <w:outlineLvl w:val="1"/>
        <w:rPr>
          <w:rFonts w:cs="宋体" w:asciiTheme="minorEastAsia" w:hAnsiTheme="minorEastAsia" w:eastAsiaTheme="minorEastAsia"/>
          <w:b/>
          <w:bCs/>
          <w:sz w:val="36"/>
          <w:szCs w:val="36"/>
        </w:rPr>
      </w:pPr>
      <w:bookmarkStart w:id="184" w:name="_Toc22933"/>
      <w:bookmarkStart w:id="185" w:name="_Toc302"/>
      <w:bookmarkStart w:id="186" w:name="_Toc30218"/>
      <w:bookmarkStart w:id="187" w:name="_Toc8151"/>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1.1评标按照下列程序进行（公开招标资格由采购人及代理机构审查，审查标准见第28页，评审专家进行符合性审查及综合赋分评审）：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（7）对技术方面（采购需求）响应程度</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要求全面响应，不能有任何采购人不能接受的附加条件（技术方案）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（8）交货安装期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（10）质保期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（11）付款方式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bookmarkStart w:id="188" w:name="_Toc30191_WPSOffice_Level2"/>
      <w:bookmarkStart w:id="189" w:name="_Toc13791"/>
      <w:bookmarkStart w:id="190" w:name="_Toc22839"/>
      <w:bookmarkStart w:id="191" w:name="_Toc13760"/>
    </w:p>
    <w:p>
      <w:pPr>
        <w:spacing w:after="120" w:afterLines="50" w:line="360" w:lineRule="auto"/>
        <w:outlineLvl w:val="1"/>
        <w:rPr>
          <w:rFonts w:cs="宋体" w:asciiTheme="minorEastAsia" w:hAnsiTheme="minorEastAsia" w:eastAsiaTheme="minorEastAsia"/>
          <w:b/>
          <w:bCs/>
          <w:sz w:val="36"/>
          <w:szCs w:val="36"/>
        </w:rPr>
      </w:pPr>
      <w:bookmarkStart w:id="192" w:name="_Toc12920"/>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符合招标文件规定的小微企业、监狱企业、残疾人福利性单位优惠条件的投标供应商，价格给予6%的扣除，用扣除后的价格参与评审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jc w:val="center"/>
        <w:rPr>
          <w:rFonts w:cs="宋体" w:asciiTheme="minorEastAsia" w:hAnsiTheme="minorEastAsia" w:eastAsiaTheme="minorEastAsia"/>
          <w:b/>
          <w:bCs/>
          <w:sz w:val="24"/>
        </w:rPr>
        <w:sectPr>
          <w:pgSz w:w="11907" w:h="16840"/>
          <w:pgMar w:top="1474" w:right="1587" w:bottom="1474" w:left="1587" w:header="851" w:footer="992" w:gutter="0"/>
          <w:cols w:space="720" w:num="1"/>
          <w:titlePg/>
        </w:sect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r>
        <w:rPr>
          <w:rFonts w:hint="eastAsia" w:cs="宋体" w:asciiTheme="minorEastAsia" w:hAnsiTheme="minorEastAsia" w:eastAsiaTheme="minorEastAsia"/>
          <w:b/>
          <w:bCs/>
          <w:sz w:val="24"/>
        </w:rPr>
        <w:t>综合评分明细表</w:t>
      </w:r>
    </w:p>
    <w:tbl>
      <w:tblPr>
        <w:tblStyle w:val="29"/>
        <w:tblW w:w="51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7097"/>
        <w:gridCol w:w="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pct"/>
            <w:vAlign w:val="center"/>
          </w:tcPr>
          <w:p>
            <w:pPr>
              <w:jc w:val="center"/>
              <w:rPr>
                <w:rFonts w:ascii="宋体" w:hAnsi="宋体" w:cs="宋体"/>
                <w:b/>
                <w:bCs/>
                <w:szCs w:val="21"/>
              </w:rPr>
            </w:pPr>
            <w:bookmarkStart w:id="195" w:name="_Hlk59438685"/>
            <w:r>
              <w:rPr>
                <w:rFonts w:hint="eastAsia" w:ascii="宋体" w:hAnsi="宋体" w:cs="宋体"/>
                <w:b/>
                <w:bCs/>
                <w:szCs w:val="21"/>
              </w:rPr>
              <w:t>评分项</w:t>
            </w:r>
          </w:p>
        </w:tc>
        <w:tc>
          <w:tcPr>
            <w:tcW w:w="3822" w:type="pct"/>
            <w:vAlign w:val="center"/>
          </w:tcPr>
          <w:p>
            <w:pPr>
              <w:jc w:val="center"/>
              <w:rPr>
                <w:rFonts w:ascii="宋体" w:hAnsi="宋体" w:cs="宋体"/>
                <w:b/>
                <w:bCs/>
                <w:szCs w:val="21"/>
              </w:rPr>
            </w:pPr>
            <w:r>
              <w:rPr>
                <w:rFonts w:hint="eastAsia" w:ascii="宋体" w:hAnsi="宋体" w:cs="宋体"/>
                <w:b/>
                <w:bCs/>
                <w:szCs w:val="21"/>
              </w:rPr>
              <w:t>评分标准</w:t>
            </w:r>
          </w:p>
        </w:tc>
        <w:tc>
          <w:tcPr>
            <w:tcW w:w="403" w:type="pct"/>
            <w:vAlign w:val="center"/>
          </w:tcPr>
          <w:p>
            <w:pPr>
              <w:jc w:val="center"/>
              <w:rPr>
                <w:rFonts w:ascii="宋体" w:hAnsi="宋体" w:cs="宋体"/>
                <w:b/>
                <w:bCs/>
                <w:szCs w:val="21"/>
              </w:rPr>
            </w:pPr>
            <w:r>
              <w:rPr>
                <w:rFonts w:hint="eastAsia" w:ascii="宋体" w:hAnsi="宋体" w:cs="宋体"/>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75" w:type="pct"/>
            <w:vAlign w:val="center"/>
          </w:tcPr>
          <w:p>
            <w:pPr>
              <w:jc w:val="center"/>
              <w:rPr>
                <w:rFonts w:ascii="宋体" w:hAnsi="宋体" w:cs="宋体"/>
                <w:szCs w:val="21"/>
              </w:rPr>
            </w:pPr>
            <w:r>
              <w:rPr>
                <w:rFonts w:hint="eastAsia" w:ascii="宋体" w:hAnsi="宋体" w:cs="宋体"/>
                <w:szCs w:val="21"/>
              </w:rPr>
              <w:t>价格</w:t>
            </w:r>
          </w:p>
          <w:p>
            <w:pPr>
              <w:jc w:val="center"/>
              <w:rPr>
                <w:rFonts w:ascii="宋体" w:hAnsi="宋体" w:cs="宋体"/>
                <w:szCs w:val="21"/>
              </w:rPr>
            </w:pPr>
            <w:r>
              <w:rPr>
                <w:rFonts w:hint="eastAsia" w:ascii="宋体" w:hAnsi="宋体" w:cs="宋体"/>
                <w:szCs w:val="21"/>
              </w:rPr>
              <w:t>（30分）</w:t>
            </w:r>
          </w:p>
        </w:tc>
        <w:tc>
          <w:tcPr>
            <w:tcW w:w="3822" w:type="pct"/>
            <w:vAlign w:val="center"/>
          </w:tcPr>
          <w:p>
            <w:pPr>
              <w:spacing w:line="276" w:lineRule="auto"/>
              <w:ind w:firstLine="420" w:firstLineChars="200"/>
              <w:rPr>
                <w:rFonts w:ascii="宋体" w:hAnsi="宋体" w:cs="宋体"/>
                <w:szCs w:val="21"/>
              </w:rPr>
            </w:pPr>
            <w:r>
              <w:rPr>
                <w:rFonts w:hint="eastAsia" w:ascii="宋体" w:hAnsi="宋体" w:cs="宋体"/>
                <w:szCs w:val="21"/>
              </w:rPr>
              <w:t>采用低价优先法计算，即满足招标文件要求且投标价格最低的投标报价为评标基准价，其价格为30分。其他投标人的价格分按照下列公式计算：</w:t>
            </w:r>
          </w:p>
          <w:p>
            <w:pPr>
              <w:spacing w:line="276" w:lineRule="auto"/>
              <w:rPr>
                <w:rFonts w:ascii="宋体" w:hAnsi="宋体" w:cs="宋体"/>
                <w:szCs w:val="21"/>
              </w:rPr>
            </w:pPr>
            <w:r>
              <w:rPr>
                <w:rFonts w:hint="eastAsia" w:ascii="宋体" w:hAnsi="宋体" w:cs="宋体"/>
                <w:szCs w:val="21"/>
              </w:rPr>
              <w:t>投标报价得分＝（评标基准价/投标报价）×30。</w:t>
            </w:r>
          </w:p>
        </w:tc>
        <w:tc>
          <w:tcPr>
            <w:tcW w:w="403" w:type="pct"/>
            <w:vAlign w:val="center"/>
          </w:tcPr>
          <w:p>
            <w:pPr>
              <w:jc w:val="center"/>
              <w:rPr>
                <w:rFonts w:ascii="宋体" w:hAnsi="宋体" w:cs="宋体"/>
                <w:szCs w:val="21"/>
              </w:rPr>
            </w:pPr>
            <w:r>
              <w:rPr>
                <w:rFonts w:hint="eastAsia" w:ascii="宋体" w:hAnsi="宋体" w:cs="宋体"/>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775" w:type="pct"/>
            <w:vAlign w:val="center"/>
          </w:tcPr>
          <w:p>
            <w:pPr>
              <w:topLinePunct/>
              <w:jc w:val="center"/>
              <w:rPr>
                <w:rFonts w:ascii="宋体" w:hAnsi="宋体" w:cs="宋体"/>
                <w:szCs w:val="21"/>
              </w:rPr>
            </w:pPr>
            <w:r>
              <w:rPr>
                <w:rFonts w:hint="eastAsia" w:ascii="宋体" w:hAnsi="宋体" w:cs="宋体"/>
                <w:szCs w:val="21"/>
              </w:rPr>
              <w:t>技术方案</w:t>
            </w:r>
          </w:p>
          <w:p>
            <w:pPr>
              <w:pStyle w:val="2"/>
              <w:jc w:val="center"/>
              <w:rPr>
                <w:rFonts w:ascii="宋体" w:hAnsi="宋体" w:cs="宋体"/>
                <w:szCs w:val="21"/>
              </w:rPr>
            </w:pPr>
            <w:r>
              <w:rPr>
                <w:rFonts w:hint="eastAsia" w:ascii="宋体" w:hAnsi="宋体" w:cs="宋体"/>
                <w:szCs w:val="21"/>
              </w:rPr>
              <w:t>（30分）</w:t>
            </w:r>
          </w:p>
        </w:tc>
        <w:tc>
          <w:tcPr>
            <w:tcW w:w="3822" w:type="pct"/>
            <w:vAlign w:val="center"/>
          </w:tcPr>
          <w:p>
            <w:pPr>
              <w:spacing w:line="276" w:lineRule="auto"/>
              <w:rPr>
                <w:rFonts w:ascii="宋体" w:hAnsi="宋体" w:cs="宋体"/>
                <w:szCs w:val="21"/>
              </w:rPr>
            </w:pPr>
            <w:r>
              <w:rPr>
                <w:rFonts w:hint="eastAsia" w:ascii="宋体" w:hAnsi="宋体" w:cs="宋体"/>
                <w:szCs w:val="21"/>
              </w:rPr>
              <w:t>1、技术方案产品选型合理，相关资料完整，所投产品功能满足要求且操作方便，安全可靠，技术资料、产品彩页清晰、功能描述详细、技术参数清楚明确、整体解决方案符合采购要求：</w:t>
            </w:r>
          </w:p>
          <w:p>
            <w:pPr>
              <w:pStyle w:val="2"/>
              <w:spacing w:after="0" w:line="276"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方案描述详细，系统功能完全满足采购需求得(</w:t>
            </w:r>
            <w:r>
              <w:rPr>
                <w:rFonts w:ascii="宋体" w:hAnsi="宋体" w:cs="宋体"/>
                <w:szCs w:val="21"/>
              </w:rPr>
              <w:t>14</w:t>
            </w:r>
            <w:r>
              <w:rPr>
                <w:rFonts w:hint="eastAsia" w:ascii="宋体" w:hAnsi="宋体" w:cs="宋体"/>
                <w:szCs w:val="21"/>
              </w:rPr>
              <w:t>-</w:t>
            </w:r>
            <w:r>
              <w:rPr>
                <w:rFonts w:ascii="宋体" w:hAnsi="宋体" w:cs="宋体"/>
                <w:szCs w:val="21"/>
              </w:rPr>
              <w:t>20</w:t>
            </w:r>
            <w:r>
              <w:rPr>
                <w:rFonts w:hint="eastAsia" w:ascii="宋体" w:hAnsi="宋体" w:cs="宋体"/>
                <w:szCs w:val="21"/>
              </w:rPr>
              <w:t>】分；</w:t>
            </w:r>
          </w:p>
          <w:p>
            <w:pPr>
              <w:pStyle w:val="2"/>
              <w:spacing w:after="0" w:line="276" w:lineRule="auto"/>
              <w:rPr>
                <w:rFonts w:ascii="宋体" w:hAnsi="宋体" w:cs="宋体"/>
                <w:szCs w:val="21"/>
              </w:rPr>
            </w:pPr>
            <w:r>
              <w:rPr>
                <w:rFonts w:hint="eastAsia" w:ascii="宋体" w:hAnsi="宋体" w:cs="宋体"/>
                <w:szCs w:val="21"/>
              </w:rPr>
              <w:t>②方案描述较为详细，系统功能满足采购需求得(</w:t>
            </w:r>
            <w:r>
              <w:rPr>
                <w:rFonts w:ascii="宋体" w:hAnsi="宋体" w:cs="宋体"/>
                <w:szCs w:val="21"/>
              </w:rPr>
              <w:t>7</w:t>
            </w:r>
            <w:r>
              <w:rPr>
                <w:rFonts w:hint="eastAsia" w:ascii="宋体" w:hAnsi="宋体" w:cs="宋体"/>
                <w:szCs w:val="21"/>
              </w:rPr>
              <w:t>-</w:t>
            </w:r>
            <w:r>
              <w:rPr>
                <w:rFonts w:ascii="宋体" w:hAnsi="宋体" w:cs="宋体"/>
                <w:szCs w:val="21"/>
              </w:rPr>
              <w:t>14</w:t>
            </w:r>
            <w:r>
              <w:rPr>
                <w:rFonts w:hint="eastAsia" w:ascii="宋体" w:hAnsi="宋体" w:cs="宋体"/>
                <w:szCs w:val="21"/>
              </w:rPr>
              <w:t>】分；</w:t>
            </w:r>
          </w:p>
          <w:p>
            <w:pPr>
              <w:pStyle w:val="2"/>
              <w:spacing w:after="0" w:line="276" w:lineRule="auto"/>
              <w:rPr>
                <w:rFonts w:ascii="宋体" w:hAnsi="宋体" w:cs="宋体"/>
                <w:szCs w:val="21"/>
              </w:rPr>
            </w:pPr>
            <w:r>
              <w:rPr>
                <w:rFonts w:hint="eastAsia" w:ascii="宋体" w:hAnsi="宋体" w:cs="宋体"/>
                <w:szCs w:val="21"/>
              </w:rPr>
              <w:t>③方案描述不全面，系统功能基本满足采购需求得【</w:t>
            </w:r>
            <w:r>
              <w:rPr>
                <w:rFonts w:ascii="宋体" w:hAnsi="宋体" w:cs="宋体"/>
                <w:szCs w:val="21"/>
              </w:rPr>
              <w:t>1</w:t>
            </w:r>
            <w:r>
              <w:rPr>
                <w:rFonts w:hint="eastAsia" w:ascii="宋体" w:hAnsi="宋体" w:cs="宋体"/>
                <w:szCs w:val="21"/>
              </w:rPr>
              <w:t>-</w:t>
            </w:r>
            <w:r>
              <w:rPr>
                <w:rFonts w:ascii="宋体" w:hAnsi="宋体" w:cs="宋体"/>
                <w:szCs w:val="21"/>
              </w:rPr>
              <w:t>7</w:t>
            </w:r>
            <w:r>
              <w:rPr>
                <w:rFonts w:hint="eastAsia" w:ascii="宋体" w:hAnsi="宋体" w:cs="宋体"/>
                <w:szCs w:val="21"/>
              </w:rPr>
              <w:t>】分；</w:t>
            </w:r>
          </w:p>
          <w:p>
            <w:pPr>
              <w:pStyle w:val="2"/>
              <w:spacing w:after="0" w:line="276" w:lineRule="auto"/>
              <w:ind w:firstLine="210" w:firstLineChars="100"/>
              <w:rPr>
                <w:rFonts w:ascii="宋体" w:hAnsi="宋体" w:cs="宋体"/>
                <w:szCs w:val="21"/>
              </w:rPr>
            </w:pPr>
            <w:r>
              <w:rPr>
                <w:rFonts w:hint="eastAsia" w:ascii="宋体" w:hAnsi="宋体" w:cs="宋体"/>
                <w:szCs w:val="21"/>
              </w:rPr>
              <w:t>未提供不得分。</w:t>
            </w:r>
          </w:p>
          <w:p>
            <w:pPr>
              <w:spacing w:line="276" w:lineRule="auto"/>
              <w:rPr>
                <w:rFonts w:ascii="宋体" w:hAnsi="宋体" w:cs="宋体"/>
                <w:szCs w:val="21"/>
              </w:rPr>
            </w:pPr>
            <w:r>
              <w:rPr>
                <w:rFonts w:ascii="宋体" w:hAnsi="宋体" w:cs="宋体"/>
                <w:szCs w:val="21"/>
              </w:rPr>
              <w:t>2</w:t>
            </w:r>
            <w:r>
              <w:rPr>
                <w:rFonts w:hint="eastAsia" w:ascii="宋体" w:hAnsi="宋体" w:cs="宋体"/>
                <w:szCs w:val="21"/>
              </w:rPr>
              <w:t xml:space="preserve">、技术指标10分  </w:t>
            </w:r>
          </w:p>
          <w:p>
            <w:pPr>
              <w:spacing w:line="276" w:lineRule="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技术指标、参数完全满足招标文件规定的相应技术指标、参数的，计10分；</w:t>
            </w:r>
          </w:p>
          <w:p>
            <w:pPr>
              <w:spacing w:line="276" w:lineRule="auto"/>
              <w:rPr>
                <w:rFonts w:ascii="宋体" w:hAnsi="宋体" w:cs="宋体"/>
                <w:szCs w:val="21"/>
              </w:rPr>
            </w:pPr>
            <w:r>
              <w:rPr>
                <w:rFonts w:hint="eastAsia" w:ascii="宋体" w:hAnsi="宋体" w:cs="宋体"/>
                <w:szCs w:val="21"/>
              </w:rPr>
              <w:t>②一般性技术指标、参数每有一项不满足扣1分，直到扣完为止。</w:t>
            </w:r>
          </w:p>
          <w:p>
            <w:pPr>
              <w:pStyle w:val="2"/>
            </w:pPr>
            <w:r>
              <w:rPr>
                <w:rFonts w:hint="eastAsia"/>
              </w:rPr>
              <w:t>（</w:t>
            </w:r>
            <w:r>
              <w:rPr>
                <w:rFonts w:hint="eastAsia" w:ascii="宋体" w:hAnsi="宋体" w:cs="宋体"/>
                <w:szCs w:val="21"/>
              </w:rPr>
              <w:t>带★</w:t>
            </w:r>
            <w:r>
              <w:rPr>
                <w:rFonts w:hint="eastAsia"/>
              </w:rPr>
              <w:t>号条款为实质性条款，负偏离将视为不满足采购需求）</w:t>
            </w:r>
          </w:p>
        </w:tc>
        <w:tc>
          <w:tcPr>
            <w:tcW w:w="403" w:type="pct"/>
            <w:vAlign w:val="center"/>
          </w:tcPr>
          <w:p>
            <w:pPr>
              <w:jc w:val="center"/>
              <w:rPr>
                <w:rFonts w:ascii="宋体" w:hAnsi="宋体" w:cs="宋体"/>
                <w:szCs w:val="21"/>
              </w:rPr>
            </w:pPr>
            <w:r>
              <w:rPr>
                <w:rFonts w:hint="eastAsia" w:ascii="宋体" w:hAnsi="宋体" w:cs="宋体"/>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75" w:type="pct"/>
            <w:vMerge w:val="restart"/>
            <w:vAlign w:val="center"/>
          </w:tcPr>
          <w:p>
            <w:pPr>
              <w:jc w:val="center"/>
              <w:rPr>
                <w:rFonts w:ascii="宋体" w:hAnsi="宋体" w:cs="宋体"/>
                <w:szCs w:val="21"/>
              </w:rPr>
            </w:pPr>
            <w:r>
              <w:rPr>
                <w:rFonts w:hint="eastAsia" w:ascii="宋体" w:hAnsi="宋体" w:cs="宋体"/>
                <w:szCs w:val="21"/>
              </w:rPr>
              <w:t>实施方案</w:t>
            </w:r>
          </w:p>
          <w:p>
            <w:pPr>
              <w:pStyle w:val="2"/>
              <w:jc w:val="center"/>
              <w:rPr>
                <w:rFonts w:ascii="宋体" w:hAnsi="宋体" w:cs="宋体"/>
                <w:szCs w:val="21"/>
              </w:rPr>
            </w:pPr>
            <w:r>
              <w:rPr>
                <w:rFonts w:hint="eastAsia" w:ascii="宋体" w:hAnsi="宋体" w:cs="宋体"/>
                <w:bCs/>
                <w:szCs w:val="21"/>
              </w:rPr>
              <w:t>（12分）</w:t>
            </w:r>
          </w:p>
        </w:tc>
        <w:tc>
          <w:tcPr>
            <w:tcW w:w="3822" w:type="pct"/>
            <w:vAlign w:val="center"/>
          </w:tcPr>
          <w:p>
            <w:pPr>
              <w:spacing w:line="276" w:lineRule="auto"/>
              <w:rPr>
                <w:rFonts w:ascii="宋体" w:hAnsi="宋体" w:cs="宋体"/>
                <w:szCs w:val="21"/>
              </w:rPr>
            </w:pPr>
            <w:r>
              <w:rPr>
                <w:rFonts w:hint="eastAsia" w:ascii="宋体" w:hAnsi="宋体" w:cs="宋体"/>
                <w:szCs w:val="21"/>
              </w:rPr>
              <w:t>有完整规范的项目实施方案。整个项目的实施组织机构、人员安排有具体方案，分工合理、责任明确，并能够处理各类紧急事项措施，项目进度安排合理，能够在承诺的工期内按质按量完成项目。</w:t>
            </w:r>
          </w:p>
          <w:p>
            <w:pPr>
              <w:spacing w:line="276"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方案内容具体、完整、详细、全面,【4-8】分；</w:t>
            </w:r>
          </w:p>
          <w:p>
            <w:pPr>
              <w:spacing w:line="276" w:lineRule="auto"/>
              <w:rPr>
                <w:rFonts w:ascii="宋体" w:hAnsi="宋体" w:cs="宋体"/>
                <w:szCs w:val="21"/>
              </w:rPr>
            </w:pPr>
            <w:r>
              <w:rPr>
                <w:rFonts w:hint="eastAsia" w:ascii="宋体" w:hAnsi="宋体" w:cs="宋体"/>
                <w:szCs w:val="21"/>
              </w:rPr>
              <w:t>②方案内容欠缺、薄弱,【1-4）分；</w:t>
            </w:r>
          </w:p>
          <w:p>
            <w:pPr>
              <w:spacing w:line="276" w:lineRule="auto"/>
            </w:pPr>
            <w:r>
              <w:rPr>
                <w:rFonts w:hint="eastAsia" w:ascii="宋体" w:hAnsi="宋体" w:cs="宋体"/>
                <w:szCs w:val="21"/>
              </w:rPr>
              <w:t>③未提供方案不得分。</w:t>
            </w:r>
          </w:p>
        </w:tc>
        <w:tc>
          <w:tcPr>
            <w:tcW w:w="403" w:type="pct"/>
            <w:vAlign w:val="center"/>
          </w:tcPr>
          <w:p>
            <w:pPr>
              <w:jc w:val="center"/>
              <w:rPr>
                <w:rFonts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75" w:type="pct"/>
            <w:vMerge w:val="continue"/>
            <w:vAlign w:val="center"/>
          </w:tcPr>
          <w:p>
            <w:pPr>
              <w:jc w:val="center"/>
              <w:rPr>
                <w:rFonts w:ascii="宋体" w:hAnsi="宋体" w:cs="宋体"/>
                <w:szCs w:val="21"/>
              </w:rPr>
            </w:pPr>
          </w:p>
        </w:tc>
        <w:tc>
          <w:tcPr>
            <w:tcW w:w="3822" w:type="pct"/>
            <w:vAlign w:val="center"/>
          </w:tcPr>
          <w:p>
            <w:pPr>
              <w:spacing w:line="276" w:lineRule="auto"/>
              <w:rPr>
                <w:rFonts w:ascii="宋体" w:hAnsi="宋体" w:cs="宋体"/>
                <w:szCs w:val="21"/>
              </w:rPr>
            </w:pPr>
            <w:r>
              <w:rPr>
                <w:rFonts w:ascii="宋体" w:hAnsi="宋体" w:cs="宋体"/>
                <w:szCs w:val="21"/>
              </w:rPr>
              <w:t>人员配备：</w:t>
            </w:r>
          </w:p>
          <w:p>
            <w:pPr>
              <w:spacing w:line="276" w:lineRule="auto"/>
              <w:rPr>
                <w:rFonts w:ascii="宋体" w:hAnsi="宋体" w:cs="宋体"/>
                <w:szCs w:val="21"/>
              </w:rPr>
            </w:pPr>
            <w:r>
              <w:rPr>
                <w:rFonts w:ascii="宋体" w:hAnsi="宋体" w:cs="宋体"/>
                <w:szCs w:val="21"/>
              </w:rPr>
              <w:t>1</w:t>
            </w:r>
            <w:r>
              <w:rPr>
                <w:rFonts w:hint="eastAsia" w:ascii="宋体" w:hAnsi="宋体" w:cs="宋体"/>
                <w:szCs w:val="21"/>
              </w:rPr>
              <w:t>、拟派项目经理同时具有信息系统项目管理师（高级）证书和PMP认证证书的，得2分，否则不得分。</w:t>
            </w:r>
          </w:p>
          <w:p>
            <w:pPr>
              <w:spacing w:line="276" w:lineRule="auto"/>
              <w:rPr>
                <w:rFonts w:ascii="宋体" w:hAnsi="宋体" w:cs="宋体"/>
                <w:szCs w:val="21"/>
              </w:rPr>
            </w:pPr>
            <w:r>
              <w:rPr>
                <w:rFonts w:ascii="宋体" w:hAnsi="宋体" w:cs="宋体"/>
                <w:szCs w:val="21"/>
              </w:rPr>
              <w:t>2</w:t>
            </w:r>
            <w:r>
              <w:rPr>
                <w:rFonts w:hint="eastAsia" w:ascii="宋体" w:hAnsi="宋体" w:cs="宋体"/>
                <w:szCs w:val="21"/>
              </w:rPr>
              <w:t>、项目组成员具有高级技术职称证书的，得2分，中级职称得1分；</w:t>
            </w:r>
          </w:p>
          <w:p>
            <w:pPr>
              <w:spacing w:line="276" w:lineRule="auto"/>
            </w:pPr>
            <w:r>
              <w:rPr>
                <w:rFonts w:hint="eastAsia" w:ascii="宋体" w:hAnsi="宋体" w:cs="宋体"/>
                <w:szCs w:val="21"/>
              </w:rPr>
              <w:t>（以上人员须提供近半年的社保证明材料，否则该项不得分）</w:t>
            </w:r>
          </w:p>
        </w:tc>
        <w:tc>
          <w:tcPr>
            <w:tcW w:w="403" w:type="pct"/>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pct"/>
            <w:vAlign w:val="center"/>
          </w:tcPr>
          <w:p>
            <w:pPr>
              <w:jc w:val="center"/>
              <w:rPr>
                <w:rFonts w:ascii="宋体" w:hAnsi="宋体" w:cs="宋体"/>
                <w:szCs w:val="21"/>
              </w:rPr>
            </w:pPr>
            <w:r>
              <w:rPr>
                <w:rFonts w:hint="eastAsia" w:ascii="宋体" w:hAnsi="宋体" w:cs="宋体"/>
                <w:szCs w:val="21"/>
              </w:rPr>
              <w:t>培训方案</w:t>
            </w:r>
          </w:p>
          <w:p>
            <w:pPr>
              <w:jc w:val="center"/>
              <w:rPr>
                <w:rFonts w:ascii="宋体" w:hAnsi="宋体" w:cs="宋体"/>
                <w:szCs w:val="21"/>
              </w:rPr>
            </w:pPr>
            <w:r>
              <w:rPr>
                <w:rFonts w:hint="eastAsia" w:ascii="宋体" w:hAnsi="宋体" w:cs="宋体"/>
                <w:szCs w:val="21"/>
              </w:rPr>
              <w:t>（4分）</w:t>
            </w:r>
          </w:p>
        </w:tc>
        <w:tc>
          <w:tcPr>
            <w:tcW w:w="3822" w:type="pct"/>
            <w:vAlign w:val="center"/>
          </w:tcPr>
          <w:p>
            <w:pPr>
              <w:spacing w:line="276" w:lineRule="auto"/>
              <w:rPr>
                <w:rFonts w:ascii="宋体" w:hAnsi="宋体" w:cs="宋体"/>
                <w:szCs w:val="21"/>
              </w:rPr>
            </w:pPr>
            <w:r>
              <w:rPr>
                <w:rFonts w:hint="eastAsia" w:ascii="宋体" w:hAnsi="宋体" w:cs="宋体"/>
                <w:szCs w:val="21"/>
              </w:rPr>
              <w:t>能根据采购人要求制定切实可行的培训方案，提供切实可行的培训计划，并负责为采购人培训操作维护人员，并有完整的培训方案，列出详细的培训内容、培训方式等说明。确保采购人能够熟练掌握系统的技术操作和简单维护。</w:t>
            </w:r>
          </w:p>
          <w:p>
            <w:pPr>
              <w:spacing w:line="276"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方案内容具体、完整、详细、全面,【3-4】分；</w:t>
            </w:r>
          </w:p>
          <w:p>
            <w:pPr>
              <w:spacing w:line="276" w:lineRule="auto"/>
              <w:rPr>
                <w:rFonts w:ascii="宋体" w:hAnsi="宋体" w:cs="宋体"/>
                <w:szCs w:val="21"/>
              </w:rPr>
            </w:pPr>
            <w:r>
              <w:rPr>
                <w:rFonts w:hint="eastAsia" w:ascii="宋体" w:hAnsi="宋体" w:cs="宋体"/>
                <w:szCs w:val="21"/>
              </w:rPr>
              <w:t>②方案内容欠缺、薄弱的, 【1-3）分；</w:t>
            </w:r>
          </w:p>
          <w:p>
            <w:pPr>
              <w:spacing w:line="276" w:lineRule="auto"/>
            </w:pPr>
            <w:r>
              <w:rPr>
                <w:rFonts w:hint="eastAsia" w:ascii="宋体" w:hAnsi="宋体" w:cs="宋体"/>
                <w:szCs w:val="21"/>
              </w:rPr>
              <w:t>③未提供方案不得分。</w:t>
            </w:r>
          </w:p>
        </w:tc>
        <w:tc>
          <w:tcPr>
            <w:tcW w:w="403" w:type="pct"/>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75" w:type="pct"/>
            <w:vAlign w:val="center"/>
          </w:tcPr>
          <w:p>
            <w:pPr>
              <w:jc w:val="center"/>
              <w:rPr>
                <w:rFonts w:ascii="宋体" w:hAnsi="宋体" w:cs="宋体"/>
                <w:szCs w:val="21"/>
              </w:rPr>
            </w:pPr>
            <w:r>
              <w:rPr>
                <w:rFonts w:hint="eastAsia" w:ascii="宋体" w:hAnsi="宋体" w:cs="宋体"/>
                <w:szCs w:val="21"/>
              </w:rPr>
              <w:t>售后服务</w:t>
            </w:r>
          </w:p>
          <w:p>
            <w:pPr>
              <w:jc w:val="center"/>
              <w:rPr>
                <w:rFonts w:ascii="宋体" w:hAnsi="宋体" w:cs="宋体"/>
                <w:szCs w:val="21"/>
              </w:rPr>
            </w:pPr>
            <w:r>
              <w:rPr>
                <w:rFonts w:hint="eastAsia" w:ascii="宋体" w:hAnsi="宋体" w:cs="宋体"/>
                <w:szCs w:val="21"/>
              </w:rPr>
              <w:t>体系及承诺</w:t>
            </w:r>
          </w:p>
          <w:p>
            <w:pPr>
              <w:jc w:val="center"/>
              <w:rPr>
                <w:rFonts w:ascii="宋体" w:hAnsi="宋体" w:cs="宋体"/>
                <w:szCs w:val="21"/>
              </w:rPr>
            </w:pPr>
            <w:r>
              <w:rPr>
                <w:rFonts w:hint="eastAsia" w:ascii="宋体" w:hAnsi="宋体" w:cs="宋体"/>
                <w:szCs w:val="21"/>
              </w:rPr>
              <w:t>（8分）</w:t>
            </w:r>
          </w:p>
        </w:tc>
        <w:tc>
          <w:tcPr>
            <w:tcW w:w="3822" w:type="pct"/>
            <w:vAlign w:val="center"/>
          </w:tcPr>
          <w:p>
            <w:pPr>
              <w:spacing w:line="276" w:lineRule="auto"/>
              <w:rPr>
                <w:rFonts w:ascii="宋体" w:hAnsi="宋体" w:cs="宋体"/>
                <w:szCs w:val="21"/>
              </w:rPr>
            </w:pPr>
            <w:r>
              <w:rPr>
                <w:rFonts w:hint="eastAsia" w:ascii="宋体" w:hAnsi="宋体" w:cs="宋体"/>
                <w:szCs w:val="21"/>
              </w:rPr>
              <w:t>1、</w:t>
            </w:r>
            <w:r>
              <w:rPr>
                <w:rFonts w:ascii="宋体" w:hAnsi="宋体" w:cs="宋体"/>
                <w:szCs w:val="21"/>
              </w:rPr>
              <w:t>售后服务保障体系及措施完整，</w:t>
            </w:r>
            <w:r>
              <w:rPr>
                <w:rFonts w:hint="eastAsia" w:ascii="宋体" w:hAnsi="宋体" w:cs="宋体"/>
                <w:szCs w:val="21"/>
              </w:rPr>
              <w:t>日常检查、</w:t>
            </w:r>
            <w:r>
              <w:rPr>
                <w:rFonts w:ascii="宋体" w:hAnsi="宋体" w:cs="宋体"/>
                <w:szCs w:val="21"/>
              </w:rPr>
              <w:t>技术支持能力强，服务响应快，响应程度高或优于采购需求，得</w:t>
            </w:r>
            <w:r>
              <w:rPr>
                <w:rFonts w:hint="eastAsia" w:ascii="宋体" w:hAnsi="宋体" w:cs="宋体"/>
                <w:szCs w:val="21"/>
              </w:rPr>
              <w:t>(3-5</w:t>
            </w:r>
            <w:r>
              <w:rPr>
                <w:rFonts w:ascii="宋体" w:hAnsi="宋体" w:cs="宋体"/>
                <w:szCs w:val="21"/>
              </w:rPr>
              <w:t>】分；售后服务保障体系及措施</w:t>
            </w:r>
            <w:r>
              <w:rPr>
                <w:rFonts w:hint="eastAsia" w:ascii="宋体" w:hAnsi="宋体" w:cs="宋体"/>
                <w:szCs w:val="21"/>
              </w:rPr>
              <w:t>基本</w:t>
            </w:r>
            <w:r>
              <w:rPr>
                <w:rFonts w:ascii="宋体" w:hAnsi="宋体" w:cs="宋体"/>
                <w:szCs w:val="21"/>
              </w:rPr>
              <w:t>满足采购要求，但技术支持能力</w:t>
            </w:r>
            <w:r>
              <w:rPr>
                <w:rFonts w:hint="eastAsia" w:ascii="宋体" w:hAnsi="宋体" w:cs="宋体"/>
                <w:szCs w:val="21"/>
              </w:rPr>
              <w:t>和</w:t>
            </w:r>
            <w:r>
              <w:rPr>
                <w:rFonts w:ascii="宋体" w:hAnsi="宋体" w:cs="宋体"/>
                <w:szCs w:val="21"/>
              </w:rPr>
              <w:t>服务响应</w:t>
            </w:r>
            <w:r>
              <w:rPr>
                <w:rFonts w:hint="eastAsia" w:ascii="宋体" w:hAnsi="宋体" w:cs="宋体"/>
                <w:szCs w:val="21"/>
              </w:rPr>
              <w:t>速度</w:t>
            </w:r>
            <w:r>
              <w:rPr>
                <w:rFonts w:ascii="宋体" w:hAnsi="宋体" w:cs="宋体"/>
                <w:szCs w:val="21"/>
              </w:rPr>
              <w:t>一般，得【</w:t>
            </w:r>
            <w:r>
              <w:rPr>
                <w:rFonts w:hint="eastAsia" w:ascii="宋体" w:hAnsi="宋体" w:cs="宋体"/>
                <w:szCs w:val="21"/>
              </w:rPr>
              <w:t>1-3)分。</w:t>
            </w:r>
          </w:p>
          <w:p>
            <w:pPr>
              <w:spacing w:line="276" w:lineRule="auto"/>
              <w:rPr>
                <w:rFonts w:ascii="宋体" w:hAnsi="宋体" w:cs="宋体"/>
                <w:szCs w:val="21"/>
              </w:rPr>
            </w:pPr>
            <w:r>
              <w:rPr>
                <w:rFonts w:hint="eastAsia" w:ascii="宋体" w:hAnsi="宋体" w:cs="宋体"/>
                <w:szCs w:val="21"/>
              </w:rPr>
              <w:t>2、应急预案，系统运行期间各类紧急情况下的应急保障措施（举例：疫情期间）、与相关主管部门的协调措施。根据响应情况赋分【1-3】分。</w:t>
            </w:r>
          </w:p>
          <w:p>
            <w:r>
              <w:rPr>
                <w:rFonts w:hint="eastAsia" w:ascii="宋体" w:hAnsi="宋体" w:cs="宋体"/>
                <w:szCs w:val="21"/>
              </w:rPr>
              <w:t>（</w:t>
            </w:r>
            <w:r>
              <w:rPr>
                <w:rFonts w:ascii="宋体" w:hAnsi="宋体" w:cs="宋体"/>
                <w:szCs w:val="21"/>
              </w:rPr>
              <w:t>售后服务保障体系及措施、应急预案</w:t>
            </w:r>
            <w:r>
              <w:rPr>
                <w:rFonts w:hint="eastAsia" w:ascii="宋体" w:hAnsi="宋体" w:cs="宋体"/>
                <w:szCs w:val="21"/>
              </w:rPr>
              <w:t>未提供</w:t>
            </w:r>
            <w:r>
              <w:rPr>
                <w:rFonts w:ascii="宋体" w:hAnsi="宋体" w:cs="宋体"/>
                <w:szCs w:val="21"/>
              </w:rPr>
              <w:t>不得分。</w:t>
            </w:r>
            <w:r>
              <w:rPr>
                <w:rFonts w:hint="eastAsia" w:ascii="宋体" w:hAnsi="宋体" w:cs="宋体"/>
                <w:szCs w:val="21"/>
              </w:rPr>
              <w:t>）</w:t>
            </w:r>
          </w:p>
        </w:tc>
        <w:tc>
          <w:tcPr>
            <w:tcW w:w="403" w:type="pct"/>
            <w:vAlign w:val="center"/>
          </w:tcPr>
          <w:p>
            <w:pPr>
              <w:jc w:val="center"/>
              <w:rPr>
                <w:rFonts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775" w:type="pct"/>
            <w:vAlign w:val="center"/>
          </w:tcPr>
          <w:p>
            <w:pPr>
              <w:pStyle w:val="2"/>
              <w:jc w:val="center"/>
              <w:rPr>
                <w:rFonts w:ascii="宋体" w:hAnsi="宋体" w:cs="宋体"/>
                <w:szCs w:val="21"/>
              </w:rPr>
            </w:pPr>
            <w:r>
              <w:rPr>
                <w:rFonts w:hint="eastAsia" w:ascii="宋体" w:hAnsi="宋体" w:cs="宋体"/>
                <w:szCs w:val="21"/>
              </w:rPr>
              <w:t>企业实力</w:t>
            </w:r>
          </w:p>
          <w:p>
            <w:pPr>
              <w:pStyle w:val="2"/>
              <w:jc w:val="center"/>
              <w:rPr>
                <w:rFonts w:ascii="宋体" w:hAnsi="宋体" w:cs="宋体"/>
                <w:szCs w:val="21"/>
              </w:rPr>
            </w:pPr>
            <w:r>
              <w:rPr>
                <w:rFonts w:hint="eastAsia" w:ascii="宋体" w:hAnsi="宋体" w:cs="宋体"/>
                <w:szCs w:val="21"/>
              </w:rPr>
              <w:t>（8分）</w:t>
            </w:r>
          </w:p>
        </w:tc>
        <w:tc>
          <w:tcPr>
            <w:tcW w:w="3822" w:type="pct"/>
            <w:vAlign w:val="center"/>
          </w:tcPr>
          <w:p>
            <w:pPr>
              <w:spacing w:line="276" w:lineRule="auto"/>
            </w:pPr>
            <w:r>
              <w:rPr>
                <w:rFonts w:hint="eastAsia"/>
              </w:rPr>
              <w:t>1、提供软件企业证书、投标产品软件著作权证书和软件测评报告（省级或省级以上软件评测中心出具），投标文件提供以上三项证书的计3分，缺少一项扣1分。</w:t>
            </w:r>
          </w:p>
          <w:p>
            <w:pPr>
              <w:spacing w:line="276" w:lineRule="auto"/>
            </w:pPr>
            <w:r>
              <w:rPr>
                <w:rFonts w:hint="eastAsia"/>
              </w:rPr>
              <w:t>2、提供ISO9001 质量管理体系认证证书、IS014001 环境管理体系认证证书及ISO45001职业健康安全管理体系认证证书，提供以上证书的计3分，缺少任意一项扣1分。</w:t>
            </w:r>
          </w:p>
          <w:p>
            <w:pPr>
              <w:spacing w:line="276" w:lineRule="auto"/>
            </w:pPr>
            <w:r>
              <w:rPr>
                <w:rFonts w:hint="eastAsia"/>
              </w:rPr>
              <w:t>3、提供ISO/IEC20000-1信息技术服务管理体系认证证书，计2分。</w:t>
            </w:r>
          </w:p>
          <w:p>
            <w:pPr>
              <w:spacing w:line="276" w:lineRule="auto"/>
              <w:ind w:firstLine="2730" w:firstLineChars="1300"/>
            </w:pPr>
            <w:r>
              <w:rPr>
                <w:rFonts w:hint="eastAsia" w:ascii="宋体" w:hAnsi="宋体" w:cs="宋体"/>
                <w:szCs w:val="21"/>
              </w:rPr>
              <w:t>（提供原件备查）</w:t>
            </w:r>
          </w:p>
        </w:tc>
        <w:tc>
          <w:tcPr>
            <w:tcW w:w="403" w:type="pct"/>
            <w:vAlign w:val="center"/>
          </w:tcPr>
          <w:p>
            <w:pPr>
              <w:jc w:val="center"/>
              <w:rPr>
                <w:rFonts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pct"/>
            <w:vAlign w:val="center"/>
          </w:tcPr>
          <w:p>
            <w:pPr>
              <w:jc w:val="center"/>
              <w:rPr>
                <w:rFonts w:ascii="宋体" w:hAnsi="宋体" w:cs="宋体"/>
                <w:szCs w:val="21"/>
              </w:rPr>
            </w:pPr>
            <w:r>
              <w:rPr>
                <w:rFonts w:hint="eastAsia" w:ascii="宋体" w:hAnsi="宋体" w:cs="宋体"/>
                <w:szCs w:val="21"/>
              </w:rPr>
              <w:t>业绩</w:t>
            </w:r>
          </w:p>
          <w:p>
            <w:pPr>
              <w:pStyle w:val="2"/>
              <w:jc w:val="center"/>
              <w:rPr>
                <w:rFonts w:ascii="宋体" w:hAnsi="宋体" w:cs="宋体"/>
                <w:szCs w:val="21"/>
              </w:rPr>
            </w:pPr>
            <w:r>
              <w:rPr>
                <w:rFonts w:hint="eastAsia" w:ascii="宋体" w:hAnsi="宋体" w:cs="宋体"/>
                <w:bCs/>
                <w:szCs w:val="21"/>
              </w:rPr>
              <w:t>（8分）</w:t>
            </w:r>
          </w:p>
        </w:tc>
        <w:tc>
          <w:tcPr>
            <w:tcW w:w="3822" w:type="pct"/>
            <w:vAlign w:val="center"/>
          </w:tcPr>
          <w:p>
            <w:pPr>
              <w:pStyle w:val="2"/>
              <w:adjustRightInd w:val="0"/>
              <w:snapToGrid w:val="0"/>
              <w:spacing w:line="276" w:lineRule="auto"/>
              <w:rPr>
                <w:rFonts w:ascii="宋体" w:hAnsi="宋体" w:cs="宋体"/>
                <w:szCs w:val="21"/>
              </w:rPr>
            </w:pPr>
            <w:r>
              <w:rPr>
                <w:rFonts w:hint="eastAsia" w:ascii="宋体" w:hAnsi="宋体" w:cs="宋体"/>
                <w:szCs w:val="21"/>
              </w:rPr>
              <w:t>投标人提供（2019年1月1日至今）类似业绩，每提供一个业绩计2分，满分8分，不提供不得分。（提供合同或中标通知书复印件加盖公章）</w:t>
            </w:r>
          </w:p>
        </w:tc>
        <w:tc>
          <w:tcPr>
            <w:tcW w:w="403" w:type="pct"/>
            <w:vAlign w:val="center"/>
          </w:tcPr>
          <w:p>
            <w:pPr>
              <w:jc w:val="center"/>
              <w:rPr>
                <w:rFonts w:ascii="宋体" w:hAnsi="宋体" w:cs="宋体"/>
                <w:szCs w:val="21"/>
              </w:rPr>
            </w:pPr>
            <w:r>
              <w:rPr>
                <w:rFonts w:hint="eastAsia" w:ascii="宋体" w:hAnsi="宋体" w:cs="宋体"/>
                <w:szCs w:val="21"/>
              </w:rPr>
              <w:t>8</w:t>
            </w:r>
          </w:p>
        </w:tc>
      </w:tr>
      <w:bookmarkEnd w:id="195"/>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非单一产品采购项目，采购人应当根据采购项目技术构成、产品价格比重等合理确定核心产品，本项目核心产品为：信号识别软件</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（6）投标有效期、交货安装期限、质保期、售后服务等商务条款不能满足招标文件要求的；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6" w:name="_Toc30881_WPSOffice_Level1"/>
      <w:r>
        <w:rPr>
          <w:rFonts w:hint="eastAsia" w:cs="宋体" w:asciiTheme="minorEastAsia" w:hAnsiTheme="minorEastAsia" w:eastAsiaTheme="minorEastAsia"/>
          <w:sz w:val="24"/>
        </w:rPr>
        <w:t>2.4 特殊情况的处理</w:t>
      </w:r>
      <w:bookmarkEnd w:id="196"/>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pStyle w:val="3"/>
        <w:jc w:val="center"/>
      </w:pPr>
      <w:bookmarkStart w:id="197" w:name="_Toc31936_WPSOffice_Level1"/>
      <w:bookmarkStart w:id="198" w:name="_Toc20086"/>
      <w:bookmarkStart w:id="199" w:name="_Toc21758"/>
      <w:bookmarkStart w:id="200" w:name="_Toc25984"/>
      <w:bookmarkStart w:id="201" w:name="_Toc13519"/>
      <w:r>
        <w:rPr>
          <w:rFonts w:hint="eastAsia"/>
        </w:rPr>
        <w:t>第四章 采购内容及要求</w:t>
      </w:r>
      <w:bookmarkEnd w:id="183"/>
      <w:bookmarkEnd w:id="197"/>
      <w:bookmarkEnd w:id="198"/>
      <w:bookmarkEnd w:id="199"/>
      <w:bookmarkEnd w:id="200"/>
      <w:bookmarkEnd w:id="201"/>
    </w:p>
    <w:p>
      <w:pPr>
        <w:rPr>
          <w:rFonts w:asciiTheme="majorEastAsia" w:hAnsiTheme="majorEastAsia" w:eastAsiaTheme="majorEastAsia" w:cstheme="majorEastAsia"/>
          <w:b/>
          <w:bCs/>
          <w:sz w:val="24"/>
        </w:rPr>
      </w:pPr>
      <w:bookmarkStart w:id="202" w:name="_Hlk99547380"/>
      <w:bookmarkStart w:id="203" w:name="_Toc8077"/>
      <w:bookmarkStart w:id="204" w:name="_Toc2549"/>
      <w:bookmarkStart w:id="205" w:name="_Toc30096"/>
      <w:r>
        <w:rPr>
          <w:rFonts w:hint="eastAsia" w:asciiTheme="majorEastAsia" w:hAnsiTheme="majorEastAsia" w:eastAsiaTheme="majorEastAsia" w:cstheme="majorEastAsia"/>
          <w:b/>
          <w:bCs/>
          <w:sz w:val="24"/>
        </w:rPr>
        <w:t>一、项目概述</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随着数字通信技术的快速发展，信号调制方式种类越来越多，变得越来越复杂，这对信号识别技术提出了更高的要求。目前使用的便携式频谱仪设备，只能完成一般信号的干扰分析。本项目拟购置12套电磁信号智能分析系统（以下简称“系统”，系统主要包括信号识别软件、业务信号测量分析模块），以此快速有效地监测、识别、分析和干扰排查复杂的数字调制信号，应对无线电监测过程中未知信号的调制类型识别,、调制参数测量和信号质量分析以及各类业务/专业信号的测量分析，包含短波信号、卫星信号、广播信号、集群/对讲信号、考试作弊信号。</w:t>
      </w:r>
    </w:p>
    <w:bookmarkEnd w:id="202"/>
    <w:p>
      <w:pP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二、项目总体要求</w:t>
      </w:r>
    </w:p>
    <w:p>
      <w:pPr>
        <w:pStyle w:val="52"/>
        <w:numPr>
          <w:ilvl w:val="0"/>
          <w:numId w:val="11"/>
        </w:numPr>
        <w:spacing w:before="200" w:line="220" w:lineRule="atLeast"/>
        <w:ind w:firstLineChars="0"/>
        <w:outlineLvl w:val="0"/>
        <w:rPr>
          <w:rFonts w:asciiTheme="majorEastAsia" w:hAnsiTheme="majorEastAsia" w:eastAsiaTheme="majorEastAsia" w:cstheme="majorEastAsia"/>
          <w:sz w:val="24"/>
          <w:szCs w:val="24"/>
        </w:rPr>
      </w:pPr>
      <w:bookmarkStart w:id="206" w:name="_Toc8286"/>
      <w:bookmarkStart w:id="207" w:name="_Toc13770"/>
      <w:bookmarkStart w:id="208" w:name="_Toc32034"/>
      <w:r>
        <w:rPr>
          <w:rFonts w:hint="eastAsia" w:asciiTheme="majorEastAsia" w:hAnsiTheme="majorEastAsia" w:eastAsiaTheme="majorEastAsia" w:cstheme="majorEastAsia"/>
          <w:b/>
          <w:sz w:val="24"/>
          <w:szCs w:val="24"/>
        </w:rPr>
        <w:t>信号识别软件</w:t>
      </w:r>
      <w:bookmarkEnd w:id="206"/>
      <w:bookmarkEnd w:id="207"/>
      <w:bookmarkEnd w:id="208"/>
    </w:p>
    <w:p>
      <w:pPr>
        <w:pStyle w:val="52"/>
        <w:numPr>
          <w:ilvl w:val="1"/>
          <w:numId w:val="12"/>
        </w:numPr>
        <w:spacing w:before="200" w:line="500" w:lineRule="exact"/>
        <w:ind w:firstLineChars="0"/>
        <w:outlineLvl w:val="1"/>
        <w:rPr>
          <w:rFonts w:asciiTheme="majorEastAsia" w:hAnsiTheme="majorEastAsia" w:eastAsiaTheme="majorEastAsia" w:cstheme="majorEastAsia"/>
          <w:b/>
          <w:bCs/>
          <w:sz w:val="24"/>
          <w:szCs w:val="24"/>
        </w:rPr>
      </w:pPr>
      <w:bookmarkStart w:id="209" w:name="_Toc26901"/>
      <w:bookmarkStart w:id="210" w:name="_Toc3535"/>
      <w:bookmarkStart w:id="211" w:name="_Toc31229"/>
      <w:r>
        <w:rPr>
          <w:rFonts w:hint="eastAsia" w:asciiTheme="majorEastAsia" w:hAnsiTheme="majorEastAsia" w:eastAsiaTheme="majorEastAsia" w:cstheme="majorEastAsia"/>
          <w:b/>
          <w:bCs/>
          <w:sz w:val="24"/>
          <w:szCs w:val="24"/>
        </w:rPr>
        <w:t>总体要求</w:t>
      </w:r>
      <w:bookmarkEnd w:id="209"/>
      <w:bookmarkEnd w:id="210"/>
      <w:bookmarkEnd w:id="211"/>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★系统通过升级高性能频谱仪MS2720T或MS2090A等现有监测接收设备（增加IQ数据捕获选件），具备空间未知电磁信号的IQ数据输出能力。</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★针对调制类型未知的信号，</w:t>
      </w:r>
      <w:bookmarkStart w:id="212" w:name="_Hlk99532100"/>
      <w:r>
        <w:rPr>
          <w:rFonts w:hint="eastAsia" w:asciiTheme="majorEastAsia" w:hAnsiTheme="majorEastAsia" w:eastAsiaTheme="majorEastAsia" w:cstheme="majorEastAsia"/>
          <w:sz w:val="24"/>
        </w:rPr>
        <w:t>信号识别软件可完成信号IQ数据转换</w:t>
      </w:r>
      <w:bookmarkStart w:id="213" w:name="_Hlk99531946"/>
      <w:r>
        <w:rPr>
          <w:rFonts w:hint="eastAsia" w:asciiTheme="majorEastAsia" w:hAnsiTheme="majorEastAsia" w:eastAsiaTheme="majorEastAsia" w:cstheme="majorEastAsia"/>
          <w:sz w:val="24"/>
        </w:rPr>
        <w:t>、</w:t>
      </w:r>
      <w:bookmarkEnd w:id="213"/>
      <w:r>
        <w:rPr>
          <w:rFonts w:hint="eastAsia" w:asciiTheme="majorEastAsia" w:hAnsiTheme="majorEastAsia" w:eastAsiaTheme="majorEastAsia" w:cstheme="majorEastAsia"/>
          <w:sz w:val="24"/>
        </w:rPr>
        <w:t>信号调制类型识别、调制参数测量和信号质量分析，并输出信号的调制方式、关键参数数据和星座图等结果。</w:t>
      </w:r>
    </w:p>
    <w:bookmarkEnd w:id="212"/>
    <w:p>
      <w:pPr>
        <w:spacing w:before="200" w:line="500" w:lineRule="exact"/>
        <w:ind w:firstLine="482" w:firstLineChars="200"/>
        <w:outlineLvl w:val="2"/>
        <w:rPr>
          <w:rFonts w:asciiTheme="majorEastAsia" w:hAnsiTheme="majorEastAsia" w:eastAsiaTheme="majorEastAsia" w:cstheme="majorEastAsia"/>
          <w:b/>
          <w:bCs/>
          <w:sz w:val="24"/>
        </w:rPr>
      </w:pPr>
      <w:bookmarkStart w:id="214" w:name="_Toc29306"/>
      <w:bookmarkStart w:id="215" w:name="_Toc1015"/>
      <w:bookmarkStart w:id="216" w:name="_Toc458"/>
      <w:r>
        <w:rPr>
          <w:rFonts w:hint="eastAsia" w:asciiTheme="majorEastAsia" w:hAnsiTheme="majorEastAsia" w:eastAsiaTheme="majorEastAsia" w:cstheme="majorEastAsia"/>
          <w:b/>
          <w:bCs/>
          <w:sz w:val="24"/>
        </w:rPr>
        <w:t>1.1.1信号识别范围要求</w:t>
      </w:r>
      <w:bookmarkEnd w:id="214"/>
      <w:bookmarkEnd w:id="215"/>
      <w:bookmarkEnd w:id="216"/>
    </w:p>
    <w:p>
      <w:pPr>
        <w:spacing w:line="360" w:lineRule="auto"/>
        <w:ind w:firstLine="482" w:firstLineChars="200"/>
        <w:rPr>
          <w:rFonts w:asciiTheme="majorEastAsia" w:hAnsiTheme="majorEastAsia" w:eastAsiaTheme="majorEastAsia" w:cstheme="majorEastAsia"/>
          <w:sz w:val="24"/>
        </w:rPr>
      </w:pPr>
      <w:bookmarkStart w:id="217" w:name="_Hlk99533430"/>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sz w:val="24"/>
        </w:rPr>
        <w:t>信号识别软件</w:t>
      </w:r>
      <w:bookmarkEnd w:id="217"/>
      <w:r>
        <w:rPr>
          <w:rFonts w:hint="eastAsia" w:asciiTheme="majorEastAsia" w:hAnsiTheme="majorEastAsia" w:eastAsiaTheme="majorEastAsia" w:cstheme="majorEastAsia"/>
          <w:sz w:val="24"/>
        </w:rPr>
        <w:t>可识别的未知信号类型：常规主流的模拟调制信号（含AM、FM、PM）和常规主流数字调制信号（含ASK、2FSK、4FSK、8FSK、BPSK、QPSK、8PSK、4QAM、8QAM、16QAM、32QAM、64QAM、DQPSK等）；</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2）</w:t>
      </w:r>
      <w:r>
        <w:rPr>
          <w:rFonts w:hint="eastAsia" w:asciiTheme="majorEastAsia" w:hAnsiTheme="majorEastAsia" w:eastAsiaTheme="majorEastAsia" w:cstheme="majorEastAsia"/>
          <w:sz w:val="24"/>
        </w:rPr>
        <w:t>信号识别软件可以识别的未知信号样式：</w:t>
      </w:r>
      <w:bookmarkStart w:id="218" w:name="_Hlk99537207"/>
      <w:r>
        <w:rPr>
          <w:rFonts w:hint="eastAsia" w:asciiTheme="majorEastAsia" w:hAnsiTheme="majorEastAsia" w:eastAsiaTheme="majorEastAsia" w:cstheme="majorEastAsia"/>
          <w:sz w:val="24"/>
        </w:rPr>
        <w:t>时域</w:t>
      </w:r>
      <w:bookmarkEnd w:id="218"/>
      <w:r>
        <w:rPr>
          <w:rFonts w:hint="eastAsia" w:asciiTheme="majorEastAsia" w:hAnsiTheme="majorEastAsia" w:eastAsiaTheme="majorEastAsia" w:cstheme="majorEastAsia"/>
          <w:sz w:val="24"/>
        </w:rPr>
        <w:t>连续信号、宽带调制信号、突发信号等；</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3）</w:t>
      </w:r>
      <w:r>
        <w:rPr>
          <w:rFonts w:hint="eastAsia" w:asciiTheme="majorEastAsia" w:hAnsiTheme="majorEastAsia" w:eastAsiaTheme="majorEastAsia" w:cstheme="majorEastAsia"/>
          <w:sz w:val="24"/>
        </w:rPr>
        <w:t>信号识别软件可以识别的未知信号类型、样式，</w:t>
      </w:r>
      <w:bookmarkStart w:id="219" w:name="_Hlk99533691"/>
      <w:r>
        <w:rPr>
          <w:rFonts w:hint="eastAsia" w:asciiTheme="majorEastAsia" w:hAnsiTheme="majorEastAsia" w:eastAsiaTheme="majorEastAsia" w:cstheme="majorEastAsia"/>
          <w:sz w:val="24"/>
        </w:rPr>
        <w:t>可根据采购方实际工作需要进行拓展升级</w:t>
      </w:r>
      <w:bookmarkEnd w:id="219"/>
      <w:r>
        <w:rPr>
          <w:rFonts w:hint="eastAsia" w:asciiTheme="majorEastAsia" w:hAnsiTheme="majorEastAsia" w:eastAsiaTheme="majorEastAsia" w:cstheme="majorEastAsia"/>
          <w:sz w:val="24"/>
        </w:rPr>
        <w:t>。</w:t>
      </w:r>
    </w:p>
    <w:p>
      <w:pPr>
        <w:spacing w:before="200" w:line="500" w:lineRule="exact"/>
        <w:outlineLvl w:val="2"/>
        <w:rPr>
          <w:rFonts w:asciiTheme="majorEastAsia" w:hAnsiTheme="majorEastAsia" w:eastAsiaTheme="majorEastAsia" w:cstheme="majorEastAsia"/>
          <w:b/>
          <w:bCs/>
          <w:sz w:val="24"/>
        </w:rPr>
      </w:pPr>
      <w:bookmarkStart w:id="220" w:name="_Toc29272"/>
      <w:bookmarkStart w:id="221" w:name="_Toc5276"/>
      <w:bookmarkStart w:id="222" w:name="_Toc307"/>
      <w:r>
        <w:rPr>
          <w:rFonts w:hint="eastAsia" w:asciiTheme="majorEastAsia" w:hAnsiTheme="majorEastAsia" w:eastAsiaTheme="majorEastAsia" w:cstheme="majorEastAsia"/>
          <w:b/>
          <w:bCs/>
          <w:sz w:val="24"/>
        </w:rPr>
        <w:t>1.1.2信号识别软件应用形式</w:t>
      </w:r>
      <w:bookmarkEnd w:id="220"/>
      <w:bookmarkEnd w:id="221"/>
      <w:bookmarkEnd w:id="222"/>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sz w:val="24"/>
        </w:rPr>
        <w:t>信号识别软件支持未知信号在线处理，即监测接收设备将实时捕获的信号处理并输出IQ数据后，信号识别软件可即时进行信号分析识别；</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2）</w:t>
      </w:r>
      <w:r>
        <w:rPr>
          <w:rFonts w:hint="eastAsia" w:asciiTheme="majorEastAsia" w:hAnsiTheme="majorEastAsia" w:eastAsiaTheme="majorEastAsia" w:cstheme="majorEastAsia"/>
          <w:sz w:val="24"/>
        </w:rPr>
        <w:t>信号识别软件支持未知信号数据离线处理，即监测接收设备将捕获信号处理后的IQ数据文件保存到本地PC，信号识别软件可导入本地存储的IQ数据文件进行信号分析识别；</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3）★</w:t>
      </w:r>
      <w:r>
        <w:rPr>
          <w:rFonts w:hint="eastAsia" w:asciiTheme="majorEastAsia" w:hAnsiTheme="majorEastAsia" w:eastAsiaTheme="majorEastAsia" w:cstheme="majorEastAsia"/>
          <w:sz w:val="24"/>
        </w:rPr>
        <w:t>信号识别软件可在监测终端上独立进行未知信号识别分析。</w:t>
      </w:r>
    </w:p>
    <w:p>
      <w:pPr>
        <w:pStyle w:val="52"/>
        <w:numPr>
          <w:ilvl w:val="1"/>
          <w:numId w:val="12"/>
        </w:numPr>
        <w:spacing w:before="200" w:line="500" w:lineRule="exact"/>
        <w:ind w:firstLineChars="0"/>
        <w:outlineLvl w:val="1"/>
        <w:rPr>
          <w:rFonts w:asciiTheme="majorEastAsia" w:hAnsiTheme="majorEastAsia" w:eastAsiaTheme="majorEastAsia" w:cstheme="majorEastAsia"/>
          <w:b/>
          <w:bCs/>
          <w:sz w:val="24"/>
          <w:szCs w:val="24"/>
        </w:rPr>
      </w:pPr>
      <w:bookmarkStart w:id="223" w:name="_Toc6262"/>
      <w:bookmarkStart w:id="224" w:name="_Toc5070"/>
      <w:bookmarkStart w:id="225" w:name="_Toc10055"/>
      <w:r>
        <w:rPr>
          <w:rFonts w:hint="eastAsia" w:asciiTheme="majorEastAsia" w:hAnsiTheme="majorEastAsia" w:eastAsiaTheme="majorEastAsia" w:cstheme="majorEastAsia"/>
          <w:b/>
          <w:bCs/>
          <w:sz w:val="24"/>
          <w:szCs w:val="24"/>
        </w:rPr>
        <w:t>信号识别软件功能要求</w:t>
      </w:r>
      <w:bookmarkEnd w:id="223"/>
      <w:bookmarkEnd w:id="224"/>
      <w:bookmarkEnd w:id="225"/>
    </w:p>
    <w:p>
      <w:pPr>
        <w:spacing w:before="200" w:line="500" w:lineRule="exact"/>
        <w:outlineLvl w:val="2"/>
        <w:rPr>
          <w:rFonts w:asciiTheme="majorEastAsia" w:hAnsiTheme="majorEastAsia" w:eastAsiaTheme="majorEastAsia" w:cstheme="majorEastAsia"/>
          <w:b/>
          <w:bCs/>
          <w:sz w:val="24"/>
        </w:rPr>
      </w:pPr>
      <w:bookmarkStart w:id="226" w:name="_Toc20425"/>
      <w:bookmarkStart w:id="227" w:name="_Toc10259"/>
      <w:bookmarkStart w:id="228" w:name="_Toc216"/>
      <w:r>
        <w:rPr>
          <w:rFonts w:hint="eastAsia" w:asciiTheme="majorEastAsia" w:hAnsiTheme="majorEastAsia" w:eastAsiaTheme="majorEastAsia" w:cstheme="majorEastAsia"/>
          <w:b/>
          <w:bCs/>
          <w:sz w:val="24"/>
        </w:rPr>
        <w:t>1.2.1 信号软件识别类型</w:t>
      </w:r>
      <w:bookmarkEnd w:id="226"/>
      <w:bookmarkEnd w:id="227"/>
      <w:bookmarkEnd w:id="228"/>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信号识别软件可以识别现有空间电磁环境中常见的未知信号调制信号。</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1）模拟调制信号识别类型：AM、FM、PM；</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sz w:val="24"/>
        </w:rPr>
        <w:t>数字调制信号识别类型：ASK、2FSK、4FSK、8FSK、BPSK、QPSK、8PSK、4QAM、8QAM、16QAM、32QAM、64QAM、DQPSK等。</w:t>
      </w:r>
    </w:p>
    <w:p>
      <w:pPr>
        <w:spacing w:before="200" w:line="500" w:lineRule="exact"/>
        <w:outlineLvl w:val="2"/>
        <w:rPr>
          <w:rFonts w:asciiTheme="majorEastAsia" w:hAnsiTheme="majorEastAsia" w:eastAsiaTheme="majorEastAsia" w:cstheme="majorEastAsia"/>
          <w:b/>
          <w:bCs/>
          <w:sz w:val="24"/>
        </w:rPr>
      </w:pPr>
      <w:bookmarkStart w:id="229" w:name="_Toc26517"/>
      <w:bookmarkStart w:id="230" w:name="_Toc27830"/>
      <w:bookmarkStart w:id="231" w:name="_Toc29814"/>
      <w:r>
        <w:rPr>
          <w:rFonts w:hint="eastAsia" w:asciiTheme="majorEastAsia" w:hAnsiTheme="majorEastAsia" w:eastAsiaTheme="majorEastAsia" w:cstheme="majorEastAsia"/>
          <w:b/>
          <w:bCs/>
          <w:sz w:val="24"/>
        </w:rPr>
        <w:t>1.2.2 信号软件识别结果</w:t>
      </w:r>
      <w:bookmarkEnd w:id="229"/>
      <w:bookmarkEnd w:id="230"/>
      <w:bookmarkEnd w:id="231"/>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信号识别软件可针对调制类型未知的信号进行处理分析，并输出以下分析识别结果：</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sz w:val="24"/>
        </w:rPr>
        <w:t>调制类型：输出信号调制方式；</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2）</w:t>
      </w:r>
      <w:r>
        <w:rPr>
          <w:rFonts w:hint="eastAsia" w:asciiTheme="majorEastAsia" w:hAnsiTheme="majorEastAsia" w:eastAsiaTheme="majorEastAsia" w:cstheme="majorEastAsia"/>
          <w:sz w:val="24"/>
        </w:rPr>
        <w:t>信号参数：输出信号载波频率</w:t>
      </w:r>
      <w:bookmarkStart w:id="232" w:name="_Hlk99536728"/>
      <w:r>
        <w:rPr>
          <w:rFonts w:hint="eastAsia" w:asciiTheme="majorEastAsia" w:hAnsiTheme="majorEastAsia" w:eastAsiaTheme="majorEastAsia" w:cstheme="majorEastAsia"/>
          <w:sz w:val="24"/>
        </w:rPr>
        <w:t>、</w:t>
      </w:r>
      <w:bookmarkEnd w:id="232"/>
      <w:r>
        <w:rPr>
          <w:rFonts w:hint="eastAsia" w:asciiTheme="majorEastAsia" w:hAnsiTheme="majorEastAsia" w:eastAsiaTheme="majorEastAsia" w:cstheme="majorEastAsia"/>
          <w:sz w:val="24"/>
        </w:rPr>
        <w:t>信号带宽、符号率（symbolrate）、信噪比（SNR）</w:t>
      </w:r>
      <w:bookmarkStart w:id="233" w:name="_Hlk99536395"/>
      <w:r>
        <w:rPr>
          <w:rFonts w:hint="eastAsia" w:asciiTheme="majorEastAsia" w:hAnsiTheme="majorEastAsia" w:eastAsiaTheme="majorEastAsia" w:cstheme="majorEastAsia"/>
          <w:sz w:val="24"/>
        </w:rPr>
        <w:t>、</w:t>
      </w:r>
      <w:bookmarkEnd w:id="233"/>
      <w:r>
        <w:rPr>
          <w:rFonts w:hint="eastAsia" w:asciiTheme="majorEastAsia" w:hAnsiTheme="majorEastAsia" w:eastAsiaTheme="majorEastAsia" w:cstheme="majorEastAsia"/>
          <w:sz w:val="24"/>
        </w:rPr>
        <w:t>EVM</w:t>
      </w:r>
      <w:bookmarkStart w:id="234" w:name="_Hlk99537070"/>
      <w:r>
        <w:rPr>
          <w:rFonts w:hint="eastAsia" w:asciiTheme="majorEastAsia" w:hAnsiTheme="majorEastAsia" w:eastAsiaTheme="majorEastAsia" w:cstheme="majorEastAsia"/>
          <w:sz w:val="24"/>
        </w:rPr>
        <w:t>、</w:t>
      </w:r>
      <w:bookmarkEnd w:id="234"/>
      <w:r>
        <w:rPr>
          <w:rFonts w:hint="eastAsia" w:asciiTheme="majorEastAsia" w:hAnsiTheme="majorEastAsia" w:eastAsiaTheme="majorEastAsia" w:cstheme="majorEastAsia"/>
          <w:sz w:val="24"/>
        </w:rPr>
        <w:t>信号功率等关键参数；</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3）</w:t>
      </w:r>
      <w:r>
        <w:rPr>
          <w:rFonts w:hint="eastAsia" w:asciiTheme="majorEastAsia" w:hAnsiTheme="majorEastAsia" w:eastAsiaTheme="majorEastAsia" w:cstheme="majorEastAsia"/>
          <w:sz w:val="24"/>
        </w:rPr>
        <w:t>图形化输出：星座图、IQ信号时域图、信号瞬时幅度图、信号瞬时相位图等。</w:t>
      </w:r>
    </w:p>
    <w:p>
      <w:pPr>
        <w:spacing w:before="200" w:line="500" w:lineRule="exact"/>
        <w:outlineLvl w:val="2"/>
        <w:rPr>
          <w:rFonts w:asciiTheme="majorEastAsia" w:hAnsiTheme="majorEastAsia" w:eastAsiaTheme="majorEastAsia" w:cstheme="majorEastAsia"/>
          <w:b/>
          <w:bCs/>
          <w:sz w:val="24"/>
        </w:rPr>
      </w:pPr>
      <w:bookmarkStart w:id="235" w:name="_Toc13670"/>
      <w:bookmarkStart w:id="236" w:name="_Toc5246"/>
      <w:bookmarkStart w:id="237" w:name="_Toc3952"/>
      <w:r>
        <w:rPr>
          <w:rFonts w:hint="eastAsia" w:asciiTheme="majorEastAsia" w:hAnsiTheme="majorEastAsia" w:eastAsiaTheme="majorEastAsia" w:cstheme="majorEastAsia"/>
          <w:b/>
          <w:bCs/>
          <w:sz w:val="24"/>
        </w:rPr>
        <w:t>1.2.3 信号软件处理功能</w:t>
      </w:r>
      <w:bookmarkEnd w:id="235"/>
      <w:bookmarkEnd w:id="236"/>
      <w:bookmarkEnd w:id="237"/>
    </w:p>
    <w:p>
      <w:pPr>
        <w:spacing w:line="500" w:lineRule="exact"/>
        <w:rPr>
          <w:rFonts w:asciiTheme="majorEastAsia" w:hAnsiTheme="majorEastAsia" w:eastAsiaTheme="majorEastAsia" w:cstheme="majorEastAsia"/>
          <w:b/>
          <w:bCs/>
          <w:sz w:val="24"/>
        </w:rPr>
      </w:pPr>
      <w:bookmarkStart w:id="238" w:name="_Hlk99539748"/>
      <w:r>
        <w:rPr>
          <w:rFonts w:hint="eastAsia" w:asciiTheme="majorEastAsia" w:hAnsiTheme="majorEastAsia" w:eastAsiaTheme="majorEastAsia" w:cstheme="majorEastAsia"/>
          <w:b/>
          <w:bCs/>
          <w:sz w:val="24"/>
        </w:rPr>
        <w:t>1）IQ数据处理功能</w:t>
      </w:r>
    </w:p>
    <w:bookmarkEnd w:id="238"/>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信号识别软件的IQ数据处理模块具备以下功能：</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数据转换功能：将监测接收设备输出的IQ数据转换为统一标准格式；</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实复转换功能：将监测接收设备输出的IQ信号构建为标准解析信号形式；</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采样率转换功能：将监测设备输出的IQ数据进行必要抽取/插值，以降低/提升采样率；</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滤波功能：将带外杂波进行滤除，以提升输入信噪比。</w:t>
      </w:r>
    </w:p>
    <w:p>
      <w:pPr>
        <w:spacing w:line="50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2）载频估计功能</w:t>
      </w:r>
    </w:p>
    <w:p>
      <w:pPr>
        <w:spacing w:line="360" w:lineRule="auto"/>
        <w:ind w:firstLine="480"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信号识别软件具备对监测接收设备中频带宽内捕获的未知信号进行一键式自动测量，并输出载波频率、信号带宽结果。</w:t>
      </w:r>
    </w:p>
    <w:p>
      <w:pPr>
        <w:spacing w:line="50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3）自适应识别功能</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信号识别软件具备对待识别信号的自适应识别功能，并输出信号调制类型、符号率、信噪比等结果。</w:t>
      </w:r>
    </w:p>
    <w:p>
      <w:pPr>
        <w:spacing w:before="200" w:line="500" w:lineRule="exact"/>
        <w:outlineLvl w:val="2"/>
        <w:rPr>
          <w:rFonts w:asciiTheme="majorEastAsia" w:hAnsiTheme="majorEastAsia" w:eastAsiaTheme="majorEastAsia" w:cstheme="majorEastAsia"/>
          <w:b/>
          <w:bCs/>
          <w:sz w:val="24"/>
        </w:rPr>
      </w:pPr>
      <w:bookmarkStart w:id="239" w:name="_Toc10418"/>
      <w:bookmarkStart w:id="240" w:name="_Toc5239"/>
      <w:bookmarkStart w:id="241" w:name="_Toc27222"/>
      <w:r>
        <w:rPr>
          <w:rFonts w:hint="eastAsia" w:asciiTheme="majorEastAsia" w:hAnsiTheme="majorEastAsia" w:eastAsiaTheme="majorEastAsia" w:cstheme="majorEastAsia"/>
          <w:b/>
          <w:bCs/>
          <w:sz w:val="24"/>
        </w:rPr>
        <w:t>1.2.4 识别软件显示功能</w:t>
      </w:r>
      <w:bookmarkEnd w:id="239"/>
      <w:bookmarkEnd w:id="240"/>
      <w:bookmarkEnd w:id="241"/>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sz w:val="24"/>
        </w:rPr>
        <w:t>信号识别软件具备可识别未知信号类型列表以及识别前、中、后阶段的过程与结果显示功能。信号识别前显示频谱图、瀑布图；信号识别中显示IQ信号时域图、信号瞬时幅度图、信号瞬时相位图以及载波频率、信号带宽结果；信号识别后显示信号调制类型、符号率、SNR、EVM以及星座图等。</w:t>
      </w:r>
    </w:p>
    <w:p>
      <w:pPr>
        <w:spacing w:before="200" w:line="360" w:lineRule="auto"/>
        <w:outlineLvl w:val="2"/>
        <w:rPr>
          <w:rFonts w:asciiTheme="majorEastAsia" w:hAnsiTheme="majorEastAsia" w:eastAsiaTheme="majorEastAsia" w:cstheme="majorEastAsia"/>
          <w:b/>
          <w:bCs/>
          <w:sz w:val="24"/>
        </w:rPr>
      </w:pPr>
      <w:bookmarkStart w:id="242" w:name="_Toc5395"/>
      <w:bookmarkStart w:id="243" w:name="_Toc4933"/>
      <w:bookmarkStart w:id="244" w:name="_Toc20170"/>
      <w:r>
        <w:rPr>
          <w:rFonts w:hint="eastAsia" w:asciiTheme="majorEastAsia" w:hAnsiTheme="majorEastAsia" w:eastAsiaTheme="majorEastAsia" w:cstheme="majorEastAsia"/>
          <w:b/>
          <w:bCs/>
          <w:sz w:val="24"/>
        </w:rPr>
        <w:t>1.2.5 接口控制功能</w:t>
      </w:r>
      <w:bookmarkEnd w:id="242"/>
      <w:bookmarkEnd w:id="243"/>
      <w:bookmarkEnd w:id="244"/>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信号识别软件的接口控制功能模块，具备对监测接收设备（如MS2720T/MS2090A）的控制能力，可通过IP地址连接设备、配置设备工作频率相关参数、设置设备采样率等以便输出对应的信号IQ数据。</w:t>
      </w:r>
    </w:p>
    <w:p>
      <w:pPr>
        <w:pStyle w:val="52"/>
        <w:numPr>
          <w:ilvl w:val="0"/>
          <w:numId w:val="11"/>
        </w:numPr>
        <w:spacing w:before="200" w:line="220" w:lineRule="atLeast"/>
        <w:ind w:firstLineChars="0"/>
        <w:outlineLvl w:val="0"/>
        <w:rPr>
          <w:rFonts w:asciiTheme="majorEastAsia" w:hAnsiTheme="majorEastAsia" w:eastAsiaTheme="majorEastAsia" w:cstheme="majorEastAsia"/>
          <w:b/>
          <w:sz w:val="24"/>
          <w:szCs w:val="24"/>
        </w:rPr>
      </w:pPr>
      <w:bookmarkStart w:id="245" w:name="_Toc6269"/>
      <w:bookmarkStart w:id="246" w:name="_Toc13724"/>
      <w:bookmarkStart w:id="247" w:name="_Toc7750"/>
      <w:r>
        <w:rPr>
          <w:rFonts w:hint="eastAsia" w:asciiTheme="majorEastAsia" w:hAnsiTheme="majorEastAsia" w:eastAsiaTheme="majorEastAsia" w:cstheme="majorEastAsia"/>
          <w:b/>
          <w:sz w:val="24"/>
          <w:szCs w:val="24"/>
        </w:rPr>
        <w:t>业务信号测量分析模块</w:t>
      </w:r>
      <w:bookmarkEnd w:id="245"/>
      <w:bookmarkEnd w:id="246"/>
      <w:bookmarkEnd w:id="247"/>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电磁信号智能分析系统，在信号识别的基础上还支持短波、广播、卫星等业务/专业信号的测量分析功能。</w:t>
      </w:r>
    </w:p>
    <w:p>
      <w:pPr>
        <w:spacing w:before="120" w:beforeLines="50" w:after="120" w:afterLines="50" w:line="360" w:lineRule="auto"/>
        <w:outlineLvl w:val="1"/>
        <w:rPr>
          <w:rFonts w:asciiTheme="majorEastAsia" w:hAnsiTheme="majorEastAsia" w:eastAsiaTheme="majorEastAsia" w:cstheme="majorEastAsia"/>
          <w:b/>
          <w:bCs/>
          <w:sz w:val="24"/>
        </w:rPr>
      </w:pPr>
      <w:bookmarkStart w:id="248" w:name="_Toc29774"/>
      <w:bookmarkStart w:id="249" w:name="_Toc10690"/>
      <w:bookmarkStart w:id="250" w:name="_Toc19064"/>
      <w:r>
        <w:rPr>
          <w:rFonts w:hint="eastAsia" w:asciiTheme="majorEastAsia" w:hAnsiTheme="majorEastAsia" w:eastAsiaTheme="majorEastAsia" w:cstheme="majorEastAsia"/>
          <w:b/>
          <w:bCs/>
          <w:sz w:val="24"/>
        </w:rPr>
        <w:t>2.1 短波信号测量分析</w:t>
      </w:r>
      <w:bookmarkEnd w:id="248"/>
      <w:bookmarkEnd w:id="249"/>
      <w:bookmarkEnd w:id="250"/>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具备模拟和数字短波信号的调制参数测量和信号质量分析功能。</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1）短波信号类型：AM、FM、ASK类、FSK类、PSK类；</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2）测量分析结果：调制类型、载波频率、信号带宽、SNR、信号功率等；</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3）图形化输出：信号频谱图、瀑布图、时域分析图等。</w:t>
      </w:r>
    </w:p>
    <w:p>
      <w:pPr>
        <w:spacing w:before="120" w:beforeLines="50" w:after="120" w:afterLines="50" w:line="360" w:lineRule="auto"/>
        <w:outlineLvl w:val="1"/>
        <w:rPr>
          <w:rFonts w:asciiTheme="majorEastAsia" w:hAnsiTheme="majorEastAsia" w:eastAsiaTheme="majorEastAsia" w:cstheme="majorEastAsia"/>
          <w:b/>
          <w:bCs/>
          <w:sz w:val="24"/>
        </w:rPr>
      </w:pPr>
      <w:bookmarkStart w:id="251" w:name="_Toc27281"/>
      <w:bookmarkStart w:id="252" w:name="_Toc30640"/>
      <w:bookmarkStart w:id="253" w:name="_Toc9538"/>
      <w:r>
        <w:rPr>
          <w:rFonts w:hint="eastAsia" w:asciiTheme="majorEastAsia" w:hAnsiTheme="majorEastAsia" w:eastAsiaTheme="majorEastAsia" w:cstheme="majorEastAsia"/>
          <w:b/>
          <w:bCs/>
          <w:sz w:val="24"/>
        </w:rPr>
        <w:t>2.2 广播信号测量分析</w:t>
      </w:r>
      <w:bookmarkEnd w:id="251"/>
      <w:bookmarkEnd w:id="252"/>
      <w:bookmarkEnd w:id="253"/>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具备广播信号的测量分析和解调能力。</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1）广播信号类型：AM、FM（窄带、宽带）、SSB（上边带、下边带）；</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2）测量分析结果：调制类型、载波频率、信号功率、信号带宽、场强测量、SNR等；</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3）解调输出：音频；</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4）图形化输出：信号频谱图、瀑布图、时域分析图等。</w:t>
      </w:r>
    </w:p>
    <w:p>
      <w:pPr>
        <w:spacing w:before="120" w:beforeLines="50" w:after="120" w:afterLines="50" w:line="360" w:lineRule="auto"/>
        <w:outlineLvl w:val="1"/>
        <w:rPr>
          <w:rFonts w:asciiTheme="majorEastAsia" w:hAnsiTheme="majorEastAsia" w:eastAsiaTheme="majorEastAsia" w:cstheme="majorEastAsia"/>
          <w:b/>
          <w:bCs/>
          <w:sz w:val="24"/>
        </w:rPr>
      </w:pPr>
      <w:bookmarkStart w:id="254" w:name="_Toc14168"/>
      <w:bookmarkStart w:id="255" w:name="_Toc8559"/>
      <w:bookmarkStart w:id="256" w:name="_Toc25148"/>
      <w:r>
        <w:rPr>
          <w:rFonts w:hint="eastAsia" w:asciiTheme="majorEastAsia" w:hAnsiTheme="majorEastAsia" w:eastAsiaTheme="majorEastAsia" w:cstheme="majorEastAsia"/>
          <w:b/>
          <w:bCs/>
          <w:sz w:val="24"/>
        </w:rPr>
        <w:t>2.3 卫星信号测量分析</w:t>
      </w:r>
      <w:bookmarkEnd w:id="254"/>
      <w:bookmarkEnd w:id="255"/>
      <w:bookmarkEnd w:id="256"/>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具备卫星信号的调制参数测量和信号质量分析功能。测量分析结果包括调制类型、载波频率、信号带宽、SNR、信号功率等。</w:t>
      </w:r>
    </w:p>
    <w:p>
      <w:pPr>
        <w:spacing w:before="120" w:beforeLines="50" w:after="120" w:afterLines="50" w:line="360" w:lineRule="auto"/>
        <w:outlineLvl w:val="1"/>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2.4数字集群/对讲信号测量分析</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具备DMR、DPMR、NXDN等制式的数字对讲信号以及PDT、TETAR等制式的数字集群信号的测量分析功能。</w:t>
      </w:r>
    </w:p>
    <w:p>
      <w:pPr>
        <w:spacing w:before="120" w:beforeLines="50" w:after="120" w:afterLines="50" w:line="360" w:lineRule="auto"/>
        <w:outlineLvl w:val="1"/>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2.5数传作弊信号测量分析</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具备云系列、Sunlips、RS2009、TK系列等数传作弊信号的测量分析功能。</w:t>
      </w:r>
    </w:p>
    <w:p>
      <w:pPr>
        <w:pStyle w:val="2"/>
      </w:pPr>
    </w:p>
    <w:p>
      <w:pP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三、配置表</w:t>
      </w:r>
    </w:p>
    <w:tbl>
      <w:tblPr>
        <w:tblStyle w:val="3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60"/>
        <w:gridCol w:w="1134"/>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3260"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3448"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接收机/频谱仪</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现有设备</w:t>
            </w:r>
          </w:p>
          <w:p>
            <w:pPr>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（具备IQ数据输出能力）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IQ数据捕获选件</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现有设备升级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3260" w:type="dxa"/>
            <w:vAlign w:val="center"/>
          </w:tcPr>
          <w:p>
            <w:pPr>
              <w:rPr>
                <w:rFonts w:asciiTheme="majorEastAsia" w:hAnsiTheme="majorEastAsia" w:eastAsiaTheme="majorEastAsia" w:cstheme="majorEastAsia"/>
                <w:sz w:val="24"/>
              </w:rPr>
            </w:pPr>
            <w:r>
              <w:rPr>
                <w:kern w:val="0"/>
                <w:sz w:val="24"/>
              </w:rPr>
              <w:t>全向天线/定向天线</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jc w:val="center"/>
              <w:textAlignment w:val="center"/>
              <w:rPr>
                <w:rFonts w:asciiTheme="majorEastAsia" w:hAnsiTheme="majorEastAsia" w:eastAsiaTheme="majorEastAsia" w:cstheme="majorEastAsia"/>
                <w:sz w:val="24"/>
              </w:rPr>
            </w:pPr>
            <w:r>
              <w:rPr>
                <w:kern w:val="0"/>
                <w:sz w:val="24"/>
              </w:rPr>
              <w:t>现有设备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信号识别软件</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IQ数据处理模块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载频估计模块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自适应识别模块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业务信号测量分析模块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短波业务模块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广播业务模块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4.3</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卫星业务模块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4.4</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脉冲信号模块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4.5</w:t>
            </w:r>
          </w:p>
        </w:tc>
        <w:tc>
          <w:tcPr>
            <w:tcW w:w="3260" w:type="dxa"/>
            <w:vAlign w:val="center"/>
          </w:tcPr>
          <w:p>
            <w:pPr>
              <w:rPr>
                <w:rFonts w:asciiTheme="majorEastAsia" w:hAnsiTheme="majorEastAsia" w:cstheme="majorEastAsia"/>
                <w:sz w:val="24"/>
              </w:rPr>
            </w:pPr>
            <w:r>
              <w:rPr>
                <w:sz w:val="24"/>
              </w:rPr>
              <w:t>数字集群/对讲信号</w:t>
            </w:r>
            <w:r>
              <w:rPr>
                <w:rFonts w:hint="eastAsia"/>
                <w:sz w:val="24"/>
              </w:rPr>
              <w:t>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4.6</w:t>
            </w:r>
          </w:p>
        </w:tc>
        <w:tc>
          <w:tcPr>
            <w:tcW w:w="3260" w:type="dxa"/>
            <w:vAlign w:val="center"/>
          </w:tcPr>
          <w:p>
            <w:pPr>
              <w:rPr>
                <w:rFonts w:asciiTheme="majorEastAsia" w:hAnsiTheme="majorEastAsia" w:cstheme="majorEastAsia"/>
                <w:sz w:val="24"/>
              </w:rPr>
            </w:pPr>
            <w:r>
              <w:rPr>
                <w:sz w:val="24"/>
              </w:rPr>
              <w:t>数传作弊信</w:t>
            </w:r>
            <w:r>
              <w:rPr>
                <w:rFonts w:hint="eastAsia"/>
                <w:sz w:val="24"/>
              </w:rPr>
              <w:t>号模块</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3260"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监测终端</w:t>
            </w:r>
          </w:p>
        </w:tc>
        <w:tc>
          <w:tcPr>
            <w:tcW w:w="113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344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配置不低于CPU i5，内存8G，固态硬盘512G</w:t>
            </w:r>
          </w:p>
        </w:tc>
      </w:tr>
    </w:tbl>
    <w:p>
      <w:pPr>
        <w:spacing w:line="360" w:lineRule="auto"/>
        <w:jc w:val="left"/>
        <w:rPr>
          <w:rFonts w:ascii="宋体" w:hAnsi="宋体" w:cs="宋体"/>
          <w:sz w:val="24"/>
        </w:rPr>
      </w:pPr>
    </w:p>
    <w:p>
      <w:pPr>
        <w:spacing w:line="360" w:lineRule="auto"/>
        <w:jc w:val="left"/>
        <w:rPr>
          <w:rStyle w:val="96"/>
        </w:rPr>
      </w:pPr>
      <w:r>
        <w:rPr>
          <w:rFonts w:hint="eastAsia" w:ascii="宋体" w:hAnsi="宋体" w:cs="宋体"/>
          <w:sz w:val="24"/>
        </w:rPr>
        <w:t>四、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等内容，其费用均由中标供应商承担，如涉及第三方专业机构，中标供应商须与采购人协商确定。</w:t>
      </w:r>
      <w:r>
        <w:rPr>
          <w:rFonts w:hint="eastAsia" w:ascii="宋体" w:hAnsi="宋体" w:cs="宋体"/>
          <w:sz w:val="24"/>
        </w:rPr>
        <w:br w:type="page"/>
      </w:r>
      <w:bookmarkStart w:id="257" w:name="_Toc18231"/>
      <w:r>
        <w:rPr>
          <w:rStyle w:val="96"/>
          <w:rFonts w:hint="eastAsia"/>
        </w:rPr>
        <w:t>第五章 政府采购合同格式</w:t>
      </w:r>
      <w:bookmarkEnd w:id="203"/>
      <w:bookmarkEnd w:id="204"/>
      <w:bookmarkEnd w:id="205"/>
      <w:bookmarkStart w:id="258" w:name="_Toc362882445"/>
    </w:p>
    <w:bookmarkEnd w:id="257"/>
    <w:bookmarkEnd w:id="258"/>
    <w:p>
      <w:pPr>
        <w:jc w:val="center"/>
        <w:rPr>
          <w:rFonts w:ascii="宋体" w:hAnsi="宋体" w:cs="宋体"/>
          <w:b/>
          <w:bCs/>
          <w:sz w:val="44"/>
          <w:szCs w:val="44"/>
        </w:rPr>
      </w:pPr>
      <w:bookmarkStart w:id="259" w:name="_Toc14378"/>
      <w:bookmarkStart w:id="260" w:name="_Toc1517_WPSOffice_Level1"/>
      <w:bookmarkStart w:id="261" w:name="_Toc28984"/>
      <w:bookmarkStart w:id="262" w:name="_Toc25543"/>
    </w:p>
    <w:p>
      <w:pPr>
        <w:jc w:val="center"/>
        <w:rPr>
          <w:rFonts w:ascii="仿宋" w:hAnsi="仿宋" w:eastAsia="仿宋" w:cs="仿宋"/>
          <w:b/>
          <w:bCs/>
          <w:sz w:val="44"/>
          <w:szCs w:val="44"/>
        </w:rPr>
      </w:pPr>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jc w:val="center"/>
        <w:rPr>
          <w:rFonts w:hint="eastAsia" w:ascii="仿宋" w:hAnsi="仿宋" w:eastAsia="仿宋" w:cs="仿宋"/>
          <w:lang w:eastAsia="zh-CN"/>
        </w:rPr>
      </w:pPr>
      <w:r>
        <w:rPr>
          <w:rFonts w:hint="eastAsia" w:eastAsia="仿宋"/>
          <w:sz w:val="44"/>
          <w:szCs w:val="36"/>
          <w:lang w:eastAsia="zh-CN"/>
        </w:rPr>
        <w:t>陕西省无线电管理委员会电磁信号智能分析系统采购项目</w:t>
      </w:r>
    </w:p>
    <w:p>
      <w:pPr>
        <w:rPr>
          <w:rFonts w:ascii="仿宋" w:hAnsi="仿宋" w:eastAsia="仿宋" w:cs="仿宋"/>
        </w:rPr>
      </w:pPr>
    </w:p>
    <w:p>
      <w:pPr>
        <w:rPr>
          <w:rFonts w:ascii="仿宋" w:hAnsi="仿宋" w:eastAsia="仿宋" w:cs="仿宋"/>
        </w:rPr>
      </w:pPr>
    </w:p>
    <w:p>
      <w:pPr>
        <w:jc w:val="center"/>
        <w:rPr>
          <w:rFonts w:ascii="宋体" w:hAnsi="宋体" w:cs="宋体"/>
          <w:b/>
          <w:sz w:val="36"/>
          <w:szCs w:val="36"/>
        </w:rPr>
      </w:pPr>
      <w:r>
        <w:rPr>
          <w:rFonts w:hint="eastAsia" w:ascii="宋体" w:hAnsi="宋体" w:cs="宋体"/>
          <w:b/>
          <w:sz w:val="36"/>
          <w:szCs w:val="36"/>
        </w:rPr>
        <w:t>（示范文本仅供参考）</w:t>
      </w:r>
    </w:p>
    <w:p>
      <w:pPr>
        <w:jc w:val="center"/>
        <w:rPr>
          <w:rFonts w:ascii="宋体" w:hAnsi="宋体" w:cs="宋体"/>
          <w:b/>
          <w:sz w:val="36"/>
          <w:szCs w:val="36"/>
        </w:rPr>
      </w:pPr>
    </w:p>
    <w:p>
      <w:pPr>
        <w:pStyle w:val="3"/>
        <w:rPr>
          <w:rFonts w:ascii="宋体" w:hAnsi="宋体" w:cs="宋体"/>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spacing w:before="120" w:beforeLines="50" w:line="360" w:lineRule="auto"/>
        <w:rPr>
          <w:rFonts w:ascii="宋体" w:hAnsi="宋体" w:cs="宋体"/>
          <w:b/>
          <w:bCs/>
          <w:sz w:val="36"/>
          <w:szCs w:val="36"/>
        </w:rPr>
      </w:pP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采购人：</w:t>
      </w:r>
      <w:r>
        <w:rPr>
          <w:rFonts w:hint="eastAsia" w:ascii="宋体" w:hAnsi="宋体" w:cs="宋体"/>
          <w:sz w:val="32"/>
          <w:szCs w:val="32"/>
          <w:u w:val="single"/>
        </w:rPr>
        <w:t xml:space="preserve">                     </w:t>
      </w: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供应商：</w:t>
      </w:r>
      <w:r>
        <w:rPr>
          <w:rFonts w:hint="eastAsia" w:ascii="宋体" w:hAnsi="宋体" w:cs="宋体"/>
          <w:sz w:val="32"/>
          <w:szCs w:val="32"/>
          <w:u w:val="single"/>
        </w:rPr>
        <w:t xml:space="preserve">                     </w:t>
      </w:r>
    </w:p>
    <w:p>
      <w:pPr>
        <w:spacing w:line="560" w:lineRule="exact"/>
        <w:jc w:val="center"/>
        <w:rPr>
          <w:rFonts w:ascii="仿宋" w:hAnsi="仿宋" w:eastAsia="仿宋" w:cs="仿宋"/>
          <w:b/>
          <w:bCs/>
          <w:sz w:val="36"/>
          <w:szCs w:val="36"/>
        </w:rPr>
      </w:pPr>
      <w:r>
        <w:rPr>
          <w:rFonts w:hint="eastAsia" w:ascii="宋体" w:hAnsi="宋体" w:cs="宋体"/>
          <w:b/>
          <w:bCs/>
          <w:sz w:val="32"/>
          <w:szCs w:val="32"/>
        </w:rPr>
        <w:t>二〇二二年四月</w:t>
      </w:r>
      <w:r>
        <w:rPr>
          <w:rFonts w:hint="eastAsia" w:ascii="仿宋" w:hAnsi="仿宋" w:eastAsia="仿宋" w:cs="仿宋"/>
          <w:b/>
          <w:bCs/>
          <w:sz w:val="36"/>
          <w:szCs w:val="36"/>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w:t>
      </w:r>
      <w:r>
        <w:rPr>
          <w:rFonts w:hint="eastAsia" w:ascii="宋体" w:hAnsi="宋体" w:cs="宋体"/>
          <w:sz w:val="24"/>
          <w:u w:val="single"/>
        </w:rPr>
        <w:t xml:space="preserve">                            </w:t>
      </w:r>
      <w:r>
        <w:rPr>
          <w:rFonts w:hint="eastAsia" w:ascii="宋体" w:hAnsi="宋体" w:cs="宋体"/>
          <w:sz w:val="24"/>
        </w:rPr>
        <w:t>（¥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1、合同签订后五个工作日内，中标供应商向采购人出具合同总价款15%金额的银行保函（保函有效期截止时间为本项目验收合格后满六个月）；</w:t>
      </w:r>
    </w:p>
    <w:p>
      <w:pPr>
        <w:adjustRightInd w:val="0"/>
        <w:snapToGrid w:val="0"/>
        <w:spacing w:line="360" w:lineRule="auto"/>
        <w:ind w:left="420" w:leftChars="200"/>
        <w:rPr>
          <w:rFonts w:ascii="宋体" w:hAnsi="宋体" w:cs="宋体"/>
          <w:sz w:val="24"/>
        </w:rPr>
      </w:pPr>
      <w:r>
        <w:rPr>
          <w:rFonts w:hint="eastAsia" w:ascii="宋体" w:hAnsi="宋体" w:cs="宋体"/>
          <w:sz w:val="24"/>
        </w:rPr>
        <w:t>2、采购人收到中标供应商合格银行保函后支付全部合同总价款；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3、中标供应商承诺在采购人办理支付手续前，为采购人出具等额的符合国家规定的发票；</w:t>
      </w:r>
    </w:p>
    <w:p>
      <w:pPr>
        <w:adjustRightInd w:val="0"/>
        <w:snapToGrid w:val="0"/>
        <w:spacing w:line="360" w:lineRule="auto"/>
        <w:ind w:left="420" w:leftChars="200"/>
        <w:rPr>
          <w:rFonts w:ascii="宋体" w:hAnsi="宋体" w:cs="宋体"/>
          <w:sz w:val="24"/>
        </w:rPr>
      </w:pPr>
      <w:r>
        <w:rPr>
          <w:rFonts w:hint="eastAsia" w:ascii="宋体" w:hAnsi="宋体" w:cs="宋体"/>
          <w:sz w:val="24"/>
        </w:rPr>
        <w:t>4、上述时间不包括采购人正常办理支付报批手续的时间。；</w:t>
      </w:r>
    </w:p>
    <w:p>
      <w:pPr>
        <w:spacing w:line="360" w:lineRule="auto"/>
        <w:rPr>
          <w:rFonts w:ascii="宋体" w:hAnsi="宋体" w:cs="宋体"/>
          <w:b/>
          <w:sz w:val="24"/>
        </w:rPr>
      </w:pPr>
      <w:r>
        <w:rPr>
          <w:rFonts w:hint="eastAsia" w:ascii="宋体" w:hAnsi="宋体" w:cs="宋体"/>
          <w:b/>
          <w:sz w:val="24"/>
        </w:rPr>
        <w:t xml:space="preserve">五、交货安装期  </w:t>
      </w:r>
    </w:p>
    <w:p>
      <w:pPr>
        <w:tabs>
          <w:tab w:val="left" w:pos="840"/>
        </w:tabs>
        <w:spacing w:line="360" w:lineRule="auto"/>
        <w:ind w:firstLine="480" w:firstLineChars="200"/>
        <w:rPr>
          <w:rFonts w:ascii="宋体" w:hAnsi="宋体" w:cs="宋体"/>
          <w:sz w:val="24"/>
        </w:rPr>
      </w:pPr>
      <w:r>
        <w:rPr>
          <w:rFonts w:hint="eastAsia" w:ascii="宋体" w:hAnsi="宋体" w:cs="宋体"/>
          <w:sz w:val="24"/>
        </w:rPr>
        <w:t>签订合同起150日历日</w:t>
      </w:r>
    </w:p>
    <w:p>
      <w:pPr>
        <w:adjustRightInd w:val="0"/>
        <w:snapToGrid w:val="0"/>
        <w:spacing w:line="360" w:lineRule="auto"/>
        <w:rPr>
          <w:rFonts w:ascii="宋体" w:hAnsi="宋体" w:cs="宋体"/>
          <w:b/>
          <w:sz w:val="24"/>
        </w:rPr>
      </w:pPr>
      <w:r>
        <w:rPr>
          <w:rFonts w:hint="eastAsia" w:ascii="宋体" w:hAnsi="宋体" w:cs="宋体"/>
          <w:b/>
          <w:sz w:val="24"/>
        </w:rPr>
        <w:t>六、质保期</w:t>
      </w:r>
    </w:p>
    <w:p>
      <w:pPr>
        <w:tabs>
          <w:tab w:val="left" w:pos="840"/>
        </w:tabs>
        <w:spacing w:line="520" w:lineRule="exact"/>
        <w:ind w:firstLine="480" w:firstLineChars="200"/>
        <w:rPr>
          <w:rFonts w:ascii="宋体" w:hAnsi="宋体" w:cs="宋体"/>
          <w:sz w:val="24"/>
        </w:rPr>
      </w:pPr>
      <w:r>
        <w:rPr>
          <w:rFonts w:hint="eastAsia" w:ascii="宋体" w:hAnsi="宋体" w:cs="宋体"/>
          <w:sz w:val="24"/>
        </w:rPr>
        <w:t>自验收合格之日起3年免费质保。质保期内出现的一切问题由设备厂家负责免费维修或更换。质保期过后，由设备厂家免费维修，材料费由甲方承担。</w:t>
      </w:r>
    </w:p>
    <w:p>
      <w:pPr>
        <w:tabs>
          <w:tab w:val="left" w:pos="840"/>
        </w:tabs>
        <w:spacing w:line="520" w:lineRule="exact"/>
        <w:rPr>
          <w:rFonts w:ascii="宋体" w:hAnsi="宋体" w:cs="宋体"/>
          <w:b/>
          <w:sz w:val="24"/>
        </w:rPr>
      </w:pPr>
      <w:r>
        <w:rPr>
          <w:rFonts w:hint="eastAsia" w:ascii="宋体" w:hAnsi="宋体" w:cs="宋体"/>
          <w:b/>
          <w:sz w:val="24"/>
        </w:rPr>
        <w:t>七、内容及要求</w:t>
      </w:r>
    </w:p>
    <w:p>
      <w:pPr>
        <w:spacing w:after="120"/>
        <w:jc w:val="center"/>
        <w:rPr>
          <w:rFonts w:ascii="宋体" w:hAnsi="宋体" w:cs="宋体"/>
          <w:b/>
          <w:sz w:val="24"/>
        </w:rPr>
      </w:pPr>
      <w:r>
        <w:rPr>
          <w:rFonts w:hint="eastAsia" w:ascii="宋体" w:hAnsi="宋体" w:cs="宋体"/>
          <w:b/>
          <w:sz w:val="24"/>
        </w:rPr>
        <w:t>供货内容一览表</w:t>
      </w:r>
      <w:r>
        <w:rPr>
          <w:rFonts w:hint="eastAsia" w:ascii="宋体" w:hAnsi="宋体" w:cs="宋体"/>
          <w:sz w:val="24"/>
        </w:rPr>
        <w:t xml:space="preserve">                                </w:t>
      </w:r>
    </w:p>
    <w:tbl>
      <w:tblPr>
        <w:tblStyle w:val="29"/>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20" w:beforeLines="50"/>
              <w:jc w:val="center"/>
              <w:rPr>
                <w:rFonts w:ascii="宋体" w:hAnsi="宋体" w:cs="宋体"/>
                <w:b/>
                <w:sz w:val="24"/>
              </w:rPr>
            </w:pPr>
            <w:r>
              <w:rPr>
                <w:rFonts w:hint="eastAsia" w:ascii="宋体" w:hAnsi="宋体" w:cs="宋体"/>
                <w:b/>
                <w:sz w:val="24"/>
              </w:rPr>
              <w:t>序号</w:t>
            </w:r>
          </w:p>
        </w:tc>
        <w:tc>
          <w:tcPr>
            <w:tcW w:w="960" w:type="dxa"/>
            <w:vAlign w:val="center"/>
          </w:tcPr>
          <w:p>
            <w:pPr>
              <w:spacing w:before="120" w:beforeLines="50"/>
              <w:jc w:val="center"/>
              <w:rPr>
                <w:rFonts w:ascii="宋体" w:hAnsi="宋体" w:cs="宋体"/>
                <w:b/>
                <w:sz w:val="24"/>
              </w:rPr>
            </w:pPr>
            <w:r>
              <w:rPr>
                <w:rFonts w:hint="eastAsia" w:ascii="宋体" w:hAnsi="宋体" w:cs="宋体"/>
                <w:b/>
                <w:sz w:val="24"/>
              </w:rPr>
              <w:t>名称</w:t>
            </w:r>
          </w:p>
        </w:tc>
        <w:tc>
          <w:tcPr>
            <w:tcW w:w="148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品牌、规格及型号</w:t>
            </w:r>
          </w:p>
        </w:tc>
        <w:tc>
          <w:tcPr>
            <w:tcW w:w="1695" w:type="dxa"/>
            <w:tcBorders>
              <w:lef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原产地及 制造厂名</w:t>
            </w:r>
          </w:p>
        </w:tc>
        <w:tc>
          <w:tcPr>
            <w:tcW w:w="82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单价</w:t>
            </w:r>
          </w:p>
        </w:tc>
        <w:tc>
          <w:tcPr>
            <w:tcW w:w="735" w:type="dxa"/>
            <w:tcBorders>
              <w:left w:val="single" w:color="auto" w:sz="4" w:space="0"/>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数量</w:t>
            </w:r>
          </w:p>
        </w:tc>
        <w:tc>
          <w:tcPr>
            <w:tcW w:w="1050" w:type="dxa"/>
            <w:tcBorders>
              <w:left w:val="single" w:color="auto" w:sz="4" w:space="0"/>
            </w:tcBorders>
            <w:vAlign w:val="center"/>
          </w:tcPr>
          <w:p>
            <w:pPr>
              <w:jc w:val="center"/>
              <w:rPr>
                <w:rFonts w:ascii="宋体" w:hAnsi="宋体" w:cs="宋体"/>
                <w:b/>
                <w:sz w:val="24"/>
              </w:rPr>
            </w:pPr>
            <w:r>
              <w:rPr>
                <w:rFonts w:hint="eastAsia" w:ascii="宋体" w:hAnsi="宋体" w:cs="宋体"/>
                <w:b/>
                <w:sz w:val="24"/>
              </w:rPr>
              <w:t>交付地点</w:t>
            </w:r>
          </w:p>
        </w:tc>
        <w:tc>
          <w:tcPr>
            <w:tcW w:w="1215"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交付时间</w:t>
            </w:r>
          </w:p>
        </w:tc>
        <w:tc>
          <w:tcPr>
            <w:tcW w:w="903"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b/>
          <w:sz w:val="24"/>
        </w:rPr>
        <w:t xml:space="preserve">八、运输、安装、调试要求 </w:t>
      </w:r>
    </w:p>
    <w:p>
      <w:pPr>
        <w:spacing w:line="360" w:lineRule="auto"/>
        <w:ind w:firstLine="480" w:firstLineChars="200"/>
        <w:rPr>
          <w:rFonts w:ascii="宋体" w:hAnsi="宋体" w:cs="宋体"/>
          <w:sz w:val="24"/>
        </w:rPr>
      </w:pPr>
      <w:r>
        <w:rPr>
          <w:rFonts w:hint="eastAsia" w:ascii="宋体" w:hAnsi="宋体" w:cs="宋体"/>
          <w:sz w:val="24"/>
        </w:rPr>
        <w:t>1、运输方式由供应商及制造厂商自行选择，运输和装卸等风险由供应商承担。</w:t>
      </w:r>
    </w:p>
    <w:p>
      <w:pPr>
        <w:spacing w:line="360" w:lineRule="auto"/>
        <w:ind w:firstLine="480" w:firstLineChars="200"/>
        <w:rPr>
          <w:rFonts w:ascii="宋体" w:hAnsi="宋体" w:cs="宋体"/>
          <w:sz w:val="24"/>
        </w:rPr>
      </w:pPr>
      <w:r>
        <w:rPr>
          <w:rFonts w:hint="eastAsia" w:ascii="宋体" w:hAnsi="宋体" w:cs="宋体"/>
          <w:sz w:val="24"/>
        </w:rPr>
        <w:t>2、自合同生效后起自合同签订之日起150日历日内完成交付。。</w:t>
      </w:r>
    </w:p>
    <w:p>
      <w:pPr>
        <w:spacing w:line="360" w:lineRule="auto"/>
        <w:ind w:firstLine="480" w:firstLineChars="200"/>
        <w:rPr>
          <w:rFonts w:ascii="宋体" w:hAnsi="宋体" w:cs="宋体"/>
          <w:sz w:val="24"/>
        </w:rPr>
      </w:pPr>
      <w:r>
        <w:rPr>
          <w:rFonts w:hint="eastAsia" w:ascii="宋体" w:hAnsi="宋体" w:cs="宋体"/>
          <w:sz w:val="24"/>
        </w:rPr>
        <w:t>3、供应商向采购人交货时应移交全套软件产品，并为用户免费指导和培训操作与维护。</w:t>
      </w:r>
    </w:p>
    <w:p>
      <w:pPr>
        <w:spacing w:line="360" w:lineRule="auto"/>
        <w:ind w:firstLine="480" w:firstLineChars="200"/>
        <w:rPr>
          <w:rFonts w:ascii="宋体" w:hAnsi="宋体" w:cs="宋体"/>
          <w:sz w:val="24"/>
        </w:rPr>
      </w:pPr>
      <w:r>
        <w:rPr>
          <w:rFonts w:hint="eastAsia" w:ascii="宋体" w:hAnsi="宋体" w:cs="宋体"/>
          <w:sz w:val="24"/>
        </w:rPr>
        <w:t>4、供应商应积极保持与采购人良好沟通，保证合同的正常履行，并承担合同义务的履行责任。</w:t>
      </w:r>
    </w:p>
    <w:p>
      <w:pPr>
        <w:spacing w:line="360" w:lineRule="auto"/>
        <w:rPr>
          <w:rFonts w:ascii="宋体" w:hAnsi="宋体" w:cs="宋体"/>
          <w:b/>
          <w:sz w:val="24"/>
        </w:rPr>
      </w:pPr>
      <w:r>
        <w:rPr>
          <w:rFonts w:hint="eastAsia" w:ascii="宋体" w:hAnsi="宋体" w:cs="宋体"/>
          <w:b/>
          <w:sz w:val="24"/>
        </w:rPr>
        <w:t>九、售后服务</w:t>
      </w:r>
    </w:p>
    <w:p>
      <w:pPr>
        <w:tabs>
          <w:tab w:val="left" w:pos="840"/>
        </w:tabs>
        <w:spacing w:line="360" w:lineRule="auto"/>
        <w:ind w:firstLine="480" w:firstLineChars="200"/>
        <w:rPr>
          <w:rFonts w:ascii="宋体" w:hAnsi="宋体" w:cs="宋体"/>
          <w:sz w:val="24"/>
        </w:rPr>
      </w:pPr>
      <w:r>
        <w:rPr>
          <w:rFonts w:hint="eastAsia" w:ascii="宋体" w:hAnsi="宋体" w:cs="宋体"/>
          <w:sz w:val="24"/>
        </w:rPr>
        <w:t>技术支持和售后服务由供应商严格按投标文件及有关承诺执行，确保采购人正确安全使用。系统运行环境出现故障或意外情况导致系统不能正常运行时，影响运行的问题，提供及时上门服务。</w:t>
      </w:r>
    </w:p>
    <w:p>
      <w:pPr>
        <w:tabs>
          <w:tab w:val="left" w:pos="840"/>
        </w:tabs>
        <w:spacing w:line="360" w:lineRule="auto"/>
        <w:ind w:firstLine="480" w:firstLineChars="200"/>
        <w:rPr>
          <w:rFonts w:ascii="宋体" w:hAnsi="宋体" w:cs="宋体"/>
          <w:sz w:val="24"/>
          <w:u w:val="single"/>
        </w:rPr>
      </w:pPr>
      <w:r>
        <w:rPr>
          <w:rFonts w:hint="eastAsia" w:ascii="宋体" w:hAnsi="宋体" w:cs="宋体"/>
          <w:sz w:val="24"/>
        </w:rPr>
        <w:t>售后服务联系方式：</w:t>
      </w:r>
      <w:r>
        <w:rPr>
          <w:rFonts w:hint="eastAsia" w:ascii="宋体" w:hAnsi="宋体" w:cs="宋体"/>
          <w:sz w:val="24"/>
          <w:u w:val="single"/>
        </w:rPr>
        <w:t xml:space="preserve">          </w:t>
      </w:r>
    </w:p>
    <w:p>
      <w:pPr>
        <w:tabs>
          <w:tab w:val="left" w:pos="840"/>
        </w:tabs>
        <w:spacing w:line="360" w:lineRule="auto"/>
        <w:ind w:firstLine="480" w:firstLineChars="200"/>
        <w:rPr>
          <w:rFonts w:ascii="宋体" w:hAnsi="宋体" w:cs="宋体"/>
          <w:b/>
          <w:sz w:val="24"/>
        </w:rPr>
      </w:pPr>
      <w:r>
        <w:rPr>
          <w:rFonts w:hint="eastAsia" w:ascii="宋体" w:hAnsi="宋体" w:cs="宋体"/>
          <w:sz w:val="24"/>
        </w:rPr>
        <w:t>如供应商迨于或不能履行维护保养义务，采购人有权委托第三方处理，由此产生的费用和风险由供应商承担，费用由采购人从质保金中直接扣除，不足部分仍由供应商承担。</w:t>
      </w:r>
    </w:p>
    <w:p>
      <w:pPr>
        <w:numPr>
          <w:ilvl w:val="0"/>
          <w:numId w:val="13"/>
        </w:numPr>
        <w:spacing w:line="360" w:lineRule="auto"/>
        <w:rPr>
          <w:rFonts w:ascii="宋体" w:hAnsi="宋体" w:cs="宋体"/>
          <w:b/>
          <w:sz w:val="24"/>
        </w:rPr>
      </w:pPr>
      <w:r>
        <w:rPr>
          <w:rFonts w:hint="eastAsia" w:ascii="宋体" w:hAnsi="宋体" w:cs="宋体"/>
          <w:b/>
          <w:sz w:val="24"/>
        </w:rPr>
        <w:t>验收</w:t>
      </w:r>
    </w:p>
    <w:p>
      <w:pPr>
        <w:spacing w:line="360" w:lineRule="auto"/>
        <w:ind w:firstLine="480" w:firstLineChars="200"/>
        <w:rPr>
          <w:rFonts w:ascii="宋体" w:hAnsi="宋体" w:cs="宋体"/>
          <w:sz w:val="24"/>
        </w:rPr>
      </w:pPr>
      <w:r>
        <w:rPr>
          <w:rFonts w:hint="eastAsia" w:ascii="宋体" w:hAnsi="宋体" w:cs="宋体"/>
          <w:sz w:val="24"/>
        </w:rPr>
        <w:t>由采购人和投标单位及行业主管部门共同对项目进行整体验收，中标单位负责组织协调验收工作，并承担验收过程中产生的所有费用。验收内容包括确认设备(产品)的产地、规格、型号和数量，对其设备(产品)技术指标、性能参数以及工程质量是否达到现行国家有关验收规范“合格”标准进行逐项检查。</w:t>
      </w:r>
    </w:p>
    <w:p>
      <w:pPr>
        <w:spacing w:line="360" w:lineRule="auto"/>
        <w:rPr>
          <w:rFonts w:ascii="宋体" w:hAnsi="宋体" w:cs="宋体"/>
          <w:sz w:val="24"/>
        </w:rPr>
      </w:pPr>
      <w:r>
        <w:rPr>
          <w:rFonts w:hint="eastAsia" w:ascii="宋体" w:hAnsi="宋体" w:cs="宋体"/>
          <w:sz w:val="24"/>
        </w:rPr>
        <w:t>1.所验设备(产品)的指标、性能参数通过验收达不到招标文件要求和投标文件承诺的，或在使用中发现采购人不能容忍的缺陷等，将视为设备(产品)验收不合格，投标单位应无条件免费更换或退货。</w:t>
      </w:r>
    </w:p>
    <w:p>
      <w:pPr>
        <w:spacing w:line="360" w:lineRule="auto"/>
        <w:rPr>
          <w:rFonts w:ascii="宋体" w:hAnsi="宋体" w:cs="宋体"/>
          <w:sz w:val="24"/>
        </w:rPr>
      </w:pPr>
      <w:r>
        <w:rPr>
          <w:rFonts w:hint="eastAsia" w:ascii="宋体" w:hAnsi="宋体" w:cs="宋体"/>
          <w:sz w:val="24"/>
        </w:rPr>
        <w:t>2.若发现投标单位有弄虚作假的，在投标阶段故意或随意夸大设备(产品)技术性能，投标单位应无条件退货，并赔偿采购人相应的损失。</w:t>
      </w:r>
    </w:p>
    <w:p>
      <w:pPr>
        <w:spacing w:line="360" w:lineRule="auto"/>
        <w:rPr>
          <w:rFonts w:ascii="宋体" w:hAnsi="宋体" w:cs="宋体"/>
          <w:sz w:val="24"/>
        </w:rPr>
      </w:pPr>
      <w:r>
        <w:rPr>
          <w:rFonts w:hint="eastAsia" w:ascii="宋体" w:hAnsi="宋体" w:cs="宋体"/>
          <w:sz w:val="24"/>
        </w:rPr>
        <w:t>3.验收标准：按招标文件、投标文件及澄清函等技术指标进行验收。各项指标均应符合验收标准及要求。</w:t>
      </w:r>
    </w:p>
    <w:p>
      <w:pPr>
        <w:spacing w:line="360" w:lineRule="auto"/>
        <w:rPr>
          <w:rFonts w:ascii="宋体" w:hAnsi="宋体" w:cs="宋体"/>
          <w:sz w:val="24"/>
        </w:rPr>
      </w:pPr>
      <w:r>
        <w:rPr>
          <w:rFonts w:hint="eastAsia" w:ascii="宋体" w:hAnsi="宋体" w:cs="宋体"/>
          <w:sz w:val="24"/>
        </w:rPr>
        <w:t>4.验收合格后，填写验收单，双方签字生效。</w:t>
      </w:r>
    </w:p>
    <w:p>
      <w:pPr>
        <w:spacing w:line="360" w:lineRule="auto"/>
        <w:rPr>
          <w:rFonts w:ascii="宋体" w:hAnsi="宋体" w:cs="宋体"/>
          <w:sz w:val="24"/>
        </w:rPr>
      </w:pPr>
      <w:r>
        <w:rPr>
          <w:rFonts w:hint="eastAsia" w:ascii="宋体" w:hAnsi="宋体" w:cs="宋体"/>
          <w:sz w:val="24"/>
        </w:rPr>
        <w:t>5.验收依据：</w:t>
      </w:r>
    </w:p>
    <w:p>
      <w:pPr>
        <w:spacing w:line="360" w:lineRule="auto"/>
        <w:rPr>
          <w:rFonts w:ascii="宋体" w:hAnsi="宋体" w:cs="宋体"/>
          <w:sz w:val="24"/>
        </w:rPr>
      </w:pPr>
      <w:r>
        <w:rPr>
          <w:rFonts w:hint="eastAsia" w:ascii="宋体" w:hAnsi="宋体" w:cs="宋体"/>
          <w:sz w:val="24"/>
        </w:rPr>
        <w:t>1)合同文本；</w:t>
      </w:r>
    </w:p>
    <w:p>
      <w:pPr>
        <w:spacing w:line="360" w:lineRule="auto"/>
        <w:rPr>
          <w:rFonts w:ascii="宋体" w:hAnsi="宋体" w:cs="宋体"/>
          <w:sz w:val="24"/>
        </w:rPr>
      </w:pPr>
      <w:r>
        <w:rPr>
          <w:rFonts w:hint="eastAsia" w:ascii="宋体" w:hAnsi="宋体" w:cs="宋体"/>
          <w:sz w:val="24"/>
        </w:rPr>
        <w:t>2)投标文件及澄清函、招标文件；</w:t>
      </w:r>
    </w:p>
    <w:p>
      <w:pPr>
        <w:spacing w:line="360" w:lineRule="auto"/>
        <w:rPr>
          <w:rFonts w:ascii="宋体" w:hAnsi="宋体" w:cs="宋体"/>
          <w:sz w:val="24"/>
        </w:rPr>
      </w:pPr>
      <w:r>
        <w:rPr>
          <w:rFonts w:hint="eastAsia" w:ascii="宋体" w:hAnsi="宋体" w:cs="宋体"/>
          <w:sz w:val="24"/>
        </w:rPr>
        <w:t>3)国家和行业制定的相应的标准和规范。</w:t>
      </w:r>
    </w:p>
    <w:p>
      <w:pPr>
        <w:spacing w:line="360" w:lineRule="auto"/>
        <w:rPr>
          <w:rFonts w:ascii="宋体" w:hAnsi="宋体" w:cs="宋体"/>
          <w:sz w:val="24"/>
        </w:rPr>
      </w:pPr>
      <w:r>
        <w:rPr>
          <w:rFonts w:hint="eastAsia" w:ascii="宋体" w:hAnsi="宋体" w:cs="宋体"/>
          <w:sz w:val="24"/>
        </w:rPr>
        <w:t>设备(产品)验收清单（注明各部件的品名、数量、规格型号和原产地或生产厂家）。</w:t>
      </w:r>
    </w:p>
    <w:p>
      <w:pPr>
        <w:spacing w:line="360" w:lineRule="auto"/>
        <w:rPr>
          <w:rFonts w:ascii="宋体" w:hAnsi="宋体" w:cs="宋体"/>
          <w:b/>
          <w:sz w:val="24"/>
        </w:rPr>
      </w:pPr>
      <w:r>
        <w:rPr>
          <w:rFonts w:hint="eastAsia" w:ascii="宋体" w:hAnsi="宋体" w:cs="宋体"/>
          <w:b/>
          <w:sz w:val="24"/>
        </w:rPr>
        <w:t>十一、保密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十二、知识产权</w:t>
      </w:r>
    </w:p>
    <w:p>
      <w:pPr>
        <w:spacing w:line="360" w:lineRule="auto"/>
        <w:rPr>
          <w:rFonts w:ascii="宋体" w:hAnsi="宋体" w:cs="宋体"/>
          <w:sz w:val="24"/>
        </w:rPr>
      </w:pPr>
      <w:r>
        <w:rPr>
          <w:rFonts w:hint="eastAsia" w:ascii="宋体" w:hAnsi="宋体" w:cs="宋体"/>
          <w:sz w:val="24"/>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360" w:lineRule="auto"/>
        <w:rPr>
          <w:rFonts w:ascii="宋体" w:hAnsi="宋体" w:cs="宋体"/>
          <w:b/>
          <w:sz w:val="24"/>
        </w:rPr>
      </w:pPr>
      <w:r>
        <w:rPr>
          <w:rFonts w:hint="eastAsia" w:ascii="宋体" w:hAnsi="宋体" w:cs="宋体"/>
          <w:b/>
          <w:sz w:val="24"/>
        </w:rPr>
        <w:t>十三、合同争议的解决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十四、不可抗力情况下的免责约定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十五、违约责任</w:t>
      </w:r>
    </w:p>
    <w:p>
      <w:pPr>
        <w:spacing w:line="360" w:lineRule="auto"/>
        <w:rPr>
          <w:rFonts w:ascii="宋体" w:hAnsi="宋体" w:cs="宋体"/>
          <w:sz w:val="24"/>
        </w:rPr>
      </w:pPr>
      <w:r>
        <w:rPr>
          <w:rFonts w:hint="eastAsia" w:ascii="宋体" w:hAnsi="宋体" w:cs="宋体"/>
          <w:sz w:val="24"/>
        </w:rPr>
        <w:t xml:space="preserve">    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spacing w:line="360" w:lineRule="auto"/>
        <w:rPr>
          <w:rFonts w:ascii="宋体" w:hAnsi="宋体" w:cs="宋体"/>
          <w:sz w:val="24"/>
        </w:rPr>
      </w:pPr>
      <w:r>
        <w:rPr>
          <w:rFonts w:hint="eastAsia" w:ascii="宋体" w:hAnsi="宋体" w:cs="宋体"/>
          <w:b/>
          <w:sz w:val="24"/>
        </w:rPr>
        <w:t>十六、其他（</w:t>
      </w:r>
      <w:r>
        <w:rPr>
          <w:rFonts w:hint="eastAsia" w:ascii="宋体" w:hAnsi="宋体" w:cs="宋体"/>
          <w:sz w:val="24"/>
        </w:rPr>
        <w:t>在合同中具体明确）</w:t>
      </w:r>
    </w:p>
    <w:p>
      <w:pPr>
        <w:spacing w:line="360" w:lineRule="auto"/>
        <w:rPr>
          <w:rFonts w:ascii="宋体" w:hAnsi="宋体" w:cs="宋体"/>
          <w:b/>
          <w:sz w:val="24"/>
        </w:rPr>
      </w:pPr>
      <w:r>
        <w:rPr>
          <w:rFonts w:hint="eastAsia" w:ascii="宋体" w:hAnsi="宋体" w:cs="宋体"/>
          <w:b/>
          <w:sz w:val="24"/>
        </w:rPr>
        <w:t>十七、合同订立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w:t>
      </w:r>
      <w:r>
        <w:rPr>
          <w:rFonts w:hint="eastAsia" w:ascii="宋体" w:hAnsi="宋体" w:cs="宋体"/>
          <w:sz w:val="24"/>
          <w:u w:val="single"/>
        </w:rPr>
        <w:t xml:space="preserve">                             </w:t>
      </w:r>
      <w:r>
        <w:rPr>
          <w:rFonts w:hint="eastAsia" w:ascii="宋体" w:hAnsi="宋体" w:cs="宋体"/>
          <w:sz w:val="24"/>
        </w:rPr>
        <w:t>。</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3. 本合同一式</w:t>
      </w:r>
      <w:r>
        <w:rPr>
          <w:rFonts w:hint="eastAsia" w:ascii="宋体" w:hAnsi="宋体" w:cs="宋体"/>
          <w:sz w:val="24"/>
          <w:u w:val="single"/>
        </w:rPr>
        <w:t xml:space="preserve">   </w:t>
      </w:r>
      <w:r>
        <w:rPr>
          <w:rFonts w:hint="eastAsia" w:ascii="宋体" w:hAnsi="宋体" w:cs="宋体"/>
          <w:sz w:val="24"/>
        </w:rPr>
        <w:t>份，具有同等法律效力，双方各执</w:t>
      </w:r>
      <w:r>
        <w:rPr>
          <w:rFonts w:hint="eastAsia" w:ascii="宋体" w:hAnsi="宋体" w:cs="宋体"/>
          <w:sz w:val="24"/>
          <w:u w:val="single"/>
        </w:rPr>
        <w:t xml:space="preserve">   </w:t>
      </w:r>
      <w:r>
        <w:rPr>
          <w:rFonts w:hint="eastAsia" w:ascii="宋体" w:hAnsi="宋体" w:cs="宋体"/>
          <w:sz w:val="24"/>
        </w:rPr>
        <w:t>份，监管部门备案</w:t>
      </w:r>
      <w:r>
        <w:rPr>
          <w:rFonts w:hint="eastAsia" w:ascii="宋体" w:hAnsi="宋体" w:cs="宋体"/>
          <w:sz w:val="24"/>
          <w:u w:val="single"/>
        </w:rPr>
        <w:t xml:space="preserve">    </w:t>
      </w:r>
      <w:r>
        <w:rPr>
          <w:rFonts w:hint="eastAsia" w:ascii="宋体" w:hAnsi="宋体" w:cs="宋体"/>
          <w:sz w:val="24"/>
        </w:rPr>
        <w:t xml:space="preserve">份、采购代理机构存档 </w:t>
      </w:r>
      <w:r>
        <w:rPr>
          <w:rFonts w:hint="eastAsia" w:ascii="宋体" w:hAnsi="宋体" w:cs="宋体"/>
          <w:sz w:val="24"/>
          <w:u w:val="single"/>
        </w:rPr>
        <w:t xml:space="preserve">壹 </w:t>
      </w:r>
      <w:r>
        <w:rPr>
          <w:rFonts w:hint="eastAsia" w:ascii="宋体" w:hAnsi="宋体" w:cs="宋体"/>
          <w:sz w:val="24"/>
        </w:rPr>
        <w:t>份。各方签字盖章后生效，合同执行完毕自动失效。（合同的服务承诺则长期有效）。</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500" w:lineRule="exact"/>
        <w:ind w:firstLine="480" w:firstLineChars="200"/>
        <w:rPr>
          <w:rFonts w:ascii="仿宋" w:hAnsi="仿宋" w:eastAsia="仿宋" w:cs="仿宋"/>
          <w:b/>
          <w:bCs/>
          <w:sz w:val="22"/>
          <w:szCs w:val="22"/>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 xml:space="preserve">          电子邮箱：</w:t>
      </w:r>
      <w:r>
        <w:rPr>
          <w:rFonts w:hint="eastAsia" w:ascii="宋体" w:hAnsi="宋体" w:cs="宋体"/>
          <w:sz w:val="24"/>
          <w:u w:val="single"/>
        </w:rPr>
        <w:t xml:space="preserve">                   </w:t>
      </w:r>
      <w:r>
        <w:rPr>
          <w:rFonts w:hint="eastAsia" w:ascii="宋体" w:hAnsi="宋体" w:cs="宋体"/>
          <w:szCs w:val="22"/>
        </w:rPr>
        <w:t xml:space="preserve"> </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pStyle w:val="3"/>
        <w:jc w:val="center"/>
      </w:pPr>
      <w:bookmarkStart w:id="263" w:name="_Toc28836"/>
      <w:r>
        <w:rPr>
          <w:rFonts w:hint="eastAsia"/>
        </w:rPr>
        <w:t>第六章 投标文件格式</w:t>
      </w:r>
      <w:bookmarkEnd w:id="158"/>
      <w:bookmarkEnd w:id="259"/>
      <w:bookmarkEnd w:id="260"/>
      <w:bookmarkEnd w:id="261"/>
      <w:bookmarkEnd w:id="262"/>
      <w:bookmarkEnd w:id="263"/>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bookmarkStart w:id="264" w:name="_Toc217446082"/>
    </w:p>
    <w:p>
      <w:pPr>
        <w:rPr>
          <w:rFonts w:asciiTheme="minorEastAsia" w:hAnsiTheme="minorEastAsia" w:eastAsiaTheme="minorEastAsia"/>
          <w:b/>
          <w:sz w:val="24"/>
        </w:rPr>
      </w:pPr>
      <w:r>
        <w:rPr>
          <w:rFonts w:hint="eastAsia" w:asciiTheme="minorEastAsia" w:hAnsiTheme="minorEastAsia" w:eastAsiaTheme="minorEastAsia"/>
          <w:b/>
          <w:sz w:val="24"/>
        </w:rPr>
        <w:t>项目编号：YFC2022-GP-008H                                     正本/副本</w:t>
      </w:r>
    </w:p>
    <w:p>
      <w:pPr>
        <w:spacing w:line="360" w:lineRule="auto"/>
        <w:rPr>
          <w:rFonts w:cs="宋体" w:asciiTheme="minorEastAsia" w:hAnsiTheme="minorEastAsia" w:eastAsiaTheme="minorEastAsia"/>
          <w:b/>
          <w:sz w:val="44"/>
          <w:szCs w:val="28"/>
        </w:rPr>
      </w:pPr>
    </w:p>
    <w:p/>
    <w:p/>
    <w:p/>
    <w:p>
      <w:pPr>
        <w:tabs>
          <w:tab w:val="left" w:pos="7665"/>
        </w:tabs>
        <w:spacing w:line="360" w:lineRule="auto"/>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                           </w:t>
      </w:r>
    </w:p>
    <w:p>
      <w:pPr>
        <w:tabs>
          <w:tab w:val="left" w:pos="7665"/>
        </w:tabs>
        <w:spacing w:line="360" w:lineRule="auto"/>
        <w:jc w:val="center"/>
        <w:rPr>
          <w:rFonts w:hint="eastAsia" w:cs="宋体" w:asciiTheme="minorEastAsia" w:hAnsiTheme="minorEastAsia" w:eastAsiaTheme="minorEastAsia"/>
          <w:b/>
          <w:bCs/>
          <w:sz w:val="44"/>
          <w:szCs w:val="44"/>
          <w:lang w:eastAsia="zh-CN"/>
        </w:rPr>
      </w:pPr>
      <w:r>
        <w:rPr>
          <w:rFonts w:hint="eastAsia" w:cs="宋体" w:asciiTheme="minorEastAsia" w:hAnsiTheme="minorEastAsia" w:eastAsiaTheme="minorEastAsia"/>
          <w:b/>
          <w:bCs/>
          <w:sz w:val="44"/>
          <w:szCs w:val="44"/>
          <w:lang w:eastAsia="zh-CN"/>
        </w:rPr>
        <w:t>陕西省无线电管理委员会</w:t>
      </w:r>
    </w:p>
    <w:p>
      <w:pPr>
        <w:tabs>
          <w:tab w:val="left" w:pos="7665"/>
        </w:tabs>
        <w:spacing w:line="360" w:lineRule="auto"/>
        <w:jc w:val="center"/>
        <w:rPr>
          <w:rFonts w:hint="eastAsia" w:cs="宋体" w:asciiTheme="minorEastAsia" w:hAnsiTheme="minorEastAsia" w:eastAsiaTheme="minorEastAsia"/>
          <w:b/>
          <w:bCs/>
          <w:sz w:val="44"/>
          <w:szCs w:val="44"/>
          <w:lang w:eastAsia="zh-CN"/>
        </w:rPr>
      </w:pPr>
      <w:r>
        <w:rPr>
          <w:rFonts w:hint="eastAsia" w:cs="宋体" w:asciiTheme="minorEastAsia" w:hAnsiTheme="minorEastAsia" w:eastAsiaTheme="minorEastAsia"/>
          <w:b/>
          <w:bCs/>
          <w:sz w:val="44"/>
          <w:szCs w:val="44"/>
          <w:lang w:eastAsia="zh-CN"/>
        </w:rPr>
        <w:t>电磁信号智能分析系统采购项目</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pStyle w:val="2"/>
      </w:pPr>
    </w:p>
    <w:p/>
    <w:p>
      <w:pPr>
        <w:pStyle w:val="2"/>
      </w:pPr>
    </w:p>
    <w:p/>
    <w:p>
      <w:pPr>
        <w:pStyle w:val="2"/>
      </w:pPr>
    </w:p>
    <w:p/>
    <w:p>
      <w:pPr>
        <w:pStyle w:val="2"/>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264"/>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65" w:name="_Toc1954_WPSOffice_Level2"/>
      <w:r>
        <w:rPr>
          <w:rFonts w:hint="eastAsia" w:cs="宋体" w:asciiTheme="minorEastAsia" w:hAnsiTheme="minorEastAsia" w:eastAsiaTheme="minorEastAsia"/>
          <w:b/>
          <w:bCs/>
          <w:sz w:val="24"/>
        </w:rPr>
        <w:t>2.法定代表人（单位负责人）身份证明</w:t>
      </w:r>
      <w:bookmarkEnd w:id="265"/>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66" w:name="_Toc27507_WPSOffice_Level2"/>
      <w:r>
        <w:rPr>
          <w:rFonts w:hint="eastAsia" w:cs="宋体" w:asciiTheme="minorEastAsia" w:hAnsiTheme="minorEastAsia" w:eastAsiaTheme="minorEastAsia"/>
          <w:b/>
          <w:bCs/>
          <w:sz w:val="24"/>
        </w:rPr>
        <w:t>3.法定代表人授权书</w:t>
      </w:r>
      <w:bookmarkEnd w:id="266"/>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 xml:space="preserve">（姓名）系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 xml:space="preserve">名称）的法定代表人（单位负责人），现委托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（被委托人姓名）为我方代理人。代理人根据授权，以我方的名义签署、澄清确认、递交、撤回、修改</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zh-CN"/>
              </w:rPr>
              <w:t>委托代理人身份证复印件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4.投标供应商资格证明文件</w:t>
      </w:r>
    </w:p>
    <w:p>
      <w:pPr>
        <w:tabs>
          <w:tab w:val="left" w:pos="7665"/>
        </w:tabs>
        <w:spacing w:line="360" w:lineRule="auto"/>
        <w:ind w:firstLine="480" w:firstLineChars="200"/>
        <w:rPr>
          <w:rFonts w:cs="宋体" w:asciiTheme="minorEastAsia" w:hAnsiTheme="minorEastAsia" w:eastAsiaTheme="minorEastAsia"/>
          <w:sz w:val="24"/>
        </w:rPr>
      </w:pP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rPr>
          <w:rFonts w:ascii="宋体" w:hAnsi="宋体" w:cs="宋体"/>
          <w:sz w:val="24"/>
        </w:rPr>
      </w:pPr>
      <w:r>
        <w:rPr>
          <w:rFonts w:hint="eastAsia" w:cs="宋体" w:asciiTheme="minorEastAsia" w:hAnsiTheme="minorEastAsia" w:eastAsiaTheme="minorEastAsia"/>
          <w:sz w:val="24"/>
          <w:lang w:val="zh-CN"/>
        </w:rPr>
        <w:t>（4）社会保障资金缴纳证明：</w:t>
      </w:r>
      <w:r>
        <w:rPr>
          <w:rFonts w:hint="eastAsia" w:ascii="宋体" w:hAnsi="宋体" w:cs="宋体"/>
          <w:sz w:val="24"/>
        </w:rPr>
        <w:t>1）提供供应商2021年1月1日至今任意一个月已缴纳的社会保障资金缴存单据或社保机构开具的社会保险参保缴费情况证明；</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2）依法不需要缴纳社会保障资金的供应商应提供相关文件证明；</w:t>
      </w:r>
    </w:p>
    <w:p>
      <w:pPr>
        <w:spacing w:line="360" w:lineRule="auto"/>
        <w:rPr>
          <w:rFonts w:ascii="宋体" w:hAnsi="宋体" w:cs="宋体"/>
          <w:sz w:val="24"/>
        </w:rPr>
      </w:pPr>
      <w:r>
        <w:rPr>
          <w:rFonts w:hint="eastAsia" w:ascii="宋体" w:hAnsi="宋体" w:cs="宋体"/>
          <w:sz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4）新成立未发生缴纳社保资金事项的供应商，应提供缴纳社保资金的书面承诺；</w:t>
      </w:r>
    </w:p>
    <w:p>
      <w:pPr>
        <w:spacing w:line="360" w:lineRule="auto"/>
        <w:rPr>
          <w:rFonts w:ascii="宋体" w:hAnsi="宋体" w:cs="宋体"/>
          <w:sz w:val="24"/>
        </w:rPr>
      </w:pPr>
      <w:r>
        <w:rPr>
          <w:rFonts w:hint="eastAsia" w:cs="宋体" w:asciiTheme="minorEastAsia" w:hAnsiTheme="minorEastAsia" w:eastAsiaTheme="minorEastAsia"/>
          <w:sz w:val="24"/>
          <w:lang w:val="zh-CN"/>
        </w:rPr>
        <w:t>（5）税收缴纳证明：</w:t>
      </w:r>
      <w:r>
        <w:rPr>
          <w:rFonts w:hint="eastAsia" w:ascii="宋体" w:hAnsi="宋体" w:cs="宋体"/>
          <w:sz w:val="24"/>
        </w:rPr>
        <w:t>1）提供供应商2021年1月1日至今任意一个月已缴纳完税凭证或税务机关开具的完税证明（提供增值税、企业所得税至少一种）；</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2）依法免税的应提供相关文件证明；</w:t>
      </w:r>
    </w:p>
    <w:p>
      <w:pPr>
        <w:pStyle w:val="16"/>
        <w:tabs>
          <w:tab w:val="left" w:pos="851"/>
        </w:tabs>
        <w:adjustRightInd w:val="0"/>
        <w:snapToGrid w:val="0"/>
        <w:spacing w:line="360" w:lineRule="auto"/>
        <w:rPr>
          <w:rFonts w:hAnsi="宋体" w:cs="宋体"/>
          <w:sz w:val="24"/>
          <w:szCs w:val="24"/>
        </w:rPr>
      </w:pPr>
      <w:r>
        <w:rPr>
          <w:rFonts w:hint="eastAsia" w:hAnsi="宋体" w:cs="宋体"/>
          <w:sz w:val="24"/>
          <w:szCs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4）新成立未发生缴纳税收事项的供应商，应提供纳税书面承诺。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kern w:val="2"/>
          <w:sz w:val="24"/>
          <w:szCs w:val="24"/>
          <w:lang w:val="zh-CN"/>
        </w:rPr>
      </w:pPr>
      <w:r>
        <w:rPr>
          <w:rFonts w:hint="eastAsia" w:cs="宋体" w:asciiTheme="minorEastAsia" w:hAnsiTheme="minorEastAsia" w:eastAsiaTheme="minorEastAsia"/>
          <w:sz w:val="24"/>
          <w:lang w:val="zh-CN"/>
        </w:rPr>
        <w:t>注：事业</w:t>
      </w:r>
      <w:r>
        <w:rPr>
          <w:rFonts w:hint="eastAsia" w:cs="宋体" w:asciiTheme="minorEastAsia" w:hAnsiTheme="minorEastAsia" w:eastAsiaTheme="minorEastAsia"/>
          <w:kern w:val="2"/>
          <w:sz w:val="24"/>
          <w:szCs w:val="24"/>
          <w:lang w:val="zh-CN"/>
        </w:rPr>
        <w:t>单位法人参与投标可不提供财务状况报告、社会保障资金缴纳证明及税收缴纳证明。</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（9）中小企业声明函</w:t>
      </w:r>
    </w:p>
    <w:p>
      <w:pPr>
        <w:autoSpaceDE w:val="0"/>
        <w:autoSpaceDN w:val="0"/>
        <w:spacing w:line="460" w:lineRule="exact"/>
        <w:jc w:val="left"/>
        <w:rPr>
          <w:rFonts w:cs="宋体" w:asciiTheme="minorEastAsia" w:hAnsiTheme="minorEastAsia" w:eastAsiaTheme="minorEastAsia"/>
          <w:sz w:val="24"/>
          <w:lang w:val="zh-CN"/>
        </w:rPr>
      </w:pPr>
    </w:p>
    <w:p>
      <w:pPr>
        <w:autoSpaceDE w:val="0"/>
        <w:autoSpaceDN w:val="0"/>
        <w:spacing w:line="460" w:lineRule="exact"/>
        <w:jc w:val="left"/>
        <w:rPr>
          <w:rFonts w:ascii="宋体" w:hAnsi="宋体" w:cs="宋体"/>
          <w:b/>
          <w:bCs/>
          <w:szCs w:val="22"/>
          <w:lang w:val="zh-CN"/>
        </w:rPr>
      </w:pP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1、以上资格证明文件为必备资格，缺项或者符合性、有效性、合法性审核不合格的，自动丧失供应商资格。</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r>
        <w:rPr>
          <w:rFonts w:asciiTheme="minorEastAsia" w:hAnsiTheme="minorEastAsia" w:eastAsiaTheme="minorEastAsia"/>
        </w:rPr>
        <w:t xml:space="preserve"> </w:t>
      </w:r>
      <w:bookmarkStart w:id="267" w:name="_Toc11170_WPSOffice_Level2"/>
      <w:r>
        <w:rPr>
          <w:rFonts w:hint="eastAsia" w:cs="宋体" w:asciiTheme="minorEastAsia" w:hAnsiTheme="minorEastAsia" w:eastAsiaTheme="minorEastAsia"/>
          <w:b/>
          <w:bCs/>
          <w:sz w:val="24"/>
        </w:rPr>
        <w:t>5.</w:t>
      </w:r>
      <w:bookmarkEnd w:id="267"/>
      <w:r>
        <w:rPr>
          <w:rFonts w:hint="eastAsia" w:cs="宋体" w:asciiTheme="minorEastAsia" w:hAnsiTheme="minorEastAsia" w:eastAsiaTheme="minorEastAsia"/>
          <w:sz w:val="24"/>
        </w:rPr>
        <w:t xml:space="preserve"> </w:t>
      </w:r>
      <w:bookmarkStart w:id="268"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268"/>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269" w:name="_Toc7962_WPSOffice_Level2"/>
      <w:r>
        <w:rPr>
          <w:rFonts w:hint="eastAsia" w:cs="宋体" w:asciiTheme="minorEastAsia" w:hAnsiTheme="minorEastAsia" w:eastAsiaTheme="minorEastAsia"/>
          <w:b/>
          <w:bCs/>
          <w:sz w:val="24"/>
        </w:rPr>
        <w:br w:type="page"/>
      </w:r>
      <w:bookmarkEnd w:id="269"/>
      <w:bookmarkStart w:id="270"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270"/>
    </w:p>
    <w:p>
      <w:pPr>
        <w:spacing w:line="360" w:lineRule="auto"/>
        <w:rPr>
          <w:rFonts w:ascii="宋体" w:hAnsi="宋体" w:cs="宋体"/>
          <w:spacing w:val="4"/>
          <w:u w:val="single"/>
        </w:rPr>
      </w:pPr>
    </w:p>
    <w:p>
      <w:pPr>
        <w:spacing w:line="360" w:lineRule="auto"/>
        <w:rPr>
          <w:rFonts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rPr>
      </w:pPr>
    </w:p>
    <w:p>
      <w:pPr>
        <w:pStyle w:val="2"/>
        <w:rPr>
          <w:rFonts w:ascii="宋体" w:hAnsi="宋体" w:cs="宋体"/>
        </w:rPr>
      </w:pPr>
    </w:p>
    <w:p>
      <w:pPr>
        <w:rPr>
          <w:rFonts w:ascii="宋体" w:hAnsi="宋体" w:cs="宋体"/>
        </w:rPr>
      </w:pPr>
    </w:p>
    <w:p>
      <w:pPr>
        <w:ind w:firstLine="2940" w:firstLineChars="1400"/>
        <w:rPr>
          <w:rFonts w:ascii="宋体" w:hAnsi="宋体" w:cs="宋体"/>
          <w:u w:val="single"/>
        </w:rPr>
      </w:pPr>
      <w:r>
        <w:rPr>
          <w:rFonts w:hint="eastAsia" w:ascii="宋体" w:hAnsi="宋体" w:cs="宋体"/>
        </w:rPr>
        <w:t xml:space="preserve">投标供应商： </w:t>
      </w:r>
      <w:r>
        <w:rPr>
          <w:rFonts w:hint="eastAsia" w:ascii="宋体" w:hAnsi="宋体" w:cs="宋体"/>
          <w:u w:val="single"/>
        </w:rPr>
        <w:t xml:space="preserve">          （盖章）             </w:t>
      </w:r>
    </w:p>
    <w:p>
      <w:pPr>
        <w:ind w:right="360"/>
        <w:jc w:val="right"/>
        <w:rPr>
          <w:rFonts w:ascii="宋体" w:hAnsi="宋体" w:cs="宋体"/>
        </w:rPr>
      </w:pPr>
    </w:p>
    <w:p>
      <w:pPr>
        <w:ind w:right="240"/>
        <w:jc w:val="center"/>
        <w:rPr>
          <w:rFonts w:ascii="宋体" w:hAnsi="宋体" w:cs="宋体"/>
          <w:u w:val="single"/>
        </w:rPr>
      </w:pPr>
      <w:r>
        <w:rPr>
          <w:rFonts w:hint="eastAsia" w:ascii="宋体" w:hAnsi="宋体" w:cs="宋体"/>
        </w:rPr>
        <w:t xml:space="preserve">                 法定代表人或其授权代理人： </w:t>
      </w:r>
      <w:r>
        <w:rPr>
          <w:rFonts w:hint="eastAsia" w:ascii="宋体" w:hAnsi="宋体" w:cs="宋体"/>
          <w:u w:val="single"/>
        </w:rPr>
        <w:t>（签字或签章）</w:t>
      </w:r>
    </w:p>
    <w:p>
      <w:pPr>
        <w:wordWrap w:val="0"/>
        <w:ind w:right="360" w:firstLine="2310" w:firstLineChars="1100"/>
        <w:rPr>
          <w:rFonts w:ascii="宋体" w:hAnsi="宋体" w:cs="宋体"/>
        </w:rPr>
      </w:pPr>
      <w:r>
        <w:rPr>
          <w:rFonts w:hint="eastAsia" w:ascii="宋体" w:hAnsi="宋体" w:cs="宋体"/>
        </w:rPr>
        <w:t xml:space="preserve"> </w:t>
      </w:r>
    </w:p>
    <w:p>
      <w:pPr>
        <w:tabs>
          <w:tab w:val="left" w:pos="7665"/>
        </w:tabs>
        <w:spacing w:line="360" w:lineRule="auto"/>
        <w:rPr>
          <w:rFonts w:cs="宋体" w:asciiTheme="minorEastAsia" w:hAnsiTheme="minorEastAsia" w:eastAsiaTheme="minorEastAsia"/>
          <w:b/>
          <w:bCs/>
          <w:sz w:val="24"/>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1、投标人股东及股权证明。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2、投标人在本项目投标中，不存在与其它投标人负责人为同一人，有控股、管理等关联关 系承诺。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2-1、管理关系说明：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我单位管理的具有独立法人的下属单位有：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我单位的上级管理单位有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2-2、股权关系说明：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我单位控股的单位有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我单位被单位控股</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u w:val="single"/>
        </w:rPr>
      </w:pPr>
      <w:r>
        <w:rPr>
          <w:rFonts w:hint="eastAsia" w:ascii="宋体" w:hAnsi="宋体" w:cs="宋体"/>
          <w:spacing w:val="4"/>
        </w:rPr>
        <w:t>2-3、单位负责人：</w:t>
      </w:r>
      <w:r>
        <w:rPr>
          <w:rFonts w:hint="eastAsia" w:ascii="宋体" w:hAnsi="宋体" w:cs="宋体"/>
          <w:spacing w:val="4"/>
          <w:u w:val="single"/>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3、其他与本项目有关的利害关系说明：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我单位承诺以上说明真实有效，无虚假内容或隐瞒。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供应商： （盖单位公章） </w:t>
      </w:r>
    </w:p>
    <w:p>
      <w:pPr>
        <w:spacing w:before="240" w:beforeLines="100" w:after="120" w:afterLines="50" w:line="360" w:lineRule="auto"/>
        <w:ind w:firstLine="436" w:firstLineChars="200"/>
        <w:jc w:val="right"/>
        <w:rPr>
          <w:rFonts w:ascii="宋体" w:hAnsi="宋体" w:cs="宋体"/>
          <w:spacing w:val="4"/>
        </w:rPr>
      </w:pPr>
      <w:r>
        <w:rPr>
          <w:rFonts w:hint="eastAsia" w:ascii="宋体" w:hAnsi="宋体" w:cs="宋体"/>
          <w:spacing w:val="4"/>
        </w:rPr>
        <w:t xml:space="preserve">法定代表人或授权代表： （签字或盖章）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日期：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tabs>
          <w:tab w:val="left" w:pos="7665"/>
        </w:tabs>
        <w:spacing w:line="360" w:lineRule="auto"/>
        <w:ind w:firstLine="480" w:firstLineChars="200"/>
        <w:rPr>
          <w:rFonts w:cs="宋体" w:asciiTheme="minorEastAsia" w:hAnsiTheme="minorEastAsia" w:eastAsiaTheme="minorEastAsia"/>
          <w:sz w:val="24"/>
        </w:rPr>
      </w:pPr>
      <w:bookmarkStart w:id="271" w:name="_Toc16434_WPSOffice_Level1"/>
    </w:p>
    <w:bookmarkEnd w:id="271"/>
    <w:p>
      <w:pPr>
        <w:tabs>
          <w:tab w:val="left" w:pos="7665"/>
        </w:tabs>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项目编号：</w:t>
      </w:r>
      <w:r>
        <w:rPr>
          <w:rFonts w:hint="eastAsia" w:cs="宋体" w:asciiTheme="minorEastAsia" w:hAnsiTheme="minorEastAsia" w:eastAsiaTheme="minorEastAsia"/>
          <w:b/>
          <w:sz w:val="24"/>
        </w:rPr>
        <w:t>YFC2022-GP-008H</w:t>
      </w:r>
      <w:bookmarkStart w:id="272" w:name="_Toc13996_WPSOffice_Level1"/>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sz w:val="24"/>
        </w:rPr>
        <w:t>正本/副本</w:t>
      </w:r>
      <w:bookmarkEnd w:id="272"/>
    </w:p>
    <w:p>
      <w:pPr>
        <w:spacing w:line="360" w:lineRule="auto"/>
        <w:rPr>
          <w:rFonts w:cs="宋体" w:asciiTheme="minorEastAsia" w:hAnsiTheme="minorEastAsia" w:eastAsiaTheme="minorEastAsia"/>
          <w:b/>
          <w:sz w:val="28"/>
          <w:szCs w:val="28"/>
        </w:rPr>
      </w:pP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tabs>
          <w:tab w:val="left" w:pos="7665"/>
        </w:tabs>
        <w:spacing w:line="360" w:lineRule="auto"/>
        <w:jc w:val="center"/>
        <w:rPr>
          <w:rFonts w:hint="eastAsia" w:cs="宋体" w:asciiTheme="minorEastAsia" w:hAnsiTheme="minorEastAsia" w:eastAsiaTheme="minorEastAsia"/>
          <w:b/>
          <w:bCs/>
          <w:sz w:val="44"/>
          <w:szCs w:val="44"/>
          <w:lang w:eastAsia="zh-CN"/>
        </w:rPr>
      </w:pPr>
      <w:r>
        <w:rPr>
          <w:rFonts w:hint="eastAsia" w:cs="宋体" w:asciiTheme="minorEastAsia" w:hAnsiTheme="minorEastAsia" w:eastAsiaTheme="minorEastAsia"/>
          <w:b/>
          <w:bCs/>
          <w:sz w:val="44"/>
          <w:szCs w:val="44"/>
          <w:lang w:eastAsia="zh-CN"/>
        </w:rPr>
        <w:t>陕西省无线电管理委员会电磁信号智能分析系统采购项目</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273" w:name="_Toc29073_WPSOffice_Level1"/>
      <w:r>
        <w:rPr>
          <w:rFonts w:hint="eastAsia" w:cs="宋体" w:asciiTheme="minorEastAsia" w:hAnsiTheme="minorEastAsia" w:eastAsiaTheme="minorEastAsia"/>
          <w:b/>
          <w:bCs/>
          <w:sz w:val="24"/>
        </w:rPr>
        <w:t>投标供应商：                        （盖单位章）</w:t>
      </w:r>
      <w:bookmarkEnd w:id="273"/>
    </w:p>
    <w:p>
      <w:pPr>
        <w:tabs>
          <w:tab w:val="left" w:pos="7665"/>
        </w:tabs>
        <w:spacing w:line="360" w:lineRule="auto"/>
        <w:ind w:firstLine="1205" w:firstLineChars="500"/>
        <w:rPr>
          <w:rFonts w:cs="宋体" w:asciiTheme="minorEastAsia" w:hAnsiTheme="minorEastAsia" w:eastAsiaTheme="minorEastAsia"/>
          <w:b/>
          <w:bCs/>
          <w:sz w:val="24"/>
        </w:rPr>
      </w:pPr>
      <w:bookmarkStart w:id="274" w:name="_Toc11565_WPSOffice_Level1"/>
      <w:r>
        <w:rPr>
          <w:rFonts w:hint="eastAsia" w:cs="宋体" w:asciiTheme="minorEastAsia" w:hAnsiTheme="minorEastAsia" w:eastAsiaTheme="minorEastAsia"/>
          <w:b/>
          <w:bCs/>
          <w:sz w:val="24"/>
        </w:rPr>
        <w:t>法定代表人或其委托代理人：          （签字）</w:t>
      </w:r>
      <w:bookmarkEnd w:id="274"/>
    </w:p>
    <w:p>
      <w:pPr>
        <w:tabs>
          <w:tab w:val="left" w:pos="7665"/>
        </w:tabs>
        <w:spacing w:line="360" w:lineRule="auto"/>
        <w:ind w:firstLine="1205" w:firstLineChars="500"/>
        <w:rPr>
          <w:rFonts w:cs="宋体" w:asciiTheme="minorEastAsia" w:hAnsiTheme="minorEastAsia" w:eastAsiaTheme="minorEastAsia"/>
          <w:b/>
          <w:bCs/>
          <w:sz w:val="24"/>
        </w:rPr>
      </w:pPr>
      <w:bookmarkStart w:id="275" w:name="_Toc31205_WPSOffice_Level1"/>
      <w:r>
        <w:rPr>
          <w:rFonts w:hint="eastAsia" w:cs="宋体" w:asciiTheme="minorEastAsia" w:hAnsiTheme="minorEastAsia" w:eastAsiaTheme="minorEastAsia"/>
          <w:b/>
          <w:bCs/>
          <w:sz w:val="24"/>
        </w:rPr>
        <w:t>时  间：   年   月   日</w:t>
      </w:r>
      <w:bookmarkEnd w:id="275"/>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276" w:name="_Toc11770_WPSOffice_Level1"/>
      <w:r>
        <w:rPr>
          <w:rFonts w:hint="eastAsia" w:cs="宋体" w:asciiTheme="minorEastAsia" w:hAnsiTheme="minorEastAsia" w:eastAsiaTheme="minorEastAsia"/>
          <w:sz w:val="28"/>
          <w:szCs w:val="28"/>
        </w:rPr>
        <w:t>目录</w:t>
      </w:r>
    </w:p>
    <w:bookmarkEnd w:id="276"/>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8"/>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8"/>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77" w:name="_Toc6960_WPSOffice_Level1"/>
      <w:r>
        <w:rPr>
          <w:rFonts w:hint="eastAsia" w:cs="宋体" w:asciiTheme="minorEastAsia" w:hAnsiTheme="minorEastAsia" w:eastAsiaTheme="minorEastAsia"/>
          <w:b/>
          <w:bCs/>
          <w:sz w:val="24"/>
        </w:rPr>
        <w:t>1.投 标 函</w:t>
      </w:r>
      <w:bookmarkEnd w:id="277"/>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的招标文件（政府采购项目编号：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本），电子文件2份。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二、我方投标总价为人民币（大写）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 （</w:t>
      </w:r>
      <w:r>
        <w:rPr>
          <w:rFonts w:cs="Arial"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），交货安装期限为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三、我方承诺除技术偏离表列出的偏离外，我方响应招标文件的全部要求。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（4）在合同约定的交货安装期限内完成合同规定的全部义务。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278" w:name="_Toc8415_WPSOffice_Level1"/>
      <w:r>
        <w:rPr>
          <w:rFonts w:hint="eastAsia" w:cs="宋体" w:asciiTheme="minorEastAsia" w:hAnsiTheme="minorEastAsia" w:eastAsiaTheme="minorEastAsia"/>
          <w:b/>
          <w:bCs/>
          <w:sz w:val="24"/>
        </w:rPr>
        <w:t>2.开标一览表</w:t>
      </w:r>
      <w:bookmarkEnd w:id="27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交货安装期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79" w:name="_Toc6017_WPSOffice_Level1"/>
      <w:bookmarkStart w:id="280" w:name="_Toc217446086"/>
      <w:r>
        <w:rPr>
          <w:rFonts w:hint="eastAsia" w:cs="宋体" w:asciiTheme="minorEastAsia" w:hAnsiTheme="minorEastAsia" w:eastAsiaTheme="minorEastAsia"/>
          <w:b/>
          <w:bCs/>
          <w:sz w:val="24"/>
        </w:rPr>
        <w:t>3.分项明细报价表</w:t>
      </w:r>
      <w:bookmarkEnd w:id="279"/>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280"/>
      <w:bookmarkStart w:id="281"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cols w:space="720" w:num="1"/>
          <w:docGrid w:linePitch="312" w:charSpace="0"/>
        </w:sectPr>
      </w:pPr>
    </w:p>
    <w:bookmarkEnd w:id="281"/>
    <w:p>
      <w:pPr>
        <w:tabs>
          <w:tab w:val="left" w:pos="7665"/>
        </w:tabs>
        <w:spacing w:line="360" w:lineRule="auto"/>
        <w:rPr>
          <w:rFonts w:cs="宋体" w:asciiTheme="minorEastAsia" w:hAnsiTheme="minorEastAsia" w:eastAsiaTheme="minorEastAsia"/>
          <w:b/>
          <w:bCs/>
          <w:sz w:val="24"/>
        </w:rPr>
      </w:pPr>
      <w:bookmarkStart w:id="282" w:name="_Toc23798"/>
      <w:bookmarkStart w:id="283" w:name="_Toc22633"/>
      <w:bookmarkStart w:id="284" w:name="_Toc19818"/>
      <w:r>
        <w:rPr>
          <w:rFonts w:hint="eastAsia" w:cs="宋体" w:asciiTheme="minorEastAsia" w:hAnsiTheme="minorEastAsia" w:eastAsiaTheme="minorEastAsia"/>
          <w:b/>
          <w:bCs/>
          <w:sz w:val="24"/>
        </w:rPr>
        <w:t>4.技术偏离表</w:t>
      </w:r>
      <w:bookmarkEnd w:id="282"/>
      <w:bookmarkEnd w:id="283"/>
      <w:bookmarkEnd w:id="284"/>
    </w:p>
    <w:p>
      <w:pPr>
        <w:pStyle w:val="20"/>
        <w:rPr>
          <w:sz w:val="24"/>
          <w:szCs w:val="24"/>
        </w:rPr>
      </w:pPr>
      <w:r>
        <w:rPr>
          <w:sz w:val="24"/>
          <w:szCs w:val="24"/>
        </w:rPr>
        <w:t>项目名称：                              项目编号：</w:t>
      </w:r>
    </w:p>
    <w:p>
      <w:pPr>
        <w:pStyle w:val="20"/>
      </w:pPr>
    </w:p>
    <w:tbl>
      <w:tblPr>
        <w:tblStyle w:val="2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258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注：1.请投标供应商参照采购内容逐条响应，优于采购需求（正偏离），需要提供佐证资料，否则将判定为虚假信息；实质性加★条款负偏离即技术不满足。</w:t>
      </w:r>
    </w:p>
    <w:p>
      <w:pPr>
        <w:pStyle w:val="2"/>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r>
        <w:rPr>
          <w:rFonts w:hint="eastAsia" w:ascii="宋体" w:hAnsi="宋体" w:cs="宋体"/>
          <w:sz w:val="24"/>
        </w:rPr>
        <w:t xml:space="preserve">                 </w:t>
      </w: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包括但不限于：技术方案、实施方案、培训方案、售后服务方案、企业实力</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7"/>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供应商名称：</w:t>
      </w:r>
      <w:r>
        <w:rPr>
          <w:rStyle w:val="81"/>
          <w:rFonts w:hint="eastAsia" w:asciiTheme="minorEastAsia" w:hAnsiTheme="minorEastAsia" w:eastAsiaTheme="minorEastAsia"/>
          <w:sz w:val="24"/>
          <w:u w:val="single"/>
        </w:rPr>
        <w:t xml:space="preserve">                       </w:t>
      </w:r>
      <w:r>
        <w:rPr>
          <w:rStyle w:val="81"/>
          <w:rFonts w:asciiTheme="minorEastAsia" w:hAnsiTheme="minorEastAsia" w:eastAsiaTheme="minorEastAsia"/>
          <w:sz w:val="24"/>
          <w:u w:val="single"/>
        </w:rPr>
        <w:t xml:space="preserve"> </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采购项目编号：</w:t>
      </w:r>
      <w:r>
        <w:rPr>
          <w:rStyle w:val="81"/>
          <w:rFonts w:asciiTheme="minorEastAsia" w:hAnsiTheme="minorEastAsia" w:eastAsiaTheme="minorEastAsia"/>
          <w:sz w:val="24"/>
          <w:u w:val="single"/>
        </w:rPr>
        <w:t xml:space="preserve">                      </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p>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bl>
    <w:p>
      <w:pPr>
        <w:snapToGrid w:val="0"/>
        <w:ind w:left="398" w:hanging="398" w:hangingChars="166"/>
        <w:jc w:val="left"/>
        <w:textAlignment w:val="baseline"/>
        <w:rPr>
          <w:rStyle w:val="81"/>
          <w:rFonts w:asciiTheme="minorEastAsia" w:hAnsiTheme="minorEastAsia" w:eastAsiaTheme="minorEastAsia"/>
          <w:sz w:val="24"/>
        </w:rPr>
      </w:pPr>
    </w:p>
    <w:p>
      <w:pPr>
        <w:snapToGrid w:val="0"/>
        <w:ind w:left="398" w:hanging="398" w:hangingChars="166"/>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2、供应商应随此表附上相关的业绩证明。</w:t>
      </w:r>
    </w:p>
    <w:p>
      <w:pPr>
        <w:snapToGrid w:val="0"/>
        <w:ind w:firstLine="105" w:firstLineChars="50"/>
        <w:textAlignment w:val="baseline"/>
        <w:rPr>
          <w:rStyle w:val="81"/>
          <w:rFonts w:asciiTheme="minorEastAsia" w:hAnsiTheme="minorEastAsia" w:eastAsiaTheme="minorEastAsia"/>
        </w:rPr>
      </w:pPr>
      <w:r>
        <w:rPr>
          <w:rStyle w:val="81"/>
          <w:rFonts w:asciiTheme="minorEastAsia" w:hAnsiTheme="minorEastAsia" w:eastAsiaTheme="minorEastAsia"/>
        </w:rPr>
        <w:t xml:space="preserve">  </w:t>
      </w:r>
    </w:p>
    <w:p>
      <w:pPr>
        <w:textAlignment w:val="baseline"/>
        <w:rPr>
          <w:rStyle w:val="81"/>
          <w:rFonts w:asciiTheme="minorEastAsia" w:hAnsiTheme="minorEastAsia" w:eastAsiaTheme="minorEastAsia"/>
          <w:b/>
          <w:sz w:val="28"/>
        </w:rPr>
      </w:pPr>
    </w:p>
    <w:p>
      <w:pPr>
        <w:ind w:firstLine="3840" w:firstLineChars="1600"/>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 xml:space="preserve">供应商： </w:t>
      </w:r>
      <w:r>
        <w:rPr>
          <w:rStyle w:val="81"/>
          <w:rFonts w:asciiTheme="minorEastAsia" w:hAnsiTheme="minorEastAsia" w:eastAsiaTheme="minorEastAsia"/>
          <w:sz w:val="24"/>
          <w:u w:val="single"/>
        </w:rPr>
        <w:t xml:space="preserve">          （盖章）             </w:t>
      </w:r>
    </w:p>
    <w:p>
      <w:pPr>
        <w:ind w:right="360"/>
        <w:jc w:val="right"/>
        <w:textAlignment w:val="baseline"/>
        <w:rPr>
          <w:rStyle w:val="81"/>
          <w:rFonts w:asciiTheme="minorEastAsia" w:hAnsiTheme="minorEastAsia" w:eastAsiaTheme="minorEastAsia"/>
          <w:sz w:val="24"/>
        </w:rPr>
      </w:pPr>
    </w:p>
    <w:p>
      <w:pPr>
        <w:ind w:right="240"/>
        <w:jc w:val="right"/>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法定代表人或其授权代理人：</w:t>
      </w:r>
      <w:r>
        <w:rPr>
          <w:rStyle w:val="81"/>
          <w:rFonts w:asciiTheme="minorEastAsia" w:hAnsiTheme="minorEastAsia" w:eastAsiaTheme="minorEastAsia"/>
          <w:sz w:val="24"/>
          <w:u w:val="single"/>
        </w:rPr>
        <w:t>（签字或盖章）</w:t>
      </w:r>
    </w:p>
    <w:p>
      <w:pPr>
        <w:jc w:val="right"/>
        <w:textAlignment w:val="baseline"/>
        <w:rPr>
          <w:rStyle w:val="81"/>
          <w:rFonts w:asciiTheme="minorEastAsia" w:hAnsiTheme="minorEastAsia" w:eastAsiaTheme="minorEastAsia"/>
          <w:sz w:val="24"/>
          <w:u w:val="single"/>
        </w:rPr>
      </w:pPr>
    </w:p>
    <w:p>
      <w:pPr>
        <w:ind w:right="360"/>
        <w:jc w:val="center"/>
        <w:textAlignment w:val="baseline"/>
        <w:rPr>
          <w:rStyle w:val="81"/>
          <w:rFonts w:asciiTheme="minorEastAsia" w:hAnsiTheme="minorEastAsia" w:eastAsiaTheme="minorEastAsia"/>
          <w:sz w:val="24"/>
          <w:u w:val="single"/>
        </w:rPr>
      </w:pPr>
      <w:r>
        <w:rPr>
          <w:rStyle w:val="81"/>
          <w:rFonts w:hint="eastAsia" w:asciiTheme="minorEastAsia" w:hAnsiTheme="minorEastAsia" w:eastAsiaTheme="minorEastAsia"/>
          <w:sz w:val="24"/>
        </w:rPr>
        <w:t xml:space="preserve">  </w:t>
      </w:r>
      <w:r>
        <w:rPr>
          <w:rStyle w:val="81"/>
          <w:rFonts w:asciiTheme="minorEastAsia" w:hAnsiTheme="minorEastAsia" w:eastAsiaTheme="minorEastAsia"/>
          <w:sz w:val="24"/>
        </w:rPr>
        <w:t>日   期：</w:t>
      </w:r>
      <w:r>
        <w:rPr>
          <w:rStyle w:val="81"/>
          <w:rFonts w:asciiTheme="minorEastAsia" w:hAnsiTheme="minorEastAsia" w:eastAsiaTheme="minorEastAsia"/>
          <w:sz w:val="24"/>
          <w:u w:val="single"/>
        </w:rPr>
        <w:t xml:space="preserve">                              </w:t>
      </w:r>
    </w:p>
    <w:p>
      <w:pPr>
        <w:pStyle w:val="20"/>
        <w:widowControl/>
        <w:textAlignment w:val="baseline"/>
        <w:rPr>
          <w:rStyle w:val="81"/>
          <w:rFonts w:asciiTheme="minorEastAsia" w:hAnsiTheme="minorEastAsia" w:eastAsiaTheme="minorEastAsia"/>
          <w:sz w:val="24"/>
          <w:u w:val="single"/>
        </w:rPr>
      </w:pPr>
    </w:p>
    <w:p>
      <w:pPr>
        <w:pStyle w:val="20"/>
        <w:widowControl/>
        <w:textAlignment w:val="baseline"/>
        <w:rPr>
          <w:rStyle w:val="81"/>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docGrid w:linePitch="312" w:charSpace="0"/>
        </w:sectPr>
      </w:pPr>
    </w:p>
    <w:p>
      <w:pPr>
        <w:jc w:val="left"/>
        <w:rPr>
          <w:rFonts w:cs="宋体" w:asciiTheme="minorEastAsia" w:hAnsiTheme="minorEastAsia" w:eastAsiaTheme="minorEastAsia"/>
          <w:b/>
          <w:bCs/>
          <w:sz w:val="24"/>
        </w:rPr>
      </w:pPr>
      <w:bookmarkStart w:id="285" w:name="_Toc13350"/>
      <w:r>
        <w:rPr>
          <w:rFonts w:hint="eastAsia" w:cs="宋体" w:asciiTheme="minorEastAsia" w:hAnsiTheme="minorEastAsia" w:eastAsiaTheme="minorEastAsia"/>
          <w:b/>
          <w:bCs/>
          <w:sz w:val="24"/>
        </w:rPr>
        <w:t>8.投标供应商满足政府采购相关优惠政策的声明或证明材料</w:t>
      </w:r>
      <w:bookmarkEnd w:id="285"/>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sz w:val="24"/>
          <w:szCs w:val="24"/>
        </w:rPr>
        <w:sectPr>
          <w:pgSz w:w="11907" w:h="16840"/>
          <w:pgMar w:top="1440" w:right="1474" w:bottom="1440" w:left="1474" w:header="851" w:footer="992" w:gutter="0"/>
          <w:cols w:space="720" w:num="1"/>
          <w:docGrid w:linePitch="312" w:charSpace="0"/>
        </w:sectPr>
      </w:pPr>
    </w:p>
    <w:p>
      <w:pPr>
        <w:spacing w:line="360" w:lineRule="auto"/>
        <w:rPr>
          <w:rFonts w:ascii="宋体" w:hAnsi="宋体" w:cs="宋体"/>
          <w:b/>
          <w:sz w:val="24"/>
        </w:rPr>
      </w:pPr>
      <w:r>
        <w:rPr>
          <w:rFonts w:hint="eastAsia" w:cs="宋体" w:asciiTheme="minorEastAsia" w:hAnsiTheme="minorEastAsia" w:eastAsiaTheme="minorEastAsia"/>
          <w:sz w:val="24"/>
        </w:rPr>
        <w:t xml:space="preserve">附件1                      </w:t>
      </w:r>
      <w:r>
        <w:rPr>
          <w:rFonts w:hint="eastAsia" w:ascii="宋体" w:hAnsi="宋体" w:cs="宋体"/>
          <w:sz w:val="24"/>
        </w:rPr>
        <w:t xml:space="preserve"> </w:t>
      </w:r>
      <w:r>
        <w:rPr>
          <w:rFonts w:hint="eastAsia" w:ascii="宋体" w:hAnsi="宋体" w:cs="宋体"/>
          <w:b/>
          <w:sz w:val="24"/>
        </w:rPr>
        <w:t>中小企业声明函（货物）</w:t>
      </w:r>
    </w:p>
    <w:p>
      <w:pPr>
        <w:spacing w:line="360" w:lineRule="auto"/>
        <w:ind w:firstLine="424" w:firstLineChars="177"/>
        <w:rPr>
          <w:rFonts w:ascii="宋体" w:hAnsi="宋体" w:cs="宋体"/>
          <w:sz w:val="24"/>
        </w:rPr>
      </w:pPr>
    </w:p>
    <w:p>
      <w:pPr>
        <w:spacing w:line="360" w:lineRule="auto"/>
        <w:ind w:firstLine="424" w:firstLineChars="177"/>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424" w:firstLineChars="177"/>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24" w:firstLineChars="177"/>
        <w:rPr>
          <w:rFonts w:ascii="宋体" w:hAnsi="宋体" w:cs="宋体"/>
          <w:sz w:val="24"/>
        </w:rPr>
      </w:pPr>
      <w:r>
        <w:rPr>
          <w:rFonts w:hint="eastAsia" w:ascii="宋体" w:hAnsi="宋体" w:cs="宋体"/>
          <w:sz w:val="24"/>
        </w:rPr>
        <w:t>本企业对上述声明内容的真实性负责。如有虚假，将依法承担相应责任。</w:t>
      </w:r>
    </w:p>
    <w:p>
      <w:pPr>
        <w:wordWrap w:val="0"/>
        <w:spacing w:line="360" w:lineRule="auto"/>
        <w:jc w:val="right"/>
        <w:rPr>
          <w:rFonts w:ascii="宋体" w:hAnsi="宋体" w:cs="宋体"/>
          <w:sz w:val="24"/>
        </w:rPr>
      </w:pPr>
      <w:r>
        <w:rPr>
          <w:rFonts w:hint="eastAsia" w:ascii="宋体" w:hAnsi="宋体" w:cs="宋体"/>
          <w:sz w:val="24"/>
        </w:rPr>
        <w:t xml:space="preserve">企业名称（盖章）：         </w:t>
      </w:r>
    </w:p>
    <w:p>
      <w:pPr>
        <w:wordWrap w:val="0"/>
        <w:spacing w:line="360" w:lineRule="auto"/>
        <w:jc w:val="right"/>
        <w:rPr>
          <w:rFonts w:ascii="仿宋_GB2312" w:hAnsi="仿宋_GB2312" w:eastAsia="仿宋_GB2312" w:cs="仿宋_GB2312"/>
          <w:sz w:val="24"/>
        </w:rPr>
      </w:pPr>
      <w:r>
        <w:rPr>
          <w:rFonts w:hint="eastAsia" w:ascii="宋体" w:hAnsi="宋体" w:cs="宋体"/>
          <w:sz w:val="24"/>
        </w:rPr>
        <w:t xml:space="preserve">日 期：          </w:t>
      </w:r>
      <w:r>
        <w:rPr>
          <w:rFonts w:hint="eastAsia" w:ascii="仿宋_GB2312" w:hAnsi="仿宋_GB2312" w:eastAsia="仿宋_GB2312" w:cs="仿宋_GB2312"/>
          <w:sz w:val="24"/>
        </w:rPr>
        <w:t xml:space="preserve">             </w:t>
      </w:r>
    </w:p>
    <w:p>
      <w:pPr>
        <w:spacing w:line="360" w:lineRule="auto"/>
        <w:ind w:firstLine="6552" w:firstLineChars="2600"/>
        <w:rPr>
          <w:rFonts w:cs="宋体" w:asciiTheme="minorEastAsia" w:hAnsiTheme="minorEastAsia" w:eastAsiaTheme="minorEastAsia"/>
          <w:spacing w:val="6"/>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286" w:name="OLE_LINK14"/>
      <w:bookmarkStart w:id="287" w:name="OLE_LINK13"/>
      <w:r>
        <w:rPr>
          <w:rFonts w:hint="eastAsia" w:cs="宋体" w:asciiTheme="minorEastAsia" w:hAnsiTheme="minorEastAsia" w:eastAsiaTheme="minorEastAsia"/>
          <w:b/>
          <w:bCs/>
          <w:sz w:val="24"/>
        </w:rPr>
        <w:t xml:space="preserve">                     残疾人福利性单位声明函</w:t>
      </w:r>
    </w:p>
    <w:bookmarkEnd w:id="286"/>
    <w:bookmarkEnd w:id="287"/>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w:t>
      </w: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sectPr>
      <w:pgSz w:w="11907" w:h="16840"/>
      <w:pgMar w:top="1474" w:right="1587" w:bottom="147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wWdABAAClAwAADgAAAGRycy9lMm9Eb2MueG1srVPBjtMwEL0j8Q+W&#10;7zRpJVAVNV2BqkVICJAWPsB1nMaS7bE8bpPyAfAHnLhw57v6HYydpLsslz1wScYz4zfvzYw3N4M1&#10;7KQCanA1Xy5KzpST0Gh3qPmXz7cv1pxhFK4RBpyq+Vkhv9k+f7bpfaVW0IFpVGAE4rDqfc27GH1V&#10;FCg7ZQUuwCtHwRaCFZGO4VA0QfSEbk2xKstXRQ+h8QGkQiTvbgzyCTE8BRDaVku1A3m0ysURNSgj&#10;IknCTnvk28y2bZWMH9sWVWSm5qQ05i8VIXufvsV2I6pDEL7TcqIgnkLhkSYrtKOiV6idiIIdg/4H&#10;ymoZAKGNCwm2GIXkjpCKZfmoN3ed8CproVajvzYd/x+s/HD6FJhuaBNecuaEpYlffny//Px9+fWN&#10;LVN/eo8Vpd15SozDGxgod/YjOZPsoQ02/UkQozh193ztrhoik+nSerVelxSSFJsPhF/cX/cB41sF&#10;liWj5oHGl7sqTu8xjqlzSqrm4FYbk0do3F8OwkyeInEfOSYrDvthErSH5kx66B1QnQ7CV8562oKa&#10;O1p6zsw7R01OCzMbYTb2syGcpIs1Hymif32MxCfTTMXGChMHml4WOm1aWo+H55x1/7q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wGwWdABAACl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v:textbox>
            </v:shape>
          </w:pict>
        </mc:Fallback>
      </mc:AlternateContent>
    </w: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uZmNABAAClAwAADgAAAGRycy9lMm9Eb2MueG1srVPBbtswDL0P2D8I&#10;ui92cygCI07RIegwYNgGdPsARZZjAZIoiErs7AO2P9hpl933XfmOUbKddt2lh15siqQe3yOp9c1g&#10;DTuqgBpcza8WJWfKSWi029f865e7NyvOMArXCANO1fykkN9sXr9a975SS+jANCowAnFY9b7mXYy+&#10;KgqUnbICF+CVo2ALwYpIx7AvmiB6QremWJblddFDaHwAqRDJux2DfEIMzwGEttVSbUEerHJxRA3K&#10;iEiSsNMe+SazbVsl46e2RRWZqTkpjflLRcjepW+xWYtqH4TvtJwoiOdQeKLJCu2o6AVqK6Jgh6D/&#10;g7JaBkBo40KCLUYhuSOk4qp80pv7TniVtVCr0V+aji8HKz8ePwemG9qEa86csDTx888f519/zr+/&#10;s2XqT++xorR7T4lxeAsD5c5+JGeSPbTBpj8JYhSn7p4u3VVDZDJdWi1Xq5JCkmLzgfCLh+s+YHyn&#10;wLJk1DzQ+HJXxfEDxjF1TknVHNxpY/IIjfvHQZjJUyTuI8dkxWE3TIJ20JxID70DqtNB+MZZT1tQ&#10;c0dLz5l576jJaWFmI8zGbjaEk3Sx5iNF9LeHSHwyzVRsrDBxoOllodOmpfV4fM5ZD69r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vyuZmNABAACl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eastAsia="宋体"/>
        <w:szCs w:val="18"/>
        <w:lang w:eastAsia="zh-CN"/>
      </w:rPr>
    </w:pPr>
    <w:r>
      <w:rPr>
        <w:rFonts w:hint="eastAsia"/>
        <w:szCs w:val="18"/>
        <w:lang w:eastAsia="zh-CN"/>
      </w:rPr>
      <w:t>陕西省无线电管理委员会电磁信号智能分析系统采购项目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eastAsia="宋体"/>
        <w:szCs w:val="18"/>
        <w:lang w:eastAsia="zh-CN"/>
      </w:rPr>
    </w:pPr>
    <w:r>
      <w:rPr>
        <w:rFonts w:hint="eastAsia"/>
        <w:szCs w:val="18"/>
        <w:lang w:eastAsia="zh-CN"/>
      </w:rPr>
      <w:t>陕西省无线电管理委员会电磁信号智能分析系统采购项目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F49317F2"/>
    <w:multiLevelType w:val="singleLevel"/>
    <w:tmpl w:val="F49317F2"/>
    <w:lvl w:ilvl="0" w:tentative="0">
      <w:start w:val="1"/>
      <w:numFmt w:val="decimal"/>
      <w:suff w:val="space"/>
      <w:lvlText w:val="%1."/>
      <w:lvlJc w:val="left"/>
    </w:lvl>
  </w:abstractNum>
  <w:abstractNum w:abstractNumId="7">
    <w:nsid w:val="23D445AE"/>
    <w:multiLevelType w:val="multilevel"/>
    <w:tmpl w:val="23D445AE"/>
    <w:lvl w:ilvl="0" w:tentative="0">
      <w:start w:val="1"/>
      <w:numFmt w:val="decimal"/>
      <w:lvlText w:val="%1."/>
      <w:lvlJc w:val="left"/>
      <w:pPr>
        <w:ind w:left="420" w:hanging="420"/>
      </w:pPr>
    </w:lvl>
    <w:lvl w:ilvl="1" w:tentative="0">
      <w:start w:val="3"/>
      <w:numFmt w:val="decimal"/>
      <w:isLgl/>
      <w:lvlText w:val="%1.%2"/>
      <w:lvlJc w:val="left"/>
      <w:pPr>
        <w:ind w:left="850" w:hanging="850"/>
      </w:pPr>
      <w:rPr>
        <w:rFonts w:hint="default"/>
      </w:rPr>
    </w:lvl>
    <w:lvl w:ilvl="2" w:tentative="0">
      <w:start w:val="3"/>
      <w:numFmt w:val="decimal"/>
      <w:isLgl/>
      <w:lvlText w:val="%1.%2.%3"/>
      <w:lvlJc w:val="left"/>
      <w:pPr>
        <w:ind w:left="850" w:hanging="85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9">
    <w:nsid w:val="42EB8BD4"/>
    <w:multiLevelType w:val="singleLevel"/>
    <w:tmpl w:val="42EB8BD4"/>
    <w:lvl w:ilvl="0" w:tentative="0">
      <w:start w:val="1"/>
      <w:numFmt w:val="decimal"/>
      <w:suff w:val="nothing"/>
      <w:lvlText w:val="（%1）"/>
      <w:lvlJc w:val="left"/>
    </w:lvl>
  </w:abstractNum>
  <w:abstractNum w:abstractNumId="10">
    <w:nsid w:val="531D060C"/>
    <w:multiLevelType w:val="singleLevel"/>
    <w:tmpl w:val="531D060C"/>
    <w:lvl w:ilvl="0" w:tentative="0">
      <w:start w:val="2"/>
      <w:numFmt w:val="chineseCounting"/>
      <w:suff w:val="space"/>
      <w:lvlText w:val="第%1章"/>
      <w:lvlJc w:val="left"/>
      <w:rPr>
        <w:rFonts w:hint="eastAsia"/>
      </w:rPr>
    </w:lvl>
  </w:abstractNum>
  <w:abstractNum w:abstractNumId="11">
    <w:nsid w:val="57B03F4A"/>
    <w:multiLevelType w:val="multilevel"/>
    <w:tmpl w:val="57B03F4A"/>
    <w:lvl w:ilvl="0" w:tentative="0">
      <w:start w:val="1"/>
      <w:numFmt w:val="decimal"/>
      <w:lvlText w:val="%1"/>
      <w:lvlJc w:val="left"/>
      <w:pPr>
        <w:ind w:left="456" w:hanging="45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2">
    <w:nsid w:val="5847DFF0"/>
    <w:multiLevelType w:val="singleLevel"/>
    <w:tmpl w:val="5847DFF0"/>
    <w:lvl w:ilvl="0" w:tentative="0">
      <w:start w:val="10"/>
      <w:numFmt w:val="chineseCounting"/>
      <w:suff w:val="nothing"/>
      <w:lvlText w:val="%1、"/>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10"/>
  </w:num>
  <w:num w:numId="6">
    <w:abstractNumId w:val="6"/>
  </w:num>
  <w:num w:numId="7">
    <w:abstractNumId w:val="0"/>
  </w:num>
  <w:num w:numId="8">
    <w:abstractNumId w:val="9"/>
  </w:num>
  <w:num w:numId="9">
    <w:abstractNumId w:val="2"/>
  </w:num>
  <w:num w:numId="10">
    <w:abstractNumId w:val="3"/>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029"/>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719"/>
    <w:rsid w:val="0004281A"/>
    <w:rsid w:val="000433B9"/>
    <w:rsid w:val="0004390A"/>
    <w:rsid w:val="00043B25"/>
    <w:rsid w:val="000443F3"/>
    <w:rsid w:val="000448F4"/>
    <w:rsid w:val="0004577D"/>
    <w:rsid w:val="00046582"/>
    <w:rsid w:val="00047F96"/>
    <w:rsid w:val="000500AF"/>
    <w:rsid w:val="000501D5"/>
    <w:rsid w:val="00052F51"/>
    <w:rsid w:val="00053172"/>
    <w:rsid w:val="00053FEA"/>
    <w:rsid w:val="000544AB"/>
    <w:rsid w:val="00054888"/>
    <w:rsid w:val="000561CD"/>
    <w:rsid w:val="000569F5"/>
    <w:rsid w:val="00056EC0"/>
    <w:rsid w:val="000578D3"/>
    <w:rsid w:val="00060B4C"/>
    <w:rsid w:val="0006207C"/>
    <w:rsid w:val="000631C0"/>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42D1"/>
    <w:rsid w:val="00086728"/>
    <w:rsid w:val="000868AC"/>
    <w:rsid w:val="00086E98"/>
    <w:rsid w:val="00087097"/>
    <w:rsid w:val="0009005B"/>
    <w:rsid w:val="00090B1B"/>
    <w:rsid w:val="00090CA3"/>
    <w:rsid w:val="000910D1"/>
    <w:rsid w:val="00093400"/>
    <w:rsid w:val="00093E47"/>
    <w:rsid w:val="00093FAD"/>
    <w:rsid w:val="0009400A"/>
    <w:rsid w:val="000941EA"/>
    <w:rsid w:val="000945C6"/>
    <w:rsid w:val="00095192"/>
    <w:rsid w:val="00095796"/>
    <w:rsid w:val="00095EC0"/>
    <w:rsid w:val="00096778"/>
    <w:rsid w:val="00096E8E"/>
    <w:rsid w:val="0009711C"/>
    <w:rsid w:val="00097367"/>
    <w:rsid w:val="00097AD1"/>
    <w:rsid w:val="000A0566"/>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13B7"/>
    <w:rsid w:val="000B2517"/>
    <w:rsid w:val="000B2925"/>
    <w:rsid w:val="000B50ED"/>
    <w:rsid w:val="000B5F7E"/>
    <w:rsid w:val="000B6C05"/>
    <w:rsid w:val="000C0130"/>
    <w:rsid w:val="000C03C2"/>
    <w:rsid w:val="000C18DA"/>
    <w:rsid w:val="000C18FE"/>
    <w:rsid w:val="000C1A60"/>
    <w:rsid w:val="000C1D68"/>
    <w:rsid w:val="000C252A"/>
    <w:rsid w:val="000C287D"/>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38CA"/>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5FD"/>
    <w:rsid w:val="00121B3E"/>
    <w:rsid w:val="00121C31"/>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31B0"/>
    <w:rsid w:val="00183545"/>
    <w:rsid w:val="00183C97"/>
    <w:rsid w:val="0018453A"/>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49A1"/>
    <w:rsid w:val="001B591F"/>
    <w:rsid w:val="001B62A7"/>
    <w:rsid w:val="001B6719"/>
    <w:rsid w:val="001B7859"/>
    <w:rsid w:val="001B7D96"/>
    <w:rsid w:val="001C057A"/>
    <w:rsid w:val="001C09C6"/>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C15"/>
    <w:rsid w:val="001E41B0"/>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BF1"/>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898"/>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34BD"/>
    <w:rsid w:val="0025374C"/>
    <w:rsid w:val="00253790"/>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1AE"/>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597"/>
    <w:rsid w:val="002D59EF"/>
    <w:rsid w:val="002E0128"/>
    <w:rsid w:val="002E0157"/>
    <w:rsid w:val="002E03AA"/>
    <w:rsid w:val="002E141C"/>
    <w:rsid w:val="002E23C3"/>
    <w:rsid w:val="002E2AC3"/>
    <w:rsid w:val="002E2DA7"/>
    <w:rsid w:val="002E479E"/>
    <w:rsid w:val="002E5DF0"/>
    <w:rsid w:val="002E6576"/>
    <w:rsid w:val="002E74E9"/>
    <w:rsid w:val="002E75EE"/>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683"/>
    <w:rsid w:val="00345692"/>
    <w:rsid w:val="003464B9"/>
    <w:rsid w:val="003471A3"/>
    <w:rsid w:val="0035081B"/>
    <w:rsid w:val="00350F67"/>
    <w:rsid w:val="00354CA1"/>
    <w:rsid w:val="00354DAD"/>
    <w:rsid w:val="00355956"/>
    <w:rsid w:val="00356291"/>
    <w:rsid w:val="00356B8F"/>
    <w:rsid w:val="00356F5F"/>
    <w:rsid w:val="0035753F"/>
    <w:rsid w:val="00360127"/>
    <w:rsid w:val="003601E4"/>
    <w:rsid w:val="00360E33"/>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5ED"/>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3C"/>
    <w:rsid w:val="003A42CD"/>
    <w:rsid w:val="003A4618"/>
    <w:rsid w:val="003A4A8E"/>
    <w:rsid w:val="003A4E23"/>
    <w:rsid w:val="003A5A10"/>
    <w:rsid w:val="003A5B35"/>
    <w:rsid w:val="003A71F2"/>
    <w:rsid w:val="003A77FD"/>
    <w:rsid w:val="003A7F4E"/>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503F"/>
    <w:rsid w:val="003D5B5A"/>
    <w:rsid w:val="003D647A"/>
    <w:rsid w:val="003D6C1A"/>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99D"/>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071EB"/>
    <w:rsid w:val="00412BF2"/>
    <w:rsid w:val="00413CCA"/>
    <w:rsid w:val="00414961"/>
    <w:rsid w:val="004152DE"/>
    <w:rsid w:val="00415AF8"/>
    <w:rsid w:val="00416B0F"/>
    <w:rsid w:val="0042069B"/>
    <w:rsid w:val="00421C89"/>
    <w:rsid w:val="0042350E"/>
    <w:rsid w:val="00424B74"/>
    <w:rsid w:val="00424D63"/>
    <w:rsid w:val="00424D73"/>
    <w:rsid w:val="004255C3"/>
    <w:rsid w:val="004257D6"/>
    <w:rsid w:val="00425A66"/>
    <w:rsid w:val="00425BD4"/>
    <w:rsid w:val="004267E6"/>
    <w:rsid w:val="00426A31"/>
    <w:rsid w:val="00426CEC"/>
    <w:rsid w:val="00427282"/>
    <w:rsid w:val="0043058C"/>
    <w:rsid w:val="00430E97"/>
    <w:rsid w:val="0043135E"/>
    <w:rsid w:val="00432A06"/>
    <w:rsid w:val="00432C83"/>
    <w:rsid w:val="004331E2"/>
    <w:rsid w:val="004339C6"/>
    <w:rsid w:val="004360B2"/>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74C"/>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8BA"/>
    <w:rsid w:val="0049298C"/>
    <w:rsid w:val="0049313A"/>
    <w:rsid w:val="004940F8"/>
    <w:rsid w:val="004950C6"/>
    <w:rsid w:val="004952CB"/>
    <w:rsid w:val="00495A7B"/>
    <w:rsid w:val="00497878"/>
    <w:rsid w:val="00497D21"/>
    <w:rsid w:val="004A0F19"/>
    <w:rsid w:val="004A18B9"/>
    <w:rsid w:val="004A3EA7"/>
    <w:rsid w:val="004A4D6D"/>
    <w:rsid w:val="004A5475"/>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755"/>
    <w:rsid w:val="004C2C94"/>
    <w:rsid w:val="004C32A8"/>
    <w:rsid w:val="004C3404"/>
    <w:rsid w:val="004C4992"/>
    <w:rsid w:val="004C4F9F"/>
    <w:rsid w:val="004C50BB"/>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97E"/>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01B"/>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282F"/>
    <w:rsid w:val="00523070"/>
    <w:rsid w:val="00523DF3"/>
    <w:rsid w:val="0052428A"/>
    <w:rsid w:val="00524C54"/>
    <w:rsid w:val="0052531E"/>
    <w:rsid w:val="005259C2"/>
    <w:rsid w:val="005259D4"/>
    <w:rsid w:val="00527033"/>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3009"/>
    <w:rsid w:val="005839D2"/>
    <w:rsid w:val="00583E0F"/>
    <w:rsid w:val="00584EBA"/>
    <w:rsid w:val="00585B02"/>
    <w:rsid w:val="00585C02"/>
    <w:rsid w:val="0058635D"/>
    <w:rsid w:val="005866A7"/>
    <w:rsid w:val="005871FE"/>
    <w:rsid w:val="005875D4"/>
    <w:rsid w:val="00587646"/>
    <w:rsid w:val="00587756"/>
    <w:rsid w:val="005907B1"/>
    <w:rsid w:val="00590DF7"/>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B797F"/>
    <w:rsid w:val="005C0128"/>
    <w:rsid w:val="005C03A5"/>
    <w:rsid w:val="005C07C7"/>
    <w:rsid w:val="005C0B2F"/>
    <w:rsid w:val="005C0DDA"/>
    <w:rsid w:val="005C11D0"/>
    <w:rsid w:val="005C1371"/>
    <w:rsid w:val="005C1D74"/>
    <w:rsid w:val="005C3A92"/>
    <w:rsid w:val="005C3D15"/>
    <w:rsid w:val="005C45D9"/>
    <w:rsid w:val="005C5884"/>
    <w:rsid w:val="005C60A3"/>
    <w:rsid w:val="005C659C"/>
    <w:rsid w:val="005C6C55"/>
    <w:rsid w:val="005C7F33"/>
    <w:rsid w:val="005D12D1"/>
    <w:rsid w:val="005D4E46"/>
    <w:rsid w:val="005D53A0"/>
    <w:rsid w:val="005D5875"/>
    <w:rsid w:val="005D5C35"/>
    <w:rsid w:val="005D5D7C"/>
    <w:rsid w:val="005D5EC0"/>
    <w:rsid w:val="005D723A"/>
    <w:rsid w:val="005D7467"/>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0F1B"/>
    <w:rsid w:val="00605E0E"/>
    <w:rsid w:val="006061D0"/>
    <w:rsid w:val="00606C65"/>
    <w:rsid w:val="00606ED2"/>
    <w:rsid w:val="0060742D"/>
    <w:rsid w:val="006079F5"/>
    <w:rsid w:val="00610930"/>
    <w:rsid w:val="00610E59"/>
    <w:rsid w:val="00611740"/>
    <w:rsid w:val="006124EC"/>
    <w:rsid w:val="00612C9D"/>
    <w:rsid w:val="00613005"/>
    <w:rsid w:val="00614CDE"/>
    <w:rsid w:val="00614F32"/>
    <w:rsid w:val="00615010"/>
    <w:rsid w:val="00615077"/>
    <w:rsid w:val="006156C4"/>
    <w:rsid w:val="00615EC6"/>
    <w:rsid w:val="00615FE0"/>
    <w:rsid w:val="00617184"/>
    <w:rsid w:val="00617260"/>
    <w:rsid w:val="00620CF0"/>
    <w:rsid w:val="00621BDA"/>
    <w:rsid w:val="00623574"/>
    <w:rsid w:val="006235E6"/>
    <w:rsid w:val="006244E4"/>
    <w:rsid w:val="006244F1"/>
    <w:rsid w:val="006250BE"/>
    <w:rsid w:val="006259B3"/>
    <w:rsid w:val="006277D4"/>
    <w:rsid w:val="0063012A"/>
    <w:rsid w:val="006306EA"/>
    <w:rsid w:val="00630A1C"/>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59F0"/>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2F1A"/>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063F"/>
    <w:rsid w:val="006C2DBC"/>
    <w:rsid w:val="006C3433"/>
    <w:rsid w:val="006C525B"/>
    <w:rsid w:val="006C578D"/>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181F"/>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4BD8"/>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40CE"/>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4D6"/>
    <w:rsid w:val="007B0FD5"/>
    <w:rsid w:val="007B2235"/>
    <w:rsid w:val="007B3489"/>
    <w:rsid w:val="007B3D7B"/>
    <w:rsid w:val="007B4732"/>
    <w:rsid w:val="007B5609"/>
    <w:rsid w:val="007B587E"/>
    <w:rsid w:val="007B5CA3"/>
    <w:rsid w:val="007B5F76"/>
    <w:rsid w:val="007B5F8A"/>
    <w:rsid w:val="007B6BAD"/>
    <w:rsid w:val="007C0D99"/>
    <w:rsid w:val="007C0E9C"/>
    <w:rsid w:val="007C3344"/>
    <w:rsid w:val="007C3EA7"/>
    <w:rsid w:val="007C4B71"/>
    <w:rsid w:val="007C52CB"/>
    <w:rsid w:val="007C649E"/>
    <w:rsid w:val="007C69DB"/>
    <w:rsid w:val="007C755D"/>
    <w:rsid w:val="007C7FFE"/>
    <w:rsid w:val="007D022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C83"/>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F8B"/>
    <w:rsid w:val="00814422"/>
    <w:rsid w:val="00814AE4"/>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1C75"/>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0453"/>
    <w:rsid w:val="008923A3"/>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46E"/>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34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E035F"/>
    <w:rsid w:val="008E15F8"/>
    <w:rsid w:val="008E1AF9"/>
    <w:rsid w:val="008E2306"/>
    <w:rsid w:val="008E2370"/>
    <w:rsid w:val="008E28FA"/>
    <w:rsid w:val="008E2B3F"/>
    <w:rsid w:val="008E2B7A"/>
    <w:rsid w:val="008E2D9D"/>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0361"/>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55C3"/>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73E9"/>
    <w:rsid w:val="009804D0"/>
    <w:rsid w:val="00980914"/>
    <w:rsid w:val="00980F62"/>
    <w:rsid w:val="0098132F"/>
    <w:rsid w:val="00981831"/>
    <w:rsid w:val="00981A9D"/>
    <w:rsid w:val="009821B9"/>
    <w:rsid w:val="00984FFE"/>
    <w:rsid w:val="00986262"/>
    <w:rsid w:val="009871CE"/>
    <w:rsid w:val="00987804"/>
    <w:rsid w:val="00990333"/>
    <w:rsid w:val="00991A10"/>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13C2"/>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C29"/>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3E3"/>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1492"/>
    <w:rsid w:val="00A820B9"/>
    <w:rsid w:val="00A82B11"/>
    <w:rsid w:val="00A82CE4"/>
    <w:rsid w:val="00A82FCA"/>
    <w:rsid w:val="00A8437B"/>
    <w:rsid w:val="00A84684"/>
    <w:rsid w:val="00A8526C"/>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97481"/>
    <w:rsid w:val="00AA3B24"/>
    <w:rsid w:val="00AA4561"/>
    <w:rsid w:val="00AA4686"/>
    <w:rsid w:val="00AA4E5C"/>
    <w:rsid w:val="00AA5BDB"/>
    <w:rsid w:val="00AA7AD9"/>
    <w:rsid w:val="00AB14F4"/>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AB3"/>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A88"/>
    <w:rsid w:val="00B10C69"/>
    <w:rsid w:val="00B11096"/>
    <w:rsid w:val="00B11788"/>
    <w:rsid w:val="00B127B5"/>
    <w:rsid w:val="00B127C7"/>
    <w:rsid w:val="00B128DF"/>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6E2A"/>
    <w:rsid w:val="00B677E4"/>
    <w:rsid w:val="00B702AB"/>
    <w:rsid w:val="00B71AF4"/>
    <w:rsid w:val="00B71C54"/>
    <w:rsid w:val="00B724F1"/>
    <w:rsid w:val="00B7259B"/>
    <w:rsid w:val="00B725A1"/>
    <w:rsid w:val="00B72897"/>
    <w:rsid w:val="00B72E63"/>
    <w:rsid w:val="00B73F60"/>
    <w:rsid w:val="00B744C2"/>
    <w:rsid w:val="00B74998"/>
    <w:rsid w:val="00B75406"/>
    <w:rsid w:val="00B76408"/>
    <w:rsid w:val="00B816E0"/>
    <w:rsid w:val="00B81D52"/>
    <w:rsid w:val="00B822BE"/>
    <w:rsid w:val="00B82725"/>
    <w:rsid w:val="00B83349"/>
    <w:rsid w:val="00B83901"/>
    <w:rsid w:val="00B863A6"/>
    <w:rsid w:val="00B86732"/>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0E2"/>
    <w:rsid w:val="00BA5269"/>
    <w:rsid w:val="00BA5485"/>
    <w:rsid w:val="00BA6269"/>
    <w:rsid w:val="00BA6BE8"/>
    <w:rsid w:val="00BA6F4F"/>
    <w:rsid w:val="00BA778F"/>
    <w:rsid w:val="00BB07FD"/>
    <w:rsid w:val="00BB0DD3"/>
    <w:rsid w:val="00BB16DE"/>
    <w:rsid w:val="00BB1E8E"/>
    <w:rsid w:val="00BB2DD9"/>
    <w:rsid w:val="00BB3351"/>
    <w:rsid w:val="00BB3561"/>
    <w:rsid w:val="00BB3A11"/>
    <w:rsid w:val="00BB3D8C"/>
    <w:rsid w:val="00BB54B0"/>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43A5"/>
    <w:rsid w:val="00BE4AE9"/>
    <w:rsid w:val="00BE5767"/>
    <w:rsid w:val="00BE5795"/>
    <w:rsid w:val="00BE64FB"/>
    <w:rsid w:val="00BE74FA"/>
    <w:rsid w:val="00BE7FAD"/>
    <w:rsid w:val="00BF0B35"/>
    <w:rsid w:val="00BF0C85"/>
    <w:rsid w:val="00BF145A"/>
    <w:rsid w:val="00BF1780"/>
    <w:rsid w:val="00BF188D"/>
    <w:rsid w:val="00BF209C"/>
    <w:rsid w:val="00BF2AF5"/>
    <w:rsid w:val="00BF3179"/>
    <w:rsid w:val="00BF329E"/>
    <w:rsid w:val="00BF43D0"/>
    <w:rsid w:val="00BF444A"/>
    <w:rsid w:val="00BF48A6"/>
    <w:rsid w:val="00BF49AF"/>
    <w:rsid w:val="00BF5B4D"/>
    <w:rsid w:val="00BF616F"/>
    <w:rsid w:val="00BF65BE"/>
    <w:rsid w:val="00BF6E7E"/>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0E1"/>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1D4C"/>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1B8C"/>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06C"/>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407"/>
    <w:rsid w:val="00CF174B"/>
    <w:rsid w:val="00CF1896"/>
    <w:rsid w:val="00CF37F0"/>
    <w:rsid w:val="00CF5528"/>
    <w:rsid w:val="00CF5CC5"/>
    <w:rsid w:val="00CF6567"/>
    <w:rsid w:val="00CF6D31"/>
    <w:rsid w:val="00CF7449"/>
    <w:rsid w:val="00CF798C"/>
    <w:rsid w:val="00D002F8"/>
    <w:rsid w:val="00D00885"/>
    <w:rsid w:val="00D00C76"/>
    <w:rsid w:val="00D018D7"/>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73F"/>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262DE"/>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514"/>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902FC"/>
    <w:rsid w:val="00D9041A"/>
    <w:rsid w:val="00D90458"/>
    <w:rsid w:val="00D90532"/>
    <w:rsid w:val="00D90BE3"/>
    <w:rsid w:val="00D914AE"/>
    <w:rsid w:val="00D91C2A"/>
    <w:rsid w:val="00D93CCF"/>
    <w:rsid w:val="00D93F23"/>
    <w:rsid w:val="00D93F5C"/>
    <w:rsid w:val="00D94AA2"/>
    <w:rsid w:val="00D94B73"/>
    <w:rsid w:val="00D94F6E"/>
    <w:rsid w:val="00D955E3"/>
    <w:rsid w:val="00D959D7"/>
    <w:rsid w:val="00D95A4C"/>
    <w:rsid w:val="00D96260"/>
    <w:rsid w:val="00D962E1"/>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A03"/>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EE6"/>
    <w:rsid w:val="00DC1F9B"/>
    <w:rsid w:val="00DC28AF"/>
    <w:rsid w:val="00DC300A"/>
    <w:rsid w:val="00DC3999"/>
    <w:rsid w:val="00DC424E"/>
    <w:rsid w:val="00DC5730"/>
    <w:rsid w:val="00DC5C2C"/>
    <w:rsid w:val="00DC5C34"/>
    <w:rsid w:val="00DC79A9"/>
    <w:rsid w:val="00DD054F"/>
    <w:rsid w:val="00DD058B"/>
    <w:rsid w:val="00DD08B5"/>
    <w:rsid w:val="00DD0F66"/>
    <w:rsid w:val="00DD19DE"/>
    <w:rsid w:val="00DD22B5"/>
    <w:rsid w:val="00DD2316"/>
    <w:rsid w:val="00DD28FD"/>
    <w:rsid w:val="00DD2926"/>
    <w:rsid w:val="00DD2B74"/>
    <w:rsid w:val="00DD4F63"/>
    <w:rsid w:val="00DD54EF"/>
    <w:rsid w:val="00DD670F"/>
    <w:rsid w:val="00DD6BC7"/>
    <w:rsid w:val="00DD720E"/>
    <w:rsid w:val="00DD7897"/>
    <w:rsid w:val="00DD7CA0"/>
    <w:rsid w:val="00DD7CF5"/>
    <w:rsid w:val="00DE173B"/>
    <w:rsid w:val="00DE1FAC"/>
    <w:rsid w:val="00DE393D"/>
    <w:rsid w:val="00DE3F07"/>
    <w:rsid w:val="00DE4A2C"/>
    <w:rsid w:val="00DE4AFF"/>
    <w:rsid w:val="00DE5FCB"/>
    <w:rsid w:val="00DE63FE"/>
    <w:rsid w:val="00DE6A41"/>
    <w:rsid w:val="00DE6CB3"/>
    <w:rsid w:val="00DE79B2"/>
    <w:rsid w:val="00DF067A"/>
    <w:rsid w:val="00DF0E8D"/>
    <w:rsid w:val="00DF13B1"/>
    <w:rsid w:val="00DF245B"/>
    <w:rsid w:val="00DF4096"/>
    <w:rsid w:val="00DF42FE"/>
    <w:rsid w:val="00DF4D3E"/>
    <w:rsid w:val="00DF6A8B"/>
    <w:rsid w:val="00DF745E"/>
    <w:rsid w:val="00DF7883"/>
    <w:rsid w:val="00E00989"/>
    <w:rsid w:val="00E00FE9"/>
    <w:rsid w:val="00E048FC"/>
    <w:rsid w:val="00E049F5"/>
    <w:rsid w:val="00E04AF3"/>
    <w:rsid w:val="00E04C0A"/>
    <w:rsid w:val="00E060EF"/>
    <w:rsid w:val="00E066BA"/>
    <w:rsid w:val="00E0679B"/>
    <w:rsid w:val="00E07E8D"/>
    <w:rsid w:val="00E10EDC"/>
    <w:rsid w:val="00E1106F"/>
    <w:rsid w:val="00E129B4"/>
    <w:rsid w:val="00E15405"/>
    <w:rsid w:val="00E157F9"/>
    <w:rsid w:val="00E162D5"/>
    <w:rsid w:val="00E16BD2"/>
    <w:rsid w:val="00E16F7E"/>
    <w:rsid w:val="00E170CB"/>
    <w:rsid w:val="00E17AB5"/>
    <w:rsid w:val="00E2146C"/>
    <w:rsid w:val="00E214B9"/>
    <w:rsid w:val="00E21501"/>
    <w:rsid w:val="00E22AC6"/>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791F"/>
    <w:rsid w:val="00E4052D"/>
    <w:rsid w:val="00E408E0"/>
    <w:rsid w:val="00E4184A"/>
    <w:rsid w:val="00E425C4"/>
    <w:rsid w:val="00E42D13"/>
    <w:rsid w:val="00E43A35"/>
    <w:rsid w:val="00E44FB7"/>
    <w:rsid w:val="00E45338"/>
    <w:rsid w:val="00E460B3"/>
    <w:rsid w:val="00E473CC"/>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CD3"/>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A22"/>
    <w:rsid w:val="00EC3450"/>
    <w:rsid w:val="00EC4A57"/>
    <w:rsid w:val="00EC77A9"/>
    <w:rsid w:val="00EC7B23"/>
    <w:rsid w:val="00ED0BB1"/>
    <w:rsid w:val="00ED0BC4"/>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5236"/>
    <w:rsid w:val="00F06353"/>
    <w:rsid w:val="00F0772A"/>
    <w:rsid w:val="00F109D6"/>
    <w:rsid w:val="00F109E9"/>
    <w:rsid w:val="00F10D00"/>
    <w:rsid w:val="00F11022"/>
    <w:rsid w:val="00F110E9"/>
    <w:rsid w:val="00F11130"/>
    <w:rsid w:val="00F14060"/>
    <w:rsid w:val="00F14338"/>
    <w:rsid w:val="00F14E13"/>
    <w:rsid w:val="00F17871"/>
    <w:rsid w:val="00F17EF8"/>
    <w:rsid w:val="00F22401"/>
    <w:rsid w:val="00F22F80"/>
    <w:rsid w:val="00F22F9B"/>
    <w:rsid w:val="00F236B5"/>
    <w:rsid w:val="00F2372A"/>
    <w:rsid w:val="00F250C1"/>
    <w:rsid w:val="00F251AE"/>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6BAF"/>
    <w:rsid w:val="00F47AF8"/>
    <w:rsid w:val="00F50449"/>
    <w:rsid w:val="00F512D6"/>
    <w:rsid w:val="00F51CAA"/>
    <w:rsid w:val="00F51CFE"/>
    <w:rsid w:val="00F520EA"/>
    <w:rsid w:val="00F529B6"/>
    <w:rsid w:val="00F53687"/>
    <w:rsid w:val="00F53DAA"/>
    <w:rsid w:val="00F53DCD"/>
    <w:rsid w:val="00F54E62"/>
    <w:rsid w:val="00F55694"/>
    <w:rsid w:val="00F56DE6"/>
    <w:rsid w:val="00F56F50"/>
    <w:rsid w:val="00F60A27"/>
    <w:rsid w:val="00F60B3F"/>
    <w:rsid w:val="00F60C57"/>
    <w:rsid w:val="00F61357"/>
    <w:rsid w:val="00F61742"/>
    <w:rsid w:val="00F61B0E"/>
    <w:rsid w:val="00F62005"/>
    <w:rsid w:val="00F62095"/>
    <w:rsid w:val="00F62A61"/>
    <w:rsid w:val="00F62C4B"/>
    <w:rsid w:val="00F63324"/>
    <w:rsid w:val="00F63B0C"/>
    <w:rsid w:val="00F64D68"/>
    <w:rsid w:val="00F64F4F"/>
    <w:rsid w:val="00F657AE"/>
    <w:rsid w:val="00F65B68"/>
    <w:rsid w:val="00F65F59"/>
    <w:rsid w:val="00F66DEF"/>
    <w:rsid w:val="00F66E7B"/>
    <w:rsid w:val="00F67CB0"/>
    <w:rsid w:val="00F7045A"/>
    <w:rsid w:val="00F711B4"/>
    <w:rsid w:val="00F711B5"/>
    <w:rsid w:val="00F714EC"/>
    <w:rsid w:val="00F7171F"/>
    <w:rsid w:val="00F71CE9"/>
    <w:rsid w:val="00F72D08"/>
    <w:rsid w:val="00F7424E"/>
    <w:rsid w:val="00F74545"/>
    <w:rsid w:val="00F74FC2"/>
    <w:rsid w:val="00F75837"/>
    <w:rsid w:val="00F76669"/>
    <w:rsid w:val="00F76BA1"/>
    <w:rsid w:val="00F77A49"/>
    <w:rsid w:val="00F80507"/>
    <w:rsid w:val="00F80EF1"/>
    <w:rsid w:val="00F81031"/>
    <w:rsid w:val="00F81362"/>
    <w:rsid w:val="00F815A6"/>
    <w:rsid w:val="00F822E6"/>
    <w:rsid w:val="00F8262C"/>
    <w:rsid w:val="00F8276E"/>
    <w:rsid w:val="00F82877"/>
    <w:rsid w:val="00F84F2A"/>
    <w:rsid w:val="00F85055"/>
    <w:rsid w:val="00F856C5"/>
    <w:rsid w:val="00F8736C"/>
    <w:rsid w:val="00F87A9A"/>
    <w:rsid w:val="00F87AB7"/>
    <w:rsid w:val="00F90288"/>
    <w:rsid w:val="00F90983"/>
    <w:rsid w:val="00F919ED"/>
    <w:rsid w:val="00F9301F"/>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4A9B"/>
    <w:rsid w:val="00FE5937"/>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36D286B"/>
    <w:rsid w:val="03D5136E"/>
    <w:rsid w:val="03FA4B86"/>
    <w:rsid w:val="040300D0"/>
    <w:rsid w:val="04F1119D"/>
    <w:rsid w:val="04FD3A4F"/>
    <w:rsid w:val="055F4103"/>
    <w:rsid w:val="05BC11C9"/>
    <w:rsid w:val="05F357D0"/>
    <w:rsid w:val="063A7DB1"/>
    <w:rsid w:val="063C64F5"/>
    <w:rsid w:val="068D34A2"/>
    <w:rsid w:val="0691031A"/>
    <w:rsid w:val="071776EA"/>
    <w:rsid w:val="07E745B3"/>
    <w:rsid w:val="089E34F5"/>
    <w:rsid w:val="09C63D96"/>
    <w:rsid w:val="0A073E44"/>
    <w:rsid w:val="0AA20EDF"/>
    <w:rsid w:val="0B252D26"/>
    <w:rsid w:val="0B38656F"/>
    <w:rsid w:val="0BB20188"/>
    <w:rsid w:val="0C132289"/>
    <w:rsid w:val="0D407795"/>
    <w:rsid w:val="0E790013"/>
    <w:rsid w:val="0EB765CD"/>
    <w:rsid w:val="0EC358ED"/>
    <w:rsid w:val="0EDA4B0D"/>
    <w:rsid w:val="0EFC7001"/>
    <w:rsid w:val="0F156F83"/>
    <w:rsid w:val="0F6B6953"/>
    <w:rsid w:val="0F707843"/>
    <w:rsid w:val="10004DA3"/>
    <w:rsid w:val="100F0F06"/>
    <w:rsid w:val="10133CEC"/>
    <w:rsid w:val="10471B90"/>
    <w:rsid w:val="10CE0ABD"/>
    <w:rsid w:val="10FF683C"/>
    <w:rsid w:val="116A08C3"/>
    <w:rsid w:val="11A33C0D"/>
    <w:rsid w:val="11B973F8"/>
    <w:rsid w:val="127B43B6"/>
    <w:rsid w:val="13680C0A"/>
    <w:rsid w:val="13BD7F7E"/>
    <w:rsid w:val="14EA6FA1"/>
    <w:rsid w:val="152D3131"/>
    <w:rsid w:val="15BF7B05"/>
    <w:rsid w:val="160D6B43"/>
    <w:rsid w:val="16872EBB"/>
    <w:rsid w:val="16D042ED"/>
    <w:rsid w:val="17BA0C20"/>
    <w:rsid w:val="18BD6938"/>
    <w:rsid w:val="19E87FDB"/>
    <w:rsid w:val="1AC11F8B"/>
    <w:rsid w:val="1B05209B"/>
    <w:rsid w:val="1B0B329C"/>
    <w:rsid w:val="1BA230FD"/>
    <w:rsid w:val="1BA634C6"/>
    <w:rsid w:val="1BB67EAD"/>
    <w:rsid w:val="1C2025FB"/>
    <w:rsid w:val="1C635AC0"/>
    <w:rsid w:val="1CEE3C8E"/>
    <w:rsid w:val="1E930565"/>
    <w:rsid w:val="1E9C1534"/>
    <w:rsid w:val="1EA33558"/>
    <w:rsid w:val="1ED52605"/>
    <w:rsid w:val="1F6D75A9"/>
    <w:rsid w:val="200759D0"/>
    <w:rsid w:val="20CD2F2D"/>
    <w:rsid w:val="20D05411"/>
    <w:rsid w:val="21301249"/>
    <w:rsid w:val="21590C6F"/>
    <w:rsid w:val="21600162"/>
    <w:rsid w:val="230954A7"/>
    <w:rsid w:val="23444524"/>
    <w:rsid w:val="23575B67"/>
    <w:rsid w:val="23754123"/>
    <w:rsid w:val="242A46F0"/>
    <w:rsid w:val="24CE3299"/>
    <w:rsid w:val="253B76A6"/>
    <w:rsid w:val="25FA16A4"/>
    <w:rsid w:val="26874BD1"/>
    <w:rsid w:val="26CC4DFF"/>
    <w:rsid w:val="26CE0A8C"/>
    <w:rsid w:val="273A0BF1"/>
    <w:rsid w:val="27605C0F"/>
    <w:rsid w:val="282C0B4D"/>
    <w:rsid w:val="29A62909"/>
    <w:rsid w:val="29E95322"/>
    <w:rsid w:val="29EC0AC1"/>
    <w:rsid w:val="2AE2377A"/>
    <w:rsid w:val="2D2E581F"/>
    <w:rsid w:val="2E54239A"/>
    <w:rsid w:val="2ED86341"/>
    <w:rsid w:val="2F7512DC"/>
    <w:rsid w:val="2F9D053B"/>
    <w:rsid w:val="31126690"/>
    <w:rsid w:val="311745F7"/>
    <w:rsid w:val="319369D6"/>
    <w:rsid w:val="333A1DBF"/>
    <w:rsid w:val="35D85E66"/>
    <w:rsid w:val="36EE4E57"/>
    <w:rsid w:val="39260332"/>
    <w:rsid w:val="39454C35"/>
    <w:rsid w:val="39A55E66"/>
    <w:rsid w:val="39E51EF7"/>
    <w:rsid w:val="3A4E5378"/>
    <w:rsid w:val="3A8A7049"/>
    <w:rsid w:val="3BEB5AC1"/>
    <w:rsid w:val="3C73358E"/>
    <w:rsid w:val="3CB215BE"/>
    <w:rsid w:val="3DE22A9D"/>
    <w:rsid w:val="3FD37425"/>
    <w:rsid w:val="40B23823"/>
    <w:rsid w:val="41806924"/>
    <w:rsid w:val="420F2347"/>
    <w:rsid w:val="427D0819"/>
    <w:rsid w:val="432D61BB"/>
    <w:rsid w:val="4354380F"/>
    <w:rsid w:val="43EE4B89"/>
    <w:rsid w:val="43F33D10"/>
    <w:rsid w:val="447103A1"/>
    <w:rsid w:val="44727557"/>
    <w:rsid w:val="455D7376"/>
    <w:rsid w:val="45B4341C"/>
    <w:rsid w:val="46AE76A0"/>
    <w:rsid w:val="475442BC"/>
    <w:rsid w:val="479A273C"/>
    <w:rsid w:val="47C87427"/>
    <w:rsid w:val="484A2925"/>
    <w:rsid w:val="48EA3FA2"/>
    <w:rsid w:val="491175F8"/>
    <w:rsid w:val="49F53A7E"/>
    <w:rsid w:val="4A45381C"/>
    <w:rsid w:val="4A7936AE"/>
    <w:rsid w:val="4B6A2015"/>
    <w:rsid w:val="4BA74278"/>
    <w:rsid w:val="4BBD645C"/>
    <w:rsid w:val="4BF66658"/>
    <w:rsid w:val="4DCB2AF5"/>
    <w:rsid w:val="4F1A3CB3"/>
    <w:rsid w:val="4F1E0BD4"/>
    <w:rsid w:val="4F601247"/>
    <w:rsid w:val="4FCB3D3E"/>
    <w:rsid w:val="4FFB4B92"/>
    <w:rsid w:val="509311B2"/>
    <w:rsid w:val="51E86350"/>
    <w:rsid w:val="53F35333"/>
    <w:rsid w:val="54380B8E"/>
    <w:rsid w:val="55BA5565"/>
    <w:rsid w:val="561B5434"/>
    <w:rsid w:val="56443236"/>
    <w:rsid w:val="56B82C96"/>
    <w:rsid w:val="574C149B"/>
    <w:rsid w:val="588D7247"/>
    <w:rsid w:val="59D54599"/>
    <w:rsid w:val="5BE17A7D"/>
    <w:rsid w:val="5BEC3839"/>
    <w:rsid w:val="5D620088"/>
    <w:rsid w:val="5DAE6B9E"/>
    <w:rsid w:val="5E3C37E3"/>
    <w:rsid w:val="5FE14611"/>
    <w:rsid w:val="5FFC5679"/>
    <w:rsid w:val="60864AEA"/>
    <w:rsid w:val="6258504E"/>
    <w:rsid w:val="62E47122"/>
    <w:rsid w:val="63946143"/>
    <w:rsid w:val="639623A8"/>
    <w:rsid w:val="63CE7891"/>
    <w:rsid w:val="63EA6BD0"/>
    <w:rsid w:val="645857BB"/>
    <w:rsid w:val="647F59A0"/>
    <w:rsid w:val="65064810"/>
    <w:rsid w:val="66BB6825"/>
    <w:rsid w:val="67347A3D"/>
    <w:rsid w:val="678E1852"/>
    <w:rsid w:val="68617A2A"/>
    <w:rsid w:val="69085720"/>
    <w:rsid w:val="697C1803"/>
    <w:rsid w:val="6A4D2293"/>
    <w:rsid w:val="6AD52733"/>
    <w:rsid w:val="6BBC2756"/>
    <w:rsid w:val="6BF821B7"/>
    <w:rsid w:val="6C81295D"/>
    <w:rsid w:val="6D0D6C71"/>
    <w:rsid w:val="6E0020C4"/>
    <w:rsid w:val="6F611730"/>
    <w:rsid w:val="6F961959"/>
    <w:rsid w:val="70162303"/>
    <w:rsid w:val="70192BA2"/>
    <w:rsid w:val="701C1CFC"/>
    <w:rsid w:val="703E6B44"/>
    <w:rsid w:val="70982274"/>
    <w:rsid w:val="70A53E40"/>
    <w:rsid w:val="70F24E9E"/>
    <w:rsid w:val="72371A7B"/>
    <w:rsid w:val="723727D8"/>
    <w:rsid w:val="72D368B7"/>
    <w:rsid w:val="72DD7DFC"/>
    <w:rsid w:val="73BC5805"/>
    <w:rsid w:val="745970CB"/>
    <w:rsid w:val="74AF3325"/>
    <w:rsid w:val="74B31B32"/>
    <w:rsid w:val="75595D22"/>
    <w:rsid w:val="76173984"/>
    <w:rsid w:val="761F16F3"/>
    <w:rsid w:val="767037DF"/>
    <w:rsid w:val="7674692B"/>
    <w:rsid w:val="767513B0"/>
    <w:rsid w:val="767A1F53"/>
    <w:rsid w:val="76B02787"/>
    <w:rsid w:val="77121824"/>
    <w:rsid w:val="784D5C4E"/>
    <w:rsid w:val="78CA53F2"/>
    <w:rsid w:val="79A663CC"/>
    <w:rsid w:val="7A5D1E54"/>
    <w:rsid w:val="7A954B61"/>
    <w:rsid w:val="7B4D3ED6"/>
    <w:rsid w:val="7C805C05"/>
    <w:rsid w:val="7CD73633"/>
    <w:rsid w:val="7D1843AA"/>
    <w:rsid w:val="7D6D5948"/>
    <w:rsid w:val="7D810325"/>
    <w:rsid w:val="7D9C50BC"/>
    <w:rsid w:val="7DE4748C"/>
    <w:rsid w:val="7F654E40"/>
    <w:rsid w:val="7FA37366"/>
    <w:rsid w:val="7FE14E84"/>
    <w:rsid w:val="7FF2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36"/>
      <w:szCs w:val="20"/>
    </w:rPr>
  </w:style>
  <w:style w:type="paragraph" w:styleId="4">
    <w:name w:val="heading 2"/>
    <w:basedOn w:val="1"/>
    <w:next w:val="1"/>
    <w:link w:val="99"/>
    <w:qFormat/>
    <w:uiPriority w:val="9"/>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9"/>
    <w:pPr>
      <w:keepNext/>
      <w:keepLines/>
      <w:spacing w:before="260" w:after="260" w:line="412" w:lineRule="auto"/>
      <w:outlineLvl w:val="2"/>
    </w:pPr>
    <w:rPr>
      <w:b/>
      <w:sz w:val="32"/>
      <w:szCs w:val="20"/>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9"/>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link w:val="88"/>
    <w:qFormat/>
    <w:uiPriority w:val="0"/>
    <w:pPr>
      <w:ind w:firstLine="420"/>
    </w:pPr>
    <w:rPr>
      <w:szCs w:val="20"/>
    </w:rPr>
  </w:style>
  <w:style w:type="paragraph" w:styleId="13">
    <w:name w:val="annotation text"/>
    <w:basedOn w:val="1"/>
    <w:link w:val="87"/>
    <w:qFormat/>
    <w:uiPriority w:val="0"/>
    <w:pPr>
      <w:jc w:val="left"/>
    </w:pPr>
  </w:style>
  <w:style w:type="paragraph" w:styleId="14">
    <w:name w:val="Body Text Indent"/>
    <w:basedOn w:val="1"/>
    <w:link w:val="78"/>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0"/>
    <w:qFormat/>
    <w:uiPriority w:val="0"/>
    <w:pPr>
      <w:ind w:firstLine="630"/>
    </w:pPr>
    <w:rPr>
      <w:sz w:val="32"/>
      <w:szCs w:val="20"/>
    </w:rPr>
  </w:style>
  <w:style w:type="paragraph" w:styleId="19">
    <w:name w:val="Balloon Text"/>
    <w:basedOn w:val="1"/>
    <w:link w:val="66"/>
    <w:qFormat/>
    <w:uiPriority w:val="0"/>
    <w:rPr>
      <w:sz w:val="18"/>
      <w:szCs w:val="18"/>
    </w:rPr>
  </w:style>
  <w:style w:type="paragraph" w:styleId="20">
    <w:name w:val="footer"/>
    <w:basedOn w:val="1"/>
    <w:link w:val="101"/>
    <w:qFormat/>
    <w:uiPriority w:val="0"/>
    <w:pPr>
      <w:tabs>
        <w:tab w:val="center" w:pos="4153"/>
        <w:tab w:val="right" w:pos="8306"/>
      </w:tabs>
      <w:snapToGrid w:val="0"/>
      <w:jc w:val="left"/>
    </w:pPr>
    <w:rPr>
      <w:sz w:val="18"/>
      <w:szCs w:val="20"/>
    </w:rPr>
  </w:style>
  <w:style w:type="paragraph" w:styleId="21">
    <w:name w:val="header"/>
    <w:basedOn w:val="1"/>
    <w:link w:val="73"/>
    <w:qFormat/>
    <w:uiPriority w:val="99"/>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6"/>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64"/>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7">
    <w:name w:val="表格文字"/>
    <w:basedOn w:val="1"/>
    <w:qFormat/>
    <w:uiPriority w:val="0"/>
    <w:pPr>
      <w:spacing w:before="25" w:after="25"/>
      <w:jc w:val="left"/>
    </w:pPr>
    <w:rPr>
      <w:rFonts w:ascii="Calibri" w:hAnsi="Calibri"/>
      <w:bCs/>
      <w:spacing w:val="10"/>
      <w:kern w:val="0"/>
      <w:sz w:val="24"/>
    </w:rPr>
  </w:style>
  <w:style w:type="paragraph" w:customStyle="1" w:styleId="48">
    <w:name w:val="Char1"/>
    <w:basedOn w:val="1"/>
    <w:qFormat/>
    <w:uiPriority w:val="0"/>
    <w:rPr>
      <w:szCs w:val="21"/>
    </w:rPr>
  </w:style>
  <w:style w:type="paragraph" w:customStyle="1" w:styleId="4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 Char Char Char"/>
    <w:basedOn w:val="1"/>
    <w:qFormat/>
    <w:uiPriority w:val="0"/>
    <w:rPr>
      <w:rFonts w:ascii="Tahoma" w:hAnsi="Tahoma"/>
      <w:sz w:val="24"/>
      <w:szCs w:val="20"/>
    </w:rPr>
  </w:style>
  <w:style w:type="paragraph" w:customStyle="1" w:styleId="51">
    <w:name w:val="p0"/>
    <w:basedOn w:val="1"/>
    <w:link w:val="72"/>
    <w:qFormat/>
    <w:uiPriority w:val="0"/>
    <w:pPr>
      <w:widowControl/>
    </w:pPr>
    <w:rPr>
      <w:kern w:val="0"/>
      <w:szCs w:val="21"/>
    </w:rPr>
  </w:style>
  <w:style w:type="paragraph" w:styleId="52">
    <w:name w:val="List Paragraph"/>
    <w:basedOn w:val="1"/>
    <w:link w:val="103"/>
    <w:qFormat/>
    <w:uiPriority w:val="34"/>
    <w:pPr>
      <w:ind w:firstLine="420" w:firstLineChars="200"/>
    </w:pPr>
    <w:rPr>
      <w:sz w:val="18"/>
      <w:szCs w:val="18"/>
    </w:rPr>
  </w:style>
  <w:style w:type="paragraph" w:customStyle="1" w:styleId="53">
    <w:name w:val="title12"/>
    <w:basedOn w:val="1"/>
    <w:qFormat/>
    <w:uiPriority w:val="0"/>
    <w:pPr>
      <w:spacing w:before="150"/>
      <w:jc w:val="left"/>
    </w:pPr>
    <w:rPr>
      <w:b/>
      <w:kern w:val="0"/>
      <w:sz w:val="22"/>
      <w:szCs w:val="22"/>
    </w:rPr>
  </w:style>
  <w:style w:type="paragraph" w:customStyle="1" w:styleId="54">
    <w:name w:val="表格"/>
    <w:basedOn w:val="1"/>
    <w:qFormat/>
    <w:uiPriority w:val="0"/>
    <w:pPr>
      <w:spacing w:line="400" w:lineRule="exact"/>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默认段落字体 Para Char Char Char Char Char Char Char"/>
    <w:basedOn w:val="1"/>
    <w:qFormat/>
    <w:uiPriority w:val="0"/>
    <w:rPr>
      <w:rFonts w:ascii="Tahoma" w:hAnsi="Tahoma"/>
      <w:sz w:val="24"/>
      <w:szCs w:val="20"/>
    </w:rPr>
  </w:style>
  <w:style w:type="character" w:customStyle="1" w:styleId="64">
    <w:name w:val="批注主题 Char"/>
    <w:link w:val="27"/>
    <w:qFormat/>
    <w:uiPriority w:val="0"/>
    <w:rPr>
      <w:b/>
      <w:bCs/>
      <w:kern w:val="2"/>
      <w:sz w:val="21"/>
      <w:szCs w:val="24"/>
    </w:rPr>
  </w:style>
  <w:style w:type="character" w:customStyle="1" w:styleId="65">
    <w:name w:val="stclosebtn"/>
    <w:basedOn w:val="31"/>
    <w:qFormat/>
    <w:uiPriority w:val="0"/>
  </w:style>
  <w:style w:type="character" w:customStyle="1" w:styleId="66">
    <w:name w:val="批注框文本 Char"/>
    <w:link w:val="19"/>
    <w:qFormat/>
    <w:uiPriority w:val="0"/>
    <w:rPr>
      <w:kern w:val="2"/>
      <w:sz w:val="18"/>
      <w:szCs w:val="18"/>
    </w:rPr>
  </w:style>
  <w:style w:type="character" w:customStyle="1" w:styleId="67">
    <w:name w:val="beforeinfotext"/>
    <w:basedOn w:val="31"/>
    <w:qFormat/>
    <w:uiPriority w:val="0"/>
    <w:rPr>
      <w:color w:val="666666"/>
    </w:rPr>
  </w:style>
  <w:style w:type="character" w:customStyle="1" w:styleId="68">
    <w:name w:val="hour_am"/>
    <w:basedOn w:val="31"/>
    <w:qFormat/>
    <w:uiPriority w:val="0"/>
  </w:style>
  <w:style w:type="character" w:customStyle="1" w:styleId="69">
    <w:name w:val="Char Char14"/>
    <w:qFormat/>
    <w:uiPriority w:val="0"/>
    <w:rPr>
      <w:rFonts w:ascii="Arial" w:hAnsi="Arial" w:eastAsia="黑体"/>
      <w:b/>
      <w:bCs/>
      <w:sz w:val="28"/>
      <w:szCs w:val="28"/>
      <w:lang w:val="en-US" w:eastAsia="zh-CN" w:bidi="ar-SA"/>
    </w:rPr>
  </w:style>
  <w:style w:type="character" w:customStyle="1" w:styleId="70">
    <w:name w:val="active"/>
    <w:basedOn w:val="31"/>
    <w:qFormat/>
    <w:uiPriority w:val="0"/>
    <w:rPr>
      <w:color w:val="00FF00"/>
      <w:shd w:val="clear" w:color="auto" w:fill="000000"/>
    </w:rPr>
  </w:style>
  <w:style w:type="character" w:customStyle="1" w:styleId="71">
    <w:name w:val="普通文字1 Char"/>
    <w:qFormat/>
    <w:uiPriority w:val="0"/>
    <w:rPr>
      <w:rFonts w:ascii="宋体" w:hAnsi="Courier New" w:eastAsia="宋体"/>
      <w:kern w:val="2"/>
      <w:sz w:val="21"/>
      <w:lang w:val="en-US" w:eastAsia="zh-CN" w:bidi="ar-SA"/>
    </w:rPr>
  </w:style>
  <w:style w:type="character" w:customStyle="1" w:styleId="72">
    <w:name w:val="p0 Char"/>
    <w:link w:val="51"/>
    <w:qFormat/>
    <w:uiPriority w:val="0"/>
    <w:rPr>
      <w:rFonts w:eastAsia="宋体"/>
      <w:sz w:val="21"/>
      <w:szCs w:val="21"/>
      <w:lang w:val="en-US" w:eastAsia="zh-CN" w:bidi="ar-SA"/>
    </w:rPr>
  </w:style>
  <w:style w:type="character" w:customStyle="1" w:styleId="73">
    <w:name w:val="页眉 Char"/>
    <w:link w:val="21"/>
    <w:qFormat/>
    <w:uiPriority w:val="99"/>
    <w:rPr>
      <w:rFonts w:eastAsia="宋体"/>
      <w:kern w:val="2"/>
      <w:sz w:val="18"/>
      <w:lang w:val="en-US" w:eastAsia="zh-CN" w:bidi="ar-SA"/>
    </w:rPr>
  </w:style>
  <w:style w:type="character" w:customStyle="1" w:styleId="74">
    <w:name w:val="indent"/>
    <w:basedOn w:val="31"/>
    <w:qFormat/>
    <w:uiPriority w:val="0"/>
  </w:style>
  <w:style w:type="character" w:customStyle="1" w:styleId="75">
    <w:name w:val="hour_pm"/>
    <w:basedOn w:val="31"/>
    <w:qFormat/>
    <w:uiPriority w:val="0"/>
  </w:style>
  <w:style w:type="character" w:customStyle="1" w:styleId="76">
    <w:name w:val="button"/>
    <w:basedOn w:val="31"/>
    <w:qFormat/>
    <w:uiPriority w:val="0"/>
  </w:style>
  <w:style w:type="character" w:customStyle="1" w:styleId="77">
    <w:name w:val="正文文本缩进 字符1"/>
    <w:semiHidden/>
    <w:qFormat/>
    <w:locked/>
    <w:uiPriority w:val="0"/>
    <w:rPr>
      <w:kern w:val="2"/>
      <w:sz w:val="32"/>
    </w:rPr>
  </w:style>
  <w:style w:type="character" w:customStyle="1" w:styleId="78">
    <w:name w:val="正文文本缩进 Char"/>
    <w:link w:val="14"/>
    <w:qFormat/>
    <w:uiPriority w:val="0"/>
    <w:rPr>
      <w:kern w:val="2"/>
      <w:sz w:val="32"/>
    </w:rPr>
  </w:style>
  <w:style w:type="character" w:customStyle="1" w:styleId="79">
    <w:name w:val="hover3"/>
    <w:basedOn w:val="31"/>
    <w:qFormat/>
    <w:uiPriority w:val="0"/>
    <w:rPr>
      <w:shd w:val="clear" w:color="auto" w:fill="EEEEEE"/>
    </w:rPr>
  </w:style>
  <w:style w:type="character" w:customStyle="1" w:styleId="80">
    <w:name w:val="mini-outputtext1"/>
    <w:basedOn w:val="31"/>
    <w:qFormat/>
    <w:uiPriority w:val="0"/>
  </w:style>
  <w:style w:type="character" w:customStyle="1" w:styleId="81">
    <w:name w:val="NormalCharacter"/>
    <w:qFormat/>
    <w:uiPriority w:val="0"/>
  </w:style>
  <w:style w:type="character" w:customStyle="1" w:styleId="82">
    <w:name w:val="tmpztreemove_arrow"/>
    <w:basedOn w:val="31"/>
    <w:qFormat/>
    <w:uiPriority w:val="0"/>
    <w:rPr>
      <w:shd w:val="clear" w:color="auto" w:fill="FFFFFF"/>
    </w:rPr>
  </w:style>
  <w:style w:type="character" w:customStyle="1" w:styleId="83">
    <w:name w:val="input-direction"/>
    <w:basedOn w:val="31"/>
    <w:qFormat/>
    <w:uiPriority w:val="0"/>
    <w:rPr>
      <w:color w:val="FF6600"/>
    </w:rPr>
  </w:style>
  <w:style w:type="character" w:customStyle="1" w:styleId="84">
    <w:name w:val="bds_nopic2"/>
    <w:qFormat/>
    <w:uiPriority w:val="0"/>
    <w:rPr>
      <w:rFonts w:ascii="Times New Roman" w:hAnsi="Times New Roman" w:eastAsia="宋体"/>
    </w:rPr>
  </w:style>
  <w:style w:type="character" w:customStyle="1" w:styleId="85">
    <w:name w:val="hilite"/>
    <w:basedOn w:val="31"/>
    <w:qFormat/>
    <w:uiPriority w:val="0"/>
    <w:rPr>
      <w:color w:val="FFFFFF"/>
      <w:shd w:val="clear" w:color="auto" w:fill="666677"/>
    </w:rPr>
  </w:style>
  <w:style w:type="character" w:customStyle="1" w:styleId="86">
    <w:name w:val="正文文本缩进 3 Char"/>
    <w:link w:val="23"/>
    <w:qFormat/>
    <w:uiPriority w:val="0"/>
    <w:rPr>
      <w:rFonts w:ascii="黑体" w:eastAsia="黑体"/>
      <w:kern w:val="2"/>
      <w:sz w:val="30"/>
      <w:szCs w:val="28"/>
    </w:rPr>
  </w:style>
  <w:style w:type="character" w:customStyle="1" w:styleId="87">
    <w:name w:val="批注文字 Char"/>
    <w:link w:val="13"/>
    <w:qFormat/>
    <w:uiPriority w:val="0"/>
    <w:rPr>
      <w:kern w:val="2"/>
      <w:sz w:val="21"/>
      <w:szCs w:val="24"/>
    </w:rPr>
  </w:style>
  <w:style w:type="character" w:customStyle="1" w:styleId="88">
    <w:name w:val="正文缩进 Char"/>
    <w:link w:val="8"/>
    <w:qFormat/>
    <w:uiPriority w:val="0"/>
    <w:rPr>
      <w:rFonts w:eastAsia="宋体"/>
      <w:kern w:val="2"/>
      <w:sz w:val="21"/>
      <w:lang w:val="en-US" w:eastAsia="zh-CN" w:bidi="ar-SA"/>
    </w:rPr>
  </w:style>
  <w:style w:type="character" w:customStyle="1" w:styleId="89">
    <w:name w:val="span-long"/>
    <w:basedOn w:val="31"/>
    <w:qFormat/>
    <w:uiPriority w:val="0"/>
  </w:style>
  <w:style w:type="character" w:customStyle="1" w:styleId="90">
    <w:name w:val="hilite6"/>
    <w:basedOn w:val="31"/>
    <w:qFormat/>
    <w:uiPriority w:val="0"/>
    <w:rPr>
      <w:color w:val="FFFFFF"/>
      <w:shd w:val="clear" w:color="auto" w:fill="666677"/>
    </w:rPr>
  </w:style>
  <w:style w:type="character" w:customStyle="1" w:styleId="9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2">
    <w:name w:val="glyphicon4"/>
    <w:basedOn w:val="31"/>
    <w:qFormat/>
    <w:uiPriority w:val="0"/>
  </w:style>
  <w:style w:type="character" w:customStyle="1" w:styleId="93">
    <w:name w:val="active6"/>
    <w:basedOn w:val="31"/>
    <w:qFormat/>
    <w:uiPriority w:val="0"/>
    <w:rPr>
      <w:color w:val="00FF00"/>
      <w:shd w:val="clear" w:color="auto" w:fill="000000"/>
    </w:rPr>
  </w:style>
  <w:style w:type="character" w:customStyle="1" w:styleId="94">
    <w:name w:val="proollist"/>
    <w:basedOn w:val="31"/>
    <w:qFormat/>
    <w:uiPriority w:val="0"/>
  </w:style>
  <w:style w:type="character" w:customStyle="1" w:styleId="95">
    <w:name w:val="number"/>
    <w:basedOn w:val="31"/>
    <w:qFormat/>
    <w:uiPriority w:val="0"/>
    <w:rPr>
      <w:color w:val="FF8833"/>
      <w:sz w:val="18"/>
      <w:szCs w:val="18"/>
    </w:rPr>
  </w:style>
  <w:style w:type="character" w:customStyle="1" w:styleId="96">
    <w:name w:val="标题 1 Char"/>
    <w:link w:val="3"/>
    <w:qFormat/>
    <w:uiPriority w:val="0"/>
    <w:rPr>
      <w:rFonts w:ascii="Times New Roman" w:hAnsi="Times New Roman" w:eastAsia="宋体"/>
      <w:b/>
      <w:kern w:val="44"/>
      <w:sz w:val="36"/>
      <w:szCs w:val="20"/>
    </w:rPr>
  </w:style>
  <w:style w:type="character" w:customStyle="1" w:styleId="97">
    <w:name w:val="phone"/>
    <w:basedOn w:val="31"/>
    <w:qFormat/>
    <w:uiPriority w:val="0"/>
    <w:rPr>
      <w:color w:val="FF8833"/>
      <w:sz w:val="18"/>
      <w:szCs w:val="18"/>
    </w:rPr>
  </w:style>
  <w:style w:type="character" w:customStyle="1" w:styleId="98">
    <w:name w:val="old"/>
    <w:basedOn w:val="31"/>
    <w:qFormat/>
    <w:uiPriority w:val="0"/>
    <w:rPr>
      <w:color w:val="999999"/>
    </w:rPr>
  </w:style>
  <w:style w:type="character" w:customStyle="1" w:styleId="99">
    <w:name w:val="标题 2 Char"/>
    <w:link w:val="4"/>
    <w:qFormat/>
    <w:uiPriority w:val="0"/>
    <w:rPr>
      <w:rFonts w:ascii="Arial" w:hAnsi="Arial" w:eastAsia="黑体"/>
      <w:b/>
      <w:kern w:val="2"/>
      <w:sz w:val="28"/>
    </w:rPr>
  </w:style>
  <w:style w:type="character" w:customStyle="1" w:styleId="100">
    <w:name w:val="正文文本缩进 2 Char"/>
    <w:link w:val="18"/>
    <w:qFormat/>
    <w:uiPriority w:val="0"/>
    <w:rPr>
      <w:kern w:val="2"/>
      <w:sz w:val="32"/>
    </w:rPr>
  </w:style>
  <w:style w:type="character" w:customStyle="1" w:styleId="101">
    <w:name w:val="页脚 Char"/>
    <w:link w:val="20"/>
    <w:qFormat/>
    <w:uiPriority w:val="0"/>
    <w:rPr>
      <w:rFonts w:eastAsia="宋体"/>
      <w:kern w:val="2"/>
      <w:sz w:val="18"/>
      <w:lang w:val="en-US" w:eastAsia="zh-CN" w:bidi="ar-SA"/>
    </w:rPr>
  </w:style>
  <w:style w:type="paragraph" w:customStyle="1" w:styleId="102">
    <w:name w:val="正文缩进1"/>
    <w:basedOn w:val="1"/>
    <w:qFormat/>
    <w:uiPriority w:val="0"/>
    <w:pPr>
      <w:ind w:firstLine="420" w:firstLineChars="200"/>
    </w:pPr>
  </w:style>
  <w:style w:type="character" w:customStyle="1" w:styleId="103">
    <w:name w:val="列出段落 Char"/>
    <w:link w:val="52"/>
    <w:qFormat/>
    <w:locked/>
    <w:uiPriority w:val="34"/>
    <w:rPr>
      <w:kern w:val="2"/>
      <w:sz w:val="18"/>
      <w:szCs w:val="18"/>
    </w:rPr>
  </w:style>
  <w:style w:type="paragraph" w:customStyle="1" w:styleId="104">
    <w:name w:val="*正文"/>
    <w:basedOn w:val="1"/>
    <w:link w:val="105"/>
    <w:qFormat/>
    <w:uiPriority w:val="0"/>
    <w:pPr>
      <w:spacing w:line="360" w:lineRule="auto"/>
      <w:ind w:firstLine="200" w:firstLineChars="200"/>
    </w:pPr>
    <w:rPr>
      <w:rFonts w:ascii="宋体" w:hAnsi="宋体" w:eastAsia="仿宋" w:cstheme="minorBidi"/>
      <w:kern w:val="0"/>
      <w:sz w:val="28"/>
      <w:szCs w:val="22"/>
    </w:rPr>
  </w:style>
  <w:style w:type="character" w:customStyle="1" w:styleId="105">
    <w:name w:val="*正文 Char"/>
    <w:link w:val="104"/>
    <w:qFormat/>
    <w:uiPriority w:val="0"/>
    <w:rPr>
      <w:rFonts w:ascii="宋体" w:hAnsi="宋体" w:eastAsia="仿宋" w:cstheme="minorBidi"/>
      <w:sz w:val="28"/>
      <w:szCs w:val="22"/>
    </w:rPr>
  </w:style>
  <w:style w:type="paragraph" w:customStyle="1" w:styleId="106">
    <w:name w:val="样式 首行缩进:  0 字符"/>
    <w:basedOn w:val="1"/>
    <w:link w:val="107"/>
    <w:qFormat/>
    <w:uiPriority w:val="0"/>
    <w:pPr>
      <w:spacing w:line="360" w:lineRule="auto"/>
      <w:ind w:firstLine="200" w:firstLineChars="200"/>
    </w:pPr>
    <w:rPr>
      <w:rFonts w:cs="宋体"/>
      <w:sz w:val="24"/>
    </w:rPr>
  </w:style>
  <w:style w:type="character" w:customStyle="1" w:styleId="107">
    <w:name w:val="样式 首行缩进:  0 字符 Char"/>
    <w:link w:val="106"/>
    <w:qFormat/>
    <w:uiPriority w:val="0"/>
    <w:rPr>
      <w:rFonts w:cs="宋体"/>
      <w:kern w:val="2"/>
      <w:sz w:val="24"/>
      <w:szCs w:val="24"/>
    </w:rPr>
  </w:style>
  <w:style w:type="paragraph" w:customStyle="1" w:styleId="108">
    <w:name w:val="标号"/>
    <w:basedOn w:val="1"/>
    <w:qFormat/>
    <w:uiPriority w:val="99"/>
    <w:pPr>
      <w:spacing w:line="360" w:lineRule="auto"/>
    </w:pPr>
    <w:rPr>
      <w:rFonts w:ascii="宋体" w:hAnsi="宋体"/>
      <w:sz w:val="24"/>
    </w:rPr>
  </w:style>
  <w:style w:type="paragraph" w:customStyle="1" w:styleId="10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85</Pages>
  <Words>42003</Words>
  <Characters>44698</Characters>
  <Lines>359</Lines>
  <Paragraphs>101</Paragraphs>
  <TotalTime>320</TotalTime>
  <ScaleCrop>false</ScaleCrop>
  <LinksUpToDate>false</LinksUpToDate>
  <CharactersWithSpaces>47401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源丰成</dc:creator>
  <cp:lastModifiedBy>萌哒哒</cp:lastModifiedBy>
  <cp:lastPrinted>2022-04-25T02:16:16Z</cp:lastPrinted>
  <dcterms:modified xsi:type="dcterms:W3CDTF">2022-04-25T06:52:19Z</dcterms:modified>
  <dc:title>省无线委 薛科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AE611F267C534479861163B409F81C1F</vt:lpwstr>
  </property>
</Properties>
</file>