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hAnsi="宋体" w:eastAsia="宋体" w:cs="宋体"/>
          <w:b/>
          <w:sz w:val="30"/>
          <w:highlight w:val="none"/>
        </w:rPr>
      </w:pPr>
      <w:bookmarkStart w:id="0" w:name="OLE_LINK9"/>
      <w:r>
        <w:rPr>
          <w:rFonts w:hint="eastAsia" w:ascii="宋体" w:hAnsi="宋体" w:eastAsia="宋体" w:cs="宋体"/>
          <w:b/>
          <w:sz w:val="30"/>
          <w:highlight w:val="none"/>
        </w:rPr>
        <w:t>政府采购项目</w:t>
      </w:r>
    </w:p>
    <w:p>
      <w:pPr>
        <w:adjustRightInd w:val="0"/>
        <w:snapToGrid w:val="0"/>
        <w:spacing w:line="360" w:lineRule="auto"/>
        <w:jc w:val="left"/>
        <w:rPr>
          <w:rFonts w:hint="eastAsia" w:ascii="宋体" w:hAnsi="宋体" w:eastAsia="宋体" w:cs="宋体"/>
          <w:b/>
          <w:bCs/>
          <w:sz w:val="30"/>
          <w:highlight w:val="none"/>
          <w:lang w:eastAsia="zh-CN"/>
        </w:rPr>
      </w:pPr>
      <w:r>
        <w:rPr>
          <w:rFonts w:hint="eastAsia" w:ascii="宋体" w:hAnsi="宋体" w:eastAsia="宋体" w:cs="宋体"/>
          <w:b/>
          <w:sz w:val="30"/>
          <w:highlight w:val="none"/>
        </w:rPr>
        <w:t>项目编号：</w:t>
      </w:r>
      <w:r>
        <w:rPr>
          <w:rFonts w:hint="eastAsia" w:ascii="宋体" w:hAnsi="宋体" w:cs="宋体"/>
          <w:b/>
          <w:sz w:val="30"/>
          <w:highlight w:val="none"/>
          <w:lang w:eastAsia="zh-CN"/>
        </w:rPr>
        <w:t>SXWZ2022ZB-SZFY-055</w:t>
      </w:r>
    </w:p>
    <w:p>
      <w:pPr>
        <w:adjustRightInd w:val="0"/>
        <w:snapToGrid w:val="0"/>
        <w:spacing w:line="360" w:lineRule="auto"/>
        <w:rPr>
          <w:rFonts w:hint="eastAsia" w:ascii="宋体" w:hAnsi="宋体" w:eastAsia="宋体" w:cs="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宋体" w:hAnsi="宋体" w:eastAsia="宋体" w:cs="宋体"/>
          <w:b/>
          <w:sz w:val="48"/>
          <w:szCs w:val="48"/>
          <w:highlight w:val="none"/>
          <w:lang w:eastAsia="zh-CN"/>
        </w:rPr>
      </w:pPr>
      <w:r>
        <w:rPr>
          <w:rFonts w:hint="eastAsia" w:ascii="宋体" w:hAnsi="宋体" w:eastAsia="宋体" w:cs="宋体"/>
          <w:b/>
          <w:sz w:val="48"/>
          <w:szCs w:val="48"/>
          <w:highlight w:val="none"/>
          <w:lang w:eastAsia="zh-CN"/>
        </w:rPr>
        <w:t>陕西中医药大学附属医院</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宋体" w:hAnsi="宋体" w:eastAsia="宋体" w:cs="宋体"/>
          <w:b/>
          <w:sz w:val="52"/>
          <w:szCs w:val="52"/>
          <w:highlight w:val="none"/>
        </w:rPr>
      </w:pPr>
      <w:r>
        <w:rPr>
          <w:rFonts w:hint="eastAsia" w:ascii="宋体" w:hAnsi="宋体" w:eastAsia="宋体" w:cs="宋体"/>
          <w:b/>
          <w:sz w:val="48"/>
          <w:szCs w:val="48"/>
          <w:highlight w:val="none"/>
          <w:lang w:eastAsia="zh-CN"/>
        </w:rPr>
        <w:t xml:space="preserve">GE64排双能CT更换球管采购项目 </w:t>
      </w:r>
      <w:r>
        <w:rPr>
          <w:rFonts w:hint="eastAsia" w:ascii="宋体" w:hAnsi="宋体" w:eastAsia="宋体" w:cs="宋体"/>
          <w:b/>
          <w:sz w:val="48"/>
          <w:szCs w:val="48"/>
          <w:highlight w:val="none"/>
        </w:rPr>
        <w:t xml:space="preserve"> </w:t>
      </w:r>
    </w:p>
    <w:p>
      <w:pPr>
        <w:adjustRightInd w:val="0"/>
        <w:snapToGrid w:val="0"/>
        <w:spacing w:line="360" w:lineRule="auto"/>
        <w:jc w:val="left"/>
        <w:rPr>
          <w:rFonts w:hint="eastAsia" w:ascii="宋体" w:hAnsi="宋体" w:eastAsia="宋体" w:cs="宋体"/>
          <w:b/>
          <w:sz w:val="52"/>
          <w:szCs w:val="52"/>
          <w:highlight w:val="none"/>
        </w:rPr>
      </w:pPr>
      <w:r>
        <w:rPr>
          <w:rFonts w:hint="eastAsia" w:ascii="宋体" w:hAnsi="宋体" w:eastAsia="宋体" w:cs="宋体"/>
          <w:highlight w:val="none"/>
        </w:rPr>
        <w:drawing>
          <wp:anchor distT="0" distB="0" distL="114300" distR="114300" simplePos="0" relativeHeight="251659264" behindDoc="1" locked="0" layoutInCell="1" allowOverlap="1">
            <wp:simplePos x="0" y="0"/>
            <wp:positionH relativeFrom="column">
              <wp:posOffset>1568450</wp:posOffset>
            </wp:positionH>
            <wp:positionV relativeFrom="paragraph">
              <wp:posOffset>305435</wp:posOffset>
            </wp:positionV>
            <wp:extent cx="2312670" cy="1447800"/>
            <wp:effectExtent l="19050" t="0" r="0" b="0"/>
            <wp:wrapTight wrapText="bothSides">
              <wp:wrapPolygon>
                <wp:start x="-178" y="0"/>
                <wp:lineTo x="-178" y="21316"/>
                <wp:lineTo x="21529" y="21316"/>
                <wp:lineTo x="21529" y="0"/>
                <wp:lineTo x="-178" y="0"/>
              </wp:wrapPolygon>
            </wp:wrapTight>
            <wp:docPr id="3"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图标"/>
                    <pic:cNvPicPr>
                      <a:picLocks noChangeAspect="1" noChangeArrowheads="1"/>
                    </pic:cNvPicPr>
                  </pic:nvPicPr>
                  <pic:blipFill>
                    <a:blip r:embed="rId14"/>
                    <a:srcRect/>
                    <a:stretch>
                      <a:fillRect/>
                    </a:stretch>
                  </pic:blipFill>
                  <pic:spPr>
                    <a:xfrm>
                      <a:off x="0" y="0"/>
                      <a:ext cx="2312670" cy="1447800"/>
                    </a:xfrm>
                    <a:prstGeom prst="rect">
                      <a:avLst/>
                    </a:prstGeom>
                    <a:noFill/>
                    <a:ln w="9525">
                      <a:noFill/>
                      <a:miter lim="800000"/>
                      <a:headEnd/>
                      <a:tailEnd/>
                    </a:ln>
                  </pic:spPr>
                </pic:pic>
              </a:graphicData>
            </a:graphic>
          </wp:anchor>
        </w:drawing>
      </w:r>
    </w:p>
    <w:p>
      <w:pPr>
        <w:adjustRightInd w:val="0"/>
        <w:snapToGrid w:val="0"/>
        <w:spacing w:line="360" w:lineRule="auto"/>
        <w:jc w:val="left"/>
        <w:rPr>
          <w:rFonts w:hint="eastAsia" w:ascii="宋体" w:hAnsi="宋体" w:eastAsia="宋体" w:cs="宋体"/>
          <w:b/>
          <w:sz w:val="52"/>
          <w:szCs w:val="52"/>
          <w:highlight w:val="none"/>
        </w:rPr>
      </w:pPr>
    </w:p>
    <w:p>
      <w:pPr>
        <w:adjustRightInd w:val="0"/>
        <w:snapToGrid w:val="0"/>
        <w:spacing w:line="360" w:lineRule="auto"/>
        <w:jc w:val="left"/>
        <w:rPr>
          <w:rFonts w:hint="eastAsia" w:ascii="宋体" w:hAnsi="宋体" w:eastAsia="宋体" w:cs="宋体"/>
          <w:b/>
          <w:sz w:val="52"/>
          <w:szCs w:val="52"/>
          <w:highlight w:val="none"/>
        </w:rPr>
      </w:pPr>
    </w:p>
    <w:p>
      <w:pPr>
        <w:tabs>
          <w:tab w:val="left" w:pos="0"/>
        </w:tabs>
        <w:adjustRightInd w:val="0"/>
        <w:snapToGrid w:val="0"/>
        <w:spacing w:line="360" w:lineRule="auto"/>
        <w:jc w:val="center"/>
        <w:rPr>
          <w:rFonts w:hint="eastAsia" w:ascii="宋体" w:hAnsi="宋体" w:eastAsia="宋体" w:cs="宋体"/>
          <w:b/>
          <w:sz w:val="21"/>
          <w:szCs w:val="21"/>
          <w:highlight w:val="none"/>
        </w:rPr>
      </w:pPr>
    </w:p>
    <w:p>
      <w:pPr>
        <w:tabs>
          <w:tab w:val="left" w:pos="0"/>
        </w:tabs>
        <w:adjustRightInd w:val="0"/>
        <w:snapToGrid w:val="0"/>
        <w:spacing w:line="360" w:lineRule="auto"/>
        <w:jc w:val="center"/>
        <w:rPr>
          <w:rFonts w:hint="eastAsia" w:ascii="宋体" w:hAnsi="宋体" w:eastAsia="宋体" w:cs="宋体"/>
          <w:b/>
          <w:sz w:val="21"/>
          <w:szCs w:val="21"/>
          <w:highlight w:val="none"/>
        </w:rPr>
      </w:pPr>
    </w:p>
    <w:p>
      <w:pPr>
        <w:tabs>
          <w:tab w:val="left" w:pos="0"/>
        </w:tabs>
        <w:adjustRightInd w:val="0"/>
        <w:snapToGrid w:val="0"/>
        <w:spacing w:line="360" w:lineRule="auto"/>
        <w:jc w:val="center"/>
        <w:rPr>
          <w:rFonts w:hint="eastAsia" w:ascii="宋体" w:hAnsi="宋体" w:eastAsia="宋体" w:cs="宋体"/>
          <w:b/>
          <w:sz w:val="30"/>
          <w:highlight w:val="none"/>
        </w:rPr>
      </w:pPr>
      <w:r>
        <w:rPr>
          <w:rFonts w:hint="eastAsia" w:ascii="宋体" w:hAnsi="宋体" w:eastAsia="宋体" w:cs="宋体"/>
          <w:b/>
          <w:sz w:val="72"/>
          <w:szCs w:val="72"/>
          <w:highlight w:val="none"/>
        </w:rPr>
        <w:t>单一来源</w:t>
      </w:r>
      <w:r>
        <w:rPr>
          <w:rFonts w:hint="eastAsia" w:ascii="宋体" w:hAnsi="宋体" w:eastAsia="宋体" w:cs="宋体"/>
          <w:b/>
          <w:sz w:val="72"/>
          <w:szCs w:val="72"/>
          <w:highlight w:val="none"/>
          <w:lang w:eastAsia="zh-CN"/>
        </w:rPr>
        <w:t>采购</w:t>
      </w:r>
      <w:r>
        <w:rPr>
          <w:rFonts w:hint="eastAsia" w:ascii="宋体" w:hAnsi="宋体" w:eastAsia="宋体" w:cs="宋体"/>
          <w:b/>
          <w:sz w:val="72"/>
          <w:szCs w:val="72"/>
          <w:highlight w:val="none"/>
        </w:rPr>
        <w:t>文件</w:t>
      </w:r>
    </w:p>
    <w:p>
      <w:pPr>
        <w:adjustRightInd w:val="0"/>
        <w:snapToGrid w:val="0"/>
        <w:spacing w:line="360" w:lineRule="auto"/>
        <w:jc w:val="left"/>
        <w:rPr>
          <w:rFonts w:hint="eastAsia" w:ascii="宋体" w:hAnsi="宋体" w:eastAsia="宋体" w:cs="宋体"/>
          <w:b/>
          <w:sz w:val="30"/>
          <w:highlight w:val="none"/>
        </w:rPr>
      </w:pPr>
    </w:p>
    <w:p>
      <w:pPr>
        <w:adjustRightInd w:val="0"/>
        <w:snapToGrid w:val="0"/>
        <w:spacing w:line="360" w:lineRule="auto"/>
        <w:rPr>
          <w:rFonts w:hint="eastAsia" w:ascii="宋体" w:hAnsi="宋体" w:eastAsia="宋体" w:cs="宋体"/>
          <w:b/>
          <w:sz w:val="30"/>
          <w:highlight w:val="none"/>
        </w:rPr>
      </w:pPr>
    </w:p>
    <w:p>
      <w:pPr>
        <w:adjustRightInd w:val="0"/>
        <w:snapToGrid w:val="0"/>
        <w:spacing w:line="360" w:lineRule="auto"/>
        <w:rPr>
          <w:rFonts w:hint="eastAsia" w:ascii="宋体" w:hAnsi="宋体" w:eastAsia="宋体" w:cs="宋体"/>
          <w:b/>
          <w:sz w:val="30"/>
          <w:highlight w:val="none"/>
        </w:rPr>
      </w:pPr>
    </w:p>
    <w:p>
      <w:pPr>
        <w:rPr>
          <w:rFonts w:hint="eastAsia" w:ascii="宋体" w:hAnsi="宋体" w:eastAsia="宋体" w:cs="宋体"/>
          <w:highlight w:val="none"/>
        </w:rPr>
      </w:pPr>
    </w:p>
    <w:p>
      <w:pPr>
        <w:spacing w:line="360" w:lineRule="auto"/>
        <w:ind w:firstLine="1807" w:firstLineChars="600"/>
        <w:jc w:val="both"/>
        <w:rPr>
          <w:rFonts w:hint="eastAsia" w:ascii="宋体" w:hAnsi="宋体" w:eastAsia="宋体" w:cs="宋体"/>
          <w:b/>
          <w:sz w:val="30"/>
          <w:highlight w:val="none"/>
          <w:lang w:eastAsia="zh-CN"/>
        </w:rPr>
      </w:pPr>
      <w:r>
        <w:rPr>
          <w:rFonts w:hint="eastAsia" w:ascii="宋体" w:hAnsi="宋体" w:eastAsia="宋体" w:cs="宋体"/>
          <w:b/>
          <w:sz w:val="30"/>
          <w:highlight w:val="none"/>
        </w:rPr>
        <w:t>采   购   人：</w:t>
      </w:r>
      <w:r>
        <w:rPr>
          <w:rFonts w:hint="eastAsia" w:ascii="宋体" w:hAnsi="宋体" w:cs="宋体"/>
          <w:b/>
          <w:sz w:val="30"/>
          <w:highlight w:val="none"/>
          <w:lang w:eastAsia="zh-CN"/>
        </w:rPr>
        <w:t>陕西中医药大学附属医院</w:t>
      </w:r>
    </w:p>
    <w:p>
      <w:pPr>
        <w:spacing w:line="360" w:lineRule="auto"/>
        <w:ind w:firstLine="1807" w:firstLineChars="600"/>
        <w:jc w:val="both"/>
        <w:rPr>
          <w:rFonts w:hint="eastAsia" w:ascii="宋体" w:hAnsi="宋体" w:eastAsia="宋体" w:cs="宋体"/>
          <w:b/>
          <w:sz w:val="30"/>
          <w:highlight w:val="none"/>
        </w:rPr>
      </w:pPr>
      <w:r>
        <w:rPr>
          <w:rFonts w:hint="eastAsia" w:ascii="宋体" w:hAnsi="宋体" w:eastAsia="宋体" w:cs="宋体"/>
          <w:b/>
          <w:sz w:val="30"/>
          <w:highlight w:val="none"/>
        </w:rPr>
        <w:t>采购代理机构：陕西万泽招标有限公司</w:t>
      </w:r>
    </w:p>
    <w:p>
      <w:pPr>
        <w:adjustRightInd w:val="0"/>
        <w:snapToGrid w:val="0"/>
        <w:spacing w:line="360" w:lineRule="auto"/>
        <w:jc w:val="center"/>
        <w:rPr>
          <w:rFonts w:hint="eastAsia" w:ascii="宋体" w:hAnsi="宋体" w:eastAsia="宋体" w:cs="宋体"/>
          <w:b/>
          <w:color w:val="FF0000"/>
          <w:sz w:val="32"/>
          <w:szCs w:val="32"/>
          <w:highlight w:val="none"/>
        </w:rPr>
      </w:pPr>
      <w:r>
        <w:rPr>
          <w:rFonts w:hint="eastAsia" w:ascii="宋体" w:hAnsi="宋体" w:eastAsia="宋体" w:cs="宋体"/>
          <w:b/>
          <w:sz w:val="32"/>
          <w:szCs w:val="32"/>
          <w:highlight w:val="none"/>
        </w:rPr>
        <w:t>二〇二</w:t>
      </w:r>
      <w:r>
        <w:rPr>
          <w:rFonts w:hint="eastAsia" w:ascii="宋体" w:hAnsi="宋体" w:cs="宋体"/>
          <w:b/>
          <w:sz w:val="32"/>
          <w:szCs w:val="32"/>
          <w:highlight w:val="none"/>
          <w:lang w:val="en-US" w:eastAsia="zh-CN"/>
        </w:rPr>
        <w:t>二</w:t>
      </w:r>
      <w:r>
        <w:rPr>
          <w:rFonts w:hint="eastAsia" w:ascii="宋体" w:hAnsi="宋体" w:eastAsia="宋体" w:cs="宋体"/>
          <w:b/>
          <w:sz w:val="32"/>
          <w:szCs w:val="32"/>
          <w:highlight w:val="none"/>
        </w:rPr>
        <w:t>年</w:t>
      </w:r>
      <w:r>
        <w:rPr>
          <w:rFonts w:hint="eastAsia" w:ascii="宋体" w:hAnsi="宋体" w:cs="宋体"/>
          <w:b/>
          <w:sz w:val="32"/>
          <w:szCs w:val="32"/>
          <w:highlight w:val="none"/>
          <w:lang w:val="en-US" w:eastAsia="zh-CN"/>
        </w:rPr>
        <w:t>五</w:t>
      </w:r>
      <w:r>
        <w:rPr>
          <w:rFonts w:hint="eastAsia" w:ascii="宋体" w:hAnsi="宋体" w:eastAsia="宋体" w:cs="宋体"/>
          <w:b/>
          <w:sz w:val="32"/>
          <w:szCs w:val="32"/>
          <w:highlight w:val="none"/>
        </w:rPr>
        <w:t>月</w:t>
      </w:r>
    </w:p>
    <w:p>
      <w:pPr>
        <w:adjustRightInd w:val="0"/>
        <w:snapToGrid w:val="0"/>
        <w:spacing w:line="600" w:lineRule="auto"/>
        <w:rPr>
          <w:rFonts w:hint="eastAsia" w:ascii="宋体" w:hAnsi="宋体" w:eastAsia="宋体" w:cs="宋体"/>
          <w:b/>
          <w:sz w:val="36"/>
          <w:szCs w:val="36"/>
          <w:highlight w:val="none"/>
        </w:rPr>
        <w:sectPr>
          <w:headerReference r:id="rId4" w:type="first"/>
          <w:headerReference r:id="rId3" w:type="default"/>
          <w:footerReference r:id="rId5" w:type="default"/>
          <w:pgSz w:w="11906" w:h="16838"/>
          <w:pgMar w:top="1440" w:right="1486" w:bottom="1440" w:left="1800" w:header="851" w:footer="992" w:gutter="0"/>
          <w:pgNumType w:fmt="decimal"/>
          <w:cols w:space="720" w:num="1"/>
          <w:docGrid w:type="lines" w:linePitch="312" w:charSpace="0"/>
        </w:sectPr>
      </w:pPr>
    </w:p>
    <w:p>
      <w:pPr>
        <w:pStyle w:val="18"/>
        <w:tabs>
          <w:tab w:val="right" w:leader="dot" w:pos="8306"/>
        </w:tabs>
        <w:spacing w:line="360" w:lineRule="auto"/>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目 录</w:t>
      </w:r>
    </w:p>
    <w:p>
      <w:pPr>
        <w:pStyle w:val="18"/>
        <w:tabs>
          <w:tab w:val="right" w:leader="dot" w:pos="8306"/>
        </w:tabs>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TOC \o "1-2" \h \u </w:instrText>
      </w:r>
      <w:r>
        <w:rPr>
          <w:rFonts w:hint="eastAsia" w:ascii="宋体" w:hAnsi="宋体" w:eastAsia="宋体" w:cs="宋体"/>
          <w:sz w:val="36"/>
          <w:szCs w:val="36"/>
          <w:highlight w:val="none"/>
        </w:rPr>
        <w:fldChar w:fldCharType="separate"/>
      </w: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_Toc15202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第一部分 单一来源邀请函</w:t>
      </w:r>
      <w:r>
        <w:tab/>
      </w:r>
      <w:r>
        <w:fldChar w:fldCharType="begin"/>
      </w:r>
      <w:r>
        <w:instrText xml:space="preserve"> PAGEREF _Toc15202 \h </w:instrText>
      </w:r>
      <w:r>
        <w:fldChar w:fldCharType="separate"/>
      </w:r>
      <w:r>
        <w:t>2</w:t>
      </w:r>
      <w:r>
        <w:fldChar w:fldCharType="end"/>
      </w:r>
      <w:r>
        <w:rPr>
          <w:rFonts w:hint="eastAsia" w:ascii="宋体" w:hAnsi="宋体" w:eastAsia="宋体" w:cs="宋体"/>
          <w:szCs w:val="36"/>
          <w:highlight w:val="none"/>
        </w:rPr>
        <w:fldChar w:fldCharType="end"/>
      </w:r>
    </w:p>
    <w:p>
      <w:pPr>
        <w:pStyle w:val="18"/>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_Toc7163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第二部分 供应商须知前附表</w:t>
      </w:r>
      <w:r>
        <w:tab/>
      </w:r>
      <w:r>
        <w:fldChar w:fldCharType="begin"/>
      </w:r>
      <w:r>
        <w:instrText xml:space="preserve"> PAGEREF _Toc7163 \h </w:instrText>
      </w:r>
      <w:r>
        <w:fldChar w:fldCharType="separate"/>
      </w:r>
      <w:r>
        <w:t>5</w:t>
      </w:r>
      <w:r>
        <w:fldChar w:fldCharType="end"/>
      </w:r>
      <w:r>
        <w:rPr>
          <w:rFonts w:hint="eastAsia" w:ascii="宋体" w:hAnsi="宋体" w:eastAsia="宋体" w:cs="宋体"/>
          <w:szCs w:val="36"/>
          <w:highlight w:val="none"/>
        </w:rPr>
        <w:fldChar w:fldCharType="end"/>
      </w:r>
    </w:p>
    <w:p>
      <w:pPr>
        <w:pStyle w:val="18"/>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_Toc25348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第三部分 供应商须知</w:t>
      </w:r>
      <w:r>
        <w:tab/>
      </w:r>
      <w:r>
        <w:fldChar w:fldCharType="begin"/>
      </w:r>
      <w:r>
        <w:instrText xml:space="preserve"> PAGEREF _Toc25348 \h </w:instrText>
      </w:r>
      <w:r>
        <w:fldChar w:fldCharType="separate"/>
      </w:r>
      <w:r>
        <w:t>9</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_Toc29790 </w:instrText>
      </w:r>
      <w:r>
        <w:rPr>
          <w:rFonts w:hint="eastAsia" w:ascii="宋体" w:hAnsi="宋体" w:eastAsia="宋体" w:cs="宋体"/>
          <w:szCs w:val="36"/>
          <w:highlight w:val="none"/>
        </w:rPr>
        <w:fldChar w:fldCharType="separate"/>
      </w:r>
      <w:r>
        <w:rPr>
          <w:rFonts w:hint="eastAsia" w:ascii="宋体" w:hAnsi="宋体" w:eastAsia="宋体" w:cs="Times New Roman"/>
          <w:bCs/>
          <w:kern w:val="0"/>
          <w:szCs w:val="28"/>
        </w:rPr>
        <w:t xml:space="preserve">一、 </w:t>
      </w:r>
      <w:r>
        <w:rPr>
          <w:rFonts w:hint="eastAsia" w:ascii="宋体" w:hAnsi="宋体" w:eastAsia="宋体" w:cs="宋体"/>
          <w:bCs/>
          <w:kern w:val="0"/>
          <w:szCs w:val="28"/>
          <w:highlight w:val="none"/>
        </w:rPr>
        <w:t>总则</w:t>
      </w:r>
      <w:r>
        <w:tab/>
      </w:r>
      <w:r>
        <w:fldChar w:fldCharType="begin"/>
      </w:r>
      <w:r>
        <w:instrText xml:space="preserve"> PAGEREF _Toc29790 \h </w:instrText>
      </w:r>
      <w:r>
        <w:fldChar w:fldCharType="separate"/>
      </w:r>
      <w:r>
        <w:t>9</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_Toc13278 </w:instrText>
      </w:r>
      <w:r>
        <w:rPr>
          <w:rFonts w:hint="eastAsia" w:ascii="宋体" w:hAnsi="宋体" w:eastAsia="宋体" w:cs="宋体"/>
          <w:szCs w:val="36"/>
          <w:highlight w:val="none"/>
        </w:rPr>
        <w:fldChar w:fldCharType="separate"/>
      </w:r>
      <w:r>
        <w:rPr>
          <w:rFonts w:hint="eastAsia" w:ascii="宋体" w:hAnsi="宋体" w:eastAsia="宋体" w:cs="Times New Roman"/>
          <w:bCs/>
          <w:kern w:val="0"/>
          <w:szCs w:val="28"/>
        </w:rPr>
        <w:t xml:space="preserve">二、 </w:t>
      </w:r>
      <w:r>
        <w:rPr>
          <w:rFonts w:hint="eastAsia" w:ascii="宋体" w:hAnsi="宋体" w:eastAsia="宋体" w:cs="宋体"/>
          <w:bCs/>
          <w:kern w:val="0"/>
          <w:szCs w:val="28"/>
          <w:highlight w:val="none"/>
          <w:lang w:eastAsia="zh-CN"/>
        </w:rPr>
        <w:t>单一来源采购文件</w:t>
      </w:r>
      <w:r>
        <w:tab/>
      </w:r>
      <w:r>
        <w:fldChar w:fldCharType="begin"/>
      </w:r>
      <w:r>
        <w:instrText xml:space="preserve"> PAGEREF _Toc13278 \h </w:instrText>
      </w:r>
      <w:r>
        <w:fldChar w:fldCharType="separate"/>
      </w:r>
      <w:r>
        <w:t>12</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_Toc32242 </w:instrText>
      </w:r>
      <w:r>
        <w:rPr>
          <w:rFonts w:hint="eastAsia" w:ascii="宋体" w:hAnsi="宋体" w:eastAsia="宋体" w:cs="宋体"/>
          <w:szCs w:val="36"/>
          <w:highlight w:val="none"/>
        </w:rPr>
        <w:fldChar w:fldCharType="separate"/>
      </w:r>
      <w:r>
        <w:rPr>
          <w:rFonts w:hint="eastAsia" w:ascii="宋体" w:hAnsi="宋体" w:eastAsia="宋体" w:cs="Times New Roman"/>
          <w:bCs/>
          <w:kern w:val="0"/>
          <w:szCs w:val="28"/>
        </w:rPr>
        <w:t xml:space="preserve">三、 </w:t>
      </w:r>
      <w:r>
        <w:rPr>
          <w:rFonts w:hint="eastAsia" w:ascii="宋体" w:hAnsi="宋体" w:eastAsia="宋体" w:cs="宋体"/>
          <w:bCs/>
          <w:kern w:val="0"/>
          <w:szCs w:val="28"/>
          <w:highlight w:val="none"/>
        </w:rPr>
        <w:t>谈判响应文件</w:t>
      </w:r>
      <w:r>
        <w:tab/>
      </w:r>
      <w:r>
        <w:fldChar w:fldCharType="begin"/>
      </w:r>
      <w:r>
        <w:instrText xml:space="preserve"> PAGEREF _Toc32242 \h </w:instrText>
      </w:r>
      <w:r>
        <w:fldChar w:fldCharType="separate"/>
      </w:r>
      <w:r>
        <w:t>14</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_Toc1117 </w:instrText>
      </w:r>
      <w:r>
        <w:rPr>
          <w:rFonts w:hint="eastAsia" w:ascii="宋体" w:hAnsi="宋体" w:eastAsia="宋体" w:cs="宋体"/>
          <w:szCs w:val="36"/>
          <w:highlight w:val="none"/>
        </w:rPr>
        <w:fldChar w:fldCharType="separate"/>
      </w:r>
      <w:r>
        <w:rPr>
          <w:rFonts w:hint="eastAsia" w:ascii="宋体" w:hAnsi="宋体" w:eastAsia="宋体" w:cs="Times New Roman"/>
          <w:bCs/>
          <w:kern w:val="0"/>
          <w:szCs w:val="28"/>
        </w:rPr>
        <w:t xml:space="preserve">四、 </w:t>
      </w:r>
      <w:r>
        <w:rPr>
          <w:rFonts w:hint="eastAsia" w:ascii="宋体" w:hAnsi="宋体" w:eastAsia="宋体" w:cs="宋体"/>
          <w:bCs/>
          <w:kern w:val="0"/>
          <w:szCs w:val="28"/>
          <w:highlight w:val="none"/>
        </w:rPr>
        <w:t>谈判响应文件的递交</w:t>
      </w:r>
      <w:r>
        <w:tab/>
      </w:r>
      <w:r>
        <w:fldChar w:fldCharType="begin"/>
      </w:r>
      <w:r>
        <w:instrText xml:space="preserve"> PAGEREF _Toc1117 \h </w:instrText>
      </w:r>
      <w:r>
        <w:fldChar w:fldCharType="separate"/>
      </w:r>
      <w:r>
        <w:t>17</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_Toc14967 </w:instrText>
      </w:r>
      <w:r>
        <w:rPr>
          <w:rFonts w:hint="eastAsia" w:ascii="宋体" w:hAnsi="宋体" w:eastAsia="宋体" w:cs="宋体"/>
          <w:szCs w:val="36"/>
          <w:highlight w:val="none"/>
        </w:rPr>
        <w:fldChar w:fldCharType="separate"/>
      </w:r>
      <w:r>
        <w:rPr>
          <w:rFonts w:hint="eastAsia" w:ascii="宋体" w:hAnsi="宋体" w:eastAsia="宋体" w:cs="Times New Roman"/>
          <w:bCs/>
          <w:kern w:val="0"/>
          <w:szCs w:val="28"/>
        </w:rPr>
        <w:t xml:space="preserve">五、 </w:t>
      </w:r>
      <w:r>
        <w:rPr>
          <w:rFonts w:hint="eastAsia" w:ascii="宋体" w:hAnsi="宋体" w:eastAsia="宋体" w:cs="宋体"/>
          <w:bCs/>
          <w:kern w:val="0"/>
          <w:szCs w:val="28"/>
          <w:highlight w:val="none"/>
        </w:rPr>
        <w:t>谈判、评审、定标</w:t>
      </w:r>
      <w:r>
        <w:tab/>
      </w:r>
      <w:r>
        <w:fldChar w:fldCharType="begin"/>
      </w:r>
      <w:r>
        <w:instrText xml:space="preserve"> PAGEREF _Toc14967 \h </w:instrText>
      </w:r>
      <w:r>
        <w:fldChar w:fldCharType="separate"/>
      </w:r>
      <w:r>
        <w:t>17</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_Toc6599 </w:instrText>
      </w:r>
      <w:r>
        <w:rPr>
          <w:rFonts w:hint="eastAsia" w:ascii="宋体" w:hAnsi="宋体" w:eastAsia="宋体" w:cs="宋体"/>
          <w:szCs w:val="36"/>
          <w:highlight w:val="none"/>
        </w:rPr>
        <w:fldChar w:fldCharType="separate"/>
      </w:r>
      <w:r>
        <w:rPr>
          <w:rFonts w:hint="eastAsia" w:ascii="宋体" w:hAnsi="宋体" w:eastAsia="宋体" w:cs="Times New Roman"/>
          <w:bCs/>
          <w:kern w:val="0"/>
          <w:szCs w:val="28"/>
        </w:rPr>
        <w:t xml:space="preserve">六、 </w:t>
      </w:r>
      <w:r>
        <w:rPr>
          <w:rFonts w:hint="eastAsia" w:ascii="宋体" w:hAnsi="宋体" w:eastAsia="宋体" w:cs="宋体"/>
          <w:bCs/>
          <w:kern w:val="0"/>
          <w:szCs w:val="28"/>
          <w:highlight w:val="none"/>
        </w:rPr>
        <w:t>签订合同</w:t>
      </w:r>
      <w:r>
        <w:tab/>
      </w:r>
      <w:r>
        <w:fldChar w:fldCharType="begin"/>
      </w:r>
      <w:r>
        <w:instrText xml:space="preserve"> PAGEREF _Toc6599 \h </w:instrText>
      </w:r>
      <w:r>
        <w:fldChar w:fldCharType="separate"/>
      </w:r>
      <w:r>
        <w:t>20</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_Toc7662 </w:instrText>
      </w:r>
      <w:r>
        <w:rPr>
          <w:rFonts w:hint="eastAsia" w:ascii="宋体" w:hAnsi="宋体" w:eastAsia="宋体" w:cs="宋体"/>
          <w:szCs w:val="36"/>
          <w:highlight w:val="none"/>
        </w:rPr>
        <w:fldChar w:fldCharType="separate"/>
      </w:r>
      <w:r>
        <w:rPr>
          <w:rFonts w:hint="eastAsia" w:ascii="宋体" w:hAnsi="宋体" w:eastAsia="宋体" w:cs="Times New Roman"/>
          <w:bCs/>
          <w:kern w:val="0"/>
          <w:szCs w:val="28"/>
        </w:rPr>
        <w:t xml:space="preserve">七、 </w:t>
      </w:r>
      <w:r>
        <w:rPr>
          <w:rFonts w:hint="eastAsia" w:ascii="宋体" w:hAnsi="宋体" w:eastAsia="宋体" w:cs="宋体"/>
          <w:bCs/>
          <w:kern w:val="0"/>
          <w:szCs w:val="28"/>
          <w:highlight w:val="none"/>
        </w:rPr>
        <w:t>代理服务费</w:t>
      </w:r>
      <w:r>
        <w:tab/>
      </w:r>
      <w:r>
        <w:fldChar w:fldCharType="begin"/>
      </w:r>
      <w:r>
        <w:instrText xml:space="preserve"> PAGEREF _Toc7662 \h </w:instrText>
      </w:r>
      <w:r>
        <w:fldChar w:fldCharType="separate"/>
      </w:r>
      <w:r>
        <w:t>20</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_Toc30303 </w:instrText>
      </w:r>
      <w:r>
        <w:rPr>
          <w:rFonts w:hint="eastAsia" w:ascii="宋体" w:hAnsi="宋体" w:eastAsia="宋体" w:cs="宋体"/>
          <w:szCs w:val="36"/>
          <w:highlight w:val="none"/>
        </w:rPr>
        <w:fldChar w:fldCharType="separate"/>
      </w:r>
      <w:r>
        <w:rPr>
          <w:rFonts w:hint="eastAsia" w:ascii="宋体" w:hAnsi="宋体" w:eastAsia="宋体" w:cs="宋体"/>
          <w:highlight w:val="none"/>
        </w:rPr>
        <w:t>八、质疑和投诉</w:t>
      </w:r>
      <w:r>
        <w:tab/>
      </w:r>
      <w:r>
        <w:fldChar w:fldCharType="begin"/>
      </w:r>
      <w:r>
        <w:instrText xml:space="preserve"> PAGEREF _Toc30303 \h </w:instrText>
      </w:r>
      <w:r>
        <w:fldChar w:fldCharType="separate"/>
      </w:r>
      <w:r>
        <w:t>21</w:t>
      </w:r>
      <w:r>
        <w:fldChar w:fldCharType="end"/>
      </w:r>
      <w:r>
        <w:rPr>
          <w:rFonts w:hint="eastAsia" w:ascii="宋体" w:hAnsi="宋体" w:eastAsia="宋体" w:cs="宋体"/>
          <w:szCs w:val="36"/>
          <w:highlight w:val="none"/>
        </w:rPr>
        <w:fldChar w:fldCharType="end"/>
      </w:r>
    </w:p>
    <w:p>
      <w:pPr>
        <w:pStyle w:val="18"/>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_Toc7375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第四部分 评审办法</w:t>
      </w:r>
      <w:r>
        <w:tab/>
      </w:r>
      <w:r>
        <w:fldChar w:fldCharType="begin"/>
      </w:r>
      <w:r>
        <w:instrText xml:space="preserve"> PAGEREF _Toc7375 \h </w:instrText>
      </w:r>
      <w:r>
        <w:fldChar w:fldCharType="separate"/>
      </w:r>
      <w:r>
        <w:t>23</w:t>
      </w:r>
      <w:r>
        <w:fldChar w:fldCharType="end"/>
      </w:r>
      <w:r>
        <w:rPr>
          <w:rFonts w:hint="eastAsia" w:ascii="宋体" w:hAnsi="宋体" w:eastAsia="宋体" w:cs="宋体"/>
          <w:szCs w:val="36"/>
          <w:highlight w:val="none"/>
        </w:rPr>
        <w:fldChar w:fldCharType="end"/>
      </w:r>
    </w:p>
    <w:p>
      <w:pPr>
        <w:pStyle w:val="18"/>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_Toc16105 </w:instrText>
      </w:r>
      <w:r>
        <w:rPr>
          <w:rFonts w:hint="eastAsia" w:ascii="宋体" w:hAnsi="宋体" w:eastAsia="宋体" w:cs="宋体"/>
          <w:szCs w:val="36"/>
          <w:highlight w:val="none"/>
        </w:rPr>
        <w:fldChar w:fldCharType="separate"/>
      </w:r>
      <w:r>
        <w:rPr>
          <w:rFonts w:hint="eastAsia" w:ascii="宋体" w:hAnsi="宋体" w:eastAsia="宋体" w:cs="宋体"/>
        </w:rPr>
        <w:t xml:space="preserve">第五部 </w:t>
      </w:r>
      <w:r>
        <w:rPr>
          <w:rFonts w:hint="eastAsia" w:ascii="宋体" w:hAnsi="宋体" w:eastAsia="宋体" w:cs="宋体"/>
          <w:highlight w:val="none"/>
        </w:rPr>
        <w:t xml:space="preserve">分 </w:t>
      </w:r>
      <w:r>
        <w:rPr>
          <w:rFonts w:hint="eastAsia" w:ascii="宋体" w:hAnsi="宋体" w:cs="宋体"/>
          <w:highlight w:val="none"/>
          <w:lang w:val="en-US" w:eastAsia="zh-CN"/>
        </w:rPr>
        <w:t>商务条款及</w:t>
      </w:r>
      <w:r>
        <w:rPr>
          <w:rFonts w:hint="eastAsia" w:ascii="宋体" w:hAnsi="宋体" w:eastAsia="宋体" w:cs="宋体"/>
          <w:highlight w:val="none"/>
        </w:rPr>
        <w:t>采购</w:t>
      </w:r>
      <w:r>
        <w:rPr>
          <w:rFonts w:hint="eastAsia" w:ascii="宋体" w:hAnsi="宋体" w:eastAsia="宋体" w:cs="宋体"/>
          <w:highlight w:val="none"/>
          <w:lang w:eastAsia="zh-CN"/>
        </w:rPr>
        <w:t>要求</w:t>
      </w:r>
      <w:r>
        <w:tab/>
      </w:r>
      <w:r>
        <w:fldChar w:fldCharType="begin"/>
      </w:r>
      <w:r>
        <w:instrText xml:space="preserve"> PAGEREF _Toc16105 \h </w:instrText>
      </w:r>
      <w:r>
        <w:fldChar w:fldCharType="separate"/>
      </w:r>
      <w:r>
        <w:t>24</w:t>
      </w:r>
      <w:r>
        <w:fldChar w:fldCharType="end"/>
      </w:r>
      <w:r>
        <w:rPr>
          <w:rFonts w:hint="eastAsia" w:ascii="宋体" w:hAnsi="宋体" w:eastAsia="宋体" w:cs="宋体"/>
          <w:szCs w:val="36"/>
          <w:highlight w:val="none"/>
        </w:rPr>
        <w:fldChar w:fldCharType="end"/>
      </w:r>
    </w:p>
    <w:p>
      <w:pPr>
        <w:pStyle w:val="18"/>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_Toc27208 </w:instrText>
      </w:r>
      <w:r>
        <w:rPr>
          <w:rFonts w:hint="eastAsia" w:ascii="宋体" w:hAnsi="宋体" w:eastAsia="宋体" w:cs="宋体"/>
          <w:szCs w:val="36"/>
          <w:highlight w:val="none"/>
        </w:rPr>
        <w:fldChar w:fldCharType="separate"/>
      </w:r>
      <w:r>
        <w:rPr>
          <w:rFonts w:hint="eastAsia" w:ascii="宋体" w:hAnsi="宋体" w:eastAsia="宋体" w:cs="宋体"/>
          <w:szCs w:val="30"/>
          <w:highlight w:val="none"/>
          <w:lang w:val="en-US" w:eastAsia="zh-CN"/>
        </w:rPr>
        <w:t>第六部分</w:t>
      </w:r>
      <w:r>
        <w:rPr>
          <w:rFonts w:hint="eastAsia" w:ascii="宋体" w:hAnsi="宋体" w:eastAsia="宋体" w:cs="宋体"/>
          <w:szCs w:val="30"/>
          <w:highlight w:val="none"/>
        </w:rPr>
        <w:t xml:space="preserve"> 合同主要条款</w:t>
      </w:r>
      <w:r>
        <w:tab/>
      </w:r>
      <w:r>
        <w:fldChar w:fldCharType="begin"/>
      </w:r>
      <w:r>
        <w:instrText xml:space="preserve"> PAGEREF _Toc27208 \h </w:instrText>
      </w:r>
      <w:r>
        <w:fldChar w:fldCharType="separate"/>
      </w:r>
      <w:r>
        <w:t>26</w:t>
      </w:r>
      <w:r>
        <w:fldChar w:fldCharType="end"/>
      </w:r>
      <w:r>
        <w:rPr>
          <w:rFonts w:hint="eastAsia" w:ascii="宋体" w:hAnsi="宋体" w:eastAsia="宋体" w:cs="宋体"/>
          <w:szCs w:val="36"/>
          <w:highlight w:val="none"/>
        </w:rPr>
        <w:fldChar w:fldCharType="end"/>
      </w:r>
    </w:p>
    <w:p>
      <w:pPr>
        <w:pStyle w:val="18"/>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_Toc32086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第七部分 谈判响应文件格式</w:t>
      </w:r>
      <w:r>
        <w:tab/>
      </w:r>
      <w:r>
        <w:fldChar w:fldCharType="begin"/>
      </w:r>
      <w:r>
        <w:instrText xml:space="preserve"> PAGEREF _Toc32086 \h </w:instrText>
      </w:r>
      <w:r>
        <w:fldChar w:fldCharType="separate"/>
      </w:r>
      <w:r>
        <w:t>31</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_Toc26144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第一</w:t>
      </w:r>
      <w:r>
        <w:rPr>
          <w:rFonts w:hint="eastAsia" w:ascii="宋体" w:hAnsi="宋体" w:eastAsia="宋体" w:cs="宋体"/>
          <w:highlight w:val="none"/>
          <w:lang w:eastAsia="zh-CN"/>
        </w:rPr>
        <w:t>章</w:t>
      </w:r>
      <w:r>
        <w:rPr>
          <w:rFonts w:hint="eastAsia" w:ascii="宋体" w:hAnsi="宋体" w:eastAsia="宋体" w:cs="宋体"/>
          <w:highlight w:val="none"/>
        </w:rPr>
        <w:t xml:space="preserve"> 响应函</w:t>
      </w:r>
      <w:r>
        <w:tab/>
      </w:r>
      <w:r>
        <w:fldChar w:fldCharType="begin"/>
      </w:r>
      <w:r>
        <w:instrText xml:space="preserve"> PAGEREF _Toc26144 \h </w:instrText>
      </w:r>
      <w:r>
        <w:fldChar w:fldCharType="separate"/>
      </w:r>
      <w:r>
        <w:t>33</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_Toc24984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第二</w:t>
      </w:r>
      <w:r>
        <w:rPr>
          <w:rFonts w:hint="eastAsia" w:ascii="宋体" w:hAnsi="宋体" w:eastAsia="宋体" w:cs="宋体"/>
          <w:highlight w:val="none"/>
          <w:lang w:eastAsia="zh-CN"/>
        </w:rPr>
        <w:t>章</w:t>
      </w:r>
      <w:r>
        <w:rPr>
          <w:rFonts w:hint="eastAsia" w:ascii="宋体" w:hAnsi="宋体" w:eastAsia="宋体" w:cs="宋体"/>
          <w:highlight w:val="none"/>
        </w:rPr>
        <w:t xml:space="preserve"> 响应一览表</w:t>
      </w:r>
      <w:r>
        <w:tab/>
      </w:r>
      <w:r>
        <w:fldChar w:fldCharType="begin"/>
      </w:r>
      <w:r>
        <w:instrText xml:space="preserve"> PAGEREF _Toc24984 \h </w:instrText>
      </w:r>
      <w:r>
        <w:fldChar w:fldCharType="separate"/>
      </w:r>
      <w:r>
        <w:t>34</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_Toc15004 </w:instrText>
      </w:r>
      <w:r>
        <w:rPr>
          <w:rFonts w:hint="eastAsia" w:ascii="宋体" w:hAnsi="宋体" w:eastAsia="宋体" w:cs="宋体"/>
          <w:szCs w:val="36"/>
          <w:highlight w:val="none"/>
        </w:rPr>
        <w:fldChar w:fldCharType="separate"/>
      </w:r>
      <w:r>
        <w:rPr>
          <w:rFonts w:hint="eastAsia" w:ascii="宋体" w:hAnsi="宋体" w:eastAsia="宋体" w:cs="宋体"/>
          <w:szCs w:val="28"/>
          <w:highlight w:val="none"/>
        </w:rPr>
        <w:t>第三</w:t>
      </w:r>
      <w:r>
        <w:rPr>
          <w:rFonts w:hint="eastAsia" w:ascii="宋体" w:hAnsi="宋体" w:eastAsia="宋体" w:cs="宋体"/>
          <w:szCs w:val="28"/>
          <w:highlight w:val="none"/>
          <w:lang w:eastAsia="zh-CN"/>
        </w:rPr>
        <w:t>章</w:t>
      </w:r>
      <w:r>
        <w:rPr>
          <w:rFonts w:hint="eastAsia" w:ascii="宋体" w:hAnsi="宋体" w:eastAsia="宋体" w:cs="宋体"/>
          <w:szCs w:val="28"/>
          <w:highlight w:val="none"/>
        </w:rPr>
        <w:t xml:space="preserve"> 分项报价表</w:t>
      </w:r>
      <w:r>
        <w:tab/>
      </w:r>
      <w:r>
        <w:fldChar w:fldCharType="begin"/>
      </w:r>
      <w:r>
        <w:instrText xml:space="preserve"> PAGEREF _Toc15004 \h </w:instrText>
      </w:r>
      <w:r>
        <w:fldChar w:fldCharType="separate"/>
      </w:r>
      <w:r>
        <w:t>35</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_Toc18041 </w:instrText>
      </w:r>
      <w:r>
        <w:rPr>
          <w:rFonts w:hint="eastAsia" w:ascii="宋体" w:hAnsi="宋体" w:eastAsia="宋体" w:cs="宋体"/>
          <w:szCs w:val="36"/>
          <w:highlight w:val="none"/>
        </w:rPr>
        <w:fldChar w:fldCharType="separate"/>
      </w:r>
      <w:r>
        <w:rPr>
          <w:rFonts w:hint="eastAsia" w:ascii="宋体" w:hAnsi="宋体" w:eastAsia="宋体" w:cs="宋体"/>
          <w:highlight w:val="none"/>
        </w:rPr>
        <w:t xml:space="preserve">第四章 </w:t>
      </w:r>
      <w:r>
        <w:rPr>
          <w:rFonts w:hint="eastAsia" w:ascii="宋体" w:hAnsi="宋体" w:eastAsia="宋体" w:cs="宋体"/>
          <w:highlight w:val="none"/>
          <w:lang w:eastAsia="zh-CN"/>
        </w:rPr>
        <w:t>谈判</w:t>
      </w:r>
      <w:r>
        <w:rPr>
          <w:rFonts w:hint="eastAsia" w:ascii="宋体" w:hAnsi="宋体" w:eastAsia="宋体" w:cs="宋体"/>
          <w:highlight w:val="none"/>
        </w:rPr>
        <w:t>保证金</w:t>
      </w:r>
      <w:r>
        <w:tab/>
      </w:r>
      <w:r>
        <w:fldChar w:fldCharType="begin"/>
      </w:r>
      <w:r>
        <w:instrText xml:space="preserve"> PAGEREF _Toc18041 \h </w:instrText>
      </w:r>
      <w:r>
        <w:fldChar w:fldCharType="separate"/>
      </w:r>
      <w:r>
        <w:t>36</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_Toc12948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五章</w:t>
      </w:r>
      <w:r>
        <w:rPr>
          <w:rFonts w:hint="eastAsia" w:ascii="宋体" w:hAnsi="宋体" w:eastAsia="宋体" w:cs="宋体"/>
          <w:highlight w:val="none"/>
        </w:rPr>
        <w:t xml:space="preserve"> 供应商资质要求</w:t>
      </w:r>
      <w:r>
        <w:tab/>
      </w:r>
      <w:r>
        <w:fldChar w:fldCharType="begin"/>
      </w:r>
      <w:r>
        <w:instrText xml:space="preserve"> PAGEREF _Toc12948 \h </w:instrText>
      </w:r>
      <w:r>
        <w:fldChar w:fldCharType="separate"/>
      </w:r>
      <w:r>
        <w:t>37</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_Toc479 </w:instrText>
      </w:r>
      <w:r>
        <w:rPr>
          <w:rFonts w:hint="eastAsia" w:ascii="宋体" w:hAnsi="宋体" w:eastAsia="宋体" w:cs="宋体"/>
          <w:szCs w:val="36"/>
          <w:highlight w:val="none"/>
        </w:rPr>
        <w:fldChar w:fldCharType="separate"/>
      </w:r>
      <w:r>
        <w:rPr>
          <w:rFonts w:hint="eastAsia" w:ascii="宋体" w:hAnsi="宋体" w:eastAsia="宋体" w:cs="宋体"/>
          <w:highlight w:val="none"/>
          <w:lang w:val="en-US" w:eastAsia="zh-CN"/>
        </w:rPr>
        <w:t xml:space="preserve">第六章 </w:t>
      </w:r>
      <w:r>
        <w:rPr>
          <w:rFonts w:hint="eastAsia" w:ascii="宋体" w:hAnsi="宋体" w:eastAsia="宋体" w:cs="宋体"/>
          <w:highlight w:val="none"/>
        </w:rPr>
        <w:t>商务和技术响应偏离表</w:t>
      </w:r>
      <w:r>
        <w:tab/>
      </w:r>
      <w:r>
        <w:fldChar w:fldCharType="begin"/>
      </w:r>
      <w:r>
        <w:instrText xml:space="preserve"> PAGEREF _Toc479 \h </w:instrText>
      </w:r>
      <w:r>
        <w:fldChar w:fldCharType="separate"/>
      </w:r>
      <w:r>
        <w:t>45</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_Toc20759 </w:instrText>
      </w:r>
      <w:r>
        <w:rPr>
          <w:rFonts w:hint="eastAsia" w:ascii="宋体" w:hAnsi="宋体" w:eastAsia="宋体" w:cs="宋体"/>
          <w:szCs w:val="36"/>
          <w:highlight w:val="none"/>
        </w:rPr>
        <w:fldChar w:fldCharType="separate"/>
      </w:r>
      <w:r>
        <w:rPr>
          <w:rFonts w:hint="eastAsia" w:ascii="宋体" w:hAnsi="宋体" w:eastAsia="宋体" w:cs="宋体"/>
          <w:szCs w:val="36"/>
          <w:highlight w:val="none"/>
        </w:rPr>
        <w:t>第</w:t>
      </w:r>
      <w:r>
        <w:rPr>
          <w:rFonts w:hint="eastAsia" w:ascii="宋体" w:hAnsi="宋体" w:eastAsia="宋体" w:cs="宋体"/>
          <w:szCs w:val="36"/>
          <w:highlight w:val="none"/>
          <w:lang w:val="en-US" w:eastAsia="zh-CN"/>
        </w:rPr>
        <w:t>七</w:t>
      </w:r>
      <w:r>
        <w:rPr>
          <w:rFonts w:hint="eastAsia" w:ascii="宋体" w:hAnsi="宋体" w:eastAsia="宋体" w:cs="宋体"/>
          <w:szCs w:val="36"/>
          <w:highlight w:val="none"/>
        </w:rPr>
        <w:t>章</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rPr>
        <w:t>技术支持资料</w:t>
      </w:r>
      <w:r>
        <w:tab/>
      </w:r>
      <w:r>
        <w:fldChar w:fldCharType="begin"/>
      </w:r>
      <w:r>
        <w:instrText xml:space="preserve"> PAGEREF _Toc20759 \h </w:instrText>
      </w:r>
      <w:r>
        <w:fldChar w:fldCharType="separate"/>
      </w:r>
      <w:r>
        <w:t>47</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_Toc1111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八</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供应商认为有必要说明的其他问题</w:t>
      </w:r>
      <w:r>
        <w:tab/>
      </w:r>
      <w:r>
        <w:fldChar w:fldCharType="begin"/>
      </w:r>
      <w:r>
        <w:instrText xml:space="preserve"> PAGEREF _Toc1111 \h </w:instrText>
      </w:r>
      <w:r>
        <w:fldChar w:fldCharType="separate"/>
      </w:r>
      <w:r>
        <w:t>48</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_Toc16208 </w:instrText>
      </w:r>
      <w:r>
        <w:rPr>
          <w:rFonts w:hint="eastAsia" w:ascii="宋体" w:hAnsi="宋体" w:eastAsia="宋体" w:cs="宋体"/>
          <w:szCs w:val="36"/>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九</w:t>
      </w:r>
      <w:r>
        <w:rPr>
          <w:rFonts w:hint="eastAsia" w:ascii="宋体" w:hAnsi="宋体" w:eastAsia="宋体" w:cs="宋体"/>
          <w:highlight w:val="none"/>
          <w:lang w:eastAsia="zh-CN"/>
        </w:rPr>
        <w:t>章</w:t>
      </w:r>
      <w:r>
        <w:rPr>
          <w:rFonts w:hint="eastAsia" w:ascii="宋体" w:hAnsi="宋体" w:eastAsia="宋体" w:cs="宋体"/>
          <w:highlight w:val="none"/>
        </w:rPr>
        <w:t xml:space="preserve"> 供应商承诺书</w:t>
      </w:r>
      <w:r>
        <w:tab/>
      </w:r>
      <w:r>
        <w:fldChar w:fldCharType="begin"/>
      </w:r>
      <w:r>
        <w:instrText xml:space="preserve"> PAGEREF _Toc16208 \h </w:instrText>
      </w:r>
      <w:r>
        <w:fldChar w:fldCharType="separate"/>
      </w:r>
      <w:r>
        <w:t>49</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_Toc10726 </w:instrText>
      </w:r>
      <w:r>
        <w:rPr>
          <w:rFonts w:hint="eastAsia" w:ascii="宋体" w:hAnsi="宋体" w:eastAsia="宋体" w:cs="宋体"/>
          <w:szCs w:val="36"/>
          <w:highlight w:val="none"/>
        </w:rPr>
        <w:fldChar w:fldCharType="separate"/>
      </w:r>
      <w:r>
        <w:rPr>
          <w:rFonts w:hint="eastAsia" w:ascii="宋体" w:hAnsi="宋体" w:eastAsia="宋体" w:cs="宋体"/>
          <w:highlight w:val="none"/>
        </w:rPr>
        <w:t>附件一、封袋正面标识式样</w:t>
      </w:r>
      <w:r>
        <w:tab/>
      </w:r>
      <w:r>
        <w:fldChar w:fldCharType="begin"/>
      </w:r>
      <w:r>
        <w:instrText xml:space="preserve"> PAGEREF _Toc10726 \h </w:instrText>
      </w:r>
      <w:r>
        <w:fldChar w:fldCharType="separate"/>
      </w:r>
      <w:r>
        <w:t>52</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_Toc2707 </w:instrText>
      </w:r>
      <w:r>
        <w:rPr>
          <w:rFonts w:hint="eastAsia" w:ascii="宋体" w:hAnsi="宋体" w:eastAsia="宋体" w:cs="宋体"/>
          <w:szCs w:val="36"/>
          <w:highlight w:val="none"/>
        </w:rPr>
        <w:fldChar w:fldCharType="separate"/>
      </w:r>
      <w:r>
        <w:rPr>
          <w:rFonts w:hint="eastAsia" w:ascii="宋体" w:hAnsi="宋体" w:cs="宋体"/>
        </w:rPr>
        <w:t>附件二、中小企业申明</w:t>
      </w:r>
      <w:r>
        <w:tab/>
      </w:r>
      <w:r>
        <w:fldChar w:fldCharType="begin"/>
      </w:r>
      <w:r>
        <w:instrText xml:space="preserve"> PAGEREF _Toc2707 \h </w:instrText>
      </w:r>
      <w:r>
        <w:fldChar w:fldCharType="separate"/>
      </w:r>
      <w:r>
        <w:t>54</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_Toc28268 </w:instrText>
      </w:r>
      <w:r>
        <w:rPr>
          <w:rFonts w:hint="eastAsia" w:ascii="宋体" w:hAnsi="宋体" w:eastAsia="宋体" w:cs="宋体"/>
          <w:szCs w:val="36"/>
          <w:highlight w:val="none"/>
        </w:rPr>
        <w:fldChar w:fldCharType="separate"/>
      </w:r>
      <w:r>
        <w:rPr>
          <w:rFonts w:hint="eastAsia" w:ascii="宋体" w:hAnsi="宋体" w:cs="宋体"/>
        </w:rPr>
        <w:t>附件三、残疾人福利性单位声明</w:t>
      </w:r>
      <w:r>
        <w:tab/>
      </w:r>
      <w:r>
        <w:fldChar w:fldCharType="begin"/>
      </w:r>
      <w:r>
        <w:instrText xml:space="preserve"> PAGEREF _Toc28268 \h </w:instrText>
      </w:r>
      <w:r>
        <w:fldChar w:fldCharType="separate"/>
      </w:r>
      <w:r>
        <w:t>55</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_Toc15281 </w:instrText>
      </w:r>
      <w:r>
        <w:rPr>
          <w:rFonts w:hint="eastAsia" w:ascii="宋体" w:hAnsi="宋体" w:eastAsia="宋体" w:cs="宋体"/>
          <w:szCs w:val="36"/>
          <w:highlight w:val="none"/>
        </w:rPr>
        <w:fldChar w:fldCharType="separate"/>
      </w:r>
      <w:r>
        <w:rPr>
          <w:rFonts w:hint="eastAsia" w:ascii="宋体" w:hAnsi="宋体" w:cs="宋体"/>
        </w:rPr>
        <w:t>附件四、监狱企业证明文件</w:t>
      </w:r>
      <w:r>
        <w:tab/>
      </w:r>
      <w:r>
        <w:fldChar w:fldCharType="begin"/>
      </w:r>
      <w:r>
        <w:instrText xml:space="preserve"> PAGEREF _Toc15281 \h </w:instrText>
      </w:r>
      <w:r>
        <w:fldChar w:fldCharType="separate"/>
      </w:r>
      <w:r>
        <w:t>56</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_Toc2594 </w:instrText>
      </w:r>
      <w:r>
        <w:rPr>
          <w:rFonts w:hint="eastAsia" w:ascii="宋体" w:hAnsi="宋体" w:eastAsia="宋体" w:cs="宋体"/>
          <w:szCs w:val="36"/>
          <w:highlight w:val="none"/>
        </w:rPr>
        <w:fldChar w:fldCharType="separate"/>
      </w:r>
      <w:r>
        <w:rPr>
          <w:rFonts w:hint="eastAsia" w:ascii="宋体" w:hAnsi="宋体" w:cs="宋体"/>
        </w:rPr>
        <w:t>附件五、“节能产品”，“环境标志产品”证明材料</w:t>
      </w:r>
      <w:r>
        <w:tab/>
      </w:r>
      <w:r>
        <w:fldChar w:fldCharType="begin"/>
      </w:r>
      <w:r>
        <w:instrText xml:space="preserve"> PAGEREF _Toc2594 \h </w:instrText>
      </w:r>
      <w:r>
        <w:fldChar w:fldCharType="separate"/>
      </w:r>
      <w:r>
        <w:t>56</w:t>
      </w:r>
      <w:r>
        <w:fldChar w:fldCharType="end"/>
      </w:r>
      <w:r>
        <w:rPr>
          <w:rFonts w:hint="eastAsia" w:ascii="宋体" w:hAnsi="宋体" w:eastAsia="宋体" w:cs="宋体"/>
          <w:szCs w:val="36"/>
          <w:highlight w:val="none"/>
        </w:rPr>
        <w:fldChar w:fldCharType="end"/>
      </w:r>
    </w:p>
    <w:p>
      <w:pPr>
        <w:pStyle w:val="19"/>
        <w:tabs>
          <w:tab w:val="right" w:leader="dot" w:pos="8306"/>
        </w:tabs>
      </w:pPr>
      <w:r>
        <w:rPr>
          <w:rFonts w:hint="eastAsia" w:ascii="宋体" w:hAnsi="宋体" w:eastAsia="宋体" w:cs="宋体"/>
          <w:szCs w:val="36"/>
          <w:highlight w:val="none"/>
        </w:rPr>
        <w:fldChar w:fldCharType="begin"/>
      </w:r>
      <w:r>
        <w:rPr>
          <w:rFonts w:hint="eastAsia" w:ascii="宋体" w:hAnsi="宋体" w:eastAsia="宋体" w:cs="宋体"/>
          <w:szCs w:val="36"/>
          <w:highlight w:val="none"/>
        </w:rPr>
        <w:instrText xml:space="preserve"> HYPERLINK \l _Toc23043 </w:instrText>
      </w:r>
      <w:r>
        <w:rPr>
          <w:rFonts w:hint="eastAsia" w:ascii="宋体" w:hAnsi="宋体" w:eastAsia="宋体" w:cs="宋体"/>
          <w:szCs w:val="36"/>
          <w:highlight w:val="none"/>
        </w:rPr>
        <w:fldChar w:fldCharType="separate"/>
      </w:r>
      <w:r>
        <w:rPr>
          <w:rFonts w:hint="eastAsia" w:ascii="宋体" w:hAnsi="宋体" w:cs="宋体"/>
          <w:bCs/>
          <w:szCs w:val="32"/>
        </w:rPr>
        <w:t>附件</w:t>
      </w:r>
      <w:r>
        <w:rPr>
          <w:rFonts w:hint="eastAsia" w:ascii="宋体" w:hAnsi="宋体" w:cs="宋体"/>
          <w:bCs/>
          <w:szCs w:val="32"/>
          <w:lang w:eastAsia="zh-CN"/>
        </w:rPr>
        <w:t>六</w:t>
      </w:r>
      <w:r>
        <w:rPr>
          <w:rFonts w:hint="eastAsia" w:ascii="宋体" w:hAnsi="宋体" w:cs="宋体"/>
          <w:bCs/>
          <w:szCs w:val="32"/>
        </w:rPr>
        <w:t>、保证金退还账户信息确认表</w:t>
      </w:r>
      <w:r>
        <w:tab/>
      </w:r>
      <w:r>
        <w:fldChar w:fldCharType="begin"/>
      </w:r>
      <w:r>
        <w:instrText xml:space="preserve"> PAGEREF _Toc23043 \h </w:instrText>
      </w:r>
      <w:r>
        <w:fldChar w:fldCharType="separate"/>
      </w:r>
      <w:r>
        <w:t>57</w:t>
      </w:r>
      <w:r>
        <w:fldChar w:fldCharType="end"/>
      </w:r>
      <w:r>
        <w:rPr>
          <w:rFonts w:hint="eastAsia" w:ascii="宋体" w:hAnsi="宋体" w:eastAsia="宋体" w:cs="宋体"/>
          <w:szCs w:val="36"/>
          <w:highlight w:val="none"/>
        </w:rPr>
        <w:fldChar w:fldCharType="end"/>
      </w:r>
    </w:p>
    <w:p>
      <w:pPr>
        <w:pStyle w:val="3"/>
        <w:pageBreakBefore w:val="0"/>
        <w:widowControl w:val="0"/>
        <w:kinsoku/>
        <w:wordWrap/>
        <w:overflowPunct/>
        <w:topLinePunct w:val="0"/>
        <w:autoSpaceDE/>
        <w:autoSpaceDN/>
        <w:bidi w:val="0"/>
        <w:adjustRightInd/>
        <w:snapToGrid/>
        <w:spacing w:line="288" w:lineRule="auto"/>
        <w:ind w:firstLine="643" w:firstLineChars="200"/>
        <w:textAlignment w:val="auto"/>
        <w:rPr>
          <w:rFonts w:hint="eastAsia" w:ascii="宋体" w:hAnsi="宋体" w:eastAsia="宋体" w:cs="宋体"/>
          <w:sz w:val="24"/>
          <w:szCs w:val="24"/>
          <w:highlight w:val="none"/>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szCs w:val="36"/>
          <w:highlight w:val="none"/>
        </w:rPr>
        <w:fldChar w:fldCharType="end"/>
      </w:r>
    </w:p>
    <w:p>
      <w:pPr>
        <w:pStyle w:val="3"/>
        <w:rPr>
          <w:rFonts w:hint="eastAsia" w:ascii="宋体" w:hAnsi="宋体" w:eastAsia="宋体" w:cs="宋体"/>
          <w:highlight w:val="none"/>
        </w:rPr>
      </w:pPr>
      <w:bookmarkStart w:id="1" w:name="_Toc26575"/>
      <w:bookmarkStart w:id="2" w:name="_Toc15202"/>
      <w:r>
        <w:rPr>
          <w:rFonts w:hint="eastAsia" w:ascii="宋体" w:hAnsi="宋体" w:eastAsia="宋体" w:cs="宋体"/>
          <w:highlight w:val="none"/>
        </w:rPr>
        <w:t xml:space="preserve">第一部分 </w:t>
      </w:r>
      <w:bookmarkEnd w:id="1"/>
      <w:r>
        <w:rPr>
          <w:rFonts w:hint="eastAsia" w:ascii="宋体" w:hAnsi="宋体" w:eastAsia="宋体" w:cs="宋体"/>
          <w:highlight w:val="none"/>
        </w:rPr>
        <w:t>单一来源邀请函</w:t>
      </w:r>
      <w:bookmarkEnd w:id="2"/>
    </w:p>
    <w:p>
      <w:pPr>
        <w:adjustRightInd w:val="0"/>
        <w:spacing w:line="360" w:lineRule="auto"/>
        <w:ind w:right="-96" w:firstLine="480" w:firstLineChars="200"/>
        <w:jc w:val="left"/>
        <w:rPr>
          <w:rFonts w:hint="eastAsia" w:ascii="宋体" w:hAnsi="宋体" w:eastAsia="宋体" w:cs="宋体"/>
          <w:highlight w:val="none"/>
        </w:rPr>
      </w:pPr>
      <w:bookmarkStart w:id="3" w:name="_Toc438048787"/>
      <w:bookmarkStart w:id="4" w:name="_Toc30089"/>
      <w:r>
        <w:rPr>
          <w:rFonts w:hint="eastAsia" w:ascii="宋体" w:hAnsi="宋体" w:eastAsia="宋体" w:cs="宋体"/>
          <w:kern w:val="0"/>
          <w:sz w:val="24"/>
          <w:szCs w:val="24"/>
          <w:highlight w:val="none"/>
        </w:rPr>
        <w:t>陕西万泽招标有限公司受</w:t>
      </w:r>
      <w:r>
        <w:rPr>
          <w:rFonts w:hint="eastAsia" w:ascii="宋体" w:hAnsi="宋体" w:cs="宋体"/>
          <w:highlight w:val="none"/>
          <w:lang w:eastAsia="zh-CN"/>
        </w:rPr>
        <w:t>陕西中医药大学附属医院</w:t>
      </w:r>
      <w:r>
        <w:rPr>
          <w:rFonts w:hint="eastAsia" w:ascii="宋体" w:hAnsi="宋体" w:eastAsia="宋体" w:cs="宋体"/>
          <w:kern w:val="0"/>
          <w:sz w:val="24"/>
          <w:szCs w:val="24"/>
          <w:highlight w:val="none"/>
        </w:rPr>
        <w:t>的委托，根据政府采购流程，按照政府采购程序，现邀请咸阳博信医疗设备有限公司对</w:t>
      </w:r>
      <w:r>
        <w:rPr>
          <w:rFonts w:hint="eastAsia" w:ascii="宋体" w:hAnsi="宋体" w:cs="宋体"/>
          <w:highlight w:val="none"/>
          <w:lang w:eastAsia="zh-CN"/>
        </w:rPr>
        <w:t xml:space="preserve">陕西中医药大学附属医院GE64排双能CT更换球管采购项目 </w:t>
      </w:r>
      <w:r>
        <w:rPr>
          <w:rFonts w:hint="eastAsia" w:ascii="宋体" w:hAnsi="宋体" w:eastAsia="宋体" w:cs="宋体"/>
          <w:kern w:val="0"/>
          <w:sz w:val="24"/>
          <w:szCs w:val="24"/>
          <w:highlight w:val="none"/>
        </w:rPr>
        <w:t>进行单一来源采购。</w:t>
      </w:r>
    </w:p>
    <w:p>
      <w:pPr>
        <w:numPr>
          <w:ilvl w:val="0"/>
          <w:numId w:val="1"/>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采购项目名称：</w:t>
      </w:r>
      <w:r>
        <w:rPr>
          <w:rFonts w:hint="eastAsia" w:ascii="宋体" w:hAnsi="宋体" w:cs="宋体"/>
          <w:highlight w:val="none"/>
          <w:lang w:eastAsia="zh-CN"/>
        </w:rPr>
        <w:t xml:space="preserve">陕西中医药大学附属医院GE64排双能CT更换球管采购项目 </w:t>
      </w:r>
    </w:p>
    <w:p>
      <w:pPr>
        <w:numPr>
          <w:ilvl w:val="0"/>
          <w:numId w:val="1"/>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cs="宋体"/>
          <w:highlight w:val="none"/>
          <w:lang w:eastAsia="zh-CN"/>
        </w:rPr>
        <w:t>SXWZ2022ZB-SZFY-055</w:t>
      </w:r>
    </w:p>
    <w:p>
      <w:pPr>
        <w:pStyle w:val="19"/>
        <w:tabs>
          <w:tab w:val="right" w:leader="dot" w:pos="8306"/>
        </w:tabs>
        <w:spacing w:line="360" w:lineRule="auto"/>
        <w:rPr>
          <w:rFonts w:hint="eastAsia" w:ascii="宋体" w:hAnsi="宋体" w:eastAsia="宋体" w:cs="宋体"/>
          <w:highlight w:val="none"/>
          <w:lang w:eastAsia="zh-CN"/>
        </w:rPr>
      </w:pPr>
      <w:r>
        <w:rPr>
          <w:rFonts w:hint="eastAsia" w:ascii="宋体" w:hAnsi="宋体" w:eastAsia="宋体" w:cs="宋体"/>
          <w:highlight w:val="none"/>
        </w:rPr>
        <w:t>三、</w:t>
      </w:r>
      <w:r>
        <w:rPr>
          <w:rFonts w:hint="eastAsia" w:ascii="宋体" w:hAnsi="宋体" w:eastAsia="宋体" w:cs="宋体"/>
          <w:highlight w:val="none"/>
          <w:lang w:eastAsia="zh-CN"/>
        </w:rPr>
        <w:t>采</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购</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人：</w:t>
      </w:r>
      <w:r>
        <w:rPr>
          <w:rFonts w:hint="eastAsia" w:ascii="宋体" w:hAnsi="宋体" w:cs="宋体"/>
          <w:highlight w:val="none"/>
          <w:lang w:eastAsia="zh-CN"/>
        </w:rPr>
        <w:t>陕西中医药大学附属医院</w:t>
      </w:r>
    </w:p>
    <w:p>
      <w:pPr>
        <w:pStyle w:val="19"/>
        <w:tabs>
          <w:tab w:val="right" w:leader="dot" w:pos="8306"/>
        </w:tabs>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eastAsia="zh-CN"/>
        </w:rPr>
        <w:t>地    址：</w:t>
      </w:r>
      <w:r>
        <w:rPr>
          <w:rFonts w:hint="eastAsia" w:ascii="宋体" w:hAnsi="宋体" w:cs="宋体"/>
          <w:highlight w:val="none"/>
          <w:lang w:eastAsia="zh-CN"/>
        </w:rPr>
        <w:t>咸阳市渭阳西路副2号</w:t>
      </w:r>
    </w:p>
    <w:p>
      <w:pPr>
        <w:pStyle w:val="19"/>
        <w:tabs>
          <w:tab w:val="right" w:leader="dot" w:pos="8306"/>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联 系 人：</w:t>
      </w:r>
      <w:r>
        <w:rPr>
          <w:rFonts w:hint="eastAsia" w:ascii="宋体" w:hAnsi="宋体" w:cs="宋体"/>
          <w:highlight w:val="none"/>
          <w:lang w:val="en-US" w:eastAsia="zh-CN"/>
        </w:rPr>
        <w:t>马老师</w:t>
      </w:r>
    </w:p>
    <w:p>
      <w:pPr>
        <w:pStyle w:val="19"/>
        <w:tabs>
          <w:tab w:val="right" w:leader="dot" w:pos="8306"/>
        </w:tabs>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eastAsia="zh-CN"/>
        </w:rPr>
        <w:t>联系方式：</w:t>
      </w:r>
      <w:r>
        <w:rPr>
          <w:rFonts w:hint="eastAsia" w:ascii="宋体" w:hAnsi="宋体" w:cs="宋体"/>
          <w:highlight w:val="none"/>
          <w:lang w:val="en-US" w:eastAsia="zh-CN"/>
        </w:rPr>
        <w:t>029-33320910</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四、采购代理机构名称：陕西万泽招标有限公司</w:t>
      </w:r>
    </w:p>
    <w:p>
      <w:pPr>
        <w:spacing w:line="440" w:lineRule="exact"/>
        <w:ind w:firstLine="960" w:firstLineChars="400"/>
        <w:rPr>
          <w:rFonts w:hint="eastAsia" w:ascii="宋体" w:hAnsi="宋体" w:eastAsia="宋体" w:cs="宋体"/>
          <w:highlight w:val="none"/>
        </w:rPr>
      </w:pPr>
      <w:r>
        <w:rPr>
          <w:rFonts w:hint="eastAsia" w:ascii="宋体" w:hAnsi="宋体" w:eastAsia="宋体" w:cs="宋体"/>
          <w:highlight w:val="none"/>
        </w:rPr>
        <w:t>地    址：西安市西关正街英达大厦1507室</w:t>
      </w:r>
    </w:p>
    <w:p>
      <w:pPr>
        <w:spacing w:line="440" w:lineRule="exact"/>
        <w:ind w:firstLine="960" w:firstLineChars="400"/>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highlight w:val="none"/>
          <w:lang w:eastAsia="zh-CN"/>
        </w:rPr>
        <w:t>029-88319689-807</w:t>
      </w:r>
    </w:p>
    <w:p>
      <w:pPr>
        <w:numPr>
          <w:ilvl w:val="0"/>
          <w:numId w:val="2"/>
        </w:num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采购内容和要求：</w:t>
      </w:r>
    </w:p>
    <w:p>
      <w:pPr>
        <w:spacing w:line="440" w:lineRule="exact"/>
        <w:ind w:firstLine="960" w:firstLineChars="400"/>
        <w:rPr>
          <w:rFonts w:hint="eastAsia" w:ascii="宋体" w:hAnsi="宋体" w:eastAsia="宋体" w:cs="宋体"/>
          <w:highlight w:val="none"/>
          <w:lang w:val="en-US" w:eastAsia="zh-CN"/>
        </w:rPr>
      </w:pPr>
      <w:r>
        <w:rPr>
          <w:rFonts w:hint="eastAsia" w:ascii="宋体" w:hAnsi="宋体" w:eastAsia="宋体" w:cs="宋体"/>
          <w:highlight w:val="none"/>
        </w:rPr>
        <w:t>采购内容：</w:t>
      </w:r>
      <w:r>
        <w:rPr>
          <w:rFonts w:hint="eastAsia" w:ascii="宋体" w:hAnsi="宋体" w:cs="宋体"/>
          <w:highlight w:val="none"/>
          <w:lang w:eastAsia="zh-CN"/>
        </w:rPr>
        <w:t>GE64排双能CT更换球管</w:t>
      </w:r>
    </w:p>
    <w:p>
      <w:pPr>
        <w:spacing w:line="440" w:lineRule="exact"/>
        <w:ind w:firstLine="960" w:firstLineChars="400"/>
        <w:rPr>
          <w:rFonts w:hint="eastAsia" w:ascii="宋体" w:hAnsi="宋体" w:eastAsia="宋体" w:cs="宋体"/>
          <w:highlight w:val="none"/>
        </w:rPr>
      </w:pPr>
      <w:r>
        <w:rPr>
          <w:rFonts w:hint="eastAsia" w:ascii="宋体" w:hAnsi="宋体" w:eastAsia="宋体" w:cs="宋体"/>
          <w:highlight w:val="none"/>
          <w:lang w:eastAsia="zh-CN"/>
        </w:rPr>
        <w:t>采购预算</w:t>
      </w:r>
      <w:r>
        <w:rPr>
          <w:rFonts w:hint="eastAsia" w:ascii="宋体" w:hAnsi="宋体" w:eastAsia="宋体" w:cs="宋体"/>
          <w:highlight w:val="none"/>
        </w:rPr>
        <w:t>：</w:t>
      </w:r>
      <w:r>
        <w:rPr>
          <w:rFonts w:hint="eastAsia" w:ascii="宋体" w:hAnsi="宋体" w:cs="宋体"/>
          <w:highlight w:val="none"/>
          <w:lang w:val="en-US" w:eastAsia="zh-CN"/>
        </w:rPr>
        <w:t>117</w:t>
      </w:r>
      <w:r>
        <w:rPr>
          <w:rFonts w:hint="eastAsia" w:ascii="宋体" w:hAnsi="宋体" w:eastAsia="宋体" w:cs="宋体"/>
          <w:color w:val="000000"/>
          <w:kern w:val="0"/>
          <w:sz w:val="24"/>
          <w:highlight w:val="none"/>
          <w:lang w:val="en-US" w:eastAsia="zh-CN"/>
        </w:rPr>
        <w:t>0000.00</w:t>
      </w:r>
      <w:r>
        <w:rPr>
          <w:rFonts w:hint="eastAsia" w:ascii="宋体" w:hAnsi="宋体" w:eastAsia="宋体" w:cs="宋体"/>
          <w:color w:val="000000"/>
          <w:kern w:val="0"/>
          <w:sz w:val="24"/>
          <w:highlight w:val="none"/>
        </w:rPr>
        <w:t>元</w:t>
      </w:r>
    </w:p>
    <w:p>
      <w:pPr>
        <w:spacing w:line="440" w:lineRule="exact"/>
        <w:ind w:firstLine="960" w:firstLineChars="400"/>
        <w:rPr>
          <w:rFonts w:hint="eastAsia" w:ascii="宋体" w:hAnsi="宋体" w:eastAsia="宋体" w:cs="宋体"/>
          <w:highlight w:val="none"/>
        </w:rPr>
      </w:pPr>
      <w:r>
        <w:rPr>
          <w:rFonts w:hint="eastAsia" w:ascii="宋体" w:hAnsi="宋体" w:eastAsia="宋体" w:cs="宋体"/>
          <w:highlight w:val="none"/>
        </w:rPr>
        <w:t>项目用途：自用</w:t>
      </w:r>
      <w:bookmarkStart w:id="248" w:name="_GoBack"/>
      <w:bookmarkEnd w:id="248"/>
    </w:p>
    <w:p>
      <w:pPr>
        <w:spacing w:line="440" w:lineRule="exact"/>
        <w:ind w:firstLine="960" w:firstLineChars="400"/>
        <w:rPr>
          <w:rFonts w:hint="eastAsia" w:ascii="宋体" w:hAnsi="宋体" w:eastAsia="宋体" w:cs="宋体"/>
          <w:highlight w:val="none"/>
          <w:lang w:val="en-US" w:eastAsia="zh-CN"/>
        </w:rPr>
      </w:pPr>
      <w:r>
        <w:rPr>
          <w:rFonts w:hint="eastAsia" w:ascii="宋体" w:hAnsi="宋体" w:eastAsia="宋体" w:cs="宋体"/>
          <w:highlight w:val="none"/>
        </w:rPr>
        <w:t>项目性质：</w:t>
      </w:r>
      <w:r>
        <w:rPr>
          <w:rFonts w:hint="eastAsia" w:ascii="宋体" w:hAnsi="宋体" w:cs="宋体"/>
          <w:kern w:val="0"/>
          <w:sz w:val="24"/>
          <w:szCs w:val="24"/>
          <w:highlight w:val="none"/>
        </w:rPr>
        <w:t>自筹资金</w:t>
      </w:r>
    </w:p>
    <w:p>
      <w:pPr>
        <w:widowControl/>
        <w:numPr>
          <w:ilvl w:val="0"/>
          <w:numId w:val="2"/>
        </w:numPr>
        <w:tabs>
          <w:tab w:val="left" w:pos="1620"/>
        </w:tabs>
        <w:wordWrap w:val="0"/>
        <w:spacing w:line="360" w:lineRule="auto"/>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供应商资质要求：</w:t>
      </w:r>
    </w:p>
    <w:p>
      <w:pPr>
        <w:snapToGrid w:val="0"/>
        <w:spacing w:line="360" w:lineRule="auto"/>
        <w:ind w:firstLine="480" w:firstLineChars="200"/>
        <w:jc w:val="left"/>
        <w:rPr>
          <w:rFonts w:hint="eastAsia" w:ascii="宋体" w:hAnsi="宋体" w:eastAsia="宋体" w:cs="宋体"/>
          <w:kern w:val="0"/>
          <w:szCs w:val="24"/>
          <w:highlight w:val="none"/>
        </w:rPr>
      </w:pPr>
      <w:r>
        <w:rPr>
          <w:rFonts w:hint="eastAsia" w:ascii="宋体" w:hAnsi="宋体" w:eastAsia="宋体" w:cs="宋体"/>
          <w:bCs/>
          <w:kern w:val="0"/>
          <w:szCs w:val="24"/>
          <w:highlight w:val="none"/>
        </w:rPr>
        <w:t>符合《中华人民共和国政府采购法》第二十二条规定，并提供以下材料：</w:t>
      </w:r>
    </w:p>
    <w:p>
      <w:pPr>
        <w:numPr>
          <w:ilvl w:val="0"/>
          <w:numId w:val="3"/>
        </w:numPr>
        <w:snapToGrid w:val="0"/>
        <w:spacing w:line="360" w:lineRule="auto"/>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具有独立承担民事责任能力的法人、其他组织或自然人，并出具合法有效的营业执照或事业单位法人证书等国家规定的相关证明，自然人参与的提供其身份证明；</w:t>
      </w:r>
    </w:p>
    <w:p>
      <w:pPr>
        <w:numPr>
          <w:ilvl w:val="0"/>
          <w:numId w:val="0"/>
        </w:numPr>
        <w:snapToGrid w:val="0"/>
        <w:spacing w:line="360" w:lineRule="auto"/>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社会保障资金缴纳证明：202</w:t>
      </w:r>
      <w:r>
        <w:rPr>
          <w:rFonts w:hint="eastAsia" w:ascii="宋体" w:hAnsi="宋体" w:cs="宋体"/>
          <w:bCs/>
          <w:kern w:val="0"/>
          <w:sz w:val="24"/>
          <w:szCs w:val="24"/>
          <w:highlight w:val="none"/>
          <w:lang w:val="en-US" w:eastAsia="zh-CN"/>
        </w:rPr>
        <w:t>2</w:t>
      </w:r>
      <w:r>
        <w:rPr>
          <w:rFonts w:hint="eastAsia" w:ascii="宋体" w:hAnsi="宋体" w:eastAsia="宋体" w:cs="宋体"/>
          <w:bCs/>
          <w:kern w:val="0"/>
          <w:sz w:val="24"/>
          <w:szCs w:val="24"/>
          <w:highlight w:val="none"/>
        </w:rPr>
        <w:t>年</w:t>
      </w:r>
      <w:r>
        <w:rPr>
          <w:rFonts w:hint="eastAsia" w:ascii="宋体" w:hAnsi="宋体" w:cs="宋体"/>
          <w:bCs/>
          <w:kern w:val="0"/>
          <w:sz w:val="24"/>
          <w:szCs w:val="24"/>
          <w:highlight w:val="none"/>
          <w:lang w:val="en-US" w:eastAsia="zh-CN"/>
        </w:rPr>
        <w:t>1</w:t>
      </w:r>
      <w:r>
        <w:rPr>
          <w:rFonts w:hint="eastAsia" w:ascii="宋体" w:hAnsi="宋体" w:eastAsia="宋体" w:cs="宋体"/>
          <w:bCs/>
          <w:kern w:val="0"/>
          <w:sz w:val="24"/>
          <w:szCs w:val="24"/>
          <w:highlight w:val="none"/>
        </w:rP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0"/>
        </w:numPr>
        <w:snapToGrid w:val="0"/>
        <w:spacing w:line="360" w:lineRule="auto"/>
        <w:ind w:firstLine="480" w:firstLineChars="200"/>
        <w:jc w:val="left"/>
        <w:rPr>
          <w:rFonts w:hint="eastAsia" w:ascii="宋体" w:hAnsi="宋体" w:eastAsia="宋体" w:cs="宋体"/>
          <w:bCs/>
          <w:kern w:val="0"/>
          <w:sz w:val="24"/>
          <w:szCs w:val="24"/>
          <w:highlight w:val="yellow"/>
          <w:lang w:val="en-US" w:eastAsia="zh-CN"/>
        </w:rPr>
      </w:pP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rPr>
        <w:t>税收缴纳证明：202</w:t>
      </w:r>
      <w:r>
        <w:rPr>
          <w:rFonts w:hint="eastAsia" w:ascii="宋体" w:hAnsi="宋体" w:cs="宋体"/>
          <w:bCs/>
          <w:kern w:val="0"/>
          <w:sz w:val="24"/>
          <w:szCs w:val="24"/>
          <w:highlight w:val="none"/>
          <w:lang w:val="en-US" w:eastAsia="zh-CN"/>
        </w:rPr>
        <w:t>2</w:t>
      </w:r>
      <w:r>
        <w:rPr>
          <w:rFonts w:hint="eastAsia" w:ascii="宋体" w:hAnsi="宋体" w:eastAsia="宋体" w:cs="宋体"/>
          <w:bCs/>
          <w:kern w:val="0"/>
          <w:sz w:val="24"/>
          <w:szCs w:val="24"/>
          <w:highlight w:val="none"/>
        </w:rPr>
        <w:t>年</w:t>
      </w:r>
      <w:r>
        <w:rPr>
          <w:rFonts w:hint="eastAsia" w:ascii="宋体" w:hAnsi="宋体" w:cs="宋体"/>
          <w:bCs/>
          <w:kern w:val="0"/>
          <w:sz w:val="24"/>
          <w:szCs w:val="24"/>
          <w:highlight w:val="none"/>
          <w:lang w:val="en-US" w:eastAsia="zh-CN"/>
        </w:rPr>
        <w:t>1</w:t>
      </w:r>
      <w:r>
        <w:rPr>
          <w:rFonts w:hint="eastAsia" w:ascii="宋体" w:hAnsi="宋体" w:eastAsia="宋体" w:cs="宋体"/>
          <w:bCs/>
          <w:kern w:val="0"/>
          <w:sz w:val="24"/>
          <w:szCs w:val="24"/>
          <w:highlight w:val="none"/>
        </w:rPr>
        <w:t>月至今已缴纳的至少一个月纳税证明或完税证明，依法免税的单位应提供相关证明材料；</w:t>
      </w:r>
    </w:p>
    <w:p>
      <w:pPr>
        <w:numPr>
          <w:ilvl w:val="0"/>
          <w:numId w:val="0"/>
        </w:numPr>
        <w:snapToGrid w:val="0"/>
        <w:spacing w:line="360" w:lineRule="auto"/>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4、</w:t>
      </w:r>
      <w:r>
        <w:rPr>
          <w:rFonts w:hint="eastAsia" w:ascii="宋体" w:hAnsi="宋体" w:eastAsia="宋体" w:cs="宋体"/>
          <w:bCs/>
          <w:kern w:val="0"/>
          <w:sz w:val="24"/>
          <w:szCs w:val="24"/>
          <w:highlight w:val="none"/>
        </w:rPr>
        <w:t>财务状况证明：</w:t>
      </w:r>
      <w:r>
        <w:rPr>
          <w:rFonts w:hint="eastAsia" w:ascii="宋体" w:hAnsi="宋体" w:cs="宋体"/>
          <w:bCs/>
          <w:kern w:val="0"/>
          <w:sz w:val="24"/>
          <w:szCs w:val="24"/>
        </w:rPr>
        <w:t>提供经会计师事务所审计的2020年或2021年的财务审计报告或在开标日期前六个月内其基本开户银行出具的资信证明；</w:t>
      </w:r>
    </w:p>
    <w:p>
      <w:pPr>
        <w:numPr>
          <w:ilvl w:val="0"/>
          <w:numId w:val="0"/>
        </w:numPr>
        <w:snapToGrid w:val="0"/>
        <w:spacing w:line="360" w:lineRule="auto"/>
        <w:ind w:firstLine="480" w:firstLineChars="200"/>
        <w:jc w:val="left"/>
        <w:rPr>
          <w:rFonts w:hint="eastAsia" w:ascii="宋体" w:hAnsi="宋体" w:eastAsia="宋体" w:cs="宋体"/>
          <w:bCs/>
          <w:kern w:val="0"/>
          <w:szCs w:val="24"/>
          <w:highlight w:val="none"/>
        </w:rPr>
      </w:pP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非法定代表人参加投标，须提供法定代表人授权委托书及被授权人身份证原件；法定代表人参加投标时,只须提供法定代表人身份证原件；</w:t>
      </w:r>
      <w:r>
        <w:rPr>
          <w:rFonts w:hint="eastAsia" w:ascii="宋体" w:hAnsi="宋体" w:eastAsia="宋体" w:cs="宋体"/>
          <w:bCs/>
          <w:kern w:val="0"/>
          <w:szCs w:val="24"/>
          <w:highlight w:val="none"/>
        </w:rPr>
        <w:t xml:space="preserve">   </w:t>
      </w:r>
    </w:p>
    <w:p>
      <w:pPr>
        <w:snapToGrid w:val="0"/>
        <w:spacing w:line="360" w:lineRule="auto"/>
        <w:ind w:firstLine="480" w:firstLineChars="200"/>
        <w:jc w:val="left"/>
        <w:rPr>
          <w:rFonts w:hint="eastAsia" w:ascii="宋体" w:hAnsi="宋体" w:eastAsia="宋体" w:cs="宋体"/>
          <w:bCs/>
          <w:kern w:val="0"/>
          <w:szCs w:val="24"/>
          <w:highlight w:val="none"/>
          <w:lang w:val="en-US" w:eastAsia="zh-CN"/>
        </w:rPr>
      </w:pPr>
      <w:r>
        <w:rPr>
          <w:rFonts w:hint="eastAsia" w:ascii="宋体" w:hAnsi="宋体" w:eastAsia="宋体" w:cs="宋体"/>
          <w:bCs/>
          <w:kern w:val="0"/>
          <w:szCs w:val="24"/>
          <w:highlight w:val="none"/>
          <w:lang w:val="en-US" w:eastAsia="zh-CN"/>
        </w:rPr>
        <w:t>6、供应商应出具参加本次政府采购活动前3年内在经营活动中没有重大违法违纪，以及未被列入失信被执行人、重大税收违法案件当事人名单、政府采购严重违法失信行为记录名单的书面声明；</w:t>
      </w:r>
    </w:p>
    <w:p>
      <w:pPr>
        <w:snapToGrid w:val="0"/>
        <w:spacing w:line="360" w:lineRule="auto"/>
        <w:ind w:firstLine="480" w:firstLineChars="200"/>
        <w:jc w:val="left"/>
        <w:rPr>
          <w:rFonts w:hint="eastAsia" w:ascii="宋体" w:hAnsi="宋体" w:eastAsia="宋体" w:cs="宋体"/>
          <w:bCs/>
          <w:kern w:val="0"/>
          <w:szCs w:val="24"/>
          <w:highlight w:val="none"/>
          <w:lang w:val="en-US" w:eastAsia="zh-CN"/>
        </w:rPr>
      </w:pPr>
      <w:r>
        <w:rPr>
          <w:rFonts w:hint="eastAsia" w:ascii="宋体" w:hAnsi="宋体" w:eastAsia="宋体" w:cs="宋体"/>
          <w:bCs/>
          <w:kern w:val="0"/>
          <w:szCs w:val="24"/>
          <w:highlight w:val="none"/>
          <w:lang w:val="en-US" w:eastAsia="zh-CN"/>
        </w:rPr>
        <w:t>7、</w:t>
      </w:r>
      <w:r>
        <w:rPr>
          <w:rFonts w:hint="eastAsia" w:ascii="宋体" w:hAnsi="宋体" w:eastAsia="宋体" w:cs="宋体"/>
          <w:kern w:val="0"/>
          <w:sz w:val="24"/>
          <w:highlight w:val="none"/>
        </w:rPr>
        <w:t>供应商为经销商应出具医疗器械经营许可证（提供的设备须在其经营范围内）和所投设备的医疗器械注册证</w:t>
      </w:r>
      <w:r>
        <w:rPr>
          <w:rFonts w:hint="eastAsia" w:ascii="宋体" w:hAnsi="宋体" w:cs="宋体"/>
          <w:kern w:val="0"/>
          <w:sz w:val="24"/>
          <w:highlight w:val="none"/>
          <w:lang w:val="en-US" w:eastAsia="zh-CN"/>
        </w:rPr>
        <w:t>复印件加盖公章</w:t>
      </w: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制造厂家直接参与投标的</w:t>
      </w:r>
      <w:r>
        <w:rPr>
          <w:rFonts w:hint="eastAsia" w:ascii="宋体" w:hAnsi="宋体" w:eastAsia="宋体" w:cs="宋体"/>
          <w:kern w:val="0"/>
          <w:sz w:val="24"/>
          <w:highlight w:val="none"/>
        </w:rPr>
        <w:t>应出具医疗器械生产许可证（提供的设备须在其生产范围内）和所投设备医疗器械注册证</w:t>
      </w:r>
      <w:r>
        <w:rPr>
          <w:rFonts w:hint="eastAsia" w:ascii="宋体" w:hAnsi="宋体" w:cs="宋体"/>
          <w:kern w:val="0"/>
          <w:sz w:val="24"/>
          <w:highlight w:val="none"/>
          <w:lang w:val="en-US" w:eastAsia="zh-CN"/>
        </w:rPr>
        <w:t>复印件加盖公章</w:t>
      </w:r>
      <w:r>
        <w:rPr>
          <w:rFonts w:hint="eastAsia" w:ascii="宋体" w:hAnsi="宋体" w:eastAsia="宋体" w:cs="宋体"/>
          <w:kern w:val="0"/>
          <w:sz w:val="24"/>
          <w:highlight w:val="none"/>
        </w:rPr>
        <w:t>；</w:t>
      </w:r>
    </w:p>
    <w:p>
      <w:pPr>
        <w:snapToGrid w:val="0"/>
        <w:spacing w:line="360" w:lineRule="auto"/>
        <w:ind w:firstLine="480" w:firstLineChars="200"/>
        <w:jc w:val="left"/>
        <w:rPr>
          <w:rFonts w:hint="eastAsia" w:ascii="宋体" w:hAnsi="宋体" w:eastAsia="宋体" w:cs="宋体"/>
          <w:bCs/>
          <w:kern w:val="0"/>
          <w:szCs w:val="24"/>
          <w:highlight w:val="none"/>
          <w:lang w:val="en-US" w:eastAsia="zh-CN"/>
        </w:rPr>
      </w:pPr>
      <w:r>
        <w:rPr>
          <w:rFonts w:hint="eastAsia" w:ascii="宋体" w:hAnsi="宋体" w:eastAsia="宋体" w:cs="宋体"/>
          <w:bCs/>
          <w:kern w:val="0"/>
          <w:szCs w:val="24"/>
          <w:highlight w:val="none"/>
          <w:lang w:val="en-US" w:eastAsia="zh-CN"/>
        </w:rPr>
        <w:t>8、供应商须提供投标保证金汇款凭证或担保机构出具的保函；</w:t>
      </w:r>
    </w:p>
    <w:p>
      <w:pPr>
        <w:snapToGrid w:val="0"/>
        <w:spacing w:line="360" w:lineRule="auto"/>
        <w:ind w:firstLine="480" w:firstLineChars="200"/>
        <w:jc w:val="left"/>
        <w:rPr>
          <w:rFonts w:hint="eastAsia" w:ascii="宋体" w:hAnsi="宋体" w:eastAsia="宋体" w:cs="宋体"/>
          <w:bCs/>
          <w:szCs w:val="24"/>
          <w:highlight w:val="none"/>
        </w:rPr>
      </w:pPr>
      <w:r>
        <w:rPr>
          <w:rFonts w:hint="eastAsia" w:ascii="宋体" w:hAnsi="宋体" w:eastAsia="宋体" w:cs="宋体"/>
          <w:bCs/>
          <w:kern w:val="0"/>
          <w:szCs w:val="24"/>
          <w:highlight w:val="none"/>
          <w:lang w:val="en-US" w:eastAsia="zh-CN"/>
        </w:rPr>
        <w:t>9、</w:t>
      </w:r>
      <w:r>
        <w:rPr>
          <w:rFonts w:hint="eastAsia" w:ascii="宋体" w:hAnsi="宋体" w:eastAsia="宋体" w:cs="宋体"/>
          <w:bCs/>
          <w:kern w:val="0"/>
          <w:szCs w:val="24"/>
          <w:highlight w:val="none"/>
        </w:rPr>
        <w:t>本项目不接受联合</w:t>
      </w:r>
      <w:r>
        <w:rPr>
          <w:rFonts w:hint="eastAsia" w:ascii="宋体" w:hAnsi="宋体" w:eastAsia="宋体" w:cs="宋体"/>
          <w:bCs/>
          <w:szCs w:val="24"/>
          <w:highlight w:val="none"/>
        </w:rPr>
        <w:t>体</w:t>
      </w:r>
      <w:r>
        <w:rPr>
          <w:rFonts w:hint="eastAsia" w:ascii="宋体" w:hAnsi="宋体" w:eastAsia="宋体" w:cs="宋体"/>
          <w:bCs/>
          <w:szCs w:val="24"/>
          <w:highlight w:val="none"/>
          <w:lang w:eastAsia="zh-CN"/>
        </w:rPr>
        <w:t>参与</w:t>
      </w:r>
      <w:r>
        <w:rPr>
          <w:rFonts w:hint="eastAsia" w:ascii="宋体" w:hAnsi="宋体" w:eastAsia="宋体" w:cs="宋体"/>
          <w:bCs/>
          <w:szCs w:val="24"/>
          <w:highlight w:val="none"/>
        </w:rPr>
        <w:t>。</w:t>
      </w:r>
    </w:p>
    <w:p>
      <w:pPr>
        <w:widowControl/>
        <w:numPr>
          <w:ilvl w:val="0"/>
          <w:numId w:val="0"/>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七、</w:t>
      </w:r>
      <w:r>
        <w:rPr>
          <w:rFonts w:hint="eastAsia" w:ascii="宋体" w:hAnsi="宋体" w:eastAsia="宋体" w:cs="宋体"/>
          <w:kern w:val="0"/>
          <w:sz w:val="24"/>
          <w:szCs w:val="24"/>
          <w:highlight w:val="none"/>
        </w:rPr>
        <w:t>采购项目需要落实的政府采购政策：</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依据《中华人民共和国政府采购法》和《中华人民共和国政府法采购实施条例》的有关规定，落实政府采购“优先购买节能环保产品、扶持小微企业、</w:t>
      </w:r>
      <w:r>
        <w:rPr>
          <w:rFonts w:hint="eastAsia" w:ascii="宋体" w:hAnsi="宋体" w:eastAsia="宋体" w:cs="宋体"/>
          <w:sz w:val="24"/>
          <w:highlight w:val="none"/>
        </w:rPr>
        <w:t>残疾人就业、</w:t>
      </w:r>
      <w:r>
        <w:rPr>
          <w:rFonts w:hint="eastAsia" w:ascii="宋体" w:hAnsi="宋体" w:eastAsia="宋体" w:cs="宋体"/>
          <w:sz w:val="24"/>
          <w:szCs w:val="24"/>
          <w:highlight w:val="none"/>
        </w:rPr>
        <w:t>监狱企业、福利企业”等相关政策。</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《政府采购促进中小企业发展管理办法》（财库〔2020〕46号）</w:t>
      </w:r>
      <w:r>
        <w:rPr>
          <w:rFonts w:hint="eastAsia" w:ascii="宋体" w:hAnsi="宋体" w:eastAsia="宋体" w:cs="宋体"/>
          <w:sz w:val="24"/>
          <w:szCs w:val="24"/>
          <w:highlight w:val="none"/>
        </w:rPr>
        <w:t>；</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2、《财政部 司法部关于政府采购支持监狱企业发展有关问题的通知》（财库〔2014〕68号）； </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 《国务院办公厅关于建立政府强制采购节能产品制度的通知》（国办发〔2007〕51号）； </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4、《财政部发展改革委生态环境部市场监督总局关于调整优化节能产品、环境标志产品政府采购执行机制的通知》（财库[2019]9号）；</w:t>
      </w:r>
    </w:p>
    <w:p>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5、</w:t>
      </w:r>
      <w:r>
        <w:rPr>
          <w:rFonts w:hint="eastAsia" w:ascii="宋体" w:hAnsi="宋体" w:eastAsia="宋体" w:cs="宋体"/>
          <w:color w:val="000000"/>
          <w:sz w:val="24"/>
          <w:szCs w:val="24"/>
          <w:highlight w:val="none"/>
        </w:rPr>
        <w:t>《市场监督总局关于发布参与实施政府采购节能产品、环境标志产品认证机构名录的公告》（2019年第16号）</w:t>
      </w:r>
      <w:r>
        <w:rPr>
          <w:rFonts w:hint="eastAsia" w:ascii="宋体" w:hAnsi="宋体" w:eastAsia="宋体" w:cs="宋体"/>
          <w:sz w:val="24"/>
          <w:szCs w:val="24"/>
          <w:highlight w:val="none"/>
        </w:rPr>
        <w:t>；</w:t>
      </w:r>
    </w:p>
    <w:p>
      <w:p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《三部门联合</w:t>
      </w:r>
      <w:r>
        <w:rPr>
          <w:rFonts w:hint="eastAsia" w:ascii="宋体" w:hAnsi="宋体" w:eastAsia="宋体" w:cs="宋体"/>
          <w:color w:val="000000"/>
          <w:sz w:val="24"/>
          <w:szCs w:val="24"/>
          <w:highlight w:val="none"/>
        </w:rPr>
        <w:t>发布关于</w:t>
      </w:r>
      <w:r>
        <w:rPr>
          <w:rFonts w:hint="eastAsia" w:ascii="宋体" w:hAnsi="宋体" w:eastAsia="宋体" w:cs="宋体"/>
          <w:sz w:val="24"/>
          <w:szCs w:val="24"/>
          <w:highlight w:val="none"/>
        </w:rPr>
        <w:t>促进残疾人就业政府采购政策的通知》 （财库〔2017〕141号）</w:t>
      </w:r>
      <w:r>
        <w:rPr>
          <w:rFonts w:hint="eastAsia" w:ascii="宋体" w:hAnsi="宋体" w:eastAsia="宋体" w:cs="宋体"/>
          <w:sz w:val="24"/>
          <w:szCs w:val="24"/>
          <w:highlight w:val="none"/>
          <w:lang w:eastAsia="zh-CN"/>
        </w:rPr>
        <w:t>；</w:t>
      </w:r>
    </w:p>
    <w:p>
      <w:pPr>
        <w:numPr>
          <w:ilvl w:val="0"/>
          <w:numId w:val="4"/>
        </w:numPr>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陕西省财政厅关于印发《陕西省中小企业政府采购信用融资办法》（陕财办采〔2018〕23号）</w:t>
      </w:r>
      <w:r>
        <w:rPr>
          <w:rFonts w:hint="eastAsia" w:ascii="宋体" w:hAnsi="宋体" w:eastAsia="宋体" w:cs="宋体"/>
          <w:color w:val="000000"/>
          <w:sz w:val="24"/>
          <w:szCs w:val="24"/>
          <w:highlight w:val="none"/>
          <w:lang w:eastAsia="zh-CN"/>
        </w:rPr>
        <w:t>；</w:t>
      </w:r>
    </w:p>
    <w:p>
      <w:pPr>
        <w:numPr>
          <w:ilvl w:val="0"/>
          <w:numId w:val="0"/>
        </w:num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8、其他需要落实的政府采购政策；</w:t>
      </w:r>
    </w:p>
    <w:p>
      <w:pPr>
        <w:adjustRightInd w:val="0"/>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八</w:t>
      </w:r>
      <w:r>
        <w:rPr>
          <w:rFonts w:hint="eastAsia" w:ascii="宋体" w:hAnsi="宋体" w:eastAsia="宋体" w:cs="宋体"/>
          <w:highlight w:val="none"/>
        </w:rPr>
        <w:t>、采购文件发售：</w:t>
      </w:r>
    </w:p>
    <w:p>
      <w:pPr>
        <w:adjustRightInd w:val="0"/>
        <w:spacing w:line="44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1、发售时间：20</w:t>
      </w: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lang w:val="en-US" w:eastAsia="zh-CN"/>
        </w:rPr>
        <w:t>05</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13</w:t>
      </w:r>
      <w:r>
        <w:rPr>
          <w:rFonts w:hint="eastAsia" w:ascii="宋体" w:hAnsi="宋体" w:eastAsia="宋体" w:cs="宋体"/>
          <w:kern w:val="0"/>
          <w:sz w:val="24"/>
          <w:szCs w:val="24"/>
          <w:highlight w:val="none"/>
        </w:rPr>
        <w:t>日至20</w:t>
      </w: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lang w:val="en-US" w:eastAsia="zh-CN"/>
        </w:rPr>
        <w:t>05</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18</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止</w:t>
      </w:r>
    </w:p>
    <w:p>
      <w:pPr>
        <w:adjustRightInd w:val="0"/>
        <w:spacing w:line="440" w:lineRule="exact"/>
        <w:ind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（上午09:00～12:00，下午14:00～17:00发售,法定节假日除外）。</w:t>
      </w:r>
    </w:p>
    <w:p>
      <w:pPr>
        <w:adjustRightInd w:val="0"/>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2、发售地点：西安市西关正街英达大厦1507室</w:t>
      </w:r>
    </w:p>
    <w:p>
      <w:pPr>
        <w:adjustRightInd w:val="0"/>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3、文件售价：¥500元/套，售后不退</w:t>
      </w:r>
      <w:r>
        <w:rPr>
          <w:rFonts w:hint="eastAsia" w:ascii="宋体" w:hAnsi="宋体" w:eastAsia="宋体" w:cs="宋体"/>
          <w:highlight w:val="none"/>
          <w:lang w:eastAsia="zh-CN"/>
        </w:rPr>
        <w:t>，谢绝邮寄</w:t>
      </w:r>
      <w:r>
        <w:rPr>
          <w:rFonts w:hint="eastAsia" w:ascii="宋体" w:hAnsi="宋体" w:eastAsia="宋体" w:cs="宋体"/>
          <w:highlight w:val="none"/>
        </w:rPr>
        <w:t>.</w:t>
      </w:r>
    </w:p>
    <w:p>
      <w:pPr>
        <w:adjustRightInd w:val="0"/>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注：（1）</w:t>
      </w:r>
      <w:r>
        <w:rPr>
          <w:rFonts w:hint="eastAsia" w:ascii="宋体" w:hAnsi="宋体" w:eastAsia="宋体" w:cs="宋体"/>
          <w:highlight w:val="none"/>
          <w:lang w:eastAsia="zh-CN"/>
        </w:rPr>
        <w:t>供应商</w:t>
      </w:r>
      <w:r>
        <w:rPr>
          <w:rFonts w:hint="eastAsia" w:ascii="宋体" w:hAnsi="宋体" w:eastAsia="宋体" w:cs="宋体"/>
          <w:kern w:val="0"/>
          <w:sz w:val="24"/>
          <w:szCs w:val="24"/>
          <w:highlight w:val="none"/>
        </w:rPr>
        <w:t>购买标书时，</w:t>
      </w:r>
      <w:r>
        <w:rPr>
          <w:rFonts w:hint="eastAsia" w:ascii="宋体" w:hAnsi="宋体" w:eastAsia="宋体" w:cs="宋体"/>
          <w:kern w:val="0"/>
          <w:sz w:val="24"/>
          <w:szCs w:val="24"/>
          <w:highlight w:val="none"/>
          <w:lang w:val="en-US" w:eastAsia="zh-CN"/>
        </w:rPr>
        <w:t>请携带单位</w:t>
      </w:r>
      <w:r>
        <w:rPr>
          <w:rFonts w:hint="eastAsia" w:ascii="宋体" w:hAnsi="宋体" w:eastAsia="宋体" w:cs="宋体"/>
          <w:kern w:val="0"/>
          <w:sz w:val="24"/>
          <w:szCs w:val="24"/>
          <w:highlight w:val="none"/>
        </w:rPr>
        <w:t>介绍信及经办人身份证</w:t>
      </w:r>
      <w:r>
        <w:rPr>
          <w:rFonts w:hint="eastAsia" w:ascii="宋体" w:hAnsi="宋体" w:eastAsia="宋体" w:cs="宋体"/>
          <w:kern w:val="0"/>
          <w:sz w:val="24"/>
          <w:szCs w:val="24"/>
          <w:highlight w:val="none"/>
          <w:lang w:eastAsia="zh-CN"/>
        </w:rPr>
        <w:t>原件及复印件</w:t>
      </w:r>
      <w:r>
        <w:rPr>
          <w:rFonts w:hint="eastAsia" w:ascii="宋体" w:hAnsi="宋体" w:eastAsia="宋体" w:cs="宋体"/>
          <w:kern w:val="0"/>
          <w:sz w:val="24"/>
          <w:szCs w:val="24"/>
          <w:highlight w:val="none"/>
        </w:rPr>
        <w:t>加盖公章</w:t>
      </w:r>
      <w:r>
        <w:rPr>
          <w:rFonts w:hint="eastAsia" w:ascii="宋体" w:hAnsi="宋体" w:eastAsia="宋体" w:cs="宋体"/>
          <w:kern w:val="0"/>
          <w:sz w:val="24"/>
          <w:szCs w:val="24"/>
          <w:highlight w:val="none"/>
          <w:lang w:eastAsia="zh-CN"/>
        </w:rPr>
        <w:t>，现金购买</w:t>
      </w:r>
      <w:r>
        <w:rPr>
          <w:rFonts w:hint="eastAsia" w:ascii="宋体" w:hAnsi="宋体" w:eastAsia="宋体" w:cs="宋体"/>
          <w:kern w:val="0"/>
          <w:sz w:val="24"/>
          <w:szCs w:val="24"/>
          <w:highlight w:val="none"/>
        </w:rPr>
        <w:t>；（2）请</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按照</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陕西省财政厅关于政府采购供应商注册登记有关事项的通知</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中的要求，通过陕西省政府采购网（http://www.ccgp-shaanxi.gov.cn/）注册登记加入陕西省政府采购供应商库。</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九</w:t>
      </w:r>
      <w:r>
        <w:rPr>
          <w:rFonts w:hint="eastAsia" w:ascii="宋体" w:hAnsi="宋体" w:eastAsia="宋体" w:cs="宋体"/>
          <w:highlight w:val="none"/>
        </w:rPr>
        <w:t>、响应文件截止时间及谈判时间和地点：</w:t>
      </w:r>
    </w:p>
    <w:p>
      <w:pPr>
        <w:adjustRightInd w:val="0"/>
        <w:spacing w:line="440" w:lineRule="exact"/>
        <w:ind w:firstLine="480" w:firstLineChars="200"/>
        <w:rPr>
          <w:rFonts w:hint="default" w:ascii="宋体" w:hAnsi="宋体" w:eastAsia="宋体" w:cs="宋体"/>
          <w:bCs/>
          <w:kern w:val="0"/>
          <w:szCs w:val="24"/>
          <w:highlight w:val="none"/>
          <w:lang w:val="en-US"/>
        </w:rPr>
      </w:pPr>
      <w:r>
        <w:rPr>
          <w:rFonts w:hint="eastAsia" w:ascii="宋体" w:hAnsi="宋体" w:eastAsia="宋体" w:cs="宋体"/>
          <w:highlight w:val="none"/>
        </w:rPr>
        <w:t>1、响应文件截止时</w:t>
      </w:r>
      <w:r>
        <w:rPr>
          <w:rFonts w:hint="eastAsia" w:ascii="宋体" w:hAnsi="宋体" w:eastAsia="宋体" w:cs="宋体"/>
          <w:bCs/>
          <w:kern w:val="0"/>
          <w:szCs w:val="24"/>
          <w:highlight w:val="none"/>
        </w:rPr>
        <w:t>间：20</w:t>
      </w:r>
      <w:r>
        <w:rPr>
          <w:rFonts w:hint="eastAsia" w:ascii="宋体" w:hAnsi="宋体" w:eastAsia="宋体" w:cs="宋体"/>
          <w:bCs/>
          <w:kern w:val="0"/>
          <w:szCs w:val="24"/>
          <w:highlight w:val="none"/>
          <w:lang w:val="en-US" w:eastAsia="zh-CN"/>
        </w:rPr>
        <w:t>2</w:t>
      </w:r>
      <w:r>
        <w:rPr>
          <w:rFonts w:hint="eastAsia" w:ascii="宋体" w:hAnsi="宋体" w:cs="宋体"/>
          <w:bCs/>
          <w:kern w:val="0"/>
          <w:szCs w:val="24"/>
          <w:highlight w:val="none"/>
          <w:lang w:val="en-US" w:eastAsia="zh-CN"/>
        </w:rPr>
        <w:t>2</w:t>
      </w:r>
      <w:r>
        <w:rPr>
          <w:rFonts w:hint="eastAsia" w:ascii="宋体" w:hAnsi="宋体" w:eastAsia="宋体" w:cs="宋体"/>
          <w:bCs/>
          <w:kern w:val="0"/>
          <w:szCs w:val="24"/>
          <w:highlight w:val="none"/>
        </w:rPr>
        <w:t>年</w:t>
      </w:r>
      <w:r>
        <w:rPr>
          <w:rFonts w:hint="eastAsia" w:ascii="宋体" w:hAnsi="宋体" w:cs="宋体"/>
          <w:bCs/>
          <w:kern w:val="0"/>
          <w:szCs w:val="24"/>
          <w:highlight w:val="none"/>
          <w:lang w:val="en-US" w:eastAsia="zh-CN"/>
        </w:rPr>
        <w:t>05</w:t>
      </w:r>
      <w:r>
        <w:rPr>
          <w:rFonts w:hint="eastAsia" w:ascii="宋体" w:hAnsi="宋体" w:eastAsia="宋体" w:cs="宋体"/>
          <w:bCs/>
          <w:kern w:val="0"/>
          <w:szCs w:val="24"/>
          <w:highlight w:val="none"/>
        </w:rPr>
        <w:t>月</w:t>
      </w:r>
      <w:r>
        <w:rPr>
          <w:rFonts w:hint="eastAsia" w:ascii="宋体" w:hAnsi="宋体" w:cs="宋体"/>
          <w:bCs/>
          <w:kern w:val="0"/>
          <w:szCs w:val="24"/>
          <w:highlight w:val="none"/>
          <w:lang w:val="en-US" w:eastAsia="zh-CN"/>
        </w:rPr>
        <w:t>19</w:t>
      </w:r>
      <w:r>
        <w:rPr>
          <w:rFonts w:hint="eastAsia" w:ascii="宋体" w:hAnsi="宋体" w:eastAsia="宋体" w:cs="宋体"/>
          <w:bCs/>
          <w:kern w:val="0"/>
          <w:szCs w:val="24"/>
          <w:highlight w:val="none"/>
        </w:rPr>
        <w:t>日</w:t>
      </w:r>
      <w:r>
        <w:rPr>
          <w:rFonts w:hint="eastAsia" w:ascii="宋体" w:hAnsi="宋体" w:cs="宋体"/>
          <w:bCs/>
          <w:kern w:val="0"/>
          <w:szCs w:val="24"/>
          <w:highlight w:val="none"/>
          <w:lang w:val="en-US" w:eastAsia="zh-CN"/>
        </w:rPr>
        <w:t>09:30</w:t>
      </w:r>
    </w:p>
    <w:p>
      <w:pPr>
        <w:spacing w:line="440" w:lineRule="exact"/>
        <w:ind w:firstLine="480" w:firstLineChars="200"/>
        <w:rPr>
          <w:rFonts w:hint="default" w:ascii="宋体" w:hAnsi="宋体" w:eastAsia="宋体" w:cs="宋体"/>
          <w:bCs/>
          <w:kern w:val="0"/>
          <w:szCs w:val="24"/>
          <w:highlight w:val="none"/>
          <w:lang w:val="en-US" w:eastAsia="zh-CN"/>
        </w:rPr>
      </w:pPr>
      <w:r>
        <w:rPr>
          <w:rFonts w:hint="eastAsia" w:ascii="宋体" w:hAnsi="宋体" w:eastAsia="宋体" w:cs="宋体"/>
          <w:bCs/>
          <w:kern w:val="0"/>
          <w:szCs w:val="24"/>
          <w:highlight w:val="none"/>
        </w:rPr>
        <w:t>2、谈判时间：20</w:t>
      </w:r>
      <w:r>
        <w:rPr>
          <w:rFonts w:hint="eastAsia" w:ascii="宋体" w:hAnsi="宋体" w:eastAsia="宋体" w:cs="宋体"/>
          <w:bCs/>
          <w:kern w:val="0"/>
          <w:szCs w:val="24"/>
          <w:highlight w:val="none"/>
          <w:lang w:val="en-US" w:eastAsia="zh-CN"/>
        </w:rPr>
        <w:t>2</w:t>
      </w:r>
      <w:r>
        <w:rPr>
          <w:rFonts w:hint="eastAsia" w:ascii="宋体" w:hAnsi="宋体" w:cs="宋体"/>
          <w:bCs/>
          <w:kern w:val="0"/>
          <w:szCs w:val="24"/>
          <w:highlight w:val="none"/>
          <w:lang w:val="en-US" w:eastAsia="zh-CN"/>
        </w:rPr>
        <w:t>2</w:t>
      </w:r>
      <w:r>
        <w:rPr>
          <w:rFonts w:hint="eastAsia" w:ascii="宋体" w:hAnsi="宋体" w:eastAsia="宋体" w:cs="宋体"/>
          <w:bCs/>
          <w:kern w:val="0"/>
          <w:szCs w:val="24"/>
          <w:highlight w:val="none"/>
        </w:rPr>
        <w:t>年</w:t>
      </w:r>
      <w:r>
        <w:rPr>
          <w:rFonts w:hint="eastAsia" w:ascii="宋体" w:hAnsi="宋体" w:cs="宋体"/>
          <w:bCs/>
          <w:kern w:val="0"/>
          <w:szCs w:val="24"/>
          <w:highlight w:val="none"/>
          <w:lang w:val="en-US" w:eastAsia="zh-CN"/>
        </w:rPr>
        <w:t>05</w:t>
      </w:r>
      <w:r>
        <w:rPr>
          <w:rFonts w:hint="eastAsia" w:ascii="宋体" w:hAnsi="宋体" w:eastAsia="宋体" w:cs="宋体"/>
          <w:bCs/>
          <w:kern w:val="0"/>
          <w:szCs w:val="24"/>
          <w:highlight w:val="none"/>
        </w:rPr>
        <w:t>月</w:t>
      </w:r>
      <w:r>
        <w:rPr>
          <w:rFonts w:hint="eastAsia" w:ascii="宋体" w:hAnsi="宋体" w:cs="宋体"/>
          <w:bCs/>
          <w:kern w:val="0"/>
          <w:szCs w:val="24"/>
          <w:highlight w:val="none"/>
          <w:lang w:val="en-US" w:eastAsia="zh-CN"/>
        </w:rPr>
        <w:t>19</w:t>
      </w:r>
      <w:r>
        <w:rPr>
          <w:rFonts w:hint="eastAsia" w:ascii="宋体" w:hAnsi="宋体" w:eastAsia="宋体" w:cs="宋体"/>
          <w:bCs/>
          <w:kern w:val="0"/>
          <w:szCs w:val="24"/>
          <w:highlight w:val="none"/>
        </w:rPr>
        <w:t>日</w:t>
      </w:r>
      <w:r>
        <w:rPr>
          <w:rFonts w:hint="eastAsia" w:ascii="宋体" w:hAnsi="宋体" w:cs="宋体"/>
          <w:bCs/>
          <w:kern w:val="0"/>
          <w:szCs w:val="24"/>
          <w:highlight w:val="none"/>
          <w:lang w:val="en-US" w:eastAsia="zh-CN"/>
        </w:rPr>
        <w:t>09:30</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3、谈判地点：西安市西关正街英达大厦</w:t>
      </w:r>
      <w:r>
        <w:rPr>
          <w:rFonts w:hint="eastAsia" w:ascii="宋体" w:hAnsi="宋体" w:cs="宋体"/>
          <w:highlight w:val="none"/>
          <w:lang w:val="en-US" w:eastAsia="zh-CN"/>
        </w:rPr>
        <w:t>405</w:t>
      </w:r>
      <w:r>
        <w:rPr>
          <w:rFonts w:hint="eastAsia" w:ascii="宋体" w:hAnsi="宋体" w:eastAsia="宋体" w:cs="宋体"/>
          <w:highlight w:val="none"/>
          <w:lang w:val="en-US" w:eastAsia="zh-CN"/>
        </w:rPr>
        <w:t>会议</w:t>
      </w:r>
      <w:r>
        <w:rPr>
          <w:rFonts w:hint="eastAsia" w:ascii="宋体" w:hAnsi="宋体" w:eastAsia="宋体" w:cs="宋体"/>
          <w:highlight w:val="none"/>
        </w:rPr>
        <w:t>室</w:t>
      </w:r>
    </w:p>
    <w:p>
      <w:pPr>
        <w:widowControl/>
        <w:spacing w:line="46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highlight w:val="none"/>
          <w:lang w:eastAsia="zh-CN"/>
        </w:rPr>
        <w:t>十</w:t>
      </w:r>
      <w:r>
        <w:rPr>
          <w:rFonts w:hint="eastAsia" w:ascii="宋体" w:hAnsi="宋体" w:eastAsia="宋体" w:cs="宋体"/>
          <w:highlight w:val="none"/>
        </w:rPr>
        <w:t>、</w:t>
      </w:r>
      <w:r>
        <w:rPr>
          <w:rFonts w:hint="eastAsia" w:ascii="宋体" w:hAnsi="宋体" w:eastAsia="宋体" w:cs="宋体"/>
          <w:kern w:val="0"/>
          <w:szCs w:val="24"/>
          <w:highlight w:val="none"/>
        </w:rPr>
        <w:t xml:space="preserve">其他应说明的事项： </w:t>
      </w:r>
    </w:p>
    <w:p>
      <w:pPr>
        <w:widowControl/>
        <w:wordWrap w:val="0"/>
        <w:spacing w:line="360" w:lineRule="auto"/>
        <w:jc w:val="left"/>
        <w:rPr>
          <w:rFonts w:hint="default" w:ascii="宋体" w:hAnsi="宋体" w:eastAsia="宋体" w:cs="宋体"/>
          <w:kern w:val="0"/>
          <w:szCs w:val="24"/>
          <w:highlight w:val="none"/>
          <w:lang w:val="en-US" w:eastAsia="zh-CN"/>
        </w:rPr>
      </w:pPr>
      <w:r>
        <w:rPr>
          <w:rFonts w:hint="eastAsia" w:ascii="宋体" w:hAnsi="宋体" w:eastAsia="宋体" w:cs="宋体"/>
          <w:kern w:val="0"/>
          <w:szCs w:val="24"/>
          <w:highlight w:val="none"/>
        </w:rPr>
        <w:t xml:space="preserve">    1、项目联系人：</w:t>
      </w:r>
      <w:r>
        <w:rPr>
          <w:rFonts w:hint="eastAsia" w:ascii="宋体" w:hAnsi="宋体" w:eastAsia="宋体" w:cs="宋体"/>
          <w:kern w:val="0"/>
          <w:szCs w:val="24"/>
          <w:highlight w:val="none"/>
          <w:lang w:eastAsia="zh-CN"/>
        </w:rPr>
        <w:t>张刘艳</w:t>
      </w:r>
      <w:r>
        <w:rPr>
          <w:rFonts w:hint="eastAsia" w:ascii="宋体" w:hAnsi="宋体" w:eastAsia="宋体" w:cs="宋体"/>
          <w:kern w:val="0"/>
          <w:szCs w:val="24"/>
          <w:highlight w:val="none"/>
          <w:lang w:val="en-US" w:eastAsia="zh-CN"/>
        </w:rPr>
        <w:t xml:space="preserve"> </w:t>
      </w:r>
      <w:r>
        <w:rPr>
          <w:rFonts w:hint="eastAsia" w:ascii="宋体" w:hAnsi="宋体" w:cs="宋体"/>
          <w:kern w:val="0"/>
          <w:szCs w:val="24"/>
          <w:highlight w:val="none"/>
          <w:lang w:val="en-US" w:eastAsia="zh-CN"/>
        </w:rPr>
        <w:t>于晓晶 郝思思</w:t>
      </w:r>
    </w:p>
    <w:p>
      <w:pPr>
        <w:widowControl/>
        <w:wordWrap w:val="0"/>
        <w:spacing w:line="360" w:lineRule="auto"/>
        <w:ind w:firstLine="480" w:firstLineChars="200"/>
        <w:jc w:val="left"/>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rPr>
        <w:t xml:space="preserve">   联系方式（电话/传真）：029-88319689转80</w:t>
      </w:r>
      <w:r>
        <w:rPr>
          <w:rFonts w:hint="eastAsia" w:ascii="宋体" w:hAnsi="宋体" w:eastAsia="宋体" w:cs="宋体"/>
          <w:kern w:val="0"/>
          <w:szCs w:val="24"/>
          <w:highlight w:val="none"/>
          <w:lang w:val="en-US" w:eastAsia="zh-CN"/>
        </w:rPr>
        <w:t>7</w:t>
      </w:r>
    </w:p>
    <w:p>
      <w:pPr>
        <w:widowControl/>
        <w:wordWrap w:val="0"/>
        <w:spacing w:line="360" w:lineRule="auto"/>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2、采购代理机构开户名称：陕西万泽招标有限公司</w:t>
      </w:r>
    </w:p>
    <w:p>
      <w:pPr>
        <w:widowControl/>
        <w:wordWrap w:val="0"/>
        <w:spacing w:line="360" w:lineRule="auto"/>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3、开户行名称：西安银行朝阳门支行</w:t>
      </w:r>
    </w:p>
    <w:p>
      <w:pPr>
        <w:widowControl/>
        <w:tabs>
          <w:tab w:val="left" w:pos="0"/>
        </w:tabs>
        <w:wordWrap w:val="0"/>
        <w:spacing w:line="360" w:lineRule="auto"/>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 xml:space="preserve">   账      号：211011580000015489</w:t>
      </w:r>
    </w:p>
    <w:p>
      <w:pPr>
        <w:widowControl/>
        <w:spacing w:line="460" w:lineRule="exact"/>
        <w:ind w:left="1130" w:leftChars="172" w:hanging="717" w:hangingChars="299"/>
        <w:jc w:val="left"/>
        <w:rPr>
          <w:rFonts w:hint="eastAsia" w:ascii="宋体" w:hAnsi="宋体" w:eastAsia="宋体" w:cs="宋体"/>
          <w:highlight w:val="none"/>
        </w:rPr>
      </w:pPr>
    </w:p>
    <w:p>
      <w:pPr>
        <w:widowControl/>
        <w:spacing w:line="460" w:lineRule="exact"/>
        <w:ind w:left="1130" w:leftChars="172" w:hanging="717" w:hangingChars="299"/>
        <w:jc w:val="right"/>
        <w:rPr>
          <w:rFonts w:hint="eastAsia" w:ascii="宋体" w:hAnsi="宋体" w:eastAsia="宋体" w:cs="宋体"/>
          <w:highlight w:val="none"/>
        </w:rPr>
      </w:pPr>
      <w:r>
        <w:rPr>
          <w:rFonts w:hint="eastAsia" w:ascii="宋体" w:hAnsi="宋体" w:eastAsia="宋体" w:cs="宋体"/>
          <w:highlight w:val="none"/>
        </w:rPr>
        <w:t>陕西万泽招标有限公司</w:t>
      </w:r>
    </w:p>
    <w:p>
      <w:pPr>
        <w:widowControl/>
        <w:wordWrap w:val="0"/>
        <w:spacing w:line="360" w:lineRule="auto"/>
        <w:ind w:firstLine="480" w:firstLineChars="200"/>
        <w:jc w:val="right"/>
        <w:rPr>
          <w:rFonts w:hint="eastAsia" w:ascii="宋体" w:hAnsi="宋体" w:eastAsia="宋体" w:cs="宋体"/>
          <w:kern w:val="0"/>
          <w:szCs w:val="24"/>
          <w:highlight w:val="none"/>
        </w:rPr>
      </w:pPr>
      <w:r>
        <w:rPr>
          <w:rFonts w:hint="eastAsia" w:ascii="宋体" w:hAnsi="宋体" w:eastAsia="宋体" w:cs="宋体"/>
          <w:kern w:val="0"/>
          <w:szCs w:val="24"/>
          <w:highlight w:val="none"/>
        </w:rPr>
        <w:t>20</w:t>
      </w:r>
      <w:r>
        <w:rPr>
          <w:rFonts w:hint="eastAsia" w:ascii="宋体" w:hAnsi="宋体" w:cs="宋体"/>
          <w:kern w:val="0"/>
          <w:szCs w:val="24"/>
          <w:highlight w:val="none"/>
          <w:lang w:val="en-US" w:eastAsia="zh-CN"/>
        </w:rPr>
        <w:t>22</w:t>
      </w:r>
      <w:r>
        <w:rPr>
          <w:rFonts w:hint="eastAsia" w:ascii="宋体" w:hAnsi="宋体" w:eastAsia="宋体" w:cs="宋体"/>
          <w:kern w:val="0"/>
          <w:szCs w:val="24"/>
          <w:highlight w:val="none"/>
        </w:rPr>
        <w:t>年</w:t>
      </w:r>
      <w:r>
        <w:rPr>
          <w:rFonts w:hint="eastAsia" w:ascii="宋体" w:hAnsi="宋体" w:cs="宋体"/>
          <w:kern w:val="0"/>
          <w:szCs w:val="24"/>
          <w:highlight w:val="none"/>
          <w:lang w:val="en-US" w:eastAsia="zh-CN"/>
        </w:rPr>
        <w:t>05</w:t>
      </w:r>
      <w:r>
        <w:rPr>
          <w:rFonts w:hint="eastAsia" w:ascii="宋体" w:hAnsi="宋体" w:eastAsia="宋体" w:cs="宋体"/>
          <w:kern w:val="0"/>
          <w:szCs w:val="24"/>
          <w:highlight w:val="none"/>
        </w:rPr>
        <w:t>月</w:t>
      </w:r>
      <w:r>
        <w:rPr>
          <w:rFonts w:hint="eastAsia" w:ascii="宋体" w:hAnsi="宋体" w:cs="宋体"/>
          <w:kern w:val="0"/>
          <w:szCs w:val="24"/>
          <w:highlight w:val="none"/>
          <w:lang w:val="en-US" w:eastAsia="zh-CN"/>
        </w:rPr>
        <w:t>13</w:t>
      </w:r>
      <w:r>
        <w:rPr>
          <w:rFonts w:hint="eastAsia" w:ascii="宋体" w:hAnsi="宋体" w:eastAsia="宋体" w:cs="宋体"/>
          <w:kern w:val="0"/>
          <w:szCs w:val="24"/>
          <w:highlight w:val="none"/>
        </w:rPr>
        <w:t>日</w:t>
      </w:r>
    </w:p>
    <w:p>
      <w:pPr>
        <w:widowControl/>
        <w:wordWrap w:val="0"/>
        <w:spacing w:line="360" w:lineRule="auto"/>
        <w:ind w:firstLine="480" w:firstLineChars="200"/>
        <w:jc w:val="right"/>
        <w:rPr>
          <w:rFonts w:hint="eastAsia" w:ascii="宋体" w:hAnsi="宋体" w:eastAsia="宋体" w:cs="宋体"/>
          <w:kern w:val="0"/>
          <w:szCs w:val="24"/>
          <w:highlight w:val="none"/>
        </w:rPr>
        <w:sectPr>
          <w:footerReference r:id="rId7" w:type="default"/>
          <w:pgSz w:w="11906" w:h="16838"/>
          <w:pgMar w:top="1440" w:right="1706" w:bottom="1440" w:left="1800" w:header="851" w:footer="992" w:gutter="0"/>
          <w:pgNumType w:fmt="decimal" w:start="2"/>
          <w:cols w:space="720" w:num="1"/>
          <w:docGrid w:type="lines" w:linePitch="312" w:charSpace="0"/>
        </w:sectPr>
      </w:pPr>
    </w:p>
    <w:p>
      <w:pPr>
        <w:pStyle w:val="3"/>
        <w:rPr>
          <w:rFonts w:hint="eastAsia" w:ascii="宋体" w:hAnsi="宋体" w:eastAsia="宋体" w:cs="宋体"/>
          <w:highlight w:val="none"/>
        </w:rPr>
      </w:pPr>
      <w:bookmarkStart w:id="5" w:name="_Toc7163"/>
      <w:r>
        <w:rPr>
          <w:rFonts w:hint="eastAsia" w:ascii="宋体" w:hAnsi="宋体" w:eastAsia="宋体" w:cs="宋体"/>
          <w:highlight w:val="none"/>
        </w:rPr>
        <w:t>第二部分 供应商须知前附表</w:t>
      </w:r>
      <w:bookmarkEnd w:id="3"/>
      <w:bookmarkEnd w:id="4"/>
      <w:bookmarkEnd w:id="5"/>
    </w:p>
    <w:tbl>
      <w:tblPr>
        <w:tblStyle w:val="24"/>
        <w:tblpPr w:leftFromText="180" w:rightFromText="180" w:vertAnchor="text" w:horzAnchor="page" w:tblpX="1671" w:tblpY="309"/>
        <w:tblOverlap w:val="never"/>
        <w:tblW w:w="88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8"/>
        <w:gridCol w:w="1163"/>
        <w:gridCol w:w="71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508" w:type="dxa"/>
          </w:tcPr>
          <w:p>
            <w:pPr>
              <w:spacing w:beforeLines="5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163" w:type="dxa"/>
            <w:vAlign w:val="center"/>
          </w:tcPr>
          <w:p>
            <w:pPr>
              <w:spacing w:beforeLines="5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w:t>
            </w:r>
          </w:p>
        </w:tc>
        <w:tc>
          <w:tcPr>
            <w:tcW w:w="7147" w:type="dxa"/>
          </w:tcPr>
          <w:p>
            <w:pPr>
              <w:spacing w:beforeLines="5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0" w:hRule="atLeast"/>
        </w:trPr>
        <w:tc>
          <w:tcPr>
            <w:tcW w:w="508" w:type="dxa"/>
            <w:vAlign w:val="center"/>
          </w:tcPr>
          <w:p>
            <w:pPr>
              <w:spacing w:beforeLines="5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1</w:t>
            </w:r>
          </w:p>
        </w:tc>
        <w:tc>
          <w:tcPr>
            <w:tcW w:w="116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 目</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 称</w:t>
            </w:r>
          </w:p>
        </w:tc>
        <w:tc>
          <w:tcPr>
            <w:tcW w:w="7147" w:type="dxa"/>
            <w:vAlign w:val="center"/>
          </w:tcPr>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 xml:space="preserve">陕西中医药大学附属医院GE64排双能CT更换球管采购项目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3" w:hRule="atLeast"/>
        </w:trPr>
        <w:tc>
          <w:tcPr>
            <w:tcW w:w="508" w:type="dxa"/>
            <w:vAlign w:val="center"/>
          </w:tcPr>
          <w:p>
            <w:pPr>
              <w:spacing w:beforeLines="5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2</w:t>
            </w:r>
          </w:p>
        </w:tc>
        <w:tc>
          <w:tcPr>
            <w:tcW w:w="1163" w:type="dxa"/>
            <w:vAlign w:val="center"/>
          </w:tcPr>
          <w:p>
            <w:pPr>
              <w:widowControl/>
              <w:wordWrap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 购人</w:t>
            </w:r>
          </w:p>
        </w:tc>
        <w:tc>
          <w:tcPr>
            <w:tcW w:w="7147" w:type="dxa"/>
            <w:vAlign w:val="center"/>
          </w:tcPr>
          <w:p>
            <w:pPr>
              <w:widowControl/>
              <w:wordWrap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采购单位名称：</w:t>
            </w:r>
            <w:r>
              <w:rPr>
                <w:rFonts w:hint="eastAsia" w:ascii="宋体" w:hAnsi="宋体" w:cs="宋体"/>
                <w:sz w:val="21"/>
                <w:szCs w:val="21"/>
                <w:highlight w:val="none"/>
                <w:lang w:eastAsia="zh-CN"/>
              </w:rPr>
              <w:t>陕西中医药大学附属医院</w:t>
            </w:r>
          </w:p>
          <w:p>
            <w:pPr>
              <w:widowControl/>
              <w:wordWrap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    址：</w:t>
            </w:r>
            <w:r>
              <w:rPr>
                <w:rFonts w:hint="eastAsia" w:ascii="宋体" w:hAnsi="宋体" w:cs="宋体"/>
                <w:sz w:val="21"/>
                <w:szCs w:val="21"/>
                <w:highlight w:val="none"/>
                <w:lang w:eastAsia="zh-CN"/>
              </w:rPr>
              <w:t>咸阳市渭阳西路副2号</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 系 人：</w:t>
            </w:r>
            <w:r>
              <w:rPr>
                <w:rFonts w:hint="eastAsia" w:ascii="宋体" w:hAnsi="宋体" w:cs="宋体"/>
                <w:sz w:val="21"/>
                <w:szCs w:val="21"/>
                <w:highlight w:val="none"/>
                <w:lang w:val="en-US" w:eastAsia="zh-CN"/>
              </w:rPr>
              <w:t>马老师</w:t>
            </w:r>
          </w:p>
          <w:p>
            <w:pPr>
              <w:spacing w:line="36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联系方式：</w:t>
            </w:r>
            <w:r>
              <w:rPr>
                <w:rFonts w:hint="eastAsia" w:ascii="宋体" w:hAnsi="宋体" w:cs="宋体"/>
                <w:sz w:val="21"/>
                <w:szCs w:val="21"/>
                <w:highlight w:val="none"/>
                <w:lang w:val="en-US" w:eastAsia="zh-CN"/>
              </w:rPr>
              <w:t>029-33320910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7" w:hRule="atLeast"/>
        </w:trPr>
        <w:tc>
          <w:tcPr>
            <w:tcW w:w="508" w:type="dxa"/>
            <w:tcBorders>
              <w:top w:val="single" w:color="auto" w:sz="4" w:space="0"/>
            </w:tcBorders>
            <w:vAlign w:val="center"/>
          </w:tcPr>
          <w:p>
            <w:pPr>
              <w:spacing w:beforeLines="5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3</w:t>
            </w:r>
          </w:p>
        </w:tc>
        <w:tc>
          <w:tcPr>
            <w:tcW w:w="1163" w:type="dxa"/>
            <w:tcBorders>
              <w:top w:val="single" w:color="auto" w:sz="4" w:space="0"/>
            </w:tcBorders>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 购</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代理机构</w:t>
            </w:r>
          </w:p>
        </w:tc>
        <w:tc>
          <w:tcPr>
            <w:tcW w:w="7147" w:type="dxa"/>
            <w:tcBorders>
              <w:top w:val="single" w:color="auto" w:sz="4" w:space="0"/>
            </w:tcBorders>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采购代理机构：陕西万泽招标有限公司</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地址：西安市莲湖区西关正街英达大厦1507室</w:t>
            </w:r>
          </w:p>
          <w:p>
            <w:pPr>
              <w:spacing w:line="36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eastAsia="zh-CN"/>
              </w:rPr>
              <w:t>张刘艳</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于晓晶 郝思思</w:t>
            </w:r>
          </w:p>
          <w:p>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eastAsia="zh-CN"/>
              </w:rPr>
              <w:t>029-88319689-807</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邮箱：sxwzzb123@163.com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8" w:hRule="atLeast"/>
        </w:trPr>
        <w:tc>
          <w:tcPr>
            <w:tcW w:w="508"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16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联合体</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w:t>
            </w:r>
          </w:p>
        </w:tc>
        <w:tc>
          <w:tcPr>
            <w:tcW w:w="7147"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0" w:hRule="atLeast"/>
        </w:trPr>
        <w:tc>
          <w:tcPr>
            <w:tcW w:w="508"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16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 选</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 案</w:t>
            </w:r>
          </w:p>
        </w:tc>
        <w:tc>
          <w:tcPr>
            <w:tcW w:w="7147"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5" w:hRule="atLeast"/>
        </w:trPr>
        <w:tc>
          <w:tcPr>
            <w:tcW w:w="508"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163" w:type="dxa"/>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标 段</w:t>
            </w:r>
          </w:p>
        </w:tc>
        <w:tc>
          <w:tcPr>
            <w:tcW w:w="7147"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本次采购采用整体打包方式，供应商可根据自身的资质情况和经营范围对本项目进行</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，不得自行分解或只对本次项目中的品目进行不完全</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，任何不完全的</w:t>
            </w:r>
            <w:r>
              <w:rPr>
                <w:rFonts w:hint="eastAsia" w:ascii="宋体" w:hAnsi="宋体" w:eastAsia="宋体" w:cs="宋体"/>
                <w:sz w:val="21"/>
                <w:szCs w:val="21"/>
                <w:highlight w:val="none"/>
                <w:lang w:eastAsia="zh-CN"/>
              </w:rPr>
              <w:t>文件</w:t>
            </w:r>
            <w:r>
              <w:rPr>
                <w:rFonts w:hint="eastAsia" w:ascii="宋体" w:hAnsi="宋体" w:eastAsia="宋体" w:cs="宋体"/>
                <w:sz w:val="21"/>
                <w:szCs w:val="21"/>
                <w:highlight w:val="none"/>
              </w:rPr>
              <w:t>将按无效</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8" w:hRule="atLeast"/>
        </w:trPr>
        <w:tc>
          <w:tcPr>
            <w:tcW w:w="508"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16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文件</w:t>
            </w:r>
            <w:r>
              <w:rPr>
                <w:rFonts w:hint="eastAsia" w:ascii="宋体" w:hAnsi="宋体" w:eastAsia="宋体" w:cs="宋体"/>
                <w:sz w:val="21"/>
                <w:szCs w:val="21"/>
                <w:highlight w:val="none"/>
              </w:rPr>
              <w:t>有效期</w:t>
            </w:r>
          </w:p>
        </w:tc>
        <w:tc>
          <w:tcPr>
            <w:tcW w:w="7147"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自响应文件递交截止之日</w:t>
            </w:r>
            <w:r>
              <w:rPr>
                <w:rFonts w:hint="eastAsia" w:ascii="宋体" w:hAnsi="宋体" w:eastAsia="宋体" w:cs="宋体"/>
                <w:sz w:val="21"/>
                <w:szCs w:val="21"/>
                <w:highlight w:val="none"/>
                <w:lang w:val="en-US" w:eastAsia="zh-CN"/>
              </w:rPr>
              <w:t>起90</w:t>
            </w:r>
            <w:r>
              <w:rPr>
                <w:rFonts w:hint="eastAsia" w:ascii="宋体" w:hAnsi="宋体" w:eastAsia="宋体" w:cs="宋体"/>
                <w:sz w:val="21"/>
                <w:szCs w:val="21"/>
                <w:highlight w:val="none"/>
              </w:rPr>
              <w:t>日历</w:t>
            </w:r>
            <w:r>
              <w:rPr>
                <w:rFonts w:hint="eastAsia" w:ascii="宋体" w:hAnsi="宋体" w:eastAsia="宋体" w:cs="宋体"/>
                <w:sz w:val="21"/>
                <w:szCs w:val="21"/>
                <w:highlight w:val="none"/>
                <w:lang w:val="en-US" w:eastAsia="zh-CN"/>
              </w:rPr>
              <w:t>日</w:t>
            </w:r>
            <w:r>
              <w:rPr>
                <w:rFonts w:hint="eastAsia" w:ascii="宋体" w:hAnsi="宋体" w:eastAsia="宋体" w:cs="宋体"/>
                <w:sz w:val="21"/>
                <w:szCs w:val="21"/>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97" w:hRule="atLeast"/>
        </w:trPr>
        <w:tc>
          <w:tcPr>
            <w:tcW w:w="508"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16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 格</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要 求</w:t>
            </w:r>
          </w:p>
        </w:tc>
        <w:tc>
          <w:tcPr>
            <w:tcW w:w="7147" w:type="dxa"/>
          </w:tcPr>
          <w:p>
            <w:pPr>
              <w:snapToGrid w:val="0"/>
              <w:spacing w:line="360" w:lineRule="auto"/>
              <w:ind w:right="2"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符合《中华人民共和国政府采购法》第二十二条规定，并提供以下材料：</w:t>
            </w:r>
          </w:p>
          <w:p>
            <w:pPr>
              <w:numPr>
                <w:ilvl w:val="0"/>
                <w:numId w:val="5"/>
              </w:numPr>
              <w:snapToGrid w:val="0"/>
              <w:spacing w:line="360" w:lineRule="auto"/>
              <w:ind w:left="63" w:leftChars="0" w:firstLine="420" w:firstLineChars="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具有独立承担民事责任能力的法人、其他组织或自然人，并出具合法有效的营业执照或事业单位法人证书等国家规定的相关证明，自然人参与的提供其身份证明；</w:t>
            </w:r>
          </w:p>
          <w:p>
            <w:pPr>
              <w:numPr>
                <w:ilvl w:val="0"/>
                <w:numId w:val="5"/>
              </w:numPr>
              <w:snapToGrid w:val="0"/>
              <w:spacing w:line="360" w:lineRule="auto"/>
              <w:ind w:left="63" w:leftChars="0" w:firstLine="420" w:firstLineChars="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社会保障资金缴纳证明：202</w:t>
            </w:r>
            <w:r>
              <w:rPr>
                <w:rFonts w:hint="eastAsia" w:ascii="宋体" w:hAnsi="宋体" w:cs="宋体"/>
                <w:bCs/>
                <w:kern w:val="0"/>
                <w:sz w:val="21"/>
                <w:szCs w:val="21"/>
                <w:highlight w:val="none"/>
                <w:lang w:val="en-US" w:eastAsia="zh-CN"/>
              </w:rPr>
              <w:t>2</w:t>
            </w:r>
            <w:r>
              <w:rPr>
                <w:rFonts w:hint="eastAsia" w:ascii="宋体" w:hAnsi="宋体" w:eastAsia="宋体" w:cs="宋体"/>
                <w:bCs/>
                <w:kern w:val="0"/>
                <w:sz w:val="21"/>
                <w:szCs w:val="21"/>
                <w:highlight w:val="none"/>
              </w:rPr>
              <w:t>年</w:t>
            </w:r>
            <w:r>
              <w:rPr>
                <w:rFonts w:hint="eastAsia" w:ascii="宋体" w:hAnsi="宋体" w:cs="宋体"/>
                <w:bCs/>
                <w:kern w:val="0"/>
                <w:sz w:val="21"/>
                <w:szCs w:val="21"/>
                <w:highlight w:val="none"/>
                <w:lang w:val="en-US" w:eastAsia="zh-CN"/>
              </w:rPr>
              <w:t>1</w:t>
            </w:r>
            <w:r>
              <w:rPr>
                <w:rFonts w:hint="eastAsia" w:ascii="宋体" w:hAnsi="宋体" w:eastAsia="宋体" w:cs="宋体"/>
                <w:bCs/>
                <w:kern w:val="0"/>
                <w:sz w:val="21"/>
                <w:szCs w:val="21"/>
                <w:highlight w:val="none"/>
              </w:rP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5"/>
              </w:numPr>
              <w:snapToGrid w:val="0"/>
              <w:spacing w:line="360" w:lineRule="auto"/>
              <w:ind w:left="63" w:leftChars="0" w:firstLine="420" w:firstLineChars="0"/>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税收缴纳证明：202</w:t>
            </w:r>
            <w:r>
              <w:rPr>
                <w:rFonts w:hint="eastAsia" w:ascii="宋体" w:hAnsi="宋体" w:cs="宋体"/>
                <w:bCs/>
                <w:kern w:val="0"/>
                <w:sz w:val="21"/>
                <w:szCs w:val="21"/>
                <w:highlight w:val="none"/>
                <w:lang w:val="en-US" w:eastAsia="zh-CN"/>
              </w:rPr>
              <w:t>2</w:t>
            </w:r>
            <w:r>
              <w:rPr>
                <w:rFonts w:hint="eastAsia" w:ascii="宋体" w:hAnsi="宋体" w:eastAsia="宋体" w:cs="宋体"/>
                <w:bCs/>
                <w:kern w:val="0"/>
                <w:sz w:val="21"/>
                <w:szCs w:val="21"/>
                <w:highlight w:val="none"/>
              </w:rPr>
              <w:t>年</w:t>
            </w:r>
            <w:r>
              <w:rPr>
                <w:rFonts w:hint="eastAsia" w:ascii="宋体" w:hAnsi="宋体" w:cs="宋体"/>
                <w:bCs/>
                <w:kern w:val="0"/>
                <w:sz w:val="21"/>
                <w:szCs w:val="21"/>
                <w:highlight w:val="none"/>
                <w:lang w:val="en-US" w:eastAsia="zh-CN"/>
              </w:rPr>
              <w:t>1</w:t>
            </w:r>
            <w:r>
              <w:rPr>
                <w:rFonts w:hint="eastAsia" w:ascii="宋体" w:hAnsi="宋体" w:eastAsia="宋体" w:cs="宋体"/>
                <w:bCs/>
                <w:kern w:val="0"/>
                <w:sz w:val="21"/>
                <w:szCs w:val="21"/>
                <w:highlight w:val="none"/>
              </w:rPr>
              <w:t>月至今已缴纳的至少一个月纳税证明或完税证明，依法免税的单位应提供相关证明材料；</w:t>
            </w:r>
          </w:p>
          <w:p>
            <w:pPr>
              <w:numPr>
                <w:ilvl w:val="0"/>
                <w:numId w:val="5"/>
              </w:numPr>
              <w:snapToGrid w:val="0"/>
              <w:spacing w:line="360" w:lineRule="auto"/>
              <w:ind w:left="63" w:leftChars="0" w:firstLine="420" w:firstLineChars="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财务状况证明：提供经会计师事务所审计的2020年或2021年的财务审计报告或在开标日期前六个月内其基本开户银行出具的资信证明；</w:t>
            </w:r>
          </w:p>
          <w:p>
            <w:pPr>
              <w:numPr>
                <w:ilvl w:val="0"/>
                <w:numId w:val="5"/>
              </w:numPr>
              <w:snapToGrid w:val="0"/>
              <w:spacing w:line="360" w:lineRule="auto"/>
              <w:ind w:left="63" w:leftChars="0" w:firstLine="420" w:firstLineChars="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 xml:space="preserve">非法定代表人参加投标，须提供法定代表人授权委托书及被授权人身份证原件；法定代表人参加投标时,只须提供法定代表人身份证原件；   </w:t>
            </w:r>
          </w:p>
          <w:p>
            <w:pPr>
              <w:numPr>
                <w:ilvl w:val="0"/>
                <w:numId w:val="5"/>
              </w:numPr>
              <w:snapToGrid w:val="0"/>
              <w:spacing w:line="360" w:lineRule="auto"/>
              <w:ind w:left="63" w:leftChars="0" w:firstLine="420" w:firstLineChars="0"/>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供应商应出具参加本次政府采购活动前3年内在经营活动中没有重大违法违纪，以及未被列入失信被执行人、重大税收违法案件当事人名单、政府采购严重违法失信行为记录名单的书面声明；</w:t>
            </w:r>
          </w:p>
          <w:p>
            <w:pPr>
              <w:numPr>
                <w:ilvl w:val="0"/>
                <w:numId w:val="5"/>
              </w:numPr>
              <w:snapToGrid w:val="0"/>
              <w:spacing w:line="360" w:lineRule="auto"/>
              <w:ind w:left="63" w:leftChars="0" w:firstLine="420" w:firstLineChars="0"/>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供应商为经销商应出具医疗器械经营许可证（提供的设备须在其经营范围内）和所投设备的医疗器械注册证复印件加盖公章；制造厂家直接参与投标的应出具医疗器械生产许可证（提供的设备须在其生产范围内）和所投设备医疗器械注册证复印件加盖公章；</w:t>
            </w:r>
          </w:p>
          <w:p>
            <w:pPr>
              <w:numPr>
                <w:ilvl w:val="0"/>
                <w:numId w:val="5"/>
              </w:numPr>
              <w:snapToGrid w:val="0"/>
              <w:spacing w:line="360" w:lineRule="auto"/>
              <w:ind w:left="63" w:leftChars="0" w:firstLine="420" w:firstLineChars="0"/>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供应商须提供投标保证金汇款凭证或担保机构出具的保函；</w:t>
            </w:r>
          </w:p>
          <w:p>
            <w:pPr>
              <w:numPr>
                <w:ilvl w:val="0"/>
                <w:numId w:val="5"/>
              </w:numPr>
              <w:snapToGrid w:val="0"/>
              <w:spacing w:line="360" w:lineRule="auto"/>
              <w:ind w:left="63" w:leftChars="0" w:firstLine="420" w:firstLineChars="0"/>
              <w:jc w:val="left"/>
              <w:rPr>
                <w:rFonts w:hint="eastAsia" w:ascii="宋体" w:hAnsi="宋体" w:eastAsia="宋体" w:cs="宋体"/>
                <w:bCs/>
                <w:sz w:val="21"/>
                <w:szCs w:val="21"/>
                <w:highlight w:val="none"/>
              </w:rPr>
            </w:pPr>
            <w:r>
              <w:rPr>
                <w:rFonts w:hint="eastAsia" w:ascii="宋体" w:hAnsi="宋体" w:eastAsia="宋体" w:cs="宋体"/>
                <w:bCs/>
                <w:kern w:val="0"/>
                <w:sz w:val="21"/>
                <w:szCs w:val="21"/>
                <w:highlight w:val="none"/>
              </w:rPr>
              <w:t>本项目不接受联合</w:t>
            </w:r>
            <w:r>
              <w:rPr>
                <w:rFonts w:hint="eastAsia" w:ascii="宋体" w:hAnsi="宋体" w:eastAsia="宋体" w:cs="宋体"/>
                <w:bCs/>
                <w:sz w:val="21"/>
                <w:szCs w:val="21"/>
                <w:highlight w:val="none"/>
              </w:rPr>
              <w:t>体</w:t>
            </w:r>
            <w:r>
              <w:rPr>
                <w:rFonts w:hint="eastAsia" w:ascii="宋体" w:hAnsi="宋体" w:eastAsia="宋体" w:cs="宋体"/>
                <w:bCs/>
                <w:sz w:val="21"/>
                <w:szCs w:val="21"/>
                <w:highlight w:val="none"/>
                <w:lang w:eastAsia="zh-CN"/>
              </w:rPr>
              <w:t>参与</w:t>
            </w:r>
            <w:r>
              <w:rPr>
                <w:rFonts w:hint="eastAsia" w:ascii="宋体" w:hAnsi="宋体" w:eastAsia="宋体" w:cs="宋体"/>
                <w:bCs/>
                <w:sz w:val="21"/>
                <w:szCs w:val="21"/>
                <w:highlight w:val="none"/>
              </w:rPr>
              <w:t>。</w:t>
            </w:r>
          </w:p>
          <w:p>
            <w:pPr>
              <w:snapToGrid w:val="0"/>
              <w:spacing w:line="360" w:lineRule="auto"/>
              <w:ind w:right="2" w:firstLine="422" w:firstLineChars="20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以上项为资格审查必备资质。评审时，谈判小组根据供应商响应文件中提供上述资格证明文件进行资格审查，未通过资格审查的，其响应文件将按无效响应处理。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71" w:hRule="atLeast"/>
        </w:trPr>
        <w:tc>
          <w:tcPr>
            <w:tcW w:w="508"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163" w:type="dxa"/>
            <w:vAlign w:val="center"/>
          </w:tcPr>
          <w:p>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谈判</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保证金</w:t>
            </w:r>
          </w:p>
        </w:tc>
        <w:tc>
          <w:tcPr>
            <w:tcW w:w="7147" w:type="dxa"/>
          </w:tcPr>
          <w:p>
            <w:pPr>
              <w:spacing w:line="360" w:lineRule="auto"/>
              <w:rPr>
                <w:rFonts w:hint="eastAsia" w:ascii="宋体" w:hAnsi="宋体" w:eastAsia="宋体" w:cs="宋体"/>
                <w:b/>
                <w:bCs/>
                <w:sz w:val="21"/>
                <w:szCs w:val="21"/>
                <w:highlight w:val="none"/>
              </w:rPr>
            </w:pPr>
            <w:r>
              <w:rPr>
                <w:rFonts w:hint="eastAsia" w:ascii="宋体" w:hAnsi="宋体" w:eastAsia="宋体" w:cs="宋体"/>
                <w:color w:val="000000"/>
                <w:sz w:val="21"/>
                <w:szCs w:val="21"/>
                <w:highlight w:val="none"/>
              </w:rPr>
              <w:t>谈判保证金为</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人民币</w:t>
            </w:r>
            <w:r>
              <w:rPr>
                <w:rFonts w:hint="eastAsia" w:ascii="宋体" w:hAnsi="宋体" w:cs="宋体"/>
                <w:b/>
                <w:bCs/>
                <w:sz w:val="21"/>
                <w:szCs w:val="21"/>
                <w:highlight w:val="none"/>
                <w:lang w:val="en-US" w:eastAsia="zh-CN"/>
              </w:rPr>
              <w:t>贰万</w:t>
            </w:r>
            <w:r>
              <w:rPr>
                <w:rFonts w:hint="eastAsia" w:ascii="宋体" w:hAnsi="宋体" w:eastAsia="宋体" w:cs="宋体"/>
                <w:b/>
                <w:bCs/>
                <w:sz w:val="21"/>
                <w:szCs w:val="21"/>
                <w:highlight w:val="none"/>
              </w:rPr>
              <w:t>元整（¥</w:t>
            </w:r>
            <w:r>
              <w:rPr>
                <w:rFonts w:hint="eastAsia" w:ascii="宋体" w:hAnsi="宋体" w:cs="宋体"/>
                <w:b/>
                <w:bCs/>
                <w:sz w:val="21"/>
                <w:szCs w:val="21"/>
                <w:highlight w:val="none"/>
                <w:lang w:val="en-US" w:eastAsia="zh-CN"/>
              </w:rPr>
              <w:t>20</w:t>
            </w:r>
            <w:r>
              <w:rPr>
                <w:rFonts w:hint="eastAsia" w:ascii="宋体" w:hAnsi="宋体" w:eastAsia="宋体" w:cs="宋体"/>
                <w:b/>
                <w:bCs/>
                <w:sz w:val="21"/>
                <w:szCs w:val="21"/>
                <w:highlight w:val="none"/>
                <w:lang w:val="en-US" w:eastAsia="zh-CN"/>
              </w:rPr>
              <w:t>000.00</w:t>
            </w:r>
            <w:r>
              <w:rPr>
                <w:rFonts w:hint="eastAsia" w:ascii="宋体" w:hAnsi="宋体" w:eastAsia="宋体" w:cs="宋体"/>
                <w:b/>
                <w:bCs/>
                <w:sz w:val="21"/>
                <w:szCs w:val="21"/>
                <w:highlight w:val="none"/>
              </w:rPr>
              <w:t>元）</w:t>
            </w:r>
          </w:p>
          <w:p>
            <w:pPr>
              <w:spacing w:line="360" w:lineRule="auto"/>
              <w:ind w:firstLine="420" w:firstLineChars="200"/>
              <w:jc w:val="left"/>
              <w:rPr>
                <w:rFonts w:hint="eastAsia" w:ascii="宋体" w:hAnsi="宋体" w:eastAsia="宋体" w:cs="宋体"/>
                <w:b/>
                <w:bCs/>
                <w:sz w:val="21"/>
                <w:szCs w:val="21"/>
                <w:highlight w:val="none"/>
              </w:rPr>
            </w:pPr>
            <w:r>
              <w:rPr>
                <w:rFonts w:hint="eastAsia" w:ascii="宋体" w:hAnsi="宋体" w:eastAsia="宋体" w:cs="宋体"/>
                <w:sz w:val="21"/>
                <w:szCs w:val="21"/>
                <w:highlight w:val="none"/>
              </w:rPr>
              <w:t>采用银行转账、支票、汇票、本票或者金融机构、担保机构出具的保函等非现金形式交纳，谈判保证金交纳截止时间为谈判文件递交截止时间前（以到账时间为准），</w:t>
            </w:r>
            <w:r>
              <w:rPr>
                <w:rFonts w:hint="eastAsia" w:ascii="宋体" w:hAnsi="宋体" w:eastAsia="宋体" w:cs="宋体"/>
                <w:b/>
                <w:bCs/>
                <w:sz w:val="21"/>
                <w:szCs w:val="21"/>
                <w:highlight w:val="none"/>
              </w:rPr>
              <w:t>且应在开标前致电代理机构财务部门确认保证金到账情况，须在响应文件中附保证金汇款凭证（复印件加盖公章）（注：谈判保证金以</w:t>
            </w:r>
            <w:r>
              <w:rPr>
                <w:rFonts w:hint="eastAsia" w:ascii="宋体" w:hAnsi="宋体" w:eastAsia="宋体" w:cs="宋体"/>
                <w:b/>
                <w:bCs/>
                <w:sz w:val="21"/>
                <w:szCs w:val="21"/>
                <w:highlight w:val="none"/>
                <w:lang w:eastAsia="zh-CN"/>
              </w:rPr>
              <w:t>供应商</w:t>
            </w:r>
            <w:r>
              <w:rPr>
                <w:rFonts w:hint="eastAsia" w:ascii="宋体" w:hAnsi="宋体" w:eastAsia="宋体" w:cs="宋体"/>
                <w:b/>
                <w:bCs/>
                <w:sz w:val="21"/>
                <w:szCs w:val="21"/>
                <w:highlight w:val="none"/>
              </w:rPr>
              <w:t>名称汇款，不允许以个人名义交纳）。</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户      名：陕西万泽招标有限公司</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开户行名称：西安银行朝阳门支行</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账      号：211011580000015489</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咨询电话：苏老师 029-88319689-808</w:t>
            </w:r>
          </w:p>
          <w:p>
            <w:pPr>
              <w:spacing w:line="360" w:lineRule="auto"/>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转账事由：</w:t>
            </w:r>
            <w:r>
              <w:rPr>
                <w:rFonts w:hint="eastAsia" w:ascii="宋体" w:hAnsi="宋体" w:cs="宋体"/>
                <w:b/>
                <w:bCs/>
                <w:sz w:val="21"/>
                <w:szCs w:val="21"/>
                <w:highlight w:val="none"/>
                <w:lang w:val="en-US" w:eastAsia="zh-CN"/>
              </w:rPr>
              <w:t>SZFY</w:t>
            </w:r>
            <w:r>
              <w:rPr>
                <w:rFonts w:hint="eastAsia" w:ascii="宋体" w:hAnsi="宋体" w:eastAsia="宋体" w:cs="宋体"/>
                <w:b/>
                <w:bCs/>
                <w:sz w:val="21"/>
                <w:szCs w:val="21"/>
                <w:highlight w:val="none"/>
              </w:rPr>
              <w:t>-</w:t>
            </w:r>
            <w:r>
              <w:rPr>
                <w:rFonts w:hint="eastAsia" w:ascii="宋体" w:hAnsi="宋体" w:cs="宋体"/>
                <w:b/>
                <w:bCs/>
                <w:sz w:val="21"/>
                <w:szCs w:val="21"/>
                <w:highlight w:val="none"/>
                <w:lang w:val="en-US" w:eastAsia="zh-CN"/>
              </w:rPr>
              <w:t>055</w:t>
            </w:r>
            <w:r>
              <w:rPr>
                <w:rFonts w:hint="eastAsia" w:ascii="宋体" w:hAnsi="宋体" w:eastAsia="宋体" w:cs="宋体"/>
                <w:b/>
                <w:bCs/>
                <w:sz w:val="21"/>
                <w:szCs w:val="21"/>
                <w:highlight w:val="none"/>
              </w:rPr>
              <w:t>谈判保证金。（按照要求填写转账事由）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86" w:hRule="atLeast"/>
        </w:trPr>
        <w:tc>
          <w:tcPr>
            <w:tcW w:w="508"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16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谈判</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文件</w:t>
            </w:r>
          </w:p>
        </w:tc>
        <w:tc>
          <w:tcPr>
            <w:tcW w:w="7147"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谈判响应文件</w:t>
            </w:r>
            <w:r>
              <w:rPr>
                <w:rFonts w:hint="eastAsia" w:ascii="宋体" w:hAnsi="宋体" w:eastAsia="宋体" w:cs="宋体"/>
                <w:b/>
                <w:bCs/>
                <w:sz w:val="21"/>
                <w:szCs w:val="21"/>
                <w:highlight w:val="none"/>
              </w:rPr>
              <w:t>正本壹份、副本叁份</w:t>
            </w:r>
            <w:r>
              <w:rPr>
                <w:rFonts w:hint="eastAsia" w:ascii="宋体" w:hAnsi="宋体" w:eastAsia="宋体" w:cs="宋体"/>
                <w:sz w:val="21"/>
                <w:szCs w:val="21"/>
                <w:highlight w:val="none"/>
              </w:rPr>
              <w:t>，分别胶装装订成册，且封面须清楚地标明“正本”或“副本”；若正本和副本不符，以正本书面文件为准；同时提供与正本内容一致的</w:t>
            </w:r>
            <w:r>
              <w:rPr>
                <w:rFonts w:hint="eastAsia" w:ascii="宋体" w:hAnsi="宋体" w:eastAsia="宋体" w:cs="宋体"/>
                <w:b/>
                <w:bCs/>
                <w:sz w:val="21"/>
                <w:szCs w:val="21"/>
                <w:highlight w:val="none"/>
              </w:rPr>
              <w:t>电子版</w:t>
            </w:r>
            <w:r>
              <w:rPr>
                <w:rFonts w:hint="eastAsia" w:ascii="宋体" w:hAnsi="宋体" w:eastAsia="宋体" w:cs="宋体"/>
                <w:sz w:val="21"/>
                <w:szCs w:val="21"/>
                <w:highlight w:val="none"/>
              </w:rPr>
              <w:t>（U盘、</w:t>
            </w:r>
            <w:r>
              <w:rPr>
                <w:rFonts w:hint="eastAsia" w:ascii="宋体" w:hAnsi="宋体" w:eastAsia="宋体" w:cs="宋体"/>
                <w:b/>
                <w:bCs/>
                <w:sz w:val="21"/>
                <w:szCs w:val="21"/>
                <w:highlight w:val="none"/>
              </w:rPr>
              <w:t>电子文档应为PDF与WORD格式各一份</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响应一览表壹份（</w:t>
            </w:r>
            <w:r>
              <w:rPr>
                <w:rFonts w:hint="eastAsia" w:ascii="宋体" w:hAnsi="宋体" w:eastAsia="宋体" w:cs="宋体"/>
                <w:sz w:val="21"/>
                <w:szCs w:val="21"/>
                <w:highlight w:val="none"/>
              </w:rPr>
              <w:t>单独提交的“响应一览表”应为原件</w:t>
            </w:r>
            <w:r>
              <w:rPr>
                <w:rFonts w:hint="eastAsia" w:ascii="宋体" w:hAnsi="宋体" w:eastAsia="宋体" w:cs="宋体"/>
                <w:b/>
                <w:bCs/>
                <w:sz w:val="21"/>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66" w:hRule="atLeast"/>
        </w:trPr>
        <w:tc>
          <w:tcPr>
            <w:tcW w:w="508"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16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rPr>
              <w:t>响应</w:t>
            </w:r>
          </w:p>
          <w:p>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文件的签署</w:t>
            </w:r>
          </w:p>
        </w:tc>
        <w:tc>
          <w:tcPr>
            <w:tcW w:w="7147" w:type="dxa"/>
            <w:vAlign w:val="center"/>
          </w:tcPr>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1、供应商在</w:t>
            </w: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rPr>
              <w:t>响应文件中指定的页面的落款处，按</w:t>
            </w:r>
            <w:r>
              <w:rPr>
                <w:rFonts w:hint="eastAsia" w:ascii="宋体" w:hAnsi="宋体" w:eastAsia="宋体" w:cs="宋体"/>
                <w:sz w:val="21"/>
                <w:szCs w:val="21"/>
                <w:highlight w:val="none"/>
                <w:lang w:val="en-US" w:eastAsia="zh-CN"/>
              </w:rPr>
              <w:t>单一来源</w:t>
            </w:r>
            <w:r>
              <w:rPr>
                <w:rFonts w:hint="eastAsia" w:ascii="宋体" w:hAnsi="宋体" w:eastAsia="宋体" w:cs="宋体"/>
                <w:sz w:val="21"/>
                <w:szCs w:val="21"/>
                <w:highlight w:val="none"/>
              </w:rPr>
              <w:t>文件要求由供应商的法定代表人或其授权代表在规定的签章处签字或盖章。</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2、供应商应按照</w:t>
            </w:r>
            <w:r>
              <w:rPr>
                <w:rFonts w:hint="eastAsia" w:ascii="宋体" w:hAnsi="宋体" w:eastAsia="宋体" w:cs="宋体"/>
                <w:sz w:val="21"/>
                <w:szCs w:val="21"/>
                <w:highlight w:val="none"/>
                <w:lang w:val="en-US" w:eastAsia="zh-CN"/>
              </w:rPr>
              <w:t>单一来源</w:t>
            </w:r>
            <w:r>
              <w:rPr>
                <w:rFonts w:hint="eastAsia" w:ascii="宋体" w:hAnsi="宋体" w:eastAsia="宋体" w:cs="宋体"/>
                <w:sz w:val="21"/>
                <w:szCs w:val="21"/>
                <w:highlight w:val="none"/>
              </w:rPr>
              <w:t>文件要求，在每一份</w:t>
            </w: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rPr>
              <w:t>响应文件的正本和副本封面下方以及其他</w:t>
            </w:r>
            <w:r>
              <w:rPr>
                <w:rFonts w:hint="eastAsia" w:ascii="宋体" w:hAnsi="宋体" w:eastAsia="宋体" w:cs="宋体"/>
                <w:sz w:val="21"/>
                <w:szCs w:val="21"/>
                <w:highlight w:val="none"/>
                <w:lang w:val="en-US" w:eastAsia="zh-CN"/>
              </w:rPr>
              <w:t>单一来源</w:t>
            </w:r>
            <w:r>
              <w:rPr>
                <w:rFonts w:hint="eastAsia" w:ascii="宋体" w:hAnsi="宋体" w:eastAsia="宋体" w:cs="宋体"/>
                <w:sz w:val="21"/>
                <w:szCs w:val="21"/>
                <w:highlight w:val="none"/>
              </w:rPr>
              <w:t>文件要求的位置填写供应商全称并加盖公章。</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rPr>
              <w:t>响应文件应字迹清楚、内容齐全、不得涂改或增删。如有修改和增删，必须有供应商公章及法定代表人或其授权代表签字。</w:t>
            </w:r>
          </w:p>
          <w:p>
            <w:pPr>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4、因</w:t>
            </w: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rPr>
              <w:t>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8" w:hRule="atLeast"/>
        </w:trPr>
        <w:tc>
          <w:tcPr>
            <w:tcW w:w="508"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p>
        </w:tc>
        <w:tc>
          <w:tcPr>
            <w:tcW w:w="116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包装密封</w:t>
            </w:r>
          </w:p>
        </w:tc>
        <w:tc>
          <w:tcPr>
            <w:tcW w:w="7147" w:type="dxa"/>
            <w:vAlign w:val="center"/>
          </w:tcPr>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谈判响应文件正本、所有的副本、电子版、</w:t>
            </w:r>
            <w:r>
              <w:rPr>
                <w:rFonts w:hint="eastAsia" w:ascii="宋体" w:hAnsi="宋体" w:eastAsia="宋体" w:cs="宋体"/>
                <w:sz w:val="21"/>
                <w:szCs w:val="21"/>
                <w:highlight w:val="none"/>
                <w:lang w:eastAsia="zh-CN"/>
              </w:rPr>
              <w:t>响应一览表</w:t>
            </w:r>
            <w:r>
              <w:rPr>
                <w:rFonts w:hint="eastAsia" w:ascii="宋体" w:hAnsi="宋体" w:eastAsia="宋体" w:cs="宋体"/>
                <w:sz w:val="21"/>
                <w:szCs w:val="21"/>
                <w:highlight w:val="none"/>
              </w:rPr>
              <w:t>需分开密封装在单独的封袋中（封袋不得有破损），且在封袋正面标明“正本”“副本”“电子版”“磋商一览表”字样。封袋应密封，并在封线处加盖供应商鲜章，封袋正面要粘贴供应商全称、项目名称、编号等标识、且谈判响应文件袋上应加盖供应商公章（封面标识见谈判文件附件一）如果未按上述规定进行密封，供应商的谈判响应文件有权被拒绝。</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如果供应商未按上述要求密封及加写标记，误投或过早启封的谈判响应文件，将自行承担其谈判响应文件被视为无效谈判响应文件的风险。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08" w:type="dxa"/>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p>
        </w:tc>
        <w:tc>
          <w:tcPr>
            <w:tcW w:w="1163"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评审办法</w:t>
            </w:r>
          </w:p>
        </w:tc>
        <w:tc>
          <w:tcPr>
            <w:tcW w:w="7147" w:type="dxa"/>
            <w:vAlign w:val="center"/>
          </w:tcPr>
          <w:p>
            <w:pPr>
              <w:spacing w:line="360" w:lineRule="auto"/>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比照最低价法。本次</w:t>
            </w:r>
            <w:r>
              <w:rPr>
                <w:rFonts w:hint="eastAsia" w:ascii="宋体" w:hAnsi="宋体" w:eastAsia="宋体" w:cs="宋体"/>
                <w:b/>
                <w:bCs/>
                <w:color w:val="000000"/>
                <w:sz w:val="21"/>
                <w:szCs w:val="21"/>
                <w:highlight w:val="none"/>
                <w:lang w:eastAsia="zh-CN"/>
              </w:rPr>
              <w:t>采购</w:t>
            </w:r>
            <w:r>
              <w:rPr>
                <w:rFonts w:hint="eastAsia" w:ascii="宋体" w:hAnsi="宋体" w:eastAsia="宋体" w:cs="宋体"/>
                <w:b/>
                <w:bCs/>
                <w:color w:val="000000"/>
                <w:sz w:val="21"/>
                <w:szCs w:val="21"/>
                <w:highlight w:val="none"/>
              </w:rPr>
              <w:t>遵循&lt;&lt;政府采购法&gt;&gt;</w:t>
            </w:r>
            <w:r>
              <w:rPr>
                <w:rFonts w:hint="eastAsia" w:ascii="宋体" w:hAnsi="宋体" w:eastAsia="宋体" w:cs="宋体"/>
                <w:b/>
                <w:bCs/>
                <w:color w:val="000000"/>
                <w:sz w:val="21"/>
                <w:szCs w:val="21"/>
                <w:highlight w:val="none"/>
                <w:lang w:eastAsia="zh-CN"/>
              </w:rPr>
              <w:t>第三十九</w:t>
            </w:r>
            <w:r>
              <w:rPr>
                <w:rFonts w:hint="eastAsia" w:ascii="宋体" w:hAnsi="宋体" w:eastAsia="宋体" w:cs="宋体"/>
                <w:b/>
                <w:bCs/>
                <w:color w:val="000000"/>
                <w:sz w:val="21"/>
                <w:szCs w:val="21"/>
                <w:highlight w:val="none"/>
              </w:rPr>
              <w:t>规定的原则，在保证采购项目质量和双方商定合理价格的基础上进行采购。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08"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163" w:type="dxa"/>
            <w:vAlign w:val="center"/>
          </w:tcPr>
          <w:p>
            <w:pPr>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支持中小企业发展</w:t>
            </w:r>
          </w:p>
        </w:tc>
        <w:tc>
          <w:tcPr>
            <w:tcW w:w="7147" w:type="dxa"/>
            <w:vAlign w:val="center"/>
          </w:tcPr>
          <w:p>
            <w:pPr>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非专门面向中小企业采购项目(价格扣除)：</w:t>
            </w:r>
          </w:p>
          <w:p>
            <w:pPr>
              <w:spacing w:line="360" w:lineRule="auto"/>
              <w:ind w:firstLine="420" w:firstLineChars="2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对小型和微型企业的价格给予6%～10%的扣除，用扣除后的价格参与评审。本项目的扣除比例为：小型企业扣除6%，微型企业扣除6%。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08"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163" w:type="dxa"/>
            <w:vAlign w:val="center"/>
          </w:tcPr>
          <w:p>
            <w:pPr>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其他法律法规强制性规定或扶持政策</w:t>
            </w:r>
          </w:p>
        </w:tc>
        <w:tc>
          <w:tcPr>
            <w:tcW w:w="7147" w:type="dxa"/>
            <w:vAlign w:val="center"/>
          </w:tcPr>
          <w:p>
            <w:pPr>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残疾人福利性单位可视同小微企业在价格评审时给予6%～10%的扣除，用扣除后的价格参与评审。</w:t>
            </w:r>
          </w:p>
          <w:p>
            <w:pPr>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本项目的扣除比例为：扣除6%；但应满足下列条件：</w:t>
            </w:r>
          </w:p>
          <w:p>
            <w:pPr>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1、残疾人福利性单位应符合《财政部、民政部、中国残疾人联合会关于促进残疾人就业政府采购政策的通知》（财库[2017]141号）文件规定，并提供《残疾人福利性单位声明函》。</w:t>
            </w:r>
          </w:p>
          <w:p>
            <w:pPr>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2、残疾人福利性单位属于小型、微型企业的，不重复享受政策。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08"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116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履约</w:t>
            </w:r>
          </w:p>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保证金</w:t>
            </w:r>
          </w:p>
        </w:tc>
        <w:tc>
          <w:tcPr>
            <w:tcW w:w="7147"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08"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1163" w:type="dxa"/>
            <w:vAlign w:val="center"/>
          </w:tcPr>
          <w:p>
            <w:pPr>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招标代理服务费</w:t>
            </w:r>
          </w:p>
        </w:tc>
        <w:tc>
          <w:tcPr>
            <w:tcW w:w="7147" w:type="dxa"/>
            <w:vAlign w:val="center"/>
          </w:tcPr>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采购代理服务费按以下标准计取：</w:t>
            </w:r>
          </w:p>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采购代理机构参照国家计委关于印发《招标代理服务收费管理暂行办法》的通知（计价格〔2002〕1980号）、《国家发展和改革委员会办公厅关于招标代理服务收费有关问题的通知》（发改办价格〔2003〕857号）规定</w:t>
            </w:r>
            <w:r>
              <w:rPr>
                <w:rFonts w:hint="eastAsia" w:ascii="宋体" w:hAnsi="宋体" w:eastAsia="宋体" w:cs="宋体"/>
                <w:kern w:val="0"/>
                <w:sz w:val="21"/>
                <w:szCs w:val="21"/>
                <w:highlight w:val="none"/>
                <w:lang w:eastAsia="zh-CN"/>
              </w:rPr>
              <w:t>下浮</w:t>
            </w:r>
            <w:r>
              <w:rPr>
                <w:rFonts w:hint="eastAsia" w:ascii="宋体" w:hAnsi="宋体" w:eastAsia="宋体" w:cs="宋体"/>
                <w:kern w:val="0"/>
                <w:sz w:val="21"/>
                <w:szCs w:val="21"/>
                <w:highlight w:val="none"/>
                <w:lang w:val="en-US" w:eastAsia="zh-CN"/>
              </w:rPr>
              <w:t>20%</w:t>
            </w:r>
            <w:r>
              <w:rPr>
                <w:rFonts w:hint="eastAsia" w:ascii="宋体" w:hAnsi="宋体" w:eastAsia="宋体" w:cs="宋体"/>
                <w:kern w:val="0"/>
                <w:sz w:val="21"/>
                <w:szCs w:val="21"/>
                <w:highlight w:val="none"/>
              </w:rPr>
              <w:t>向中标（成交）供应商收取代理服务费。</w:t>
            </w:r>
          </w:p>
          <w:p>
            <w:pPr>
              <w:spacing w:line="360" w:lineRule="auto"/>
              <w:ind w:firstLine="420" w:firstLineChars="2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2、支付方式：中标人应在领取通知书的同时，向陕西万泽招标有限公司交纳本项目招标代理服务费。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08"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1163" w:type="dxa"/>
            <w:vAlign w:val="center"/>
          </w:tcPr>
          <w:p>
            <w:pPr>
              <w:pStyle w:val="13"/>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供应商信用查询</w:t>
            </w:r>
          </w:p>
        </w:tc>
        <w:tc>
          <w:tcPr>
            <w:tcW w:w="7147" w:type="dxa"/>
            <w:vAlign w:val="center"/>
          </w:tcPr>
          <w:p>
            <w:pPr>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1、“信用中国”（www.creditchina.gov.cn）和“中国政府采购”（ccgp.gov.cn）为供应商信用信息查询渠道。</w:t>
            </w:r>
          </w:p>
          <w:p>
            <w:pPr>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2、供应商自行查询上述记录，最终以开标现场查询结果为准。</w:t>
            </w:r>
          </w:p>
          <w:p>
            <w:pPr>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3、如果供应商在开标截止时间前已列入失信被执行人、重大税收违法案件当事人名单、政府采购严重违法失信行为记录名单，其响应无效。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08"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1163" w:type="dxa"/>
            <w:vAlign w:val="center"/>
          </w:tcPr>
          <w:p>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政府采购信用融资</w:t>
            </w:r>
          </w:p>
        </w:tc>
        <w:tc>
          <w:tcPr>
            <w:tcW w:w="7147" w:type="dxa"/>
            <w:vAlign w:val="center"/>
          </w:tcPr>
          <w:p>
            <w:pPr>
              <w:spacing w:line="360" w:lineRule="auto"/>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陕西省政府采购信用担保及信用融资政策：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t>
            </w:r>
            <w:r>
              <w:rPr>
                <w:rFonts w:hint="eastAsia" w:ascii="宋体" w:hAnsi="宋体" w:eastAsia="宋体" w:cs="宋体"/>
                <w:kern w:val="0"/>
                <w:sz w:val="21"/>
                <w:szCs w:val="21"/>
                <w:highlight w:val="none"/>
                <w:lang w:val="en-US" w:eastAsia="zh-CN"/>
              </w:rPr>
              <w:drawing>
                <wp:inline distT="0" distB="0" distL="114300" distR="114300">
                  <wp:extent cx="190500" cy="142875"/>
                  <wp:effectExtent l="0" t="0" r="0" b="952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5"/>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kern w:val="0"/>
                <w:sz w:val="21"/>
                <w:szCs w:val="21"/>
                <w:highlight w:val="none"/>
                <w:lang w:val="en-US" w:eastAsia="zh-CN"/>
              </w:rPr>
              <w:t>www.ccgp-shaanxi.gov.cn/)重要通知专栏中查询了解。</w:t>
            </w:r>
          </w:p>
        </w:tc>
      </w:tr>
    </w:tbl>
    <w:p>
      <w:pPr>
        <w:pStyle w:val="3"/>
        <w:keepLines w:val="0"/>
        <w:ind w:firstLine="643" w:firstLineChars="200"/>
        <w:rPr>
          <w:rFonts w:hint="eastAsia" w:ascii="宋体" w:hAnsi="宋体" w:eastAsia="宋体" w:cs="宋体"/>
          <w:highlight w:val="none"/>
        </w:rPr>
      </w:pPr>
      <w:bookmarkStart w:id="6" w:name="_Toc19272"/>
      <w:bookmarkStart w:id="7" w:name="_Toc25348"/>
      <w:r>
        <w:rPr>
          <w:rFonts w:hint="eastAsia" w:ascii="宋体" w:hAnsi="宋体" w:eastAsia="宋体" w:cs="宋体"/>
          <w:highlight w:val="none"/>
        </w:rPr>
        <w:t>第三部分 供应商须知</w:t>
      </w:r>
      <w:bookmarkEnd w:id="6"/>
      <w:bookmarkEnd w:id="7"/>
    </w:p>
    <w:p>
      <w:pPr>
        <w:widowControl/>
        <w:numPr>
          <w:ilvl w:val="0"/>
          <w:numId w:val="6"/>
        </w:numPr>
        <w:spacing w:line="360" w:lineRule="auto"/>
        <w:ind w:firstLine="643" w:firstLineChars="200"/>
        <w:jc w:val="center"/>
        <w:outlineLvl w:val="1"/>
        <w:rPr>
          <w:rFonts w:hint="eastAsia" w:ascii="宋体" w:hAnsi="宋体" w:eastAsia="宋体" w:cs="宋体"/>
          <w:b/>
          <w:bCs/>
          <w:kern w:val="0"/>
          <w:sz w:val="32"/>
          <w:szCs w:val="28"/>
          <w:highlight w:val="none"/>
        </w:rPr>
      </w:pPr>
      <w:bookmarkStart w:id="8" w:name="_Toc29790"/>
      <w:bookmarkStart w:id="9" w:name="_Toc26739"/>
      <w:r>
        <w:rPr>
          <w:rFonts w:hint="eastAsia" w:ascii="宋体" w:hAnsi="宋体" w:eastAsia="宋体" w:cs="宋体"/>
          <w:b/>
          <w:bCs/>
          <w:kern w:val="0"/>
          <w:sz w:val="32"/>
          <w:szCs w:val="28"/>
          <w:highlight w:val="none"/>
        </w:rPr>
        <w:t>总则</w:t>
      </w:r>
      <w:bookmarkEnd w:id="8"/>
      <w:bookmarkEnd w:id="9"/>
    </w:p>
    <w:p>
      <w:pPr>
        <w:pStyle w:val="5"/>
        <w:numPr>
          <w:ilvl w:val="0"/>
          <w:numId w:val="7"/>
        </w:numPr>
        <w:rPr>
          <w:rFonts w:hint="eastAsia" w:ascii="宋体" w:hAnsi="宋体" w:eastAsia="宋体" w:cs="宋体"/>
          <w:highlight w:val="none"/>
        </w:rPr>
      </w:pPr>
      <w:bookmarkStart w:id="10" w:name="_Toc9257"/>
      <w:bookmarkStart w:id="11" w:name="_Toc380336725"/>
      <w:bookmarkStart w:id="12" w:name="_Toc358364319"/>
      <w:bookmarkStart w:id="13" w:name="_Toc6742"/>
      <w:r>
        <w:rPr>
          <w:rFonts w:hint="eastAsia" w:ascii="宋体" w:hAnsi="宋体" w:eastAsia="宋体" w:cs="宋体"/>
          <w:highlight w:val="none"/>
        </w:rPr>
        <w:t>适用范围</w:t>
      </w:r>
      <w:bookmarkEnd w:id="10"/>
      <w:bookmarkEnd w:id="11"/>
      <w:bookmarkEnd w:id="12"/>
      <w:bookmarkEnd w:id="13"/>
    </w:p>
    <w:p>
      <w:pPr>
        <w:widowControl/>
        <w:spacing w:line="500" w:lineRule="exact"/>
        <w:ind w:firstLine="420" w:firstLineChars="175"/>
        <w:rPr>
          <w:rFonts w:hint="eastAsia" w:ascii="宋体" w:hAnsi="宋体" w:eastAsia="宋体" w:cs="宋体"/>
          <w:kern w:val="0"/>
          <w:szCs w:val="24"/>
          <w:highlight w:val="none"/>
        </w:rPr>
      </w:pPr>
      <w:r>
        <w:rPr>
          <w:rFonts w:hint="eastAsia" w:ascii="宋体" w:hAnsi="宋体" w:eastAsia="宋体" w:cs="宋体"/>
          <w:kern w:val="0"/>
          <w:szCs w:val="24"/>
          <w:highlight w:val="none"/>
        </w:rPr>
        <w:t>1.1 本谈判文件适用于本次采购活动的全过程。</w:t>
      </w:r>
    </w:p>
    <w:p>
      <w:pPr>
        <w:widowControl/>
        <w:spacing w:line="500" w:lineRule="exact"/>
        <w:ind w:firstLine="420" w:firstLineChars="175"/>
        <w:rPr>
          <w:rFonts w:hint="eastAsia" w:ascii="宋体" w:hAnsi="宋体" w:eastAsia="宋体" w:cs="宋体"/>
          <w:kern w:val="0"/>
          <w:szCs w:val="24"/>
          <w:highlight w:val="none"/>
        </w:rPr>
      </w:pPr>
      <w:r>
        <w:rPr>
          <w:rFonts w:hint="eastAsia" w:ascii="宋体" w:hAnsi="宋体" w:eastAsia="宋体" w:cs="宋体"/>
          <w:kern w:val="0"/>
          <w:szCs w:val="24"/>
          <w:highlight w:val="none"/>
        </w:rPr>
        <w:t>1.2 本次采购属政府采购，采购人、采购代理机构、供应商、谈判小组的相关行为均受《中华人民共和国政府采购法》及实施条例、财政部规章及政府采购项目所在地有关法规</w:t>
      </w:r>
      <w:r>
        <w:rPr>
          <w:rFonts w:hint="eastAsia" w:ascii="宋体" w:hAnsi="宋体" w:eastAsia="宋体" w:cs="宋体"/>
          <w:color w:val="000000" w:themeColor="text1"/>
          <w:kern w:val="0"/>
          <w:szCs w:val="24"/>
          <w:highlight w:val="none"/>
          <w14:textFill>
            <w14:solidFill>
              <w14:schemeClr w14:val="tx1"/>
            </w14:solidFill>
          </w14:textFill>
        </w:rPr>
        <w:t>、规章</w:t>
      </w:r>
      <w:r>
        <w:rPr>
          <w:rFonts w:hint="eastAsia" w:ascii="宋体" w:hAnsi="宋体" w:eastAsia="宋体" w:cs="宋体"/>
          <w:kern w:val="0"/>
          <w:szCs w:val="24"/>
          <w:highlight w:val="none"/>
        </w:rPr>
        <w:t>的约束，其权利受到上述法律法规的保护。</w:t>
      </w:r>
    </w:p>
    <w:p>
      <w:pPr>
        <w:pStyle w:val="5"/>
        <w:numPr>
          <w:ilvl w:val="0"/>
          <w:numId w:val="7"/>
        </w:numPr>
        <w:rPr>
          <w:rFonts w:hint="eastAsia" w:ascii="宋体" w:hAnsi="宋体" w:eastAsia="宋体" w:cs="宋体"/>
          <w:highlight w:val="none"/>
        </w:rPr>
      </w:pPr>
      <w:bookmarkStart w:id="14" w:name="_Toc358364320"/>
      <w:bookmarkStart w:id="15" w:name="_Toc7922"/>
      <w:bookmarkStart w:id="16" w:name="_Toc380336726"/>
      <w:bookmarkStart w:id="17" w:name="_Toc11287"/>
      <w:r>
        <w:rPr>
          <w:rFonts w:hint="eastAsia" w:ascii="宋体" w:hAnsi="宋体" w:eastAsia="宋体" w:cs="宋体"/>
          <w:highlight w:val="none"/>
        </w:rPr>
        <w:t>定义</w:t>
      </w:r>
      <w:bookmarkEnd w:id="14"/>
      <w:bookmarkEnd w:id="15"/>
      <w:bookmarkEnd w:id="16"/>
      <w:bookmarkEnd w:id="17"/>
      <w:r>
        <w:rPr>
          <w:rFonts w:hint="eastAsia" w:ascii="宋体" w:hAnsi="宋体" w:eastAsia="宋体" w:cs="宋体"/>
          <w:highlight w:val="none"/>
        </w:rPr>
        <w:t xml:space="preserve"> </w:t>
      </w:r>
    </w:p>
    <w:p>
      <w:pPr>
        <w:widowControl/>
        <w:spacing w:line="5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2.1 “采购人”是指依法进行政府采购的国家机关、事业单位、团体组织。本次政府采购的采购人名称、地址、电话见供应商须知前附表。</w:t>
      </w:r>
    </w:p>
    <w:p>
      <w:pPr>
        <w:widowControl/>
        <w:spacing w:line="5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2.2 “采购代理机构”是指接受采购人委托，代理采购项目的集中采购机构和其他采购代理机构。本次采购代理机构名称、地址、电话见供应商须知前附表。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2.3 “供应商”是</w:t>
      </w:r>
      <w:r>
        <w:rPr>
          <w:rFonts w:hint="eastAsia" w:ascii="宋体" w:hAnsi="宋体" w:eastAsia="宋体" w:cs="宋体"/>
          <w:szCs w:val="24"/>
          <w:highlight w:val="none"/>
        </w:rPr>
        <w:t>参与本项目谈判活动的</w:t>
      </w:r>
      <w:r>
        <w:rPr>
          <w:rFonts w:hint="eastAsia" w:ascii="宋体" w:hAnsi="宋体" w:eastAsia="宋体" w:cs="宋体"/>
          <w:color w:val="000000"/>
          <w:szCs w:val="24"/>
          <w:highlight w:val="none"/>
        </w:rPr>
        <w:t>法人、其他组织或自然人</w:t>
      </w:r>
      <w:r>
        <w:rPr>
          <w:rFonts w:hint="eastAsia" w:ascii="宋体" w:hAnsi="宋体" w:eastAsia="宋体" w:cs="宋体"/>
          <w:kern w:val="0"/>
          <w:szCs w:val="24"/>
          <w:highlight w:val="none"/>
        </w:rPr>
        <w:t>。</w:t>
      </w:r>
    </w:p>
    <w:p>
      <w:pPr>
        <w:widowControl/>
        <w:spacing w:line="5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2.4 “货物” 是指各种形态和种类的物品，包括原材料、燃料、产品、产品等。按照财政部《政府采购进口产品管理办法》（财库[2007]119号）的有关规定，本谈判文件涉及的所有采购内容除特别标注为“可接受进口产品”外，均必须采购国产产品。进口产品特指“通过中国海关报关验放进入中国境内且产自关境外的产品”。</w:t>
      </w:r>
    </w:p>
    <w:p>
      <w:pPr>
        <w:widowControl/>
        <w:spacing w:line="5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2.5 “服务”指除了货物和工程外的其他政府采购对象。包含除货物以外规定由供应商承担的与货物有关的辅助服务。</w:t>
      </w:r>
    </w:p>
    <w:p>
      <w:pPr>
        <w:pStyle w:val="5"/>
        <w:numPr>
          <w:ilvl w:val="0"/>
          <w:numId w:val="7"/>
        </w:numPr>
        <w:rPr>
          <w:rFonts w:hint="eastAsia" w:ascii="宋体" w:hAnsi="宋体" w:eastAsia="宋体" w:cs="宋体"/>
          <w:highlight w:val="none"/>
        </w:rPr>
      </w:pPr>
      <w:bookmarkStart w:id="18" w:name="_Toc358364321"/>
      <w:bookmarkStart w:id="19" w:name="_Toc17676"/>
      <w:bookmarkStart w:id="20" w:name="_Toc380336727"/>
      <w:bookmarkStart w:id="21" w:name="_Toc23781"/>
      <w:r>
        <w:rPr>
          <w:rFonts w:hint="eastAsia" w:ascii="宋体" w:hAnsi="宋体" w:eastAsia="宋体" w:cs="宋体"/>
          <w:highlight w:val="none"/>
        </w:rPr>
        <w:t>合格的</w:t>
      </w:r>
      <w:bookmarkEnd w:id="18"/>
      <w:bookmarkEnd w:id="19"/>
      <w:bookmarkEnd w:id="20"/>
      <w:bookmarkEnd w:id="21"/>
      <w:r>
        <w:rPr>
          <w:rFonts w:hint="eastAsia" w:ascii="宋体" w:hAnsi="宋体" w:eastAsia="宋体" w:cs="宋体"/>
          <w:highlight w:val="none"/>
        </w:rPr>
        <w:t>供应商</w:t>
      </w:r>
    </w:p>
    <w:p>
      <w:pPr>
        <w:tabs>
          <w:tab w:val="left" w:pos="0"/>
        </w:tabs>
        <w:spacing w:line="500" w:lineRule="exact"/>
        <w:ind w:left="6" w:firstLine="499" w:firstLineChars="208"/>
        <w:jc w:val="left"/>
        <w:rPr>
          <w:rFonts w:hint="eastAsia" w:ascii="宋体" w:hAnsi="宋体" w:eastAsia="宋体" w:cs="宋体"/>
          <w:szCs w:val="24"/>
          <w:highlight w:val="none"/>
        </w:rPr>
      </w:pPr>
      <w:r>
        <w:rPr>
          <w:rFonts w:hint="eastAsia" w:ascii="宋体" w:hAnsi="宋体" w:eastAsia="宋体" w:cs="宋体"/>
          <w:szCs w:val="24"/>
          <w:highlight w:val="none"/>
        </w:rPr>
        <w:t>3.1具有本项目生产、制造、加工、供应或实施能力，符合、承认并承诺履行本谈判文件各项规定的国内供应商。</w:t>
      </w:r>
    </w:p>
    <w:p>
      <w:pPr>
        <w:tabs>
          <w:tab w:val="left" w:pos="0"/>
        </w:tabs>
        <w:spacing w:line="500" w:lineRule="exact"/>
        <w:ind w:left="6" w:firstLine="499" w:firstLineChars="208"/>
        <w:jc w:val="left"/>
        <w:rPr>
          <w:rFonts w:hint="eastAsia" w:ascii="宋体" w:hAnsi="宋体" w:eastAsia="宋体" w:cs="宋体"/>
          <w:szCs w:val="24"/>
          <w:highlight w:val="none"/>
        </w:rPr>
      </w:pPr>
      <w:r>
        <w:rPr>
          <w:rFonts w:hint="eastAsia" w:ascii="宋体" w:hAnsi="宋体" w:eastAsia="宋体" w:cs="宋体"/>
          <w:szCs w:val="24"/>
          <w:highlight w:val="none"/>
        </w:rPr>
        <w:t>3.2供应商应遵守有关的国家法律、法规和条例，具备《中华人民共和国政府采购法》和本文件中规定的条件：</w:t>
      </w:r>
    </w:p>
    <w:p>
      <w:pPr>
        <w:numPr>
          <w:ilvl w:val="0"/>
          <w:numId w:val="8"/>
        </w:numPr>
        <w:spacing w:line="500" w:lineRule="exact"/>
        <w:ind w:left="6"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具有独立承担民事责任的能力；</w:t>
      </w:r>
    </w:p>
    <w:p>
      <w:pPr>
        <w:numPr>
          <w:ilvl w:val="0"/>
          <w:numId w:val="8"/>
        </w:numPr>
        <w:spacing w:line="500" w:lineRule="exact"/>
        <w:ind w:left="6"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具有良好的商业信誉和健全的财务会计制度；</w:t>
      </w:r>
    </w:p>
    <w:p>
      <w:pPr>
        <w:numPr>
          <w:ilvl w:val="0"/>
          <w:numId w:val="8"/>
        </w:numPr>
        <w:spacing w:line="500" w:lineRule="exact"/>
        <w:ind w:left="6"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具有履行合同所必需的产品和专业技术能力；</w:t>
      </w:r>
    </w:p>
    <w:p>
      <w:pPr>
        <w:numPr>
          <w:ilvl w:val="0"/>
          <w:numId w:val="8"/>
        </w:numPr>
        <w:spacing w:line="500" w:lineRule="exact"/>
        <w:ind w:left="6"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具有依法缴纳税收和社会保障资金的良好记录；</w:t>
      </w:r>
    </w:p>
    <w:p>
      <w:pPr>
        <w:numPr>
          <w:ilvl w:val="0"/>
          <w:numId w:val="8"/>
        </w:numPr>
        <w:spacing w:line="500" w:lineRule="exact"/>
        <w:ind w:left="6"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参加此项采购活动前三年内，在经营活动中没有重大违法记录；</w:t>
      </w:r>
    </w:p>
    <w:p>
      <w:pPr>
        <w:numPr>
          <w:ilvl w:val="0"/>
          <w:numId w:val="8"/>
        </w:numPr>
        <w:spacing w:line="500" w:lineRule="exact"/>
        <w:ind w:left="6"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法律、行政法规规定的其他条件。</w:t>
      </w:r>
    </w:p>
    <w:p>
      <w:pPr>
        <w:tabs>
          <w:tab w:val="left" w:pos="0"/>
        </w:tabs>
        <w:spacing w:line="500" w:lineRule="exact"/>
        <w:ind w:left="6" w:firstLine="499" w:firstLineChars="208"/>
        <w:rPr>
          <w:rFonts w:hint="eastAsia" w:ascii="宋体" w:hAnsi="宋体" w:eastAsia="宋体" w:cs="宋体"/>
          <w:szCs w:val="24"/>
          <w:highlight w:val="none"/>
        </w:rPr>
      </w:pPr>
      <w:r>
        <w:rPr>
          <w:rFonts w:hint="eastAsia" w:ascii="宋体" w:hAnsi="宋体" w:eastAsia="宋体" w:cs="宋体"/>
          <w:szCs w:val="24"/>
          <w:highlight w:val="none"/>
        </w:rPr>
        <w:t>3.3供应商购买谈判文件时应登记备案，并提供有效联系方式。</w:t>
      </w:r>
    </w:p>
    <w:p>
      <w:pPr>
        <w:tabs>
          <w:tab w:val="left" w:pos="0"/>
        </w:tabs>
        <w:spacing w:line="500" w:lineRule="exact"/>
        <w:ind w:left="5" w:firstLine="518" w:firstLineChars="216"/>
        <w:rPr>
          <w:rFonts w:hint="eastAsia" w:ascii="宋体" w:hAnsi="宋体" w:eastAsia="宋体" w:cs="宋体"/>
          <w:szCs w:val="24"/>
          <w:highlight w:val="none"/>
        </w:rPr>
      </w:pPr>
      <w:r>
        <w:rPr>
          <w:rFonts w:hint="eastAsia" w:ascii="宋体" w:hAnsi="宋体" w:eastAsia="宋体" w:cs="宋体"/>
          <w:szCs w:val="24"/>
          <w:highlight w:val="none"/>
        </w:rPr>
        <w:t>3.4如供应商代表不是法定代表人，须持有《法定代表人授权委托书》 (按谈判文件提供的格式填写)。</w:t>
      </w:r>
    </w:p>
    <w:p>
      <w:pPr>
        <w:tabs>
          <w:tab w:val="left" w:pos="0"/>
        </w:tabs>
        <w:spacing w:line="500" w:lineRule="exact"/>
        <w:ind w:left="5" w:firstLine="518" w:firstLineChars="216"/>
        <w:rPr>
          <w:rFonts w:hint="eastAsia" w:ascii="宋体" w:hAnsi="宋体" w:eastAsia="宋体" w:cs="宋体"/>
          <w:kern w:val="0"/>
          <w:szCs w:val="24"/>
          <w:highlight w:val="none"/>
        </w:rPr>
      </w:pPr>
      <w:r>
        <w:rPr>
          <w:rFonts w:hint="eastAsia" w:ascii="宋体" w:hAnsi="宋体" w:eastAsia="宋体" w:cs="宋体"/>
          <w:szCs w:val="24"/>
          <w:highlight w:val="none"/>
        </w:rPr>
        <w:t>3.5供应商应独立于采购人，不得直接或间接地与采购人为采购本次招标的货物进行设计、编制技术规格和其它文件所委托的咨询公司或其附属机构有任何关联。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5" w:firstLine="518" w:firstLineChars="216"/>
        <w:rPr>
          <w:rFonts w:hint="eastAsia" w:ascii="宋体" w:hAnsi="宋体" w:eastAsia="宋体" w:cs="宋体"/>
          <w:kern w:val="0"/>
          <w:szCs w:val="24"/>
          <w:highlight w:val="none"/>
        </w:rPr>
      </w:pPr>
      <w:r>
        <w:rPr>
          <w:rFonts w:hint="eastAsia" w:ascii="宋体" w:hAnsi="宋体" w:eastAsia="宋体" w:cs="宋体"/>
          <w:kern w:val="0"/>
          <w:szCs w:val="24"/>
          <w:highlight w:val="none"/>
        </w:rPr>
        <w:t>3.6供应商不得存在下列情形之一：</w:t>
      </w:r>
    </w:p>
    <w:p>
      <w:pPr>
        <w:tabs>
          <w:tab w:val="left" w:pos="0"/>
        </w:tabs>
        <w:spacing w:line="500" w:lineRule="exact"/>
        <w:ind w:left="6"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（1）与采购人或采购代理机构存在隶属关系或者其他利害关系；</w:t>
      </w:r>
    </w:p>
    <w:p>
      <w:pPr>
        <w:tabs>
          <w:tab w:val="left" w:pos="0"/>
        </w:tabs>
        <w:spacing w:line="500" w:lineRule="exact"/>
        <w:ind w:left="6"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（2）与其他供应商的法定代表人（或者负责人）为同一人，或者与其他供应商存在直接控股、管理关系；</w:t>
      </w:r>
    </w:p>
    <w:p>
      <w:pPr>
        <w:tabs>
          <w:tab w:val="left" w:pos="0"/>
        </w:tabs>
        <w:spacing w:line="500" w:lineRule="exact"/>
        <w:ind w:left="6"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3）受到刑事处罚，或者受到三万元以上罚款，责令停产停业、在一年至三年内禁止参加政府采购活动、暂扣或吊销许可证、暂扣或吊销执照等情形之一的行政处罚，或者存在财政部门认定的其他重大违法记录。</w:t>
      </w:r>
    </w:p>
    <w:p>
      <w:pPr>
        <w:tabs>
          <w:tab w:val="left" w:pos="0"/>
        </w:tabs>
        <w:spacing w:line="500" w:lineRule="exact"/>
        <w:ind w:left="6"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（4）</w:t>
      </w:r>
      <w:bookmarkStart w:id="22" w:name="_Toc358364322"/>
      <w:bookmarkStart w:id="23" w:name="_Toc380336728"/>
      <w:bookmarkStart w:id="24" w:name="_Toc540"/>
      <w:bookmarkStart w:id="25" w:name="_Toc22444"/>
      <w:r>
        <w:rPr>
          <w:rFonts w:hint="eastAsia" w:ascii="宋体" w:hAnsi="宋体" w:eastAsia="宋体" w:cs="宋体"/>
          <w:kern w:val="0"/>
          <w:szCs w:val="24"/>
          <w:highlight w:val="none"/>
        </w:rPr>
        <w:t>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7"/>
        </w:numPr>
        <w:rPr>
          <w:rFonts w:hint="eastAsia" w:ascii="宋体" w:hAnsi="宋体" w:eastAsia="宋体" w:cs="宋体"/>
          <w:highlight w:val="none"/>
        </w:rPr>
      </w:pPr>
      <w:r>
        <w:rPr>
          <w:rFonts w:hint="eastAsia" w:ascii="宋体" w:hAnsi="宋体" w:eastAsia="宋体" w:cs="宋体"/>
          <w:highlight w:val="none"/>
        </w:rPr>
        <w:t>费用</w:t>
      </w:r>
      <w:bookmarkEnd w:id="22"/>
      <w:bookmarkEnd w:id="23"/>
      <w:bookmarkEnd w:id="24"/>
      <w:bookmarkEnd w:id="25"/>
    </w:p>
    <w:p>
      <w:pPr>
        <w:widowControl/>
        <w:wordWrap w:val="0"/>
        <w:snapToGrid w:val="0"/>
        <w:spacing w:line="360" w:lineRule="auto"/>
        <w:ind w:right="-106" w:rightChars="-44" w:firstLine="480" w:firstLineChars="200"/>
        <w:jc w:val="left"/>
        <w:rPr>
          <w:rFonts w:hint="eastAsia" w:ascii="宋体" w:hAnsi="宋体" w:eastAsia="宋体" w:cs="宋体"/>
          <w:kern w:val="0"/>
          <w:szCs w:val="24"/>
          <w:highlight w:val="none"/>
          <w:lang w:eastAsia="zh-CN"/>
        </w:rPr>
      </w:pPr>
      <w:r>
        <w:rPr>
          <w:rFonts w:hint="eastAsia" w:ascii="宋体" w:hAnsi="宋体" w:eastAsia="宋体" w:cs="宋体"/>
          <w:szCs w:val="24"/>
          <w:highlight w:val="none"/>
        </w:rPr>
        <w:t>供应商</w:t>
      </w:r>
      <w:r>
        <w:rPr>
          <w:rFonts w:hint="eastAsia" w:ascii="宋体" w:hAnsi="宋体" w:eastAsia="宋体" w:cs="宋体"/>
          <w:kern w:val="0"/>
          <w:szCs w:val="24"/>
          <w:highlight w:val="none"/>
        </w:rPr>
        <w:t>应承担所有与准备和参加投标有关的费用，采购代理机构（或采购人)在任何情况下均无义务和责任承担这些费用。</w:t>
      </w:r>
    </w:p>
    <w:p>
      <w:pPr>
        <w:widowControl/>
        <w:wordWrap w:val="0"/>
        <w:snapToGrid w:val="0"/>
        <w:spacing w:line="360" w:lineRule="auto"/>
        <w:ind w:right="-106" w:rightChars="-44" w:firstLine="480" w:firstLineChars="200"/>
        <w:jc w:val="left"/>
        <w:rPr>
          <w:rFonts w:hint="eastAsia" w:ascii="宋体" w:hAnsi="宋体" w:eastAsia="宋体" w:cs="宋体"/>
          <w:highlight w:val="none"/>
        </w:rPr>
      </w:pPr>
      <w:r>
        <w:rPr>
          <w:rFonts w:hint="eastAsia" w:ascii="宋体" w:hAnsi="宋体" w:cs="宋体"/>
          <w:kern w:val="0"/>
          <w:szCs w:val="24"/>
          <w:highlight w:val="none"/>
          <w:lang w:val="en-US" w:eastAsia="zh-CN"/>
        </w:rPr>
        <w:t xml:space="preserve">    </w:t>
      </w:r>
      <w:r>
        <w:rPr>
          <w:rFonts w:hint="eastAsia" w:ascii="宋体" w:hAnsi="宋体" w:eastAsia="宋体" w:cs="宋体"/>
          <w:b/>
          <w:kern w:val="2"/>
          <w:sz w:val="28"/>
          <w:szCs w:val="22"/>
          <w:highlight w:val="none"/>
          <w:lang w:val="en-US" w:eastAsia="zh-CN" w:bidi="ar-SA"/>
        </w:rPr>
        <w:t>5</w:t>
      </w:r>
      <w:r>
        <w:rPr>
          <w:rFonts w:hint="eastAsia" w:ascii="宋体" w:hAnsi="宋体" w:cs="宋体"/>
          <w:b/>
          <w:kern w:val="2"/>
          <w:sz w:val="28"/>
          <w:szCs w:val="22"/>
          <w:highlight w:val="none"/>
          <w:lang w:val="en-US" w:eastAsia="zh-CN" w:bidi="ar-SA"/>
        </w:rPr>
        <w:t>、</w:t>
      </w:r>
      <w:r>
        <w:rPr>
          <w:rFonts w:hint="eastAsia" w:ascii="宋体" w:hAnsi="宋体" w:eastAsia="宋体" w:cs="宋体"/>
          <w:b/>
          <w:kern w:val="2"/>
          <w:sz w:val="28"/>
          <w:szCs w:val="22"/>
          <w:highlight w:val="none"/>
          <w:lang w:val="en-US" w:eastAsia="zh-CN" w:bidi="ar-SA"/>
        </w:rPr>
        <w:t>政府采购政策支持</w:t>
      </w:r>
    </w:p>
    <w:p>
      <w:pPr>
        <w:widowControl/>
        <w:wordWrap w:val="0"/>
        <w:snapToGrid w:val="0"/>
        <w:spacing w:line="360" w:lineRule="auto"/>
        <w:ind w:right="-106" w:rightChars="-44" w:firstLine="480" w:firstLineChars="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 xml:space="preserve">.1对列入财政部、国家发改委发布的《节能产品品目清单》且属于应当“强制采购的节能产品”，按照规定实行强制采购。 </w:t>
      </w:r>
    </w:p>
    <w:p>
      <w:pPr>
        <w:widowControl/>
        <w:wordWrap w:val="0"/>
        <w:snapToGrid w:val="0"/>
        <w:spacing w:line="360" w:lineRule="auto"/>
        <w:ind w:right="-106" w:rightChars="-44" w:firstLine="480" w:firstLineChars="200"/>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2对列入财政部、国家发展改革委员会发布的《节能产品品目清单》的“非强制采购节能产品”，财政部、环境保护部发布的《环境标志产品品目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103" w:rightChars="-43" w:firstLine="480" w:firstLineChars="200"/>
        <w:jc w:val="left"/>
        <w:rPr>
          <w:rFonts w:hint="eastAsia" w:ascii="宋体" w:hAnsi="宋体" w:eastAsia="宋体" w:cs="宋体"/>
          <w:color w:val="000000"/>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 xml:space="preserve">.3产品同时属于“非强制采购节能产品”、环境标志产品的，评审时只有其中一项能享受优先待遇（投标人自行选择，并在报价文件中填写相关信息及数据）。    </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.4供应商有融资、担保需求的，具体办理流程按照财政厅及相关政策执行。</w:t>
      </w:r>
    </w:p>
    <w:p>
      <w:pPr>
        <w:widowControl/>
        <w:wordWrap w:val="0"/>
        <w:snapToGrid w:val="0"/>
        <w:spacing w:line="360" w:lineRule="auto"/>
        <w:ind w:right="-106" w:rightChars="-44" w:firstLine="480" w:firstLineChars="200"/>
        <w:jc w:val="left"/>
        <w:rPr>
          <w:rFonts w:hint="eastAsia" w:ascii="宋体" w:hAnsi="宋体" w:eastAsia="宋体" w:cs="宋体"/>
          <w:color w:val="0000FF"/>
          <w:kern w:val="0"/>
          <w:szCs w:val="24"/>
          <w:highlight w:val="none"/>
        </w:rPr>
      </w:pPr>
      <w:r>
        <w:rPr>
          <w:rFonts w:hint="eastAsia" w:ascii="宋体" w:hAnsi="宋体" w:eastAsia="宋体" w:cs="宋体"/>
          <w:kern w:val="0"/>
          <w:szCs w:val="24"/>
          <w:highlight w:val="none"/>
        </w:rPr>
        <w:t xml:space="preserve">    </w:t>
      </w:r>
    </w:p>
    <w:p>
      <w:pPr>
        <w:widowControl/>
        <w:wordWrap w:val="0"/>
        <w:snapToGrid w:val="0"/>
        <w:spacing w:line="360" w:lineRule="auto"/>
        <w:ind w:right="-106" w:rightChars="-44" w:firstLine="480" w:firstLineChars="200"/>
        <w:jc w:val="left"/>
        <w:rPr>
          <w:rFonts w:hint="eastAsia" w:ascii="宋体" w:hAnsi="宋体" w:eastAsia="宋体" w:cs="宋体"/>
          <w:kern w:val="0"/>
          <w:szCs w:val="24"/>
          <w:highlight w:val="none"/>
        </w:rPr>
      </w:pPr>
    </w:p>
    <w:p>
      <w:pPr>
        <w:widowControl/>
        <w:wordWrap w:val="0"/>
        <w:snapToGrid w:val="0"/>
        <w:spacing w:line="360" w:lineRule="auto"/>
        <w:ind w:right="-103" w:rightChars="-43" w:firstLine="480" w:firstLineChars="200"/>
        <w:jc w:val="left"/>
        <w:rPr>
          <w:rFonts w:hint="eastAsia" w:ascii="宋体" w:hAnsi="宋体" w:eastAsia="宋体" w:cs="宋体"/>
          <w:kern w:val="0"/>
          <w:szCs w:val="24"/>
          <w:highlight w:val="none"/>
        </w:rPr>
      </w:pPr>
    </w:p>
    <w:p>
      <w:pPr>
        <w:widowControl/>
        <w:spacing w:line="360" w:lineRule="auto"/>
        <w:ind w:firstLine="480" w:firstLineChars="200"/>
        <w:rPr>
          <w:rFonts w:hint="eastAsia" w:ascii="宋体" w:hAnsi="宋体" w:eastAsia="宋体" w:cs="宋体"/>
          <w:szCs w:val="24"/>
          <w:highlight w:val="none"/>
        </w:rPr>
      </w:pPr>
    </w:p>
    <w:p>
      <w:pPr>
        <w:widowControl/>
        <w:numPr>
          <w:ilvl w:val="0"/>
          <w:numId w:val="6"/>
        </w:numPr>
        <w:spacing w:line="360" w:lineRule="auto"/>
        <w:ind w:firstLine="643" w:firstLineChars="200"/>
        <w:jc w:val="center"/>
        <w:outlineLvl w:val="1"/>
        <w:rPr>
          <w:rFonts w:hint="eastAsia" w:ascii="宋体" w:hAnsi="宋体" w:eastAsia="宋体" w:cs="宋体"/>
          <w:b/>
          <w:bCs/>
          <w:kern w:val="0"/>
          <w:sz w:val="32"/>
          <w:szCs w:val="28"/>
          <w:highlight w:val="none"/>
        </w:rPr>
        <w:sectPr>
          <w:footerReference r:id="rId8" w:type="default"/>
          <w:pgSz w:w="11906" w:h="16838"/>
          <w:pgMar w:top="1440" w:right="1706" w:bottom="1440" w:left="1800" w:header="851" w:footer="992" w:gutter="0"/>
          <w:pgNumType w:fmt="decimal"/>
          <w:cols w:space="720" w:num="1"/>
          <w:docGrid w:type="lines" w:linePitch="312" w:charSpace="0"/>
        </w:sectPr>
      </w:pPr>
    </w:p>
    <w:p>
      <w:pPr>
        <w:widowControl/>
        <w:numPr>
          <w:ilvl w:val="0"/>
          <w:numId w:val="6"/>
        </w:numPr>
        <w:spacing w:line="360" w:lineRule="auto"/>
        <w:ind w:firstLine="643" w:firstLineChars="200"/>
        <w:jc w:val="center"/>
        <w:outlineLvl w:val="1"/>
        <w:rPr>
          <w:rFonts w:hint="eastAsia" w:ascii="宋体" w:hAnsi="宋体" w:eastAsia="宋体" w:cs="宋体"/>
          <w:b/>
          <w:bCs/>
          <w:kern w:val="0"/>
          <w:sz w:val="32"/>
          <w:szCs w:val="28"/>
          <w:highlight w:val="none"/>
        </w:rPr>
      </w:pPr>
      <w:bookmarkStart w:id="26" w:name="_Toc13278"/>
      <w:r>
        <w:rPr>
          <w:rFonts w:hint="eastAsia" w:ascii="宋体" w:hAnsi="宋体" w:eastAsia="宋体" w:cs="宋体"/>
          <w:b/>
          <w:bCs/>
          <w:kern w:val="0"/>
          <w:sz w:val="32"/>
          <w:szCs w:val="28"/>
          <w:highlight w:val="none"/>
          <w:lang w:eastAsia="zh-CN"/>
        </w:rPr>
        <w:t>单一来源采购文件</w:t>
      </w:r>
      <w:bookmarkEnd w:id="26"/>
    </w:p>
    <w:p>
      <w:pPr>
        <w:pStyle w:val="5"/>
        <w:numPr>
          <w:ilvl w:val="0"/>
          <w:numId w:val="9"/>
        </w:numPr>
        <w:rPr>
          <w:rFonts w:hint="eastAsia" w:ascii="宋体" w:hAnsi="宋体" w:eastAsia="宋体" w:cs="宋体"/>
          <w:highlight w:val="none"/>
        </w:rPr>
      </w:pPr>
      <w:bookmarkStart w:id="27" w:name="_Toc5801"/>
      <w:r>
        <w:rPr>
          <w:rFonts w:hint="eastAsia" w:ascii="宋体" w:hAnsi="宋体" w:eastAsia="宋体" w:cs="宋体"/>
          <w:highlight w:val="none"/>
          <w:lang w:eastAsia="zh-CN"/>
        </w:rPr>
        <w:t>单一来源采购文件</w:t>
      </w:r>
      <w:r>
        <w:rPr>
          <w:rFonts w:hint="eastAsia" w:ascii="宋体" w:hAnsi="宋体" w:eastAsia="宋体" w:cs="宋体"/>
          <w:highlight w:val="none"/>
        </w:rPr>
        <w:t>的构成</w:t>
      </w:r>
      <w:bookmarkEnd w:id="27"/>
    </w:p>
    <w:p>
      <w:pPr>
        <w:tabs>
          <w:tab w:val="left" w:pos="0"/>
        </w:tabs>
        <w:adjustRightInd w:val="0"/>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highlight w:val="none"/>
        </w:rPr>
        <w:t>谈判文件</w:t>
      </w:r>
      <w:r>
        <w:rPr>
          <w:rFonts w:hint="eastAsia" w:ascii="宋体" w:hAnsi="宋体" w:eastAsia="宋体" w:cs="宋体"/>
          <w:szCs w:val="24"/>
          <w:highlight w:val="none"/>
        </w:rPr>
        <w:t>是供应商准备谈判响应文件和参加谈判的依据，同时也是评审的重要依据，具有准法律文件性质。谈判文件用以阐明采购项目所需的资质、技术、</w:t>
      </w:r>
      <w:r>
        <w:rPr>
          <w:rFonts w:hint="eastAsia" w:ascii="宋体" w:hAnsi="宋体" w:eastAsia="宋体" w:cs="宋体"/>
          <w:szCs w:val="24"/>
          <w:highlight w:val="none"/>
          <w:lang w:eastAsia="zh-CN"/>
        </w:rPr>
        <w:t>货物</w:t>
      </w:r>
      <w:r>
        <w:rPr>
          <w:rFonts w:hint="eastAsia" w:ascii="宋体" w:hAnsi="宋体" w:eastAsia="宋体" w:cs="宋体"/>
          <w:szCs w:val="24"/>
          <w:highlight w:val="none"/>
        </w:rPr>
        <w:t>及报价等要求、谈判程序、有关规定和注意事项以及合同主要条款等。本谈判文件包括以下内容：</w:t>
      </w:r>
    </w:p>
    <w:p>
      <w:pPr>
        <w:numPr>
          <w:ilvl w:val="0"/>
          <w:numId w:val="10"/>
        </w:numPr>
        <w:tabs>
          <w:tab w:val="left" w:pos="0"/>
        </w:tabs>
        <w:adjustRightInd w:val="0"/>
        <w:snapToGrid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单一来源邀请函；</w:t>
      </w:r>
    </w:p>
    <w:p>
      <w:pPr>
        <w:numPr>
          <w:ilvl w:val="0"/>
          <w:numId w:val="10"/>
        </w:numPr>
        <w:tabs>
          <w:tab w:val="left" w:pos="0"/>
        </w:tabs>
        <w:adjustRightInd w:val="0"/>
        <w:snapToGrid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供应商须知前附表；</w:t>
      </w:r>
    </w:p>
    <w:p>
      <w:pPr>
        <w:numPr>
          <w:ilvl w:val="0"/>
          <w:numId w:val="10"/>
        </w:numPr>
        <w:tabs>
          <w:tab w:val="left" w:pos="0"/>
        </w:tabs>
        <w:adjustRightInd w:val="0"/>
        <w:snapToGrid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 xml:space="preserve">供应商须知； </w:t>
      </w:r>
    </w:p>
    <w:p>
      <w:pPr>
        <w:numPr>
          <w:ilvl w:val="0"/>
          <w:numId w:val="10"/>
        </w:numPr>
        <w:tabs>
          <w:tab w:val="left" w:pos="0"/>
        </w:tabs>
        <w:adjustRightInd w:val="0"/>
        <w:snapToGrid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评审办法；</w:t>
      </w:r>
    </w:p>
    <w:p>
      <w:pPr>
        <w:numPr>
          <w:ilvl w:val="0"/>
          <w:numId w:val="10"/>
        </w:numPr>
        <w:tabs>
          <w:tab w:val="left" w:pos="0"/>
        </w:tabs>
        <w:adjustRightInd w:val="0"/>
        <w:snapToGrid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采购</w:t>
      </w:r>
      <w:r>
        <w:rPr>
          <w:rFonts w:hint="eastAsia" w:ascii="宋体" w:hAnsi="宋体" w:eastAsia="宋体" w:cs="宋体"/>
          <w:szCs w:val="24"/>
          <w:highlight w:val="none"/>
          <w:lang w:eastAsia="zh-CN"/>
        </w:rPr>
        <w:t>要求</w:t>
      </w:r>
      <w:r>
        <w:rPr>
          <w:rFonts w:hint="eastAsia" w:ascii="宋体" w:hAnsi="宋体" w:eastAsia="宋体" w:cs="宋体"/>
          <w:szCs w:val="24"/>
          <w:highlight w:val="none"/>
        </w:rPr>
        <w:t>；</w:t>
      </w:r>
    </w:p>
    <w:p>
      <w:pPr>
        <w:numPr>
          <w:ilvl w:val="0"/>
          <w:numId w:val="10"/>
        </w:numPr>
        <w:tabs>
          <w:tab w:val="left" w:pos="0"/>
        </w:tabs>
        <w:adjustRightInd w:val="0"/>
        <w:snapToGrid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合同主要条款；</w:t>
      </w:r>
    </w:p>
    <w:p>
      <w:pPr>
        <w:numPr>
          <w:ilvl w:val="0"/>
          <w:numId w:val="10"/>
        </w:numPr>
        <w:tabs>
          <w:tab w:val="left" w:pos="0"/>
        </w:tabs>
        <w:adjustRightInd w:val="0"/>
        <w:snapToGrid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谈判响应文件格式。</w:t>
      </w:r>
    </w:p>
    <w:p>
      <w:pPr>
        <w:tabs>
          <w:tab w:val="left" w:pos="0"/>
        </w:tabs>
        <w:adjustRightInd w:val="0"/>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highlight w:val="none"/>
        </w:rPr>
        <w:t>供应商应认真阅读和充分理解谈判文件中所有的事项、格式条款和规范要求。供应商没有对谈判文件全面做出实质性响应是供应商的风险。没有按照谈判文件要求作出实质性响应的谈判响应文件将被拒绝。</w:t>
      </w:r>
    </w:p>
    <w:p>
      <w:pPr>
        <w:pStyle w:val="5"/>
        <w:numPr>
          <w:ilvl w:val="0"/>
          <w:numId w:val="9"/>
        </w:numPr>
        <w:rPr>
          <w:rFonts w:hint="eastAsia" w:ascii="宋体" w:hAnsi="宋体" w:eastAsia="宋体" w:cs="宋体"/>
          <w:highlight w:val="none"/>
        </w:rPr>
      </w:pPr>
      <w:bookmarkStart w:id="28" w:name="_Toc19797"/>
      <w:r>
        <w:rPr>
          <w:rFonts w:hint="eastAsia" w:ascii="宋体" w:hAnsi="宋体" w:eastAsia="宋体" w:cs="宋体"/>
          <w:highlight w:val="none"/>
        </w:rPr>
        <w:t>谈判文件的澄清</w:t>
      </w:r>
      <w:bookmarkEnd w:id="28"/>
    </w:p>
    <w:p>
      <w:pPr>
        <w:adjustRightInd w:val="0"/>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 供应商应认真阅读和充分理解谈判文件中所有的事项，如有问题或疑议请及时函告。否则，视为同意谈判文件的一切条款和要求并承担由此引起的一切法律责任。凡因供应商对谈判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任何对谈判文件进行询问或要求进行澄清的供应商，均应在收到谈判文件后二日内按谈判文件中的通讯地址以书面形式递交代理机构，采购人或代理机构对收到的任何询问或澄清要求将在三个工作日内作出书面答复。</w:t>
      </w:r>
    </w:p>
    <w:p>
      <w:pPr>
        <w:pStyle w:val="5"/>
        <w:numPr>
          <w:ilvl w:val="0"/>
          <w:numId w:val="9"/>
        </w:numPr>
        <w:rPr>
          <w:rFonts w:hint="eastAsia" w:ascii="宋体" w:hAnsi="宋体" w:eastAsia="宋体" w:cs="宋体"/>
          <w:highlight w:val="none"/>
        </w:rPr>
      </w:pPr>
      <w:bookmarkStart w:id="29" w:name="_Toc6390"/>
      <w:r>
        <w:rPr>
          <w:rFonts w:hint="eastAsia" w:ascii="宋体" w:hAnsi="宋体" w:eastAsia="宋体" w:cs="宋体"/>
          <w:highlight w:val="none"/>
        </w:rPr>
        <w:t>谈判文件的修改</w:t>
      </w:r>
      <w:bookmarkEnd w:id="29"/>
    </w:p>
    <w:p>
      <w:pPr>
        <w:tabs>
          <w:tab w:val="left" w:pos="0"/>
        </w:tabs>
        <w:adjustRightInd w:val="0"/>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 在谈判截止时间三日前，无论出于何种原因，代理机构可主动地或在解答供应商提出的澄清问题时，对谈判文件进行修改。谈判文件的澄清和修改将以书面形式通知所有供应商，并作为谈判文件的补充，与其具有同等法律效力。</w:t>
      </w:r>
    </w:p>
    <w:p>
      <w:pPr>
        <w:tabs>
          <w:tab w:val="left" w:pos="0"/>
        </w:tabs>
        <w:adjustRightInd w:val="0"/>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3.2 为方便供应商对谈判文件修改或澄清内容有充分的时间进行补充修改，代理机构可适当延长谈判截止时间和谈判时间，在谈判文件要求提交谈判响应文件的截止期三日前，将变更时间书面通知所有购买谈判文件的供应商。</w:t>
      </w:r>
    </w:p>
    <w:p>
      <w:pPr>
        <w:pStyle w:val="5"/>
        <w:numPr>
          <w:ilvl w:val="0"/>
          <w:numId w:val="9"/>
        </w:numPr>
        <w:rPr>
          <w:rFonts w:hint="eastAsia" w:ascii="宋体" w:hAnsi="宋体" w:eastAsia="宋体" w:cs="宋体"/>
          <w:highlight w:val="none"/>
        </w:rPr>
      </w:pPr>
      <w:bookmarkStart w:id="30" w:name="_Toc31188"/>
      <w:r>
        <w:rPr>
          <w:rFonts w:hint="eastAsia" w:ascii="宋体" w:hAnsi="宋体" w:eastAsia="宋体" w:cs="宋体"/>
          <w:highlight w:val="none"/>
        </w:rPr>
        <w:t>谈判文件的获取</w:t>
      </w:r>
      <w:bookmarkEnd w:id="30"/>
    </w:p>
    <w:p>
      <w:pPr>
        <w:widowControl/>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供应商必须从代理机构购买谈判文件，供应商自行转让或复制谈判文件视为无效。谈判文件一经售出，一律不退，仅作为本次竞争性谈判使用。</w:t>
      </w:r>
    </w:p>
    <w:p>
      <w:pPr>
        <w:pStyle w:val="5"/>
        <w:numPr>
          <w:ilvl w:val="0"/>
          <w:numId w:val="9"/>
        </w:numPr>
        <w:rPr>
          <w:rFonts w:hint="eastAsia" w:ascii="宋体" w:hAnsi="宋体" w:eastAsia="宋体" w:cs="宋体"/>
          <w:highlight w:val="none"/>
        </w:rPr>
      </w:pPr>
      <w:bookmarkStart w:id="31" w:name="_Toc5095"/>
      <w:r>
        <w:rPr>
          <w:rFonts w:hint="eastAsia" w:ascii="宋体" w:hAnsi="宋体" w:eastAsia="宋体" w:cs="宋体"/>
          <w:highlight w:val="none"/>
        </w:rPr>
        <w:t>谈判文件的解释权归代理机构。</w:t>
      </w:r>
      <w:bookmarkEnd w:id="31"/>
    </w:p>
    <w:p>
      <w:pPr>
        <w:widowControl/>
        <w:numPr>
          <w:ilvl w:val="0"/>
          <w:numId w:val="6"/>
        </w:numPr>
        <w:spacing w:line="360" w:lineRule="auto"/>
        <w:ind w:firstLine="643" w:firstLineChars="200"/>
        <w:jc w:val="center"/>
        <w:outlineLvl w:val="1"/>
        <w:rPr>
          <w:rFonts w:hint="eastAsia" w:ascii="宋体" w:hAnsi="宋体" w:eastAsia="宋体" w:cs="宋体"/>
          <w:b/>
          <w:bCs/>
          <w:kern w:val="0"/>
          <w:sz w:val="32"/>
          <w:szCs w:val="28"/>
          <w:highlight w:val="none"/>
        </w:rPr>
        <w:sectPr>
          <w:pgSz w:w="11906" w:h="16838"/>
          <w:pgMar w:top="1440" w:right="1706" w:bottom="1440" w:left="1800" w:header="851" w:footer="992" w:gutter="0"/>
          <w:pgNumType w:fmt="decimal"/>
          <w:cols w:space="720" w:num="1"/>
          <w:docGrid w:type="lines" w:linePitch="312" w:charSpace="0"/>
        </w:sectPr>
      </w:pPr>
    </w:p>
    <w:p>
      <w:pPr>
        <w:widowControl/>
        <w:numPr>
          <w:ilvl w:val="0"/>
          <w:numId w:val="6"/>
        </w:numPr>
        <w:spacing w:line="360" w:lineRule="auto"/>
        <w:ind w:firstLine="643" w:firstLineChars="200"/>
        <w:jc w:val="center"/>
        <w:outlineLvl w:val="1"/>
        <w:rPr>
          <w:rFonts w:hint="eastAsia" w:ascii="宋体" w:hAnsi="宋体" w:eastAsia="宋体" w:cs="宋体"/>
          <w:b/>
          <w:bCs/>
          <w:kern w:val="0"/>
          <w:sz w:val="32"/>
          <w:szCs w:val="28"/>
          <w:highlight w:val="none"/>
        </w:rPr>
      </w:pPr>
      <w:bookmarkStart w:id="32" w:name="_Toc32242"/>
      <w:r>
        <w:rPr>
          <w:rFonts w:hint="eastAsia" w:ascii="宋体" w:hAnsi="宋体" w:eastAsia="宋体" w:cs="宋体"/>
          <w:b/>
          <w:bCs/>
          <w:kern w:val="0"/>
          <w:sz w:val="32"/>
          <w:szCs w:val="28"/>
          <w:highlight w:val="none"/>
        </w:rPr>
        <w:t>谈判响应文件</w:t>
      </w:r>
      <w:bookmarkEnd w:id="32"/>
    </w:p>
    <w:p>
      <w:pPr>
        <w:pStyle w:val="5"/>
        <w:numPr>
          <w:ilvl w:val="0"/>
          <w:numId w:val="11"/>
        </w:numPr>
        <w:rPr>
          <w:rFonts w:hint="eastAsia" w:ascii="宋体" w:hAnsi="宋体" w:eastAsia="宋体" w:cs="宋体"/>
          <w:highlight w:val="none"/>
        </w:rPr>
      </w:pPr>
      <w:bookmarkStart w:id="33" w:name="_Toc17549"/>
      <w:r>
        <w:rPr>
          <w:rFonts w:hint="eastAsia" w:ascii="宋体" w:hAnsi="宋体" w:eastAsia="宋体" w:cs="宋体"/>
          <w:highlight w:val="none"/>
        </w:rPr>
        <w:t>谈判响应文件的编制</w:t>
      </w:r>
      <w:bookmarkEnd w:id="33"/>
    </w:p>
    <w:p>
      <w:pPr>
        <w:adjustRightInd w:val="0"/>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谈判响应文件必须根据代理机构发售的谈判文件格式和顺序认真编制。具体内容包括：</w:t>
      </w:r>
    </w:p>
    <w:p>
      <w:pPr>
        <w:numPr>
          <w:ilvl w:val="0"/>
          <w:numId w:val="12"/>
        </w:numPr>
        <w:tabs>
          <w:tab w:val="left" w:pos="0"/>
        </w:tabs>
        <w:adjustRightInd w:val="0"/>
        <w:snapToGrid w:val="0"/>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响应函；</w:t>
      </w:r>
    </w:p>
    <w:p>
      <w:pPr>
        <w:numPr>
          <w:ilvl w:val="0"/>
          <w:numId w:val="12"/>
        </w:numPr>
        <w:tabs>
          <w:tab w:val="left" w:pos="0"/>
        </w:tabs>
        <w:adjustRightInd w:val="0"/>
        <w:snapToGrid w:val="0"/>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响应一览表；</w:t>
      </w:r>
    </w:p>
    <w:p>
      <w:pPr>
        <w:numPr>
          <w:ilvl w:val="0"/>
          <w:numId w:val="12"/>
        </w:numPr>
        <w:tabs>
          <w:tab w:val="left" w:pos="0"/>
        </w:tabs>
        <w:adjustRightInd w:val="0"/>
        <w:snapToGrid w:val="0"/>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分项报价表；</w:t>
      </w:r>
    </w:p>
    <w:p>
      <w:pPr>
        <w:numPr>
          <w:ilvl w:val="0"/>
          <w:numId w:val="12"/>
        </w:numPr>
        <w:tabs>
          <w:tab w:val="left" w:pos="0"/>
        </w:tabs>
        <w:adjustRightInd w:val="0"/>
        <w:snapToGrid w:val="0"/>
        <w:spacing w:line="440" w:lineRule="exact"/>
        <w:jc w:val="left"/>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谈判保证金；</w:t>
      </w:r>
    </w:p>
    <w:p>
      <w:pPr>
        <w:numPr>
          <w:ilvl w:val="0"/>
          <w:numId w:val="12"/>
        </w:numPr>
        <w:tabs>
          <w:tab w:val="left" w:pos="0"/>
        </w:tabs>
        <w:adjustRightInd w:val="0"/>
        <w:snapToGrid w:val="0"/>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lang w:eastAsia="zh-CN"/>
        </w:rPr>
        <w:t>服务</w:t>
      </w:r>
      <w:r>
        <w:rPr>
          <w:rFonts w:hint="eastAsia" w:ascii="宋体" w:hAnsi="宋体" w:eastAsia="宋体" w:cs="宋体"/>
          <w:szCs w:val="24"/>
          <w:highlight w:val="none"/>
        </w:rPr>
        <w:t>要求偏差表；</w:t>
      </w:r>
    </w:p>
    <w:p>
      <w:pPr>
        <w:numPr>
          <w:ilvl w:val="0"/>
          <w:numId w:val="12"/>
        </w:numPr>
        <w:tabs>
          <w:tab w:val="left" w:pos="0"/>
        </w:tabs>
        <w:adjustRightInd w:val="0"/>
        <w:snapToGrid w:val="0"/>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商务响应说明；</w:t>
      </w:r>
    </w:p>
    <w:p>
      <w:pPr>
        <w:numPr>
          <w:ilvl w:val="0"/>
          <w:numId w:val="12"/>
        </w:numPr>
        <w:tabs>
          <w:tab w:val="left" w:pos="0"/>
        </w:tabs>
        <w:adjustRightInd w:val="0"/>
        <w:snapToGrid w:val="0"/>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供应商资质要求；</w:t>
      </w:r>
    </w:p>
    <w:p>
      <w:pPr>
        <w:numPr>
          <w:ilvl w:val="0"/>
          <w:numId w:val="12"/>
        </w:numPr>
        <w:tabs>
          <w:tab w:val="left" w:pos="0"/>
        </w:tabs>
        <w:adjustRightInd w:val="0"/>
        <w:snapToGrid w:val="0"/>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lang w:eastAsia="zh-CN"/>
        </w:rPr>
        <w:t>服务方案与技术组织方案</w:t>
      </w:r>
      <w:r>
        <w:rPr>
          <w:rFonts w:hint="eastAsia" w:ascii="宋体" w:hAnsi="宋体" w:eastAsia="宋体" w:cs="宋体"/>
          <w:szCs w:val="24"/>
          <w:highlight w:val="none"/>
        </w:rPr>
        <w:t>；</w:t>
      </w:r>
    </w:p>
    <w:p>
      <w:pPr>
        <w:numPr>
          <w:ilvl w:val="0"/>
          <w:numId w:val="12"/>
        </w:numPr>
        <w:tabs>
          <w:tab w:val="left" w:pos="0"/>
        </w:tabs>
        <w:adjustRightInd w:val="0"/>
        <w:snapToGrid w:val="0"/>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供应商认为有必要说明的其他问题；</w:t>
      </w:r>
    </w:p>
    <w:p>
      <w:pPr>
        <w:pStyle w:val="5"/>
        <w:numPr>
          <w:ilvl w:val="0"/>
          <w:numId w:val="11"/>
        </w:numPr>
        <w:rPr>
          <w:rFonts w:hint="eastAsia" w:ascii="宋体" w:hAnsi="宋体" w:eastAsia="宋体" w:cs="宋体"/>
          <w:highlight w:val="none"/>
        </w:rPr>
      </w:pPr>
      <w:r>
        <w:rPr>
          <w:rFonts w:hint="eastAsia" w:ascii="宋体" w:hAnsi="宋体" w:eastAsia="宋体" w:cs="宋体"/>
          <w:highlight w:val="none"/>
        </w:rPr>
        <w:t>响应报价</w:t>
      </w:r>
    </w:p>
    <w:p>
      <w:pPr>
        <w:tabs>
          <w:tab w:val="left" w:pos="0"/>
        </w:tabs>
        <w:adjustRightInd w:val="0"/>
        <w:snapToGrid w:val="0"/>
        <w:spacing w:line="44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2.1供应商应在响应报价表中标明本次招标所要求的货物、服务且验收合格的所有费用，包括报价、</w:t>
      </w:r>
      <w:r>
        <w:rPr>
          <w:rFonts w:hint="eastAsia" w:ascii="宋体" w:hAnsi="宋体" w:cs="宋体"/>
          <w:szCs w:val="24"/>
          <w:highlight w:val="none"/>
          <w:lang w:val="en-US" w:eastAsia="zh-CN"/>
        </w:rPr>
        <w:t>交货期、保修</w:t>
      </w:r>
      <w:r>
        <w:rPr>
          <w:rFonts w:hint="eastAsia" w:ascii="宋体" w:hAnsi="宋体" w:eastAsia="宋体" w:cs="宋体"/>
          <w:szCs w:val="24"/>
          <w:highlight w:val="none"/>
          <w:lang w:eastAsia="zh-CN"/>
        </w:rPr>
        <w:t>期、</w:t>
      </w:r>
      <w:r>
        <w:rPr>
          <w:rFonts w:hint="eastAsia" w:ascii="宋体" w:hAnsi="宋体" w:eastAsia="宋体" w:cs="宋体"/>
          <w:szCs w:val="24"/>
          <w:highlight w:val="none"/>
        </w:rPr>
        <w:t>安装调试费、运杂费（含保险）、仓储保管费、技术培训费、检测费、施工费、人工费、税金及政策征收的一切税费等。在合同实施期间，响应报价表中标明</w:t>
      </w:r>
      <w:r>
        <w:rPr>
          <w:rFonts w:hint="eastAsia" w:ascii="宋体" w:hAnsi="宋体" w:eastAsia="宋体" w:cs="宋体"/>
          <w:szCs w:val="24"/>
          <w:highlight w:val="none"/>
          <w:lang w:eastAsia="zh-CN"/>
        </w:rPr>
        <w:t>货物</w:t>
      </w:r>
      <w:r>
        <w:rPr>
          <w:rFonts w:hint="eastAsia" w:ascii="宋体" w:hAnsi="宋体" w:eastAsia="宋体" w:cs="宋体"/>
          <w:szCs w:val="24"/>
          <w:highlight w:val="none"/>
        </w:rPr>
        <w:t>的总价，不受市场价变化的影响，不受实际数量变化的影响。任何有选择的报价将不予接受，否则按无效响应处理。</w:t>
      </w:r>
    </w:p>
    <w:p>
      <w:pPr>
        <w:tabs>
          <w:tab w:val="left" w:pos="0"/>
        </w:tabs>
        <w:adjustRightInd w:val="0"/>
        <w:snapToGrid w:val="0"/>
        <w:spacing w:line="44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2.2供应商成交后承担服务过程中发生的安全事故产生的所有法律及经济责任。</w:t>
      </w:r>
    </w:p>
    <w:p>
      <w:pPr>
        <w:tabs>
          <w:tab w:val="left" w:pos="0"/>
        </w:tabs>
        <w:adjustRightInd w:val="0"/>
        <w:snapToGrid w:val="0"/>
        <w:spacing w:line="44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2.3响应报价表成交的价格，在合同执行过程中，不得以任何理由变更。</w:t>
      </w:r>
    </w:p>
    <w:p>
      <w:pPr>
        <w:tabs>
          <w:tab w:val="left" w:pos="0"/>
        </w:tabs>
        <w:adjustRightInd w:val="0"/>
        <w:snapToGrid w:val="0"/>
        <w:spacing w:line="44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2.4供应商应在谈判响应文件中的响应一览表上，标明总报价、</w:t>
      </w:r>
      <w:r>
        <w:rPr>
          <w:rFonts w:hint="eastAsia" w:ascii="宋体" w:hAnsi="宋体" w:cs="宋体"/>
          <w:szCs w:val="24"/>
          <w:highlight w:val="none"/>
          <w:lang w:val="en-US" w:eastAsia="zh-CN"/>
        </w:rPr>
        <w:t>交货期、保修</w:t>
      </w:r>
      <w:r>
        <w:rPr>
          <w:rFonts w:hint="eastAsia" w:ascii="宋体" w:hAnsi="宋体" w:eastAsia="宋体" w:cs="宋体"/>
          <w:szCs w:val="24"/>
          <w:highlight w:val="none"/>
          <w:lang w:val="en-US" w:eastAsia="zh-CN"/>
        </w:rPr>
        <w:t>期</w:t>
      </w:r>
      <w:r>
        <w:rPr>
          <w:rFonts w:hint="eastAsia" w:ascii="宋体" w:hAnsi="宋体" w:eastAsia="宋体" w:cs="宋体"/>
          <w:szCs w:val="24"/>
          <w:highlight w:val="none"/>
        </w:rPr>
        <w:t>等；任何有选择的报价不予接受。</w:t>
      </w:r>
    </w:p>
    <w:p>
      <w:pPr>
        <w:pStyle w:val="5"/>
        <w:numPr>
          <w:ilvl w:val="0"/>
          <w:numId w:val="11"/>
        </w:numPr>
        <w:rPr>
          <w:rFonts w:hint="eastAsia" w:ascii="宋体" w:hAnsi="宋体" w:eastAsia="宋体" w:cs="宋体"/>
          <w:highlight w:val="none"/>
        </w:rPr>
      </w:pPr>
      <w:bookmarkStart w:id="34" w:name="_Toc29200"/>
      <w:r>
        <w:rPr>
          <w:rFonts w:hint="eastAsia" w:ascii="宋体" w:hAnsi="宋体" w:eastAsia="宋体" w:cs="宋体"/>
          <w:highlight w:val="none"/>
        </w:rPr>
        <w:t>谈判货币</w:t>
      </w:r>
      <w:bookmarkEnd w:id="34"/>
    </w:p>
    <w:p>
      <w:pPr>
        <w:widowControl/>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采购人只接受人民币作为唯一谈判货币。</w:t>
      </w:r>
    </w:p>
    <w:p>
      <w:pPr>
        <w:pStyle w:val="5"/>
        <w:numPr>
          <w:ilvl w:val="0"/>
          <w:numId w:val="11"/>
        </w:numPr>
        <w:rPr>
          <w:rFonts w:hint="eastAsia" w:ascii="宋体" w:hAnsi="宋体" w:eastAsia="宋体" w:cs="宋体"/>
          <w:highlight w:val="none"/>
        </w:rPr>
      </w:pPr>
      <w:bookmarkStart w:id="35" w:name="_Toc1311"/>
      <w:r>
        <w:rPr>
          <w:rFonts w:hint="eastAsia" w:ascii="宋体" w:hAnsi="宋体" w:eastAsia="宋体" w:cs="宋体"/>
          <w:highlight w:val="none"/>
        </w:rPr>
        <w:t>谈判保证金</w:t>
      </w:r>
      <w:bookmarkEnd w:id="35"/>
    </w:p>
    <w:p>
      <w:pPr>
        <w:tabs>
          <w:tab w:val="left" w:pos="0"/>
        </w:tabs>
        <w:adjustRightInd w:val="0"/>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highlight w:val="none"/>
        </w:rPr>
        <w:t>4.1谈判保证金按照供应商须知前附表要求缴纳。</w:t>
      </w:r>
    </w:p>
    <w:p>
      <w:pPr>
        <w:tabs>
          <w:tab w:val="left" w:pos="0"/>
        </w:tabs>
        <w:adjustRightInd w:val="0"/>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4.2供应商未按照谈判文件要求缴纳谈判保证金的或谈判保证金的交付单位和供应商的名称不一致的视为无效谈判。</w:t>
      </w:r>
    </w:p>
    <w:p>
      <w:pPr>
        <w:tabs>
          <w:tab w:val="left" w:pos="0"/>
        </w:tabs>
        <w:adjustRightInd w:val="0"/>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4.3未成交供应商的谈判保证金，在成交通知书发出后5个工作日内无息退还；成交供应商的谈判保证金在合同签订后5个工作日内无息退还。</w:t>
      </w:r>
    </w:p>
    <w:p>
      <w:pPr>
        <w:tabs>
          <w:tab w:val="left" w:pos="0"/>
        </w:tabs>
        <w:adjustRightInd w:val="0"/>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4.4发生下列情形之一的，代理机构将不予退还供应商缴纳的谈判保证金：</w:t>
      </w:r>
    </w:p>
    <w:p>
      <w:pPr>
        <w:numPr>
          <w:ilvl w:val="0"/>
          <w:numId w:val="13"/>
        </w:numPr>
        <w:tabs>
          <w:tab w:val="left" w:pos="0"/>
        </w:tabs>
        <w:adjustRightInd w:val="0"/>
        <w:snapToGrid w:val="0"/>
        <w:spacing w:line="360" w:lineRule="auto"/>
        <w:rPr>
          <w:rFonts w:hint="eastAsia" w:ascii="宋体" w:hAnsi="宋体" w:eastAsia="宋体" w:cs="宋体"/>
          <w:szCs w:val="24"/>
          <w:highlight w:val="none"/>
        </w:rPr>
      </w:pPr>
      <w:r>
        <w:rPr>
          <w:rFonts w:hint="eastAsia" w:ascii="宋体" w:hAnsi="宋体" w:eastAsia="宋体" w:cs="宋体"/>
          <w:highlight w:val="none"/>
        </w:rPr>
        <w:t>谈判后在谈判文件规定的谈判有效期间，供应商撤回其谈判响应文件</w:t>
      </w:r>
      <w:r>
        <w:rPr>
          <w:rFonts w:hint="eastAsia" w:ascii="宋体" w:hAnsi="宋体" w:eastAsia="宋体" w:cs="宋体"/>
          <w:szCs w:val="24"/>
          <w:highlight w:val="none"/>
        </w:rPr>
        <w:t>；</w:t>
      </w:r>
    </w:p>
    <w:p>
      <w:pPr>
        <w:numPr>
          <w:ilvl w:val="0"/>
          <w:numId w:val="13"/>
        </w:num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在采购人确定成交供应商以前放弃成交候选资格的；</w:t>
      </w:r>
    </w:p>
    <w:p>
      <w:pPr>
        <w:numPr>
          <w:ilvl w:val="0"/>
          <w:numId w:val="13"/>
        </w:num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由于成交供应商原因未能按照谈判文件的规定与采购人签订合同；</w:t>
      </w:r>
    </w:p>
    <w:p>
      <w:pPr>
        <w:numPr>
          <w:ilvl w:val="0"/>
          <w:numId w:val="13"/>
        </w:num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由于成交供应商原因未能按照谈判文件的规定交纳履约保证金；</w:t>
      </w:r>
    </w:p>
    <w:p>
      <w:pPr>
        <w:numPr>
          <w:ilvl w:val="0"/>
          <w:numId w:val="13"/>
        </w:num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谈判有效期内，供应商在政府采购活动中有违法、违规、违纪行为。</w:t>
      </w:r>
    </w:p>
    <w:p>
      <w:pPr>
        <w:tabs>
          <w:tab w:val="left" w:pos="0"/>
        </w:tabs>
        <w:spacing w:line="500" w:lineRule="exact"/>
        <w:ind w:firstLine="480" w:firstLineChars="200"/>
        <w:rPr>
          <w:rFonts w:hint="eastAsia" w:ascii="宋体" w:hAnsi="宋体" w:eastAsia="宋体" w:cs="宋体"/>
          <w:szCs w:val="24"/>
          <w:highlight w:val="none"/>
        </w:rPr>
      </w:pPr>
      <w:bookmarkStart w:id="36" w:name="_Toc19668"/>
      <w:r>
        <w:rPr>
          <w:rFonts w:hint="eastAsia" w:ascii="宋体" w:hAnsi="宋体" w:eastAsia="宋体" w:cs="宋体"/>
          <w:szCs w:val="24"/>
          <w:highlight w:val="none"/>
        </w:rPr>
        <w:t>4.5 未中标的</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在退取投标保证金时，须携带以下资料办理到代理机构的财务部门办理：</w:t>
      </w:r>
    </w:p>
    <w:p>
      <w:pPr>
        <w:numPr>
          <w:ilvl w:val="0"/>
          <w:numId w:val="14"/>
        </w:numPr>
        <w:spacing w:line="500" w:lineRule="exact"/>
        <w:rPr>
          <w:rFonts w:hint="eastAsia" w:ascii="宋体" w:hAnsi="宋体" w:eastAsia="宋体" w:cs="宋体"/>
          <w:szCs w:val="24"/>
          <w:highlight w:val="none"/>
        </w:rPr>
      </w:pPr>
      <w:r>
        <w:rPr>
          <w:rFonts w:hint="eastAsia" w:ascii="宋体" w:hAnsi="宋体" w:eastAsia="宋体" w:cs="宋体"/>
          <w:bCs/>
          <w:kern w:val="0"/>
          <w:szCs w:val="24"/>
          <w:highlight w:val="none"/>
          <w:lang w:eastAsia="zh-CN"/>
        </w:rPr>
        <w:t>供应商</w:t>
      </w:r>
      <w:r>
        <w:rPr>
          <w:rFonts w:hint="eastAsia" w:ascii="宋体" w:hAnsi="宋体" w:eastAsia="宋体" w:cs="宋体"/>
          <w:bCs/>
          <w:kern w:val="0"/>
          <w:szCs w:val="24"/>
          <w:highlight w:val="none"/>
        </w:rPr>
        <w:t>须提供投标保证金缴纳凭证（复印件加盖公章）</w:t>
      </w:r>
      <w:r>
        <w:rPr>
          <w:rFonts w:hint="eastAsia" w:ascii="宋体" w:hAnsi="宋体" w:eastAsia="宋体" w:cs="宋体"/>
          <w:szCs w:val="24"/>
          <w:highlight w:val="none"/>
        </w:rPr>
        <w:t>；</w:t>
      </w:r>
    </w:p>
    <w:p>
      <w:pPr>
        <w:numPr>
          <w:ilvl w:val="0"/>
          <w:numId w:val="14"/>
        </w:numPr>
        <w:spacing w:line="500" w:lineRule="exact"/>
        <w:rPr>
          <w:rFonts w:hint="eastAsia" w:ascii="宋体" w:hAnsi="宋体" w:eastAsia="宋体" w:cs="宋体"/>
          <w:szCs w:val="24"/>
          <w:highlight w:val="none"/>
        </w:rPr>
      </w:pP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对公银行账户信息（加盖公章）见</w:t>
      </w:r>
      <w:r>
        <w:rPr>
          <w:rFonts w:hint="eastAsia" w:ascii="宋体" w:hAnsi="宋体" w:eastAsia="宋体" w:cs="宋体"/>
          <w:b/>
          <w:bCs/>
          <w:szCs w:val="24"/>
          <w:highlight w:val="none"/>
        </w:rPr>
        <w:t>附件二</w:t>
      </w:r>
      <w:r>
        <w:rPr>
          <w:rFonts w:hint="eastAsia" w:ascii="宋体" w:hAnsi="宋体" w:eastAsia="宋体" w:cs="宋体"/>
          <w:szCs w:val="24"/>
          <w:highlight w:val="none"/>
        </w:rPr>
        <w:t>。</w:t>
      </w:r>
    </w:p>
    <w:p>
      <w:pPr>
        <w:tabs>
          <w:tab w:val="left" w:pos="0"/>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4.6 成交供应商在退还投标保证金时，除携带上述资料外还需携带与采购人签订的采购合同（原件）。</w:t>
      </w:r>
    </w:p>
    <w:p>
      <w:pPr>
        <w:numPr>
          <w:ilvl w:val="0"/>
          <w:numId w:val="15"/>
        </w:numPr>
        <w:adjustRightInd w:val="0"/>
        <w:snapToGrid w:val="0"/>
        <w:spacing w:line="360" w:lineRule="auto"/>
        <w:ind w:left="0" w:firstLine="0"/>
        <w:rPr>
          <w:rFonts w:hint="eastAsia" w:ascii="宋体" w:hAnsi="宋体" w:eastAsia="宋体" w:cs="宋体"/>
          <w:b/>
          <w:bCs/>
          <w:szCs w:val="24"/>
          <w:highlight w:val="none"/>
        </w:rPr>
      </w:pPr>
      <w:r>
        <w:rPr>
          <w:rFonts w:hint="eastAsia" w:ascii="宋体" w:hAnsi="宋体" w:eastAsia="宋体" w:cs="宋体"/>
          <w:b/>
          <w:bCs/>
          <w:szCs w:val="24"/>
          <w:highlight w:val="none"/>
        </w:rPr>
        <w:t>供应商可在开标当天将保证金退还账户信息确认表与投标保证金缴纳凭证（复印件加盖公章）一并交给工作人员，当天未提交保证金退还账户信息确认表与投标保证金缴纳凭证（复印件加盖公章）的供应商，在开标后</w:t>
      </w:r>
      <w:r>
        <w:rPr>
          <w:rFonts w:hint="eastAsia" w:ascii="宋体" w:hAnsi="宋体" w:eastAsia="宋体" w:cs="宋体"/>
          <w:b/>
          <w:bCs/>
          <w:szCs w:val="24"/>
          <w:highlight w:val="none"/>
          <w:lang w:eastAsia="zh-CN"/>
        </w:rPr>
        <w:t>将以上资料盖章扫描件发送至邮箱</w:t>
      </w:r>
      <w:r>
        <w:rPr>
          <w:rFonts w:hint="eastAsia" w:ascii="宋体" w:hAnsi="宋体" w:eastAsia="宋体" w:cs="宋体"/>
          <w:b/>
          <w:bCs/>
          <w:szCs w:val="24"/>
          <w:highlight w:val="none"/>
          <w:lang w:val="en-US" w:eastAsia="zh-CN"/>
        </w:rPr>
        <w:t>sxwzzb123@163.com并致电告知</w:t>
      </w:r>
      <w:r>
        <w:rPr>
          <w:rFonts w:hint="eastAsia" w:ascii="宋体" w:hAnsi="宋体" w:eastAsia="宋体" w:cs="宋体"/>
          <w:b/>
          <w:bCs/>
          <w:szCs w:val="24"/>
          <w:highlight w:val="none"/>
        </w:rPr>
        <w:t xml:space="preserve">。 </w:t>
      </w:r>
    </w:p>
    <w:p>
      <w:pPr>
        <w:pStyle w:val="5"/>
        <w:numPr>
          <w:ilvl w:val="0"/>
          <w:numId w:val="11"/>
        </w:numPr>
        <w:rPr>
          <w:rFonts w:hint="eastAsia" w:ascii="宋体" w:hAnsi="宋体" w:eastAsia="宋体" w:cs="宋体"/>
          <w:highlight w:val="none"/>
        </w:rPr>
      </w:pPr>
      <w:r>
        <w:rPr>
          <w:rFonts w:hint="eastAsia" w:ascii="宋体" w:hAnsi="宋体" w:eastAsia="宋体" w:cs="宋体"/>
          <w:highlight w:val="none"/>
        </w:rPr>
        <w:t>谈判有效期</w:t>
      </w:r>
      <w:bookmarkEnd w:id="36"/>
    </w:p>
    <w:p>
      <w:pPr>
        <w:adjustRightInd w:val="0"/>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谈判有效期见供应商须知前附表，谈判有效期短于此规定期限的谈判响应文件，视为无效文件，其谈判将被拒绝。成交单位的谈判响应文件有效期延长至合同执行完毕。</w:t>
      </w:r>
    </w:p>
    <w:p>
      <w:pPr>
        <w:pStyle w:val="5"/>
        <w:numPr>
          <w:ilvl w:val="0"/>
          <w:numId w:val="11"/>
        </w:numPr>
        <w:rPr>
          <w:rFonts w:hint="eastAsia" w:ascii="宋体" w:hAnsi="宋体" w:eastAsia="宋体" w:cs="宋体"/>
          <w:szCs w:val="32"/>
          <w:highlight w:val="none"/>
        </w:rPr>
      </w:pPr>
      <w:bookmarkStart w:id="37" w:name="_Toc24827"/>
      <w:r>
        <w:rPr>
          <w:rFonts w:hint="eastAsia" w:ascii="宋体" w:hAnsi="宋体" w:eastAsia="宋体" w:cs="宋体"/>
          <w:highlight w:val="none"/>
        </w:rPr>
        <w:t>谈判响应文件的格式、装订、密封和签署</w:t>
      </w:r>
      <w:bookmarkEnd w:id="37"/>
    </w:p>
    <w:p>
      <w:pPr>
        <w:tabs>
          <w:tab w:val="left" w:pos="0"/>
        </w:tabs>
        <w:spacing w:line="360" w:lineRule="auto"/>
        <w:ind w:right="-103" w:rightChars="-43"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6.1供应商须依据谈判文件内容和谈判响应文件格式的要求编制谈判响应文件；</w:t>
      </w:r>
    </w:p>
    <w:p>
      <w:pPr>
        <w:tabs>
          <w:tab w:val="left" w:pos="0"/>
        </w:tabs>
        <w:spacing w:line="360" w:lineRule="auto"/>
        <w:ind w:right="-103" w:rightChars="-43" w:firstLine="480" w:firstLineChars="200"/>
        <w:rPr>
          <w:rFonts w:hint="eastAsia" w:ascii="宋体" w:hAnsi="宋体" w:eastAsia="宋体" w:cs="宋体"/>
          <w:szCs w:val="24"/>
          <w:highlight w:val="none"/>
        </w:rPr>
      </w:pPr>
      <w:r>
        <w:rPr>
          <w:rFonts w:hint="eastAsia" w:ascii="宋体" w:hAnsi="宋体" w:eastAsia="宋体" w:cs="宋体"/>
          <w:szCs w:val="24"/>
          <w:highlight w:val="none"/>
        </w:rPr>
        <w:t>谈判响应文件的正本须打印或用不褪色蓝（黑）墨水（汁）书写，谈判响应文件的打印（</w:t>
      </w:r>
      <w:r>
        <w:rPr>
          <w:rFonts w:hint="eastAsia" w:ascii="宋体" w:hAnsi="宋体" w:eastAsia="宋体" w:cs="宋体"/>
          <w:b/>
          <w:bCs/>
          <w:szCs w:val="24"/>
          <w:highlight w:val="none"/>
        </w:rPr>
        <w:t>建议双面打印</w:t>
      </w:r>
      <w:r>
        <w:rPr>
          <w:rFonts w:hint="eastAsia" w:ascii="宋体" w:hAnsi="宋体" w:eastAsia="宋体" w:cs="宋体"/>
          <w:szCs w:val="24"/>
          <w:highlight w:val="none"/>
        </w:rPr>
        <w:t>）和书写应清楚工整，任何行间插字、涂改和增删，必须由供应商的法定代表人或其授权代表签字或加盖个人印章，字迹潦草或表达不清或可能导致非唯一理解的谈判响应文件可能视为无效文件；所有的副本可以为正本的复印件；在每一页的正下方清楚标明</w:t>
      </w:r>
      <w:r>
        <w:rPr>
          <w:rFonts w:hint="eastAsia" w:ascii="宋体" w:hAnsi="宋体" w:eastAsia="宋体" w:cs="宋体"/>
          <w:szCs w:val="24"/>
          <w:highlight w:val="none"/>
          <w:lang w:eastAsia="zh-CN"/>
        </w:rPr>
        <w:t>页码</w:t>
      </w:r>
      <w:r>
        <w:rPr>
          <w:rFonts w:hint="eastAsia" w:ascii="宋体" w:hAnsi="宋体" w:eastAsia="宋体" w:cs="宋体"/>
          <w:szCs w:val="24"/>
          <w:highlight w:val="none"/>
        </w:rPr>
        <w:t>。</w:t>
      </w:r>
    </w:p>
    <w:p>
      <w:pPr>
        <w:tabs>
          <w:tab w:val="left" w:pos="0"/>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6.2谈判响应文件的装订</w:t>
      </w:r>
    </w:p>
    <w:p>
      <w:pPr>
        <w:tabs>
          <w:tab w:val="left" w:pos="0"/>
        </w:tabs>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谈判响应文件</w:t>
      </w:r>
      <w:r>
        <w:rPr>
          <w:rFonts w:hint="eastAsia" w:ascii="宋体" w:hAnsi="宋体" w:eastAsia="宋体" w:cs="宋体"/>
          <w:b/>
          <w:bCs/>
          <w:szCs w:val="24"/>
          <w:highlight w:val="none"/>
        </w:rPr>
        <w:t>正本壹份、副本叁份，</w:t>
      </w:r>
      <w:r>
        <w:rPr>
          <w:rFonts w:hint="eastAsia" w:ascii="宋体" w:hAnsi="宋体" w:eastAsia="宋体" w:cs="宋体"/>
          <w:szCs w:val="24"/>
          <w:highlight w:val="none"/>
        </w:rPr>
        <w:t>分别胶装装订成册，且封面须清楚地标明“正本”或“副本”；若正本和副本不符，以正本书面文件为准；同时提供与正本内容一致的</w:t>
      </w:r>
      <w:bookmarkStart w:id="38" w:name="OLE_LINK13"/>
      <w:r>
        <w:rPr>
          <w:rFonts w:hint="eastAsia" w:ascii="宋体" w:hAnsi="宋体" w:eastAsia="宋体" w:cs="宋体"/>
          <w:szCs w:val="24"/>
          <w:highlight w:val="none"/>
        </w:rPr>
        <w:t>电子版</w:t>
      </w:r>
      <w:bookmarkEnd w:id="38"/>
      <w:r>
        <w:rPr>
          <w:rFonts w:hint="eastAsia" w:ascii="宋体" w:hAnsi="宋体" w:eastAsia="宋体" w:cs="宋体"/>
          <w:szCs w:val="24"/>
          <w:highlight w:val="none"/>
        </w:rPr>
        <w:t>（U盘、</w:t>
      </w:r>
      <w:r>
        <w:rPr>
          <w:rFonts w:hint="eastAsia" w:ascii="宋体" w:hAnsi="宋体" w:eastAsia="宋体" w:cs="宋体"/>
          <w:b/>
          <w:bCs/>
          <w:szCs w:val="24"/>
          <w:highlight w:val="none"/>
        </w:rPr>
        <w:t>电子文档应为PDF与WORD格式各一份</w:t>
      </w:r>
      <w:r>
        <w:rPr>
          <w:rFonts w:hint="eastAsia" w:ascii="宋体" w:hAnsi="宋体" w:eastAsia="宋体" w:cs="宋体"/>
          <w:szCs w:val="24"/>
          <w:highlight w:val="none"/>
        </w:rPr>
        <w:t>）、响应一览表壹份</w:t>
      </w:r>
      <w:r>
        <w:rPr>
          <w:rFonts w:hint="eastAsia" w:ascii="宋体" w:hAnsi="宋体" w:eastAsia="宋体" w:cs="宋体"/>
          <w:b/>
          <w:bCs/>
          <w:szCs w:val="24"/>
          <w:highlight w:val="none"/>
        </w:rPr>
        <w:t>（</w:t>
      </w:r>
      <w:r>
        <w:rPr>
          <w:rFonts w:hint="eastAsia" w:ascii="宋体" w:hAnsi="宋体" w:eastAsia="宋体" w:cs="宋体"/>
          <w:szCs w:val="24"/>
          <w:highlight w:val="none"/>
        </w:rPr>
        <w:t>单独提交的“响应一览表”应为原件</w:t>
      </w:r>
      <w:r>
        <w:rPr>
          <w:rFonts w:hint="eastAsia" w:ascii="宋体" w:hAnsi="宋体" w:eastAsia="宋体" w:cs="宋体"/>
          <w:b/>
          <w:bCs/>
          <w:szCs w:val="24"/>
          <w:highlight w:val="none"/>
        </w:rPr>
        <w:t>）。</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6.3谈判响应文件的签署</w:t>
      </w:r>
    </w:p>
    <w:p>
      <w:pPr>
        <w:numPr>
          <w:ilvl w:val="0"/>
          <w:numId w:val="0"/>
        </w:numPr>
        <w:spacing w:line="360" w:lineRule="auto"/>
        <w:ind w:left="420" w:leftChars="0"/>
        <w:jc w:val="left"/>
        <w:rPr>
          <w:rFonts w:hint="eastAsia" w:ascii="宋体" w:hAnsi="宋体" w:eastAsia="宋体" w:cs="宋体"/>
          <w:szCs w:val="24"/>
          <w:highlight w:val="none"/>
        </w:rPr>
      </w:pPr>
      <w:r>
        <w:rPr>
          <w:rFonts w:hint="eastAsia" w:ascii="宋体" w:hAnsi="宋体" w:eastAsia="宋体" w:cs="宋体"/>
          <w:b/>
          <w:bCs/>
          <w:kern w:val="0"/>
          <w:sz w:val="24"/>
          <w:highlight w:val="none"/>
        </w:rPr>
        <w:t>见供应商须知前附表</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6.4谈判响应文件的密封</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kern w:val="0"/>
          <w:sz w:val="24"/>
          <w:highlight w:val="none"/>
        </w:rPr>
        <w:t>见供应商须知前附表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6.5本次谈判只接受简体中文文字的谈判响应文件；如谈判响应文件中出现外文资料，必须配以中文译文。否则，由此引发的一切责任由供应商自负。</w:t>
      </w:r>
    </w:p>
    <w:p>
      <w:pPr>
        <w:widowControl/>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6.6拒绝接受以电话、传真、电子邮件形式的谈判。</w:t>
      </w:r>
    </w:p>
    <w:p>
      <w:pPr>
        <w:pStyle w:val="5"/>
        <w:numPr>
          <w:ilvl w:val="0"/>
          <w:numId w:val="11"/>
        </w:numPr>
        <w:rPr>
          <w:rFonts w:hint="eastAsia" w:ascii="宋体" w:hAnsi="宋体" w:eastAsia="宋体" w:cs="宋体"/>
          <w:highlight w:val="none"/>
        </w:rPr>
      </w:pPr>
      <w:bookmarkStart w:id="39" w:name="_Toc22752"/>
      <w:r>
        <w:rPr>
          <w:rFonts w:hint="eastAsia" w:ascii="宋体" w:hAnsi="宋体" w:eastAsia="宋体" w:cs="宋体"/>
          <w:highlight w:val="none"/>
        </w:rPr>
        <w:t>知识产权</w:t>
      </w:r>
      <w:bookmarkEnd w:id="39"/>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7.2采购人享有本项目在实施过程中产生的知识成果及知识产权。</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7.3供应商如欲在项目实施过程中采用自有知识成果，需在谈判响应文件中声明，并提供相关知识产权证明文件。使用该知识成果后，供应商须提供开发接口和开发手册等技术文档，并承诺提供无限期技术支持，采购人享有永久使用权。</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7.4如供应商所不拥有的知识产权，则在响应报价中必须包括合法获取该知识产权的相关费用。</w:t>
      </w:r>
    </w:p>
    <w:p>
      <w:pPr>
        <w:rPr>
          <w:rFonts w:hint="eastAsia" w:ascii="宋体" w:hAnsi="宋体" w:eastAsia="宋体" w:cs="宋体"/>
          <w:szCs w:val="24"/>
          <w:highlight w:val="none"/>
        </w:rPr>
      </w:pPr>
      <w:r>
        <w:rPr>
          <w:rFonts w:hint="eastAsia" w:ascii="宋体" w:hAnsi="宋体" w:eastAsia="宋体" w:cs="宋体"/>
          <w:szCs w:val="24"/>
          <w:highlight w:val="none"/>
        </w:rPr>
        <w:br w:type="page"/>
      </w:r>
    </w:p>
    <w:p>
      <w:pPr>
        <w:widowControl/>
        <w:numPr>
          <w:ilvl w:val="0"/>
          <w:numId w:val="6"/>
        </w:numPr>
        <w:spacing w:line="360" w:lineRule="auto"/>
        <w:ind w:firstLine="643" w:firstLineChars="200"/>
        <w:jc w:val="center"/>
        <w:outlineLvl w:val="1"/>
        <w:rPr>
          <w:rFonts w:hint="eastAsia" w:ascii="宋体" w:hAnsi="宋体" w:eastAsia="宋体" w:cs="宋体"/>
          <w:b/>
          <w:bCs/>
          <w:kern w:val="0"/>
          <w:sz w:val="32"/>
          <w:szCs w:val="28"/>
          <w:highlight w:val="none"/>
        </w:rPr>
      </w:pPr>
      <w:bookmarkStart w:id="40" w:name="_Toc3565"/>
      <w:bookmarkStart w:id="41" w:name="_Toc1117"/>
      <w:bookmarkStart w:id="42" w:name="_Toc3736"/>
      <w:r>
        <w:rPr>
          <w:rFonts w:hint="eastAsia" w:ascii="宋体" w:hAnsi="宋体" w:eastAsia="宋体" w:cs="宋体"/>
          <w:b/>
          <w:bCs/>
          <w:kern w:val="0"/>
          <w:sz w:val="32"/>
          <w:szCs w:val="28"/>
          <w:highlight w:val="none"/>
        </w:rPr>
        <w:t>谈判响应文件的递交</w:t>
      </w:r>
      <w:bookmarkEnd w:id="40"/>
      <w:bookmarkEnd w:id="41"/>
    </w:p>
    <w:bookmarkEnd w:id="42"/>
    <w:p>
      <w:pPr>
        <w:pStyle w:val="5"/>
        <w:numPr>
          <w:ilvl w:val="0"/>
          <w:numId w:val="16"/>
        </w:numPr>
        <w:ind w:firstLine="562" w:firstLineChars="200"/>
        <w:rPr>
          <w:rFonts w:hint="eastAsia" w:ascii="宋体" w:hAnsi="宋体" w:eastAsia="宋体" w:cs="宋体"/>
          <w:highlight w:val="none"/>
        </w:rPr>
      </w:pPr>
      <w:bookmarkStart w:id="43" w:name="_Toc3685"/>
      <w:r>
        <w:rPr>
          <w:rFonts w:hint="eastAsia" w:ascii="宋体" w:hAnsi="宋体" w:eastAsia="宋体" w:cs="宋体"/>
          <w:highlight w:val="none"/>
        </w:rPr>
        <w:t>谈判响应文件递交</w:t>
      </w:r>
      <w:bookmarkEnd w:id="43"/>
    </w:p>
    <w:p>
      <w:pPr>
        <w:widowControl/>
        <w:tabs>
          <w:tab w:val="left" w:pos="0"/>
        </w:tabs>
        <w:spacing w:line="46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供应商必须在谈判文件规定的谈判响应文件递交截止时间之前，将全部谈判响应文件递交至代理机构项目工作人员；代理机构项目承办人在谈判文件规定的谈判响应文件递交截止时间前，只负责谈判响应文件的接收、清点、造册登记工作，并请供应商代表签字确认，对其有效性不负任何责任。</w:t>
      </w:r>
    </w:p>
    <w:p>
      <w:pPr>
        <w:widowControl/>
        <w:tabs>
          <w:tab w:val="left" w:pos="0"/>
        </w:tabs>
        <w:spacing w:line="46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1.2代理机构在宣布递交谈判响应文件时间截止之后，拒绝接收任何人送达、递交的谈判响应文件；</w:t>
      </w:r>
    </w:p>
    <w:p>
      <w:pPr>
        <w:widowControl/>
        <w:tabs>
          <w:tab w:val="left" w:pos="0"/>
        </w:tabs>
        <w:spacing w:line="46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1.3代理机构不接受邮寄的谈判响应文件；</w:t>
      </w:r>
    </w:p>
    <w:p>
      <w:pPr>
        <w:widowControl/>
        <w:tabs>
          <w:tab w:val="left" w:pos="0"/>
        </w:tabs>
        <w:spacing w:line="46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1.4无论供应商成交与否，其谈判响应文件恕不退还。</w:t>
      </w:r>
    </w:p>
    <w:p>
      <w:pPr>
        <w:pStyle w:val="5"/>
        <w:numPr>
          <w:ilvl w:val="0"/>
          <w:numId w:val="16"/>
        </w:numPr>
        <w:ind w:firstLine="562" w:firstLineChars="200"/>
        <w:rPr>
          <w:rFonts w:hint="eastAsia" w:ascii="宋体" w:hAnsi="宋体" w:eastAsia="宋体" w:cs="宋体"/>
          <w:highlight w:val="none"/>
        </w:rPr>
      </w:pPr>
      <w:bookmarkStart w:id="44" w:name="_Toc12741"/>
      <w:r>
        <w:rPr>
          <w:rFonts w:hint="eastAsia" w:ascii="宋体" w:hAnsi="宋体" w:eastAsia="宋体" w:cs="宋体"/>
          <w:highlight w:val="none"/>
        </w:rPr>
        <w:t>谈判响应文件的修改和撤回</w:t>
      </w:r>
      <w:bookmarkEnd w:id="44"/>
    </w:p>
    <w:p>
      <w:pPr>
        <w:widowControl/>
        <w:tabs>
          <w:tab w:val="left" w:pos="0"/>
        </w:tabs>
        <w:spacing w:line="46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在谈判截止时间之后，供应商不得对其递交的谈判响应文件做任何修改或撤回。</w:t>
      </w:r>
    </w:p>
    <w:p>
      <w:pPr>
        <w:widowControl/>
        <w:numPr>
          <w:ilvl w:val="0"/>
          <w:numId w:val="6"/>
        </w:numPr>
        <w:spacing w:line="360" w:lineRule="auto"/>
        <w:ind w:firstLine="643" w:firstLineChars="200"/>
        <w:jc w:val="center"/>
        <w:outlineLvl w:val="1"/>
        <w:rPr>
          <w:rFonts w:hint="eastAsia" w:ascii="宋体" w:hAnsi="宋体" w:eastAsia="宋体" w:cs="宋体"/>
          <w:b/>
          <w:bCs/>
          <w:kern w:val="0"/>
          <w:sz w:val="32"/>
          <w:szCs w:val="28"/>
          <w:highlight w:val="none"/>
        </w:rPr>
      </w:pPr>
      <w:bookmarkStart w:id="45" w:name="_Toc27066"/>
      <w:bookmarkStart w:id="46" w:name="_Toc14415"/>
      <w:bookmarkStart w:id="47" w:name="_Toc14967"/>
      <w:r>
        <w:rPr>
          <w:rFonts w:hint="eastAsia" w:ascii="宋体" w:hAnsi="宋体" w:eastAsia="宋体" w:cs="宋体"/>
          <w:b/>
          <w:bCs/>
          <w:kern w:val="0"/>
          <w:sz w:val="32"/>
          <w:szCs w:val="28"/>
          <w:highlight w:val="none"/>
        </w:rPr>
        <w:t>谈判、评审、定标</w:t>
      </w:r>
      <w:bookmarkEnd w:id="45"/>
      <w:bookmarkEnd w:id="46"/>
      <w:bookmarkEnd w:id="47"/>
    </w:p>
    <w:p>
      <w:pPr>
        <w:pStyle w:val="5"/>
        <w:numPr>
          <w:ilvl w:val="0"/>
          <w:numId w:val="17"/>
        </w:numPr>
        <w:ind w:firstLine="562" w:firstLineChars="200"/>
        <w:rPr>
          <w:rFonts w:hint="eastAsia" w:ascii="宋体" w:hAnsi="宋体" w:eastAsia="宋体" w:cs="宋体"/>
          <w:highlight w:val="none"/>
        </w:rPr>
      </w:pPr>
      <w:r>
        <w:rPr>
          <w:rFonts w:hint="eastAsia" w:ascii="宋体" w:hAnsi="宋体" w:eastAsia="宋体" w:cs="宋体"/>
          <w:highlight w:val="none"/>
        </w:rPr>
        <w:t>谈判</w:t>
      </w:r>
    </w:p>
    <w:p>
      <w:pPr>
        <w:widowControl/>
        <w:tabs>
          <w:tab w:val="left" w:pos="0"/>
        </w:tabs>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1.1采购代理机构按谈判公告中规定的时间和地点接收供应商递交的响应文件，主持谈判会议，邀请供应商代表参加。</w:t>
      </w:r>
    </w:p>
    <w:p>
      <w:pPr>
        <w:widowControl/>
        <w:tabs>
          <w:tab w:val="left" w:pos="0"/>
        </w:tabs>
        <w:spacing w:line="500" w:lineRule="exact"/>
        <w:ind w:firstLine="48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zCs w:val="24"/>
          <w:highlight w:val="none"/>
        </w:rPr>
        <w:t>1.2 谈判时，由供应商或者其推选的代表检查响应文件的密封情况；经确认无误后，由采购代理机构工作人员拆封。代理机构指定专人负责将供应商的名称、项目名称、响应价格等进行记录，并存档备案。</w:t>
      </w:r>
    </w:p>
    <w:p>
      <w:pPr>
        <w:tabs>
          <w:tab w:val="left" w:pos="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1.3谈判时，谈判响应文件中出现下列情况，修正原则为：</w:t>
      </w:r>
    </w:p>
    <w:p>
      <w:pPr>
        <w:widowControl/>
        <w:numPr>
          <w:ilvl w:val="0"/>
          <w:numId w:val="18"/>
        </w:numPr>
        <w:tabs>
          <w:tab w:val="left" w:pos="0"/>
        </w:tabs>
        <w:spacing w:line="500" w:lineRule="exact"/>
        <w:jc w:val="left"/>
        <w:rPr>
          <w:rFonts w:hint="eastAsia" w:ascii="宋体" w:hAnsi="宋体" w:eastAsia="宋体" w:cs="宋体"/>
          <w:szCs w:val="24"/>
          <w:highlight w:val="none"/>
        </w:rPr>
      </w:pPr>
      <w:r>
        <w:rPr>
          <w:rFonts w:hint="eastAsia" w:ascii="宋体" w:hAnsi="宋体" w:eastAsia="宋体" w:cs="宋体"/>
          <w:szCs w:val="24"/>
          <w:highlight w:val="none"/>
        </w:rPr>
        <w:t>谈判文件中响应一览表（报价表）内容与响应文件中相应内容不一致的，以响应一览表（报价表）为准；</w:t>
      </w:r>
    </w:p>
    <w:p>
      <w:pPr>
        <w:widowControl/>
        <w:numPr>
          <w:ilvl w:val="0"/>
          <w:numId w:val="18"/>
        </w:numPr>
        <w:tabs>
          <w:tab w:val="left" w:pos="0"/>
        </w:tabs>
        <w:spacing w:line="500" w:lineRule="exact"/>
        <w:jc w:val="left"/>
        <w:rPr>
          <w:rFonts w:hint="eastAsia" w:ascii="宋体" w:hAnsi="宋体" w:eastAsia="宋体" w:cs="宋体"/>
          <w:szCs w:val="24"/>
          <w:highlight w:val="none"/>
        </w:rPr>
      </w:pPr>
      <w:r>
        <w:rPr>
          <w:rFonts w:hint="eastAsia" w:ascii="宋体" w:hAnsi="宋体" w:eastAsia="宋体" w:cs="宋体"/>
          <w:szCs w:val="24"/>
          <w:highlight w:val="none"/>
        </w:rPr>
        <w:t>大写金额和小写金额不一致的，以大写金额为准；</w:t>
      </w:r>
    </w:p>
    <w:p>
      <w:pPr>
        <w:widowControl/>
        <w:numPr>
          <w:ilvl w:val="0"/>
          <w:numId w:val="18"/>
        </w:numPr>
        <w:tabs>
          <w:tab w:val="left" w:pos="0"/>
        </w:tabs>
        <w:spacing w:line="500" w:lineRule="exact"/>
        <w:jc w:val="left"/>
        <w:rPr>
          <w:rFonts w:hint="eastAsia" w:ascii="宋体" w:hAnsi="宋体" w:eastAsia="宋体" w:cs="宋体"/>
          <w:szCs w:val="24"/>
          <w:highlight w:val="none"/>
        </w:rPr>
      </w:pPr>
      <w:r>
        <w:rPr>
          <w:rFonts w:hint="eastAsia" w:ascii="宋体" w:hAnsi="宋体" w:eastAsia="宋体" w:cs="宋体"/>
          <w:szCs w:val="24"/>
          <w:highlight w:val="none"/>
        </w:rPr>
        <w:t>单价金额小数点或者百分比有明显错位的，以响应一览表的总价为准，并修改单价；</w:t>
      </w:r>
    </w:p>
    <w:p>
      <w:pPr>
        <w:widowControl/>
        <w:numPr>
          <w:ilvl w:val="0"/>
          <w:numId w:val="18"/>
        </w:numPr>
        <w:tabs>
          <w:tab w:val="left" w:pos="0"/>
        </w:tabs>
        <w:spacing w:line="500" w:lineRule="exact"/>
        <w:jc w:val="left"/>
        <w:rPr>
          <w:rFonts w:hint="eastAsia" w:ascii="宋体" w:hAnsi="宋体" w:eastAsia="宋体" w:cs="宋体"/>
          <w:szCs w:val="24"/>
          <w:highlight w:val="none"/>
        </w:rPr>
      </w:pPr>
      <w:r>
        <w:rPr>
          <w:rFonts w:hint="eastAsia" w:ascii="宋体" w:hAnsi="宋体" w:eastAsia="宋体" w:cs="宋体"/>
          <w:szCs w:val="24"/>
          <w:highlight w:val="none"/>
        </w:rPr>
        <w:t xml:space="preserve">总价金额与按单价汇总金额不一致的，以单价金额计算结果为准； </w:t>
      </w:r>
    </w:p>
    <w:p>
      <w:pPr>
        <w:widowControl/>
        <w:numPr>
          <w:ilvl w:val="0"/>
          <w:numId w:val="18"/>
        </w:numPr>
        <w:tabs>
          <w:tab w:val="left" w:pos="0"/>
        </w:tabs>
        <w:spacing w:line="500" w:lineRule="exact"/>
        <w:jc w:val="left"/>
        <w:rPr>
          <w:rFonts w:hint="eastAsia" w:ascii="宋体" w:hAnsi="宋体" w:eastAsia="宋体" w:cs="宋体"/>
          <w:szCs w:val="24"/>
          <w:highlight w:val="none"/>
        </w:rPr>
      </w:pPr>
      <w:r>
        <w:rPr>
          <w:rFonts w:hint="eastAsia" w:ascii="宋体" w:hAnsi="宋体" w:eastAsia="宋体" w:cs="宋体"/>
          <w:szCs w:val="24"/>
          <w:highlight w:val="none"/>
        </w:rPr>
        <w:t>响应文件正本与副本不一致的，以正本为准；</w:t>
      </w:r>
    </w:p>
    <w:p>
      <w:pPr>
        <w:widowControl/>
        <w:numPr>
          <w:ilvl w:val="0"/>
          <w:numId w:val="18"/>
        </w:numPr>
        <w:tabs>
          <w:tab w:val="left" w:pos="0"/>
        </w:tabs>
        <w:spacing w:line="500" w:lineRule="exact"/>
        <w:jc w:val="left"/>
        <w:rPr>
          <w:rFonts w:hint="eastAsia" w:ascii="宋体" w:hAnsi="宋体" w:eastAsia="宋体" w:cs="宋体"/>
          <w:szCs w:val="24"/>
          <w:highlight w:val="none"/>
        </w:rPr>
      </w:pPr>
      <w:r>
        <w:rPr>
          <w:rFonts w:hint="eastAsia" w:ascii="宋体" w:hAnsi="宋体" w:eastAsia="宋体" w:cs="宋体"/>
          <w:szCs w:val="24"/>
          <w:highlight w:val="none"/>
        </w:rPr>
        <w:t>谈判响应文件中单独密封递交的响应一览表内容与谈判响应文件中明细表内容与正本不一致的，以单独密封递交的响应一览表为准；</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 xml:space="preserve">同时出现两种以上不一致的，按照前款规定的顺序修正。 </w:t>
      </w:r>
    </w:p>
    <w:p>
      <w:pPr>
        <w:pStyle w:val="5"/>
        <w:numPr>
          <w:ilvl w:val="0"/>
          <w:numId w:val="17"/>
        </w:numPr>
        <w:rPr>
          <w:rFonts w:hint="eastAsia" w:ascii="宋体" w:hAnsi="宋体" w:eastAsia="宋体" w:cs="宋体"/>
          <w:highlight w:val="none"/>
        </w:rPr>
      </w:pPr>
      <w:r>
        <w:rPr>
          <w:rFonts w:hint="eastAsia" w:ascii="宋体" w:hAnsi="宋体" w:eastAsia="宋体" w:cs="宋体"/>
          <w:highlight w:val="none"/>
        </w:rPr>
        <w:t>谈判小组</w:t>
      </w:r>
    </w:p>
    <w:p>
      <w:pPr>
        <w:widowControl/>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2.1采购人将根据本次采购项目的特点，参照《中华人民共和国政府采购法》等有关规定组建谈判小组。</w:t>
      </w:r>
    </w:p>
    <w:p>
      <w:pPr>
        <w:widowControl/>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2.2谈判小组由采购人代表和有关技术、经济等方面的专家组成，谈判小组产生方式符合国家和地方有关评审专家产生方式的规定。谈判小组负责评审活动。</w:t>
      </w:r>
    </w:p>
    <w:p>
      <w:pPr>
        <w:widowControl/>
        <w:spacing w:line="360" w:lineRule="auto"/>
        <w:ind w:firstLine="480" w:firstLineChars="200"/>
        <w:rPr>
          <w:rFonts w:hint="eastAsia" w:ascii="宋体" w:hAnsi="宋体" w:eastAsia="宋体" w:cs="宋体"/>
          <w:b/>
          <w:szCs w:val="24"/>
          <w:highlight w:val="none"/>
        </w:rPr>
      </w:pPr>
      <w:r>
        <w:rPr>
          <w:rFonts w:hint="eastAsia" w:ascii="宋体" w:hAnsi="宋体" w:eastAsia="宋体" w:cs="宋体"/>
          <w:kern w:val="0"/>
          <w:highlight w:val="none"/>
        </w:rPr>
        <w:t>2.3谈判小组对各供应商的谈判响应文件进行审查、评估和比较，并推荐出成交候选人。</w:t>
      </w:r>
    </w:p>
    <w:p>
      <w:pPr>
        <w:pStyle w:val="5"/>
        <w:numPr>
          <w:ilvl w:val="0"/>
          <w:numId w:val="17"/>
        </w:numPr>
        <w:rPr>
          <w:rFonts w:hint="eastAsia" w:ascii="宋体" w:hAnsi="宋体" w:eastAsia="宋体" w:cs="宋体"/>
          <w:highlight w:val="none"/>
        </w:rPr>
      </w:pPr>
      <w:bookmarkStart w:id="48" w:name="_Toc386129876"/>
      <w:bookmarkStart w:id="49" w:name="_Toc28085"/>
      <w:bookmarkStart w:id="50" w:name="_Toc385958808"/>
      <w:bookmarkStart w:id="51" w:name="_Toc27940"/>
      <w:r>
        <w:rPr>
          <w:rFonts w:hint="eastAsia" w:ascii="宋体" w:hAnsi="宋体" w:eastAsia="宋体" w:cs="宋体"/>
          <w:highlight w:val="none"/>
        </w:rPr>
        <w:t>谈判响应文件初审</w:t>
      </w:r>
      <w:bookmarkEnd w:id="48"/>
      <w:bookmarkEnd w:id="49"/>
      <w:bookmarkEnd w:id="50"/>
      <w:bookmarkEnd w:id="51"/>
    </w:p>
    <w:p>
      <w:pPr>
        <w:overflowPunct w:val="0"/>
        <w:adjustRightInd w:val="0"/>
        <w:snapToGrid w:val="0"/>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3.1谈判响应文件的资格性审查</w:t>
      </w:r>
    </w:p>
    <w:p>
      <w:pPr>
        <w:overflowPunct w:val="0"/>
        <w:adjustRightInd w:val="0"/>
        <w:snapToGrid w:val="0"/>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依据法律法规和</w:t>
      </w:r>
      <w:r>
        <w:rPr>
          <w:rFonts w:hint="eastAsia" w:ascii="宋体" w:hAnsi="宋体" w:eastAsia="宋体" w:cs="宋体"/>
          <w:color w:val="000000"/>
          <w:kern w:val="0"/>
          <w:sz w:val="24"/>
          <w:highlight w:val="none"/>
          <w:lang w:eastAsia="zh-CN"/>
        </w:rPr>
        <w:t>单一来源</w:t>
      </w:r>
      <w:r>
        <w:rPr>
          <w:rFonts w:hint="eastAsia" w:ascii="宋体" w:hAnsi="宋体" w:eastAsia="宋体" w:cs="宋体"/>
          <w:color w:val="000000"/>
          <w:kern w:val="0"/>
          <w:sz w:val="24"/>
          <w:highlight w:val="none"/>
        </w:rPr>
        <w:t>文件的规定，对响应文件中的资格证明文件、保证金等进行审查，以确保供应商是否具备相应资格。</w:t>
      </w:r>
    </w:p>
    <w:p>
      <w:pPr>
        <w:overflowPunct w:val="0"/>
        <w:adjustRightInd w:val="0"/>
        <w:snapToGrid w:val="0"/>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3.2谈判响应文件符合性审查</w:t>
      </w:r>
    </w:p>
    <w:p>
      <w:pPr>
        <w:overflowPunct w:val="0"/>
        <w:adjustRightInd w:val="0"/>
        <w:snapToGrid w:val="0"/>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依据谈判文件的规定，由谈判小组从谈判响应文件的有效性、完整性和对谈判文件的响应程度进行审查，以确定是否对谈判文件的实质性内容作出响应。</w:t>
      </w:r>
    </w:p>
    <w:tbl>
      <w:tblPr>
        <w:tblStyle w:val="24"/>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366"/>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80" w:type="dxa"/>
            <w:vMerge w:val="restart"/>
            <w:noWrap w:val="0"/>
            <w:vAlign w:val="center"/>
          </w:tcPr>
          <w:p>
            <w:pPr>
              <w:overflowPunct w:val="0"/>
              <w:adjustRightInd w:val="0"/>
              <w:snapToGrid w:val="0"/>
              <w:spacing w:line="50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符合性审查</w:t>
            </w:r>
          </w:p>
        </w:tc>
        <w:tc>
          <w:tcPr>
            <w:tcW w:w="366" w:type="dxa"/>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6953" w:type="dxa"/>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80" w:type="dxa"/>
            <w:vMerge w:val="continue"/>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p>
        </w:tc>
        <w:tc>
          <w:tcPr>
            <w:tcW w:w="366" w:type="dxa"/>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6953" w:type="dxa"/>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交货期、保修</w:t>
            </w:r>
            <w:r>
              <w:rPr>
                <w:rFonts w:hint="eastAsia" w:ascii="宋体" w:hAnsi="宋体" w:eastAsia="宋体" w:cs="宋体"/>
                <w:color w:val="000000"/>
                <w:kern w:val="0"/>
                <w:sz w:val="24"/>
                <w:szCs w:val="24"/>
                <w:highlight w:val="none"/>
                <w:lang w:eastAsia="zh-CN"/>
              </w:rPr>
              <w:t>期</w:t>
            </w:r>
            <w:r>
              <w:rPr>
                <w:rFonts w:hint="eastAsia" w:ascii="宋体" w:hAnsi="宋体" w:eastAsia="宋体" w:cs="宋体"/>
                <w:color w:val="000000"/>
                <w:kern w:val="0"/>
                <w:sz w:val="24"/>
                <w:szCs w:val="24"/>
                <w:highlight w:val="none"/>
              </w:rPr>
              <w:t>是否满足</w:t>
            </w:r>
            <w:r>
              <w:rPr>
                <w:rFonts w:hint="eastAsia" w:ascii="宋体" w:hAnsi="宋体" w:eastAsia="宋体" w:cs="宋体"/>
                <w:color w:val="000000"/>
                <w:kern w:val="0"/>
                <w:sz w:val="24"/>
                <w:szCs w:val="24"/>
                <w:highlight w:val="none"/>
                <w:lang w:val="en-US" w:eastAsia="zh-CN"/>
              </w:rPr>
              <w:t>单一来源</w:t>
            </w:r>
            <w:r>
              <w:rPr>
                <w:rFonts w:hint="eastAsia" w:ascii="宋体" w:hAnsi="宋体" w:eastAsia="宋体" w:cs="宋体"/>
                <w:color w:val="000000"/>
                <w:kern w:val="0"/>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80" w:type="dxa"/>
            <w:vMerge w:val="continue"/>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p>
        </w:tc>
        <w:tc>
          <w:tcPr>
            <w:tcW w:w="366" w:type="dxa"/>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6953" w:type="dxa"/>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响应文件签字、盖章、装订是否满足</w:t>
            </w:r>
            <w:r>
              <w:rPr>
                <w:rFonts w:hint="eastAsia" w:ascii="宋体" w:hAnsi="宋体" w:eastAsia="宋体" w:cs="宋体"/>
                <w:color w:val="000000"/>
                <w:kern w:val="0"/>
                <w:sz w:val="24"/>
                <w:szCs w:val="24"/>
                <w:highlight w:val="none"/>
                <w:lang w:val="en-US" w:eastAsia="zh-CN"/>
              </w:rPr>
              <w:t>单一来源</w:t>
            </w:r>
            <w:r>
              <w:rPr>
                <w:rFonts w:hint="eastAsia" w:ascii="宋体" w:hAnsi="宋体" w:eastAsia="宋体" w:cs="宋体"/>
                <w:color w:val="000000"/>
                <w:kern w:val="0"/>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80" w:type="dxa"/>
            <w:vMerge w:val="continue"/>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p>
        </w:tc>
        <w:tc>
          <w:tcPr>
            <w:tcW w:w="366" w:type="dxa"/>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6953" w:type="dxa"/>
            <w:noWrap w:val="0"/>
            <w:vAlign w:val="top"/>
          </w:tcPr>
          <w:p>
            <w:pPr>
              <w:overflowPunct w:val="0"/>
              <w:adjustRightInd w:val="0"/>
              <w:snapToGrid w:val="0"/>
              <w:spacing w:line="50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响应</w:t>
            </w:r>
            <w:r>
              <w:rPr>
                <w:rFonts w:hint="eastAsia" w:ascii="宋体" w:hAnsi="宋体" w:eastAsia="宋体" w:cs="宋体"/>
                <w:color w:val="000000"/>
                <w:kern w:val="0"/>
                <w:sz w:val="24"/>
                <w:szCs w:val="24"/>
                <w:highlight w:val="none"/>
              </w:rPr>
              <w:t>有效期是否满足</w:t>
            </w:r>
            <w:r>
              <w:rPr>
                <w:rFonts w:hint="eastAsia" w:ascii="宋体" w:hAnsi="宋体" w:eastAsia="宋体" w:cs="宋体"/>
                <w:color w:val="000000"/>
                <w:kern w:val="0"/>
                <w:sz w:val="24"/>
                <w:szCs w:val="24"/>
                <w:highlight w:val="none"/>
                <w:lang w:val="en-US" w:eastAsia="zh-CN"/>
              </w:rPr>
              <w:t>单一来源</w:t>
            </w:r>
            <w:r>
              <w:rPr>
                <w:rFonts w:hint="eastAsia" w:ascii="宋体" w:hAnsi="宋体" w:eastAsia="宋体" w:cs="宋体"/>
                <w:color w:val="000000"/>
                <w:kern w:val="0"/>
                <w:sz w:val="24"/>
                <w:szCs w:val="24"/>
                <w:highlight w:val="none"/>
              </w:rPr>
              <w:t>文件要求</w:t>
            </w:r>
          </w:p>
        </w:tc>
      </w:tr>
    </w:tbl>
    <w:p>
      <w:pPr>
        <w:overflowPunct w:val="0"/>
        <w:adjustRightInd w:val="0"/>
        <w:snapToGrid w:val="0"/>
        <w:spacing w:line="360" w:lineRule="auto"/>
        <w:ind w:firstLine="480" w:firstLineChars="200"/>
        <w:rPr>
          <w:rFonts w:hint="eastAsia" w:ascii="宋体" w:hAnsi="宋体" w:eastAsia="宋体" w:cs="宋体"/>
          <w:kern w:val="0"/>
          <w:highlight w:val="none"/>
        </w:rPr>
      </w:pPr>
    </w:p>
    <w:p>
      <w:pPr>
        <w:overflowPunct w:val="0"/>
        <w:adjustRightInd w:val="0"/>
        <w:snapToGrid w:val="0"/>
        <w:spacing w:line="360" w:lineRule="auto"/>
        <w:ind w:firstLine="480" w:firstLineChars="200"/>
        <w:rPr>
          <w:rFonts w:hint="eastAsia" w:ascii="宋体" w:hAnsi="宋体" w:eastAsia="宋体" w:cs="宋体"/>
          <w:kern w:val="0"/>
          <w:highlight w:val="none"/>
        </w:rPr>
      </w:pPr>
      <w:r>
        <w:rPr>
          <w:rFonts w:hint="eastAsia" w:ascii="宋体" w:hAnsi="宋体" w:eastAsia="宋体" w:cs="宋体"/>
          <w:kern w:val="0"/>
          <w:highlight w:val="none"/>
        </w:rPr>
        <w:t>3.3经过对供应商及谈判响应文件审查，出现下列情况者（但不限于），按无效谈判处理。</w:t>
      </w:r>
    </w:p>
    <w:p>
      <w:pPr>
        <w:numPr>
          <w:ilvl w:val="0"/>
          <w:numId w:val="19"/>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供应商未经过正常渠道购买谈判文件，或供应商名称与购买谈判文件时登记的供应商名称不符的；</w:t>
      </w:r>
    </w:p>
    <w:p>
      <w:pPr>
        <w:numPr>
          <w:ilvl w:val="0"/>
          <w:numId w:val="19"/>
        </w:numPr>
        <w:spacing w:line="360" w:lineRule="auto"/>
        <w:ind w:firstLine="480" w:firstLineChars="200"/>
        <w:rPr>
          <w:rFonts w:hint="eastAsia" w:ascii="宋体" w:hAnsi="宋体" w:eastAsia="宋体" w:cs="宋体"/>
          <w:highlight w:val="none"/>
        </w:rPr>
      </w:pPr>
      <w:r>
        <w:rPr>
          <w:rFonts w:hint="eastAsia" w:ascii="宋体" w:hAnsi="宋体" w:eastAsia="宋体" w:cs="宋体"/>
          <w:szCs w:val="24"/>
          <w:highlight w:val="none"/>
        </w:rPr>
        <w:t>供应商未按照谈判文件要求交纳谈判保证金的或谈判保证金的交付单位和供应商的名称不一致，视为无效响应</w:t>
      </w:r>
      <w:r>
        <w:rPr>
          <w:rFonts w:hint="eastAsia" w:ascii="宋体" w:hAnsi="宋体" w:eastAsia="宋体" w:cs="宋体"/>
          <w:highlight w:val="none"/>
        </w:rPr>
        <w:t>；</w:t>
      </w:r>
    </w:p>
    <w:p>
      <w:pPr>
        <w:numPr>
          <w:ilvl w:val="0"/>
          <w:numId w:val="19"/>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供应商针对同一项目递交两份或多份内容不同的谈判响应文件，未书面声明哪一份是有效的或出现选择性报价的；</w:t>
      </w:r>
    </w:p>
    <w:p>
      <w:pPr>
        <w:numPr>
          <w:ilvl w:val="0"/>
          <w:numId w:val="19"/>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供应商未按谈判文件要求提供产品的技术参数及产品供货渠道不明确的；</w:t>
      </w:r>
    </w:p>
    <w:p>
      <w:pPr>
        <w:numPr>
          <w:ilvl w:val="0"/>
          <w:numId w:val="19"/>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响应报价出现漏项或货物数量与要求不符的；</w:t>
      </w:r>
    </w:p>
    <w:p>
      <w:pPr>
        <w:numPr>
          <w:ilvl w:val="0"/>
          <w:numId w:val="19"/>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响应产品的技术参数、性能指标与谈判文件要求出现重大负偏差的；或者提供虚假证明（包括第三方的虚假证明），除按无效文件处理外，还将按照政府采购法的有关规定进行处罚；</w:t>
      </w:r>
    </w:p>
    <w:p>
      <w:pPr>
        <w:numPr>
          <w:ilvl w:val="0"/>
          <w:numId w:val="19"/>
        </w:numPr>
        <w:spacing w:line="360" w:lineRule="auto"/>
        <w:ind w:firstLine="480" w:firstLineChars="200"/>
        <w:rPr>
          <w:rFonts w:hint="eastAsia" w:ascii="宋体" w:hAnsi="宋体" w:eastAsia="宋体" w:cs="宋体"/>
          <w:kern w:val="0"/>
          <w:highlight w:val="none"/>
        </w:rPr>
      </w:pPr>
      <w:r>
        <w:rPr>
          <w:rFonts w:hint="eastAsia" w:ascii="宋体" w:hAnsi="宋体" w:eastAsia="宋体" w:cs="宋体"/>
          <w:highlight w:val="none"/>
        </w:rPr>
        <w:t>如澄清、补正、说明的内容与谈判响应文件内容有重大相悖或矛盾，将被认定为无效谈判。</w:t>
      </w:r>
    </w:p>
    <w:p>
      <w:pPr>
        <w:pStyle w:val="5"/>
        <w:numPr>
          <w:ilvl w:val="0"/>
          <w:numId w:val="17"/>
        </w:numPr>
        <w:rPr>
          <w:rFonts w:hint="eastAsia" w:ascii="宋体" w:hAnsi="宋体" w:eastAsia="宋体" w:cs="宋体"/>
          <w:highlight w:val="none"/>
        </w:rPr>
      </w:pPr>
      <w:bookmarkStart w:id="52" w:name="_Toc17705"/>
      <w:r>
        <w:rPr>
          <w:rFonts w:hint="eastAsia" w:ascii="宋体" w:hAnsi="宋体" w:eastAsia="宋体" w:cs="宋体"/>
          <w:highlight w:val="none"/>
        </w:rPr>
        <w:t>谈判响应文件澄清</w:t>
      </w:r>
      <w:bookmarkEnd w:id="52"/>
    </w:p>
    <w:p>
      <w:pPr>
        <w:overflowPunct w:val="0"/>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4.1在评审期间,采购代理机构可根据谈判小组对其谈判响应文件有疑义不清楚的内容，要求供应商对其谈判响应文件进行澄清，有关澄清的要求和答复应以书面形式提交，</w:t>
      </w:r>
      <w:r>
        <w:rPr>
          <w:rFonts w:hint="eastAsia" w:ascii="宋体" w:hAnsi="宋体" w:eastAsia="宋体" w:cs="宋体"/>
          <w:szCs w:val="24"/>
          <w:highlight w:val="none"/>
        </w:rPr>
        <w:t>如谈判小组未变动实质性采购需求，供应商</w:t>
      </w:r>
      <w:r>
        <w:rPr>
          <w:rFonts w:hint="eastAsia" w:ascii="宋体" w:hAnsi="宋体" w:eastAsia="宋体" w:cs="宋体"/>
          <w:highlight w:val="none"/>
        </w:rPr>
        <w:t>不得对实质性内容进行变动。</w:t>
      </w:r>
    </w:p>
    <w:p>
      <w:pPr>
        <w:overflowPunct w:val="0"/>
        <w:adjustRightInd w:val="0"/>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4.2供应商应采用书面形式进行澄清或说明，但不得超出谈判响应文件的范围或改变谈判响应文件的实质性内容。</w:t>
      </w:r>
    </w:p>
    <w:p>
      <w:pPr>
        <w:pStyle w:val="5"/>
        <w:numPr>
          <w:ilvl w:val="0"/>
          <w:numId w:val="17"/>
        </w:numPr>
        <w:rPr>
          <w:rFonts w:hint="eastAsia" w:ascii="宋体" w:hAnsi="宋体" w:eastAsia="宋体" w:cs="宋体"/>
          <w:highlight w:val="none"/>
        </w:rPr>
      </w:pPr>
      <w:r>
        <w:rPr>
          <w:rFonts w:hint="eastAsia" w:ascii="宋体" w:hAnsi="宋体" w:eastAsia="宋体" w:cs="宋体"/>
          <w:highlight w:val="none"/>
        </w:rPr>
        <w:t>评审</w:t>
      </w:r>
    </w:p>
    <w:p>
      <w:pPr>
        <w:spacing w:line="360" w:lineRule="auto"/>
        <w:ind w:firstLine="480" w:firstLineChars="200"/>
        <w:rPr>
          <w:rFonts w:hint="eastAsia" w:ascii="宋体" w:hAnsi="宋体" w:eastAsia="宋体" w:cs="宋体"/>
          <w:highlight w:val="none"/>
        </w:rPr>
      </w:pPr>
      <w:bookmarkStart w:id="53" w:name="_Toc12947"/>
      <w:r>
        <w:rPr>
          <w:rFonts w:hint="eastAsia" w:ascii="宋体" w:hAnsi="宋体" w:eastAsia="宋体" w:cs="宋体"/>
          <w:highlight w:val="none"/>
        </w:rPr>
        <w:t>5.1谈判小组有权对在谈判、评审过程中出现的一切问题，根据《中华人民共和国政府采购法》和《政府采购非招标采购方式管理办法》的条款，本着公开、公平、公正的原则进行处理。</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5.2谈判小组只对实质上响应采购文件的投标进行评价和比较；评审应严格按照谈判文件的要求和条件进行；具体评审原则和成交条件详见采购文件第四部分“评审办法”。</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5.3出现下列情形之一的，采购人或者采购代理机构应当终止采购活动，发布项目终止公告并说明原因，重新开展采购活动：</w:t>
      </w:r>
    </w:p>
    <w:p>
      <w:pPr>
        <w:overflowPunct w:val="0"/>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（1）因情况变化，不再符合规定的单一来源采购方式适用情形的；</w:t>
      </w:r>
    </w:p>
    <w:p>
      <w:pPr>
        <w:overflowPunct w:val="0"/>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overflowPunct w:val="0"/>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（3）报价超过采购预算的。</w:t>
      </w:r>
    </w:p>
    <w:p>
      <w:pPr>
        <w:pStyle w:val="5"/>
        <w:numPr>
          <w:ilvl w:val="0"/>
          <w:numId w:val="17"/>
        </w:numPr>
        <w:rPr>
          <w:rFonts w:hint="eastAsia" w:ascii="宋体" w:hAnsi="宋体" w:eastAsia="宋体" w:cs="宋体"/>
          <w:highlight w:val="none"/>
        </w:rPr>
      </w:pPr>
      <w:r>
        <w:rPr>
          <w:rFonts w:hint="eastAsia" w:ascii="宋体" w:hAnsi="宋体" w:eastAsia="宋体" w:cs="宋体"/>
          <w:sz w:val="24"/>
          <w:highlight w:val="none"/>
        </w:rPr>
        <w:t xml:space="preserve"> </w:t>
      </w:r>
      <w:r>
        <w:rPr>
          <w:rFonts w:hint="eastAsia" w:ascii="宋体" w:hAnsi="宋体" w:eastAsia="宋体" w:cs="宋体"/>
          <w:highlight w:val="none"/>
        </w:rPr>
        <w:t>定标</w:t>
      </w:r>
      <w:bookmarkEnd w:id="53"/>
    </w:p>
    <w:p>
      <w:pPr>
        <w:spacing w:line="360" w:lineRule="auto"/>
        <w:ind w:left="420"/>
        <w:jc w:val="left"/>
        <w:rPr>
          <w:rFonts w:hint="eastAsia" w:ascii="宋体" w:hAnsi="宋体" w:eastAsia="宋体" w:cs="宋体"/>
          <w:highlight w:val="none"/>
        </w:rPr>
      </w:pPr>
      <w:r>
        <w:rPr>
          <w:rFonts w:hint="eastAsia" w:ascii="宋体" w:hAnsi="宋体" w:eastAsia="宋体" w:cs="宋体"/>
          <w:highlight w:val="none"/>
        </w:rPr>
        <w:t>6.1代理机构在评审结束后2个工作日内将评审报告送达采购单位，采购单</w:t>
      </w:r>
    </w:p>
    <w:p>
      <w:pPr>
        <w:spacing w:line="360" w:lineRule="auto"/>
        <w:jc w:val="left"/>
        <w:rPr>
          <w:rFonts w:hint="eastAsia" w:ascii="宋体" w:hAnsi="宋体" w:eastAsia="宋体" w:cs="宋体"/>
          <w:highlight w:val="none"/>
        </w:rPr>
      </w:pPr>
      <w:r>
        <w:rPr>
          <w:rFonts w:hint="eastAsia" w:ascii="宋体" w:hAnsi="宋体" w:eastAsia="宋体" w:cs="宋体"/>
          <w:highlight w:val="none"/>
        </w:rPr>
        <w:t>位在收到评审报告后5个工作日内，按照评审报告中推荐的成交候选人顺序确认第一成交候选人为成交单位，同时书面复函代理机构；</w:t>
      </w:r>
    </w:p>
    <w:p>
      <w:pPr>
        <w:spacing w:line="360" w:lineRule="auto"/>
        <w:ind w:left="420"/>
        <w:jc w:val="left"/>
        <w:rPr>
          <w:rFonts w:hint="eastAsia" w:ascii="宋体" w:hAnsi="宋体" w:eastAsia="宋体" w:cs="宋体"/>
          <w:highlight w:val="none"/>
        </w:rPr>
      </w:pPr>
      <w:r>
        <w:rPr>
          <w:rFonts w:hint="eastAsia" w:ascii="宋体" w:hAnsi="宋体" w:eastAsia="宋体" w:cs="宋体"/>
          <w:highlight w:val="none"/>
        </w:rPr>
        <w:t>6.2代理机构收到采购单位“</w:t>
      </w:r>
      <w:r>
        <w:rPr>
          <w:rFonts w:hint="eastAsia" w:ascii="宋体" w:hAnsi="宋体" w:eastAsia="宋体" w:cs="宋体"/>
          <w:highlight w:val="none"/>
          <w:lang w:eastAsia="zh-CN"/>
        </w:rPr>
        <w:t>成交</w:t>
      </w:r>
      <w:r>
        <w:rPr>
          <w:rFonts w:hint="eastAsia" w:ascii="宋体" w:hAnsi="宋体" w:eastAsia="宋体" w:cs="宋体"/>
          <w:highlight w:val="none"/>
        </w:rPr>
        <w:t>复函”后2日内，在财政部门指定的政府</w:t>
      </w:r>
    </w:p>
    <w:p>
      <w:pPr>
        <w:spacing w:line="360" w:lineRule="auto"/>
        <w:jc w:val="left"/>
        <w:rPr>
          <w:rFonts w:hint="eastAsia" w:ascii="宋体" w:hAnsi="宋体" w:eastAsia="宋体" w:cs="宋体"/>
          <w:highlight w:val="none"/>
        </w:rPr>
      </w:pPr>
      <w:r>
        <w:rPr>
          <w:rFonts w:hint="eastAsia" w:ascii="宋体" w:hAnsi="宋体" w:eastAsia="宋体" w:cs="宋体"/>
          <w:highlight w:val="none"/>
        </w:rPr>
        <w:t>采购信息媒体上发布公告，并向成交供应商发出“成交通知书”。</w:t>
      </w:r>
    </w:p>
    <w:p>
      <w:pPr>
        <w:widowControl/>
        <w:numPr>
          <w:ilvl w:val="0"/>
          <w:numId w:val="6"/>
        </w:numPr>
        <w:spacing w:line="360" w:lineRule="auto"/>
        <w:ind w:firstLine="643" w:firstLineChars="200"/>
        <w:jc w:val="center"/>
        <w:outlineLvl w:val="1"/>
        <w:rPr>
          <w:rFonts w:hint="eastAsia" w:ascii="宋体" w:hAnsi="宋体" w:eastAsia="宋体" w:cs="宋体"/>
          <w:b/>
          <w:bCs/>
          <w:kern w:val="0"/>
          <w:sz w:val="32"/>
          <w:szCs w:val="28"/>
          <w:highlight w:val="none"/>
        </w:rPr>
      </w:pPr>
      <w:bookmarkStart w:id="54" w:name="_Toc25308"/>
      <w:bookmarkStart w:id="55" w:name="_Toc6599"/>
      <w:bookmarkStart w:id="56" w:name="_Toc19972"/>
      <w:r>
        <w:rPr>
          <w:rFonts w:hint="eastAsia" w:ascii="宋体" w:hAnsi="宋体" w:eastAsia="宋体" w:cs="宋体"/>
          <w:b/>
          <w:bCs/>
          <w:kern w:val="0"/>
          <w:sz w:val="32"/>
          <w:szCs w:val="28"/>
          <w:highlight w:val="none"/>
        </w:rPr>
        <w:t>签订合同</w:t>
      </w:r>
      <w:bookmarkEnd w:id="54"/>
      <w:bookmarkEnd w:id="55"/>
      <w:bookmarkEnd w:id="56"/>
    </w:p>
    <w:p>
      <w:pPr>
        <w:numPr>
          <w:ilvl w:val="0"/>
          <w:numId w:val="20"/>
        </w:numPr>
        <w:spacing w:line="360" w:lineRule="auto"/>
        <w:ind w:left="420"/>
        <w:jc w:val="left"/>
        <w:rPr>
          <w:rFonts w:hint="eastAsia" w:ascii="宋体" w:hAnsi="宋体" w:eastAsia="宋体" w:cs="宋体"/>
          <w:highlight w:val="none"/>
        </w:rPr>
      </w:pPr>
      <w:r>
        <w:rPr>
          <w:rFonts w:hint="eastAsia" w:ascii="宋体" w:hAnsi="宋体" w:eastAsia="宋体" w:cs="宋体"/>
          <w:highlight w:val="none"/>
        </w:rPr>
        <w:t>成交后，成交供应商与采购人洽谈合同条款，并签订供货合同，同时送</w:t>
      </w:r>
    </w:p>
    <w:p>
      <w:pPr>
        <w:spacing w:line="360" w:lineRule="auto"/>
        <w:jc w:val="left"/>
        <w:rPr>
          <w:rFonts w:hint="eastAsia" w:ascii="宋体" w:hAnsi="宋体" w:eastAsia="宋体" w:cs="宋体"/>
          <w:highlight w:val="none"/>
        </w:rPr>
      </w:pPr>
      <w:r>
        <w:rPr>
          <w:rFonts w:hint="eastAsia" w:ascii="宋体" w:hAnsi="宋体" w:eastAsia="宋体" w:cs="宋体"/>
          <w:highlight w:val="none"/>
        </w:rPr>
        <w:t>代理机构归档，谈判文件及成交供应商的谈判响应文件均作为合同的组成部分。</w:t>
      </w:r>
    </w:p>
    <w:p>
      <w:pPr>
        <w:numPr>
          <w:ilvl w:val="0"/>
          <w:numId w:val="20"/>
        </w:numPr>
        <w:spacing w:line="360" w:lineRule="auto"/>
        <w:ind w:left="420"/>
        <w:jc w:val="left"/>
        <w:rPr>
          <w:rFonts w:hint="eastAsia" w:ascii="宋体" w:hAnsi="宋体" w:eastAsia="宋体" w:cs="宋体"/>
          <w:highlight w:val="none"/>
        </w:rPr>
      </w:pPr>
      <w:r>
        <w:rPr>
          <w:rFonts w:hint="eastAsia" w:ascii="宋体" w:hAnsi="宋体" w:eastAsia="宋体" w:cs="宋体"/>
          <w:highlight w:val="none"/>
          <w:lang w:eastAsia="zh-CN"/>
        </w:rPr>
        <w:t>成交单位需在采购结果公告发布之日起</w:t>
      </w:r>
      <w:r>
        <w:rPr>
          <w:rFonts w:hint="eastAsia" w:ascii="宋体" w:hAnsi="宋体" w:eastAsia="宋体" w:cs="宋体"/>
          <w:highlight w:val="none"/>
          <w:lang w:val="en-US" w:eastAsia="zh-CN"/>
        </w:rPr>
        <w:t>3个工作日内，及时与采购人联系沟通合同相关事项。</w:t>
      </w:r>
    </w:p>
    <w:p>
      <w:pPr>
        <w:numPr>
          <w:ilvl w:val="0"/>
          <w:numId w:val="20"/>
        </w:numPr>
        <w:spacing w:line="360" w:lineRule="auto"/>
        <w:ind w:left="420"/>
        <w:jc w:val="left"/>
        <w:rPr>
          <w:rFonts w:hint="eastAsia" w:ascii="宋体" w:hAnsi="宋体" w:eastAsia="宋体" w:cs="宋体"/>
          <w:highlight w:val="none"/>
        </w:rPr>
      </w:pPr>
      <w:r>
        <w:rPr>
          <w:rFonts w:hint="eastAsia" w:ascii="宋体" w:hAnsi="宋体" w:eastAsia="宋体" w:cs="宋体"/>
          <w:highlight w:val="none"/>
        </w:rPr>
        <w:t>根据需要，代理机构应协助采购人监督、协调和处理履约过程中出现的</w:t>
      </w:r>
    </w:p>
    <w:p>
      <w:pPr>
        <w:spacing w:line="360" w:lineRule="auto"/>
        <w:jc w:val="left"/>
        <w:rPr>
          <w:rFonts w:hint="eastAsia" w:ascii="宋体" w:hAnsi="宋体" w:eastAsia="宋体" w:cs="宋体"/>
          <w:highlight w:val="none"/>
        </w:rPr>
      </w:pPr>
      <w:r>
        <w:rPr>
          <w:rFonts w:hint="eastAsia" w:ascii="宋体" w:hAnsi="宋体" w:eastAsia="宋体" w:cs="宋体"/>
          <w:highlight w:val="none"/>
        </w:rPr>
        <w:t>问题。</w:t>
      </w:r>
    </w:p>
    <w:p>
      <w:pPr>
        <w:numPr>
          <w:ilvl w:val="0"/>
          <w:numId w:val="20"/>
        </w:numPr>
        <w:spacing w:line="360" w:lineRule="auto"/>
        <w:ind w:left="0" w:leftChars="0" w:firstLine="420" w:firstLineChars="175"/>
        <w:jc w:val="left"/>
        <w:rPr>
          <w:rFonts w:hint="eastAsia" w:ascii="宋体" w:hAnsi="宋体" w:eastAsia="宋体" w:cs="宋体"/>
          <w:highlight w:val="none"/>
        </w:rPr>
      </w:pPr>
      <w:r>
        <w:rPr>
          <w:rFonts w:hint="eastAsia" w:ascii="宋体" w:hAnsi="宋体" w:eastAsia="宋体" w:cs="宋体"/>
          <w:highlight w:val="none"/>
          <w:lang w:eastAsia="zh-CN"/>
        </w:rPr>
        <w:t>陕西省财政厅政府采购管理处</w:t>
      </w:r>
      <w:r>
        <w:rPr>
          <w:rFonts w:hint="eastAsia" w:ascii="宋体" w:hAnsi="宋体" w:eastAsia="宋体" w:cs="宋体"/>
          <w:highlight w:val="none"/>
        </w:rPr>
        <w:t>在合同履行期间以及履行期后，可以随时检查项目的执行情况，对采购标准、采购内容进行调查核实，并对发现的问题进行处理。</w:t>
      </w:r>
    </w:p>
    <w:p>
      <w:pPr>
        <w:pStyle w:val="39"/>
        <w:rPr>
          <w:rFonts w:hint="eastAsia" w:ascii="宋体" w:hAnsi="宋体" w:eastAsia="宋体" w:cs="宋体"/>
          <w:highlight w:val="none"/>
        </w:rPr>
      </w:pPr>
    </w:p>
    <w:p>
      <w:pPr>
        <w:widowControl/>
        <w:numPr>
          <w:ilvl w:val="0"/>
          <w:numId w:val="6"/>
        </w:numPr>
        <w:spacing w:line="360" w:lineRule="auto"/>
        <w:ind w:firstLine="643" w:firstLineChars="200"/>
        <w:jc w:val="center"/>
        <w:outlineLvl w:val="1"/>
        <w:rPr>
          <w:rFonts w:hint="eastAsia" w:ascii="宋体" w:hAnsi="宋体" w:eastAsia="宋体" w:cs="宋体"/>
          <w:b/>
          <w:bCs/>
          <w:kern w:val="0"/>
          <w:sz w:val="32"/>
          <w:szCs w:val="28"/>
          <w:highlight w:val="none"/>
        </w:rPr>
      </w:pPr>
      <w:bookmarkStart w:id="57" w:name="_Toc26132"/>
      <w:bookmarkStart w:id="58" w:name="_Toc7662"/>
      <w:bookmarkStart w:id="59" w:name="_Toc28110"/>
      <w:r>
        <w:rPr>
          <w:rFonts w:hint="eastAsia" w:ascii="宋体" w:hAnsi="宋体" w:eastAsia="宋体" w:cs="宋体"/>
          <w:b/>
          <w:bCs/>
          <w:kern w:val="0"/>
          <w:sz w:val="32"/>
          <w:szCs w:val="28"/>
          <w:highlight w:val="none"/>
        </w:rPr>
        <w:t>代理服务费</w:t>
      </w:r>
      <w:bookmarkEnd w:id="57"/>
      <w:bookmarkEnd w:id="58"/>
      <w:bookmarkEnd w:id="59"/>
    </w:p>
    <w:p>
      <w:pPr>
        <w:numPr>
          <w:ilvl w:val="0"/>
          <w:numId w:val="21"/>
        </w:numPr>
        <w:spacing w:line="560" w:lineRule="exact"/>
        <w:ind w:firstLine="480" w:firstLineChars="200"/>
        <w:jc w:val="left"/>
        <w:rPr>
          <w:rFonts w:hint="eastAsia" w:ascii="宋体" w:hAnsi="宋体" w:eastAsia="宋体" w:cs="宋体"/>
          <w:color w:val="000000"/>
          <w:sz w:val="24"/>
          <w:szCs w:val="24"/>
          <w:highlight w:val="none"/>
        </w:rPr>
      </w:pPr>
      <w:bookmarkStart w:id="60" w:name="_Toc13048"/>
      <w:bookmarkStart w:id="61" w:name="_Toc7918"/>
      <w:bookmarkStart w:id="62" w:name="_Toc14280"/>
      <w:r>
        <w:rPr>
          <w:rFonts w:hint="eastAsia" w:ascii="宋体" w:hAnsi="宋体" w:eastAsia="宋体" w:cs="宋体"/>
          <w:color w:val="000000"/>
          <w:sz w:val="24"/>
          <w:szCs w:val="24"/>
          <w:highlight w:val="none"/>
        </w:rPr>
        <w:t>参照（计价格[2002]1980号）文件规定收费标准</w:t>
      </w:r>
      <w:r>
        <w:rPr>
          <w:rFonts w:hint="eastAsia" w:ascii="宋体" w:hAnsi="宋体" w:eastAsia="宋体" w:cs="宋体"/>
          <w:color w:val="000000"/>
          <w:sz w:val="24"/>
          <w:szCs w:val="24"/>
          <w:highlight w:val="none"/>
          <w:lang w:eastAsia="zh-CN"/>
        </w:rPr>
        <w:t>下浮</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收取，由中标</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在领取中标通知书时向代理机构缴纳代理服务费；</w:t>
      </w:r>
    </w:p>
    <w:p>
      <w:pPr>
        <w:numPr>
          <w:ilvl w:val="0"/>
          <w:numId w:val="21"/>
        </w:numPr>
        <w:spacing w:line="5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供应商将代理服务费计入响应报价但不单独列明，成交单位在领取成交通知书前，须向采购代理机构一次性支付招标代理服务费；代理服务费以转账、电汇或现金等形式交纳。</w:t>
      </w:r>
    </w:p>
    <w:p>
      <w:pPr>
        <w:pStyle w:val="4"/>
        <w:rPr>
          <w:rFonts w:hint="eastAsia" w:ascii="宋体" w:hAnsi="宋体" w:eastAsia="宋体" w:cs="宋体"/>
          <w:highlight w:val="none"/>
        </w:rPr>
      </w:pPr>
      <w:bookmarkStart w:id="63" w:name="_Toc30303"/>
      <w:r>
        <w:rPr>
          <w:rFonts w:hint="eastAsia" w:ascii="宋体" w:hAnsi="宋体" w:eastAsia="宋体" w:cs="宋体"/>
          <w:highlight w:val="none"/>
        </w:rPr>
        <w:t>八、质疑和投诉</w:t>
      </w:r>
      <w:bookmarkEnd w:id="60"/>
      <w:bookmarkEnd w:id="61"/>
      <w:bookmarkEnd w:id="62"/>
      <w:bookmarkEnd w:id="63"/>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eastAsia="宋体" w:cs="宋体"/>
          <w:color w:val="000000"/>
          <w:sz w:val="24"/>
          <w:szCs w:val="24"/>
          <w:highlight w:val="none"/>
          <w:shd w:val="clear" w:color="auto" w:fill="FFFFFF"/>
        </w:rPr>
        <w:t>供应商应该在法定质疑期内一次性提出针对同一采购程序环节的质疑，</w:t>
      </w:r>
      <w:r>
        <w:rPr>
          <w:rFonts w:hint="eastAsia" w:ascii="宋体" w:hAnsi="宋体" w:eastAsia="宋体" w:cs="宋体"/>
          <w:color w:val="000000"/>
          <w:sz w:val="24"/>
          <w:szCs w:val="24"/>
          <w:highlight w:val="none"/>
        </w:rPr>
        <w:t>逾期质疑无效。</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质疑文件应当包括下列主要内容：</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1）质疑供应商和相关供应商的名称、地址、联系人及联系电话等；</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2）质疑项目及编号、质疑事项；</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3）认为采购文件、采购过程、中标和成交结果使自己的合法权益受到损害的法律依据、事实依据、相关证明材料及证据来源；</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4）提出质疑的日期。</w:t>
      </w:r>
    </w:p>
    <w:p>
      <w:pPr>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8.3 质疑函应当署名。质疑供应商为自然人的，应当由本人签字；质疑供应商为法人或者其他组织的，应当由法定代表人或者主要负责人签字盖章并加盖公章。</w:t>
      </w:r>
    </w:p>
    <w:p>
      <w:pPr>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8.4 供应商质疑应当有明确的请求和必要的证明材料。</w:t>
      </w:r>
      <w:r>
        <w:rPr>
          <w:rFonts w:hint="eastAsia" w:ascii="宋体" w:hAnsi="宋体" w:eastAsia="宋体" w:cs="宋体"/>
          <w:color w:val="000000"/>
          <w:sz w:val="24"/>
          <w:szCs w:val="24"/>
          <w:highlight w:val="none"/>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8.5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 质疑受理部门：陕西万泽招标有限公司。</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 提交质疑文件地点：西安市西关正街英达大厦1507室。</w:t>
      </w:r>
    </w:p>
    <w:p>
      <w:pPr>
        <w:spacing w:line="360" w:lineRule="auto"/>
        <w:ind w:right="-365" w:rightChars="-152"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 本次采购活动中，采购代理机构对质疑回复等文件的送达方式为现场取件。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color w:val="000000"/>
          <w:sz w:val="24"/>
          <w:szCs w:val="24"/>
          <w:highlight w:val="none"/>
        </w:rPr>
        <w:t>8.10 质疑函应当使用中文。质疑函范本详见财政部制定的范本</w:t>
      </w:r>
      <w:r>
        <w:rPr>
          <w:rFonts w:hint="eastAsia" w:ascii="宋体" w:hAnsi="宋体" w:eastAsia="宋体" w:cs="宋体"/>
          <w:color w:val="000000"/>
          <w:sz w:val="24"/>
          <w:szCs w:val="24"/>
          <w:highlight w:val="none"/>
          <w:lang w:eastAsia="zh-CN"/>
        </w:rPr>
        <w:t>。</w:t>
      </w:r>
      <w:r>
        <w:rPr>
          <w:rFonts w:hint="eastAsia" w:ascii="宋体" w:hAnsi="宋体" w:eastAsia="宋体" w:cs="宋体"/>
          <w:szCs w:val="24"/>
          <w:highlight w:val="none"/>
        </w:rPr>
        <w:t xml:space="preserve"> </w:t>
      </w:r>
    </w:p>
    <w:p>
      <w:pPr>
        <w:pStyle w:val="3"/>
        <w:pageBreakBefore/>
        <w:rPr>
          <w:rFonts w:hint="eastAsia" w:ascii="宋体" w:hAnsi="宋体" w:eastAsia="宋体" w:cs="宋体"/>
          <w:highlight w:val="none"/>
        </w:rPr>
      </w:pPr>
      <w:bookmarkStart w:id="64" w:name="_Toc9430"/>
      <w:bookmarkStart w:id="65" w:name="_Toc7375"/>
      <w:r>
        <w:rPr>
          <w:rFonts w:hint="eastAsia" w:ascii="宋体" w:hAnsi="宋体" w:eastAsia="宋体" w:cs="宋体"/>
          <w:highlight w:val="none"/>
        </w:rPr>
        <w:t>第四部分 评审</w:t>
      </w:r>
      <w:bookmarkEnd w:id="64"/>
      <w:r>
        <w:rPr>
          <w:rFonts w:hint="eastAsia" w:ascii="宋体" w:hAnsi="宋体" w:eastAsia="宋体" w:cs="宋体"/>
          <w:highlight w:val="none"/>
        </w:rPr>
        <w:t>办法</w:t>
      </w:r>
      <w:bookmarkEnd w:id="65"/>
    </w:p>
    <w:p>
      <w:pPr>
        <w:spacing w:line="360" w:lineRule="auto"/>
        <w:ind w:firstLine="482" w:firstLineChars="200"/>
        <w:rPr>
          <w:rFonts w:hint="eastAsia" w:ascii="宋体" w:hAnsi="宋体" w:eastAsia="宋体" w:cs="宋体"/>
          <w:b/>
          <w:bCs/>
          <w:sz w:val="24"/>
          <w:szCs w:val="24"/>
          <w:highlight w:val="none"/>
        </w:rPr>
      </w:pPr>
      <w:bookmarkStart w:id="66" w:name="_Toc262"/>
      <w:r>
        <w:rPr>
          <w:rFonts w:hint="eastAsia" w:ascii="宋体" w:hAnsi="宋体" w:eastAsia="宋体" w:cs="宋体"/>
          <w:b/>
          <w:bCs/>
          <w:sz w:val="24"/>
          <w:szCs w:val="24"/>
          <w:highlight w:val="none"/>
        </w:rPr>
        <w:t>1、评定原则：</w:t>
      </w:r>
    </w:p>
    <w:p>
      <w:pPr>
        <w:spacing w:line="360" w:lineRule="auto"/>
        <w:ind w:firstLine="480"/>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比照最低价法。本次</w:t>
      </w:r>
      <w:r>
        <w:rPr>
          <w:rFonts w:hint="eastAsia" w:ascii="宋体" w:hAnsi="宋体" w:eastAsia="宋体" w:cs="宋体"/>
          <w:b w:val="0"/>
          <w:bCs w:val="0"/>
          <w:color w:val="000000"/>
          <w:sz w:val="22"/>
          <w:szCs w:val="22"/>
          <w:highlight w:val="none"/>
          <w:lang w:eastAsia="zh-CN"/>
        </w:rPr>
        <w:t>采购</w:t>
      </w:r>
      <w:r>
        <w:rPr>
          <w:rFonts w:hint="eastAsia" w:ascii="宋体" w:hAnsi="宋体" w:eastAsia="宋体" w:cs="宋体"/>
          <w:b w:val="0"/>
          <w:bCs w:val="0"/>
          <w:color w:val="000000"/>
          <w:sz w:val="22"/>
          <w:szCs w:val="22"/>
          <w:highlight w:val="none"/>
        </w:rPr>
        <w:t>遵循&lt;&lt;政府采购法&gt;&gt;</w:t>
      </w:r>
      <w:r>
        <w:rPr>
          <w:rFonts w:hint="eastAsia" w:ascii="宋体" w:hAnsi="宋体" w:eastAsia="宋体" w:cs="宋体"/>
          <w:b w:val="0"/>
          <w:bCs w:val="0"/>
          <w:color w:val="000000"/>
          <w:sz w:val="22"/>
          <w:szCs w:val="22"/>
          <w:highlight w:val="none"/>
          <w:lang w:eastAsia="zh-CN"/>
        </w:rPr>
        <w:t>第三十九</w:t>
      </w:r>
      <w:r>
        <w:rPr>
          <w:rFonts w:hint="eastAsia" w:ascii="宋体" w:hAnsi="宋体" w:eastAsia="宋体" w:cs="宋体"/>
          <w:b w:val="0"/>
          <w:bCs w:val="0"/>
          <w:color w:val="000000"/>
          <w:sz w:val="22"/>
          <w:szCs w:val="22"/>
          <w:highlight w:val="none"/>
        </w:rPr>
        <w:t>规定的原则，在保证采购项目质量和双方商定合理价格的基础上进行采购。</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b/>
          <w:bCs/>
          <w:sz w:val="24"/>
          <w:szCs w:val="24"/>
          <w:highlight w:val="none"/>
        </w:rPr>
        <w:t>2、谈判方式及程序：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2.1.初审和初评：由谈判小组对参谈供应商提供的文件资料进行初审和初评。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第一轮谈判：对参谈供应商再次进行评审、质疑和澄清。在此阶段，谈判小组依据参谈供应商递交的文件资料进行服务和商务谈判，根据评审情况要求参谈供应商进行重新承诺服务和第二次报价，以满足采购人最大需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2.3.第二轮谈判：对第一轮谈判结果不满意，谈判小组可以再次要求参谈供应商进行第二轮谈判，谈判内容及要求跟第一轮谈判一样。</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2.4.谈判轮次最多不得超过三轮。</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2.5.最终报价：谈判结束前，谈判小组需对参谈供应商要求一次最后的报价。</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.谈判时，供应商应派代表参加谈判。参谈供应商人员必须在由采购代理机构指定的地点，并及时解释和澄清参谈文件内容及重新承诺书等。</w:t>
      </w:r>
    </w:p>
    <w:p>
      <w:pPr>
        <w:spacing w:line="360" w:lineRule="auto"/>
        <w:ind w:firstLine="480"/>
        <w:rPr>
          <w:rFonts w:hint="eastAsia" w:ascii="宋体" w:hAnsi="宋体" w:eastAsia="宋体" w:cs="宋体"/>
          <w:b w:val="0"/>
          <w:bCs w:val="0"/>
          <w:color w:val="000000"/>
          <w:sz w:val="22"/>
          <w:szCs w:val="22"/>
          <w:highlight w:val="none"/>
        </w:rPr>
      </w:pPr>
      <w:r>
        <w:rPr>
          <w:rFonts w:hint="eastAsia" w:ascii="宋体" w:hAnsi="宋体" w:eastAsia="宋体" w:cs="宋体"/>
          <w:b/>
          <w:bCs/>
          <w:sz w:val="24"/>
          <w:szCs w:val="24"/>
          <w:highlight w:val="none"/>
        </w:rPr>
        <w:t>3、成交原则</w:t>
      </w:r>
      <w:r>
        <w:rPr>
          <w:rFonts w:hint="eastAsia" w:ascii="宋体" w:hAnsi="宋体" w:eastAsia="宋体" w:cs="宋体"/>
          <w:sz w:val="24"/>
          <w:szCs w:val="24"/>
          <w:highlight w:val="none"/>
        </w:rPr>
        <w:t>：符合需求、质量和服务要求且报价合理原则确定成交供应商</w:t>
      </w:r>
      <w:r>
        <w:rPr>
          <w:rFonts w:hint="eastAsia" w:ascii="宋体" w:hAnsi="宋体" w:eastAsia="宋体" w:cs="宋体"/>
          <w:b w:val="0"/>
          <w:bCs w:val="0"/>
          <w:color w:val="000000"/>
          <w:sz w:val="22"/>
          <w:szCs w:val="22"/>
          <w:highlight w:val="none"/>
        </w:rPr>
        <w:t>。</w:t>
      </w:r>
    </w:p>
    <w:p>
      <w:pPr>
        <w:spacing w:line="360" w:lineRule="auto"/>
        <w:ind w:firstLine="480" w:firstLineChars="200"/>
        <w:rPr>
          <w:rFonts w:hint="eastAsia" w:ascii="宋体" w:hAnsi="宋体" w:eastAsia="宋体" w:cs="宋体"/>
          <w:sz w:val="24"/>
          <w:szCs w:val="24"/>
          <w:highlight w:val="none"/>
        </w:rPr>
      </w:pPr>
    </w:p>
    <w:p>
      <w:pPr>
        <w:snapToGrid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bCs/>
          <w:kern w:val="0"/>
          <w:szCs w:val="24"/>
          <w:highlight w:val="none"/>
        </w:rPr>
        <w:t xml:space="preserve"> </w:t>
      </w:r>
    </w:p>
    <w:p>
      <w:pPr>
        <w:pStyle w:val="3"/>
        <w:pageBreakBefore/>
        <w:numPr>
          <w:ilvl w:val="0"/>
          <w:numId w:val="22"/>
        </w:numPr>
        <w:rPr>
          <w:rFonts w:hint="eastAsia" w:ascii="宋体" w:hAnsi="宋体" w:eastAsia="宋体" w:cs="宋体"/>
          <w:highlight w:val="none"/>
        </w:rPr>
      </w:pPr>
      <w:bookmarkStart w:id="67" w:name="_Toc16105"/>
      <w:r>
        <w:rPr>
          <w:rFonts w:hint="eastAsia" w:ascii="宋体" w:hAnsi="宋体" w:eastAsia="宋体" w:cs="宋体"/>
          <w:highlight w:val="none"/>
        </w:rPr>
        <w:t>分</w:t>
      </w:r>
      <w:bookmarkEnd w:id="66"/>
      <w:bookmarkStart w:id="68" w:name="_Toc6835"/>
      <w:bookmarkStart w:id="69" w:name="_Toc15647"/>
      <w:r>
        <w:rPr>
          <w:rFonts w:hint="eastAsia" w:ascii="宋体" w:hAnsi="宋体" w:eastAsia="宋体" w:cs="宋体"/>
          <w:highlight w:val="none"/>
        </w:rPr>
        <w:t xml:space="preserve"> </w:t>
      </w:r>
      <w:r>
        <w:rPr>
          <w:rFonts w:hint="eastAsia" w:ascii="宋体" w:hAnsi="宋体" w:cs="宋体"/>
          <w:highlight w:val="none"/>
          <w:lang w:val="en-US" w:eastAsia="zh-CN"/>
        </w:rPr>
        <w:t>商务条款及</w:t>
      </w:r>
      <w:r>
        <w:rPr>
          <w:rFonts w:hint="eastAsia" w:ascii="宋体" w:hAnsi="宋体" w:eastAsia="宋体" w:cs="宋体"/>
          <w:highlight w:val="none"/>
        </w:rPr>
        <w:t>采购</w:t>
      </w:r>
      <w:r>
        <w:rPr>
          <w:rFonts w:hint="eastAsia" w:ascii="宋体" w:hAnsi="宋体" w:eastAsia="宋体" w:cs="宋体"/>
          <w:highlight w:val="none"/>
          <w:lang w:eastAsia="zh-CN"/>
        </w:rPr>
        <w:t>要求</w:t>
      </w:r>
      <w:bookmarkEnd w:id="67"/>
    </w:p>
    <w:p>
      <w:pPr>
        <w:spacing w:line="360" w:lineRule="auto"/>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lang w:eastAsia="zh-CN"/>
        </w:rPr>
        <w:t>一、商务条款</w:t>
      </w:r>
    </w:p>
    <w:p>
      <w:pPr>
        <w:snapToGrid w:val="0"/>
        <w:spacing w:line="360" w:lineRule="auto"/>
        <w:ind w:firstLine="480" w:firstLineChars="200"/>
        <w:jc w:val="lef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w:t>
      </w:r>
      <w:r>
        <w:rPr>
          <w:rFonts w:hint="eastAsia" w:ascii="宋体" w:hAnsi="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交货期：</w:t>
      </w:r>
      <w:r>
        <w:rPr>
          <w:rFonts w:hint="eastAsia" w:ascii="宋体" w:hAnsi="宋体" w:cs="宋体"/>
          <w:sz w:val="24"/>
          <w:szCs w:val="24"/>
          <w:highlight w:val="none"/>
          <w:lang w:val="en-US" w:eastAsia="zh-CN"/>
        </w:rPr>
        <w:t>领取中标通知书之日起10个日历日</w:t>
      </w:r>
      <w:r>
        <w:rPr>
          <w:rFonts w:hint="eastAsia" w:ascii="宋体" w:hAnsi="宋体" w:eastAsia="宋体" w:cs="宋体"/>
          <w:color w:val="000000" w:themeColor="text1"/>
          <w:szCs w:val="24"/>
          <w:highlight w:val="none"/>
          <w:lang w:val="en-US" w:eastAsia="zh-CN"/>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themeColor="text1"/>
          <w:szCs w:val="24"/>
          <w:highlight w:val="none"/>
          <w:lang w:val="en-US" w:eastAsia="zh-CN"/>
          <w14:textFill>
            <w14:solidFill>
              <w14:schemeClr w14:val="tx1"/>
            </w14:solidFill>
          </w14:textFill>
        </w:rPr>
        <w:t>2</w:t>
      </w:r>
      <w:r>
        <w:rPr>
          <w:rFonts w:hint="eastAsia" w:ascii="宋体" w:hAnsi="宋体" w:cs="宋体"/>
          <w:color w:val="000000" w:themeColor="text1"/>
          <w:szCs w:val="24"/>
          <w:highlight w:val="none"/>
          <w:lang w:val="en-US" w:eastAsia="zh-CN"/>
          <w14:textFill>
            <w14:solidFill>
              <w14:schemeClr w14:val="tx1"/>
            </w14:solidFill>
          </w14:textFill>
        </w:rPr>
        <w:t>、保修</w:t>
      </w:r>
      <w:r>
        <w:rPr>
          <w:rFonts w:hint="eastAsia" w:ascii="宋体" w:hAnsi="宋体" w:eastAsia="宋体" w:cs="宋体"/>
          <w:szCs w:val="24"/>
          <w:highlight w:val="none"/>
          <w:lang w:val="en-US" w:eastAsia="zh-CN"/>
        </w:rPr>
        <w:t>期</w:t>
      </w:r>
      <w:r>
        <w:rPr>
          <w:rFonts w:hint="eastAsia" w:ascii="宋体" w:hAnsi="宋体" w:eastAsia="宋体" w:cs="宋体"/>
          <w:szCs w:val="24"/>
          <w:highlight w:val="none"/>
          <w:lang w:eastAsia="zh-CN"/>
        </w:rPr>
        <w:t>：自安装之日起提供12个月或10000个病人（以先到为准）的保修。</w:t>
      </w:r>
    </w:p>
    <w:p>
      <w:pPr>
        <w:snapToGrid w:val="0"/>
        <w:spacing w:line="360" w:lineRule="auto"/>
        <w:ind w:firstLine="480" w:firstLineChars="200"/>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交货</w:t>
      </w:r>
      <w:r>
        <w:rPr>
          <w:rFonts w:hint="eastAsia" w:ascii="宋体" w:hAnsi="宋体" w:eastAsia="宋体" w:cs="宋体"/>
          <w:szCs w:val="24"/>
          <w:highlight w:val="none"/>
        </w:rPr>
        <w:t>地点：</w:t>
      </w:r>
      <w:r>
        <w:rPr>
          <w:rFonts w:hint="eastAsia" w:ascii="宋体" w:hAnsi="宋体" w:cs="宋体"/>
          <w:szCs w:val="24"/>
          <w:highlight w:val="none"/>
          <w:lang w:eastAsia="zh-CN"/>
        </w:rPr>
        <w:t>陕西中医药大学附属医院</w:t>
      </w:r>
      <w:r>
        <w:rPr>
          <w:rFonts w:hint="eastAsia" w:ascii="宋体" w:hAnsi="宋体" w:eastAsia="宋体" w:cs="宋体"/>
          <w:szCs w:val="24"/>
          <w:highlight w:val="none"/>
        </w:rPr>
        <w:t>指定地点</w:t>
      </w:r>
      <w:r>
        <w:rPr>
          <w:rFonts w:hint="eastAsia" w:ascii="宋体" w:hAnsi="宋体" w:eastAsia="宋体" w:cs="宋体"/>
          <w:szCs w:val="24"/>
          <w:highlight w:val="none"/>
          <w:lang w:eastAsia="zh-CN"/>
        </w:rPr>
        <w:t>；</w:t>
      </w:r>
    </w:p>
    <w:p>
      <w:pPr>
        <w:spacing w:line="360" w:lineRule="auto"/>
        <w:ind w:firstLine="480" w:firstLineChars="200"/>
        <w:rPr>
          <w:rFonts w:ascii="宋体" w:hAnsi="宋体" w:cs="宋体"/>
          <w:sz w:val="24"/>
          <w:szCs w:val="24"/>
        </w:rPr>
      </w:pPr>
      <w:r>
        <w:rPr>
          <w:rFonts w:hint="eastAsia" w:ascii="宋体" w:hAnsi="宋体" w:cs="宋体"/>
          <w:sz w:val="24"/>
          <w:szCs w:val="24"/>
        </w:rPr>
        <w:t>4、付款方式：</w:t>
      </w:r>
    </w:p>
    <w:p>
      <w:pPr>
        <w:spacing w:before="0" w:after="0" w:line="360" w:lineRule="auto"/>
        <w:ind w:firstLine="480" w:firstLineChars="200"/>
        <w:rPr>
          <w:rFonts w:hint="eastAsia" w:eastAsia="宋体" w:cs="Times New Roman"/>
        </w:rPr>
      </w:pPr>
      <w:r>
        <w:rPr>
          <w:rFonts w:hint="eastAsia" w:ascii="宋体" w:hAnsi="宋体" w:eastAsia="宋体" w:cs="宋体"/>
          <w:lang w:val="en-US" w:eastAsia="zh-CN"/>
        </w:rPr>
        <w:t>(1)</w:t>
      </w:r>
      <w:r>
        <w:rPr>
          <w:rFonts w:hint="eastAsia" w:eastAsia="宋体" w:cs="Times New Roman"/>
        </w:rPr>
        <w:t>验收合格后一个月内支付合同款的60%。</w:t>
      </w:r>
    </w:p>
    <w:p>
      <w:pPr>
        <w:spacing w:before="0" w:after="0" w:line="360" w:lineRule="auto"/>
        <w:ind w:firstLine="480" w:firstLineChars="200"/>
        <w:rPr>
          <w:rFonts w:hint="eastAsia" w:eastAsia="宋体" w:cs="Times New Roman"/>
        </w:rPr>
      </w:pPr>
      <w:r>
        <w:rPr>
          <w:rFonts w:hint="eastAsia" w:ascii="宋体" w:hAnsi="宋体" w:eastAsia="宋体" w:cs="宋体"/>
          <w:lang w:val="en-US" w:eastAsia="zh-CN"/>
        </w:rPr>
        <w:t>(2)</w:t>
      </w:r>
      <w:r>
        <w:rPr>
          <w:rFonts w:hint="eastAsia" w:eastAsia="宋体" w:cs="Times New Roman"/>
          <w:lang w:val="en-US" w:eastAsia="zh-CN"/>
        </w:rPr>
        <w:t>验收合格后三</w:t>
      </w:r>
      <w:r>
        <w:rPr>
          <w:rFonts w:hint="eastAsia" w:eastAsia="宋体" w:cs="Times New Roman"/>
        </w:rPr>
        <w:t>个月后支付合同款的30%。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lang w:val="en-US" w:eastAsia="zh-CN"/>
        </w:rPr>
        <w:t>(3)</w:t>
      </w:r>
      <w:r>
        <w:rPr>
          <w:rFonts w:hint="eastAsia" w:eastAsia="宋体" w:cs="Times New Roman"/>
        </w:rPr>
        <w:t>剩余10%</w:t>
      </w:r>
      <w:r>
        <w:rPr>
          <w:rFonts w:hint="eastAsia" w:eastAsia="宋体" w:cs="Times New Roman"/>
          <w:lang w:val="en-US" w:eastAsia="zh-CN"/>
        </w:rPr>
        <w:t>作</w:t>
      </w:r>
      <w:r>
        <w:rPr>
          <w:rFonts w:hint="eastAsia" w:eastAsia="宋体" w:cs="Times New Roman"/>
        </w:rPr>
        <w:t>为质保金</w:t>
      </w:r>
      <w:r>
        <w:rPr>
          <w:rFonts w:hint="eastAsia" w:eastAsia="宋体" w:cs="Times New Roman"/>
          <w:lang w:val="en-US" w:eastAsia="zh-CN"/>
        </w:rPr>
        <w:t>，质保</w:t>
      </w:r>
      <w:r>
        <w:rPr>
          <w:rFonts w:hint="eastAsia" w:eastAsia="宋体" w:cs="Times New Roman"/>
        </w:rPr>
        <w:t>期满后支付</w:t>
      </w:r>
      <w:r>
        <w:rPr>
          <w:rFonts w:hint="eastAsia" w:eastAsia="宋体" w:cs="Times New Roman"/>
          <w:lang w:val="en-US" w:eastAsia="zh-CN"/>
        </w:rPr>
        <w:t>。</w:t>
      </w:r>
      <w:r>
        <w:rPr>
          <w:rFonts w:hint="eastAsia" w:eastAsia="宋体" w:cs="Times New Roman"/>
        </w:rPr>
        <w:t>如果出现质量问题</w:t>
      </w:r>
      <w:r>
        <w:rPr>
          <w:rFonts w:hint="eastAsia" w:eastAsia="宋体" w:cs="Times New Roman"/>
          <w:lang w:val="en-US" w:eastAsia="zh-CN"/>
        </w:rPr>
        <w:t>或其他违约情形</w:t>
      </w:r>
      <w:r>
        <w:rPr>
          <w:rFonts w:hint="eastAsia" w:eastAsia="宋体" w:cs="Times New Roman"/>
        </w:rPr>
        <w:t>，所产生的费用</w:t>
      </w:r>
      <w:r>
        <w:rPr>
          <w:rFonts w:hint="eastAsia" w:eastAsia="宋体" w:cs="Times New Roman"/>
          <w:lang w:val="en-US" w:eastAsia="zh-CN"/>
        </w:rPr>
        <w:t>或违约金直接</w:t>
      </w:r>
      <w:r>
        <w:rPr>
          <w:rFonts w:hint="eastAsia" w:eastAsia="宋体" w:cs="Times New Roman"/>
        </w:rPr>
        <w:t>从质保金中扣除</w:t>
      </w:r>
      <w:r>
        <w:rPr>
          <w:rFonts w:hint="eastAsia" w:eastAsia="宋体" w:cs="Times New Roman"/>
          <w:lang w:eastAsia="zh-CN"/>
        </w:rPr>
        <w:t>，</w:t>
      </w:r>
      <w:r>
        <w:rPr>
          <w:rFonts w:hint="eastAsia" w:eastAsia="宋体" w:cs="Times New Roman"/>
          <w:lang w:val="en-US" w:eastAsia="zh-CN"/>
        </w:rPr>
        <w:t>不足部分由乙方另行支付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支付方式：银行转账。</w:t>
      </w:r>
    </w:p>
    <w:p>
      <w:pPr>
        <w:spacing w:line="360" w:lineRule="auto"/>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二、采购要求</w:t>
      </w:r>
    </w:p>
    <w:p>
      <w:pPr>
        <w:spacing w:line="360" w:lineRule="auto"/>
        <w:ind w:firstLine="480" w:firstLineChars="200"/>
        <w:rPr>
          <w:rFonts w:hint="eastAsia" w:ascii="宋体" w:hAnsi="宋体" w:eastAsia="宋体" w:cs="宋体"/>
        </w:rPr>
      </w:pPr>
      <w:r>
        <w:rPr>
          <w:rFonts w:hint="eastAsia" w:ascii="宋体" w:hAnsi="宋体" w:eastAsia="宋体" w:cs="宋体"/>
        </w:rPr>
        <w:t>1.提供投标型号球管的原版技术白皮书（DATA SHEET），且以下应标参数均以此技术白皮书为准</w:t>
      </w:r>
    </w:p>
    <w:p>
      <w:pPr>
        <w:spacing w:line="360" w:lineRule="auto"/>
        <w:ind w:firstLine="480" w:firstLineChars="200"/>
        <w:rPr>
          <w:rFonts w:hint="eastAsia" w:ascii="宋体" w:hAnsi="宋体" w:eastAsia="宋体" w:cs="宋体"/>
        </w:rPr>
      </w:pPr>
      <w:r>
        <w:rPr>
          <w:rFonts w:hint="eastAsia" w:ascii="宋体" w:hAnsi="宋体" w:eastAsia="宋体" w:cs="宋体"/>
        </w:rPr>
        <w:t>2.阳极热容量：5.7MJ</w:t>
      </w:r>
    </w:p>
    <w:p>
      <w:pPr>
        <w:spacing w:line="360" w:lineRule="auto"/>
        <w:ind w:firstLine="480" w:firstLineChars="200"/>
        <w:rPr>
          <w:rFonts w:hint="eastAsia" w:ascii="宋体" w:hAnsi="宋体" w:eastAsia="宋体" w:cs="宋体"/>
        </w:rPr>
      </w:pPr>
      <w:r>
        <w:rPr>
          <w:rFonts w:hint="eastAsia" w:ascii="宋体" w:hAnsi="宋体" w:eastAsia="宋体" w:cs="宋体"/>
        </w:rPr>
        <w:t>3.焦点数量：≥2个</w:t>
      </w:r>
    </w:p>
    <w:p>
      <w:pPr>
        <w:spacing w:line="360" w:lineRule="auto"/>
        <w:ind w:firstLine="480" w:firstLineChars="200"/>
        <w:rPr>
          <w:rFonts w:hint="eastAsia" w:ascii="宋体" w:hAnsi="宋体" w:eastAsia="宋体" w:cs="宋体"/>
        </w:rPr>
      </w:pPr>
      <w:r>
        <w:rPr>
          <w:rFonts w:hint="eastAsia" w:ascii="宋体" w:hAnsi="宋体" w:eastAsia="宋体" w:cs="宋体"/>
        </w:rPr>
        <w:t>4.小焦点（per IEC 60336/2005 ）≤1.0mm x 0.7 mm</w:t>
      </w:r>
    </w:p>
    <w:p>
      <w:pPr>
        <w:spacing w:line="360" w:lineRule="auto"/>
        <w:ind w:firstLine="480" w:firstLineChars="200"/>
        <w:rPr>
          <w:rFonts w:hint="eastAsia" w:ascii="宋体" w:hAnsi="宋体" w:eastAsia="宋体" w:cs="宋体"/>
        </w:rPr>
      </w:pPr>
      <w:r>
        <w:rPr>
          <w:rFonts w:hint="eastAsia" w:ascii="宋体" w:hAnsi="宋体" w:eastAsia="宋体" w:cs="宋体"/>
        </w:rPr>
        <w:t>5.小焦点可输出最大mA≥680mA</w:t>
      </w:r>
    </w:p>
    <w:p>
      <w:pPr>
        <w:spacing w:line="360" w:lineRule="auto"/>
        <w:ind w:firstLine="480" w:firstLineChars="200"/>
        <w:rPr>
          <w:rFonts w:hint="eastAsia" w:ascii="宋体" w:hAnsi="宋体" w:eastAsia="宋体" w:cs="宋体"/>
        </w:rPr>
      </w:pPr>
      <w:r>
        <w:rPr>
          <w:rFonts w:hint="eastAsia" w:ascii="宋体" w:hAnsi="宋体" w:eastAsia="宋体" w:cs="宋体"/>
        </w:rPr>
        <w:t>6.大焦点（per IEC 60336/2005 ）≤1.6mm x 1.2mm</w:t>
      </w:r>
    </w:p>
    <w:p>
      <w:pPr>
        <w:spacing w:line="360" w:lineRule="auto"/>
        <w:ind w:firstLine="480" w:firstLineChars="200"/>
        <w:rPr>
          <w:rFonts w:hint="eastAsia" w:ascii="宋体" w:hAnsi="宋体" w:eastAsia="宋体" w:cs="宋体"/>
        </w:rPr>
      </w:pPr>
      <w:r>
        <w:rPr>
          <w:rFonts w:hint="eastAsia" w:ascii="宋体" w:hAnsi="宋体" w:eastAsia="宋体" w:cs="宋体"/>
        </w:rPr>
        <w:t>7.大焦点可输出最大mA≥835mA</w:t>
      </w:r>
    </w:p>
    <w:p>
      <w:pPr>
        <w:spacing w:line="360" w:lineRule="auto"/>
        <w:ind w:firstLine="480" w:firstLineChars="200"/>
        <w:rPr>
          <w:rFonts w:hint="eastAsia" w:ascii="宋体" w:hAnsi="宋体" w:eastAsia="宋体" w:cs="宋体"/>
        </w:rPr>
      </w:pPr>
      <w:r>
        <w:rPr>
          <w:rFonts w:hint="eastAsia" w:ascii="宋体" w:hAnsi="宋体" w:eastAsia="宋体" w:cs="宋体"/>
        </w:rPr>
        <w:t xml:space="preserve">8. GSI焦点 per IEC 60336/2005 ≤2.0 x 1.2 </w:t>
      </w:r>
    </w:p>
    <w:p>
      <w:pPr>
        <w:spacing w:line="360" w:lineRule="auto"/>
        <w:ind w:firstLine="480" w:firstLineChars="200"/>
        <w:rPr>
          <w:rFonts w:hint="eastAsia" w:ascii="宋体" w:hAnsi="宋体" w:eastAsia="宋体" w:cs="宋体"/>
        </w:rPr>
      </w:pPr>
      <w:r>
        <w:rPr>
          <w:rFonts w:hint="eastAsia" w:ascii="宋体" w:hAnsi="宋体" w:eastAsia="宋体" w:cs="宋体"/>
        </w:rPr>
        <w:t>9. GSI焦点 per IEC 60336/2005可输出最大mA≥890mA</w:t>
      </w:r>
    </w:p>
    <w:p>
      <w:pPr>
        <w:spacing w:line="360" w:lineRule="auto"/>
        <w:ind w:firstLine="480" w:firstLineChars="200"/>
        <w:rPr>
          <w:rFonts w:hint="eastAsia" w:ascii="宋体" w:hAnsi="宋体" w:eastAsia="宋体" w:cs="宋体"/>
        </w:rPr>
      </w:pPr>
      <w:r>
        <w:rPr>
          <w:rFonts w:hint="eastAsia" w:ascii="宋体" w:hAnsi="宋体" w:eastAsia="宋体" w:cs="宋体"/>
        </w:rPr>
        <w:t>10.提供以DATASHEET（技术白皮书）为准的普通扫描和螺旋扫描在80kv、100kv、120kv、140kv四种条件下，可持续5秒扫描的大焦点最大mA输出单数）</w:t>
      </w:r>
    </w:p>
    <w:p>
      <w:pPr>
        <w:spacing w:line="360" w:lineRule="auto"/>
        <w:ind w:firstLine="480" w:firstLineChars="200"/>
        <w:rPr>
          <w:rFonts w:hint="eastAsia" w:ascii="宋体" w:hAnsi="宋体" w:eastAsia="宋体" w:cs="宋体"/>
        </w:rPr>
      </w:pPr>
      <w:r>
        <w:rPr>
          <w:rFonts w:hint="eastAsia" w:ascii="宋体" w:hAnsi="宋体" w:eastAsia="宋体" w:cs="宋体"/>
        </w:rPr>
        <w:t>11.提供以DATASHEET（技术白皮书）为准的普通扫描和螺旋扫描在80kv、100kv、120kv、140kv四种条件下，可持续5秒扫描的小焦点最大mA输出单数）</w:t>
      </w:r>
    </w:p>
    <w:p>
      <w:pPr>
        <w:spacing w:line="360" w:lineRule="auto"/>
        <w:ind w:firstLine="480" w:firstLineChars="200"/>
        <w:rPr>
          <w:rFonts w:hint="eastAsia" w:ascii="宋体" w:hAnsi="宋体" w:eastAsia="宋体" w:cs="宋体"/>
        </w:rPr>
      </w:pPr>
      <w:r>
        <w:rPr>
          <w:rFonts w:hint="eastAsia" w:ascii="宋体" w:hAnsi="宋体" w:eastAsia="宋体" w:cs="宋体"/>
        </w:rPr>
        <w:t>12.提供以DATASHEET（技术白皮书）为准的普通扫描和螺旋扫描在80kv、100kv、120kv、140kv四种条件下，可持续10秒扫描的大焦点最大mA输出单数）</w:t>
      </w:r>
    </w:p>
    <w:p>
      <w:pPr>
        <w:spacing w:line="360" w:lineRule="auto"/>
        <w:ind w:firstLine="480" w:firstLineChars="200"/>
        <w:rPr>
          <w:rFonts w:hint="eastAsia" w:ascii="宋体" w:hAnsi="宋体" w:eastAsia="宋体" w:cs="宋体"/>
        </w:rPr>
      </w:pPr>
      <w:r>
        <w:rPr>
          <w:rFonts w:hint="eastAsia" w:ascii="宋体" w:hAnsi="宋体" w:eastAsia="宋体" w:cs="宋体"/>
        </w:rPr>
        <w:t>13.提供以DATASHEET（技术白皮书）为准的普通扫描和螺旋扫描在80kv、100kv、120kv、140kv四种条件下，可持续10秒扫描的小焦点最大mA输出单数）</w:t>
      </w:r>
    </w:p>
    <w:p>
      <w:pPr>
        <w:spacing w:line="360" w:lineRule="auto"/>
        <w:ind w:firstLine="480" w:firstLineChars="200"/>
        <w:rPr>
          <w:rFonts w:hint="eastAsia" w:ascii="宋体" w:hAnsi="宋体" w:eastAsia="宋体" w:cs="宋体"/>
        </w:rPr>
      </w:pPr>
      <w:r>
        <w:rPr>
          <w:rFonts w:hint="eastAsia" w:ascii="宋体" w:hAnsi="宋体" w:eastAsia="宋体" w:cs="宋体"/>
        </w:rPr>
        <w:t>14.120KV，5秒单层扫描时，球管最大电流输出≥835mA</w:t>
      </w:r>
    </w:p>
    <w:p>
      <w:pPr>
        <w:spacing w:line="360" w:lineRule="auto"/>
        <w:ind w:firstLine="480" w:firstLineChars="200"/>
        <w:rPr>
          <w:rFonts w:hint="eastAsia" w:ascii="宋体" w:hAnsi="宋体" w:eastAsia="宋体" w:cs="宋体"/>
        </w:rPr>
      </w:pPr>
      <w:r>
        <w:rPr>
          <w:rFonts w:hint="eastAsia" w:ascii="宋体" w:hAnsi="宋体" w:eastAsia="宋体" w:cs="宋体"/>
        </w:rPr>
        <w:t>15.提供以DATASHEET（技术白皮书）为准的HD750多层扫描时毫安输出参数（120KV时）</w:t>
      </w:r>
    </w:p>
    <w:p>
      <w:pPr>
        <w:spacing w:line="360" w:lineRule="auto"/>
        <w:ind w:firstLine="480" w:firstLineChars="200"/>
        <w:rPr>
          <w:rFonts w:hint="eastAsia" w:ascii="宋体" w:hAnsi="宋体" w:eastAsia="宋体" w:cs="宋体"/>
        </w:rPr>
      </w:pPr>
      <w:r>
        <w:rPr>
          <w:rFonts w:hint="eastAsia" w:ascii="宋体" w:hAnsi="宋体" w:eastAsia="宋体" w:cs="宋体"/>
        </w:rPr>
        <w:t>16.120KV，5秒多层扫描时，球管最大电流输出≥705mA</w:t>
      </w:r>
    </w:p>
    <w:p>
      <w:pPr>
        <w:spacing w:line="360" w:lineRule="auto"/>
        <w:ind w:firstLine="480" w:firstLineChars="200"/>
        <w:rPr>
          <w:rFonts w:hint="eastAsia" w:ascii="宋体" w:hAnsi="宋体" w:eastAsia="宋体" w:cs="宋体"/>
        </w:rPr>
      </w:pPr>
      <w:r>
        <w:rPr>
          <w:rFonts w:hint="eastAsia" w:ascii="宋体" w:hAnsi="宋体" w:eastAsia="宋体" w:cs="宋体"/>
        </w:rPr>
        <w:t>17.球管最大电压≥140KV</w:t>
      </w:r>
    </w:p>
    <w:p>
      <w:pPr>
        <w:spacing w:line="360" w:lineRule="auto"/>
        <w:ind w:firstLine="480" w:firstLineChars="200"/>
        <w:rPr>
          <w:rFonts w:hint="eastAsia" w:ascii="宋体" w:hAnsi="宋体" w:eastAsia="宋体" w:cs="宋体"/>
        </w:rPr>
      </w:pPr>
      <w:r>
        <w:rPr>
          <w:rFonts w:hint="eastAsia" w:ascii="宋体" w:hAnsi="宋体" w:eastAsia="宋体" w:cs="宋体"/>
        </w:rPr>
        <w:t>18.阳极靶面角度：7度</w:t>
      </w:r>
    </w:p>
    <w:p>
      <w:pPr>
        <w:spacing w:line="360" w:lineRule="auto"/>
        <w:ind w:firstLine="480" w:firstLineChars="200"/>
        <w:rPr>
          <w:rFonts w:hint="eastAsia" w:ascii="宋体" w:hAnsi="宋体" w:eastAsia="宋体" w:cs="宋体"/>
        </w:rPr>
      </w:pPr>
      <w:r>
        <w:rPr>
          <w:rFonts w:hint="eastAsia" w:ascii="宋体" w:hAnsi="宋体" w:eastAsia="宋体" w:cs="宋体"/>
        </w:rPr>
        <w:t>19.球管持续散热能力≥5.1kW</w:t>
      </w:r>
    </w:p>
    <w:p>
      <w:pPr>
        <w:spacing w:line="360" w:lineRule="auto"/>
        <w:ind w:firstLine="480" w:firstLineChars="200"/>
        <w:rPr>
          <w:rFonts w:hint="eastAsia" w:ascii="宋体" w:hAnsi="宋体" w:eastAsia="宋体" w:cs="宋体"/>
        </w:rPr>
      </w:pPr>
      <w:r>
        <w:rPr>
          <w:rFonts w:hint="eastAsia" w:ascii="宋体" w:hAnsi="宋体" w:eastAsia="宋体" w:cs="宋体"/>
        </w:rPr>
        <w:t>20.省内服务机构需配备有至少两名全职的、CT厂家认证的工程师，需提供当年更新的资质证明</w:t>
      </w:r>
    </w:p>
    <w:p>
      <w:pPr>
        <w:spacing w:line="360" w:lineRule="auto"/>
        <w:ind w:firstLine="480" w:firstLineChars="200"/>
        <w:rPr>
          <w:rFonts w:hint="eastAsia" w:ascii="宋体" w:hAnsi="宋体" w:eastAsia="宋体" w:cs="宋体"/>
        </w:rPr>
      </w:pPr>
      <w:r>
        <w:rPr>
          <w:rFonts w:hint="eastAsia" w:ascii="宋体" w:hAnsi="宋体" w:eastAsia="宋体" w:cs="宋体"/>
        </w:rPr>
        <w:t>21.提供CT原厂的 InSiteTM 数字化远程故障筛排系统，提前预知CT整机及球管的问题。</w:t>
      </w:r>
    </w:p>
    <w:p>
      <w:pPr>
        <w:spacing w:line="360" w:lineRule="auto"/>
        <w:ind w:firstLine="480" w:firstLineChars="200"/>
        <w:rPr>
          <w:rFonts w:hint="eastAsia" w:ascii="宋体" w:hAnsi="宋体" w:eastAsia="宋体" w:cs="宋体"/>
        </w:rPr>
      </w:pPr>
      <w:r>
        <w:rPr>
          <w:rFonts w:hint="eastAsia" w:ascii="宋体" w:hAnsi="宋体" w:eastAsia="宋体" w:cs="宋体"/>
        </w:rPr>
        <w:t>22.提供基于宽带接入的、可动态远程监测标的设备温湿度实时曲线的软件及硬件,具备对标的设备的电气环境进行24小时实时监测能力</w:t>
      </w:r>
    </w:p>
    <w:p>
      <w:pPr>
        <w:spacing w:line="360" w:lineRule="auto"/>
        <w:ind w:firstLine="480" w:firstLineChars="200"/>
        <w:rPr>
          <w:rFonts w:hint="eastAsia" w:ascii="宋体" w:hAnsi="宋体" w:eastAsia="宋体" w:cs="宋体"/>
        </w:rPr>
      </w:pPr>
      <w:r>
        <w:rPr>
          <w:rFonts w:hint="eastAsia" w:ascii="宋体" w:hAnsi="宋体" w:eastAsia="宋体" w:cs="宋体"/>
        </w:rPr>
        <w:t>23.维修工程师可显示全套原厂诊断软件，并保证能够解决所有需要原厂service key才能解决的设备故障</w:t>
      </w:r>
    </w:p>
    <w:p>
      <w:pPr>
        <w:pStyle w:val="13"/>
        <w:spacing w:line="360" w:lineRule="auto"/>
        <w:ind w:firstLine="480" w:firstLineChars="200"/>
        <w:rPr>
          <w:rFonts w:hint="eastAsia" w:ascii="宋体" w:hAnsi="宋体" w:eastAsia="宋体" w:cs="宋体"/>
          <w:lang w:val="en-US" w:eastAsia="zh-CN"/>
        </w:rPr>
      </w:pPr>
      <w:r>
        <w:rPr>
          <w:rFonts w:hint="eastAsia" w:ascii="宋体" w:hAnsi="宋体" w:eastAsia="宋体" w:cs="宋体"/>
        </w:rPr>
        <w:t>24.提供能及时获取并实施原厂系统安全性软硬件改版通知(FMI)能力的证明，保修期内免费提供设备（含独立工作站）的系统软件升级补丁和技术支持，保证所有系统软件为最新版本。</w:t>
      </w:r>
    </w:p>
    <w:bookmarkEnd w:id="68"/>
    <w:bookmarkEnd w:id="69"/>
    <w:p>
      <w:pPr>
        <w:pStyle w:val="3"/>
        <w:pageBreakBefore/>
        <w:numPr>
          <w:ilvl w:val="0"/>
          <w:numId w:val="0"/>
        </w:numPr>
        <w:jc w:val="center"/>
        <w:rPr>
          <w:rFonts w:hint="eastAsia" w:ascii="宋体" w:hAnsi="宋体" w:eastAsia="宋体" w:cs="宋体"/>
          <w:sz w:val="24"/>
          <w:szCs w:val="24"/>
          <w:highlight w:val="none"/>
        </w:rPr>
      </w:pPr>
      <w:bookmarkStart w:id="70" w:name="_Toc13452"/>
      <w:bookmarkStart w:id="71" w:name="_Toc27208"/>
      <w:bookmarkStart w:id="72" w:name="_Toc2234"/>
      <w:r>
        <w:rPr>
          <w:rFonts w:hint="eastAsia" w:ascii="宋体" w:hAnsi="宋体" w:eastAsia="宋体" w:cs="宋体"/>
          <w:sz w:val="30"/>
          <w:szCs w:val="30"/>
          <w:highlight w:val="none"/>
          <w:lang w:val="en-US" w:eastAsia="zh-CN"/>
        </w:rPr>
        <w:t>第六部分</w:t>
      </w:r>
      <w:r>
        <w:rPr>
          <w:rFonts w:hint="eastAsia" w:ascii="宋体" w:hAnsi="宋体" w:eastAsia="宋体" w:cs="宋体"/>
          <w:sz w:val="30"/>
          <w:szCs w:val="30"/>
          <w:highlight w:val="none"/>
        </w:rPr>
        <w:t xml:space="preserve"> 合同主要条款</w:t>
      </w:r>
      <w:bookmarkEnd w:id="70"/>
      <w:bookmarkEnd w:id="71"/>
    </w:p>
    <w:p>
      <w:pPr>
        <w:jc w:val="center"/>
        <w:rPr>
          <w:rFonts w:hint="eastAsia" w:ascii="黑体" w:hAnsi="宋体" w:eastAsia="黑体"/>
          <w:b/>
          <w:sz w:val="48"/>
          <w:szCs w:val="48"/>
        </w:rPr>
      </w:pPr>
      <w:r>
        <w:rPr>
          <w:rFonts w:hint="eastAsia" w:ascii="黑体" w:hAnsi="宋体" w:eastAsia="黑体"/>
          <w:b/>
          <w:sz w:val="48"/>
          <w:szCs w:val="48"/>
        </w:rPr>
        <w:t>陕西中医药大学附属医院</w:t>
      </w:r>
    </w:p>
    <w:p>
      <w:pPr>
        <w:jc w:val="center"/>
        <w:rPr>
          <w:rFonts w:hint="eastAsia" w:ascii="黑体" w:eastAsia="黑体"/>
          <w:b/>
          <w:sz w:val="48"/>
          <w:szCs w:val="48"/>
        </w:rPr>
      </w:pPr>
      <w:r>
        <w:rPr>
          <w:rFonts w:hint="eastAsia" w:ascii="黑体" w:eastAsia="黑体"/>
          <w:b/>
          <w:sz w:val="48"/>
          <w:szCs w:val="48"/>
        </w:rPr>
        <w:t>医疗设备</w:t>
      </w:r>
    </w:p>
    <w:p>
      <w:pPr>
        <w:rPr>
          <w:rFonts w:hint="eastAsia" w:ascii="黑体" w:eastAsia="黑体"/>
          <w:b/>
          <w:sz w:val="72"/>
          <w:szCs w:val="72"/>
        </w:rPr>
      </w:pPr>
    </w:p>
    <w:p>
      <w:pPr>
        <w:jc w:val="center"/>
        <w:rPr>
          <w:rFonts w:hint="eastAsia"/>
          <w:b/>
          <w:sz w:val="72"/>
          <w:szCs w:val="72"/>
        </w:rPr>
      </w:pPr>
    </w:p>
    <w:p>
      <w:pPr>
        <w:jc w:val="center"/>
        <w:rPr>
          <w:rFonts w:hint="eastAsia" w:ascii="黑体" w:eastAsia="黑体"/>
          <w:b/>
          <w:sz w:val="72"/>
          <w:szCs w:val="72"/>
        </w:rPr>
      </w:pPr>
      <w:r>
        <w:rPr>
          <w:rFonts w:hint="eastAsia" w:ascii="黑体" w:eastAsia="黑体"/>
          <w:b/>
          <w:sz w:val="72"/>
          <w:szCs w:val="72"/>
        </w:rPr>
        <w:t>供 货 合 同</w:t>
      </w: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ind w:firstLine="2240" w:firstLineChars="700"/>
        <w:rPr>
          <w:rFonts w:hint="eastAsia" w:ascii="黑体" w:eastAsia="黑体"/>
          <w:sz w:val="32"/>
          <w:szCs w:val="32"/>
        </w:rPr>
      </w:pPr>
    </w:p>
    <w:p>
      <w:pPr>
        <w:ind w:firstLine="1920" w:firstLineChars="600"/>
        <w:rPr>
          <w:rFonts w:hint="eastAsia" w:ascii="黑体" w:eastAsia="黑体"/>
          <w:sz w:val="32"/>
          <w:szCs w:val="32"/>
        </w:rPr>
      </w:pPr>
      <w:r>
        <w:rPr>
          <w:rFonts w:hint="eastAsia" w:ascii="黑体" w:eastAsia="黑体"/>
          <w:sz w:val="32"/>
          <w:szCs w:val="32"/>
        </w:rPr>
        <w:t>甲  方：陕西中医药大学附属医院</w:t>
      </w:r>
    </w:p>
    <w:p>
      <w:pPr>
        <w:ind w:firstLine="1920" w:firstLineChars="600"/>
        <w:rPr>
          <w:rFonts w:hint="eastAsia" w:ascii="黑体" w:eastAsia="黑体"/>
          <w:sz w:val="32"/>
          <w:szCs w:val="32"/>
        </w:rPr>
      </w:pPr>
      <w:r>
        <w:rPr>
          <w:rFonts w:hint="eastAsia" w:ascii="黑体" w:eastAsia="黑体"/>
          <w:sz w:val="32"/>
          <w:szCs w:val="32"/>
        </w:rPr>
        <w:t>乙  方：</w:t>
      </w:r>
    </w:p>
    <w:p>
      <w:pPr>
        <w:ind w:firstLine="1920" w:firstLineChars="600"/>
        <w:rPr>
          <w:rFonts w:hint="eastAsia" w:ascii="黑体" w:eastAsia="黑体"/>
          <w:sz w:val="32"/>
          <w:szCs w:val="32"/>
        </w:rPr>
      </w:pPr>
    </w:p>
    <w:p>
      <w:pPr>
        <w:ind w:firstLine="1920" w:firstLineChars="600"/>
        <w:rPr>
          <w:rFonts w:hint="eastAsia" w:ascii="黑体" w:eastAsia="黑体"/>
          <w:sz w:val="32"/>
          <w:szCs w:val="32"/>
        </w:rPr>
      </w:pPr>
    </w:p>
    <w:p>
      <w:pPr>
        <w:ind w:firstLine="1928" w:firstLineChars="600"/>
        <w:rPr>
          <w:rFonts w:hint="eastAsia" w:ascii="黑体" w:hAnsi="宋体" w:eastAsia="黑体"/>
          <w:b/>
          <w:sz w:val="32"/>
          <w:szCs w:val="32"/>
        </w:rPr>
      </w:pPr>
    </w:p>
    <w:p>
      <w:pPr>
        <w:rPr>
          <w:rFonts w:hint="eastAsia"/>
          <w:b w:val="0"/>
          <w:bCs/>
          <w:sz w:val="24"/>
        </w:rPr>
      </w:pPr>
      <w:r>
        <w:rPr>
          <w:rFonts w:hint="eastAsia" w:ascii="黑体" w:hAnsi="宋体" w:eastAsia="黑体"/>
          <w:b/>
          <w:sz w:val="32"/>
          <w:szCs w:val="32"/>
        </w:rPr>
        <w:t xml:space="preserve">     </w:t>
      </w:r>
      <w:r>
        <w:rPr>
          <w:rFonts w:hint="eastAsia" w:ascii="黑体" w:eastAsia="黑体"/>
          <w:sz w:val="32"/>
          <w:szCs w:val="32"/>
        </w:rPr>
        <w:t xml:space="preserve">           </w:t>
      </w:r>
    </w:p>
    <w:p>
      <w:pPr>
        <w:ind w:firstLine="0" w:firstLineChars="0"/>
        <w:jc w:val="center"/>
        <w:rPr>
          <w:rFonts w:hint="eastAsia"/>
          <w:b w:val="0"/>
          <w:bCs/>
          <w:sz w:val="24"/>
        </w:rPr>
      </w:pPr>
      <w:r>
        <w:rPr>
          <w:rFonts w:hint="eastAsia" w:ascii="黑体" w:eastAsia="黑体"/>
          <w:sz w:val="32"/>
          <w:szCs w:val="32"/>
        </w:rPr>
        <w:t xml:space="preserve"> </w:t>
      </w:r>
      <w:r>
        <w:rPr>
          <w:rFonts w:hint="eastAsia" w:ascii="黑体" w:eastAsia="黑体"/>
          <w:b/>
          <w:sz w:val="32"/>
          <w:szCs w:val="32"/>
        </w:rPr>
        <w:t>20</w:t>
      </w:r>
      <w:r>
        <w:rPr>
          <w:rFonts w:ascii="黑体" w:eastAsia="黑体"/>
          <w:b/>
          <w:sz w:val="32"/>
          <w:szCs w:val="32"/>
        </w:rPr>
        <w:t>2</w:t>
      </w:r>
      <w:r>
        <w:rPr>
          <w:rFonts w:hint="eastAsia" w:ascii="黑体" w:eastAsia="黑体"/>
          <w:b/>
          <w:sz w:val="32"/>
          <w:szCs w:val="32"/>
          <w:lang w:val="en-US" w:eastAsia="zh-CN"/>
        </w:rPr>
        <w:t>2</w:t>
      </w:r>
      <w:r>
        <w:rPr>
          <w:rFonts w:hint="eastAsia" w:ascii="黑体" w:eastAsia="黑体"/>
          <w:b/>
          <w:sz w:val="32"/>
          <w:szCs w:val="32"/>
        </w:rPr>
        <w:t>年</w:t>
      </w:r>
      <w:r>
        <w:rPr>
          <w:rFonts w:ascii="黑体" w:eastAsia="黑体"/>
          <w:b/>
          <w:sz w:val="32"/>
          <w:szCs w:val="32"/>
        </w:rPr>
        <w:t xml:space="preserve">  </w:t>
      </w:r>
      <w:r>
        <w:rPr>
          <w:rFonts w:hint="eastAsia" w:ascii="黑体" w:eastAsia="黑体"/>
          <w:b/>
          <w:sz w:val="32"/>
          <w:szCs w:val="32"/>
        </w:rPr>
        <w:t>月</w:t>
      </w:r>
      <w:r>
        <w:rPr>
          <w:rFonts w:ascii="黑体" w:eastAsia="黑体"/>
          <w:b/>
          <w:sz w:val="32"/>
          <w:szCs w:val="32"/>
        </w:rPr>
        <w:t xml:space="preserve">  </w:t>
      </w:r>
      <w:r>
        <w:rPr>
          <w:rFonts w:hint="eastAsia" w:ascii="黑体" w:eastAsia="黑体"/>
          <w:b/>
          <w:sz w:val="32"/>
          <w:szCs w:val="32"/>
        </w:rPr>
        <w:t>日</w:t>
      </w:r>
    </w:p>
    <w:p>
      <w:pPr>
        <w:ind w:firstLine="0" w:firstLineChars="0"/>
        <w:jc w:val="center"/>
        <w:rPr>
          <w:rFonts w:hint="eastAsia"/>
          <w:b w:val="0"/>
          <w:bCs/>
          <w:sz w:val="24"/>
        </w:rPr>
      </w:pPr>
    </w:p>
    <w:p>
      <w:pPr>
        <w:ind w:firstLine="0" w:firstLineChars="0"/>
        <w:jc w:val="center"/>
        <w:rPr>
          <w:rFonts w:hint="eastAsia"/>
          <w:b w:val="0"/>
          <w:bCs/>
          <w:sz w:val="24"/>
        </w:rPr>
      </w:pPr>
    </w:p>
    <w:p>
      <w:pPr>
        <w:ind w:firstLine="0" w:firstLineChars="0"/>
        <w:jc w:val="center"/>
        <w:rPr>
          <w:rFonts w:hint="eastAsia"/>
          <w:b w:val="0"/>
          <w:bCs/>
          <w:sz w:val="24"/>
        </w:rPr>
      </w:pPr>
    </w:p>
    <w:p>
      <w:pPr>
        <w:ind w:firstLine="0" w:firstLineChars="0"/>
        <w:jc w:val="center"/>
        <w:rPr>
          <w:rFonts w:hint="eastAsia"/>
          <w:b w:val="0"/>
          <w:bCs/>
          <w:sz w:val="24"/>
          <w:lang w:val="en-US" w:eastAsia="zh-CN"/>
        </w:rPr>
      </w:pPr>
      <w:r>
        <w:rPr>
          <w:rFonts w:hint="eastAsia"/>
          <w:b w:val="0"/>
          <w:bCs/>
          <w:sz w:val="24"/>
        </w:rPr>
        <w:t>合同签订地：咸阳</w:t>
      </w:r>
      <w:r>
        <w:rPr>
          <w:rFonts w:hint="eastAsia"/>
          <w:b w:val="0"/>
          <w:bCs/>
          <w:sz w:val="24"/>
          <w:lang w:val="en-US" w:eastAsia="zh-CN"/>
        </w:rPr>
        <w:t>市秦都区</w:t>
      </w:r>
    </w:p>
    <w:p>
      <w:pPr>
        <w:rPr>
          <w:rFonts w:hint="eastAsia"/>
          <w:b w:val="0"/>
          <w:bCs/>
          <w:sz w:val="24"/>
          <w:lang w:val="en-US" w:eastAsia="zh-CN"/>
        </w:rPr>
      </w:pPr>
      <w:r>
        <w:rPr>
          <w:rFonts w:hint="eastAsia"/>
          <w:b w:val="0"/>
          <w:bCs/>
          <w:sz w:val="24"/>
          <w:lang w:val="en-US" w:eastAsia="zh-CN"/>
        </w:rPr>
        <w:br w:type="page"/>
      </w:r>
    </w:p>
    <w:p>
      <w:pPr>
        <w:pStyle w:val="13"/>
        <w:rPr>
          <w:rFonts w:hint="default"/>
          <w:lang w:val="en-US" w:eastAsia="zh-CN"/>
        </w:rPr>
      </w:pPr>
    </w:p>
    <w:p>
      <w:pPr>
        <w:spacing w:line="360" w:lineRule="auto"/>
        <w:rPr>
          <w:rFonts w:hint="eastAsia"/>
          <w:sz w:val="24"/>
        </w:rPr>
      </w:pPr>
      <w:r>
        <w:rPr>
          <w:rFonts w:hint="eastAsia"/>
          <w:sz w:val="24"/>
        </w:rPr>
        <w:t xml:space="preserve">甲方（需方）：陕西中医药大学附属医院                     </w:t>
      </w:r>
    </w:p>
    <w:p>
      <w:pPr>
        <w:rPr>
          <w:rFonts w:hint="eastAsia" w:eastAsia="宋体"/>
          <w:sz w:val="24"/>
          <w:lang w:val="en-US" w:eastAsia="zh-CN"/>
        </w:rPr>
      </w:pPr>
      <w:r>
        <w:rPr>
          <w:rFonts w:hint="eastAsia"/>
          <w:sz w:val="24"/>
        </w:rPr>
        <w:t>乙方（供方）：</w:t>
      </w:r>
      <w:r>
        <w:rPr>
          <w:rFonts w:hint="eastAsia"/>
          <w:sz w:val="24"/>
          <w:lang w:val="en-US" w:eastAsia="zh-CN"/>
        </w:rPr>
        <w:t>咸阳博信医疗设备有限公司</w:t>
      </w:r>
    </w:p>
    <w:p>
      <w:pPr>
        <w:ind w:firstLine="480" w:firstLineChars="200"/>
        <w:rPr>
          <w:rFonts w:hint="eastAsia"/>
          <w:sz w:val="24"/>
        </w:rPr>
      </w:pPr>
      <w:r>
        <w:rPr>
          <w:rFonts w:hint="eastAsia"/>
          <w:sz w:val="24"/>
          <w:szCs w:val="24"/>
        </w:rPr>
        <w:t>甲乙双方依照国家相关法律、法规，签订本合同并信守下列条款，双方共同遵守。</w:t>
      </w:r>
    </w:p>
    <w:p>
      <w:pPr>
        <w:numPr>
          <w:ilvl w:val="0"/>
          <w:numId w:val="23"/>
        </w:numPr>
        <w:spacing w:line="380" w:lineRule="exact"/>
        <w:rPr>
          <w:rFonts w:hint="eastAsia"/>
          <w:sz w:val="24"/>
        </w:rPr>
      </w:pPr>
      <w:r>
        <w:rPr>
          <w:rFonts w:hint="eastAsia"/>
          <w:sz w:val="24"/>
        </w:rPr>
        <w:t>产品名称、型号、</w:t>
      </w:r>
      <w:r>
        <w:rPr>
          <w:rFonts w:hint="eastAsia"/>
          <w:sz w:val="24"/>
          <w:lang w:val="en-US" w:eastAsia="zh-CN"/>
        </w:rPr>
        <w:t>厂家</w:t>
      </w:r>
      <w:r>
        <w:rPr>
          <w:rFonts w:hint="eastAsia"/>
          <w:sz w:val="24"/>
        </w:rPr>
        <w:t xml:space="preserve">、数量、单价、总金额：        </w:t>
      </w:r>
      <w:r>
        <w:rPr>
          <w:rFonts w:hint="eastAsia"/>
          <w:szCs w:val="21"/>
        </w:rPr>
        <w:t>单位：人民币元</w:t>
      </w:r>
    </w:p>
    <w:tbl>
      <w:tblPr>
        <w:tblStyle w:val="24"/>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4"/>
        <w:gridCol w:w="1260"/>
        <w:gridCol w:w="1200"/>
        <w:gridCol w:w="985"/>
        <w:gridCol w:w="1359"/>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05" w:type="dxa"/>
            <w:noWrap w:val="0"/>
            <w:vAlign w:val="center"/>
          </w:tcPr>
          <w:p>
            <w:pPr>
              <w:spacing w:line="380" w:lineRule="exact"/>
              <w:jc w:val="center"/>
              <w:rPr>
                <w:rFonts w:hint="eastAsia" w:ascii="宋体" w:hAnsi="宋体"/>
                <w:b/>
                <w:bCs/>
              </w:rPr>
            </w:pPr>
            <w:r>
              <w:rPr>
                <w:rFonts w:hint="eastAsia" w:ascii="宋体" w:hAnsi="宋体"/>
                <w:b/>
                <w:bCs/>
              </w:rPr>
              <w:t>公司名称</w:t>
            </w:r>
          </w:p>
        </w:tc>
        <w:tc>
          <w:tcPr>
            <w:tcW w:w="1584" w:type="dxa"/>
            <w:noWrap w:val="0"/>
            <w:vAlign w:val="center"/>
          </w:tcPr>
          <w:p>
            <w:pPr>
              <w:spacing w:line="380" w:lineRule="exact"/>
              <w:jc w:val="center"/>
              <w:rPr>
                <w:rFonts w:hint="default" w:ascii="宋体" w:hAnsi="宋体"/>
                <w:b/>
                <w:bCs/>
                <w:lang w:val="en-US" w:eastAsia="zh-CN"/>
              </w:rPr>
            </w:pPr>
            <w:r>
              <w:rPr>
                <w:rFonts w:hint="eastAsia" w:ascii="宋体" w:hAnsi="宋体"/>
                <w:b/>
                <w:bCs/>
                <w:lang w:val="en-US" w:eastAsia="zh-CN"/>
              </w:rPr>
              <w:t>项目名称</w:t>
            </w:r>
          </w:p>
        </w:tc>
        <w:tc>
          <w:tcPr>
            <w:tcW w:w="1260" w:type="dxa"/>
            <w:noWrap w:val="0"/>
            <w:vAlign w:val="center"/>
          </w:tcPr>
          <w:p>
            <w:pPr>
              <w:spacing w:line="380" w:lineRule="exact"/>
              <w:jc w:val="center"/>
              <w:rPr>
                <w:rFonts w:hint="default" w:ascii="宋体" w:hAnsi="宋体" w:eastAsia="宋体"/>
                <w:b/>
                <w:bCs/>
                <w:lang w:val="en-US" w:eastAsia="zh-CN"/>
              </w:rPr>
            </w:pPr>
            <w:r>
              <w:rPr>
                <w:rFonts w:hint="eastAsia" w:ascii="宋体" w:hAnsi="宋体"/>
                <w:b/>
                <w:bCs/>
                <w:lang w:val="en-US" w:eastAsia="zh-CN"/>
              </w:rPr>
              <w:t>产品名称</w:t>
            </w:r>
          </w:p>
        </w:tc>
        <w:tc>
          <w:tcPr>
            <w:tcW w:w="1200" w:type="dxa"/>
            <w:noWrap w:val="0"/>
            <w:vAlign w:val="center"/>
          </w:tcPr>
          <w:p>
            <w:pPr>
              <w:spacing w:line="380" w:lineRule="exact"/>
              <w:jc w:val="center"/>
              <w:rPr>
                <w:rFonts w:hint="default" w:ascii="宋体" w:hAnsi="宋体" w:eastAsia="宋体" w:cs="Times New Roman"/>
                <w:b/>
                <w:bCs/>
                <w:kern w:val="2"/>
                <w:sz w:val="21"/>
                <w:szCs w:val="24"/>
                <w:lang w:val="en-US" w:eastAsia="zh-CN" w:bidi="ar-SA"/>
              </w:rPr>
            </w:pPr>
            <w:r>
              <w:rPr>
                <w:rFonts w:hint="eastAsia" w:ascii="宋体" w:hAnsi="宋体"/>
                <w:b/>
                <w:bCs/>
              </w:rPr>
              <w:t>型号</w:t>
            </w:r>
            <w:r>
              <w:rPr>
                <w:rFonts w:hint="eastAsia" w:ascii="宋体" w:hAnsi="宋体"/>
                <w:b/>
                <w:bCs/>
                <w:lang w:eastAsia="zh-CN"/>
              </w:rPr>
              <w:t>规格</w:t>
            </w:r>
          </w:p>
        </w:tc>
        <w:tc>
          <w:tcPr>
            <w:tcW w:w="985" w:type="dxa"/>
            <w:noWrap w:val="0"/>
            <w:vAlign w:val="center"/>
          </w:tcPr>
          <w:p>
            <w:pPr>
              <w:spacing w:line="380" w:lineRule="exact"/>
              <w:jc w:val="center"/>
              <w:rPr>
                <w:rFonts w:hint="eastAsia" w:ascii="宋体" w:hAnsi="宋体" w:eastAsia="宋体" w:cs="Times New Roman"/>
                <w:b/>
                <w:bCs/>
                <w:kern w:val="2"/>
                <w:sz w:val="21"/>
                <w:szCs w:val="24"/>
                <w:lang w:val="en-US" w:eastAsia="zh-CN" w:bidi="ar-SA"/>
              </w:rPr>
            </w:pPr>
            <w:r>
              <w:rPr>
                <w:rFonts w:hint="eastAsia" w:ascii="宋体" w:hAnsi="宋体"/>
                <w:b/>
                <w:bCs/>
                <w:lang w:val="en-US" w:eastAsia="zh-CN"/>
              </w:rPr>
              <w:t>数量</w:t>
            </w:r>
          </w:p>
        </w:tc>
        <w:tc>
          <w:tcPr>
            <w:tcW w:w="1359" w:type="dxa"/>
            <w:noWrap w:val="0"/>
            <w:vAlign w:val="center"/>
          </w:tcPr>
          <w:p>
            <w:pPr>
              <w:spacing w:line="380" w:lineRule="exact"/>
              <w:jc w:val="center"/>
              <w:rPr>
                <w:rFonts w:hint="eastAsia" w:ascii="宋体" w:hAnsi="宋体"/>
                <w:b/>
                <w:bCs/>
                <w:lang w:val="en-US" w:eastAsia="zh-CN"/>
              </w:rPr>
            </w:pPr>
            <w:r>
              <w:rPr>
                <w:rFonts w:hint="eastAsia" w:ascii="宋体" w:hAnsi="宋体"/>
                <w:b/>
                <w:bCs/>
                <w:lang w:val="en-US" w:eastAsia="zh-CN"/>
              </w:rPr>
              <w:t>单价</w:t>
            </w:r>
            <w:r>
              <w:rPr>
                <w:rFonts w:hint="eastAsia" w:ascii="宋体" w:hAnsi="宋体"/>
                <w:b/>
                <w:bCs/>
                <w:lang w:eastAsia="zh-CN"/>
              </w:rPr>
              <w:t>（元）</w:t>
            </w:r>
          </w:p>
        </w:tc>
        <w:tc>
          <w:tcPr>
            <w:tcW w:w="1359" w:type="dxa"/>
            <w:noWrap w:val="0"/>
            <w:vAlign w:val="center"/>
          </w:tcPr>
          <w:p>
            <w:pPr>
              <w:spacing w:line="380" w:lineRule="exact"/>
              <w:jc w:val="center"/>
              <w:rPr>
                <w:rFonts w:hint="default" w:ascii="宋体" w:hAnsi="宋体"/>
                <w:b/>
                <w:bCs/>
                <w:lang w:val="en-US" w:eastAsia="zh-CN"/>
              </w:rPr>
            </w:pPr>
            <w:r>
              <w:rPr>
                <w:rFonts w:hint="eastAsia" w:ascii="宋体" w:hAnsi="宋体"/>
                <w:b/>
                <w:bCs/>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205" w:type="dxa"/>
            <w:noWrap w:val="0"/>
            <w:vAlign w:val="center"/>
          </w:tcPr>
          <w:p>
            <w:pPr>
              <w:keepNext w:val="0"/>
              <w:keepLines w:val="0"/>
              <w:widowControl/>
              <w:suppressLineNumbers w:val="0"/>
              <w:jc w:val="center"/>
              <w:textAlignment w:val="center"/>
              <w:rPr>
                <w:rFonts w:hint="default" w:ascii="宋体" w:hAnsi="宋体" w:eastAsia="宋体" w:cs="宋体"/>
                <w:b w:val="0"/>
                <w:bCs/>
                <w:i w:val="0"/>
                <w:color w:val="000000"/>
                <w:kern w:val="2"/>
                <w:sz w:val="24"/>
                <w:szCs w:val="24"/>
                <w:u w:val="none"/>
                <w:lang w:val="en-US" w:eastAsia="zh-CN" w:bidi="ar-SA"/>
              </w:rPr>
            </w:pPr>
          </w:p>
        </w:tc>
        <w:tc>
          <w:tcPr>
            <w:tcW w:w="158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2"/>
                <w:sz w:val="24"/>
                <w:szCs w:val="24"/>
                <w:u w:val="none"/>
                <w:lang w:val="en-US" w:eastAsia="zh-CN" w:bidi="ar-SA"/>
              </w:rPr>
            </w:pPr>
          </w:p>
        </w:tc>
        <w:tc>
          <w:tcPr>
            <w:tcW w:w="126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20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宋体" w:hAnsi="宋体" w:eastAsia="宋体" w:cs="宋体"/>
                <w:b w:val="0"/>
                <w:bCs/>
                <w:i w:val="0"/>
                <w:color w:val="000000"/>
                <w:kern w:val="2"/>
                <w:sz w:val="24"/>
                <w:szCs w:val="24"/>
                <w:u w:val="none"/>
                <w:lang w:val="en-US" w:eastAsia="zh-CN" w:bidi="ar-SA"/>
              </w:rPr>
            </w:pPr>
          </w:p>
        </w:tc>
        <w:tc>
          <w:tcPr>
            <w:tcW w:w="13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宋体" w:hAnsi="宋体" w:cs="宋体"/>
                <w:b w:val="0"/>
                <w:bCs/>
                <w:i w:val="0"/>
                <w:color w:val="000000"/>
                <w:kern w:val="2"/>
                <w:sz w:val="24"/>
                <w:szCs w:val="24"/>
                <w:u w:val="none"/>
                <w:lang w:val="en-US" w:eastAsia="zh-CN" w:bidi="ar-SA"/>
              </w:rPr>
            </w:pPr>
          </w:p>
        </w:tc>
        <w:tc>
          <w:tcPr>
            <w:tcW w:w="13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宋体" w:hAnsi="宋体" w:eastAsia="宋体" w:cs="宋体"/>
                <w:b w:val="0"/>
                <w:bCs/>
                <w:i w:val="0"/>
                <w:color w:val="000000"/>
                <w:kern w:val="2"/>
                <w:sz w:val="24"/>
                <w:szCs w:val="24"/>
                <w:u w:val="none"/>
                <w:lang w:val="en-US" w:eastAsia="zh-CN" w:bidi="ar-SA"/>
              </w:rPr>
            </w:pPr>
          </w:p>
        </w:tc>
      </w:tr>
    </w:tbl>
    <w:p>
      <w:pPr>
        <w:widowControl/>
        <w:spacing w:line="380" w:lineRule="exact"/>
        <w:rPr>
          <w:rFonts w:hint="default"/>
          <w:sz w:val="24"/>
          <w:szCs w:val="24"/>
        </w:rPr>
      </w:pPr>
      <w:r>
        <w:rPr>
          <w:rFonts w:hint="eastAsia" w:ascii="Calibri" w:cs="Calibri"/>
          <w:sz w:val="24"/>
          <w:szCs w:val="24"/>
          <w:lang w:val="en-US" w:eastAsia="zh-CN"/>
        </w:rPr>
        <w:t xml:space="preserve"> </w:t>
      </w:r>
      <w:r>
        <w:rPr>
          <w:rFonts w:hint="eastAsia" w:ascii="Times New Roman" w:cs="Times New Roman"/>
          <w:sz w:val="24"/>
          <w:szCs w:val="24"/>
          <w:lang w:val="en-US" w:eastAsia="zh-CN"/>
        </w:rPr>
        <w:t xml:space="preserve"> 本合同价格为含税价</w:t>
      </w:r>
    </w:p>
    <w:p>
      <w:pPr>
        <w:rPr>
          <w:rFonts w:hint="eastAsia"/>
          <w:sz w:val="24"/>
          <w:szCs w:val="24"/>
        </w:rPr>
      </w:pPr>
    </w:p>
    <w:p>
      <w:pPr>
        <w:spacing w:line="360" w:lineRule="auto"/>
        <w:rPr>
          <w:rFonts w:hint="eastAsia"/>
        </w:rPr>
      </w:pPr>
      <w:r>
        <w:rPr>
          <w:rFonts w:hint="eastAsia"/>
          <w:sz w:val="24"/>
          <w:szCs w:val="24"/>
        </w:rPr>
        <w:t>二、交货时间：</w:t>
      </w:r>
    </w:p>
    <w:p>
      <w:pPr>
        <w:spacing w:line="360" w:lineRule="auto"/>
        <w:ind w:firstLine="480" w:firstLineChars="200"/>
        <w:rPr>
          <w:rFonts w:hint="eastAsia"/>
          <w:sz w:val="24"/>
        </w:rPr>
      </w:pPr>
      <w:r>
        <w:rPr>
          <w:rFonts w:hint="eastAsia"/>
          <w:sz w:val="24"/>
        </w:rPr>
        <w:t>乙方应在</w:t>
      </w:r>
      <w:r>
        <w:rPr>
          <w:rFonts w:hint="eastAsia"/>
          <w:sz w:val="24"/>
          <w:lang w:val="en-US" w:eastAsia="zh-CN"/>
        </w:rPr>
        <w:t>领取中标通知书之日起10个日历日</w:t>
      </w:r>
      <w:r>
        <w:rPr>
          <w:rFonts w:hint="eastAsia"/>
          <w:sz w:val="24"/>
        </w:rPr>
        <w:t>内货到医院。</w:t>
      </w:r>
    </w:p>
    <w:p>
      <w:pPr>
        <w:spacing w:line="360" w:lineRule="auto"/>
        <w:rPr>
          <w:rFonts w:hint="eastAsia" w:eastAsia="宋体"/>
          <w:sz w:val="24"/>
          <w:lang w:eastAsia="zh-CN"/>
        </w:rPr>
      </w:pPr>
      <w:r>
        <w:rPr>
          <w:rFonts w:hint="eastAsia"/>
          <w:sz w:val="24"/>
          <w:lang w:val="en-US" w:eastAsia="zh-CN"/>
        </w:rPr>
        <w:t>三</w:t>
      </w:r>
      <w:r>
        <w:rPr>
          <w:rFonts w:hint="eastAsia"/>
          <w:sz w:val="24"/>
        </w:rPr>
        <w:t>、随机的必备品、配件、工具数量、供应方法及配置清单以投标文件为准</w:t>
      </w:r>
      <w:r>
        <w:rPr>
          <w:rFonts w:hint="eastAsia"/>
          <w:sz w:val="24"/>
          <w:lang w:eastAsia="zh-CN"/>
        </w:rPr>
        <w:t>。</w:t>
      </w:r>
    </w:p>
    <w:p>
      <w:pPr>
        <w:spacing w:line="360" w:lineRule="auto"/>
        <w:ind w:firstLine="480" w:firstLineChars="200"/>
        <w:rPr>
          <w:sz w:val="24"/>
        </w:rPr>
      </w:pPr>
      <w:r>
        <w:rPr>
          <w:rFonts w:hint="eastAsia"/>
          <w:sz w:val="24"/>
        </w:rPr>
        <w:t>按装箱单提供所有设备，详细配置见配置清单，并提供电路图。甲方对以上设备有保密责任不得外传第三方。乙方不得随意更改，如特殊原因更改参数及数量，必须经甲方书面同意。</w:t>
      </w:r>
    </w:p>
    <w:p>
      <w:pPr>
        <w:spacing w:line="360" w:lineRule="auto"/>
        <w:rPr>
          <w:rFonts w:hint="eastAsia"/>
          <w:sz w:val="24"/>
        </w:rPr>
      </w:pPr>
      <w:r>
        <w:rPr>
          <w:rFonts w:hint="eastAsia"/>
          <w:sz w:val="24"/>
          <w:lang w:val="en-US" w:eastAsia="zh-CN"/>
        </w:rPr>
        <w:t>四</w:t>
      </w:r>
      <w:r>
        <w:rPr>
          <w:rFonts w:hint="eastAsia"/>
          <w:sz w:val="24"/>
        </w:rPr>
        <w:t>、运输方式、到达站（港）费用负担、安装、培训及其他：</w:t>
      </w:r>
    </w:p>
    <w:p>
      <w:pPr>
        <w:spacing w:line="360" w:lineRule="auto"/>
        <w:ind w:firstLine="480" w:firstLineChars="200"/>
        <w:rPr>
          <w:rFonts w:hint="eastAsia"/>
          <w:sz w:val="24"/>
        </w:rPr>
      </w:pPr>
      <w:r>
        <w:rPr>
          <w:rFonts w:hint="eastAsia"/>
          <w:sz w:val="24"/>
        </w:rPr>
        <w:t>乙方负责送货到甲方指定地点，设备发货时间需提前通知甲方，以便甲方准备安装场地。乙方负责卸货安装调试并承担其费用。</w:t>
      </w:r>
    </w:p>
    <w:p>
      <w:pPr>
        <w:spacing w:line="360" w:lineRule="auto"/>
        <w:ind w:firstLine="480" w:firstLineChars="200"/>
        <w:rPr>
          <w:rFonts w:hint="eastAsia"/>
          <w:sz w:val="24"/>
        </w:rPr>
      </w:pPr>
      <w:r>
        <w:rPr>
          <w:rFonts w:hint="eastAsia"/>
          <w:sz w:val="24"/>
        </w:rPr>
        <w:t>甲方按照乙方提供的安装环境参数，负责安装现场水、电、气及配套设备的工作。乙方需提供同型号机型的操作手册、维修手册及安装环境参数，设备到达后对使用科室进行现场操作培训。</w:t>
      </w:r>
    </w:p>
    <w:p>
      <w:pPr>
        <w:spacing w:line="360" w:lineRule="auto"/>
        <w:ind w:firstLine="480" w:firstLineChars="200"/>
        <w:rPr>
          <w:rFonts w:hint="eastAsia"/>
          <w:sz w:val="24"/>
        </w:rPr>
      </w:pPr>
      <w:r>
        <w:rPr>
          <w:rFonts w:hint="eastAsia"/>
          <w:sz w:val="24"/>
          <w:lang w:val="en-US" w:eastAsia="zh-CN"/>
        </w:rPr>
        <w:t>乙方</w:t>
      </w:r>
      <w:r>
        <w:rPr>
          <w:rFonts w:hint="eastAsia"/>
          <w:sz w:val="24"/>
        </w:rPr>
        <w:t>所</w:t>
      </w:r>
      <w:r>
        <w:rPr>
          <w:rFonts w:hint="eastAsia"/>
          <w:sz w:val="24"/>
          <w:lang w:val="en-US" w:eastAsia="zh-CN"/>
        </w:rPr>
        <w:t>供</w:t>
      </w:r>
      <w:r>
        <w:rPr>
          <w:rFonts w:hint="eastAsia"/>
          <w:sz w:val="24"/>
        </w:rPr>
        <w:t>设备的耗材、试剂必须按照陕西中医药大学附属医院耗材、试剂规范流程保证供应。培训包括产品使用操作、保养、维修等内容。乙方按甲方要求的时间为甲方免费培训技术人员若干名，培训服务以受培训人员熟练掌握相应技能为原则。在产品投入使用初期进行必要的跟踪指导，保障产品的稳定运行。产品需在培训基地培训的，乙方应按要求履行，培训产生的交通费、食宿费、培训费等均由乙方承担。</w:t>
      </w:r>
    </w:p>
    <w:p>
      <w:pPr>
        <w:spacing w:line="360" w:lineRule="auto"/>
        <w:ind w:firstLine="480" w:firstLineChars="200"/>
        <w:rPr>
          <w:rFonts w:hint="eastAsia"/>
          <w:sz w:val="24"/>
        </w:rPr>
      </w:pPr>
      <w:r>
        <w:rPr>
          <w:rFonts w:hint="eastAsia"/>
          <w:sz w:val="24"/>
          <w:lang w:val="en-US" w:eastAsia="zh-CN"/>
        </w:rPr>
        <w:t>保修期</w:t>
      </w:r>
      <w:r>
        <w:rPr>
          <w:rFonts w:hint="eastAsia"/>
          <w:sz w:val="24"/>
          <w:lang w:eastAsia="zh-CN"/>
        </w:rPr>
        <w:t>：自安装之日起提供12个月或10000个病人（以先到为准）的保修</w:t>
      </w:r>
      <w:r>
        <w:rPr>
          <w:rFonts w:hint="eastAsia"/>
          <w:sz w:val="24"/>
          <w:lang w:val="en-US" w:eastAsia="zh-CN"/>
        </w:rPr>
        <w:t>。</w:t>
      </w:r>
    </w:p>
    <w:p>
      <w:pPr>
        <w:spacing w:line="360" w:lineRule="auto"/>
        <w:ind w:firstLine="480" w:firstLineChars="200"/>
        <w:rPr>
          <w:rFonts w:hint="eastAsia"/>
          <w:sz w:val="24"/>
        </w:rPr>
      </w:pPr>
      <w:r>
        <w:rPr>
          <w:rFonts w:hint="eastAsia"/>
          <w:sz w:val="24"/>
        </w:rPr>
        <w:t>合理损耗及计算方法： 无</w:t>
      </w:r>
    </w:p>
    <w:p>
      <w:pPr>
        <w:spacing w:line="360" w:lineRule="auto"/>
        <w:rPr>
          <w:rFonts w:hint="eastAsia"/>
          <w:sz w:val="24"/>
        </w:rPr>
      </w:pPr>
      <w:r>
        <w:rPr>
          <w:rFonts w:hint="eastAsia"/>
          <w:sz w:val="24"/>
          <w:lang w:val="en-US" w:eastAsia="zh-CN"/>
        </w:rPr>
        <w:t>五</w:t>
      </w:r>
      <w:r>
        <w:rPr>
          <w:rFonts w:hint="eastAsia"/>
          <w:sz w:val="24"/>
        </w:rPr>
        <w:t>、包装标准、包装物的供应与回收：</w:t>
      </w:r>
    </w:p>
    <w:p>
      <w:pPr>
        <w:spacing w:line="360" w:lineRule="auto"/>
        <w:ind w:firstLine="480" w:firstLineChars="200"/>
        <w:rPr>
          <w:rFonts w:hint="eastAsia"/>
          <w:sz w:val="24"/>
        </w:rPr>
      </w:pPr>
      <w:r>
        <w:rPr>
          <w:rFonts w:hint="eastAsia"/>
          <w:sz w:val="24"/>
        </w:rPr>
        <w:t>原厂商包装，包装物不回收。</w:t>
      </w:r>
    </w:p>
    <w:p>
      <w:pPr>
        <w:spacing w:line="360" w:lineRule="auto"/>
        <w:rPr>
          <w:rFonts w:hint="eastAsia"/>
          <w:sz w:val="24"/>
        </w:rPr>
      </w:pPr>
      <w:r>
        <w:rPr>
          <w:rFonts w:hint="eastAsia"/>
          <w:sz w:val="24"/>
          <w:lang w:val="en-US" w:eastAsia="zh-CN"/>
        </w:rPr>
        <w:t>六</w:t>
      </w:r>
      <w:r>
        <w:rPr>
          <w:rFonts w:hint="eastAsia"/>
          <w:sz w:val="24"/>
        </w:rPr>
        <w:t>、验收标准、方法、地点、期限及提出异议期限：</w:t>
      </w:r>
    </w:p>
    <w:p>
      <w:pPr>
        <w:spacing w:line="360" w:lineRule="auto"/>
        <w:ind w:firstLine="480" w:firstLineChars="200"/>
        <w:rPr>
          <w:rFonts w:hint="eastAsia"/>
          <w:sz w:val="24"/>
        </w:rPr>
      </w:pPr>
      <w:r>
        <w:rPr>
          <w:rFonts w:hint="eastAsia"/>
          <w:sz w:val="24"/>
          <w:lang w:val="en-US" w:eastAsia="zh-CN"/>
        </w:rPr>
        <w:t>1.乙方</w:t>
      </w:r>
      <w:r>
        <w:rPr>
          <w:rFonts w:hint="eastAsia"/>
          <w:sz w:val="24"/>
        </w:rPr>
        <w:t>安装调试完毕后</w:t>
      </w:r>
      <w:r>
        <w:rPr>
          <w:rFonts w:hint="eastAsia"/>
          <w:sz w:val="24"/>
          <w:lang w:eastAsia="zh-CN"/>
        </w:rPr>
        <w:t>，</w:t>
      </w:r>
      <w:r>
        <w:rPr>
          <w:rFonts w:hint="eastAsia"/>
          <w:sz w:val="24"/>
          <w:lang w:val="en-US" w:eastAsia="zh-CN"/>
        </w:rPr>
        <w:t>先试运行</w:t>
      </w:r>
      <w:r>
        <w:rPr>
          <w:rFonts w:hint="eastAsia"/>
          <w:sz w:val="24"/>
        </w:rPr>
        <w:t>一个月</w:t>
      </w:r>
      <w:r>
        <w:rPr>
          <w:rFonts w:hint="eastAsia"/>
          <w:sz w:val="24"/>
          <w:lang w:eastAsia="zh-CN"/>
        </w:rPr>
        <w:t>，</w:t>
      </w:r>
      <w:r>
        <w:rPr>
          <w:rFonts w:hint="eastAsia"/>
          <w:sz w:val="24"/>
          <w:lang w:val="en-US" w:eastAsia="zh-CN"/>
        </w:rPr>
        <w:t>之后由</w:t>
      </w:r>
      <w:r>
        <w:rPr>
          <w:rFonts w:hint="eastAsia" w:ascii="Calibri" w:cs="Calibri"/>
          <w:sz w:val="24"/>
          <w:szCs w:val="24"/>
          <w:lang w:val="en-US" w:eastAsia="zh-CN"/>
        </w:rPr>
        <w:t>乙方书面申请甲方进行验收，甲方应按照合同约定或者招投标确定的验收标准进行验收</w:t>
      </w:r>
      <w:r>
        <w:rPr>
          <w:rFonts w:hint="eastAsia"/>
          <w:sz w:val="24"/>
        </w:rPr>
        <w:t>；验收地点在设备安装地</w:t>
      </w:r>
      <w:r>
        <w:rPr>
          <w:rFonts w:hint="eastAsia"/>
          <w:sz w:val="24"/>
          <w:lang w:eastAsia="zh-CN"/>
        </w:rPr>
        <w:t>。</w:t>
      </w:r>
    </w:p>
    <w:p>
      <w:pPr>
        <w:pStyle w:val="2"/>
        <w:spacing w:line="360" w:lineRule="auto"/>
        <w:ind w:firstLine="480"/>
        <w:rPr>
          <w:rFonts w:hint="eastAsia" w:ascii="Calibri" w:cs="Calibri"/>
          <w:sz w:val="24"/>
          <w:szCs w:val="24"/>
          <w:u w:val="none"/>
          <w:lang w:val="en-US" w:eastAsia="zh-CN"/>
        </w:rPr>
      </w:pPr>
      <w:r>
        <w:rPr>
          <w:rFonts w:hint="eastAsia" w:ascii="Calibri" w:cs="Calibri"/>
          <w:sz w:val="24"/>
          <w:szCs w:val="24"/>
          <w:u w:val="none"/>
          <w:lang w:val="en-US" w:eastAsia="zh-CN"/>
        </w:rPr>
        <w:t>2.经甲方验收不合格的，乙方应在 7个工作日内重新调试维修或者换货。如乙方未在约定期限重新调试维修或者换货，或者经乙方重新调试维修或者换货，甲方再次验收仍然不合格的，甲方有权解除合同，乙方应向甲方支付货款20%的违约金。</w:t>
      </w:r>
    </w:p>
    <w:p>
      <w:pPr>
        <w:pStyle w:val="2"/>
        <w:spacing w:line="360" w:lineRule="auto"/>
        <w:ind w:firstLine="480"/>
        <w:rPr>
          <w:rFonts w:hint="default" w:ascii="Calibri" w:eastAsia="宋体" w:cs="Calibri"/>
          <w:u w:val="none"/>
          <w:lang w:val="en-US" w:eastAsia="zh-CN"/>
        </w:rPr>
      </w:pPr>
      <w:r>
        <w:rPr>
          <w:rFonts w:hint="eastAsia" w:ascii="Calibri" w:cs="Calibri"/>
          <w:u w:val="none"/>
          <w:lang w:val="en-US" w:eastAsia="zh-CN"/>
        </w:rPr>
        <w:t>3.如乙方对验收结果有异议的，经乙方书面申请，双方共同确定第三方进行鉴定，鉴定费由乙方承担。</w:t>
      </w:r>
    </w:p>
    <w:p>
      <w:pPr>
        <w:numPr>
          <w:ilvl w:val="0"/>
          <w:numId w:val="0"/>
        </w:numPr>
        <w:spacing w:line="360" w:lineRule="auto"/>
        <w:rPr>
          <w:rFonts w:hint="eastAsia" w:ascii="宋体" w:hAnsi="宋体" w:eastAsia="宋体"/>
          <w:sz w:val="24"/>
          <w:u w:val="none"/>
          <w:lang w:eastAsia="zh-CN"/>
        </w:rPr>
      </w:pPr>
      <w:r>
        <w:rPr>
          <w:rFonts w:hint="eastAsia" w:ascii="宋体" w:hAnsi="宋体"/>
          <w:sz w:val="24"/>
          <w:u w:val="none"/>
          <w:lang w:val="en-US" w:eastAsia="zh-CN"/>
        </w:rPr>
        <w:t>七、</w:t>
      </w:r>
      <w:r>
        <w:rPr>
          <w:rFonts w:hint="eastAsia" w:ascii="宋体" w:hAnsi="宋体"/>
          <w:sz w:val="24"/>
          <w:u w:val="none"/>
        </w:rPr>
        <w:t>付款方式</w:t>
      </w:r>
      <w:r>
        <w:rPr>
          <w:rFonts w:hint="eastAsia" w:ascii="宋体" w:hAnsi="宋体"/>
          <w:sz w:val="24"/>
          <w:u w:val="none"/>
          <w:lang w:eastAsia="zh-CN"/>
        </w:rPr>
        <w:t>：</w:t>
      </w:r>
    </w:p>
    <w:p>
      <w:pPr>
        <w:spacing w:line="360" w:lineRule="auto"/>
        <w:ind w:firstLine="480" w:firstLineChars="200"/>
        <w:rPr>
          <w:rFonts w:hint="eastAsia"/>
          <w:sz w:val="24"/>
        </w:rPr>
      </w:pPr>
      <w:r>
        <w:rPr>
          <w:rFonts w:hint="eastAsia"/>
          <w:sz w:val="24"/>
          <w:lang w:val="en-US" w:eastAsia="zh-CN"/>
        </w:rPr>
        <w:t>1.</w:t>
      </w:r>
      <w:r>
        <w:rPr>
          <w:rFonts w:hint="eastAsia"/>
          <w:sz w:val="24"/>
        </w:rPr>
        <w:t>验收合格后一个月内支付合同款的60%。</w:t>
      </w:r>
    </w:p>
    <w:p>
      <w:pPr>
        <w:spacing w:line="360" w:lineRule="auto"/>
        <w:ind w:firstLine="480" w:firstLineChars="200"/>
        <w:rPr>
          <w:rFonts w:hint="eastAsia"/>
          <w:sz w:val="24"/>
        </w:rPr>
      </w:pPr>
      <w:r>
        <w:rPr>
          <w:rFonts w:hint="eastAsia"/>
          <w:sz w:val="24"/>
          <w:lang w:val="en-US" w:eastAsia="zh-CN"/>
        </w:rPr>
        <w:t>2.验收合格后三</w:t>
      </w:r>
      <w:r>
        <w:rPr>
          <w:rFonts w:hint="eastAsia"/>
          <w:sz w:val="24"/>
        </w:rPr>
        <w:t>个月后支付合同款的30%。</w:t>
      </w:r>
    </w:p>
    <w:p>
      <w:pPr>
        <w:spacing w:line="360" w:lineRule="auto"/>
        <w:ind w:firstLine="480" w:firstLineChars="200"/>
        <w:rPr>
          <w:rFonts w:hint="default" w:eastAsia="宋体"/>
          <w:lang w:val="en-US" w:eastAsia="zh-CN"/>
        </w:rPr>
      </w:pPr>
      <w:r>
        <w:rPr>
          <w:rFonts w:hint="eastAsia"/>
          <w:sz w:val="24"/>
          <w:lang w:val="en-US" w:eastAsia="zh-CN"/>
        </w:rPr>
        <w:t>3.</w:t>
      </w:r>
      <w:r>
        <w:rPr>
          <w:rFonts w:hint="eastAsia"/>
          <w:sz w:val="24"/>
        </w:rPr>
        <w:t>剩余10%</w:t>
      </w:r>
      <w:r>
        <w:rPr>
          <w:rFonts w:hint="eastAsia"/>
          <w:sz w:val="24"/>
          <w:lang w:val="en-US" w:eastAsia="zh-CN"/>
        </w:rPr>
        <w:t>作</w:t>
      </w:r>
      <w:r>
        <w:rPr>
          <w:rFonts w:hint="eastAsia"/>
          <w:sz w:val="24"/>
        </w:rPr>
        <w:t>为质保金</w:t>
      </w:r>
      <w:r>
        <w:rPr>
          <w:rFonts w:hint="eastAsia"/>
          <w:sz w:val="24"/>
          <w:lang w:val="en-US" w:eastAsia="zh-CN"/>
        </w:rPr>
        <w:t>，质保</w:t>
      </w:r>
      <w:r>
        <w:rPr>
          <w:rFonts w:hint="eastAsia"/>
          <w:sz w:val="24"/>
        </w:rPr>
        <w:t>期满后支付</w:t>
      </w:r>
      <w:r>
        <w:rPr>
          <w:rFonts w:hint="eastAsia"/>
          <w:sz w:val="24"/>
          <w:lang w:val="en-US" w:eastAsia="zh-CN"/>
        </w:rPr>
        <w:t>。</w:t>
      </w:r>
      <w:r>
        <w:rPr>
          <w:rFonts w:hint="eastAsia"/>
          <w:sz w:val="24"/>
        </w:rPr>
        <w:t>如果出现质量问题</w:t>
      </w:r>
      <w:r>
        <w:rPr>
          <w:rFonts w:hint="eastAsia"/>
          <w:sz w:val="24"/>
          <w:lang w:val="en-US" w:eastAsia="zh-CN"/>
        </w:rPr>
        <w:t>或其他违约情形</w:t>
      </w:r>
      <w:r>
        <w:rPr>
          <w:rFonts w:hint="eastAsia"/>
          <w:sz w:val="24"/>
        </w:rPr>
        <w:t>，所产生的费用</w:t>
      </w:r>
      <w:r>
        <w:rPr>
          <w:rFonts w:hint="eastAsia"/>
          <w:sz w:val="24"/>
          <w:lang w:val="en-US" w:eastAsia="zh-CN"/>
        </w:rPr>
        <w:t>或违约金直接</w:t>
      </w:r>
      <w:r>
        <w:rPr>
          <w:rFonts w:hint="eastAsia"/>
          <w:sz w:val="24"/>
        </w:rPr>
        <w:t>从质保金中扣除</w:t>
      </w:r>
      <w:r>
        <w:rPr>
          <w:rFonts w:hint="eastAsia"/>
          <w:sz w:val="24"/>
          <w:lang w:eastAsia="zh-CN"/>
        </w:rPr>
        <w:t>，</w:t>
      </w:r>
      <w:r>
        <w:rPr>
          <w:rFonts w:hint="eastAsia"/>
          <w:sz w:val="24"/>
          <w:lang w:val="en-US" w:eastAsia="zh-CN"/>
        </w:rPr>
        <w:t>不足部分由乙方另行支付。</w:t>
      </w:r>
    </w:p>
    <w:p>
      <w:pPr>
        <w:spacing w:line="360" w:lineRule="auto"/>
        <w:ind w:firstLine="480" w:firstLineChars="200"/>
        <w:rPr>
          <w:rFonts w:hint="eastAsia"/>
          <w:sz w:val="24"/>
          <w:lang w:val="en-US" w:eastAsia="zh-CN"/>
        </w:rPr>
      </w:pPr>
      <w:r>
        <w:rPr>
          <w:rFonts w:hint="eastAsia"/>
          <w:sz w:val="24"/>
          <w:lang w:val="en-US" w:eastAsia="zh-CN"/>
        </w:rPr>
        <w:t>4.支付方式：银行转账。</w:t>
      </w:r>
    </w:p>
    <w:p>
      <w:pPr>
        <w:spacing w:line="360" w:lineRule="auto"/>
        <w:rPr>
          <w:rFonts w:hint="eastAsia"/>
          <w:sz w:val="24"/>
        </w:rPr>
      </w:pPr>
      <w:r>
        <w:rPr>
          <w:rFonts w:hint="eastAsia"/>
          <w:sz w:val="24"/>
          <w:lang w:val="en-US" w:eastAsia="zh-CN"/>
        </w:rPr>
        <w:t>八</w:t>
      </w:r>
      <w:r>
        <w:rPr>
          <w:rFonts w:hint="eastAsia"/>
          <w:sz w:val="24"/>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cs="Calibri"/>
          <w:sz w:val="24"/>
          <w:szCs w:val="24"/>
        </w:rPr>
      </w:pPr>
      <w:r>
        <w:rPr>
          <w:rFonts w:ascii="Calibri" w:hAnsi="Calibri" w:cs="Calibri"/>
          <w:sz w:val="24"/>
          <w:szCs w:val="24"/>
        </w:rPr>
        <w:t>1.</w:t>
      </w:r>
      <w:r>
        <w:rPr>
          <w:rFonts w:ascii="Calibri" w:cs="Calibri"/>
          <w:sz w:val="24"/>
          <w:szCs w:val="24"/>
        </w:rPr>
        <w:t>乙方如果未按</w:t>
      </w:r>
      <w:r>
        <w:rPr>
          <w:rFonts w:hint="eastAsia" w:ascii="Calibri" w:cs="Calibri"/>
          <w:sz w:val="24"/>
          <w:szCs w:val="24"/>
          <w:lang w:val="en-US" w:eastAsia="zh-CN"/>
        </w:rPr>
        <w:t>约</w:t>
      </w:r>
      <w:r>
        <w:rPr>
          <w:rFonts w:ascii="Calibri" w:cs="Calibri"/>
          <w:sz w:val="24"/>
          <w:szCs w:val="24"/>
        </w:rPr>
        <w:t>定时间</w:t>
      </w:r>
      <w:r>
        <w:rPr>
          <w:rFonts w:hint="eastAsia" w:ascii="Calibri" w:cs="Calibri"/>
          <w:sz w:val="24"/>
          <w:szCs w:val="24"/>
          <w:lang w:val="en-US" w:eastAsia="zh-CN"/>
        </w:rPr>
        <w:t>提供货物</w:t>
      </w:r>
      <w:r>
        <w:rPr>
          <w:rFonts w:ascii="Calibri" w:cs="Calibri"/>
          <w:sz w:val="24"/>
          <w:szCs w:val="24"/>
        </w:rPr>
        <w:t>，</w:t>
      </w:r>
      <w:r>
        <w:rPr>
          <w:rFonts w:hint="eastAsia" w:ascii="Calibri" w:cs="Calibri"/>
          <w:sz w:val="24"/>
          <w:szCs w:val="24"/>
          <w:lang w:val="en-US" w:eastAsia="zh-CN"/>
        </w:rPr>
        <w:t>每迟延一天承担</w:t>
      </w:r>
      <w:r>
        <w:rPr>
          <w:rFonts w:ascii="Calibri" w:hAnsi="Calibri" w:cs="Calibri"/>
          <w:sz w:val="24"/>
          <w:szCs w:val="24"/>
        </w:rPr>
        <w:t>200</w:t>
      </w:r>
      <w:r>
        <w:rPr>
          <w:rFonts w:ascii="Calibri" w:cs="Calibri"/>
          <w:sz w:val="24"/>
          <w:szCs w:val="24"/>
        </w:rPr>
        <w:t>元</w:t>
      </w:r>
      <w:r>
        <w:rPr>
          <w:rFonts w:hint="eastAsia" w:ascii="Calibri" w:hAnsi="Calibri" w:cs="Calibri"/>
          <w:sz w:val="24"/>
          <w:szCs w:val="24"/>
          <w:lang w:val="en-US" w:eastAsia="zh-CN"/>
        </w:rPr>
        <w:t>的违约金，迟延超过</w:t>
      </w:r>
      <w:r>
        <w:rPr>
          <w:rFonts w:hint="eastAsia" w:ascii="Calibri" w:hAnsi="Calibri" w:cs="Calibri"/>
          <w:sz w:val="24"/>
          <w:szCs w:val="24"/>
          <w:u w:val="single"/>
          <w:lang w:val="en-US" w:eastAsia="zh-CN"/>
        </w:rPr>
        <w:t>15</w:t>
      </w:r>
      <w:r>
        <w:rPr>
          <w:rFonts w:hint="eastAsia" w:ascii="Calibri" w:hAnsi="Calibri" w:cs="Calibri"/>
          <w:sz w:val="24"/>
          <w:szCs w:val="24"/>
          <w:lang w:val="en-US" w:eastAsia="zh-CN"/>
        </w:rPr>
        <w:t>天的，甲方有权解除合同，乙方应向</w:t>
      </w:r>
      <w:r>
        <w:rPr>
          <w:rFonts w:hint="eastAsia" w:ascii="Calibri" w:cs="Calibri"/>
          <w:sz w:val="24"/>
          <w:szCs w:val="24"/>
          <w:lang w:val="en-US" w:eastAsia="zh-CN"/>
        </w:rPr>
        <w:t>甲方支付合同总价款20%的违约金。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Calibri"/>
          <w:sz w:val="24"/>
          <w:szCs w:val="24"/>
          <w:lang w:val="en-US" w:eastAsia="zh-CN"/>
        </w:rPr>
      </w:pPr>
      <w:r>
        <w:rPr>
          <w:rFonts w:ascii="Calibri" w:hAnsi="Calibri" w:cs="Calibri"/>
          <w:sz w:val="24"/>
          <w:szCs w:val="24"/>
        </w:rPr>
        <w:t>2.</w:t>
      </w:r>
      <w:r>
        <w:rPr>
          <w:rFonts w:ascii="Calibri" w:cs="Calibri"/>
          <w:sz w:val="24"/>
          <w:szCs w:val="24"/>
        </w:rPr>
        <w:t>乙方</w:t>
      </w:r>
      <w:r>
        <w:rPr>
          <w:rFonts w:hint="eastAsia" w:ascii="Calibri" w:cs="Calibri"/>
          <w:sz w:val="24"/>
          <w:szCs w:val="24"/>
          <w:lang w:val="en-US" w:eastAsia="zh-CN"/>
        </w:rPr>
        <w:t>提供的货物</w:t>
      </w:r>
      <w:r>
        <w:rPr>
          <w:rFonts w:ascii="Calibri" w:cs="Calibri"/>
          <w:sz w:val="24"/>
          <w:szCs w:val="24"/>
        </w:rPr>
        <w:t>均应符合</w:t>
      </w:r>
      <w:r>
        <w:rPr>
          <w:rFonts w:hint="eastAsia" w:ascii="Calibri" w:cs="Calibri"/>
          <w:sz w:val="24"/>
          <w:szCs w:val="24"/>
          <w:lang w:val="en-US" w:eastAsia="zh-CN"/>
        </w:rPr>
        <w:t>约定</w:t>
      </w:r>
      <w:r>
        <w:rPr>
          <w:rFonts w:ascii="Calibri" w:cs="Calibri"/>
          <w:sz w:val="24"/>
          <w:szCs w:val="24"/>
        </w:rPr>
        <w:t>，如质量不能达到招</w:t>
      </w:r>
      <w:r>
        <w:rPr>
          <w:rFonts w:hint="eastAsia" w:ascii="Calibri" w:cs="Calibri"/>
          <w:sz w:val="24"/>
          <w:szCs w:val="24"/>
          <w:lang w:val="en-US" w:eastAsia="zh-CN"/>
        </w:rPr>
        <w:t>投</w:t>
      </w:r>
      <w:r>
        <w:rPr>
          <w:rFonts w:ascii="Calibri" w:cs="Calibri"/>
          <w:sz w:val="24"/>
          <w:szCs w:val="24"/>
        </w:rPr>
        <w:t>标文件和合同约定的技术要求，乙方应立即退货，重新供应符合要求的</w:t>
      </w:r>
      <w:r>
        <w:rPr>
          <w:rFonts w:hint="eastAsia" w:ascii="Calibri" w:cs="Calibri"/>
          <w:sz w:val="24"/>
          <w:szCs w:val="24"/>
          <w:lang w:val="en-US" w:eastAsia="zh-CN"/>
        </w:rPr>
        <w:t>货物</w:t>
      </w:r>
      <w:r>
        <w:rPr>
          <w:rFonts w:ascii="Calibri" w:cs="Calibri"/>
          <w:sz w:val="24"/>
          <w:szCs w:val="24"/>
        </w:rPr>
        <w:t>，由此造成的一切损失由乙方承担。</w:t>
      </w:r>
      <w:r>
        <w:rPr>
          <w:rFonts w:hint="eastAsia" w:ascii="Calibri" w:cs="Calibri"/>
          <w:sz w:val="24"/>
          <w:szCs w:val="24"/>
          <w:lang w:val="en-US" w:eastAsia="zh-CN"/>
        </w:rPr>
        <w:t>乙方收到退货通知后5日内，拒不配合退货的，或者重新供应的货物仍不符合约定的，甲方有权解除合同，乙方应向甲方支付合同总价款20%的违约金。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cs="Calibri"/>
          <w:sz w:val="24"/>
          <w:szCs w:val="24"/>
        </w:rPr>
      </w:pPr>
      <w:r>
        <w:rPr>
          <w:rFonts w:ascii="Calibri" w:hAnsi="Calibri" w:cs="Calibri"/>
          <w:sz w:val="24"/>
          <w:szCs w:val="24"/>
        </w:rPr>
        <w:t>3.</w:t>
      </w:r>
      <w:r>
        <w:rPr>
          <w:rFonts w:ascii="Calibri" w:cs="Calibri"/>
          <w:sz w:val="24"/>
          <w:szCs w:val="24"/>
        </w:rPr>
        <w:t>甲方无正当理由未按合同约定时间付款，且在收到乙方的书面催告通知后在五个工作日内仍未支付的，应从催告期满之日起，向乙方支付相当于应付款项同期贷款</w:t>
      </w:r>
      <w:r>
        <w:rPr>
          <w:rFonts w:hint="eastAsia" w:ascii="Calibri" w:cs="Calibri"/>
          <w:sz w:val="24"/>
          <w:szCs w:val="24"/>
          <w:lang w:val="en-US" w:eastAsia="zh-CN"/>
        </w:rPr>
        <w:t>市场报价</w:t>
      </w:r>
      <w:r>
        <w:rPr>
          <w:rFonts w:ascii="Calibri" w:cs="Calibri"/>
          <w:sz w:val="24"/>
          <w:szCs w:val="24"/>
        </w:rPr>
        <w:t>利率的违约金。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九、</w:t>
      </w: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lang w:val="en-US" w:eastAsia="zh-CN"/>
        </w:rPr>
        <w:t>合同变更与解除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经本合同双方同意，可以变更或解除本合同；由于战争或其他军事行动、地震、水灾、火灾、台风</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政府政策变化</w:t>
      </w:r>
      <w:r>
        <w:rPr>
          <w:rFonts w:hint="eastAsia" w:asciiTheme="majorEastAsia" w:hAnsiTheme="majorEastAsia" w:eastAsiaTheme="majorEastAsia" w:cstheme="majorEastAsia"/>
          <w:sz w:val="24"/>
          <w:szCs w:val="24"/>
        </w:rPr>
        <w:t>等不可抗力引起的合同</w:t>
      </w:r>
      <w:r>
        <w:rPr>
          <w:rFonts w:hint="eastAsia" w:asciiTheme="majorEastAsia" w:hAnsiTheme="majorEastAsia" w:eastAsiaTheme="majorEastAsia" w:cstheme="majorEastAsia"/>
          <w:sz w:val="24"/>
          <w:szCs w:val="24"/>
          <w:lang w:val="en-US" w:eastAsia="zh-CN"/>
        </w:rPr>
        <w:t>变更</w:t>
      </w:r>
      <w:r>
        <w:rPr>
          <w:rFonts w:hint="eastAsia" w:asciiTheme="majorEastAsia" w:hAnsiTheme="majorEastAsia" w:eastAsiaTheme="majorEastAsia" w:cstheme="majorEastAsia"/>
          <w:sz w:val="24"/>
          <w:szCs w:val="24"/>
        </w:rPr>
        <w:t>、延期和中止，甲乙双方不负</w:t>
      </w:r>
      <w:r>
        <w:rPr>
          <w:rFonts w:hint="eastAsia" w:asciiTheme="majorEastAsia" w:hAnsiTheme="majorEastAsia" w:eastAsiaTheme="majorEastAsia" w:cstheme="majorEastAsia"/>
          <w:sz w:val="24"/>
          <w:szCs w:val="24"/>
          <w:lang w:val="en-US" w:eastAsia="zh-CN"/>
        </w:rPr>
        <w:t>违约</w:t>
      </w:r>
      <w:r>
        <w:rPr>
          <w:rFonts w:hint="eastAsia" w:asciiTheme="majorEastAsia" w:hAnsiTheme="majorEastAsia" w:eastAsiaTheme="majorEastAsia" w:cstheme="majorEastAsia"/>
          <w:sz w:val="24"/>
          <w:szCs w:val="24"/>
        </w:rPr>
        <w:t>责任。</w:t>
      </w:r>
      <w:r>
        <w:rPr>
          <w:rFonts w:hint="eastAsia" w:asciiTheme="majorEastAsia" w:hAnsiTheme="majorEastAsia" w:eastAsiaTheme="majorEastAsia" w:cstheme="majorEastAsia"/>
          <w:sz w:val="24"/>
          <w:szCs w:val="24"/>
          <w:lang w:val="en-US" w:eastAsia="zh-CN"/>
        </w:rPr>
        <w:t>受不可抗力直接影响的一方应在不可抗力发生后5日之内及时通知另一方，并采取合理措施止损，如未及时通知或采取措施而造成的损失扩大的，应赔偿相应损失。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因不可抗力导致合同目的不能实现的，则双方均有权解除合同，未履行的部分终止履行，已经履行的部分按照法律规定进行清算结算。</w:t>
      </w:r>
    </w:p>
    <w:p>
      <w:pPr>
        <w:spacing w:line="360" w:lineRule="auto"/>
        <w:ind w:firstLine="480" w:firstLineChars="200"/>
        <w:rPr>
          <w:rFonts w:hint="eastAsia" w:asciiTheme="majorEastAsia" w:hAnsiTheme="majorEastAsia" w:eastAsiaTheme="majorEastAsia" w:cstheme="majorEastAsia"/>
          <w:sz w:val="24"/>
          <w:szCs w:val="24"/>
        </w:rPr>
      </w:pP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十</w:t>
      </w:r>
      <w:r>
        <w:rPr>
          <w:rFonts w:hint="eastAsia" w:asciiTheme="majorEastAsia" w:hAnsiTheme="majorEastAsia" w:eastAsiaTheme="majorEastAsia" w:cstheme="majorEastAsia"/>
          <w:sz w:val="24"/>
          <w:szCs w:val="24"/>
        </w:rPr>
        <w:t>、解决合同纠纷的方式：</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双方友好协商，协商未果，</w:t>
      </w:r>
      <w:r>
        <w:rPr>
          <w:rFonts w:hint="eastAsia" w:asciiTheme="majorEastAsia" w:hAnsiTheme="majorEastAsia" w:eastAsiaTheme="majorEastAsia" w:cstheme="majorEastAsia"/>
          <w:sz w:val="24"/>
          <w:szCs w:val="24"/>
          <w:lang w:val="en-US" w:eastAsia="zh-CN"/>
        </w:rPr>
        <w:t>向甲方所在地人民法院提起诉讼解决</w:t>
      </w:r>
      <w:r>
        <w:rPr>
          <w:rFonts w:hint="eastAsia" w:asciiTheme="majorEastAsia" w:hAnsiTheme="majorEastAsia" w:eastAsiaTheme="majorEastAsia" w:cstheme="majorEastAsia"/>
          <w:sz w:val="24"/>
          <w:szCs w:val="24"/>
        </w:rPr>
        <w:t>。</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十一</w:t>
      </w:r>
      <w:r>
        <w:rPr>
          <w:rFonts w:hint="eastAsia" w:asciiTheme="majorEastAsia" w:hAnsiTheme="majorEastAsia" w:eastAsiaTheme="majorEastAsia" w:cstheme="majorEastAsia"/>
          <w:sz w:val="24"/>
          <w:szCs w:val="24"/>
        </w:rPr>
        <w:t>、其他事宜：</w:t>
      </w:r>
    </w:p>
    <w:p>
      <w:pPr>
        <w:spacing w:line="360" w:lineRule="auto"/>
        <w:ind w:firstLine="480" w:firstLineChars="200"/>
        <w:rPr>
          <w:rFonts w:hint="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本合同壹式肆份，甲方叁份 乙方壹份</w:t>
      </w:r>
      <w:r>
        <w:rPr>
          <w:rFonts w:hint="eastAsia" w:asciiTheme="majorEastAsia" w:hAnsiTheme="majorEastAsia" w:eastAsiaTheme="majorEastAsia" w:cstheme="majorEastAsia"/>
          <w:sz w:val="24"/>
          <w:szCs w:val="24"/>
          <w:lang w:val="en-US" w:eastAsia="zh-CN"/>
        </w:rPr>
        <w:t xml:space="preserve"> 招标代理机构壹份</w:t>
      </w:r>
      <w:r>
        <w:rPr>
          <w:rFonts w:hint="eastAsia"/>
          <w:sz w:val="24"/>
          <w:szCs w:val="24"/>
        </w:rPr>
        <w:t>，双方签字盖章后生效，具有同等法律效力，合同未尽事宜双方可协商解决或另立补充协议。</w:t>
      </w:r>
    </w:p>
    <w:p>
      <w:pPr>
        <w:spacing w:line="360" w:lineRule="auto"/>
        <w:ind w:firstLine="480" w:firstLineChars="200"/>
        <w:rPr>
          <w:rFonts w:hint="default" w:ascii="Calibri" w:hAnsi="Calibri" w:cs="Calibri"/>
          <w:b w:val="0"/>
          <w:color w:val="000000"/>
          <w:spacing w:val="0"/>
          <w:kern w:val="2"/>
          <w:lang w:val="en-US" w:eastAsia="zh-CN"/>
        </w:rPr>
      </w:pPr>
      <w:r>
        <w:rPr>
          <w:rFonts w:hint="eastAsia"/>
          <w:sz w:val="24"/>
          <w:szCs w:val="24"/>
        </w:rPr>
        <w:t>2</w:t>
      </w:r>
      <w:r>
        <w:rPr>
          <w:rFonts w:hint="eastAsia"/>
          <w:sz w:val="24"/>
          <w:szCs w:val="24"/>
          <w:lang w:eastAsia="zh-CN"/>
        </w:rPr>
        <w:t>.</w:t>
      </w:r>
      <w:r>
        <w:rPr>
          <w:rFonts w:hint="default"/>
          <w:sz w:val="24"/>
          <w:szCs w:val="24"/>
          <w:lang w:val="en-US" w:eastAsia="zh-CN"/>
        </w:rPr>
        <w:t>本</w:t>
      </w:r>
      <w:r>
        <w:rPr>
          <w:rFonts w:hint="eastAsia"/>
          <w:sz w:val="24"/>
          <w:szCs w:val="24"/>
          <w:lang w:val="en-US" w:eastAsia="zh-CN"/>
        </w:rPr>
        <w:t>合同</w:t>
      </w:r>
      <w:r>
        <w:rPr>
          <w:rFonts w:hint="default"/>
          <w:sz w:val="24"/>
          <w:szCs w:val="24"/>
          <w:lang w:val="en-US" w:eastAsia="zh-CN"/>
        </w:rPr>
        <w:t>签字盖章栏所列明的双方地址、电话、</w:t>
      </w:r>
      <w:r>
        <w:rPr>
          <w:rFonts w:hint="eastAsia"/>
          <w:sz w:val="24"/>
          <w:szCs w:val="24"/>
          <w:lang w:val="en-US" w:eastAsia="zh-CN"/>
        </w:rPr>
        <w:t>委托代理人</w:t>
      </w:r>
      <w:r>
        <w:rPr>
          <w:rFonts w:hint="default"/>
          <w:sz w:val="24"/>
          <w:szCs w:val="24"/>
          <w:lang w:val="en-US" w:eastAsia="zh-CN"/>
        </w:rPr>
        <w:t>为双方在合同履行</w:t>
      </w:r>
      <w:r>
        <w:rPr>
          <w:rFonts w:hint="eastAsia"/>
          <w:sz w:val="24"/>
          <w:szCs w:val="24"/>
          <w:lang w:val="en-US" w:eastAsia="zh-CN"/>
        </w:rPr>
        <w:t>及争议解决</w:t>
      </w:r>
      <w:r>
        <w:rPr>
          <w:rFonts w:hint="default"/>
          <w:sz w:val="24"/>
          <w:szCs w:val="24"/>
          <w:lang w:val="en-US" w:eastAsia="zh-CN"/>
        </w:rPr>
        <w:t>期间的有效联系方式，如有变更，变更一方应当在变更后三日内书面通知另一方。本合同履行过程中需要书面通知另一方的，一方应将书面通知送达本协议列明的地址及</w:t>
      </w:r>
      <w:r>
        <w:rPr>
          <w:rFonts w:hint="eastAsia"/>
          <w:sz w:val="24"/>
          <w:szCs w:val="24"/>
          <w:lang w:val="en-US" w:eastAsia="zh-CN"/>
        </w:rPr>
        <w:t>委托代理人</w:t>
      </w:r>
      <w:r>
        <w:rPr>
          <w:rFonts w:hint="default"/>
          <w:sz w:val="24"/>
          <w:szCs w:val="24"/>
          <w:lang w:val="en-US" w:eastAsia="zh-CN"/>
        </w:rPr>
        <w:t>，只要该书面通知按照以上地址寄送、发送的，寄送、发送之日起第2日，应视为另一方已经知晓该通知内容。任何一方变更联系方式而未书面通知对方的，均视为未变更，由此产生的一切不利后果均由变更方自行承担。</w:t>
      </w:r>
    </w:p>
    <w:p>
      <w:pPr>
        <w:spacing w:before="0" w:after="0" w:line="360" w:lineRule="auto"/>
        <w:ind w:firstLine="480" w:firstLineChars="200"/>
        <w:rPr>
          <w:rFonts w:hint="eastAsia"/>
        </w:rPr>
      </w:pPr>
    </w:p>
    <w:p>
      <w:pPr>
        <w:spacing w:line="380" w:lineRule="exact"/>
        <w:rPr>
          <w:rFonts w:hint="eastAsia"/>
          <w:sz w:val="24"/>
        </w:rPr>
      </w:pPr>
    </w:p>
    <w:p>
      <w:pPr>
        <w:spacing w:line="480" w:lineRule="auto"/>
        <w:rPr>
          <w:rFonts w:hint="eastAsia"/>
          <w:sz w:val="24"/>
        </w:rPr>
      </w:pPr>
      <w:r>
        <w:rPr>
          <w:rFonts w:hint="eastAsia"/>
          <w:sz w:val="24"/>
        </w:rPr>
        <w:t xml:space="preserve">甲方：陕西中医药大学附属医院    </w:t>
      </w:r>
      <w:r>
        <w:rPr>
          <w:rFonts w:hint="eastAsia"/>
          <w:sz w:val="24"/>
          <w:lang w:val="en-US" w:eastAsia="zh-CN"/>
        </w:rPr>
        <w:t xml:space="preserve">              </w:t>
      </w:r>
      <w:r>
        <w:rPr>
          <w:rFonts w:hint="eastAsia"/>
          <w:sz w:val="24"/>
        </w:rPr>
        <w:t xml:space="preserve">乙方： </w:t>
      </w:r>
    </w:p>
    <w:p>
      <w:pPr>
        <w:spacing w:line="480" w:lineRule="auto"/>
        <w:rPr>
          <w:rFonts w:hint="eastAsia"/>
          <w:sz w:val="24"/>
        </w:rPr>
      </w:pPr>
      <w:r>
        <w:rPr>
          <w:rFonts w:hint="eastAsia"/>
          <w:sz w:val="24"/>
        </w:rPr>
        <w:t xml:space="preserve">地址：咸阳市渭阳西路副2号      </w:t>
      </w:r>
      <w:r>
        <w:rPr>
          <w:rFonts w:hint="eastAsia"/>
          <w:sz w:val="24"/>
          <w:lang w:val="en-US" w:eastAsia="zh-CN"/>
        </w:rPr>
        <w:t xml:space="preserve">              </w:t>
      </w:r>
      <w:r>
        <w:rPr>
          <w:rFonts w:hint="eastAsia"/>
          <w:sz w:val="24"/>
        </w:rPr>
        <w:t xml:space="preserve">地址： </w:t>
      </w:r>
    </w:p>
    <w:p>
      <w:pPr>
        <w:spacing w:line="480" w:lineRule="auto"/>
        <w:ind w:left="6168" w:leftChars="2320" w:hanging="600" w:hangingChars="250"/>
        <w:rPr>
          <w:rFonts w:hint="eastAsia" w:eastAsia="宋体"/>
          <w:sz w:val="24"/>
          <w:lang w:val="en-US" w:eastAsia="zh-CN"/>
        </w:rPr>
      </w:pPr>
      <w:r>
        <w:rPr>
          <w:rFonts w:hint="eastAsia"/>
          <w:sz w:val="24"/>
          <w:lang w:val="en-US" w:eastAsia="zh-CN"/>
        </w:rPr>
        <w:t>法人代表：</w:t>
      </w:r>
    </w:p>
    <w:p>
      <w:pPr>
        <w:spacing w:line="480" w:lineRule="auto"/>
        <w:ind w:left="0" w:firstLine="0" w:firstLineChars="0"/>
        <w:rPr>
          <w:rFonts w:hint="eastAsia" w:ascii="宋体" w:hAnsi="宋体"/>
          <w:sz w:val="24"/>
        </w:rPr>
      </w:pPr>
      <w:r>
        <w:rPr>
          <w:rFonts w:hint="eastAsia"/>
          <w:sz w:val="24"/>
        </w:rPr>
        <w:t xml:space="preserve">委托代理人：                    </w:t>
      </w:r>
      <w:r>
        <w:rPr>
          <w:rFonts w:hint="eastAsia"/>
          <w:sz w:val="24"/>
          <w:lang w:val="en-US" w:eastAsia="zh-CN"/>
        </w:rPr>
        <w:t xml:space="preserve">              </w:t>
      </w:r>
      <w:r>
        <w:rPr>
          <w:rFonts w:hint="eastAsia"/>
          <w:sz w:val="24"/>
        </w:rPr>
        <w:t>委托代理人：</w:t>
      </w:r>
    </w:p>
    <w:p>
      <w:pPr>
        <w:spacing w:line="480" w:lineRule="auto"/>
        <w:rPr>
          <w:rFonts w:hint="eastAsia" w:ascii="Dotum" w:hAnsi="Dotum"/>
          <w:color w:val="000000"/>
          <w:sz w:val="24"/>
        </w:rPr>
      </w:pPr>
      <w:r>
        <w:rPr>
          <w:rFonts w:hint="eastAsia"/>
          <w:sz w:val="24"/>
        </w:rPr>
        <w:t xml:space="preserve">                                </w:t>
      </w:r>
      <w:r>
        <w:rPr>
          <w:rFonts w:hint="eastAsia"/>
          <w:sz w:val="24"/>
          <w:lang w:val="en-US" w:eastAsia="zh-CN"/>
        </w:rPr>
        <w:t xml:space="preserve">              </w:t>
      </w:r>
      <w:r>
        <w:rPr>
          <w:rFonts w:hint="eastAsia"/>
          <w:sz w:val="24"/>
        </w:rPr>
        <w:t>开户银行：</w:t>
      </w:r>
      <w:r>
        <w:rPr>
          <w:rFonts w:hint="eastAsia" w:ascii="Dotum" w:hAnsi="Dotum"/>
          <w:color w:val="000000"/>
          <w:sz w:val="24"/>
        </w:rPr>
        <w:t xml:space="preserve"> </w:t>
      </w:r>
    </w:p>
    <w:p>
      <w:pPr>
        <w:spacing w:line="480" w:lineRule="auto"/>
        <w:ind w:firstLine="720" w:firstLineChars="300"/>
        <w:rPr>
          <w:rFonts w:hint="eastAsia"/>
          <w:sz w:val="24"/>
        </w:rPr>
      </w:pPr>
      <w:r>
        <w:rPr>
          <w:rFonts w:hint="eastAsia"/>
          <w:sz w:val="24"/>
        </w:rPr>
        <w:t xml:space="preserve">                          </w:t>
      </w:r>
      <w:r>
        <w:rPr>
          <w:rFonts w:hint="eastAsia"/>
          <w:sz w:val="24"/>
          <w:lang w:val="en-US" w:eastAsia="zh-CN"/>
        </w:rPr>
        <w:t xml:space="preserve">              </w:t>
      </w:r>
      <w:r>
        <w:rPr>
          <w:rFonts w:hint="eastAsia"/>
          <w:sz w:val="24"/>
        </w:rPr>
        <w:t>银行账号：</w:t>
      </w:r>
    </w:p>
    <w:p>
      <w:pPr>
        <w:spacing w:line="480" w:lineRule="auto"/>
        <w:rPr>
          <w:rFonts w:hint="eastAsia"/>
          <w:sz w:val="24"/>
        </w:rPr>
      </w:pPr>
      <w:r>
        <w:rPr>
          <w:rFonts w:hint="eastAsia"/>
          <w:sz w:val="24"/>
        </w:rPr>
        <w:t>电话：</w:t>
      </w:r>
      <w:r>
        <w:rPr>
          <w:rFonts w:hint="eastAsia" w:ascii="宋体" w:hAnsi="宋体" w:cs="宋体"/>
          <w:highlight w:val="none"/>
          <w:lang w:val="en-US" w:eastAsia="zh-CN"/>
        </w:rPr>
        <w:t>029-33320910</w:t>
      </w:r>
      <w:r>
        <w:rPr>
          <w:rFonts w:hint="eastAsia"/>
          <w:sz w:val="24"/>
        </w:rPr>
        <w:t xml:space="preserve">           </w:t>
      </w:r>
      <w:r>
        <w:rPr>
          <w:rFonts w:hint="eastAsia"/>
          <w:sz w:val="24"/>
          <w:lang w:val="en-US" w:eastAsia="zh-CN"/>
        </w:rPr>
        <w:t xml:space="preserve">                 </w:t>
      </w:r>
      <w:r>
        <w:rPr>
          <w:rFonts w:hint="eastAsia"/>
          <w:sz w:val="24"/>
        </w:rPr>
        <w:t>电话：</w:t>
      </w:r>
    </w:p>
    <w:p>
      <w:pPr>
        <w:spacing w:line="480" w:lineRule="auto"/>
      </w:pPr>
      <w:r>
        <w:rPr>
          <w:rFonts w:hint="eastAsia"/>
          <w:sz w:val="24"/>
        </w:rPr>
        <w:t>日期：</w:t>
      </w:r>
      <w:r>
        <w:rPr>
          <w:rFonts w:hint="eastAsia"/>
          <w:sz w:val="24"/>
          <w:lang w:val="en-US" w:eastAsia="zh-CN"/>
        </w:rPr>
        <w:t xml:space="preserve"> 年 月 日</w:t>
      </w:r>
      <w:r>
        <w:rPr>
          <w:rFonts w:hint="eastAsia"/>
          <w:sz w:val="24"/>
        </w:rPr>
        <w:t xml:space="preserve">         </w:t>
      </w:r>
      <w:r>
        <w:rPr>
          <w:rFonts w:hint="eastAsia"/>
          <w:sz w:val="24"/>
          <w:lang w:val="en-US" w:eastAsia="zh-CN"/>
        </w:rPr>
        <w:t xml:space="preserve">                      </w:t>
      </w:r>
      <w:r>
        <w:rPr>
          <w:rFonts w:hint="eastAsia"/>
          <w:sz w:val="24"/>
        </w:rPr>
        <w:t>日期</w:t>
      </w:r>
      <w:r>
        <w:rPr>
          <w:rFonts w:hint="eastAsia"/>
          <w:sz w:val="24"/>
          <w:lang w:eastAsia="zh-CN"/>
        </w:rPr>
        <w:t>：</w:t>
      </w:r>
      <w:r>
        <w:rPr>
          <w:rFonts w:hint="eastAsia"/>
          <w:sz w:val="24"/>
          <w:lang w:val="en-US" w:eastAsia="zh-CN"/>
        </w:rPr>
        <w:t xml:space="preserve"> 年 月 日</w:t>
      </w:r>
    </w:p>
    <w:p>
      <w:pPr>
        <w:spacing w:line="480" w:lineRule="auto"/>
        <w:outlineLvl w:val="9"/>
        <w:rPr>
          <w:rFonts w:hint="eastAsia" w:ascii="宋体" w:hAnsi="宋体" w:eastAsia="宋体" w:cs="宋体"/>
          <w:highlight w:val="none"/>
        </w:rPr>
      </w:pPr>
    </w:p>
    <w:p>
      <w:pPr>
        <w:pStyle w:val="3"/>
        <w:keepNext w:val="0"/>
        <w:pageBreakBefore/>
        <w:rPr>
          <w:rFonts w:hint="eastAsia" w:ascii="宋体" w:hAnsi="宋体" w:eastAsia="宋体" w:cs="宋体"/>
          <w:highlight w:val="none"/>
        </w:rPr>
      </w:pPr>
      <w:bookmarkStart w:id="73" w:name="_Toc32086"/>
      <w:r>
        <w:rPr>
          <w:rFonts w:hint="eastAsia" w:ascii="宋体" w:hAnsi="宋体" w:eastAsia="宋体" w:cs="宋体"/>
          <w:highlight w:val="none"/>
        </w:rPr>
        <w:t>第七部分 谈判响应文件格式</w:t>
      </w:r>
      <w:bookmarkEnd w:id="72"/>
      <w:bookmarkEnd w:id="73"/>
    </w:p>
    <w:p>
      <w:pPr>
        <w:adjustRightInd w:val="0"/>
        <w:snapToGrid w:val="0"/>
        <w:spacing w:line="500" w:lineRule="exact"/>
        <w:jc w:val="left"/>
        <w:rPr>
          <w:rFonts w:hint="eastAsia" w:ascii="宋体" w:hAnsi="宋体" w:eastAsia="宋体" w:cs="宋体"/>
          <w:b/>
          <w:w w:val="120"/>
          <w:sz w:val="28"/>
          <w:szCs w:val="28"/>
          <w:highlight w:val="none"/>
        </w:rPr>
      </w:pPr>
      <w:r>
        <w:rPr>
          <w:rFonts w:hint="eastAsia" w:ascii="宋体" w:hAnsi="宋体" w:eastAsia="宋体" w:cs="宋体"/>
          <w:b/>
          <w:w w:val="120"/>
          <w:sz w:val="28"/>
          <w:szCs w:val="28"/>
          <w:highlight w:val="none"/>
        </w:rPr>
        <w:t>项目编号：</w:t>
      </w:r>
      <w:r>
        <w:rPr>
          <w:rFonts w:hint="eastAsia" w:ascii="宋体" w:hAnsi="宋体" w:cs="宋体"/>
          <w:b/>
          <w:w w:val="120"/>
          <w:sz w:val="28"/>
          <w:szCs w:val="28"/>
          <w:highlight w:val="none"/>
          <w:lang w:eastAsia="zh-CN"/>
        </w:rPr>
        <w:t>SXWZ2022ZB-SZFY-055</w:t>
      </w:r>
      <w:r>
        <w:rPr>
          <w:rFonts w:hint="eastAsia" w:ascii="宋体" w:hAnsi="宋体" w:eastAsia="宋体" w:cs="宋体"/>
          <w:b/>
          <w:w w:val="120"/>
          <w:sz w:val="28"/>
          <w:szCs w:val="28"/>
          <w:highlight w:val="none"/>
        </w:rPr>
        <w:t xml:space="preserve">        （正本或副本）</w:t>
      </w:r>
    </w:p>
    <w:p>
      <w:pPr>
        <w:rPr>
          <w:rFonts w:hint="eastAsia" w:ascii="宋体" w:hAnsi="宋体" w:eastAsia="宋体" w:cs="宋体"/>
          <w:highlight w:val="none"/>
        </w:rPr>
      </w:pPr>
    </w:p>
    <w:p>
      <w:pPr>
        <w:jc w:val="center"/>
        <w:rPr>
          <w:rFonts w:hint="eastAsia" w:ascii="宋体" w:hAnsi="宋体" w:eastAsia="宋体" w:cs="宋体"/>
          <w:b/>
          <w:bCs/>
          <w:sz w:val="44"/>
          <w:szCs w:val="44"/>
          <w:highlight w:val="none"/>
        </w:rPr>
      </w:pPr>
    </w:p>
    <w:p>
      <w:pPr>
        <w:adjustRightInd w:val="0"/>
        <w:snapToGrid w:val="0"/>
        <w:spacing w:line="48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陕西中医药大学附属医院</w:t>
      </w:r>
    </w:p>
    <w:p>
      <w:pPr>
        <w:adjustRightInd w:val="0"/>
        <w:snapToGrid w:val="0"/>
        <w:spacing w:line="48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 xml:space="preserve">GE64排双能CT更换球管采购项目 </w:t>
      </w:r>
    </w:p>
    <w:p>
      <w:pPr>
        <w:adjustRightInd w:val="0"/>
        <w:snapToGrid w:val="0"/>
        <w:spacing w:line="480" w:lineRule="auto"/>
        <w:jc w:val="center"/>
        <w:rPr>
          <w:rFonts w:hint="eastAsia" w:ascii="宋体" w:hAnsi="宋体" w:eastAsia="宋体" w:cs="宋体"/>
          <w:sz w:val="52"/>
          <w:szCs w:val="52"/>
          <w:highlight w:val="none"/>
        </w:rPr>
      </w:pP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sz w:val="52"/>
          <w:szCs w:val="52"/>
          <w:highlight w:val="none"/>
        </w:rPr>
        <w:t>单一来源响应文件</w:t>
      </w:r>
    </w:p>
    <w:p>
      <w:pPr>
        <w:snapToGrid w:val="0"/>
        <w:spacing w:line="480" w:lineRule="auto"/>
        <w:ind w:firstLine="640" w:firstLineChars="200"/>
        <w:jc w:val="left"/>
        <w:rPr>
          <w:rFonts w:hint="eastAsia" w:ascii="宋体" w:hAnsi="宋体" w:eastAsia="宋体" w:cs="宋体"/>
          <w:sz w:val="32"/>
          <w:szCs w:val="32"/>
          <w:highlight w:val="none"/>
          <w:lang w:val="zh-CN"/>
        </w:rPr>
      </w:pPr>
    </w:p>
    <w:p>
      <w:pPr>
        <w:snapToGrid w:val="0"/>
        <w:spacing w:line="360" w:lineRule="auto"/>
        <w:ind w:firstLine="560" w:firstLineChars="200"/>
        <w:jc w:val="left"/>
        <w:rPr>
          <w:rFonts w:hint="eastAsia" w:ascii="宋体" w:hAnsi="宋体" w:eastAsia="宋体" w:cs="宋体"/>
          <w:sz w:val="28"/>
          <w:szCs w:val="28"/>
          <w:highlight w:val="none"/>
          <w:lang w:val="zh-CN"/>
        </w:rPr>
      </w:pPr>
    </w:p>
    <w:p>
      <w:pPr>
        <w:snapToGrid w:val="0"/>
        <w:spacing w:line="360" w:lineRule="auto"/>
        <w:ind w:firstLine="560" w:firstLineChars="200"/>
        <w:jc w:val="left"/>
        <w:rPr>
          <w:rFonts w:hint="eastAsia" w:ascii="宋体" w:hAnsi="宋体" w:eastAsia="宋体" w:cs="宋体"/>
          <w:sz w:val="28"/>
          <w:szCs w:val="28"/>
          <w:highlight w:val="none"/>
          <w:lang w:val="zh-CN"/>
        </w:rPr>
      </w:pPr>
    </w:p>
    <w:p>
      <w:pPr>
        <w:snapToGrid w:val="0"/>
        <w:spacing w:line="360" w:lineRule="auto"/>
        <w:ind w:firstLine="560" w:firstLineChars="200"/>
        <w:jc w:val="left"/>
        <w:rPr>
          <w:rFonts w:hint="eastAsia" w:ascii="宋体" w:hAnsi="宋体" w:eastAsia="宋体" w:cs="宋体"/>
          <w:sz w:val="28"/>
          <w:szCs w:val="28"/>
          <w:highlight w:val="none"/>
          <w:lang w:val="zh-CN"/>
        </w:rPr>
      </w:pPr>
    </w:p>
    <w:p>
      <w:pPr>
        <w:snapToGrid w:val="0"/>
        <w:spacing w:line="360" w:lineRule="auto"/>
        <w:ind w:firstLine="560" w:firstLineChars="200"/>
        <w:jc w:val="left"/>
        <w:rPr>
          <w:rFonts w:hint="eastAsia" w:ascii="宋体" w:hAnsi="宋体" w:eastAsia="宋体" w:cs="宋体"/>
          <w:sz w:val="28"/>
          <w:szCs w:val="28"/>
          <w:highlight w:val="none"/>
          <w:lang w:val="zh-CN"/>
        </w:rPr>
      </w:pPr>
    </w:p>
    <w:p>
      <w:pPr>
        <w:snapToGrid w:val="0"/>
        <w:spacing w:line="360" w:lineRule="auto"/>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供应商（单位名称及公章）：</w:t>
      </w:r>
      <w:r>
        <w:rPr>
          <w:rFonts w:hint="eastAsia" w:ascii="宋体" w:hAnsi="宋体" w:eastAsia="宋体" w:cs="宋体"/>
          <w:sz w:val="28"/>
          <w:szCs w:val="28"/>
          <w:highlight w:val="none"/>
        </w:rPr>
        <w:t>_________________</w:t>
      </w:r>
    </w:p>
    <w:p>
      <w:pPr>
        <w:snapToGrid w:val="0"/>
        <w:spacing w:line="360" w:lineRule="auto"/>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法定代表人或被授权人（签字或盖章）：</w:t>
      </w:r>
      <w:r>
        <w:rPr>
          <w:rFonts w:hint="eastAsia" w:ascii="宋体" w:hAnsi="宋体" w:eastAsia="宋体" w:cs="宋体"/>
          <w:sz w:val="28"/>
          <w:szCs w:val="28"/>
          <w:highlight w:val="none"/>
        </w:rPr>
        <w:t>_________________</w:t>
      </w:r>
    </w:p>
    <w:p>
      <w:pPr>
        <w:snapToGrid w:val="0"/>
        <w:spacing w:line="360" w:lineRule="auto"/>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日期：</w:t>
      </w:r>
      <w:r>
        <w:rPr>
          <w:rFonts w:hint="eastAsia" w:ascii="宋体" w:hAnsi="宋体" w:eastAsia="宋体" w:cs="宋体"/>
          <w:sz w:val="28"/>
          <w:szCs w:val="28"/>
          <w:highlight w:val="none"/>
        </w:rPr>
        <w:t>_________________</w:t>
      </w:r>
    </w:p>
    <w:p>
      <w:pPr>
        <w:pageBreakBefore/>
        <w:ind w:firstLine="1004" w:firstLineChars="200"/>
        <w:jc w:val="center"/>
        <w:rPr>
          <w:rFonts w:hint="eastAsia" w:ascii="宋体" w:hAnsi="宋体" w:eastAsia="宋体" w:cs="宋体"/>
          <w:b/>
          <w:sz w:val="50"/>
          <w:highlight w:val="none"/>
        </w:rPr>
      </w:pPr>
      <w:r>
        <w:rPr>
          <w:rFonts w:hint="eastAsia" w:ascii="宋体" w:hAnsi="宋体" w:eastAsia="宋体" w:cs="宋体"/>
          <w:b/>
          <w:sz w:val="50"/>
          <w:highlight w:val="none"/>
        </w:rPr>
        <w:t>目录</w:t>
      </w:r>
    </w:p>
    <w:p>
      <w:pPr>
        <w:ind w:firstLine="1004" w:firstLineChars="200"/>
        <w:jc w:val="left"/>
        <w:rPr>
          <w:rFonts w:hint="eastAsia" w:ascii="宋体" w:hAnsi="宋体" w:eastAsia="宋体" w:cs="宋体"/>
          <w:b/>
          <w:sz w:val="50"/>
          <w:highlight w:val="none"/>
        </w:rPr>
      </w:pPr>
      <w:bookmarkStart w:id="74" w:name="_Toc2536"/>
    </w:p>
    <w:p>
      <w:pPr>
        <w:pStyle w:val="13"/>
        <w:snapToGrid w:val="0"/>
        <w:spacing w:line="480" w:lineRule="auto"/>
        <w:ind w:firstLine="562" w:firstLineChars="200"/>
        <w:jc w:val="left"/>
        <w:rPr>
          <w:rFonts w:hint="eastAsia" w:ascii="宋体" w:hAnsi="宋体" w:eastAsia="宋体" w:cs="宋体"/>
          <w:b/>
          <w:bCs/>
          <w:sz w:val="28"/>
          <w:szCs w:val="28"/>
          <w:highlight w:val="none"/>
        </w:rPr>
      </w:pPr>
      <w:bookmarkStart w:id="75" w:name="_Toc3727_WPSOffice_Level1"/>
      <w:r>
        <w:rPr>
          <w:rFonts w:hint="eastAsia" w:ascii="宋体" w:hAnsi="宋体" w:eastAsia="宋体" w:cs="宋体"/>
          <w:b/>
          <w:bCs/>
          <w:sz w:val="28"/>
          <w:szCs w:val="28"/>
          <w:highlight w:val="none"/>
        </w:rPr>
        <w:t>第一</w:t>
      </w:r>
      <w:r>
        <w:rPr>
          <w:rFonts w:hint="eastAsia" w:ascii="宋体" w:hAnsi="宋体" w:eastAsia="宋体" w:cs="宋体"/>
          <w:b/>
          <w:bCs/>
          <w:sz w:val="28"/>
          <w:szCs w:val="28"/>
          <w:highlight w:val="none"/>
          <w:lang w:eastAsia="zh-CN"/>
        </w:rPr>
        <w:t>章</w:t>
      </w:r>
      <w:r>
        <w:rPr>
          <w:rFonts w:hint="eastAsia" w:ascii="宋体" w:hAnsi="宋体" w:eastAsia="宋体" w:cs="宋体"/>
          <w:b/>
          <w:bCs/>
          <w:sz w:val="28"/>
          <w:szCs w:val="28"/>
          <w:highlight w:val="none"/>
        </w:rPr>
        <w:t xml:space="preserve">    响应函</w:t>
      </w:r>
      <w:bookmarkEnd w:id="75"/>
    </w:p>
    <w:p>
      <w:pPr>
        <w:snapToGrid w:val="0"/>
        <w:spacing w:line="480" w:lineRule="auto"/>
        <w:ind w:firstLine="562" w:firstLineChars="200"/>
        <w:jc w:val="left"/>
        <w:rPr>
          <w:rFonts w:hint="eastAsia" w:ascii="宋体" w:hAnsi="宋体" w:eastAsia="宋体" w:cs="宋体"/>
          <w:b/>
          <w:sz w:val="28"/>
          <w:szCs w:val="28"/>
          <w:highlight w:val="none"/>
        </w:rPr>
      </w:pPr>
      <w:bookmarkStart w:id="76" w:name="_Toc23436_WPSOffice_Level1"/>
      <w:r>
        <w:rPr>
          <w:rFonts w:hint="eastAsia" w:ascii="宋体" w:hAnsi="宋体" w:eastAsia="宋体" w:cs="宋体"/>
          <w:b/>
          <w:sz w:val="28"/>
          <w:szCs w:val="28"/>
          <w:highlight w:val="none"/>
        </w:rPr>
        <w:t>第二</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eastAsia="zh-CN"/>
        </w:rPr>
        <w:t>响应</w:t>
      </w:r>
      <w:r>
        <w:rPr>
          <w:rFonts w:hint="eastAsia" w:ascii="宋体" w:hAnsi="宋体" w:eastAsia="宋体" w:cs="宋体"/>
          <w:b/>
          <w:sz w:val="28"/>
          <w:szCs w:val="28"/>
          <w:highlight w:val="none"/>
        </w:rPr>
        <w:t>一览表</w:t>
      </w:r>
      <w:bookmarkEnd w:id="76"/>
    </w:p>
    <w:p>
      <w:pPr>
        <w:pStyle w:val="13"/>
        <w:numPr>
          <w:ilvl w:val="0"/>
          <w:numId w:val="0"/>
        </w:numPr>
        <w:snapToGrid w:val="0"/>
        <w:spacing w:line="48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第三章</w:t>
      </w:r>
      <w:r>
        <w:rPr>
          <w:rFonts w:hint="eastAsia" w:ascii="宋体" w:hAnsi="宋体" w:eastAsia="宋体" w:cs="宋体"/>
          <w:b/>
          <w:bCs/>
          <w:sz w:val="28"/>
          <w:szCs w:val="28"/>
          <w:highlight w:val="none"/>
        </w:rPr>
        <w:t xml:space="preserve">   </w:t>
      </w:r>
      <w:bookmarkStart w:id="77" w:name="_Toc11444_WPSOffice_Level1"/>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分项报价表</w:t>
      </w:r>
      <w:bookmarkEnd w:id="77"/>
    </w:p>
    <w:p>
      <w:pPr>
        <w:pStyle w:val="13"/>
        <w:numPr>
          <w:ilvl w:val="0"/>
          <w:numId w:val="0"/>
        </w:numPr>
        <w:snapToGrid w:val="0"/>
        <w:spacing w:line="480" w:lineRule="auto"/>
        <w:ind w:firstLine="562" w:firstLineChars="200"/>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第四章</w:t>
      </w:r>
      <w:r>
        <w:rPr>
          <w:rFonts w:hint="eastAsia" w:ascii="宋体" w:hAnsi="宋体" w:eastAsia="宋体" w:cs="宋体"/>
          <w:b/>
          <w:bCs/>
          <w:sz w:val="28"/>
          <w:szCs w:val="28"/>
          <w:highlight w:val="none"/>
          <w:lang w:val="en-US" w:eastAsia="zh-CN"/>
        </w:rPr>
        <w:t xml:space="preserve">    谈判保证金</w:t>
      </w:r>
    </w:p>
    <w:p>
      <w:pPr>
        <w:pStyle w:val="13"/>
        <w:numPr>
          <w:ilvl w:val="0"/>
          <w:numId w:val="0"/>
        </w:numPr>
        <w:snapToGrid w:val="0"/>
        <w:spacing w:line="480" w:lineRule="auto"/>
        <w:ind w:firstLine="562" w:firstLineChars="200"/>
        <w:jc w:val="left"/>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eastAsia="zh-CN"/>
        </w:rPr>
        <w:t>第五章</w:t>
      </w:r>
      <w:r>
        <w:rPr>
          <w:rFonts w:hint="eastAsia" w:ascii="宋体" w:hAnsi="宋体" w:eastAsia="宋体" w:cs="宋体"/>
          <w:b/>
          <w:kern w:val="0"/>
          <w:sz w:val="28"/>
          <w:szCs w:val="28"/>
          <w:highlight w:val="none"/>
        </w:rPr>
        <w:t xml:space="preserve">   </w:t>
      </w:r>
      <w:bookmarkStart w:id="78" w:name="_Toc8976_WPSOffice_Level1"/>
      <w:r>
        <w:rPr>
          <w:rFonts w:hint="eastAsia" w:ascii="宋体" w:hAnsi="宋体" w:eastAsia="宋体" w:cs="宋体"/>
          <w:b/>
          <w:kern w:val="0"/>
          <w:sz w:val="28"/>
          <w:szCs w:val="28"/>
          <w:highlight w:val="none"/>
          <w:lang w:val="en-US" w:eastAsia="zh-CN"/>
        </w:rPr>
        <w:t xml:space="preserve"> </w:t>
      </w:r>
      <w:r>
        <w:rPr>
          <w:rFonts w:hint="eastAsia" w:ascii="宋体" w:hAnsi="宋体" w:eastAsia="宋体" w:cs="宋体"/>
          <w:b/>
          <w:kern w:val="0"/>
          <w:sz w:val="28"/>
          <w:szCs w:val="28"/>
          <w:highlight w:val="none"/>
          <w:lang w:eastAsia="zh-CN"/>
        </w:rPr>
        <w:t>服务要求</w:t>
      </w:r>
      <w:r>
        <w:rPr>
          <w:rFonts w:hint="eastAsia" w:ascii="宋体" w:hAnsi="宋体" w:eastAsia="宋体" w:cs="宋体"/>
          <w:b/>
          <w:kern w:val="0"/>
          <w:sz w:val="28"/>
          <w:szCs w:val="28"/>
          <w:highlight w:val="none"/>
        </w:rPr>
        <w:t>偏差表</w:t>
      </w:r>
      <w:bookmarkEnd w:id="78"/>
    </w:p>
    <w:p>
      <w:pPr>
        <w:pStyle w:val="13"/>
        <w:snapToGrid w:val="0"/>
        <w:spacing w:line="480" w:lineRule="auto"/>
        <w:ind w:firstLine="562" w:firstLineChars="200"/>
        <w:jc w:val="left"/>
        <w:rPr>
          <w:rFonts w:hint="eastAsia" w:ascii="宋体" w:hAnsi="宋体" w:eastAsia="宋体" w:cs="宋体"/>
          <w:b/>
          <w:kern w:val="0"/>
          <w:sz w:val="28"/>
          <w:szCs w:val="28"/>
          <w:highlight w:val="none"/>
        </w:rPr>
      </w:pPr>
      <w:bookmarkStart w:id="79" w:name="_Toc3057_WPSOffice_Level1"/>
      <w:r>
        <w:rPr>
          <w:rFonts w:hint="eastAsia" w:ascii="宋体" w:hAnsi="宋体" w:eastAsia="宋体" w:cs="宋体"/>
          <w:b/>
          <w:kern w:val="0"/>
          <w:sz w:val="28"/>
          <w:szCs w:val="28"/>
          <w:highlight w:val="none"/>
        </w:rPr>
        <w:t>第</w:t>
      </w:r>
      <w:r>
        <w:rPr>
          <w:rFonts w:hint="eastAsia" w:ascii="宋体" w:hAnsi="宋体" w:eastAsia="宋体" w:cs="宋体"/>
          <w:b/>
          <w:kern w:val="0"/>
          <w:sz w:val="28"/>
          <w:szCs w:val="28"/>
          <w:highlight w:val="none"/>
          <w:lang w:eastAsia="zh-CN"/>
        </w:rPr>
        <w:t>六章</w:t>
      </w:r>
      <w:r>
        <w:rPr>
          <w:rFonts w:hint="eastAsia" w:ascii="宋体" w:hAnsi="宋体" w:eastAsia="宋体" w:cs="宋体"/>
          <w:b/>
          <w:kern w:val="0"/>
          <w:sz w:val="28"/>
          <w:szCs w:val="28"/>
          <w:highlight w:val="none"/>
        </w:rPr>
        <w:t xml:space="preserve">    商务响应说明</w:t>
      </w:r>
      <w:bookmarkEnd w:id="79"/>
    </w:p>
    <w:p>
      <w:pPr>
        <w:pStyle w:val="13"/>
        <w:snapToGrid w:val="0"/>
        <w:spacing w:line="480" w:lineRule="auto"/>
        <w:ind w:firstLine="562" w:firstLineChars="200"/>
        <w:jc w:val="left"/>
        <w:rPr>
          <w:rFonts w:hint="eastAsia" w:ascii="宋体" w:hAnsi="宋体" w:eastAsia="宋体" w:cs="宋体"/>
          <w:b/>
          <w:bCs/>
          <w:sz w:val="28"/>
          <w:szCs w:val="28"/>
          <w:highlight w:val="none"/>
        </w:rPr>
      </w:pPr>
      <w:bookmarkStart w:id="80" w:name="_Toc4384_WPSOffice_Level1"/>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eastAsia="zh-CN"/>
        </w:rPr>
        <w:t>七章</w:t>
      </w:r>
      <w:r>
        <w:rPr>
          <w:rFonts w:hint="eastAsia" w:ascii="宋体" w:hAnsi="宋体" w:eastAsia="宋体" w:cs="宋体"/>
          <w:b/>
          <w:bCs/>
          <w:sz w:val="28"/>
          <w:szCs w:val="28"/>
          <w:highlight w:val="none"/>
        </w:rPr>
        <w:t xml:space="preserve">    供应商资质要求</w:t>
      </w:r>
      <w:bookmarkEnd w:id="80"/>
    </w:p>
    <w:p>
      <w:pPr>
        <w:pStyle w:val="13"/>
        <w:snapToGrid w:val="0"/>
        <w:spacing w:line="480" w:lineRule="auto"/>
        <w:ind w:firstLine="562" w:firstLineChars="200"/>
        <w:jc w:val="left"/>
        <w:rPr>
          <w:rFonts w:hint="eastAsia" w:ascii="宋体" w:hAnsi="宋体" w:eastAsia="宋体" w:cs="宋体"/>
          <w:b/>
          <w:sz w:val="28"/>
          <w:szCs w:val="28"/>
          <w:highlight w:val="none"/>
        </w:rPr>
      </w:pPr>
      <w:bookmarkStart w:id="81" w:name="_Toc5905_WPSOffice_Level1"/>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eastAsia="zh-CN"/>
        </w:rPr>
        <w:t>八章</w:t>
      </w:r>
      <w:r>
        <w:rPr>
          <w:rFonts w:hint="eastAsia" w:ascii="宋体" w:hAnsi="宋体" w:eastAsia="宋体" w:cs="宋体"/>
          <w:b/>
          <w:sz w:val="28"/>
          <w:szCs w:val="28"/>
          <w:highlight w:val="none"/>
        </w:rPr>
        <w:t xml:space="preserve">    </w:t>
      </w:r>
      <w:bookmarkEnd w:id="81"/>
      <w:r>
        <w:rPr>
          <w:rFonts w:hint="eastAsia" w:ascii="宋体" w:hAnsi="宋体" w:eastAsia="宋体" w:cs="宋体"/>
          <w:b/>
          <w:sz w:val="28"/>
          <w:szCs w:val="28"/>
          <w:highlight w:val="none"/>
          <w:lang w:eastAsia="zh-CN"/>
        </w:rPr>
        <w:t>服务方案与技术组织方案</w:t>
      </w:r>
    </w:p>
    <w:p>
      <w:pPr>
        <w:snapToGrid w:val="0"/>
        <w:spacing w:line="480" w:lineRule="auto"/>
        <w:ind w:firstLine="562" w:firstLineChars="200"/>
        <w:jc w:val="left"/>
        <w:rPr>
          <w:rFonts w:hint="eastAsia" w:ascii="宋体" w:hAnsi="宋体" w:eastAsia="宋体" w:cs="宋体"/>
          <w:b/>
          <w:bCs/>
          <w:sz w:val="28"/>
          <w:szCs w:val="28"/>
          <w:highlight w:val="none"/>
        </w:rPr>
      </w:pPr>
      <w:bookmarkStart w:id="82" w:name="_Toc13214_WPSOffice_Level1"/>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eastAsia="zh-CN"/>
        </w:rPr>
        <w:t>九章</w:t>
      </w:r>
      <w:r>
        <w:rPr>
          <w:rFonts w:hint="eastAsia" w:ascii="宋体" w:hAnsi="宋体" w:eastAsia="宋体" w:cs="宋体"/>
          <w:b/>
          <w:bCs/>
          <w:sz w:val="28"/>
          <w:szCs w:val="28"/>
          <w:highlight w:val="none"/>
        </w:rPr>
        <w:t xml:space="preserve">    供应商认为有必要说明的其他问题</w:t>
      </w:r>
      <w:bookmarkEnd w:id="82"/>
      <w:r>
        <w:rPr>
          <w:rFonts w:hint="eastAsia" w:ascii="宋体" w:hAnsi="宋体" w:eastAsia="宋体" w:cs="宋体"/>
          <w:b/>
          <w:bCs/>
          <w:sz w:val="28"/>
          <w:szCs w:val="28"/>
          <w:highlight w:val="none"/>
        </w:rPr>
        <w:t xml:space="preserve"> </w:t>
      </w:r>
    </w:p>
    <w:p>
      <w:pPr>
        <w:pStyle w:val="4"/>
        <w:pageBreakBefore/>
        <w:rPr>
          <w:rFonts w:hint="eastAsia" w:ascii="宋体" w:hAnsi="宋体" w:eastAsia="宋体" w:cs="宋体"/>
          <w:highlight w:val="none"/>
        </w:rPr>
      </w:pPr>
      <w:bookmarkStart w:id="83" w:name="_Toc26144"/>
      <w:r>
        <w:rPr>
          <w:rFonts w:hint="eastAsia" w:ascii="宋体" w:hAnsi="宋体" w:eastAsia="宋体" w:cs="宋体"/>
          <w:highlight w:val="none"/>
        </w:rPr>
        <w:t>第一</w:t>
      </w:r>
      <w:bookmarkEnd w:id="74"/>
      <w:r>
        <w:rPr>
          <w:rFonts w:hint="eastAsia" w:ascii="宋体" w:hAnsi="宋体" w:eastAsia="宋体" w:cs="宋体"/>
          <w:highlight w:val="none"/>
          <w:lang w:eastAsia="zh-CN"/>
        </w:rPr>
        <w:t>章</w:t>
      </w:r>
      <w:r>
        <w:rPr>
          <w:rFonts w:hint="eastAsia" w:ascii="宋体" w:hAnsi="宋体" w:eastAsia="宋体" w:cs="宋体"/>
          <w:highlight w:val="none"/>
        </w:rPr>
        <w:t xml:space="preserve"> 响应函</w:t>
      </w:r>
      <w:bookmarkEnd w:id="83"/>
    </w:p>
    <w:p>
      <w:pPr>
        <w:adjustRightInd w:val="0"/>
        <w:snapToGrid w:val="0"/>
        <w:spacing w:line="276" w:lineRule="auto"/>
        <w:jc w:val="left"/>
        <w:rPr>
          <w:rFonts w:hint="eastAsia" w:ascii="宋体" w:hAnsi="宋体" w:eastAsia="宋体" w:cs="宋体"/>
          <w:bCs/>
          <w:sz w:val="32"/>
          <w:szCs w:val="32"/>
          <w:highlight w:val="none"/>
        </w:rPr>
      </w:pPr>
      <w:r>
        <w:rPr>
          <w:rFonts w:hint="eastAsia" w:ascii="宋体" w:hAnsi="宋体" w:eastAsia="宋体" w:cs="宋体"/>
          <w:b/>
          <w:bCs/>
          <w:sz w:val="28"/>
          <w:szCs w:val="28"/>
          <w:highlight w:val="none"/>
        </w:rPr>
        <w:t>陕西万泽招标有限公司</w:t>
      </w:r>
      <w:r>
        <w:rPr>
          <w:rFonts w:hint="eastAsia" w:ascii="宋体" w:hAnsi="宋体" w:eastAsia="宋体" w:cs="宋体"/>
          <w:bCs/>
          <w:sz w:val="32"/>
          <w:szCs w:val="32"/>
          <w:highlight w:val="none"/>
        </w:rPr>
        <w:t>：</w:t>
      </w:r>
    </w:p>
    <w:p>
      <w:pPr>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我单位收到编号为：</w:t>
      </w:r>
      <w:r>
        <w:rPr>
          <w:rFonts w:hint="eastAsia" w:ascii="宋体" w:hAnsi="宋体" w:eastAsia="宋体" w:cs="宋体"/>
          <w:highlight w:val="none"/>
          <w:u w:val="single"/>
        </w:rPr>
        <w:t xml:space="preserve"> </w:t>
      </w:r>
      <w:r>
        <w:rPr>
          <w:rFonts w:hint="eastAsia" w:ascii="宋体" w:hAnsi="宋体" w:cs="宋体"/>
          <w:highlight w:val="none"/>
          <w:u w:val="single"/>
          <w:lang w:eastAsia="zh-CN"/>
        </w:rPr>
        <w:t>SXWZ2022ZB-SZFY-055</w:t>
      </w:r>
      <w:r>
        <w:rPr>
          <w:rFonts w:hint="eastAsia" w:ascii="宋体" w:hAnsi="宋体" w:eastAsia="宋体" w:cs="宋体"/>
          <w:highlight w:val="none"/>
          <w:u w:val="single"/>
        </w:rPr>
        <w:t xml:space="preserve">  </w:t>
      </w:r>
      <w:r>
        <w:rPr>
          <w:rFonts w:hint="eastAsia" w:ascii="宋体" w:hAnsi="宋体" w:eastAsia="宋体" w:cs="宋体"/>
          <w:highlight w:val="none"/>
        </w:rPr>
        <w:t>的谈判文件，经详细研究，我公司决定参加本次谈判活动。为此，我方郑重承诺以下诸点，并负法律责任。</w:t>
      </w:r>
    </w:p>
    <w:p>
      <w:pPr>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1、愿意按照谈判文件中的全部要求，提供合格的产品及完善的技术服务，履行合同的责任和义务。</w:t>
      </w:r>
    </w:p>
    <w:p>
      <w:pPr>
        <w:spacing w:line="46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2、按照</w:t>
      </w:r>
      <w:r>
        <w:rPr>
          <w:rFonts w:hint="eastAsia" w:ascii="宋体" w:hAnsi="宋体" w:eastAsia="宋体" w:cs="宋体"/>
          <w:highlight w:val="none"/>
          <w:lang w:eastAsia="zh-CN"/>
        </w:rPr>
        <w:t>单一来源采购文件</w:t>
      </w:r>
      <w:r>
        <w:rPr>
          <w:rFonts w:hint="eastAsia" w:ascii="宋体" w:hAnsi="宋体" w:eastAsia="宋体" w:cs="宋体"/>
          <w:highlight w:val="none"/>
        </w:rPr>
        <w:t>的规定，</w:t>
      </w:r>
      <w:r>
        <w:rPr>
          <w:rFonts w:hint="eastAsia" w:ascii="宋体" w:hAnsi="宋体" w:eastAsia="宋体" w:cs="宋体"/>
          <w:szCs w:val="24"/>
          <w:highlight w:val="none"/>
        </w:rPr>
        <w:t>我公司的响应报价为：</w:t>
      </w:r>
    </w:p>
    <w:p>
      <w:pPr>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（大写）</w:t>
      </w:r>
      <w:r>
        <w:rPr>
          <w:rFonts w:hint="eastAsia" w:ascii="宋体" w:hAnsi="宋体" w:eastAsia="宋体" w:cs="宋体"/>
          <w:highlight w:val="none"/>
          <w:u w:val="single"/>
        </w:rPr>
        <w:t>：                 ；</w:t>
      </w:r>
      <w:r>
        <w:rPr>
          <w:rFonts w:hint="eastAsia" w:ascii="宋体" w:hAnsi="宋体" w:eastAsia="宋体" w:cs="宋体"/>
          <w:highlight w:val="none"/>
        </w:rPr>
        <w:t>（小写</w:t>
      </w:r>
      <w:r>
        <w:rPr>
          <w:rFonts w:hint="eastAsia" w:ascii="宋体" w:hAnsi="宋体" w:eastAsia="宋体" w:cs="宋体"/>
          <w:highlight w:val="none"/>
          <w:u w:val="single"/>
        </w:rPr>
        <w:t>）            。</w:t>
      </w:r>
    </w:p>
    <w:p>
      <w:pPr>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szCs w:val="24"/>
          <w:highlight w:val="none"/>
        </w:rPr>
        <w:t xml:space="preserve"> </w:t>
      </w:r>
      <w:r>
        <w:rPr>
          <w:rFonts w:hint="eastAsia" w:ascii="宋体" w:hAnsi="宋体" w:eastAsia="宋体" w:cs="宋体"/>
          <w:highlight w:val="none"/>
        </w:rPr>
        <w:t>3、我方提交的谈判响应文件正本壹份、副本叁份，电子文档壹份、</w:t>
      </w:r>
      <w:r>
        <w:rPr>
          <w:rFonts w:hint="eastAsia" w:ascii="宋体" w:hAnsi="宋体" w:eastAsia="宋体" w:cs="宋体"/>
          <w:szCs w:val="24"/>
          <w:highlight w:val="none"/>
        </w:rPr>
        <w:t>响应一览表壹份</w:t>
      </w:r>
      <w:r>
        <w:rPr>
          <w:rFonts w:hint="eastAsia" w:ascii="宋体" w:hAnsi="宋体" w:eastAsia="宋体" w:cs="宋体"/>
          <w:highlight w:val="none"/>
        </w:rPr>
        <w:t>。</w:t>
      </w:r>
    </w:p>
    <w:p>
      <w:pPr>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4、我们已详细阅读了谈判文件，完全理解并同意放弃提出含糊不清和误解问题的权力。</w:t>
      </w:r>
    </w:p>
    <w:p>
      <w:pPr>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5、如果我方在谈判后到规定的谈判有效期内撤回谈判响应文件及承诺，我们的保证金将被对方没收。</w:t>
      </w:r>
    </w:p>
    <w:p>
      <w:pPr>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6、同意向贵方提供贵方可能要求的、与本次谈判有关的任何证据资料。</w:t>
      </w:r>
    </w:p>
    <w:p>
      <w:pPr>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7、我方承诺谈判有效期为谈判后</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90 </w:t>
      </w:r>
      <w:r>
        <w:rPr>
          <w:rFonts w:hint="eastAsia" w:ascii="宋体" w:hAnsi="宋体" w:eastAsia="宋体" w:cs="宋体"/>
          <w:highlight w:val="none"/>
          <w:u w:val="single"/>
        </w:rPr>
        <w:t xml:space="preserve">  </w:t>
      </w:r>
      <w:r>
        <w:rPr>
          <w:rFonts w:hint="eastAsia" w:ascii="宋体" w:hAnsi="宋体" w:eastAsia="宋体" w:cs="宋体"/>
          <w:highlight w:val="none"/>
        </w:rPr>
        <w:t>日历日内有效。</w:t>
      </w:r>
    </w:p>
    <w:p>
      <w:pPr>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8、所有关于本次谈判的函电，请按下列地址联系：</w:t>
      </w:r>
    </w:p>
    <w:p>
      <w:pPr>
        <w:adjustRightInd w:val="0"/>
        <w:snapToGrid w:val="0"/>
        <w:spacing w:line="360" w:lineRule="auto"/>
        <w:ind w:firstLine="480" w:firstLineChars="200"/>
        <w:jc w:val="left"/>
        <w:rPr>
          <w:rFonts w:hint="eastAsia" w:ascii="宋体" w:hAnsi="宋体" w:eastAsia="宋体" w:cs="宋体"/>
          <w:highlight w:val="none"/>
          <w:u w:val="single"/>
        </w:rPr>
      </w:pPr>
      <w:r>
        <w:rPr>
          <w:rFonts w:hint="eastAsia" w:ascii="宋体" w:hAnsi="宋体" w:eastAsia="宋体" w:cs="宋体"/>
          <w:highlight w:val="none"/>
        </w:rPr>
        <w:t>供应商（单位名称及公章）：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eastAsia="zh-CN"/>
        </w:rPr>
        <w:t>法定代表人或被授权人</w:t>
      </w:r>
      <w:r>
        <w:rPr>
          <w:rFonts w:hint="eastAsia" w:ascii="宋体" w:hAnsi="宋体" w:eastAsia="宋体" w:cs="宋体"/>
          <w:highlight w:val="none"/>
        </w:rPr>
        <w:t>（签字或盖章）：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pPr>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pPr>
        <w:adjustRightInd w:val="0"/>
        <w:snapToGrid w:val="0"/>
        <w:spacing w:line="360" w:lineRule="auto"/>
        <w:ind w:firstLine="480" w:firstLineChars="200"/>
        <w:jc w:val="left"/>
        <w:rPr>
          <w:rFonts w:hint="eastAsia" w:ascii="宋体" w:hAnsi="宋体" w:eastAsia="宋体" w:cs="宋体"/>
          <w:highlight w:val="none"/>
          <w:u w:val="single"/>
        </w:rPr>
      </w:pPr>
      <w:r>
        <w:rPr>
          <w:rFonts w:hint="eastAsia" w:ascii="宋体" w:hAnsi="宋体" w:eastAsia="宋体" w:cs="宋体"/>
          <w:highlight w:val="none"/>
        </w:rPr>
        <w:t xml:space="preserve">开户银行： </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pPr>
        <w:adjustRightInd w:val="0"/>
        <w:snapToGrid w:val="0"/>
        <w:spacing w:line="360" w:lineRule="auto"/>
        <w:ind w:firstLine="480" w:firstLineChars="200"/>
        <w:jc w:val="left"/>
        <w:rPr>
          <w:rFonts w:hint="eastAsia" w:ascii="宋体" w:hAnsi="宋体" w:eastAsia="宋体" w:cs="宋体"/>
          <w:highlight w:val="none"/>
          <w:u w:val="single"/>
        </w:rPr>
      </w:pPr>
      <w:r>
        <w:rPr>
          <w:rFonts w:hint="eastAsia" w:ascii="宋体" w:hAnsi="宋体" w:eastAsia="宋体" w:cs="宋体"/>
          <w:highlight w:val="none"/>
        </w:rPr>
        <w:t>帐    号：</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pPr>
        <w:adjustRightInd w:val="0"/>
        <w:snapToGrid w:val="0"/>
        <w:spacing w:line="360" w:lineRule="auto"/>
        <w:ind w:firstLine="480" w:firstLineChars="200"/>
        <w:jc w:val="left"/>
        <w:rPr>
          <w:rFonts w:hint="eastAsia" w:ascii="宋体" w:hAnsi="宋体" w:eastAsia="宋体" w:cs="宋体"/>
          <w:highlight w:val="none"/>
          <w:u w:val="single"/>
        </w:rPr>
      </w:pPr>
      <w:r>
        <w:rPr>
          <w:rFonts w:hint="eastAsia" w:ascii="宋体" w:hAnsi="宋体" w:eastAsia="宋体" w:cs="宋体"/>
          <w:highlight w:val="none"/>
        </w:rPr>
        <w:t>电    话：</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pPr>
        <w:adjustRightInd w:val="0"/>
        <w:snapToGrid w:val="0"/>
        <w:spacing w:line="360" w:lineRule="auto"/>
        <w:ind w:firstLine="480" w:firstLineChars="200"/>
        <w:jc w:val="left"/>
        <w:rPr>
          <w:rFonts w:hint="eastAsia" w:ascii="宋体" w:hAnsi="宋体" w:eastAsia="宋体" w:cs="宋体"/>
          <w:highlight w:val="none"/>
          <w:u w:val="single"/>
        </w:rPr>
      </w:pPr>
      <w:r>
        <w:rPr>
          <w:rFonts w:hint="eastAsia" w:ascii="宋体" w:hAnsi="宋体" w:eastAsia="宋体" w:cs="宋体"/>
          <w:highlight w:val="none"/>
        </w:rPr>
        <w:t>传    真：</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pPr>
        <w:adjustRightInd w:val="0"/>
        <w:snapToGrid w:val="0"/>
        <w:spacing w:line="360" w:lineRule="auto"/>
        <w:ind w:firstLine="480" w:firstLineChars="200"/>
        <w:jc w:val="left"/>
        <w:rPr>
          <w:rFonts w:hint="eastAsia" w:ascii="宋体" w:hAnsi="宋体" w:eastAsia="宋体" w:cs="宋体"/>
          <w:highlight w:val="none"/>
          <w:u w:val="single"/>
        </w:rPr>
      </w:pPr>
      <w:r>
        <w:rPr>
          <w:rFonts w:hint="eastAsia" w:ascii="宋体" w:hAnsi="宋体" w:eastAsia="宋体" w:cs="宋体"/>
          <w:highlight w:val="none"/>
        </w:rPr>
        <w:t>邮    编：</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widowControl/>
        <w:spacing w:line="460" w:lineRule="exact"/>
        <w:ind w:firstLine="720" w:firstLineChars="200"/>
        <w:jc w:val="left"/>
        <w:rPr>
          <w:rFonts w:hint="eastAsia" w:ascii="宋体" w:hAnsi="宋体" w:eastAsia="宋体" w:cs="宋体"/>
          <w:sz w:val="36"/>
          <w:szCs w:val="36"/>
          <w:highlight w:val="none"/>
          <w:u w:val="single"/>
        </w:rPr>
      </w:pPr>
    </w:p>
    <w:p>
      <w:pPr>
        <w:widowControl/>
        <w:spacing w:line="460" w:lineRule="exact"/>
        <w:ind w:firstLine="720" w:firstLineChars="200"/>
        <w:jc w:val="left"/>
        <w:rPr>
          <w:rFonts w:hint="eastAsia" w:ascii="宋体" w:hAnsi="宋体" w:eastAsia="宋体" w:cs="宋体"/>
          <w:sz w:val="36"/>
          <w:szCs w:val="36"/>
          <w:highlight w:val="none"/>
          <w:u w:val="single"/>
        </w:rPr>
      </w:pPr>
    </w:p>
    <w:p>
      <w:pPr>
        <w:pStyle w:val="4"/>
        <w:rPr>
          <w:rFonts w:hint="eastAsia" w:ascii="宋体" w:hAnsi="宋体" w:eastAsia="宋体" w:cs="宋体"/>
          <w:highlight w:val="none"/>
        </w:rPr>
        <w:sectPr>
          <w:headerReference r:id="rId9" w:type="default"/>
          <w:footerReference r:id="rId10" w:type="default"/>
          <w:pgSz w:w="11906" w:h="16838"/>
          <w:pgMar w:top="1440" w:right="1803" w:bottom="1440" w:left="1803" w:header="851" w:footer="992" w:gutter="0"/>
          <w:pgNumType w:fmt="decimal"/>
          <w:cols w:space="720" w:num="1"/>
          <w:docGrid w:type="lines" w:linePitch="319" w:charSpace="0"/>
        </w:sectPr>
      </w:pPr>
      <w:bookmarkStart w:id="84" w:name="_Toc28494"/>
    </w:p>
    <w:p>
      <w:pPr>
        <w:pStyle w:val="4"/>
        <w:rPr>
          <w:rFonts w:hint="eastAsia" w:ascii="宋体" w:hAnsi="宋体" w:eastAsia="宋体" w:cs="宋体"/>
          <w:highlight w:val="none"/>
        </w:rPr>
      </w:pPr>
      <w:bookmarkStart w:id="85" w:name="_Toc24984"/>
      <w:r>
        <w:rPr>
          <w:rFonts w:hint="eastAsia" w:ascii="宋体" w:hAnsi="宋体" w:eastAsia="宋体" w:cs="宋体"/>
          <w:highlight w:val="none"/>
        </w:rPr>
        <w:t>第二</w:t>
      </w:r>
      <w:bookmarkEnd w:id="84"/>
      <w:r>
        <w:rPr>
          <w:rFonts w:hint="eastAsia" w:ascii="宋体" w:hAnsi="宋体" w:eastAsia="宋体" w:cs="宋体"/>
          <w:highlight w:val="none"/>
          <w:lang w:eastAsia="zh-CN"/>
        </w:rPr>
        <w:t>章</w:t>
      </w:r>
      <w:r>
        <w:rPr>
          <w:rFonts w:hint="eastAsia" w:ascii="宋体" w:hAnsi="宋体" w:eastAsia="宋体" w:cs="宋体"/>
          <w:highlight w:val="none"/>
        </w:rPr>
        <w:t xml:space="preserve"> 响应一览表</w:t>
      </w:r>
      <w:bookmarkEnd w:id="85"/>
    </w:p>
    <w:p>
      <w:pPr>
        <w:widowControl/>
        <w:wordWrap w:val="0"/>
        <w:spacing w:line="360" w:lineRule="auto"/>
        <w:jc w:val="left"/>
        <w:rPr>
          <w:rFonts w:hint="eastAsia" w:ascii="宋体" w:hAnsi="宋体" w:eastAsia="宋体" w:cs="宋体"/>
          <w:highlight w:val="none"/>
          <w:u w:val="single"/>
          <w:lang w:eastAsia="zh-CN"/>
        </w:rPr>
      </w:pPr>
      <w:r>
        <w:rPr>
          <w:rFonts w:hint="eastAsia" w:ascii="宋体" w:hAnsi="宋体" w:eastAsia="宋体" w:cs="宋体"/>
          <w:highlight w:val="none"/>
        </w:rPr>
        <w:t>项目名称：</w:t>
      </w:r>
      <w:r>
        <w:rPr>
          <w:rFonts w:hint="eastAsia" w:ascii="宋体" w:hAnsi="宋体" w:cs="宋体"/>
          <w:highlight w:val="none"/>
          <w:u w:val="single"/>
          <w:lang w:eastAsia="zh-CN"/>
        </w:rPr>
        <w:t xml:space="preserve">陕西中医药大学附属医院GE64排双能CT更换球管采购项目 </w:t>
      </w:r>
    </w:p>
    <w:p>
      <w:pPr>
        <w:spacing w:line="360" w:lineRule="auto"/>
        <w:rPr>
          <w:rFonts w:hint="eastAsia" w:ascii="宋体" w:hAnsi="宋体" w:eastAsia="宋体" w:cs="宋体"/>
          <w:highlight w:val="none"/>
          <w:u w:val="single"/>
          <w:lang w:eastAsia="zh-CN"/>
        </w:rPr>
      </w:pPr>
      <w:r>
        <w:rPr>
          <w:rFonts w:hint="eastAsia" w:ascii="宋体" w:hAnsi="宋体" w:eastAsia="宋体" w:cs="宋体"/>
          <w:highlight w:val="none"/>
        </w:rPr>
        <w:t>编    号：</w:t>
      </w:r>
      <w:r>
        <w:rPr>
          <w:rFonts w:hint="eastAsia" w:ascii="宋体" w:hAnsi="宋体" w:eastAsia="宋体" w:cs="宋体"/>
          <w:highlight w:val="none"/>
          <w:u w:val="single"/>
        </w:rPr>
        <w:t xml:space="preserve"> </w:t>
      </w:r>
      <w:r>
        <w:rPr>
          <w:rFonts w:hint="eastAsia" w:ascii="宋体" w:hAnsi="宋体" w:cs="宋体"/>
          <w:highlight w:val="none"/>
          <w:u w:val="single"/>
          <w:lang w:eastAsia="zh-CN"/>
        </w:rPr>
        <w:t>SXWZ2022ZB-SZFY-055</w:t>
      </w:r>
    </w:p>
    <w:p>
      <w:pPr>
        <w:kinsoku w:val="0"/>
        <w:spacing w:line="360" w:lineRule="auto"/>
        <w:jc w:val="left"/>
        <w:rPr>
          <w:rFonts w:hint="eastAsia" w:ascii="宋体" w:hAnsi="宋体" w:eastAsia="宋体" w:cs="宋体"/>
          <w:highlight w:val="none"/>
        </w:rPr>
      </w:pPr>
      <w:r>
        <w:rPr>
          <w:rFonts w:hint="eastAsia" w:ascii="宋体" w:hAnsi="宋体" w:eastAsia="宋体" w:cs="宋体"/>
          <w:highlight w:val="none"/>
        </w:rPr>
        <w:t>单    位：</w:t>
      </w:r>
      <w:r>
        <w:rPr>
          <w:rFonts w:hint="eastAsia" w:ascii="宋体" w:hAnsi="宋体" w:eastAsia="宋体" w:cs="宋体"/>
          <w:szCs w:val="24"/>
          <w:highlight w:val="none"/>
        </w:rPr>
        <w:t>元</w:t>
      </w:r>
    </w:p>
    <w:tbl>
      <w:tblPr>
        <w:tblStyle w:val="24"/>
        <w:tblpPr w:leftFromText="180" w:rightFromText="180" w:vertAnchor="text" w:horzAnchor="page" w:tblpX="1545" w:tblpY="490"/>
        <w:tblOverlap w:val="never"/>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1848"/>
        <w:gridCol w:w="2194"/>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2183" w:type="dxa"/>
            <w:tcBorders>
              <w:tl2br w:val="single" w:color="auto" w:sz="4" w:space="0"/>
            </w:tcBorders>
          </w:tcPr>
          <w:p>
            <w:pPr>
              <w:kinsoku w:val="0"/>
              <w:spacing w:line="480" w:lineRule="auto"/>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报价内容</w:t>
            </w:r>
          </w:p>
          <w:p>
            <w:pPr>
              <w:kinsoku w:val="0"/>
              <w:spacing w:line="480" w:lineRule="auto"/>
              <w:jc w:val="left"/>
              <w:rPr>
                <w:rFonts w:hint="eastAsia" w:ascii="宋体" w:hAnsi="宋体" w:eastAsia="宋体" w:cs="宋体"/>
                <w:sz w:val="24"/>
                <w:szCs w:val="24"/>
                <w:highlight w:val="none"/>
              </w:rPr>
            </w:pPr>
          </w:p>
          <w:p>
            <w:pPr>
              <w:kinsoku w:val="0"/>
              <w:spacing w:line="48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响应内容</w:t>
            </w:r>
          </w:p>
        </w:tc>
        <w:tc>
          <w:tcPr>
            <w:tcW w:w="1848" w:type="dxa"/>
            <w:vAlign w:val="center"/>
          </w:tcPr>
          <w:p>
            <w:pPr>
              <w:kinsoku w:val="0"/>
              <w:spacing w:line="48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响应报价（元）</w:t>
            </w:r>
          </w:p>
        </w:tc>
        <w:tc>
          <w:tcPr>
            <w:tcW w:w="2194" w:type="dxa"/>
            <w:vAlign w:val="center"/>
          </w:tcPr>
          <w:p>
            <w:pPr>
              <w:kinsoku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交货期</w:t>
            </w:r>
          </w:p>
        </w:tc>
        <w:tc>
          <w:tcPr>
            <w:tcW w:w="2194" w:type="dxa"/>
            <w:vAlign w:val="center"/>
          </w:tcPr>
          <w:p>
            <w:pPr>
              <w:kinsoku w:val="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保修</w:t>
            </w:r>
            <w:r>
              <w:rPr>
                <w:rFonts w:hint="eastAsia" w:ascii="宋体" w:hAnsi="宋体" w:eastAsia="宋体" w:cs="宋体"/>
                <w:sz w:val="24"/>
                <w:szCs w:val="24"/>
                <w:highlight w:val="none"/>
                <w:lang w:val="en-US" w:eastAsia="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2183" w:type="dxa"/>
            <w:vAlign w:val="center"/>
          </w:tcPr>
          <w:p>
            <w:pPr>
              <w:kinsoku w:val="0"/>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 xml:space="preserve">陕西中医药大学附属医院GE64排双能CT更换球管采购项目 </w:t>
            </w:r>
          </w:p>
        </w:tc>
        <w:tc>
          <w:tcPr>
            <w:tcW w:w="1848" w:type="dxa"/>
            <w:vAlign w:val="center"/>
          </w:tcPr>
          <w:p>
            <w:pPr>
              <w:kinsoku w:val="0"/>
              <w:spacing w:line="480" w:lineRule="auto"/>
              <w:jc w:val="left"/>
              <w:rPr>
                <w:rFonts w:hint="eastAsia" w:ascii="宋体" w:hAnsi="宋体" w:eastAsia="宋体" w:cs="宋体"/>
                <w:sz w:val="24"/>
                <w:szCs w:val="24"/>
                <w:highlight w:val="none"/>
              </w:rPr>
            </w:pPr>
          </w:p>
        </w:tc>
        <w:tc>
          <w:tcPr>
            <w:tcW w:w="2194" w:type="dxa"/>
            <w:vAlign w:val="center"/>
          </w:tcPr>
          <w:p>
            <w:pPr>
              <w:kinsoku w:val="0"/>
              <w:spacing w:line="480" w:lineRule="auto"/>
              <w:ind w:firstLine="480" w:firstLineChars="200"/>
              <w:jc w:val="left"/>
              <w:rPr>
                <w:rFonts w:hint="eastAsia" w:ascii="宋体" w:hAnsi="宋体" w:eastAsia="宋体" w:cs="宋体"/>
                <w:sz w:val="24"/>
                <w:szCs w:val="24"/>
                <w:highlight w:val="none"/>
              </w:rPr>
            </w:pPr>
          </w:p>
        </w:tc>
        <w:tc>
          <w:tcPr>
            <w:tcW w:w="2194" w:type="dxa"/>
            <w:vAlign w:val="center"/>
          </w:tcPr>
          <w:p>
            <w:pPr>
              <w:kinsoku w:val="0"/>
              <w:spacing w:line="480" w:lineRule="auto"/>
              <w:ind w:firstLine="480" w:firstLineChars="200"/>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419" w:type="dxa"/>
            <w:gridSpan w:val="4"/>
            <w:vAlign w:val="center"/>
          </w:tcPr>
          <w:p>
            <w:pPr>
              <w:kinsoku w:val="0"/>
              <w:spacing w:line="48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备注：1.表内报价内容以元为单位，精确到小数点后两位；</w:t>
            </w:r>
          </w:p>
          <w:p>
            <w:pPr>
              <w:kinsoku w:val="0"/>
              <w:spacing w:line="480" w:lineRule="auto"/>
              <w:ind w:firstLine="720" w:firstLineChars="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交货期、</w:t>
            </w:r>
            <w:r>
              <w:rPr>
                <w:rFonts w:hint="eastAsia" w:ascii="宋体" w:hAnsi="宋体" w:cs="宋体"/>
                <w:color w:val="000000" w:themeColor="text1"/>
                <w:sz w:val="24"/>
                <w:szCs w:val="24"/>
                <w:highlight w:val="none"/>
                <w:lang w:val="en-US" w:eastAsia="zh-CN"/>
                <w14:textFill>
                  <w14:solidFill>
                    <w14:schemeClr w14:val="tx1"/>
                  </w14:solidFill>
                </w14:textFill>
              </w:rPr>
              <w:t>保修</w:t>
            </w:r>
            <w:r>
              <w:rPr>
                <w:rFonts w:hint="eastAsia" w:ascii="宋体" w:hAnsi="宋体" w:eastAsia="宋体" w:cs="宋体"/>
                <w:color w:val="000000" w:themeColor="text1"/>
                <w:sz w:val="24"/>
                <w:szCs w:val="24"/>
                <w:highlight w:val="none"/>
                <w:lang w:val="en-US" w:eastAsia="zh-CN"/>
                <w14:textFill>
                  <w14:solidFill>
                    <w14:schemeClr w14:val="tx1"/>
                  </w14:solidFill>
                </w14:textFill>
              </w:rPr>
              <w:t>期</w:t>
            </w:r>
            <w:r>
              <w:rPr>
                <w:rFonts w:hint="eastAsia" w:ascii="宋体" w:hAnsi="宋体" w:eastAsia="宋体" w:cs="宋体"/>
                <w:color w:val="000000" w:themeColor="text1"/>
                <w:sz w:val="24"/>
                <w:szCs w:val="24"/>
                <w:highlight w:val="none"/>
                <w14:textFill>
                  <w14:solidFill>
                    <w14:schemeClr w14:val="tx1"/>
                  </w14:solidFill>
                </w14:textFill>
              </w:rPr>
              <w:t>见第五部分采购要求。</w:t>
            </w:r>
          </w:p>
        </w:tc>
      </w:tr>
    </w:tbl>
    <w:p>
      <w:pPr>
        <w:adjustRightInd w:val="0"/>
        <w:snapToGrid w:val="0"/>
        <w:spacing w:line="480" w:lineRule="auto"/>
        <w:jc w:val="left"/>
        <w:rPr>
          <w:rFonts w:hint="eastAsia" w:ascii="宋体" w:hAnsi="宋体" w:eastAsia="宋体" w:cs="宋体"/>
          <w:highlight w:val="none"/>
        </w:rPr>
      </w:pPr>
      <w:r>
        <w:rPr>
          <w:rFonts w:hint="eastAsia" w:ascii="宋体" w:hAnsi="宋体" w:eastAsia="宋体" w:cs="宋体"/>
          <w:b/>
          <w:bCs/>
          <w:sz w:val="28"/>
          <w:szCs w:val="24"/>
          <w:highlight w:val="none"/>
        </w:rPr>
        <w:t>此表应再制作一份，单独密封递交。</w:t>
      </w:r>
    </w:p>
    <w:p>
      <w:pPr>
        <w:adjustRightInd w:val="0"/>
        <w:snapToGrid w:val="0"/>
        <w:spacing w:line="480" w:lineRule="auto"/>
        <w:jc w:val="left"/>
        <w:rPr>
          <w:rFonts w:hint="eastAsia" w:ascii="宋体" w:hAnsi="宋体" w:eastAsia="宋体" w:cs="宋体"/>
          <w:highlight w:val="none"/>
          <w:u w:val="single"/>
        </w:rPr>
      </w:pPr>
      <w:r>
        <w:rPr>
          <w:rFonts w:hint="eastAsia" w:ascii="宋体" w:hAnsi="宋体" w:eastAsia="宋体" w:cs="宋体"/>
          <w:highlight w:val="none"/>
        </w:rPr>
        <w:t>供应商（单位名称及公章）：</w:t>
      </w:r>
      <w:r>
        <w:rPr>
          <w:rFonts w:hint="eastAsia" w:ascii="宋体" w:hAnsi="宋体" w:eastAsia="宋体" w:cs="宋体"/>
          <w:highlight w:val="none"/>
          <w:u w:val="single"/>
        </w:rPr>
        <w:t xml:space="preserve">                          </w:t>
      </w:r>
    </w:p>
    <w:p>
      <w:pPr>
        <w:adjustRightInd w:val="0"/>
        <w:snapToGrid w:val="0"/>
        <w:spacing w:line="480" w:lineRule="auto"/>
        <w:rPr>
          <w:rFonts w:hint="eastAsia" w:ascii="宋体" w:hAnsi="宋体" w:eastAsia="宋体" w:cs="宋体"/>
          <w:highlight w:val="none"/>
        </w:rPr>
      </w:pPr>
      <w:r>
        <w:rPr>
          <w:rFonts w:hint="eastAsia" w:ascii="宋体" w:hAnsi="宋体" w:eastAsia="宋体" w:cs="宋体"/>
          <w:highlight w:val="none"/>
          <w:lang w:eastAsia="zh-CN"/>
        </w:rPr>
        <w:t>法定代表人或被授权人</w:t>
      </w:r>
      <w:r>
        <w:rPr>
          <w:rFonts w:hint="eastAsia" w:ascii="宋体" w:hAnsi="宋体" w:eastAsia="宋体" w:cs="宋体"/>
          <w:highlight w:val="none"/>
        </w:rPr>
        <w:t>（签字或盖章）：</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djustRightInd w:val="0"/>
        <w:snapToGrid w:val="0"/>
        <w:spacing w:line="48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kinsoku w:val="0"/>
        <w:spacing w:line="480" w:lineRule="auto"/>
        <w:jc w:val="left"/>
        <w:rPr>
          <w:rFonts w:hint="eastAsia" w:ascii="宋体" w:hAnsi="宋体" w:eastAsia="宋体" w:cs="宋体"/>
          <w:highlight w:val="none"/>
        </w:rPr>
      </w:pPr>
    </w:p>
    <w:p>
      <w:pPr>
        <w:pStyle w:val="4"/>
        <w:rPr>
          <w:rFonts w:hint="eastAsia" w:ascii="宋体" w:hAnsi="宋体" w:eastAsia="宋体" w:cs="宋体"/>
          <w:sz w:val="32"/>
          <w:highlight w:val="none"/>
        </w:rPr>
      </w:pPr>
      <w:r>
        <w:rPr>
          <w:rFonts w:hint="eastAsia" w:ascii="宋体" w:hAnsi="宋体" w:eastAsia="宋体" w:cs="宋体"/>
          <w:sz w:val="32"/>
          <w:highlight w:val="none"/>
        </w:rPr>
        <w:br w:type="page"/>
      </w:r>
      <w:bookmarkStart w:id="86" w:name="_Toc15004"/>
      <w:r>
        <w:rPr>
          <w:rFonts w:hint="eastAsia" w:ascii="宋体" w:hAnsi="宋体" w:eastAsia="宋体" w:cs="宋体"/>
          <w:sz w:val="28"/>
          <w:szCs w:val="28"/>
          <w:highlight w:val="none"/>
        </w:rPr>
        <w:t>第三</w:t>
      </w:r>
      <w:r>
        <w:rPr>
          <w:rFonts w:hint="eastAsia" w:ascii="宋体" w:hAnsi="宋体" w:eastAsia="宋体" w:cs="宋体"/>
          <w:sz w:val="28"/>
          <w:szCs w:val="28"/>
          <w:highlight w:val="none"/>
          <w:lang w:eastAsia="zh-CN"/>
        </w:rPr>
        <w:t>章</w:t>
      </w:r>
      <w:r>
        <w:rPr>
          <w:rFonts w:hint="eastAsia" w:ascii="宋体" w:hAnsi="宋体" w:eastAsia="宋体" w:cs="宋体"/>
          <w:sz w:val="28"/>
          <w:szCs w:val="28"/>
          <w:highlight w:val="none"/>
        </w:rPr>
        <w:t xml:space="preserve"> 分项报价表</w:t>
      </w:r>
      <w:bookmarkEnd w:id="86"/>
    </w:p>
    <w:p>
      <w:pPr>
        <w:widowControl/>
        <w:wordWrap w:val="0"/>
        <w:spacing w:line="360" w:lineRule="auto"/>
        <w:jc w:val="left"/>
        <w:rPr>
          <w:rFonts w:hint="eastAsia" w:ascii="宋体" w:hAnsi="宋体" w:eastAsia="宋体" w:cs="宋体"/>
          <w:highlight w:val="none"/>
          <w:u w:val="single"/>
          <w:lang w:eastAsia="zh-CN"/>
        </w:rPr>
      </w:pPr>
      <w:r>
        <w:rPr>
          <w:rFonts w:hint="eastAsia" w:ascii="宋体" w:hAnsi="宋体" w:eastAsia="宋体" w:cs="宋体"/>
          <w:highlight w:val="none"/>
        </w:rPr>
        <w:t>项目名称：</w:t>
      </w:r>
      <w:r>
        <w:rPr>
          <w:rFonts w:hint="eastAsia" w:ascii="宋体" w:hAnsi="宋体" w:cs="宋体"/>
          <w:highlight w:val="none"/>
          <w:u w:val="single"/>
          <w:lang w:eastAsia="zh-CN"/>
        </w:rPr>
        <w:t xml:space="preserve">陕西中医药大学附属医院GE64排双能CT更换球管采购项目 </w:t>
      </w:r>
    </w:p>
    <w:p>
      <w:pPr>
        <w:rPr>
          <w:rFonts w:hint="eastAsia" w:ascii="宋体" w:hAnsi="宋体" w:eastAsia="宋体" w:cs="宋体"/>
          <w:highlight w:val="none"/>
          <w:u w:val="single"/>
          <w:lang w:eastAsia="zh-CN"/>
        </w:rPr>
      </w:pPr>
      <w:r>
        <w:rPr>
          <w:rFonts w:hint="eastAsia" w:ascii="宋体" w:hAnsi="宋体" w:eastAsia="宋体" w:cs="宋体"/>
          <w:highlight w:val="none"/>
        </w:rPr>
        <w:t>编    号：</w:t>
      </w:r>
      <w:r>
        <w:rPr>
          <w:rFonts w:hint="eastAsia" w:ascii="宋体" w:hAnsi="宋体" w:eastAsia="宋体" w:cs="宋体"/>
          <w:highlight w:val="none"/>
          <w:u w:val="single"/>
        </w:rPr>
        <w:t xml:space="preserve"> </w:t>
      </w:r>
      <w:r>
        <w:rPr>
          <w:rFonts w:hint="eastAsia" w:ascii="宋体" w:hAnsi="宋体" w:cs="宋体"/>
          <w:highlight w:val="none"/>
          <w:u w:val="single"/>
          <w:lang w:eastAsia="zh-CN"/>
        </w:rPr>
        <w:t>SXWZ2022ZB-SZFY-055</w:t>
      </w:r>
    </w:p>
    <w:p>
      <w:pPr>
        <w:widowControl/>
        <w:wordWrap w:val="0"/>
        <w:spacing w:line="360" w:lineRule="auto"/>
        <w:jc w:val="left"/>
        <w:rPr>
          <w:rFonts w:hint="eastAsia" w:ascii="宋体" w:hAnsi="宋体" w:eastAsia="宋体" w:cs="宋体"/>
          <w:b/>
          <w:sz w:val="36"/>
          <w:szCs w:val="36"/>
          <w:highlight w:val="none"/>
        </w:rPr>
      </w:pPr>
      <w:r>
        <w:rPr>
          <w:rFonts w:hint="eastAsia" w:ascii="宋体" w:hAnsi="宋体" w:eastAsia="宋体" w:cs="宋体"/>
          <w:highlight w:val="none"/>
        </w:rPr>
        <w:t>共</w:t>
      </w:r>
      <w:r>
        <w:rPr>
          <w:rFonts w:hint="eastAsia" w:ascii="宋体" w:hAnsi="宋体" w:eastAsia="宋体" w:cs="宋体"/>
          <w:highlight w:val="none"/>
          <w:u w:val="single"/>
        </w:rPr>
        <w:t xml:space="preserve">         </w:t>
      </w:r>
      <w:r>
        <w:rPr>
          <w:rFonts w:hint="eastAsia" w:ascii="宋体" w:hAnsi="宋体" w:eastAsia="宋体" w:cs="宋体"/>
          <w:highlight w:val="none"/>
        </w:rPr>
        <w:t>页，第</w:t>
      </w:r>
      <w:r>
        <w:rPr>
          <w:rFonts w:hint="eastAsia" w:ascii="宋体" w:hAnsi="宋体" w:eastAsia="宋体" w:cs="宋体"/>
          <w:highlight w:val="none"/>
          <w:u w:val="single"/>
        </w:rPr>
        <w:t xml:space="preserve">      </w:t>
      </w:r>
      <w:r>
        <w:rPr>
          <w:rFonts w:hint="eastAsia" w:ascii="宋体" w:hAnsi="宋体" w:eastAsia="宋体" w:cs="宋体"/>
          <w:highlight w:val="none"/>
        </w:rPr>
        <w:t>页</w:t>
      </w:r>
    </w:p>
    <w:tbl>
      <w:tblPr>
        <w:tblStyle w:val="24"/>
        <w:tblpPr w:leftFromText="180" w:rightFromText="180" w:vertAnchor="text" w:horzAnchor="page" w:tblpX="1534" w:tblpY="373"/>
        <w:tblOverlap w:val="never"/>
        <w:tblW w:w="9020" w:type="dxa"/>
        <w:tblInd w:w="0" w:type="dxa"/>
        <w:tblLayout w:type="fixed"/>
        <w:tblCellMar>
          <w:top w:w="0" w:type="dxa"/>
          <w:left w:w="28" w:type="dxa"/>
          <w:bottom w:w="0" w:type="dxa"/>
          <w:right w:w="28" w:type="dxa"/>
        </w:tblCellMar>
      </w:tblPr>
      <w:tblGrid>
        <w:gridCol w:w="1143"/>
        <w:gridCol w:w="528"/>
        <w:gridCol w:w="785"/>
        <w:gridCol w:w="586"/>
        <w:gridCol w:w="958"/>
        <w:gridCol w:w="1563"/>
        <w:gridCol w:w="962"/>
        <w:gridCol w:w="1347"/>
        <w:gridCol w:w="1148"/>
      </w:tblGrid>
      <w:tr>
        <w:tblPrEx>
          <w:tblCellMar>
            <w:top w:w="0" w:type="dxa"/>
            <w:left w:w="28" w:type="dxa"/>
            <w:bottom w:w="0" w:type="dxa"/>
            <w:right w:w="28" w:type="dxa"/>
          </w:tblCellMar>
        </w:tblPrEx>
        <w:trPr>
          <w:trHeight w:val="865" w:hRule="atLeast"/>
        </w:trPr>
        <w:tc>
          <w:tcPr>
            <w:tcW w:w="1143" w:type="dxa"/>
            <w:vMerge w:val="restart"/>
            <w:tcBorders>
              <w:top w:val="single" w:color="auto" w:sz="6" w:space="0"/>
              <w:left w:val="single" w:color="auto" w:sz="6" w:space="0"/>
              <w:right w:val="single" w:color="auto" w:sz="4" w:space="0"/>
            </w:tcBorders>
            <w:vAlign w:val="center"/>
          </w:tcPr>
          <w:p>
            <w:pPr>
              <w:jc w:val="left"/>
              <w:rPr>
                <w:rFonts w:hint="eastAsia" w:ascii="宋体" w:hAnsi="宋体" w:eastAsia="宋体" w:cs="宋体"/>
                <w:sz w:val="22"/>
                <w:highlight w:val="none"/>
              </w:rPr>
            </w:pPr>
            <w:r>
              <w:rPr>
                <w:rFonts w:hint="eastAsia" w:ascii="宋体" w:hAnsi="宋体" w:eastAsia="宋体" w:cs="宋体"/>
                <w:sz w:val="22"/>
                <w:highlight w:val="none"/>
              </w:rPr>
              <w:t>产品费用</w:t>
            </w:r>
          </w:p>
        </w:tc>
        <w:tc>
          <w:tcPr>
            <w:tcW w:w="528" w:type="dxa"/>
            <w:tcBorders>
              <w:top w:val="single" w:color="auto" w:sz="6" w:space="0"/>
              <w:left w:val="single" w:color="auto" w:sz="4" w:space="0"/>
              <w:bottom w:val="single" w:color="auto" w:sz="6" w:space="0"/>
            </w:tcBorders>
            <w:vAlign w:val="center"/>
          </w:tcPr>
          <w:p>
            <w:pPr>
              <w:spacing w:after="120"/>
              <w:jc w:val="center"/>
              <w:rPr>
                <w:rFonts w:hint="eastAsia" w:ascii="宋体" w:hAnsi="宋体" w:eastAsia="宋体" w:cs="宋体"/>
                <w:sz w:val="22"/>
                <w:highlight w:val="none"/>
              </w:rPr>
            </w:pPr>
            <w:r>
              <w:rPr>
                <w:rFonts w:hint="eastAsia" w:ascii="宋体" w:hAnsi="宋体" w:eastAsia="宋体" w:cs="宋体"/>
                <w:sz w:val="22"/>
                <w:highlight w:val="none"/>
              </w:rPr>
              <w:t>序号</w:t>
            </w:r>
          </w:p>
        </w:tc>
        <w:tc>
          <w:tcPr>
            <w:tcW w:w="78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2"/>
                <w:highlight w:val="none"/>
              </w:rPr>
            </w:pPr>
            <w:r>
              <w:rPr>
                <w:rFonts w:hint="eastAsia" w:ascii="宋体" w:hAnsi="宋体" w:eastAsia="宋体" w:cs="宋体"/>
                <w:sz w:val="22"/>
                <w:highlight w:val="none"/>
              </w:rPr>
              <w:t>名称</w:t>
            </w:r>
          </w:p>
        </w:tc>
        <w:tc>
          <w:tcPr>
            <w:tcW w:w="586"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int="eastAsia" w:ascii="宋体" w:hAnsi="宋体" w:eastAsia="宋体" w:cs="宋体"/>
                <w:sz w:val="22"/>
                <w:highlight w:val="none"/>
              </w:rPr>
            </w:pPr>
            <w:r>
              <w:rPr>
                <w:rFonts w:hint="eastAsia" w:ascii="宋体" w:hAnsi="宋体" w:eastAsia="宋体" w:cs="宋体"/>
                <w:sz w:val="22"/>
                <w:highlight w:val="none"/>
              </w:rPr>
              <w:t>品牌</w:t>
            </w:r>
          </w:p>
        </w:tc>
        <w:tc>
          <w:tcPr>
            <w:tcW w:w="95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int="eastAsia" w:ascii="宋体" w:hAnsi="宋体" w:eastAsia="宋体" w:cs="宋体"/>
                <w:sz w:val="22"/>
                <w:highlight w:val="none"/>
              </w:rPr>
            </w:pPr>
            <w:r>
              <w:rPr>
                <w:rFonts w:hint="eastAsia" w:ascii="宋体" w:hAnsi="宋体" w:eastAsia="宋体" w:cs="宋体"/>
                <w:sz w:val="22"/>
                <w:highlight w:val="none"/>
              </w:rPr>
              <w:t>型号和规格</w:t>
            </w:r>
          </w:p>
        </w:tc>
        <w:tc>
          <w:tcPr>
            <w:tcW w:w="1563" w:type="dxa"/>
            <w:tcBorders>
              <w:top w:val="single" w:color="auto" w:sz="6" w:space="0"/>
              <w:left w:val="single" w:color="auto" w:sz="6" w:space="0"/>
              <w:bottom w:val="single" w:color="auto" w:sz="6" w:space="0"/>
              <w:right w:val="single" w:color="auto" w:sz="6" w:space="0"/>
            </w:tcBorders>
            <w:vAlign w:val="center"/>
          </w:tcPr>
          <w:p>
            <w:pPr>
              <w:spacing w:before="159" w:beforeLines="50" w:after="120"/>
              <w:jc w:val="center"/>
              <w:rPr>
                <w:rFonts w:hint="eastAsia" w:ascii="宋体" w:hAnsi="宋体" w:eastAsia="宋体" w:cs="宋体"/>
                <w:sz w:val="22"/>
                <w:highlight w:val="none"/>
              </w:rPr>
            </w:pPr>
            <w:r>
              <w:rPr>
                <w:rFonts w:hint="eastAsia" w:ascii="宋体" w:hAnsi="宋体" w:eastAsia="宋体" w:cs="宋体"/>
                <w:sz w:val="22"/>
                <w:highlight w:val="none"/>
              </w:rPr>
              <w:t>原产地及制造厂名</w:t>
            </w:r>
          </w:p>
        </w:tc>
        <w:tc>
          <w:tcPr>
            <w:tcW w:w="9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2"/>
                <w:highlight w:val="none"/>
              </w:rPr>
            </w:pPr>
            <w:r>
              <w:rPr>
                <w:rFonts w:hint="eastAsia" w:ascii="宋体" w:hAnsi="宋体" w:eastAsia="宋体" w:cs="宋体"/>
                <w:sz w:val="22"/>
                <w:highlight w:val="none"/>
              </w:rPr>
              <w:t>数量</w:t>
            </w:r>
          </w:p>
        </w:tc>
        <w:tc>
          <w:tcPr>
            <w:tcW w:w="134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2"/>
                <w:highlight w:val="none"/>
              </w:rPr>
            </w:pPr>
            <w:r>
              <w:rPr>
                <w:rFonts w:hint="eastAsia" w:ascii="宋体" w:hAnsi="宋体" w:eastAsia="宋体" w:cs="宋体"/>
                <w:sz w:val="22"/>
                <w:highlight w:val="none"/>
              </w:rPr>
              <w:t>单价</w:t>
            </w:r>
          </w:p>
          <w:p>
            <w:pPr>
              <w:spacing w:after="120"/>
              <w:jc w:val="center"/>
              <w:rPr>
                <w:rFonts w:hint="eastAsia" w:ascii="宋体" w:hAnsi="宋体" w:eastAsia="宋体" w:cs="宋体"/>
                <w:bCs/>
                <w:sz w:val="22"/>
                <w:highlight w:val="none"/>
              </w:rPr>
            </w:pPr>
            <w:r>
              <w:rPr>
                <w:rFonts w:hint="eastAsia" w:ascii="宋体" w:hAnsi="宋体" w:eastAsia="宋体" w:cs="宋体"/>
                <w:sz w:val="22"/>
                <w:highlight w:val="none"/>
              </w:rPr>
              <w:t>（元）</w:t>
            </w:r>
          </w:p>
        </w:tc>
        <w:tc>
          <w:tcPr>
            <w:tcW w:w="114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bCs/>
                <w:sz w:val="22"/>
                <w:highlight w:val="none"/>
              </w:rPr>
            </w:pPr>
            <w:r>
              <w:rPr>
                <w:rFonts w:hint="eastAsia" w:ascii="宋体" w:hAnsi="宋体" w:eastAsia="宋体" w:cs="宋体"/>
                <w:bCs/>
                <w:sz w:val="22"/>
                <w:highlight w:val="none"/>
              </w:rPr>
              <w:t>总价</w:t>
            </w:r>
          </w:p>
          <w:p>
            <w:pPr>
              <w:spacing w:after="120"/>
              <w:jc w:val="center"/>
              <w:rPr>
                <w:rFonts w:hint="eastAsia" w:ascii="宋体" w:hAnsi="宋体" w:eastAsia="宋体" w:cs="宋体"/>
                <w:bCs/>
                <w:sz w:val="22"/>
                <w:highlight w:val="none"/>
              </w:rPr>
            </w:pPr>
            <w:r>
              <w:rPr>
                <w:rFonts w:hint="eastAsia" w:ascii="宋体" w:hAnsi="宋体" w:eastAsia="宋体" w:cs="宋体"/>
                <w:bCs/>
                <w:sz w:val="22"/>
                <w:highlight w:val="none"/>
              </w:rPr>
              <w:t>（元）</w:t>
            </w:r>
          </w:p>
        </w:tc>
      </w:tr>
      <w:tr>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pPr>
              <w:spacing w:before="319" w:beforeLines="100"/>
              <w:jc w:val="center"/>
              <w:rPr>
                <w:rFonts w:hint="eastAsia" w:ascii="宋体" w:hAnsi="宋体" w:eastAsia="宋体" w:cs="宋体"/>
                <w:sz w:val="22"/>
                <w:highlight w:val="none"/>
              </w:rPr>
            </w:pPr>
          </w:p>
        </w:tc>
        <w:tc>
          <w:tcPr>
            <w:tcW w:w="528" w:type="dxa"/>
            <w:tcBorders>
              <w:top w:val="single" w:color="auto" w:sz="6" w:space="0"/>
              <w:left w:val="single" w:color="auto" w:sz="4" w:space="0"/>
              <w:bottom w:val="single" w:color="auto" w:sz="4" w:space="0"/>
            </w:tcBorders>
            <w:vAlign w:val="center"/>
          </w:tcPr>
          <w:p>
            <w:pPr>
              <w:spacing w:before="319" w:beforeLines="100"/>
              <w:jc w:val="center"/>
              <w:rPr>
                <w:rFonts w:hint="eastAsia" w:ascii="宋体" w:hAnsi="宋体" w:eastAsia="宋体" w:cs="宋体"/>
                <w:sz w:val="22"/>
                <w:highlight w:val="none"/>
              </w:rPr>
            </w:pPr>
            <w:r>
              <w:rPr>
                <w:rFonts w:hint="eastAsia" w:ascii="宋体" w:hAnsi="宋体" w:eastAsia="宋体" w:cs="宋体"/>
                <w:sz w:val="22"/>
                <w:highlight w:val="none"/>
              </w:rPr>
              <w:t>1</w:t>
            </w:r>
          </w:p>
        </w:tc>
        <w:tc>
          <w:tcPr>
            <w:tcW w:w="785"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586" w:type="dxa"/>
            <w:tcBorders>
              <w:top w:val="single" w:color="auto" w:sz="6" w:space="0"/>
              <w:left w:val="single" w:color="auto" w:sz="6" w:space="0"/>
              <w:bottom w:val="single" w:color="auto" w:sz="4" w:space="0"/>
              <w:right w:val="single" w:color="auto" w:sz="4" w:space="0"/>
            </w:tcBorders>
            <w:vAlign w:val="center"/>
          </w:tcPr>
          <w:p>
            <w:pPr>
              <w:spacing w:before="159" w:beforeLines="50"/>
              <w:jc w:val="center"/>
              <w:rPr>
                <w:rFonts w:hint="eastAsia" w:ascii="宋体" w:hAnsi="宋体" w:eastAsia="宋体" w:cs="宋体"/>
                <w:sz w:val="22"/>
                <w:highlight w:val="none"/>
              </w:rPr>
            </w:pPr>
          </w:p>
        </w:tc>
        <w:tc>
          <w:tcPr>
            <w:tcW w:w="958" w:type="dxa"/>
            <w:tcBorders>
              <w:top w:val="single" w:color="auto" w:sz="6" w:space="0"/>
              <w:left w:val="single" w:color="auto" w:sz="4" w:space="0"/>
              <w:bottom w:val="single" w:color="auto" w:sz="4"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563"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962"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347"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148"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hint="eastAsia" w:ascii="宋体" w:hAnsi="宋体" w:eastAsia="宋体" w:cs="宋体"/>
                <w:sz w:val="22"/>
                <w:highlight w:val="none"/>
              </w:rPr>
            </w:pPr>
          </w:p>
        </w:tc>
      </w:tr>
      <w:tr>
        <w:tblPrEx>
          <w:tblCellMar>
            <w:top w:w="0" w:type="dxa"/>
            <w:left w:w="28" w:type="dxa"/>
            <w:bottom w:w="0" w:type="dxa"/>
            <w:right w:w="28" w:type="dxa"/>
          </w:tblCellMar>
        </w:tblPrEx>
        <w:trPr>
          <w:trHeight w:val="601" w:hRule="atLeast"/>
        </w:trPr>
        <w:tc>
          <w:tcPr>
            <w:tcW w:w="1143" w:type="dxa"/>
            <w:vMerge w:val="continue"/>
            <w:tcBorders>
              <w:left w:val="single" w:color="auto" w:sz="6" w:space="0"/>
              <w:right w:val="single" w:color="auto" w:sz="4" w:space="0"/>
            </w:tcBorders>
            <w:vAlign w:val="center"/>
          </w:tcPr>
          <w:p>
            <w:pPr>
              <w:spacing w:before="319" w:beforeLines="100"/>
              <w:jc w:val="center"/>
              <w:rPr>
                <w:rFonts w:hint="eastAsia" w:ascii="宋体" w:hAnsi="宋体" w:eastAsia="宋体" w:cs="宋体"/>
                <w:sz w:val="22"/>
                <w:highlight w:val="none"/>
              </w:rPr>
            </w:pPr>
          </w:p>
        </w:tc>
        <w:tc>
          <w:tcPr>
            <w:tcW w:w="528" w:type="dxa"/>
            <w:tcBorders>
              <w:top w:val="single" w:color="auto" w:sz="4" w:space="0"/>
              <w:left w:val="single" w:color="auto" w:sz="4" w:space="0"/>
              <w:bottom w:val="single" w:color="auto" w:sz="6" w:space="0"/>
            </w:tcBorders>
            <w:vAlign w:val="center"/>
          </w:tcPr>
          <w:p>
            <w:pPr>
              <w:spacing w:before="319" w:beforeLines="100"/>
              <w:jc w:val="center"/>
              <w:rPr>
                <w:rFonts w:hint="eastAsia" w:ascii="宋体" w:hAnsi="宋体" w:eastAsia="宋体" w:cs="宋体"/>
                <w:sz w:val="22"/>
                <w:highlight w:val="none"/>
              </w:rPr>
            </w:pPr>
            <w:r>
              <w:rPr>
                <w:rFonts w:hint="eastAsia" w:ascii="宋体" w:hAnsi="宋体" w:eastAsia="宋体" w:cs="宋体"/>
                <w:sz w:val="22"/>
                <w:highlight w:val="none"/>
              </w:rPr>
              <w:t>2</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hint="eastAsia" w:ascii="宋体" w:hAnsi="宋体" w:eastAsia="宋体" w:cs="宋体"/>
                <w:sz w:val="22"/>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hint="eastAsia" w:ascii="宋体" w:hAnsi="宋体" w:eastAsia="宋体" w:cs="宋体"/>
                <w:sz w:val="22"/>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r>
      <w:tr>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pPr>
              <w:spacing w:before="319" w:beforeLines="100"/>
              <w:jc w:val="center"/>
              <w:rPr>
                <w:rFonts w:hint="eastAsia" w:ascii="宋体" w:hAnsi="宋体" w:eastAsia="宋体" w:cs="宋体"/>
                <w:sz w:val="22"/>
                <w:highlight w:val="none"/>
              </w:rPr>
            </w:pPr>
          </w:p>
        </w:tc>
        <w:tc>
          <w:tcPr>
            <w:tcW w:w="528" w:type="dxa"/>
            <w:tcBorders>
              <w:top w:val="single" w:color="auto" w:sz="4" w:space="0"/>
              <w:left w:val="single" w:color="auto" w:sz="4" w:space="0"/>
              <w:bottom w:val="single" w:color="auto" w:sz="6" w:space="0"/>
            </w:tcBorders>
            <w:vAlign w:val="center"/>
          </w:tcPr>
          <w:p>
            <w:pPr>
              <w:spacing w:before="319" w:beforeLines="100"/>
              <w:jc w:val="center"/>
              <w:rPr>
                <w:rFonts w:hint="eastAsia" w:ascii="宋体" w:hAnsi="宋体" w:eastAsia="宋体" w:cs="宋体"/>
                <w:sz w:val="22"/>
                <w:highlight w:val="none"/>
              </w:rPr>
            </w:pPr>
            <w:r>
              <w:rPr>
                <w:rFonts w:hint="eastAsia" w:ascii="宋体" w:hAnsi="宋体" w:eastAsia="宋体" w:cs="宋体"/>
                <w:sz w:val="22"/>
                <w:highlight w:val="none"/>
              </w:rPr>
              <w:t>3</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hint="eastAsia" w:ascii="宋体" w:hAnsi="宋体" w:eastAsia="宋体" w:cs="宋体"/>
                <w:sz w:val="22"/>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hint="eastAsia" w:ascii="宋体" w:hAnsi="宋体" w:eastAsia="宋体" w:cs="宋体"/>
                <w:sz w:val="22"/>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r>
      <w:tr>
        <w:tblPrEx>
          <w:tblCellMar>
            <w:top w:w="0" w:type="dxa"/>
            <w:left w:w="28" w:type="dxa"/>
            <w:bottom w:w="0" w:type="dxa"/>
            <w:right w:w="28" w:type="dxa"/>
          </w:tblCellMar>
        </w:tblPrEx>
        <w:trPr>
          <w:trHeight w:val="863" w:hRule="atLeast"/>
        </w:trPr>
        <w:tc>
          <w:tcPr>
            <w:tcW w:w="1143" w:type="dxa"/>
            <w:vMerge w:val="continue"/>
            <w:tcBorders>
              <w:left w:val="single" w:color="auto" w:sz="6" w:space="0"/>
              <w:right w:val="single" w:color="auto" w:sz="4" w:space="0"/>
            </w:tcBorders>
            <w:vAlign w:val="center"/>
          </w:tcPr>
          <w:p>
            <w:pPr>
              <w:spacing w:before="319" w:beforeLines="100"/>
              <w:jc w:val="center"/>
              <w:rPr>
                <w:rFonts w:hint="eastAsia" w:ascii="宋体" w:hAnsi="宋体" w:eastAsia="宋体" w:cs="宋体"/>
                <w:sz w:val="22"/>
                <w:highlight w:val="none"/>
              </w:rPr>
            </w:pPr>
          </w:p>
        </w:tc>
        <w:tc>
          <w:tcPr>
            <w:tcW w:w="528" w:type="dxa"/>
            <w:tcBorders>
              <w:top w:val="single" w:color="auto" w:sz="4" w:space="0"/>
              <w:left w:val="single" w:color="auto" w:sz="4" w:space="0"/>
              <w:bottom w:val="single" w:color="auto" w:sz="6" w:space="0"/>
            </w:tcBorders>
            <w:vAlign w:val="center"/>
          </w:tcPr>
          <w:p>
            <w:pPr>
              <w:spacing w:before="319" w:beforeLines="100"/>
              <w:jc w:val="center"/>
              <w:rPr>
                <w:rFonts w:hint="eastAsia" w:ascii="宋体" w:hAnsi="宋体" w:eastAsia="宋体" w:cs="宋体"/>
                <w:sz w:val="22"/>
                <w:highlight w:val="none"/>
              </w:rPr>
            </w:pPr>
            <w:r>
              <w:rPr>
                <w:rFonts w:hint="eastAsia" w:ascii="宋体" w:hAnsi="宋体" w:eastAsia="宋体" w:cs="宋体"/>
                <w:sz w:val="22"/>
                <w:highlight w:val="none"/>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hint="eastAsia" w:ascii="宋体" w:hAnsi="宋体" w:eastAsia="宋体" w:cs="宋体"/>
                <w:sz w:val="22"/>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r>
      <w:tr>
        <w:tblPrEx>
          <w:tblCellMar>
            <w:top w:w="0" w:type="dxa"/>
            <w:left w:w="28" w:type="dxa"/>
            <w:bottom w:w="0" w:type="dxa"/>
            <w:right w:w="28" w:type="dxa"/>
          </w:tblCellMar>
        </w:tblPrEx>
        <w:trPr>
          <w:trHeight w:val="863" w:hRule="atLeast"/>
        </w:trPr>
        <w:tc>
          <w:tcPr>
            <w:tcW w:w="1143" w:type="dxa"/>
            <w:vMerge w:val="continue"/>
            <w:tcBorders>
              <w:left w:val="single" w:color="auto" w:sz="6" w:space="0"/>
              <w:bottom w:val="single" w:color="auto" w:sz="6" w:space="0"/>
              <w:right w:val="single" w:color="auto" w:sz="4" w:space="0"/>
            </w:tcBorders>
            <w:vAlign w:val="center"/>
          </w:tcPr>
          <w:p>
            <w:pPr>
              <w:spacing w:before="319" w:beforeLines="100"/>
              <w:jc w:val="center"/>
              <w:rPr>
                <w:rFonts w:hint="eastAsia" w:ascii="宋体" w:hAnsi="宋体" w:eastAsia="宋体" w:cs="宋体"/>
                <w:sz w:val="22"/>
                <w:highlight w:val="none"/>
              </w:rPr>
            </w:pPr>
          </w:p>
        </w:tc>
        <w:tc>
          <w:tcPr>
            <w:tcW w:w="528" w:type="dxa"/>
            <w:tcBorders>
              <w:top w:val="single" w:color="auto" w:sz="4" w:space="0"/>
              <w:left w:val="single" w:color="auto" w:sz="4" w:space="0"/>
              <w:bottom w:val="single" w:color="auto" w:sz="6" w:space="0"/>
            </w:tcBorders>
            <w:vAlign w:val="center"/>
          </w:tcPr>
          <w:p>
            <w:pPr>
              <w:spacing w:before="319" w:beforeLines="100"/>
              <w:jc w:val="center"/>
              <w:rPr>
                <w:rFonts w:hint="eastAsia" w:ascii="宋体" w:hAnsi="宋体" w:eastAsia="宋体" w:cs="宋体"/>
                <w:b/>
                <w:sz w:val="22"/>
                <w:highlight w:val="none"/>
              </w:rPr>
            </w:pPr>
            <w:r>
              <w:rPr>
                <w:rFonts w:hint="eastAsia" w:ascii="宋体" w:hAnsi="宋体" w:eastAsia="宋体" w:cs="宋体"/>
                <w:sz w:val="22"/>
                <w:highlight w:val="none"/>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hint="eastAsia" w:ascii="宋体" w:hAnsi="宋体" w:eastAsia="宋体" w:cs="宋体"/>
                <w:sz w:val="22"/>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运杂费</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其他费用</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w:t>
            </w:r>
          </w:p>
        </w:tc>
      </w:tr>
      <w:tr>
        <w:tblPrEx>
          <w:tblCellMar>
            <w:top w:w="0" w:type="dxa"/>
            <w:left w:w="28" w:type="dxa"/>
            <w:bottom w:w="0" w:type="dxa"/>
            <w:right w:w="28" w:type="dxa"/>
          </w:tblCellMar>
        </w:tblPrEx>
        <w:trPr>
          <w:trHeight w:val="534" w:hRule="atLeast"/>
        </w:trPr>
        <w:tc>
          <w:tcPr>
            <w:tcW w:w="1671" w:type="dxa"/>
            <w:gridSpan w:val="2"/>
            <w:tcBorders>
              <w:top w:val="single" w:color="auto" w:sz="4" w:space="0"/>
              <w:left w:val="single" w:color="auto" w:sz="6" w:space="0"/>
              <w:bottom w:val="single" w:color="auto" w:sz="6"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投标总报价</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159" w:beforeLines="50"/>
              <w:jc w:val="left"/>
              <w:rPr>
                <w:rFonts w:hint="eastAsia" w:ascii="宋体" w:hAnsi="宋体" w:eastAsia="宋体" w:cs="宋体"/>
                <w:sz w:val="22"/>
                <w:highlight w:val="none"/>
              </w:rPr>
            </w:pPr>
            <w:r>
              <w:rPr>
                <w:rFonts w:hint="eastAsia" w:ascii="宋体" w:hAnsi="宋体" w:eastAsia="宋体" w:cs="宋体"/>
                <w:sz w:val="22"/>
                <w:highlight w:val="none"/>
              </w:rPr>
              <w:t>大写：                       小写：元</w:t>
            </w:r>
          </w:p>
        </w:tc>
      </w:tr>
      <w:tr>
        <w:tblPrEx>
          <w:tblCellMar>
            <w:top w:w="0" w:type="dxa"/>
            <w:left w:w="28" w:type="dxa"/>
            <w:bottom w:w="0" w:type="dxa"/>
            <w:right w:w="28" w:type="dxa"/>
          </w:tblCellMar>
        </w:tblPrEx>
        <w:trPr>
          <w:trHeight w:val="585" w:hRule="atLeast"/>
        </w:trPr>
        <w:tc>
          <w:tcPr>
            <w:tcW w:w="1671" w:type="dxa"/>
            <w:gridSpan w:val="2"/>
            <w:tcBorders>
              <w:top w:val="single" w:color="auto" w:sz="4" w:space="0"/>
              <w:left w:val="single" w:color="auto" w:sz="6" w:space="0"/>
              <w:bottom w:val="single" w:color="auto" w:sz="6"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hint="eastAsia" w:ascii="宋体" w:hAnsi="宋体" w:eastAsia="宋体" w:cs="宋体"/>
                <w:sz w:val="22"/>
                <w:highlight w:val="none"/>
              </w:rPr>
            </w:pPr>
            <w:r>
              <w:rPr>
                <w:rFonts w:hint="eastAsia" w:ascii="宋体" w:hAnsi="宋体" w:cs="宋体"/>
                <w:spacing w:val="-6"/>
                <w:sz w:val="22"/>
                <w:highlight w:val="none"/>
                <w:lang w:eastAsia="zh-CN"/>
              </w:rPr>
              <w:t>精确到小数点后两位</w:t>
            </w:r>
            <w:r>
              <w:rPr>
                <w:rFonts w:hint="eastAsia" w:ascii="宋体" w:hAnsi="宋体" w:eastAsia="宋体" w:cs="宋体"/>
                <w:spacing w:val="-6"/>
                <w:sz w:val="22"/>
                <w:highlight w:val="none"/>
              </w:rPr>
              <w:t>。</w:t>
            </w:r>
          </w:p>
        </w:tc>
      </w:tr>
    </w:tbl>
    <w:p>
      <w:pPr>
        <w:adjustRightInd w:val="0"/>
        <w:snapToGrid w:val="0"/>
        <w:spacing w:line="480" w:lineRule="auto"/>
        <w:jc w:val="left"/>
        <w:rPr>
          <w:rFonts w:hint="eastAsia" w:ascii="宋体" w:hAnsi="宋体" w:eastAsia="宋体" w:cs="宋体"/>
          <w:highlight w:val="none"/>
        </w:rPr>
      </w:pPr>
    </w:p>
    <w:p>
      <w:pPr>
        <w:adjustRightInd w:val="0"/>
        <w:snapToGrid w:val="0"/>
        <w:spacing w:line="480" w:lineRule="auto"/>
        <w:jc w:val="left"/>
        <w:rPr>
          <w:rFonts w:hint="eastAsia" w:ascii="宋体" w:hAnsi="宋体" w:eastAsia="宋体" w:cs="宋体"/>
          <w:highlight w:val="none"/>
          <w:u w:val="single"/>
        </w:rPr>
      </w:pPr>
      <w:r>
        <w:rPr>
          <w:rFonts w:hint="eastAsia" w:ascii="宋体" w:hAnsi="宋体" w:eastAsia="宋体" w:cs="宋体"/>
          <w:highlight w:val="none"/>
        </w:rPr>
        <w:t>供应商（单位名称及公章）：</w:t>
      </w:r>
      <w:r>
        <w:rPr>
          <w:rFonts w:hint="eastAsia" w:ascii="宋体" w:hAnsi="宋体" w:eastAsia="宋体" w:cs="宋体"/>
          <w:highlight w:val="none"/>
          <w:u w:val="single"/>
        </w:rPr>
        <w:t xml:space="preserve">                          </w:t>
      </w:r>
    </w:p>
    <w:p>
      <w:pPr>
        <w:adjustRightInd w:val="0"/>
        <w:snapToGrid w:val="0"/>
        <w:spacing w:line="480" w:lineRule="auto"/>
        <w:rPr>
          <w:rFonts w:hint="eastAsia" w:ascii="宋体" w:hAnsi="宋体" w:eastAsia="宋体" w:cs="宋体"/>
          <w:highlight w:val="none"/>
        </w:rPr>
      </w:pPr>
      <w:r>
        <w:rPr>
          <w:rFonts w:hint="eastAsia" w:ascii="宋体" w:hAnsi="宋体" w:eastAsia="宋体" w:cs="宋体"/>
          <w:highlight w:val="none"/>
          <w:lang w:eastAsia="zh-CN"/>
        </w:rPr>
        <w:t>法定代表人或被授权人</w:t>
      </w:r>
      <w:r>
        <w:rPr>
          <w:rFonts w:hint="eastAsia" w:ascii="宋体" w:hAnsi="宋体" w:eastAsia="宋体" w:cs="宋体"/>
          <w:highlight w:val="none"/>
        </w:rPr>
        <w:t>（签字或盖章）：</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djustRightInd w:val="0"/>
        <w:snapToGrid w:val="0"/>
        <w:spacing w:line="48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spacing w:line="420" w:lineRule="exact"/>
        <w:ind w:right="204" w:rightChars="85"/>
        <w:jc w:val="left"/>
        <w:rPr>
          <w:rFonts w:hint="eastAsia" w:ascii="宋体" w:hAnsi="宋体" w:eastAsia="宋体" w:cs="宋体"/>
          <w:szCs w:val="24"/>
          <w:highlight w:val="none"/>
        </w:rPr>
        <w:sectPr>
          <w:pgSz w:w="11906" w:h="16838"/>
          <w:pgMar w:top="1440" w:right="1803" w:bottom="1440" w:left="1803" w:header="851" w:footer="992" w:gutter="0"/>
          <w:pgNumType w:fmt="decimal"/>
          <w:cols w:space="720" w:num="1"/>
          <w:docGrid w:type="lines" w:linePitch="319" w:charSpace="0"/>
        </w:sectPr>
      </w:pPr>
    </w:p>
    <w:p>
      <w:pPr>
        <w:pStyle w:val="4"/>
        <w:rPr>
          <w:rFonts w:hint="eastAsia" w:ascii="宋体" w:hAnsi="宋体" w:eastAsia="宋体" w:cs="宋体"/>
          <w:highlight w:val="none"/>
        </w:rPr>
      </w:pPr>
      <w:bookmarkStart w:id="87" w:name="_Toc18041"/>
      <w:bookmarkStart w:id="88" w:name="_Toc22013"/>
      <w:bookmarkStart w:id="89" w:name="_Toc9222"/>
      <w:bookmarkStart w:id="90" w:name="_Toc1869"/>
      <w:r>
        <w:rPr>
          <w:rFonts w:hint="eastAsia" w:ascii="宋体" w:hAnsi="宋体" w:eastAsia="宋体" w:cs="宋体"/>
          <w:highlight w:val="none"/>
        </w:rPr>
        <w:t xml:space="preserve">第四章 </w:t>
      </w:r>
      <w:r>
        <w:rPr>
          <w:rFonts w:hint="eastAsia" w:ascii="宋体" w:hAnsi="宋体" w:eastAsia="宋体" w:cs="宋体"/>
          <w:highlight w:val="none"/>
          <w:lang w:eastAsia="zh-CN"/>
        </w:rPr>
        <w:t>谈判</w:t>
      </w:r>
      <w:r>
        <w:rPr>
          <w:rFonts w:hint="eastAsia" w:ascii="宋体" w:hAnsi="宋体" w:eastAsia="宋体" w:cs="宋体"/>
          <w:highlight w:val="none"/>
        </w:rPr>
        <w:t>保证金</w:t>
      </w:r>
      <w:bookmarkEnd w:id="87"/>
      <w:bookmarkEnd w:id="88"/>
      <w:bookmarkEnd w:id="89"/>
      <w:bookmarkEnd w:id="90"/>
      <w:r>
        <w:rPr>
          <w:rFonts w:hint="eastAsia" w:ascii="宋体" w:hAnsi="宋体" w:eastAsia="宋体" w:cs="宋体"/>
          <w:highlight w:val="none"/>
        </w:rPr>
        <w:t xml:space="preserve"> </w:t>
      </w:r>
    </w:p>
    <w:p>
      <w:pPr>
        <w:pStyle w:val="7"/>
        <w:rPr>
          <w:rFonts w:hint="eastAsia" w:ascii="宋体" w:hAnsi="宋体" w:eastAsia="宋体" w:cs="宋体"/>
          <w:sz w:val="28"/>
          <w:szCs w:val="24"/>
          <w:highlight w:val="none"/>
        </w:rPr>
      </w:pPr>
      <w:r>
        <w:rPr>
          <w:rFonts w:hint="eastAsia" w:ascii="宋体" w:hAnsi="宋体" w:eastAsia="宋体" w:cs="宋体"/>
          <w:sz w:val="28"/>
          <w:szCs w:val="24"/>
          <w:highlight w:val="none"/>
          <w:lang w:eastAsia="zh-CN"/>
        </w:rPr>
        <w:t>供应商</w:t>
      </w:r>
      <w:r>
        <w:rPr>
          <w:rFonts w:hint="eastAsia" w:ascii="宋体" w:hAnsi="宋体" w:eastAsia="宋体" w:cs="宋体"/>
          <w:sz w:val="28"/>
          <w:szCs w:val="24"/>
          <w:highlight w:val="none"/>
        </w:rPr>
        <w:t>在此处提供保证金缴纳凭证扫描件加盖公章，或者财政部门指定的担保机构出具的保函；</w:t>
      </w:r>
    </w:p>
    <w:p>
      <w:pPr>
        <w:pStyle w:val="7"/>
        <w:rPr>
          <w:rFonts w:hint="eastAsia" w:ascii="宋体" w:hAnsi="宋体" w:eastAsia="宋体" w:cs="宋体"/>
          <w:sz w:val="28"/>
          <w:szCs w:val="24"/>
          <w:highlight w:val="none"/>
        </w:rPr>
      </w:pPr>
    </w:p>
    <w:tbl>
      <w:tblPr>
        <w:tblStyle w:val="2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3" w:hRule="atLeast"/>
        </w:trPr>
        <w:tc>
          <w:tcPr>
            <w:tcW w:w="9000" w:type="dxa"/>
          </w:tcPr>
          <w:p>
            <w:pPr>
              <w:pStyle w:val="7"/>
              <w:rPr>
                <w:rFonts w:hint="eastAsia" w:ascii="宋体" w:hAnsi="宋体" w:eastAsia="宋体" w:cs="宋体"/>
                <w:sz w:val="28"/>
                <w:szCs w:val="24"/>
                <w:highlight w:val="none"/>
              </w:rPr>
            </w:pPr>
          </w:p>
        </w:tc>
      </w:tr>
    </w:tbl>
    <w:p>
      <w:pPr>
        <w:rPr>
          <w:rFonts w:hint="eastAsia" w:ascii="宋体" w:hAnsi="宋体" w:eastAsia="宋体" w:cs="宋体"/>
          <w:highlight w:val="none"/>
        </w:rPr>
      </w:pPr>
      <w:r>
        <w:rPr>
          <w:rFonts w:hint="eastAsia" w:ascii="宋体" w:hAnsi="宋体" w:eastAsia="宋体" w:cs="宋体"/>
          <w:highlight w:val="none"/>
        </w:rPr>
        <w:br w:type="page"/>
      </w:r>
    </w:p>
    <w:p>
      <w:pPr>
        <w:pStyle w:val="4"/>
        <w:rPr>
          <w:rFonts w:hint="eastAsia" w:ascii="宋体" w:hAnsi="宋体" w:eastAsia="宋体" w:cs="宋体"/>
          <w:highlight w:val="none"/>
        </w:rPr>
      </w:pPr>
      <w:bookmarkStart w:id="91" w:name="_Toc12948"/>
      <w:r>
        <w:rPr>
          <w:rFonts w:hint="eastAsia" w:ascii="宋体" w:hAnsi="宋体" w:eastAsia="宋体" w:cs="宋体"/>
          <w:highlight w:val="none"/>
        </w:rPr>
        <w:t>第</w:t>
      </w:r>
      <w:r>
        <w:rPr>
          <w:rFonts w:hint="eastAsia" w:ascii="宋体" w:hAnsi="宋体" w:eastAsia="宋体" w:cs="宋体"/>
          <w:highlight w:val="none"/>
          <w:lang w:eastAsia="zh-CN"/>
        </w:rPr>
        <w:t>五章</w:t>
      </w:r>
      <w:r>
        <w:rPr>
          <w:rFonts w:hint="eastAsia" w:ascii="宋体" w:hAnsi="宋体" w:eastAsia="宋体" w:cs="宋体"/>
          <w:highlight w:val="none"/>
        </w:rPr>
        <w:t xml:space="preserve"> 供应商资质要求</w:t>
      </w:r>
      <w:bookmarkEnd w:id="91"/>
    </w:p>
    <w:p>
      <w:pPr>
        <w:rPr>
          <w:rFonts w:hint="eastAsia" w:ascii="宋体" w:hAnsi="宋体" w:eastAsia="宋体" w:cs="宋体"/>
          <w:highlight w:val="none"/>
        </w:rPr>
      </w:pPr>
      <w:r>
        <w:rPr>
          <w:rFonts w:hint="eastAsia" w:ascii="宋体" w:hAnsi="宋体" w:eastAsia="宋体" w:cs="宋体"/>
          <w:b/>
          <w:bCs/>
          <w:color w:val="000000" w:themeColor="text1"/>
          <w:sz w:val="28"/>
          <w:szCs w:val="24"/>
          <w:highlight w:val="none"/>
          <w14:textFill>
            <w14:solidFill>
              <w14:schemeClr w14:val="tx1"/>
            </w14:solidFill>
          </w14:textFill>
        </w:rPr>
        <w:t>供应商需在此页附</w:t>
      </w:r>
      <w:r>
        <w:rPr>
          <w:rFonts w:hint="eastAsia" w:ascii="宋体" w:hAnsi="宋体" w:eastAsia="宋体" w:cs="宋体"/>
          <w:b/>
          <w:bCs/>
          <w:color w:val="000000" w:themeColor="text1"/>
          <w:sz w:val="28"/>
          <w:szCs w:val="24"/>
          <w:highlight w:val="none"/>
          <w:lang w:eastAsia="zh-CN"/>
          <w14:textFill>
            <w14:solidFill>
              <w14:schemeClr w14:val="tx1"/>
            </w14:solidFill>
          </w14:textFill>
        </w:rPr>
        <w:t>谈判</w:t>
      </w:r>
      <w:r>
        <w:rPr>
          <w:rFonts w:hint="eastAsia" w:ascii="宋体" w:hAnsi="宋体" w:eastAsia="宋体" w:cs="宋体"/>
          <w:b/>
          <w:bCs/>
          <w:color w:val="000000" w:themeColor="text1"/>
          <w:sz w:val="28"/>
          <w:szCs w:val="24"/>
          <w:highlight w:val="none"/>
          <w14:textFill>
            <w14:solidFill>
              <w14:schemeClr w14:val="tx1"/>
            </w14:solidFill>
          </w14:textFill>
        </w:rPr>
        <w:t>公告或</w:t>
      </w:r>
      <w:r>
        <w:rPr>
          <w:rFonts w:hint="eastAsia" w:ascii="宋体" w:hAnsi="宋体" w:eastAsia="宋体" w:cs="宋体"/>
          <w:b/>
          <w:bCs/>
          <w:color w:val="000000" w:themeColor="text1"/>
          <w:sz w:val="28"/>
          <w:szCs w:val="24"/>
          <w:highlight w:val="none"/>
          <w:lang w:eastAsia="zh-CN"/>
          <w14:textFill>
            <w14:solidFill>
              <w14:schemeClr w14:val="tx1"/>
            </w14:solidFill>
          </w14:textFill>
        </w:rPr>
        <w:t>谈判</w:t>
      </w:r>
      <w:r>
        <w:rPr>
          <w:rFonts w:hint="eastAsia" w:ascii="宋体" w:hAnsi="宋体" w:eastAsia="宋体" w:cs="宋体"/>
          <w:b/>
          <w:bCs/>
          <w:color w:val="000000" w:themeColor="text1"/>
          <w:sz w:val="28"/>
          <w:szCs w:val="24"/>
          <w:highlight w:val="none"/>
          <w14:textFill>
            <w14:solidFill>
              <w14:schemeClr w14:val="tx1"/>
            </w14:solidFill>
          </w14:textFill>
        </w:rPr>
        <w:t>文件中要求的资质证明文件，响应文件附资质复印件或扫描件加盖供应商公章。</w:t>
      </w:r>
      <w:r>
        <w:rPr>
          <w:rFonts w:hint="eastAsia" w:ascii="宋体" w:hAnsi="宋体" w:eastAsia="宋体" w:cs="宋体"/>
          <w:b/>
          <w:bCs/>
          <w:color w:val="000000" w:themeColor="text1"/>
          <w:sz w:val="28"/>
          <w:szCs w:val="24"/>
          <w:highlight w:val="none"/>
          <w:lang w:eastAsia="zh-CN"/>
          <w14:textFill>
            <w14:solidFill>
              <w14:schemeClr w14:val="tx1"/>
            </w14:solidFill>
          </w14:textFill>
        </w:rPr>
        <w:t>部分</w:t>
      </w:r>
      <w:r>
        <w:rPr>
          <w:rFonts w:hint="eastAsia" w:ascii="宋体" w:hAnsi="宋体" w:eastAsia="宋体" w:cs="宋体"/>
          <w:b/>
          <w:bCs/>
          <w:color w:val="000000" w:themeColor="text1"/>
          <w:sz w:val="28"/>
          <w:szCs w:val="24"/>
          <w:highlight w:val="none"/>
          <w14:textFill>
            <w14:solidFill>
              <w14:schemeClr w14:val="tx1"/>
            </w14:solidFill>
          </w14:textFill>
        </w:rPr>
        <w:t>格式参考见下页。</w:t>
      </w:r>
      <w:r>
        <w:rPr>
          <w:rFonts w:hint="eastAsia" w:ascii="宋体" w:hAnsi="宋体" w:eastAsia="宋体" w:cs="宋体"/>
          <w:highlight w:val="none"/>
        </w:rPr>
        <w:br w:type="page"/>
      </w:r>
    </w:p>
    <w:p>
      <w:pPr>
        <w:pStyle w:val="7"/>
        <w:ind w:firstLine="643" w:firstLineChars="200"/>
        <w:rPr>
          <w:rFonts w:hint="eastAsia" w:ascii="宋体" w:hAnsi="宋体" w:eastAsia="宋体" w:cs="宋体"/>
          <w:b/>
          <w:bCs/>
          <w:color w:val="000000" w:themeColor="text1"/>
          <w:sz w:val="32"/>
          <w:szCs w:val="28"/>
          <w:highlight w:val="none"/>
          <w14:textFill>
            <w14:solidFill>
              <w14:schemeClr w14:val="tx1"/>
            </w14:solidFill>
          </w14:textFill>
        </w:rPr>
      </w:pPr>
      <w:r>
        <w:rPr>
          <w:rFonts w:hint="eastAsia" w:ascii="宋体" w:hAnsi="宋体" w:eastAsia="宋体" w:cs="宋体"/>
          <w:b/>
          <w:bCs/>
          <w:color w:val="000000" w:themeColor="text1"/>
          <w:sz w:val="32"/>
          <w:szCs w:val="28"/>
          <w:highlight w:val="none"/>
          <w14:textFill>
            <w14:solidFill>
              <w14:schemeClr w14:val="tx1"/>
            </w14:solidFill>
          </w14:textFill>
        </w:rPr>
        <w:t>附：资质证明文件</w:t>
      </w:r>
      <w:r>
        <w:rPr>
          <w:rFonts w:hint="eastAsia" w:ascii="宋体" w:hAnsi="宋体" w:eastAsia="宋体" w:cs="宋体"/>
          <w:b/>
          <w:bCs/>
          <w:color w:val="000000" w:themeColor="text1"/>
          <w:sz w:val="32"/>
          <w:szCs w:val="28"/>
          <w:highlight w:val="none"/>
          <w:lang w:eastAsia="zh-CN"/>
          <w14:textFill>
            <w14:solidFill>
              <w14:schemeClr w14:val="tx1"/>
            </w14:solidFill>
          </w14:textFill>
        </w:rPr>
        <w:t>部分</w:t>
      </w:r>
      <w:r>
        <w:rPr>
          <w:rFonts w:hint="eastAsia" w:ascii="宋体" w:hAnsi="宋体" w:eastAsia="宋体" w:cs="宋体"/>
          <w:b/>
          <w:bCs/>
          <w:color w:val="000000" w:themeColor="text1"/>
          <w:sz w:val="32"/>
          <w:szCs w:val="28"/>
          <w:highlight w:val="none"/>
          <w14:textFill>
            <w14:solidFill>
              <w14:schemeClr w14:val="tx1"/>
            </w14:solidFill>
          </w14:textFill>
        </w:rPr>
        <w:t>格式：</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1、供应商符合《政府采购法》第二十二条规定条件的承诺函</w:t>
      </w:r>
    </w:p>
    <w:p>
      <w:pPr>
        <w:pStyle w:val="9"/>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致陕西万泽招标有限公司：</w:t>
      </w:r>
    </w:p>
    <w:p>
      <w:pPr>
        <w:pStyle w:val="9"/>
        <w:spacing w:line="360" w:lineRule="auto"/>
        <w:ind w:left="0" w:leftChars="0"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w:t>
      </w:r>
      <w:r>
        <w:rPr>
          <w:rFonts w:hint="eastAsia" w:ascii="宋体" w:hAnsi="宋体" w:eastAsia="宋体" w:cs="宋体"/>
          <w:color w:val="000000" w:themeColor="text1"/>
          <w:sz w:val="24"/>
          <w:szCs w:val="24"/>
          <w:highlight w:val="none"/>
          <w:u w:val="single"/>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参加的投标活动，现承诺：</w:t>
      </w:r>
    </w:p>
    <w:p>
      <w:pPr>
        <w:pStyle w:val="9"/>
        <w:spacing w:line="360" w:lineRule="auto"/>
        <w:ind w:left="0" w:leftChars="0"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我公司满足政府采购法第二十二条关于供应商的资格要求：</w:t>
      </w:r>
    </w:p>
    <w:p>
      <w:pPr>
        <w:pStyle w:val="9"/>
        <w:spacing w:line="360" w:lineRule="auto"/>
        <w:ind w:left="0" w:leftChars="0"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（一）具有独立承担民事责任的能力；</w:t>
      </w:r>
    </w:p>
    <w:p>
      <w:pPr>
        <w:pStyle w:val="9"/>
        <w:spacing w:line="360" w:lineRule="auto"/>
        <w:ind w:left="0" w:leftChars="0"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（二）具有良好的商业信誉和健全的财务会计制度；</w:t>
      </w:r>
    </w:p>
    <w:p>
      <w:pPr>
        <w:pStyle w:val="9"/>
        <w:spacing w:line="360" w:lineRule="auto"/>
        <w:ind w:left="0" w:leftChars="0"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（三）具有履行合同所必需的设备和专业技术能力；</w:t>
      </w:r>
    </w:p>
    <w:p>
      <w:pPr>
        <w:pStyle w:val="9"/>
        <w:spacing w:line="360" w:lineRule="auto"/>
        <w:ind w:left="0" w:leftChars="0"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（四）有依法缴纳税收的良好记录；</w:t>
      </w:r>
    </w:p>
    <w:p>
      <w:pPr>
        <w:pStyle w:val="9"/>
        <w:spacing w:line="360" w:lineRule="auto"/>
        <w:ind w:left="0" w:leftChars="0"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（五）参加政府采购活动前三年内，在经营活动中没有重大违法记录；</w:t>
      </w:r>
    </w:p>
    <w:p>
      <w:pPr>
        <w:pStyle w:val="9"/>
        <w:spacing w:line="360" w:lineRule="auto"/>
        <w:ind w:left="0" w:leftChars="0"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（六）法律、行政法规规定的其他条件。</w:t>
      </w:r>
    </w:p>
    <w:p>
      <w:pPr>
        <w:pStyle w:val="9"/>
        <w:spacing w:line="360" w:lineRule="auto"/>
        <w:ind w:left="0" w:leftChars="0"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同时也满足本项目法律法规规章规定关于供应商的其他资格性条件，未参与本采购项目前期咨询论证，不属于禁止参加投标的供应商。</w:t>
      </w:r>
    </w:p>
    <w:p>
      <w:pPr>
        <w:pStyle w:val="9"/>
        <w:spacing w:line="360" w:lineRule="auto"/>
        <w:ind w:left="0" w:leftChars="0"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如违反以上承诺，本公司愿承担一切法律责任。</w:t>
      </w:r>
    </w:p>
    <w:p>
      <w:pPr>
        <w:pStyle w:val="9"/>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w:t>
      </w:r>
      <w:r>
        <w:rPr>
          <w:rFonts w:hint="eastAsia" w:ascii="宋体" w:hAnsi="宋体" w:eastAsia="宋体" w:cs="宋体"/>
          <w:color w:val="000000" w:themeColor="text1"/>
          <w:sz w:val="24"/>
          <w:szCs w:val="24"/>
          <w:highlight w:val="none"/>
          <w:u w:val="single"/>
          <w14:textFill>
            <w14:solidFill>
              <w14:schemeClr w14:val="tx1"/>
            </w14:solidFill>
          </w14:textFill>
        </w:rPr>
        <w:t>（名称及盖章）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法定代表人或委托代理人（签字或盖章）：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highlight w:val="none"/>
          <w:lang w:eastAsia="zh-CN"/>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highlight w:val="none"/>
          <w:lang w:eastAsia="zh-CN"/>
        </w:rPr>
        <w:br w:type="page"/>
      </w:r>
    </w:p>
    <w:p>
      <w:pPr>
        <w:ind w:firstLine="2240" w:firstLineChars="700"/>
        <w:rPr>
          <w:rFonts w:hint="eastAsia" w:ascii="宋体" w:hAnsi="宋体" w:eastAsia="宋体" w:cs="宋体"/>
          <w:color w:val="000000" w:themeColor="text1"/>
          <w:sz w:val="32"/>
          <w:szCs w:val="36"/>
          <w:highlight w:val="none"/>
          <w14:textFill>
            <w14:solidFill>
              <w14:schemeClr w14:val="tx1"/>
            </w14:solidFill>
          </w14:textFill>
        </w:rPr>
      </w:pPr>
      <w:r>
        <w:rPr>
          <w:rFonts w:hint="eastAsia" w:ascii="宋体" w:hAnsi="宋体" w:eastAsia="宋体" w:cs="宋体"/>
          <w:color w:val="000000" w:themeColor="text1"/>
          <w:sz w:val="32"/>
          <w:szCs w:val="36"/>
          <w:highlight w:val="none"/>
          <w14:textFill>
            <w14:solidFill>
              <w14:schemeClr w14:val="tx1"/>
            </w14:solidFill>
          </w14:textFill>
        </w:rPr>
        <w:t>2、供应商基本情况一览表</w:t>
      </w:r>
    </w:p>
    <w:p>
      <w:pPr>
        <w:rPr>
          <w:rFonts w:hint="eastAsia" w:ascii="宋体" w:hAnsi="宋体" w:eastAsia="宋体" w:cs="宋体"/>
          <w:color w:val="000000" w:themeColor="text1"/>
          <w:sz w:val="28"/>
          <w:szCs w:val="32"/>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2-1供应商基本情况一览表</w:t>
      </w:r>
    </w:p>
    <w:tbl>
      <w:tblPr>
        <w:tblStyle w:val="24"/>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92" w:name="_Toc15823"/>
            <w:bookmarkStart w:id="93" w:name="_Toc18556"/>
            <w:bookmarkStart w:id="94" w:name="_Toc5452"/>
            <w:bookmarkStart w:id="95" w:name="_Toc29518"/>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名称</w:t>
            </w:r>
            <w:bookmarkEnd w:id="92"/>
            <w:bookmarkEnd w:id="93"/>
            <w:bookmarkEnd w:id="94"/>
            <w:bookmarkEnd w:id="95"/>
          </w:p>
        </w:tc>
        <w:tc>
          <w:tcPr>
            <w:tcW w:w="7105" w:type="dxa"/>
            <w:gridSpan w:val="7"/>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96" w:name="_Toc32432"/>
            <w:bookmarkStart w:id="97" w:name="_Toc15986"/>
            <w:bookmarkStart w:id="98" w:name="_Toc26127"/>
            <w:r>
              <w:rPr>
                <w:rFonts w:hint="eastAsia" w:ascii="宋体" w:hAnsi="宋体" w:eastAsia="宋体" w:cs="宋体"/>
                <w:color w:val="000000" w:themeColor="text1"/>
                <w:highlight w:val="none"/>
                <w14:textFill>
                  <w14:solidFill>
                    <w14:schemeClr w14:val="tx1"/>
                  </w14:solidFill>
                </w14:textFill>
              </w:rPr>
              <w:t>注册地址</w:t>
            </w:r>
            <w:bookmarkEnd w:id="96"/>
            <w:bookmarkEnd w:id="97"/>
            <w:bookmarkEnd w:id="98"/>
          </w:p>
        </w:tc>
        <w:tc>
          <w:tcPr>
            <w:tcW w:w="3655" w:type="dxa"/>
            <w:gridSpan w:val="3"/>
            <w:vAlign w:val="center"/>
          </w:tcPr>
          <w:p>
            <w:pPr>
              <w:rPr>
                <w:rFonts w:hint="eastAsia" w:ascii="宋体" w:hAnsi="宋体" w:eastAsia="宋体" w:cs="宋体"/>
                <w:color w:val="000000" w:themeColor="text1"/>
                <w:highlight w:val="none"/>
                <w14:textFill>
                  <w14:solidFill>
                    <w14:schemeClr w14:val="tx1"/>
                  </w14:solidFill>
                </w14:textFill>
              </w:rPr>
            </w:pPr>
          </w:p>
        </w:tc>
        <w:tc>
          <w:tcPr>
            <w:tcW w:w="1401" w:type="dxa"/>
            <w:vAlign w:val="center"/>
          </w:tcPr>
          <w:p>
            <w:pPr>
              <w:rPr>
                <w:rFonts w:hint="eastAsia" w:ascii="宋体" w:hAnsi="宋体" w:eastAsia="宋体" w:cs="宋体"/>
                <w:color w:val="000000" w:themeColor="text1"/>
                <w:highlight w:val="none"/>
                <w14:textFill>
                  <w14:solidFill>
                    <w14:schemeClr w14:val="tx1"/>
                  </w14:solidFill>
                </w14:textFill>
              </w:rPr>
            </w:pPr>
            <w:bookmarkStart w:id="99" w:name="_Toc20217"/>
            <w:bookmarkStart w:id="100" w:name="_Toc2965"/>
            <w:bookmarkStart w:id="101" w:name="_Toc13370"/>
            <w:bookmarkStart w:id="102" w:name="_Toc5829"/>
            <w:r>
              <w:rPr>
                <w:rFonts w:hint="eastAsia" w:ascii="宋体" w:hAnsi="宋体" w:eastAsia="宋体" w:cs="宋体"/>
                <w:color w:val="000000" w:themeColor="text1"/>
                <w:highlight w:val="none"/>
                <w14:textFill>
                  <w14:solidFill>
                    <w14:schemeClr w14:val="tx1"/>
                  </w14:solidFill>
                </w14:textFill>
              </w:rPr>
              <w:t>邮政编码</w:t>
            </w:r>
            <w:bookmarkEnd w:id="99"/>
            <w:bookmarkEnd w:id="100"/>
            <w:bookmarkEnd w:id="101"/>
            <w:bookmarkEnd w:id="102"/>
          </w:p>
        </w:tc>
        <w:tc>
          <w:tcPr>
            <w:tcW w:w="2049" w:type="dxa"/>
            <w:gridSpan w:val="3"/>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103" w:name="_Toc5933"/>
            <w:bookmarkStart w:id="104" w:name="_Toc14242"/>
            <w:bookmarkStart w:id="105" w:name="_Toc29861"/>
            <w:bookmarkStart w:id="106" w:name="_Toc24152"/>
            <w:r>
              <w:rPr>
                <w:rFonts w:hint="eastAsia" w:ascii="宋体" w:hAnsi="宋体" w:eastAsia="宋体" w:cs="宋体"/>
                <w:color w:val="000000" w:themeColor="text1"/>
                <w:highlight w:val="none"/>
                <w14:textFill>
                  <w14:solidFill>
                    <w14:schemeClr w14:val="tx1"/>
                  </w14:solidFill>
                </w14:textFill>
              </w:rPr>
              <w:t>联系方式</w:t>
            </w:r>
            <w:bookmarkEnd w:id="103"/>
            <w:bookmarkEnd w:id="104"/>
            <w:bookmarkEnd w:id="105"/>
            <w:bookmarkEnd w:id="106"/>
          </w:p>
        </w:tc>
        <w:tc>
          <w:tcPr>
            <w:tcW w:w="1016" w:type="dxa"/>
            <w:vAlign w:val="center"/>
          </w:tcPr>
          <w:p>
            <w:pPr>
              <w:rPr>
                <w:rFonts w:hint="eastAsia" w:ascii="宋体" w:hAnsi="宋体" w:eastAsia="宋体" w:cs="宋体"/>
                <w:color w:val="000000" w:themeColor="text1"/>
                <w:highlight w:val="none"/>
                <w14:textFill>
                  <w14:solidFill>
                    <w14:schemeClr w14:val="tx1"/>
                  </w14:solidFill>
                </w14:textFill>
              </w:rPr>
            </w:pPr>
            <w:bookmarkStart w:id="107" w:name="_Toc11708"/>
            <w:bookmarkStart w:id="108" w:name="_Toc22630"/>
            <w:bookmarkStart w:id="109" w:name="_Toc23469"/>
            <w:bookmarkStart w:id="110" w:name="_Toc32228"/>
            <w:r>
              <w:rPr>
                <w:rFonts w:hint="eastAsia" w:ascii="宋体" w:hAnsi="宋体" w:eastAsia="宋体" w:cs="宋体"/>
                <w:color w:val="000000" w:themeColor="text1"/>
                <w:highlight w:val="none"/>
                <w14:textFill>
                  <w14:solidFill>
                    <w14:schemeClr w14:val="tx1"/>
                  </w14:solidFill>
                </w14:textFill>
              </w:rPr>
              <w:t>联系人</w:t>
            </w:r>
            <w:bookmarkEnd w:id="107"/>
            <w:bookmarkEnd w:id="108"/>
            <w:bookmarkEnd w:id="109"/>
            <w:bookmarkEnd w:id="110"/>
          </w:p>
        </w:tc>
        <w:tc>
          <w:tcPr>
            <w:tcW w:w="2639" w:type="dxa"/>
            <w:gridSpan w:val="2"/>
            <w:vAlign w:val="center"/>
          </w:tcPr>
          <w:p>
            <w:pPr>
              <w:rPr>
                <w:rFonts w:hint="eastAsia" w:ascii="宋体" w:hAnsi="宋体" w:eastAsia="宋体" w:cs="宋体"/>
                <w:color w:val="000000" w:themeColor="text1"/>
                <w:highlight w:val="none"/>
                <w14:textFill>
                  <w14:solidFill>
                    <w14:schemeClr w14:val="tx1"/>
                  </w14:solidFill>
                </w14:textFill>
              </w:rPr>
            </w:pPr>
          </w:p>
        </w:tc>
        <w:tc>
          <w:tcPr>
            <w:tcW w:w="1401" w:type="dxa"/>
            <w:vAlign w:val="center"/>
          </w:tcPr>
          <w:p>
            <w:pPr>
              <w:rPr>
                <w:rFonts w:hint="eastAsia" w:ascii="宋体" w:hAnsi="宋体" w:eastAsia="宋体" w:cs="宋体"/>
                <w:color w:val="000000" w:themeColor="text1"/>
                <w:highlight w:val="none"/>
                <w14:textFill>
                  <w14:solidFill>
                    <w14:schemeClr w14:val="tx1"/>
                  </w14:solidFill>
                </w14:textFill>
              </w:rPr>
            </w:pPr>
            <w:bookmarkStart w:id="111" w:name="_Toc22121"/>
            <w:bookmarkStart w:id="112" w:name="_Toc31524"/>
            <w:bookmarkStart w:id="113" w:name="_Toc29495"/>
            <w:bookmarkStart w:id="114" w:name="_Toc28825"/>
            <w:r>
              <w:rPr>
                <w:rFonts w:hint="eastAsia" w:ascii="宋体" w:hAnsi="宋体" w:eastAsia="宋体" w:cs="宋体"/>
                <w:color w:val="000000" w:themeColor="text1"/>
                <w:highlight w:val="none"/>
                <w14:textFill>
                  <w14:solidFill>
                    <w14:schemeClr w14:val="tx1"/>
                  </w14:solidFill>
                </w14:textFill>
              </w:rPr>
              <w:t>电话</w:t>
            </w:r>
            <w:bookmarkEnd w:id="111"/>
            <w:bookmarkEnd w:id="112"/>
            <w:bookmarkEnd w:id="113"/>
            <w:bookmarkEnd w:id="114"/>
          </w:p>
        </w:tc>
        <w:tc>
          <w:tcPr>
            <w:tcW w:w="2049" w:type="dxa"/>
            <w:gridSpan w:val="3"/>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115" w:name="_Toc27355"/>
            <w:bookmarkStart w:id="116" w:name="_Toc8331"/>
            <w:bookmarkStart w:id="117" w:name="_Toc12754"/>
            <w:bookmarkStart w:id="118" w:name="_Toc21326"/>
            <w:r>
              <w:rPr>
                <w:rFonts w:hint="eastAsia" w:ascii="宋体" w:hAnsi="宋体" w:eastAsia="宋体" w:cs="宋体"/>
                <w:color w:val="000000" w:themeColor="text1"/>
                <w:highlight w:val="none"/>
                <w14:textFill>
                  <w14:solidFill>
                    <w14:schemeClr w14:val="tx1"/>
                  </w14:solidFill>
                </w14:textFill>
              </w:rPr>
              <w:t>组织结构</w:t>
            </w:r>
            <w:bookmarkEnd w:id="115"/>
            <w:bookmarkEnd w:id="116"/>
            <w:bookmarkEnd w:id="117"/>
            <w:bookmarkEnd w:id="118"/>
          </w:p>
        </w:tc>
        <w:tc>
          <w:tcPr>
            <w:tcW w:w="7105" w:type="dxa"/>
            <w:gridSpan w:val="7"/>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119" w:name="_Toc28736"/>
            <w:bookmarkStart w:id="120" w:name="_Toc22082"/>
            <w:bookmarkStart w:id="121" w:name="_Toc29110"/>
            <w:bookmarkStart w:id="122" w:name="_Toc5018"/>
            <w:r>
              <w:rPr>
                <w:rFonts w:hint="eastAsia" w:ascii="宋体" w:hAnsi="宋体" w:eastAsia="宋体" w:cs="宋体"/>
                <w:color w:val="000000" w:themeColor="text1"/>
                <w:highlight w:val="none"/>
                <w14:textFill>
                  <w14:solidFill>
                    <w14:schemeClr w14:val="tx1"/>
                  </w14:solidFill>
                </w14:textFill>
              </w:rPr>
              <w:t>法定代表人</w:t>
            </w:r>
            <w:bookmarkEnd w:id="119"/>
            <w:bookmarkEnd w:id="120"/>
            <w:bookmarkEnd w:id="121"/>
            <w:bookmarkEnd w:id="122"/>
          </w:p>
        </w:tc>
        <w:tc>
          <w:tcPr>
            <w:tcW w:w="1016" w:type="dxa"/>
            <w:vAlign w:val="center"/>
          </w:tcPr>
          <w:p>
            <w:pPr>
              <w:rPr>
                <w:rFonts w:hint="eastAsia" w:ascii="宋体" w:hAnsi="宋体" w:eastAsia="宋体" w:cs="宋体"/>
                <w:color w:val="000000" w:themeColor="text1"/>
                <w:highlight w:val="none"/>
                <w14:textFill>
                  <w14:solidFill>
                    <w14:schemeClr w14:val="tx1"/>
                  </w14:solidFill>
                </w14:textFill>
              </w:rPr>
            </w:pPr>
            <w:bookmarkStart w:id="123" w:name="_Toc429"/>
            <w:bookmarkStart w:id="124" w:name="_Toc3509"/>
            <w:bookmarkStart w:id="125" w:name="_Toc24566"/>
            <w:bookmarkStart w:id="126" w:name="_Toc8313"/>
            <w:r>
              <w:rPr>
                <w:rFonts w:hint="eastAsia" w:ascii="宋体" w:hAnsi="宋体" w:eastAsia="宋体" w:cs="宋体"/>
                <w:color w:val="000000" w:themeColor="text1"/>
                <w:highlight w:val="none"/>
                <w14:textFill>
                  <w14:solidFill>
                    <w14:schemeClr w14:val="tx1"/>
                  </w14:solidFill>
                </w14:textFill>
              </w:rPr>
              <w:t>姓名</w:t>
            </w:r>
            <w:bookmarkEnd w:id="123"/>
            <w:bookmarkEnd w:id="124"/>
            <w:bookmarkEnd w:id="125"/>
            <w:bookmarkEnd w:id="126"/>
          </w:p>
        </w:tc>
        <w:tc>
          <w:tcPr>
            <w:tcW w:w="1315" w:type="dxa"/>
            <w:vAlign w:val="center"/>
          </w:tcPr>
          <w:p>
            <w:pPr>
              <w:rPr>
                <w:rFonts w:hint="eastAsia" w:ascii="宋体" w:hAnsi="宋体" w:eastAsia="宋体" w:cs="宋体"/>
                <w:color w:val="000000" w:themeColor="text1"/>
                <w:highlight w:val="none"/>
                <w14:textFill>
                  <w14:solidFill>
                    <w14:schemeClr w14:val="tx1"/>
                  </w14:solidFill>
                </w14:textFill>
              </w:rPr>
            </w:pPr>
          </w:p>
        </w:tc>
        <w:tc>
          <w:tcPr>
            <w:tcW w:w="1324" w:type="dxa"/>
            <w:vAlign w:val="center"/>
          </w:tcPr>
          <w:p>
            <w:pPr>
              <w:rPr>
                <w:rFonts w:hint="eastAsia" w:ascii="宋体" w:hAnsi="宋体" w:eastAsia="宋体" w:cs="宋体"/>
                <w:color w:val="000000" w:themeColor="text1"/>
                <w:highlight w:val="none"/>
                <w14:textFill>
                  <w14:solidFill>
                    <w14:schemeClr w14:val="tx1"/>
                  </w14:solidFill>
                </w14:textFill>
              </w:rPr>
            </w:pPr>
            <w:bookmarkStart w:id="127" w:name="_Toc5089"/>
            <w:bookmarkStart w:id="128" w:name="_Toc11392"/>
            <w:bookmarkStart w:id="129" w:name="_Toc2791"/>
            <w:bookmarkStart w:id="130" w:name="_Toc552"/>
            <w:r>
              <w:rPr>
                <w:rFonts w:hint="eastAsia" w:ascii="宋体" w:hAnsi="宋体" w:eastAsia="宋体" w:cs="宋体"/>
                <w:color w:val="000000" w:themeColor="text1"/>
                <w:highlight w:val="none"/>
                <w14:textFill>
                  <w14:solidFill>
                    <w14:schemeClr w14:val="tx1"/>
                  </w14:solidFill>
                </w14:textFill>
              </w:rPr>
              <w:t>技术职称</w:t>
            </w:r>
            <w:bookmarkEnd w:id="127"/>
            <w:bookmarkEnd w:id="128"/>
            <w:bookmarkEnd w:id="129"/>
            <w:bookmarkEnd w:id="130"/>
          </w:p>
        </w:tc>
        <w:tc>
          <w:tcPr>
            <w:tcW w:w="1401" w:type="dxa"/>
            <w:vAlign w:val="center"/>
          </w:tcPr>
          <w:p>
            <w:pPr>
              <w:rPr>
                <w:rFonts w:hint="eastAsia" w:ascii="宋体" w:hAnsi="宋体" w:eastAsia="宋体" w:cs="宋体"/>
                <w:color w:val="000000" w:themeColor="text1"/>
                <w:highlight w:val="none"/>
                <w14:textFill>
                  <w14:solidFill>
                    <w14:schemeClr w14:val="tx1"/>
                  </w14:solidFill>
                </w14:textFill>
              </w:rPr>
            </w:pPr>
          </w:p>
        </w:tc>
        <w:tc>
          <w:tcPr>
            <w:tcW w:w="902" w:type="dxa"/>
            <w:gridSpan w:val="2"/>
            <w:vAlign w:val="center"/>
          </w:tcPr>
          <w:p>
            <w:pPr>
              <w:rPr>
                <w:rFonts w:hint="eastAsia" w:ascii="宋体" w:hAnsi="宋体" w:eastAsia="宋体" w:cs="宋体"/>
                <w:color w:val="000000" w:themeColor="text1"/>
                <w:highlight w:val="none"/>
                <w14:textFill>
                  <w14:solidFill>
                    <w14:schemeClr w14:val="tx1"/>
                  </w14:solidFill>
                </w14:textFill>
              </w:rPr>
            </w:pPr>
            <w:bookmarkStart w:id="131" w:name="_Toc18413"/>
            <w:bookmarkStart w:id="132" w:name="_Toc15179"/>
            <w:bookmarkStart w:id="133" w:name="_Toc24036"/>
            <w:bookmarkStart w:id="134" w:name="_Toc21732"/>
            <w:r>
              <w:rPr>
                <w:rFonts w:hint="eastAsia" w:ascii="宋体" w:hAnsi="宋体" w:eastAsia="宋体" w:cs="宋体"/>
                <w:color w:val="000000" w:themeColor="text1"/>
                <w:highlight w:val="none"/>
                <w14:textFill>
                  <w14:solidFill>
                    <w14:schemeClr w14:val="tx1"/>
                  </w14:solidFill>
                </w14:textFill>
              </w:rPr>
              <w:t>电话</w:t>
            </w:r>
            <w:bookmarkEnd w:id="131"/>
            <w:bookmarkEnd w:id="132"/>
            <w:bookmarkEnd w:id="133"/>
            <w:bookmarkEnd w:id="134"/>
          </w:p>
        </w:tc>
        <w:tc>
          <w:tcPr>
            <w:tcW w:w="1147" w:type="dxa"/>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135" w:name="_Toc30758"/>
            <w:bookmarkStart w:id="136" w:name="_Toc18654"/>
            <w:bookmarkStart w:id="137" w:name="_Toc832"/>
            <w:bookmarkStart w:id="138" w:name="_Toc6397"/>
            <w:r>
              <w:rPr>
                <w:rFonts w:hint="eastAsia" w:ascii="宋体" w:hAnsi="宋体" w:eastAsia="宋体" w:cs="宋体"/>
                <w:color w:val="000000" w:themeColor="text1"/>
                <w:highlight w:val="none"/>
                <w14:textFill>
                  <w14:solidFill>
                    <w14:schemeClr w14:val="tx1"/>
                  </w14:solidFill>
                </w14:textFill>
              </w:rPr>
              <w:t>技术负责人</w:t>
            </w:r>
            <w:bookmarkEnd w:id="135"/>
            <w:bookmarkEnd w:id="136"/>
            <w:bookmarkEnd w:id="137"/>
            <w:bookmarkEnd w:id="138"/>
          </w:p>
        </w:tc>
        <w:tc>
          <w:tcPr>
            <w:tcW w:w="1016" w:type="dxa"/>
            <w:vAlign w:val="center"/>
          </w:tcPr>
          <w:p>
            <w:pPr>
              <w:rPr>
                <w:rFonts w:hint="eastAsia" w:ascii="宋体" w:hAnsi="宋体" w:eastAsia="宋体" w:cs="宋体"/>
                <w:color w:val="000000" w:themeColor="text1"/>
                <w:highlight w:val="none"/>
                <w14:textFill>
                  <w14:solidFill>
                    <w14:schemeClr w14:val="tx1"/>
                  </w14:solidFill>
                </w14:textFill>
              </w:rPr>
            </w:pPr>
            <w:bookmarkStart w:id="139" w:name="_Toc32237"/>
            <w:bookmarkStart w:id="140" w:name="_Toc6829"/>
            <w:bookmarkStart w:id="141" w:name="_Toc5794"/>
            <w:bookmarkStart w:id="142" w:name="_Toc17841"/>
            <w:r>
              <w:rPr>
                <w:rFonts w:hint="eastAsia" w:ascii="宋体" w:hAnsi="宋体" w:eastAsia="宋体" w:cs="宋体"/>
                <w:color w:val="000000" w:themeColor="text1"/>
                <w:highlight w:val="none"/>
                <w14:textFill>
                  <w14:solidFill>
                    <w14:schemeClr w14:val="tx1"/>
                  </w14:solidFill>
                </w14:textFill>
              </w:rPr>
              <w:t>姓名</w:t>
            </w:r>
            <w:bookmarkEnd w:id="139"/>
            <w:bookmarkEnd w:id="140"/>
            <w:bookmarkEnd w:id="141"/>
            <w:bookmarkEnd w:id="142"/>
          </w:p>
        </w:tc>
        <w:tc>
          <w:tcPr>
            <w:tcW w:w="1315" w:type="dxa"/>
            <w:vAlign w:val="center"/>
          </w:tcPr>
          <w:p>
            <w:pPr>
              <w:rPr>
                <w:rFonts w:hint="eastAsia" w:ascii="宋体" w:hAnsi="宋体" w:eastAsia="宋体" w:cs="宋体"/>
                <w:color w:val="000000" w:themeColor="text1"/>
                <w:highlight w:val="none"/>
                <w14:textFill>
                  <w14:solidFill>
                    <w14:schemeClr w14:val="tx1"/>
                  </w14:solidFill>
                </w14:textFill>
              </w:rPr>
            </w:pPr>
          </w:p>
        </w:tc>
        <w:tc>
          <w:tcPr>
            <w:tcW w:w="1324" w:type="dxa"/>
            <w:vAlign w:val="center"/>
          </w:tcPr>
          <w:p>
            <w:pPr>
              <w:rPr>
                <w:rFonts w:hint="eastAsia" w:ascii="宋体" w:hAnsi="宋体" w:eastAsia="宋体" w:cs="宋体"/>
                <w:color w:val="000000" w:themeColor="text1"/>
                <w:highlight w:val="none"/>
                <w14:textFill>
                  <w14:solidFill>
                    <w14:schemeClr w14:val="tx1"/>
                  </w14:solidFill>
                </w14:textFill>
              </w:rPr>
            </w:pPr>
            <w:bookmarkStart w:id="143" w:name="_Toc25059"/>
            <w:bookmarkStart w:id="144" w:name="_Toc25207"/>
            <w:bookmarkStart w:id="145" w:name="_Toc17957"/>
            <w:bookmarkStart w:id="146" w:name="_Toc27222"/>
            <w:r>
              <w:rPr>
                <w:rFonts w:hint="eastAsia" w:ascii="宋体" w:hAnsi="宋体" w:eastAsia="宋体" w:cs="宋体"/>
                <w:color w:val="000000" w:themeColor="text1"/>
                <w:highlight w:val="none"/>
                <w14:textFill>
                  <w14:solidFill>
                    <w14:schemeClr w14:val="tx1"/>
                  </w14:solidFill>
                </w14:textFill>
              </w:rPr>
              <w:t>技术职称</w:t>
            </w:r>
            <w:bookmarkEnd w:id="143"/>
            <w:bookmarkEnd w:id="144"/>
            <w:bookmarkEnd w:id="145"/>
            <w:bookmarkEnd w:id="146"/>
          </w:p>
        </w:tc>
        <w:tc>
          <w:tcPr>
            <w:tcW w:w="1401" w:type="dxa"/>
            <w:vAlign w:val="center"/>
          </w:tcPr>
          <w:p>
            <w:pPr>
              <w:rPr>
                <w:rFonts w:hint="eastAsia" w:ascii="宋体" w:hAnsi="宋体" w:eastAsia="宋体" w:cs="宋体"/>
                <w:color w:val="000000" w:themeColor="text1"/>
                <w:highlight w:val="none"/>
                <w14:textFill>
                  <w14:solidFill>
                    <w14:schemeClr w14:val="tx1"/>
                  </w14:solidFill>
                </w14:textFill>
              </w:rPr>
            </w:pPr>
          </w:p>
        </w:tc>
        <w:tc>
          <w:tcPr>
            <w:tcW w:w="902" w:type="dxa"/>
            <w:gridSpan w:val="2"/>
            <w:vAlign w:val="center"/>
          </w:tcPr>
          <w:p>
            <w:pPr>
              <w:rPr>
                <w:rFonts w:hint="eastAsia" w:ascii="宋体" w:hAnsi="宋体" w:eastAsia="宋体" w:cs="宋体"/>
                <w:color w:val="000000" w:themeColor="text1"/>
                <w:highlight w:val="none"/>
                <w14:textFill>
                  <w14:solidFill>
                    <w14:schemeClr w14:val="tx1"/>
                  </w14:solidFill>
                </w14:textFill>
              </w:rPr>
            </w:pPr>
            <w:bookmarkStart w:id="147" w:name="_Toc321"/>
            <w:bookmarkStart w:id="148" w:name="_Toc12165"/>
            <w:bookmarkStart w:id="149" w:name="_Toc26943"/>
            <w:bookmarkStart w:id="150" w:name="_Toc14501"/>
            <w:r>
              <w:rPr>
                <w:rFonts w:hint="eastAsia" w:ascii="宋体" w:hAnsi="宋体" w:eastAsia="宋体" w:cs="宋体"/>
                <w:color w:val="000000" w:themeColor="text1"/>
                <w:highlight w:val="none"/>
                <w14:textFill>
                  <w14:solidFill>
                    <w14:schemeClr w14:val="tx1"/>
                  </w14:solidFill>
                </w14:textFill>
              </w:rPr>
              <w:t>电话</w:t>
            </w:r>
            <w:bookmarkEnd w:id="147"/>
            <w:bookmarkEnd w:id="148"/>
            <w:bookmarkEnd w:id="149"/>
            <w:bookmarkEnd w:id="150"/>
          </w:p>
        </w:tc>
        <w:tc>
          <w:tcPr>
            <w:tcW w:w="1147" w:type="dxa"/>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151" w:name="_Toc15849"/>
            <w:bookmarkStart w:id="152" w:name="_Toc1183"/>
            <w:bookmarkStart w:id="153" w:name="_Toc5056"/>
            <w:bookmarkStart w:id="154" w:name="_Toc13190"/>
            <w:r>
              <w:rPr>
                <w:rFonts w:hint="eastAsia" w:ascii="宋体" w:hAnsi="宋体" w:eastAsia="宋体" w:cs="宋体"/>
                <w:color w:val="000000" w:themeColor="text1"/>
                <w:highlight w:val="none"/>
                <w14:textFill>
                  <w14:solidFill>
                    <w14:schemeClr w14:val="tx1"/>
                  </w14:solidFill>
                </w14:textFill>
              </w:rPr>
              <w:t>成立时间</w:t>
            </w:r>
            <w:bookmarkEnd w:id="151"/>
            <w:bookmarkEnd w:id="152"/>
            <w:bookmarkEnd w:id="153"/>
            <w:bookmarkEnd w:id="154"/>
          </w:p>
        </w:tc>
        <w:tc>
          <w:tcPr>
            <w:tcW w:w="2331" w:type="dxa"/>
            <w:gridSpan w:val="2"/>
            <w:vAlign w:val="center"/>
          </w:tcPr>
          <w:p>
            <w:pPr>
              <w:rPr>
                <w:rFonts w:hint="eastAsia" w:ascii="宋体" w:hAnsi="宋体" w:eastAsia="宋体" w:cs="宋体"/>
                <w:color w:val="000000" w:themeColor="text1"/>
                <w:highlight w:val="none"/>
                <w14:textFill>
                  <w14:solidFill>
                    <w14:schemeClr w14:val="tx1"/>
                  </w14:solidFill>
                </w14:textFill>
              </w:rPr>
            </w:pPr>
          </w:p>
        </w:tc>
        <w:tc>
          <w:tcPr>
            <w:tcW w:w="4774" w:type="dxa"/>
            <w:gridSpan w:val="5"/>
            <w:vAlign w:val="center"/>
          </w:tcPr>
          <w:p>
            <w:pPr>
              <w:rPr>
                <w:rFonts w:hint="eastAsia" w:ascii="宋体" w:hAnsi="宋体" w:eastAsia="宋体" w:cs="宋体"/>
                <w:color w:val="000000" w:themeColor="text1"/>
                <w:highlight w:val="none"/>
                <w14:textFill>
                  <w14:solidFill>
                    <w14:schemeClr w14:val="tx1"/>
                  </w14:solidFill>
                </w14:textFill>
              </w:rPr>
            </w:pPr>
            <w:bookmarkStart w:id="155" w:name="_Toc9920"/>
            <w:bookmarkStart w:id="156" w:name="_Toc7458"/>
            <w:bookmarkStart w:id="157" w:name="_Toc5918"/>
            <w:bookmarkStart w:id="158" w:name="_Toc23476"/>
            <w:r>
              <w:rPr>
                <w:rFonts w:hint="eastAsia" w:ascii="宋体" w:hAnsi="宋体" w:eastAsia="宋体" w:cs="宋体"/>
                <w:color w:val="000000" w:themeColor="text1"/>
                <w:highlight w:val="none"/>
                <w14:textFill>
                  <w14:solidFill>
                    <w14:schemeClr w14:val="tx1"/>
                  </w14:solidFill>
                </w14:textFill>
              </w:rPr>
              <w:t>员工总人数：</w:t>
            </w:r>
            <w:bookmarkEnd w:id="155"/>
            <w:bookmarkEnd w:id="156"/>
            <w:bookmarkEnd w:id="157"/>
            <w:bookmarkEnd w:id="158"/>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159" w:name="_Toc24347"/>
            <w:bookmarkStart w:id="160" w:name="_Toc2495"/>
            <w:bookmarkStart w:id="161" w:name="_Toc13811"/>
            <w:bookmarkStart w:id="162" w:name="_Toc19832"/>
            <w:r>
              <w:rPr>
                <w:rFonts w:hint="eastAsia" w:ascii="宋体" w:hAnsi="宋体" w:eastAsia="宋体" w:cs="宋体"/>
                <w:color w:val="000000" w:themeColor="text1"/>
                <w:highlight w:val="none"/>
                <w14:textFill>
                  <w14:solidFill>
                    <w14:schemeClr w14:val="tx1"/>
                  </w14:solidFill>
                </w14:textFill>
              </w:rPr>
              <w:t>营业执照号</w:t>
            </w:r>
            <w:bookmarkEnd w:id="159"/>
            <w:bookmarkEnd w:id="160"/>
            <w:bookmarkEnd w:id="161"/>
            <w:bookmarkEnd w:id="162"/>
          </w:p>
        </w:tc>
        <w:tc>
          <w:tcPr>
            <w:tcW w:w="2331" w:type="dxa"/>
            <w:gridSpan w:val="2"/>
            <w:vAlign w:val="center"/>
          </w:tcPr>
          <w:p>
            <w:pPr>
              <w:rPr>
                <w:rFonts w:hint="eastAsia" w:ascii="宋体" w:hAnsi="宋体" w:eastAsia="宋体" w:cs="宋体"/>
                <w:color w:val="000000" w:themeColor="text1"/>
                <w:highlight w:val="none"/>
                <w14:textFill>
                  <w14:solidFill>
                    <w14:schemeClr w14:val="tx1"/>
                  </w14:solidFill>
                </w14:textFill>
              </w:rPr>
            </w:pPr>
          </w:p>
        </w:tc>
        <w:tc>
          <w:tcPr>
            <w:tcW w:w="1324" w:type="dxa"/>
            <w:vMerge w:val="restart"/>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其中</w:t>
            </w:r>
          </w:p>
        </w:tc>
        <w:tc>
          <w:tcPr>
            <w:tcW w:w="1569" w:type="dxa"/>
            <w:gridSpan w:val="2"/>
            <w:vAlign w:val="center"/>
          </w:tcPr>
          <w:p>
            <w:pPr>
              <w:rPr>
                <w:rFonts w:hint="eastAsia" w:ascii="宋体" w:hAnsi="宋体" w:eastAsia="宋体" w:cs="宋体"/>
                <w:color w:val="000000" w:themeColor="text1"/>
                <w:highlight w:val="none"/>
                <w14:textFill>
                  <w14:solidFill>
                    <w14:schemeClr w14:val="tx1"/>
                  </w14:solidFill>
                </w14:textFill>
              </w:rPr>
            </w:pPr>
            <w:bookmarkStart w:id="163" w:name="_Toc19894"/>
            <w:bookmarkStart w:id="164" w:name="_Toc13361"/>
            <w:bookmarkStart w:id="165" w:name="_Toc15246"/>
            <w:r>
              <w:rPr>
                <w:rFonts w:hint="eastAsia" w:ascii="宋体" w:hAnsi="宋体" w:eastAsia="宋体" w:cs="宋体"/>
                <w:color w:val="000000" w:themeColor="text1"/>
                <w:highlight w:val="none"/>
                <w14:textFill>
                  <w14:solidFill>
                    <w14:schemeClr w14:val="tx1"/>
                  </w14:solidFill>
                </w14:textFill>
              </w:rPr>
              <w:t>高级职称人员</w:t>
            </w:r>
            <w:bookmarkEnd w:id="163"/>
            <w:bookmarkEnd w:id="164"/>
            <w:bookmarkEnd w:id="165"/>
          </w:p>
        </w:tc>
        <w:tc>
          <w:tcPr>
            <w:tcW w:w="1881" w:type="dxa"/>
            <w:gridSpan w:val="2"/>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166" w:name="_Toc30242"/>
            <w:bookmarkStart w:id="167" w:name="_Toc20237"/>
            <w:bookmarkStart w:id="168" w:name="_Toc12522"/>
            <w:bookmarkStart w:id="169" w:name="_Toc3476"/>
            <w:r>
              <w:rPr>
                <w:rFonts w:hint="eastAsia" w:ascii="宋体" w:hAnsi="宋体" w:eastAsia="宋体" w:cs="宋体"/>
                <w:color w:val="000000" w:themeColor="text1"/>
                <w:highlight w:val="none"/>
                <w14:textFill>
                  <w14:solidFill>
                    <w14:schemeClr w14:val="tx1"/>
                  </w14:solidFill>
                </w14:textFill>
              </w:rPr>
              <w:t>注册资金</w:t>
            </w:r>
            <w:bookmarkEnd w:id="166"/>
            <w:bookmarkEnd w:id="167"/>
            <w:bookmarkEnd w:id="168"/>
            <w:bookmarkEnd w:id="169"/>
          </w:p>
        </w:tc>
        <w:tc>
          <w:tcPr>
            <w:tcW w:w="2331" w:type="dxa"/>
            <w:gridSpan w:val="2"/>
            <w:vAlign w:val="center"/>
          </w:tcPr>
          <w:p>
            <w:pPr>
              <w:rPr>
                <w:rFonts w:hint="eastAsia" w:ascii="宋体" w:hAnsi="宋体" w:eastAsia="宋体" w:cs="宋体"/>
                <w:color w:val="000000" w:themeColor="text1"/>
                <w:highlight w:val="none"/>
                <w14:textFill>
                  <w14:solidFill>
                    <w14:schemeClr w14:val="tx1"/>
                  </w14:solidFill>
                </w14:textFill>
              </w:rPr>
            </w:pPr>
          </w:p>
        </w:tc>
        <w:tc>
          <w:tcPr>
            <w:tcW w:w="1324" w:type="dxa"/>
            <w:vMerge w:val="continue"/>
            <w:vAlign w:val="center"/>
          </w:tcPr>
          <w:p>
            <w:pPr>
              <w:rPr>
                <w:rFonts w:hint="eastAsia" w:ascii="宋体" w:hAnsi="宋体" w:eastAsia="宋体" w:cs="宋体"/>
                <w:color w:val="000000" w:themeColor="text1"/>
                <w:highlight w:val="none"/>
                <w14:textFill>
                  <w14:solidFill>
                    <w14:schemeClr w14:val="tx1"/>
                  </w14:solidFill>
                </w14:textFill>
              </w:rPr>
            </w:pPr>
          </w:p>
        </w:tc>
        <w:tc>
          <w:tcPr>
            <w:tcW w:w="1569" w:type="dxa"/>
            <w:gridSpan w:val="2"/>
            <w:vAlign w:val="center"/>
          </w:tcPr>
          <w:p>
            <w:pPr>
              <w:rPr>
                <w:rFonts w:hint="eastAsia" w:ascii="宋体" w:hAnsi="宋体" w:eastAsia="宋体" w:cs="宋体"/>
                <w:color w:val="000000" w:themeColor="text1"/>
                <w:highlight w:val="none"/>
                <w14:textFill>
                  <w14:solidFill>
                    <w14:schemeClr w14:val="tx1"/>
                  </w14:solidFill>
                </w14:textFill>
              </w:rPr>
            </w:pPr>
            <w:bookmarkStart w:id="170" w:name="_Toc7916"/>
            <w:bookmarkStart w:id="171" w:name="_Toc1834"/>
            <w:bookmarkStart w:id="172" w:name="_Toc30244"/>
            <w:bookmarkStart w:id="173" w:name="_Toc16642"/>
            <w:r>
              <w:rPr>
                <w:rFonts w:hint="eastAsia" w:ascii="宋体" w:hAnsi="宋体" w:eastAsia="宋体" w:cs="宋体"/>
                <w:color w:val="000000" w:themeColor="text1"/>
                <w:highlight w:val="none"/>
                <w14:textFill>
                  <w14:solidFill>
                    <w14:schemeClr w14:val="tx1"/>
                  </w14:solidFill>
                </w14:textFill>
              </w:rPr>
              <w:t>中级职称人员</w:t>
            </w:r>
            <w:bookmarkEnd w:id="170"/>
            <w:bookmarkEnd w:id="171"/>
            <w:bookmarkEnd w:id="172"/>
            <w:bookmarkEnd w:id="173"/>
          </w:p>
        </w:tc>
        <w:tc>
          <w:tcPr>
            <w:tcW w:w="1881" w:type="dxa"/>
            <w:gridSpan w:val="2"/>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174" w:name="_Toc18512"/>
            <w:bookmarkStart w:id="175" w:name="_Toc21663"/>
            <w:bookmarkStart w:id="176" w:name="_Toc17149"/>
            <w:bookmarkStart w:id="177" w:name="_Toc24406"/>
            <w:r>
              <w:rPr>
                <w:rFonts w:hint="eastAsia" w:ascii="宋体" w:hAnsi="宋体" w:eastAsia="宋体" w:cs="宋体"/>
                <w:color w:val="000000" w:themeColor="text1"/>
                <w:highlight w:val="none"/>
                <w14:textFill>
                  <w14:solidFill>
                    <w14:schemeClr w14:val="tx1"/>
                  </w14:solidFill>
                </w14:textFill>
              </w:rPr>
              <w:t>开户银行</w:t>
            </w:r>
            <w:bookmarkEnd w:id="174"/>
            <w:bookmarkEnd w:id="175"/>
            <w:bookmarkEnd w:id="176"/>
            <w:bookmarkEnd w:id="177"/>
          </w:p>
        </w:tc>
        <w:tc>
          <w:tcPr>
            <w:tcW w:w="2331" w:type="dxa"/>
            <w:gridSpan w:val="2"/>
            <w:vAlign w:val="center"/>
          </w:tcPr>
          <w:p>
            <w:pPr>
              <w:rPr>
                <w:rFonts w:hint="eastAsia" w:ascii="宋体" w:hAnsi="宋体" w:eastAsia="宋体" w:cs="宋体"/>
                <w:color w:val="000000" w:themeColor="text1"/>
                <w:highlight w:val="none"/>
                <w14:textFill>
                  <w14:solidFill>
                    <w14:schemeClr w14:val="tx1"/>
                  </w14:solidFill>
                </w14:textFill>
              </w:rPr>
            </w:pPr>
          </w:p>
        </w:tc>
        <w:tc>
          <w:tcPr>
            <w:tcW w:w="1324" w:type="dxa"/>
            <w:vMerge w:val="continue"/>
            <w:vAlign w:val="center"/>
          </w:tcPr>
          <w:p>
            <w:pPr>
              <w:rPr>
                <w:rFonts w:hint="eastAsia" w:ascii="宋体" w:hAnsi="宋体" w:eastAsia="宋体" w:cs="宋体"/>
                <w:color w:val="000000" w:themeColor="text1"/>
                <w:highlight w:val="none"/>
                <w14:textFill>
                  <w14:solidFill>
                    <w14:schemeClr w14:val="tx1"/>
                  </w14:solidFill>
                </w14:textFill>
              </w:rPr>
            </w:pPr>
          </w:p>
        </w:tc>
        <w:tc>
          <w:tcPr>
            <w:tcW w:w="1569" w:type="dxa"/>
            <w:gridSpan w:val="2"/>
            <w:vAlign w:val="center"/>
          </w:tcPr>
          <w:p>
            <w:pPr>
              <w:rPr>
                <w:rFonts w:hint="eastAsia" w:ascii="宋体" w:hAnsi="宋体" w:eastAsia="宋体" w:cs="宋体"/>
                <w:color w:val="000000" w:themeColor="text1"/>
                <w:highlight w:val="none"/>
                <w14:textFill>
                  <w14:solidFill>
                    <w14:schemeClr w14:val="tx1"/>
                  </w14:solidFill>
                </w14:textFill>
              </w:rPr>
            </w:pPr>
            <w:bookmarkStart w:id="178" w:name="_Toc12330"/>
            <w:bookmarkStart w:id="179" w:name="_Toc15110"/>
            <w:bookmarkStart w:id="180" w:name="_Toc24761"/>
            <w:bookmarkStart w:id="181" w:name="_Toc23409"/>
            <w:r>
              <w:rPr>
                <w:rFonts w:hint="eastAsia" w:ascii="宋体" w:hAnsi="宋体" w:eastAsia="宋体" w:cs="宋体"/>
                <w:color w:val="000000" w:themeColor="text1"/>
                <w:highlight w:val="none"/>
                <w14:textFill>
                  <w14:solidFill>
                    <w14:schemeClr w14:val="tx1"/>
                  </w14:solidFill>
                </w14:textFill>
              </w:rPr>
              <w:t>初级职称人员</w:t>
            </w:r>
            <w:bookmarkEnd w:id="178"/>
            <w:bookmarkEnd w:id="179"/>
            <w:bookmarkEnd w:id="180"/>
            <w:bookmarkEnd w:id="181"/>
          </w:p>
        </w:tc>
        <w:tc>
          <w:tcPr>
            <w:tcW w:w="1881" w:type="dxa"/>
            <w:gridSpan w:val="2"/>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182" w:name="_Toc11996"/>
            <w:bookmarkStart w:id="183" w:name="_Toc7482"/>
            <w:bookmarkStart w:id="184" w:name="_Toc7855"/>
            <w:bookmarkStart w:id="185" w:name="_Toc19211"/>
            <w:r>
              <w:rPr>
                <w:rFonts w:hint="eastAsia" w:ascii="宋体" w:hAnsi="宋体" w:eastAsia="宋体" w:cs="宋体"/>
                <w:color w:val="000000" w:themeColor="text1"/>
                <w:highlight w:val="none"/>
                <w14:textFill>
                  <w14:solidFill>
                    <w14:schemeClr w14:val="tx1"/>
                  </w14:solidFill>
                </w14:textFill>
              </w:rPr>
              <w:t>账号</w:t>
            </w:r>
            <w:bookmarkEnd w:id="182"/>
            <w:bookmarkEnd w:id="183"/>
            <w:bookmarkEnd w:id="184"/>
            <w:bookmarkEnd w:id="185"/>
          </w:p>
        </w:tc>
        <w:tc>
          <w:tcPr>
            <w:tcW w:w="2331" w:type="dxa"/>
            <w:gridSpan w:val="2"/>
            <w:vAlign w:val="center"/>
          </w:tcPr>
          <w:p>
            <w:pPr>
              <w:rPr>
                <w:rFonts w:hint="eastAsia" w:ascii="宋体" w:hAnsi="宋体" w:eastAsia="宋体" w:cs="宋体"/>
                <w:color w:val="000000" w:themeColor="text1"/>
                <w:highlight w:val="none"/>
                <w14:textFill>
                  <w14:solidFill>
                    <w14:schemeClr w14:val="tx1"/>
                  </w14:solidFill>
                </w14:textFill>
              </w:rPr>
            </w:pPr>
          </w:p>
        </w:tc>
        <w:tc>
          <w:tcPr>
            <w:tcW w:w="1324" w:type="dxa"/>
            <w:vMerge w:val="continue"/>
            <w:vAlign w:val="center"/>
          </w:tcPr>
          <w:p>
            <w:pPr>
              <w:rPr>
                <w:rFonts w:hint="eastAsia" w:ascii="宋体" w:hAnsi="宋体" w:eastAsia="宋体" w:cs="宋体"/>
                <w:color w:val="000000" w:themeColor="text1"/>
                <w:highlight w:val="none"/>
                <w14:textFill>
                  <w14:solidFill>
                    <w14:schemeClr w14:val="tx1"/>
                  </w14:solidFill>
                </w14:textFill>
              </w:rPr>
            </w:pPr>
          </w:p>
        </w:tc>
        <w:tc>
          <w:tcPr>
            <w:tcW w:w="1569" w:type="dxa"/>
            <w:gridSpan w:val="2"/>
            <w:vAlign w:val="center"/>
          </w:tcPr>
          <w:p>
            <w:pPr>
              <w:rPr>
                <w:rFonts w:hint="eastAsia" w:ascii="宋体" w:hAnsi="宋体" w:eastAsia="宋体" w:cs="宋体"/>
                <w:color w:val="000000" w:themeColor="text1"/>
                <w:highlight w:val="none"/>
                <w14:textFill>
                  <w14:solidFill>
                    <w14:schemeClr w14:val="tx1"/>
                  </w14:solidFill>
                </w14:textFill>
              </w:rPr>
            </w:pPr>
            <w:bookmarkStart w:id="186" w:name="_Toc23890"/>
            <w:bookmarkStart w:id="187" w:name="_Toc10662"/>
            <w:bookmarkStart w:id="188" w:name="_Toc7296"/>
            <w:r>
              <w:rPr>
                <w:rFonts w:hint="eastAsia" w:ascii="宋体" w:hAnsi="宋体" w:eastAsia="宋体" w:cs="宋体"/>
                <w:color w:val="000000" w:themeColor="text1"/>
                <w:highlight w:val="none"/>
                <w14:textFill>
                  <w14:solidFill>
                    <w14:schemeClr w14:val="tx1"/>
                  </w14:solidFill>
                </w14:textFill>
              </w:rPr>
              <w:t>技工</w:t>
            </w:r>
            <w:bookmarkEnd w:id="186"/>
            <w:bookmarkEnd w:id="187"/>
            <w:bookmarkEnd w:id="188"/>
          </w:p>
        </w:tc>
        <w:tc>
          <w:tcPr>
            <w:tcW w:w="1881" w:type="dxa"/>
            <w:gridSpan w:val="2"/>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rFonts w:hint="eastAsia" w:ascii="宋体" w:hAnsi="宋体" w:eastAsia="宋体" w:cs="宋体"/>
                <w:color w:val="000000" w:themeColor="text1"/>
                <w:highlight w:val="none"/>
                <w14:textFill>
                  <w14:solidFill>
                    <w14:schemeClr w14:val="tx1"/>
                  </w14:solidFill>
                </w14:textFill>
              </w:rPr>
            </w:pPr>
            <w:bookmarkStart w:id="189" w:name="_Toc516"/>
            <w:bookmarkStart w:id="190" w:name="_Toc19840"/>
            <w:bookmarkStart w:id="191" w:name="_Toc30075"/>
            <w:bookmarkStart w:id="192" w:name="_Toc2745"/>
            <w:r>
              <w:rPr>
                <w:rFonts w:hint="eastAsia" w:ascii="宋体" w:hAnsi="宋体" w:eastAsia="宋体" w:cs="宋体"/>
                <w:color w:val="000000" w:themeColor="text1"/>
                <w:highlight w:val="none"/>
                <w14:textFill>
                  <w14:solidFill>
                    <w14:schemeClr w14:val="tx1"/>
                  </w14:solidFill>
                </w14:textFill>
              </w:rPr>
              <w:t>经营范围</w:t>
            </w:r>
            <w:bookmarkEnd w:id="189"/>
            <w:bookmarkEnd w:id="190"/>
            <w:bookmarkEnd w:id="191"/>
            <w:bookmarkEnd w:id="192"/>
          </w:p>
        </w:tc>
        <w:tc>
          <w:tcPr>
            <w:tcW w:w="7105" w:type="dxa"/>
            <w:gridSpan w:val="7"/>
            <w:vAlign w:val="center"/>
          </w:tcPr>
          <w:p>
            <w:pP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rFonts w:hint="eastAsia" w:ascii="宋体" w:hAnsi="宋体" w:eastAsia="宋体" w:cs="宋体"/>
                <w:color w:val="000000" w:themeColor="text1"/>
                <w:highlight w:val="none"/>
                <w14:textFill>
                  <w14:solidFill>
                    <w14:schemeClr w14:val="tx1"/>
                  </w14:solidFill>
                </w14:textFill>
              </w:rPr>
            </w:pPr>
            <w:bookmarkStart w:id="193" w:name="_Toc19290"/>
            <w:bookmarkStart w:id="194" w:name="_Toc22690"/>
            <w:bookmarkStart w:id="195" w:name="_Toc12320"/>
            <w:bookmarkStart w:id="196" w:name="_Toc26754"/>
            <w:r>
              <w:rPr>
                <w:rFonts w:hint="eastAsia" w:ascii="宋体" w:hAnsi="宋体" w:eastAsia="宋体" w:cs="宋体"/>
                <w:color w:val="000000" w:themeColor="text1"/>
                <w:highlight w:val="none"/>
                <w14:textFill>
                  <w14:solidFill>
                    <w14:schemeClr w14:val="tx1"/>
                  </w14:solidFill>
                </w14:textFill>
              </w:rPr>
              <w:t>备注</w:t>
            </w:r>
            <w:bookmarkEnd w:id="193"/>
            <w:bookmarkEnd w:id="194"/>
            <w:bookmarkEnd w:id="195"/>
            <w:bookmarkEnd w:id="196"/>
          </w:p>
        </w:tc>
        <w:tc>
          <w:tcPr>
            <w:tcW w:w="7105" w:type="dxa"/>
            <w:gridSpan w:val="7"/>
          </w:tcPr>
          <w:p>
            <w:pPr>
              <w:rPr>
                <w:rFonts w:hint="eastAsia" w:ascii="宋体" w:hAnsi="宋体" w:eastAsia="宋体" w:cs="宋体"/>
                <w:color w:val="000000" w:themeColor="text1"/>
                <w:highlight w:val="none"/>
                <w14:textFill>
                  <w14:solidFill>
                    <w14:schemeClr w14:val="tx1"/>
                  </w14:solidFill>
                </w14:textFill>
              </w:rPr>
            </w:pPr>
          </w:p>
        </w:tc>
      </w:tr>
    </w:tbl>
    <w:p>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2-2供应商营业执照等资质证明材料</w:t>
      </w:r>
    </w:p>
    <w:p>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pPr>
        <w:rPr>
          <w:rFonts w:hint="eastAsia" w:ascii="宋体" w:hAnsi="宋体" w:eastAsia="宋体" w:cs="宋体"/>
          <w:color w:val="000000" w:themeColor="text1"/>
          <w:sz w:val="32"/>
          <w:szCs w:val="36"/>
          <w:highlight w:val="none"/>
          <w14:textFill>
            <w14:solidFill>
              <w14:schemeClr w14:val="tx1"/>
            </w14:solidFill>
          </w14:textFill>
        </w:rPr>
      </w:pPr>
      <w:r>
        <w:rPr>
          <w:rFonts w:hint="eastAsia" w:ascii="宋体" w:hAnsi="宋体" w:eastAsia="宋体" w:cs="宋体"/>
          <w:color w:val="000000" w:themeColor="text1"/>
          <w:sz w:val="32"/>
          <w:szCs w:val="36"/>
          <w:highlight w:val="none"/>
          <w14:textFill>
            <w14:solidFill>
              <w14:schemeClr w14:val="tx1"/>
            </w14:solidFill>
          </w14:textFill>
        </w:rPr>
        <w:t>3、法定代表人证明书及法定代表人授权书</w:t>
      </w:r>
    </w:p>
    <w:p>
      <w:pPr>
        <w:rPr>
          <w:rFonts w:hint="eastAsia" w:ascii="宋体" w:hAnsi="宋体" w:eastAsia="宋体" w:cs="宋体"/>
          <w:color w:val="000000" w:themeColor="text1"/>
          <w:sz w:val="28"/>
          <w:szCs w:val="32"/>
          <w:highlight w:val="none"/>
          <w14:textFill>
            <w14:solidFill>
              <w14:schemeClr w14:val="tx1"/>
            </w14:solidFill>
          </w14:textFill>
        </w:rPr>
      </w:pPr>
      <w:r>
        <w:rPr>
          <w:rFonts w:hint="eastAsia" w:ascii="宋体" w:hAnsi="宋体" w:eastAsia="宋体" w:cs="宋体"/>
          <w:color w:val="000000" w:themeColor="text1"/>
          <w:sz w:val="28"/>
          <w:szCs w:val="32"/>
          <w:highlight w:val="none"/>
          <w14:textFill>
            <w14:solidFill>
              <w14:schemeClr w14:val="tx1"/>
            </w14:solidFill>
          </w14:textFill>
        </w:rPr>
        <w:t>3-1法定代表人证明书</w:t>
      </w:r>
    </w:p>
    <w:tbl>
      <w:tblPr>
        <w:tblStyle w:val="2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企</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人</w:t>
            </w:r>
          </w:p>
        </w:tc>
        <w:tc>
          <w:tcPr>
            <w:tcW w:w="2160" w:type="dxa"/>
            <w:vAlign w:val="center"/>
          </w:tcPr>
          <w:p>
            <w:pPr>
              <w:tabs>
                <w:tab w:val="left" w:pos="210"/>
              </w:tabs>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企业名称</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60" w:type="dxa"/>
            <w:vAlign w:val="center"/>
          </w:tcPr>
          <w:p>
            <w:pPr>
              <w:tabs>
                <w:tab w:val="left" w:pos="210"/>
              </w:tabs>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法定地址</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60" w:type="dxa"/>
            <w:vAlign w:val="center"/>
          </w:tcPr>
          <w:p>
            <w:pPr>
              <w:tabs>
                <w:tab w:val="left" w:pos="210"/>
              </w:tabs>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注册资金</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60" w:type="dxa"/>
            <w:vAlign w:val="center"/>
          </w:tcPr>
          <w:p>
            <w:pPr>
              <w:tabs>
                <w:tab w:val="left" w:pos="210"/>
              </w:tabs>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工商登记机关</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60" w:type="dxa"/>
            <w:vAlign w:val="center"/>
          </w:tcPr>
          <w:p>
            <w:pPr>
              <w:tabs>
                <w:tab w:val="left" w:pos="210"/>
              </w:tabs>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统一社会信用代码</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定</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代</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表</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人</w:t>
            </w:r>
          </w:p>
        </w:tc>
        <w:tc>
          <w:tcPr>
            <w:tcW w:w="2160" w:type="dxa"/>
            <w:vAlign w:val="center"/>
          </w:tcPr>
          <w:p>
            <w:pPr>
              <w:tabs>
                <w:tab w:val="left" w:pos="210"/>
              </w:tabs>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姓名</w:t>
            </w:r>
          </w:p>
        </w:tc>
        <w:tc>
          <w:tcPr>
            <w:tcW w:w="2340" w:type="dxa"/>
            <w:gridSpan w:val="2"/>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2156" w:type="dxa"/>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性别</w:t>
            </w:r>
          </w:p>
        </w:tc>
        <w:tc>
          <w:tcPr>
            <w:tcW w:w="1688" w:type="dxa"/>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60" w:type="dxa"/>
            <w:vAlign w:val="center"/>
          </w:tcPr>
          <w:p>
            <w:pPr>
              <w:tabs>
                <w:tab w:val="left" w:pos="210"/>
              </w:tabs>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职务</w:t>
            </w:r>
          </w:p>
        </w:tc>
        <w:tc>
          <w:tcPr>
            <w:tcW w:w="2340" w:type="dxa"/>
            <w:gridSpan w:val="2"/>
            <w:vAlign w:val="center"/>
          </w:tcPr>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2156" w:type="dxa"/>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w:t>
            </w:r>
          </w:p>
        </w:tc>
        <w:tc>
          <w:tcPr>
            <w:tcW w:w="1688" w:type="dxa"/>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60" w:type="dxa"/>
            <w:vAlign w:val="center"/>
          </w:tcPr>
          <w:p>
            <w:pPr>
              <w:tabs>
                <w:tab w:val="left" w:pos="210"/>
              </w:tabs>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传真</w:t>
            </w:r>
          </w:p>
        </w:tc>
        <w:tc>
          <w:tcPr>
            <w:tcW w:w="6184" w:type="dxa"/>
            <w:gridSpan w:val="4"/>
            <w:vAlign w:val="center"/>
          </w:tcPr>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定</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代</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表</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人</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身</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份</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证</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复</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印</w:t>
            </w:r>
          </w:p>
          <w:p>
            <w:pPr>
              <w:tabs>
                <w:tab w:val="left" w:pos="210"/>
              </w:tabs>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件</w:t>
            </w:r>
          </w:p>
        </w:tc>
        <w:tc>
          <w:tcPr>
            <w:tcW w:w="4316" w:type="dxa"/>
            <w:gridSpan w:val="2"/>
            <w:vMerge w:val="restart"/>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（正反面）</w:t>
            </w:r>
          </w:p>
        </w:tc>
        <w:tc>
          <w:tcPr>
            <w:tcW w:w="4028" w:type="dxa"/>
            <w:gridSpan w:val="3"/>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4316" w:type="dxa"/>
            <w:gridSpan w:val="2"/>
            <w:vMerge w:val="continue"/>
            <w:vAlign w:val="center"/>
          </w:tcPr>
          <w:p>
            <w:pPr>
              <w:tabs>
                <w:tab w:val="left" w:pos="210"/>
              </w:tabs>
              <w:spacing w:line="360" w:lineRule="auto"/>
              <w:ind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4028" w:type="dxa"/>
            <w:gridSpan w:val="3"/>
            <w:vAlign w:val="bottom"/>
          </w:tcPr>
          <w:p>
            <w:pPr>
              <w:tabs>
                <w:tab w:val="left" w:pos="210"/>
              </w:tabs>
              <w:spacing w:line="360" w:lineRule="auto"/>
              <w:ind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公章）</w:t>
            </w:r>
          </w:p>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p>
            <w:pPr>
              <w:tabs>
                <w:tab w:val="left" w:pos="210"/>
              </w:tabs>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p>
            <w:pPr>
              <w:adjustRightInd w:val="0"/>
              <w:snapToGrid w:val="0"/>
              <w:spacing w:line="480" w:lineRule="auto"/>
              <w:ind w:firstLine="480" w:firstLineChars="200"/>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tc>
      </w:tr>
    </w:tbl>
    <w:p>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pPr>
        <w:pageBreakBefore/>
        <w:tabs>
          <w:tab w:val="left" w:pos="210"/>
        </w:tabs>
        <w:spacing w:line="320" w:lineRule="exac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3-2法定代表人授权书</w:t>
      </w:r>
    </w:p>
    <w:p>
      <w:pPr>
        <w:pStyle w:val="13"/>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法定代表人授权书</w:t>
      </w:r>
    </w:p>
    <w:p>
      <w:pPr>
        <w:pStyle w:val="13"/>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陕西万泽招标有限公司：</w:t>
      </w:r>
    </w:p>
    <w:p>
      <w:pPr>
        <w:tabs>
          <w:tab w:val="left" w:pos="8820"/>
        </w:tabs>
        <w:spacing w:line="360" w:lineRule="auto"/>
        <w:ind w:firstLine="57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本授权委托书声明：我</w:t>
      </w:r>
      <w:r>
        <w:rPr>
          <w:rFonts w:hint="eastAsia" w:ascii="宋体" w:hAnsi="宋体" w:eastAsia="宋体" w:cs="宋体"/>
          <w:color w:val="000000" w:themeColor="text1"/>
          <w:sz w:val="24"/>
          <w:highlight w:val="none"/>
          <w:u w:val="single"/>
          <w14:textFill>
            <w14:solidFill>
              <w14:schemeClr w14:val="tx1"/>
            </w14:solidFill>
          </w14:textFill>
        </w:rPr>
        <w:t xml:space="preserve">（法定代表人姓名）   </w:t>
      </w:r>
      <w:r>
        <w:rPr>
          <w:rFonts w:hint="eastAsia" w:ascii="宋体" w:hAnsi="宋体" w:eastAsia="宋体" w:cs="宋体"/>
          <w:color w:val="000000" w:themeColor="text1"/>
          <w:sz w:val="24"/>
          <w:highlight w:val="none"/>
          <w14:textFill>
            <w14:solidFill>
              <w14:schemeClr w14:val="tx1"/>
            </w14:solidFill>
          </w14:textFill>
        </w:rPr>
        <w:t>系注册于</w:t>
      </w:r>
      <w:r>
        <w:rPr>
          <w:rFonts w:hint="eastAsia" w:ascii="宋体" w:hAnsi="宋体" w:eastAsia="宋体" w:cs="宋体"/>
          <w:color w:val="000000" w:themeColor="text1"/>
          <w:sz w:val="24"/>
          <w:highlight w:val="none"/>
          <w:u w:val="single"/>
          <w14:textFill>
            <w14:solidFill>
              <w14:schemeClr w14:val="tx1"/>
            </w14:solidFill>
          </w14:textFill>
        </w:rPr>
        <w:t xml:space="preserve">  （供应商地址）     </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u w:val="single"/>
          <w14:textFill>
            <w14:solidFill>
              <w14:schemeClr w14:val="tx1"/>
            </w14:solidFill>
          </w14:textFill>
        </w:rPr>
        <w:t xml:space="preserve">（供应商名称）  </w:t>
      </w:r>
      <w:r>
        <w:rPr>
          <w:rFonts w:hint="eastAsia" w:ascii="宋体" w:hAnsi="宋体" w:eastAsia="宋体" w:cs="宋体"/>
          <w:color w:val="000000" w:themeColor="text1"/>
          <w:sz w:val="24"/>
          <w:highlight w:val="none"/>
          <w14:textFill>
            <w14:solidFill>
              <w14:schemeClr w14:val="tx1"/>
            </w14:solidFill>
          </w14:textFill>
        </w:rPr>
        <w:t>的法定代表人，现代表公司授权下面签字的</w:t>
      </w:r>
      <w:r>
        <w:rPr>
          <w:rFonts w:hint="eastAsia" w:ascii="宋体" w:hAnsi="宋体" w:eastAsia="宋体" w:cs="宋体"/>
          <w:color w:val="000000" w:themeColor="text1"/>
          <w:sz w:val="24"/>
          <w:highlight w:val="none"/>
          <w:u w:val="single"/>
          <w14:textFill>
            <w14:solidFill>
              <w14:schemeClr w14:val="tx1"/>
            </w14:solidFill>
          </w14:textFill>
        </w:rPr>
        <w:t xml:space="preserve">（被授权人的姓名、职务）   </w:t>
      </w:r>
      <w:r>
        <w:rPr>
          <w:rFonts w:hint="eastAsia" w:ascii="宋体" w:hAnsi="宋体" w:eastAsia="宋体" w:cs="宋体"/>
          <w:color w:val="000000" w:themeColor="text1"/>
          <w:sz w:val="24"/>
          <w:highlight w:val="none"/>
          <w14:textFill>
            <w14:solidFill>
              <w14:schemeClr w14:val="tx1"/>
            </w14:solidFill>
          </w14:textFill>
        </w:rPr>
        <w:t>为我公司合法代理人，代表本公司参加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（项目名称）</w:t>
      </w:r>
      <w:r>
        <w:rPr>
          <w:rFonts w:hint="eastAsia" w:ascii="宋体" w:hAnsi="宋体" w:eastAsia="宋体" w:cs="宋体"/>
          <w:color w:val="000000" w:themeColor="text1"/>
          <w:sz w:val="24"/>
          <w:highlight w:val="none"/>
          <w14:textFill>
            <w14:solidFill>
              <w14:schemeClr w14:val="tx1"/>
            </w14:solidFill>
          </w14:textFill>
        </w:rPr>
        <w:t>采购项目编号</w:t>
      </w:r>
      <w:r>
        <w:rPr>
          <w:rFonts w:hint="eastAsia" w:ascii="宋体" w:hAnsi="宋体" w:eastAsia="宋体" w:cs="宋体"/>
          <w:color w:val="000000" w:themeColor="text1"/>
          <w:sz w:val="24"/>
          <w:highlight w:val="none"/>
          <w:u w:val="single"/>
          <w14:textFill>
            <w14:solidFill>
              <w14:schemeClr w14:val="tx1"/>
            </w14:solidFill>
          </w14:textFill>
        </w:rPr>
        <w:t>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采购活动。以我方名义全权处理该项目有关投标、签订合同以及执行合同等一切事宜。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本授权书有效期自</w:t>
      </w:r>
      <w:r>
        <w:rPr>
          <w:rFonts w:hint="eastAsia" w:ascii="宋体" w:hAnsi="宋体" w:eastAsia="宋体" w:cs="宋体"/>
          <w:color w:val="000000" w:themeColor="text1"/>
          <w:sz w:val="24"/>
          <w:highlight w:val="none"/>
          <w:lang w:val="en-US" w:eastAsia="zh-CN"/>
          <w14:textFill>
            <w14:solidFill>
              <w14:schemeClr w14:val="tx1"/>
            </w14:solidFill>
          </w14:textFill>
        </w:rPr>
        <w:t>谈判响应</w:t>
      </w:r>
      <w:r>
        <w:rPr>
          <w:rFonts w:hint="eastAsia" w:ascii="宋体" w:hAnsi="宋体" w:eastAsia="宋体" w:cs="宋体"/>
          <w:color w:val="000000" w:themeColor="text1"/>
          <w:sz w:val="24"/>
          <w:highlight w:val="none"/>
          <w14:textFill>
            <w14:solidFill>
              <w14:schemeClr w14:val="tx1"/>
            </w14:solidFill>
          </w14:textFill>
        </w:rPr>
        <w:t>文件递交截止之日</w:t>
      </w:r>
      <w:r>
        <w:rPr>
          <w:rFonts w:hint="eastAsia" w:ascii="宋体" w:hAnsi="宋体" w:eastAsia="宋体" w:cs="宋体"/>
          <w:color w:val="000000" w:themeColor="text1"/>
          <w:sz w:val="24"/>
          <w:highlight w:val="none"/>
          <w:u w:val="single"/>
          <w14:textFill>
            <w14:solidFill>
              <w14:schemeClr w14:val="tx1"/>
            </w14:solidFill>
          </w14:textFill>
        </w:rPr>
        <w:t xml:space="preserve">起 </w:t>
      </w:r>
      <w:r>
        <w:rPr>
          <w:rFonts w:hint="eastAsia" w:ascii="宋体" w:hAnsi="宋体" w:eastAsia="宋体" w:cs="宋体"/>
          <w:color w:val="000000" w:themeColor="text1"/>
          <w:sz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highlight w:val="none"/>
          <w:u w:val="single"/>
          <w14:textFill>
            <w14:solidFill>
              <w14:schemeClr w14:val="tx1"/>
            </w14:solidFill>
          </w14:textFill>
        </w:rPr>
        <w:t xml:space="preserve"> 日历</w:t>
      </w:r>
      <w:r>
        <w:rPr>
          <w:rFonts w:hint="eastAsia" w:ascii="宋体" w:hAnsi="宋体" w:eastAsia="宋体" w:cs="宋体"/>
          <w:color w:val="000000" w:themeColor="text1"/>
          <w:sz w:val="24"/>
          <w:highlight w:val="none"/>
          <w:u w:val="single"/>
          <w:lang w:val="en-US" w:eastAsia="zh-CN"/>
          <w14:textFill>
            <w14:solidFill>
              <w14:schemeClr w14:val="tx1"/>
            </w14:solidFill>
          </w14:textFill>
        </w:rPr>
        <w:t>日</w:t>
      </w:r>
      <w:r>
        <w:rPr>
          <w:rFonts w:hint="eastAsia" w:ascii="宋体" w:hAnsi="宋体" w:eastAsia="宋体" w:cs="宋体"/>
          <w:color w:val="000000" w:themeColor="text1"/>
          <w:sz w:val="24"/>
          <w:highlight w:val="none"/>
          <w14:textFill>
            <w14:solidFill>
              <w14:schemeClr w14:val="tx1"/>
            </w14:solidFill>
          </w14:textFill>
        </w:rPr>
        <w:t>，特此声明。</w:t>
      </w:r>
    </w:p>
    <w:p>
      <w:pPr>
        <w:pStyle w:val="13"/>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供应商（单位名称及公章）</w:t>
      </w:r>
      <w:r>
        <w:rPr>
          <w:rFonts w:hint="eastAsia" w:ascii="宋体" w:hAnsi="宋体" w:eastAsia="宋体" w:cs="宋体"/>
          <w:color w:val="000000" w:themeColor="text1"/>
          <w:sz w:val="24"/>
          <w:szCs w:val="24"/>
          <w:highlight w:val="none"/>
          <w:u w:val="single"/>
          <w14:textFill>
            <w14:solidFill>
              <w14:schemeClr w14:val="tx1"/>
            </w14:solidFill>
          </w14:textFill>
        </w:rPr>
        <w:t>：</w:t>
      </w:r>
    </w:p>
    <w:p>
      <w:pPr>
        <w:pStyle w:val="13"/>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r>
        <w:rPr>
          <w:rFonts w:hint="eastAsia" w:ascii="宋体" w:hAnsi="宋体" w:eastAsia="宋体" w:cs="宋体"/>
          <w:color w:val="000000" w:themeColor="text1"/>
          <w:sz w:val="24"/>
          <w:szCs w:val="24"/>
          <w:highlight w:val="none"/>
          <w:u w:val="single"/>
          <w14:textFill>
            <w14:solidFill>
              <w14:schemeClr w14:val="tx1"/>
            </w14:solidFill>
          </w14:textFill>
        </w:rPr>
        <w:t>：</w:t>
      </w:r>
    </w:p>
    <w:p>
      <w:pPr>
        <w:pStyle w:val="13"/>
        <w:spacing w:line="50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性别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w:t>
      </w:r>
      <w:r>
        <w:rPr>
          <w:rFonts w:hint="eastAsia" w:ascii="宋体" w:hAnsi="宋体" w:eastAsia="宋体" w:cs="宋体"/>
          <w:color w:val="000000" w:themeColor="text1"/>
          <w:sz w:val="24"/>
          <w:szCs w:val="24"/>
          <w:highlight w:val="none"/>
          <w:u w:val="single"/>
          <w14:textFill>
            <w14:solidFill>
              <w14:schemeClr w14:val="tx1"/>
            </w14:solidFill>
          </w14:textFill>
        </w:rPr>
        <w:t>：</w:t>
      </w:r>
    </w:p>
    <w:p>
      <w:pPr>
        <w:pStyle w:val="13"/>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被授权人身份证号码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3"/>
        <w:spacing w:line="50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3"/>
        <w:spacing w:line="50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3"/>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法定代表人及被授权人身份证复印件</w:t>
      </w:r>
    </w:p>
    <w:tbl>
      <w:tblPr>
        <w:tblStyle w:val="24"/>
        <w:tblW w:w="80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2" w:hRule="atLeast"/>
        </w:trPr>
        <w:tc>
          <w:tcPr>
            <w:tcW w:w="4063" w:type="dxa"/>
            <w:shd w:val="clear" w:color="auto" w:fill="D9D9D9"/>
            <w:vAlign w:val="center"/>
          </w:tcPr>
          <w:p>
            <w:pPr>
              <w:pStyle w:val="13"/>
              <w:spacing w:line="500" w:lineRule="exact"/>
              <w:jc w:val="left"/>
              <w:rPr>
                <w:rFonts w:hint="eastAsia" w:ascii="宋体" w:hAnsi="宋体" w:eastAsia="宋体" w:cs="宋体"/>
                <w:color w:val="000000" w:themeColor="text1"/>
                <w:sz w:val="24"/>
                <w:szCs w:val="24"/>
                <w:highlight w:val="none"/>
                <w:shd w:val="pct10" w:color="auto" w:fill="FFFFFF"/>
                <w14:textFill>
                  <w14:solidFill>
                    <w14:schemeClr w14:val="tx1"/>
                  </w14:solidFill>
                </w14:textFill>
              </w:rPr>
            </w:pPr>
            <w:r>
              <w:rPr>
                <w:rFonts w:hint="eastAsia" w:ascii="宋体" w:hAnsi="宋体" w:eastAsia="宋体" w:cs="宋体"/>
                <w:color w:val="000000" w:themeColor="text1"/>
                <w:sz w:val="24"/>
                <w:szCs w:val="24"/>
                <w:highlight w:val="none"/>
                <w:shd w:val="pct10" w:color="auto" w:fill="FFFFFF"/>
                <w14:textFill>
                  <w14:solidFill>
                    <w14:schemeClr w14:val="tx1"/>
                  </w14:solidFill>
                </w14:textFill>
              </w:rPr>
              <w:t>法定代表人身份证复印件（正/反面）</w:t>
            </w:r>
          </w:p>
        </w:tc>
        <w:tc>
          <w:tcPr>
            <w:tcW w:w="3937" w:type="dxa"/>
            <w:shd w:val="clear" w:color="auto" w:fill="D9D9D9"/>
            <w:vAlign w:val="center"/>
          </w:tcPr>
          <w:p>
            <w:pPr>
              <w:pStyle w:val="13"/>
              <w:spacing w:line="500" w:lineRule="exact"/>
              <w:jc w:val="left"/>
              <w:rPr>
                <w:rFonts w:hint="eastAsia" w:ascii="宋体" w:hAnsi="宋体" w:eastAsia="宋体" w:cs="宋体"/>
                <w:color w:val="000000" w:themeColor="text1"/>
                <w:sz w:val="24"/>
                <w:szCs w:val="24"/>
                <w:highlight w:val="none"/>
                <w:shd w:val="pct10" w:color="auto" w:fill="FFFFFF"/>
                <w14:textFill>
                  <w14:solidFill>
                    <w14:schemeClr w14:val="tx1"/>
                  </w14:solidFill>
                </w14:textFill>
              </w:rPr>
            </w:pPr>
            <w:r>
              <w:rPr>
                <w:rFonts w:hint="eastAsia" w:ascii="宋体" w:hAnsi="宋体" w:eastAsia="宋体" w:cs="宋体"/>
                <w:color w:val="000000" w:themeColor="text1"/>
                <w:sz w:val="24"/>
                <w:szCs w:val="24"/>
                <w:highlight w:val="none"/>
                <w:shd w:val="pct10" w:color="auto" w:fill="FFFFFF"/>
                <w14:textFill>
                  <w14:solidFill>
                    <w14:schemeClr w14:val="tx1"/>
                  </w14:solidFill>
                </w14:textFill>
              </w:rPr>
              <w:t>被授权人身份证复印件（正/反面）</w:t>
            </w:r>
          </w:p>
        </w:tc>
      </w:tr>
    </w:tbl>
    <w:p>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pPr>
        <w:jc w:val="both"/>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4、</w:t>
      </w:r>
      <w:r>
        <w:rPr>
          <w:rFonts w:hint="eastAsia" w:ascii="宋体" w:hAnsi="宋体" w:eastAsia="宋体" w:cs="宋体"/>
          <w:color w:val="000000" w:themeColor="text1"/>
          <w:sz w:val="24"/>
          <w:szCs w:val="28"/>
          <w:highlight w:val="none"/>
          <w14:textFill>
            <w14:solidFill>
              <w14:schemeClr w14:val="tx1"/>
            </w14:solidFill>
          </w14:textFill>
        </w:rPr>
        <w:t>无重大违法记录声明</w:t>
      </w:r>
    </w:p>
    <w:p>
      <w:pPr>
        <w:widowControl/>
        <w:snapToGrid w:val="0"/>
        <w:spacing w:line="48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pPr>
        <w:widowControl/>
        <w:snapToGrid w:val="0"/>
        <w:spacing w:line="48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我单位参与</w:t>
      </w:r>
      <w:r>
        <w:rPr>
          <w:rFonts w:hint="eastAsia" w:ascii="宋体" w:hAnsi="宋体" w:eastAsia="宋体" w:cs="宋体"/>
          <w:color w:val="000000" w:themeColor="text1"/>
          <w:kern w:val="0"/>
          <w:sz w:val="24"/>
          <w:highlight w:val="none"/>
          <w:u w:val="single"/>
          <w14:textFill>
            <w14:solidFill>
              <w14:schemeClr w14:val="tx1"/>
            </w14:solidFill>
          </w14:textFill>
        </w:rPr>
        <w:t xml:space="preserve">陕西万泽招标有限公司 </w:t>
      </w:r>
      <w:r>
        <w:rPr>
          <w:rFonts w:hint="eastAsia" w:ascii="宋体" w:hAnsi="宋体" w:eastAsia="宋体" w:cs="宋体"/>
          <w:color w:val="000000" w:themeColor="text1"/>
          <w:kern w:val="0"/>
          <w:sz w:val="24"/>
          <w:highlight w:val="none"/>
          <w14:textFill>
            <w14:solidFill>
              <w14:schemeClr w14:val="tx1"/>
            </w14:solidFill>
          </w14:textFill>
        </w:rPr>
        <w:t>组织的</w:t>
      </w:r>
      <w:r>
        <w:rPr>
          <w:rFonts w:hint="eastAsia" w:ascii="宋体" w:hAnsi="宋体" w:eastAsia="宋体" w:cs="宋体"/>
          <w:color w:val="000000" w:themeColor="text1"/>
          <w:kern w:val="0"/>
          <w:sz w:val="24"/>
          <w:highlight w:val="none"/>
          <w:u w:val="single"/>
          <w14:textFill>
            <w14:solidFill>
              <w14:schemeClr w14:val="tx1"/>
            </w14:solidFill>
          </w14:textFill>
        </w:rPr>
        <w:t xml:space="preserve">             （项目名称）              </w:t>
      </w:r>
      <w:r>
        <w:rPr>
          <w:rFonts w:hint="eastAsia" w:ascii="宋体" w:hAnsi="宋体" w:eastAsia="宋体" w:cs="宋体"/>
          <w:color w:val="000000" w:themeColor="text1"/>
          <w:kern w:val="0"/>
          <w:sz w:val="24"/>
          <w:highlight w:val="none"/>
          <w14:textFill>
            <w14:solidFill>
              <w14:schemeClr w14:val="tx1"/>
            </w14:solidFill>
          </w14:textFill>
        </w:rPr>
        <w:t>竞争性</w:t>
      </w:r>
      <w:r>
        <w:rPr>
          <w:rFonts w:hint="eastAsia" w:ascii="宋体" w:hAnsi="宋体" w:eastAsia="宋体" w:cs="宋体"/>
          <w:color w:val="000000" w:themeColor="text1"/>
          <w:kern w:val="0"/>
          <w:sz w:val="24"/>
          <w:highlight w:val="none"/>
          <w:lang w:eastAsia="zh-CN"/>
          <w14:textFill>
            <w14:solidFill>
              <w14:schemeClr w14:val="tx1"/>
            </w14:solidFill>
          </w14:textFill>
        </w:rPr>
        <w:t>谈判</w:t>
      </w:r>
      <w:r>
        <w:rPr>
          <w:rFonts w:hint="eastAsia" w:ascii="宋体" w:hAnsi="宋体" w:eastAsia="宋体" w:cs="宋体"/>
          <w:color w:val="000000" w:themeColor="text1"/>
          <w:kern w:val="0"/>
          <w:sz w:val="24"/>
          <w:highlight w:val="none"/>
          <w14:textFill>
            <w14:solidFill>
              <w14:schemeClr w14:val="tx1"/>
            </w14:solidFill>
          </w14:textFill>
        </w:rPr>
        <w:t>，我单位郑重声明：我方参加本项目</w:t>
      </w:r>
      <w:r>
        <w:rPr>
          <w:rFonts w:hint="eastAsia" w:ascii="宋体" w:hAnsi="宋体" w:eastAsia="宋体" w:cs="宋体"/>
          <w:color w:val="000000" w:themeColor="text1"/>
          <w:kern w:val="0"/>
          <w:sz w:val="24"/>
          <w:highlight w:val="none"/>
          <w:lang w:val="en-US" w:eastAsia="zh-CN"/>
          <w14:textFill>
            <w14:solidFill>
              <w14:schemeClr w14:val="tx1"/>
            </w14:solidFill>
          </w14:textFill>
        </w:rPr>
        <w:t>谈判</w:t>
      </w:r>
      <w:r>
        <w:rPr>
          <w:rFonts w:hint="eastAsia" w:ascii="宋体" w:hAnsi="宋体" w:eastAsia="宋体" w:cs="宋体"/>
          <w:color w:val="000000" w:themeColor="text1"/>
          <w:kern w:val="0"/>
          <w:sz w:val="24"/>
          <w:highlight w:val="none"/>
          <w14:textFill>
            <w14:solidFill>
              <w14:schemeClr w14:val="tx1"/>
            </w14:solidFill>
          </w14:textFill>
        </w:rPr>
        <w:t>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特此声明。</w:t>
      </w:r>
    </w:p>
    <w:p>
      <w:pPr>
        <w:widowControl/>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pPr>
        <w:pStyle w:val="13"/>
        <w:spacing w:line="480" w:lineRule="auto"/>
        <w:jc w:val="left"/>
        <w:rPr>
          <w:rFonts w:hint="eastAsia" w:ascii="宋体" w:hAnsi="宋体" w:eastAsia="宋体" w:cs="宋体"/>
          <w:color w:val="000000" w:themeColor="text1"/>
          <w:kern w:val="0"/>
          <w:sz w:val="24"/>
          <w:highlight w:val="none"/>
          <w:lang w:eastAsia="zh-CN"/>
          <w14:textFill>
            <w14:solidFill>
              <w14:schemeClr w14:val="tx1"/>
            </w14:solidFill>
          </w14:textFill>
        </w:rPr>
      </w:pPr>
    </w:p>
    <w:p>
      <w:pPr>
        <w:pStyle w:val="13"/>
        <w:spacing w:line="480" w:lineRule="auto"/>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（单位名称及公章）：</w:t>
      </w:r>
    </w:p>
    <w:p>
      <w:pPr>
        <w:pStyle w:val="13"/>
        <w:spacing w:line="480" w:lineRule="auto"/>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w:t>
      </w:r>
      <w:r>
        <w:rPr>
          <w:rFonts w:hint="eastAsia" w:ascii="宋体" w:hAnsi="宋体" w:eastAsia="宋体" w:cs="宋体"/>
          <w:color w:val="000000" w:themeColor="text1"/>
          <w:kern w:val="0"/>
          <w:sz w:val="24"/>
          <w:highlight w:val="none"/>
          <w:lang w:val="en-US" w:eastAsia="zh-CN"/>
          <w14:textFill>
            <w14:solidFill>
              <w14:schemeClr w14:val="tx1"/>
            </w14:solidFill>
          </w14:textFill>
        </w:rPr>
        <w:t>或</w:t>
      </w:r>
      <w:r>
        <w:rPr>
          <w:rFonts w:hint="eastAsia" w:ascii="宋体" w:hAnsi="宋体" w:eastAsia="宋体" w:cs="宋体"/>
          <w:color w:val="000000" w:themeColor="text1"/>
          <w:kern w:val="0"/>
          <w:sz w:val="24"/>
          <w:highlight w:val="none"/>
          <w14:textFill>
            <w14:solidFill>
              <w14:schemeClr w14:val="tx1"/>
            </w14:solidFill>
          </w14:textFill>
        </w:rPr>
        <w:t>被授权人（签字或盖章）：</w:t>
      </w:r>
    </w:p>
    <w:p>
      <w:pPr>
        <w:rPr>
          <w:rFonts w:hint="eastAsia" w:ascii="宋体" w:hAnsi="宋体" w:eastAsia="宋体" w:cs="宋体"/>
          <w:color w:val="000000" w:themeColor="text1"/>
          <w:kern w:val="0"/>
          <w:sz w:val="24"/>
          <w:highlight w:val="none"/>
          <w:u w:val="singl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    期</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pPr>
        <w:ind w:firstLine="480" w:firstLineChars="200"/>
        <w:rPr>
          <w:rFonts w:ascii="宋体" w:hAnsi="宋体" w:cs="宋体"/>
          <w:bCs/>
          <w:kern w:val="0"/>
          <w:sz w:val="24"/>
          <w:szCs w:val="24"/>
        </w:rPr>
      </w:pPr>
      <w:r>
        <w:rPr>
          <w:rFonts w:hint="eastAsia" w:ascii="宋体" w:hAnsi="宋体" w:cs="宋体"/>
          <w:bCs/>
          <w:kern w:val="0"/>
          <w:sz w:val="24"/>
          <w:szCs w:val="24"/>
        </w:rPr>
        <w:t>5、社会保障资金缴纳证明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6、税收缴纳证明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7、财务状况证明</w:t>
      </w:r>
    </w:p>
    <w:p>
      <w:pPr>
        <w:snapToGrid w:val="0"/>
        <w:spacing w:line="360" w:lineRule="auto"/>
        <w:ind w:firstLine="480" w:firstLineChars="200"/>
        <w:jc w:val="left"/>
        <w:rPr>
          <w:rFonts w:hint="eastAsia" w:ascii="宋体" w:hAnsi="宋体" w:eastAsia="宋体" w:cs="宋体"/>
          <w:bCs/>
          <w:kern w:val="0"/>
          <w:szCs w:val="24"/>
          <w:highlight w:val="yellow"/>
          <w:lang w:val="en-US" w:eastAsia="zh-CN"/>
        </w:rPr>
      </w:pPr>
      <w:r>
        <w:rPr>
          <w:rFonts w:hint="eastAsia" w:ascii="宋体" w:hAnsi="宋体" w:cs="宋体"/>
          <w:sz w:val="24"/>
          <w:szCs w:val="28"/>
        </w:rPr>
        <w:t>8、</w:t>
      </w:r>
      <w:r>
        <w:rPr>
          <w:rFonts w:hint="eastAsia" w:ascii="宋体" w:hAnsi="宋体" w:eastAsia="宋体" w:cs="宋体"/>
          <w:kern w:val="0"/>
          <w:sz w:val="24"/>
          <w:highlight w:val="none"/>
        </w:rPr>
        <w:t>供应商为经销商应出具医疗器械经营许可证（提供的设备须在其经营范围内）和所投设备的医疗器械注册证</w:t>
      </w:r>
      <w:r>
        <w:rPr>
          <w:rFonts w:hint="eastAsia" w:ascii="宋体" w:hAnsi="宋体" w:cs="宋体"/>
          <w:kern w:val="0"/>
          <w:sz w:val="24"/>
          <w:highlight w:val="none"/>
          <w:lang w:val="en-US" w:eastAsia="zh-CN"/>
        </w:rPr>
        <w:t>复印件加盖公章</w:t>
      </w: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制造厂家直接参与投标的</w:t>
      </w:r>
      <w:r>
        <w:rPr>
          <w:rFonts w:hint="eastAsia" w:ascii="宋体" w:hAnsi="宋体" w:eastAsia="宋体" w:cs="宋体"/>
          <w:kern w:val="0"/>
          <w:sz w:val="24"/>
          <w:highlight w:val="none"/>
        </w:rPr>
        <w:t>应出具医疗器械生产许可证（提供的设备须在其生产范围内）和所投设备医疗器械注册证</w:t>
      </w:r>
      <w:r>
        <w:rPr>
          <w:rFonts w:hint="eastAsia" w:ascii="宋体" w:hAnsi="宋体" w:cs="宋体"/>
          <w:kern w:val="0"/>
          <w:sz w:val="24"/>
          <w:highlight w:val="none"/>
          <w:lang w:val="en-US" w:eastAsia="zh-CN"/>
        </w:rPr>
        <w:t>复印件加盖公章</w:t>
      </w:r>
      <w:r>
        <w:rPr>
          <w:rFonts w:hint="eastAsia" w:ascii="宋体" w:hAnsi="宋体" w:eastAsia="宋体" w:cs="宋体"/>
          <w:kern w:val="0"/>
          <w:sz w:val="24"/>
          <w:highlight w:val="none"/>
        </w:rPr>
        <w:t>；</w:t>
      </w:r>
    </w:p>
    <w:p>
      <w:pPr>
        <w:snapToGrid w:val="0"/>
        <w:spacing w:line="360" w:lineRule="auto"/>
        <w:ind w:firstLine="480" w:firstLineChars="200"/>
        <w:jc w:val="left"/>
        <w:rPr>
          <w:rFonts w:ascii="宋体" w:hAnsi="宋体" w:cs="宋体"/>
          <w:sz w:val="24"/>
          <w:szCs w:val="28"/>
        </w:rPr>
      </w:pPr>
      <w:r>
        <w:rPr>
          <w:rFonts w:hint="eastAsia" w:ascii="宋体" w:hAnsi="宋体" w:eastAsia="宋体" w:cs="宋体"/>
          <w:bCs/>
          <w:kern w:val="0"/>
          <w:szCs w:val="24"/>
          <w:highlight w:val="none"/>
          <w:lang w:val="en-US" w:eastAsia="zh-CN"/>
        </w:rPr>
        <w:t>9、</w:t>
      </w:r>
      <w:r>
        <w:rPr>
          <w:rFonts w:hint="eastAsia" w:ascii="宋体" w:hAnsi="宋体" w:eastAsia="宋体" w:cs="宋体"/>
          <w:bCs/>
          <w:kern w:val="0"/>
          <w:szCs w:val="24"/>
          <w:highlight w:val="none"/>
        </w:rPr>
        <w:t>本项目不接受联合</w:t>
      </w:r>
      <w:r>
        <w:rPr>
          <w:rFonts w:hint="eastAsia" w:ascii="宋体" w:hAnsi="宋体" w:eastAsia="宋体" w:cs="宋体"/>
          <w:bCs/>
          <w:szCs w:val="24"/>
          <w:highlight w:val="none"/>
        </w:rPr>
        <w:t>体</w:t>
      </w:r>
      <w:r>
        <w:rPr>
          <w:rFonts w:hint="eastAsia" w:ascii="宋体" w:hAnsi="宋体" w:eastAsia="宋体" w:cs="宋体"/>
          <w:bCs/>
          <w:szCs w:val="24"/>
          <w:highlight w:val="none"/>
          <w:lang w:eastAsia="zh-CN"/>
        </w:rPr>
        <w:t>参与</w:t>
      </w:r>
    </w:p>
    <w:p>
      <w:pPr>
        <w:ind w:firstLine="480" w:firstLineChars="200"/>
        <w:rPr>
          <w:rFonts w:hint="eastAsia" w:ascii="宋体" w:hAnsi="宋体" w:eastAsia="宋体" w:cs="宋体"/>
          <w:highlight w:val="none"/>
          <w:lang w:val="en-US" w:eastAsia="zh-CN"/>
        </w:rPr>
      </w:pPr>
      <w:r>
        <w:rPr>
          <w:rFonts w:hint="eastAsia" w:ascii="宋体" w:hAnsi="宋体" w:cs="宋体"/>
          <w:sz w:val="24"/>
          <w:szCs w:val="28"/>
          <w:lang w:val="en-US" w:eastAsia="zh-CN"/>
        </w:rPr>
        <w:t>10</w:t>
      </w:r>
      <w:r>
        <w:rPr>
          <w:rFonts w:hint="eastAsia" w:ascii="宋体" w:hAnsi="宋体" w:cs="宋体"/>
          <w:sz w:val="24"/>
          <w:szCs w:val="28"/>
        </w:rPr>
        <w:t>、供应商认为应该提交的其他证明材料；</w:t>
      </w:r>
      <w:r>
        <w:rPr>
          <w:rFonts w:hint="eastAsia" w:ascii="宋体" w:hAnsi="宋体" w:eastAsia="宋体" w:cs="宋体"/>
          <w:highlight w:val="none"/>
          <w:lang w:val="en-US" w:eastAsia="zh-CN"/>
        </w:rPr>
        <w:br w:type="page"/>
      </w:r>
    </w:p>
    <w:p>
      <w:pPr>
        <w:pStyle w:val="4"/>
        <w:rPr>
          <w:rFonts w:hint="eastAsia" w:ascii="宋体" w:hAnsi="宋体" w:eastAsia="宋体" w:cs="宋体"/>
          <w:highlight w:val="none"/>
        </w:rPr>
      </w:pPr>
      <w:bookmarkStart w:id="197" w:name="_Toc479"/>
      <w:r>
        <w:rPr>
          <w:rFonts w:hint="eastAsia" w:ascii="宋体" w:hAnsi="宋体" w:eastAsia="宋体" w:cs="宋体"/>
          <w:highlight w:val="none"/>
          <w:lang w:val="en-US" w:eastAsia="zh-CN"/>
        </w:rPr>
        <w:t xml:space="preserve">第六章 </w:t>
      </w:r>
      <w:r>
        <w:rPr>
          <w:rFonts w:hint="eastAsia" w:ascii="宋体" w:hAnsi="宋体" w:eastAsia="宋体" w:cs="宋体"/>
          <w:color w:val="000000" w:themeColor="text1"/>
          <w:highlight w:val="none"/>
          <w14:textFill>
            <w14:solidFill>
              <w14:schemeClr w14:val="tx1"/>
            </w14:solidFill>
          </w14:textFill>
        </w:rPr>
        <w:t>商务和技术响应偏离表</w:t>
      </w:r>
      <w:bookmarkEnd w:id="197"/>
    </w:p>
    <w:p>
      <w:pPr>
        <w:kinsoku w:val="0"/>
        <w:spacing w:line="480" w:lineRule="auto"/>
        <w:ind w:left="1232" w:hanging="1232" w:hangingChars="44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表1、商务响应偏差表</w:t>
      </w:r>
    </w:p>
    <w:tbl>
      <w:tblPr>
        <w:tblStyle w:val="24"/>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13"/>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614" w:type="dxa"/>
            <w:vAlign w:val="center"/>
          </w:tcPr>
          <w:p>
            <w:pPr>
              <w:pStyle w:val="13"/>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商务条款</w:t>
            </w:r>
          </w:p>
        </w:tc>
        <w:tc>
          <w:tcPr>
            <w:tcW w:w="1680" w:type="dxa"/>
            <w:vAlign w:val="center"/>
          </w:tcPr>
          <w:p>
            <w:pPr>
              <w:pStyle w:val="13"/>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商务要求内容</w:t>
            </w:r>
          </w:p>
        </w:tc>
        <w:tc>
          <w:tcPr>
            <w:tcW w:w="2448" w:type="dxa"/>
            <w:vAlign w:val="center"/>
          </w:tcPr>
          <w:p>
            <w:pPr>
              <w:pStyle w:val="13"/>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w:t>
            </w:r>
          </w:p>
          <w:p>
            <w:pPr>
              <w:pStyle w:val="13"/>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响应商务内容</w:t>
            </w:r>
          </w:p>
        </w:tc>
        <w:tc>
          <w:tcPr>
            <w:tcW w:w="2042" w:type="dxa"/>
            <w:vAlign w:val="center"/>
          </w:tcPr>
          <w:p>
            <w:pPr>
              <w:pStyle w:val="13"/>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1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vAlign w:val="center"/>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8" w:type="dxa"/>
            <w:vAlign w:val="center"/>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042" w:type="dxa"/>
            <w:vAlign w:val="center"/>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1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042"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1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042"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1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042"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1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042"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1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042"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1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042"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bl>
    <w:p>
      <w:pPr>
        <w:pStyle w:val="7"/>
        <w:ind w:firstLine="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填写说明：</w:t>
      </w:r>
      <w:r>
        <w:rPr>
          <w:rFonts w:hint="eastAsia" w:ascii="宋体" w:hAnsi="宋体" w:eastAsia="宋体" w:cs="宋体"/>
          <w:color w:val="000000" w:themeColor="text1"/>
          <w:sz w:val="28"/>
          <w:szCs w:val="28"/>
          <w:highlight w:val="none"/>
          <w14:textFill>
            <w14:solidFill>
              <w14:schemeClr w14:val="tx1"/>
            </w14:solidFill>
          </w14:textFill>
        </w:rPr>
        <w:t>请逐条对应</w:t>
      </w:r>
      <w:r>
        <w:rPr>
          <w:rFonts w:hint="eastAsia" w:ascii="宋体" w:hAnsi="宋体" w:eastAsia="宋体" w:cs="宋体"/>
          <w:color w:val="000000" w:themeColor="text1"/>
          <w:sz w:val="28"/>
          <w:szCs w:val="28"/>
          <w:highlight w:val="none"/>
          <w:lang w:eastAsia="zh-CN"/>
          <w14:textFill>
            <w14:solidFill>
              <w14:schemeClr w14:val="tx1"/>
            </w14:solidFill>
          </w14:textFill>
        </w:rPr>
        <w:t>采购</w:t>
      </w:r>
      <w:r>
        <w:rPr>
          <w:rFonts w:hint="eastAsia" w:ascii="宋体" w:hAnsi="宋体" w:eastAsia="宋体" w:cs="宋体"/>
          <w:color w:val="000000" w:themeColor="text1"/>
          <w:sz w:val="28"/>
          <w:szCs w:val="28"/>
          <w:highlight w:val="none"/>
          <w14:textFill>
            <w14:solidFill>
              <w14:schemeClr w14:val="tx1"/>
            </w14:solidFill>
          </w14:textFill>
        </w:rPr>
        <w:t>文件</w:t>
      </w:r>
      <w:r>
        <w:rPr>
          <w:rFonts w:hint="eastAsia" w:ascii="宋体" w:hAnsi="宋体" w:eastAsia="宋体" w:cs="宋体"/>
          <w:color w:val="000000" w:themeColor="text1"/>
          <w:sz w:val="28"/>
          <w:szCs w:val="28"/>
          <w:highlight w:val="none"/>
          <w:lang w:eastAsia="zh-CN"/>
          <w14:textFill>
            <w14:solidFill>
              <w14:schemeClr w14:val="tx1"/>
            </w14:solidFill>
          </w14:textFill>
        </w:rPr>
        <w:t>第五章中</w:t>
      </w:r>
      <w:r>
        <w:rPr>
          <w:rFonts w:hint="eastAsia" w:ascii="宋体" w:hAnsi="宋体" w:eastAsia="宋体" w:cs="宋体"/>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lang w:eastAsia="zh-CN"/>
          <w14:textFill>
            <w14:solidFill>
              <w14:schemeClr w14:val="tx1"/>
            </w14:solidFill>
          </w14:textFill>
        </w:rPr>
        <w:t>一、商务条款</w:t>
      </w:r>
      <w:r>
        <w:rPr>
          <w:rFonts w:hint="eastAsia" w:ascii="宋体" w:hAnsi="宋体" w:eastAsia="宋体" w:cs="宋体"/>
          <w:color w:val="000000" w:themeColor="text1"/>
          <w:sz w:val="28"/>
          <w:szCs w:val="28"/>
          <w:highlight w:val="none"/>
          <w14:textFill>
            <w14:solidFill>
              <w14:schemeClr w14:val="tx1"/>
            </w14:solidFill>
          </w14:textFill>
        </w:rPr>
        <w:t>”中的</w:t>
      </w:r>
      <w:r>
        <w:rPr>
          <w:rFonts w:hint="eastAsia" w:ascii="宋体" w:hAnsi="宋体" w:eastAsia="宋体" w:cs="宋体"/>
          <w:color w:val="000000" w:themeColor="text1"/>
          <w:sz w:val="28"/>
          <w:szCs w:val="28"/>
          <w:highlight w:val="none"/>
          <w:lang w:val="en-US" w:eastAsia="zh-CN"/>
          <w14:textFill>
            <w14:solidFill>
              <w14:schemeClr w14:val="tx1"/>
            </w14:solidFill>
          </w14:textFill>
        </w:rPr>
        <w:t>商务要求</w:t>
      </w:r>
      <w:r>
        <w:rPr>
          <w:rFonts w:hint="eastAsia" w:ascii="宋体" w:hAnsi="宋体" w:eastAsia="宋体" w:cs="宋体"/>
          <w:color w:val="000000" w:themeColor="text1"/>
          <w:sz w:val="28"/>
          <w:szCs w:val="28"/>
          <w:highlight w:val="none"/>
          <w14:textFill>
            <w14:solidFill>
              <w14:schemeClr w14:val="tx1"/>
            </w14:solidFill>
          </w14:textFill>
        </w:rPr>
        <w:t>认真填写本表。</w:t>
      </w:r>
    </w:p>
    <w:p>
      <w:pPr>
        <w:pStyle w:val="7"/>
        <w:ind w:firstLine="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偏差说明填写：正偏离（标明正偏离内容）、符合。</w:t>
      </w:r>
    </w:p>
    <w:p>
      <w:pPr>
        <w:pStyle w:val="7"/>
        <w:ind w:firstLine="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商务条款不允许负偏离；</w:t>
      </w:r>
    </w:p>
    <w:p>
      <w:pPr>
        <w:adjustRightInd w:val="0"/>
        <w:snapToGrid w:val="0"/>
        <w:spacing w:line="48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p>
    <w:p>
      <w:pPr>
        <w:adjustRightInd w:val="0"/>
        <w:snapToGrid w:val="0"/>
        <w:spacing w:line="480" w:lineRule="auto"/>
        <w:jc w:val="lef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（单位名称及公章）：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eastAsia="宋体" w:cs="宋体"/>
          <w:color w:val="000000" w:themeColor="text1"/>
          <w:sz w:val="28"/>
          <w:szCs w:val="28"/>
          <w:highlight w:val="none"/>
          <w:lang w:val="en-US" w:eastAsia="zh-CN"/>
          <w14:textFill>
            <w14:solidFill>
              <w14:schemeClr w14:val="tx1"/>
            </w14:solidFill>
          </w14:textFill>
        </w:rPr>
        <w:t>或</w:t>
      </w:r>
      <w:r>
        <w:rPr>
          <w:rFonts w:hint="eastAsia" w:ascii="宋体" w:hAnsi="宋体" w:eastAsia="宋体" w:cs="宋体"/>
          <w:color w:val="000000" w:themeColor="text1"/>
          <w:sz w:val="28"/>
          <w:szCs w:val="28"/>
          <w:highlight w:val="none"/>
          <w14:textFill>
            <w14:solidFill>
              <w14:schemeClr w14:val="tx1"/>
            </w14:solidFill>
          </w14:textFill>
        </w:rPr>
        <w:t>被授权人（签字或盖章）：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sectPr>
          <w:pgSz w:w="11906" w:h="16838"/>
          <w:pgMar w:top="1440" w:right="1519" w:bottom="1440" w:left="1519" w:header="851" w:footer="992" w:gutter="0"/>
          <w:pgNumType w:fmt="decimal"/>
          <w:cols w:space="0" w:num="1"/>
          <w:rtlGutter w:val="0"/>
          <w:docGrid w:type="lines" w:linePitch="319" w:charSpace="0"/>
        </w:sect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p>
    <w:p>
      <w:pPr>
        <w:pStyle w:val="23"/>
        <w:ind w:firstLine="28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表2、技术响应偏差表</w:t>
      </w:r>
    </w:p>
    <w:tbl>
      <w:tblPr>
        <w:tblStyle w:val="24"/>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64"/>
        <w:gridCol w:w="2443"/>
        <w:gridCol w:w="1621"/>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pPr>
              <w:pStyle w:val="13"/>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864" w:type="dxa"/>
            <w:vAlign w:val="center"/>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文件要求</w:t>
            </w:r>
          </w:p>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2443" w:type="dxa"/>
            <w:vAlign w:val="center"/>
          </w:tcPr>
          <w:p>
            <w:pPr>
              <w:pStyle w:val="13"/>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w:t>
            </w:r>
          </w:p>
          <w:p>
            <w:pPr>
              <w:pStyle w:val="13"/>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w:t>
            </w:r>
          </w:p>
        </w:tc>
        <w:tc>
          <w:tcPr>
            <w:tcW w:w="1621" w:type="dxa"/>
            <w:vAlign w:val="center"/>
          </w:tcPr>
          <w:p>
            <w:pPr>
              <w:pStyle w:val="13"/>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偏差说明</w:t>
            </w:r>
          </w:p>
        </w:tc>
        <w:tc>
          <w:tcPr>
            <w:tcW w:w="1246" w:type="dxa"/>
            <w:vAlign w:val="center"/>
          </w:tcPr>
          <w:p>
            <w:pPr>
              <w:pStyle w:val="13"/>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vAlign w:val="center"/>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vAlign w:val="center"/>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vAlign w:val="center"/>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vAlign w:val="center"/>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pPr>
              <w:pStyle w:val="13"/>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bl>
    <w:p>
      <w:pPr>
        <w:pStyle w:val="13"/>
        <w:ind w:firstLine="562"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填写说明：</w:t>
      </w:r>
      <w:r>
        <w:rPr>
          <w:rFonts w:hint="eastAsia" w:ascii="宋体" w:hAnsi="宋体" w:eastAsia="宋体" w:cs="宋体"/>
          <w:color w:val="000000" w:themeColor="text1"/>
          <w:sz w:val="28"/>
          <w:szCs w:val="28"/>
          <w:highlight w:val="none"/>
          <w14:textFill>
            <w14:solidFill>
              <w14:schemeClr w14:val="tx1"/>
            </w14:solidFill>
          </w14:textFill>
        </w:rPr>
        <w:t>请逐条对应</w:t>
      </w:r>
      <w:r>
        <w:rPr>
          <w:rFonts w:hint="eastAsia" w:ascii="宋体" w:hAnsi="宋体" w:eastAsia="宋体" w:cs="宋体"/>
          <w:color w:val="000000" w:themeColor="text1"/>
          <w:sz w:val="28"/>
          <w:szCs w:val="28"/>
          <w:highlight w:val="none"/>
          <w:lang w:eastAsia="zh-CN"/>
          <w14:textFill>
            <w14:solidFill>
              <w14:schemeClr w14:val="tx1"/>
            </w14:solidFill>
          </w14:textFill>
        </w:rPr>
        <w:t>采购</w:t>
      </w:r>
      <w:r>
        <w:rPr>
          <w:rFonts w:hint="eastAsia" w:ascii="宋体" w:hAnsi="宋体" w:eastAsia="宋体" w:cs="宋体"/>
          <w:color w:val="000000" w:themeColor="text1"/>
          <w:sz w:val="28"/>
          <w:szCs w:val="28"/>
          <w:highlight w:val="none"/>
          <w14:textFill>
            <w14:solidFill>
              <w14:schemeClr w14:val="tx1"/>
            </w14:solidFill>
          </w14:textFill>
        </w:rPr>
        <w:t>文件</w:t>
      </w:r>
      <w:r>
        <w:rPr>
          <w:rFonts w:hint="eastAsia" w:ascii="宋体" w:hAnsi="宋体" w:eastAsia="宋体" w:cs="宋体"/>
          <w:color w:val="000000" w:themeColor="text1"/>
          <w:sz w:val="28"/>
          <w:szCs w:val="28"/>
          <w:highlight w:val="none"/>
          <w:lang w:eastAsia="zh-CN"/>
          <w14:textFill>
            <w14:solidFill>
              <w14:schemeClr w14:val="tx1"/>
            </w14:solidFill>
          </w14:textFill>
        </w:rPr>
        <w:t>第五章中</w:t>
      </w:r>
      <w:r>
        <w:rPr>
          <w:rFonts w:hint="eastAsia" w:ascii="宋体" w:hAnsi="宋体" w:eastAsia="宋体" w:cs="宋体"/>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lang w:eastAsia="zh-CN"/>
          <w14:textFill>
            <w14:solidFill>
              <w14:schemeClr w14:val="tx1"/>
            </w14:solidFill>
          </w14:textFill>
        </w:rPr>
        <w:t>二、</w:t>
      </w:r>
      <w:r>
        <w:rPr>
          <w:rFonts w:hint="eastAsia" w:ascii="宋体" w:hAnsi="宋体" w:eastAsia="宋体" w:cs="宋体"/>
          <w:color w:val="000000" w:themeColor="text1"/>
          <w:sz w:val="28"/>
          <w:szCs w:val="28"/>
          <w:highlight w:val="none"/>
          <w14:textFill>
            <w14:solidFill>
              <w14:schemeClr w14:val="tx1"/>
            </w14:solidFill>
          </w14:textFill>
        </w:rPr>
        <w:t>采购要求”中的</w:t>
      </w:r>
      <w:r>
        <w:rPr>
          <w:rFonts w:hint="eastAsia" w:ascii="宋体" w:hAnsi="宋体" w:eastAsia="宋体" w:cs="宋体"/>
          <w:color w:val="000000" w:themeColor="text1"/>
          <w:sz w:val="28"/>
          <w:szCs w:val="28"/>
          <w:highlight w:val="none"/>
          <w:lang w:val="en-US" w:eastAsia="zh-CN"/>
          <w14:textFill>
            <w14:solidFill>
              <w14:schemeClr w14:val="tx1"/>
            </w14:solidFill>
          </w14:textFill>
        </w:rPr>
        <w:t>技术</w:t>
      </w:r>
      <w:r>
        <w:rPr>
          <w:rFonts w:hint="eastAsia" w:ascii="宋体" w:hAnsi="宋体" w:eastAsia="宋体" w:cs="宋体"/>
          <w:color w:val="000000" w:themeColor="text1"/>
          <w:sz w:val="28"/>
          <w:szCs w:val="28"/>
          <w:highlight w:val="none"/>
          <w14:textFill>
            <w14:solidFill>
              <w14:schemeClr w14:val="tx1"/>
            </w14:solidFill>
          </w14:textFill>
        </w:rPr>
        <w:t>要求认真填写本表。偏差说明填写：正偏离（标明正偏离内容及正偏离的证明材料的页码）、符合（标明主要技术参数证明材料页码）或负偏离。</w:t>
      </w:r>
    </w:p>
    <w:p>
      <w:pPr>
        <w:adjustRightInd w:val="0"/>
        <w:snapToGrid w:val="0"/>
        <w:spacing w:line="480" w:lineRule="auto"/>
        <w:jc w:val="left"/>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jc w:val="lef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eastAsia="宋体" w:cs="宋体"/>
          <w:color w:val="000000" w:themeColor="text1"/>
          <w:sz w:val="28"/>
          <w:szCs w:val="28"/>
          <w:highlight w:val="none"/>
          <w:lang w:val="en-US" w:eastAsia="zh-CN"/>
          <w14:textFill>
            <w14:solidFill>
              <w14:schemeClr w14:val="tx1"/>
            </w14:solidFill>
          </w14:textFill>
        </w:rPr>
        <w:t>或</w:t>
      </w:r>
      <w:r>
        <w:rPr>
          <w:rFonts w:hint="eastAsia" w:ascii="宋体" w:hAnsi="宋体" w:eastAsia="宋体" w:cs="宋体"/>
          <w:color w:val="000000" w:themeColor="text1"/>
          <w:sz w:val="28"/>
          <w:szCs w:val="28"/>
          <w:highlight w:val="none"/>
          <w14:textFill>
            <w14:solidFill>
              <w14:schemeClr w14:val="tx1"/>
            </w14:solidFill>
          </w14:textFill>
        </w:rPr>
        <w:t>被授权人（签字或盖章）：</w:t>
      </w:r>
    </w:p>
    <w:p>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p>
    <w:p>
      <w:pPr>
        <w:adjustRightInd w:val="0"/>
        <w:snapToGrid w:val="0"/>
        <w:spacing w:line="480" w:lineRule="auto"/>
        <w:rPr>
          <w:rFonts w:hint="eastAsia" w:ascii="宋体" w:hAnsi="宋体" w:eastAsia="宋体" w:cs="宋体"/>
          <w:sz w:val="28"/>
          <w:szCs w:val="28"/>
          <w:highlight w:val="none"/>
        </w:rPr>
        <w:sectPr>
          <w:pgSz w:w="11906" w:h="16838"/>
          <w:pgMar w:top="1440" w:right="1803" w:bottom="1440" w:left="1803" w:header="851" w:footer="992" w:gutter="0"/>
          <w:pgNumType w:fmt="decimal"/>
          <w:cols w:space="720" w:num="1"/>
          <w:docGrid w:type="lines" w:linePitch="319" w:charSpace="0"/>
        </w:sectPr>
      </w:pPr>
    </w:p>
    <w:p>
      <w:pPr>
        <w:pStyle w:val="4"/>
        <w:spacing w:beforeLines="100" w:afterLines="150" w:line="500" w:lineRule="exact"/>
        <w:jc w:val="center"/>
        <w:rPr>
          <w:rFonts w:hint="eastAsia" w:ascii="宋体" w:hAnsi="宋体" w:eastAsia="宋体" w:cs="宋体"/>
          <w:color w:val="000000" w:themeColor="text1"/>
          <w:sz w:val="36"/>
          <w:szCs w:val="36"/>
          <w:highlight w:val="none"/>
          <w14:textFill>
            <w14:solidFill>
              <w14:schemeClr w14:val="tx1"/>
            </w14:solidFill>
          </w14:textFill>
        </w:rPr>
      </w:pPr>
      <w:bookmarkStart w:id="198" w:name="_Toc18357"/>
      <w:bookmarkStart w:id="199" w:name="_Toc8786"/>
      <w:bookmarkStart w:id="200" w:name="_Toc31024"/>
      <w:bookmarkStart w:id="201" w:name="_Toc31479"/>
      <w:bookmarkStart w:id="202" w:name="_Toc20759"/>
      <w:bookmarkStart w:id="203" w:name="_Toc12194"/>
      <w:bookmarkStart w:id="204" w:name="_Toc28174"/>
      <w:bookmarkStart w:id="205" w:name="_Toc15679"/>
      <w:r>
        <w:rPr>
          <w:rFonts w:hint="eastAsia" w:ascii="宋体" w:hAnsi="宋体" w:eastAsia="宋体" w:cs="宋体"/>
          <w:color w:val="000000" w:themeColor="text1"/>
          <w:sz w:val="36"/>
          <w:szCs w:val="36"/>
          <w:highlight w:val="none"/>
          <w14:textFill>
            <w14:solidFill>
              <w14:schemeClr w14:val="tx1"/>
            </w14:solidFill>
          </w14:textFill>
        </w:rPr>
        <w:t>第</w:t>
      </w:r>
      <w:r>
        <w:rPr>
          <w:rFonts w:hint="eastAsia" w:ascii="宋体" w:hAnsi="宋体" w:eastAsia="宋体" w:cs="宋体"/>
          <w:color w:val="000000" w:themeColor="text1"/>
          <w:sz w:val="36"/>
          <w:szCs w:val="36"/>
          <w:highlight w:val="none"/>
          <w:lang w:val="en-US" w:eastAsia="zh-CN"/>
          <w14:textFill>
            <w14:solidFill>
              <w14:schemeClr w14:val="tx1"/>
            </w14:solidFill>
          </w14:textFill>
        </w:rPr>
        <w:t>七</w:t>
      </w:r>
      <w:r>
        <w:rPr>
          <w:rFonts w:hint="eastAsia" w:ascii="宋体" w:hAnsi="宋体" w:eastAsia="宋体" w:cs="宋体"/>
          <w:color w:val="000000" w:themeColor="text1"/>
          <w:sz w:val="36"/>
          <w:szCs w:val="36"/>
          <w:highlight w:val="none"/>
          <w14:textFill>
            <w14:solidFill>
              <w14:schemeClr w14:val="tx1"/>
            </w14:solidFill>
          </w14:textFill>
        </w:rPr>
        <w:t>章</w:t>
      </w:r>
      <w:bookmarkEnd w:id="198"/>
      <w:r>
        <w:rPr>
          <w:rFonts w:hint="eastAsia" w:ascii="宋体" w:hAnsi="宋体" w:eastAsia="宋体" w:cs="宋体"/>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6"/>
          <w:szCs w:val="36"/>
          <w:highlight w:val="none"/>
          <w14:textFill>
            <w14:solidFill>
              <w14:schemeClr w14:val="tx1"/>
            </w14:solidFill>
          </w14:textFill>
        </w:rPr>
        <w:t>技术支持资料</w:t>
      </w:r>
      <w:bookmarkEnd w:id="199"/>
      <w:bookmarkEnd w:id="200"/>
      <w:bookmarkEnd w:id="201"/>
      <w:bookmarkEnd w:id="202"/>
      <w:bookmarkEnd w:id="203"/>
    </w:p>
    <w:p>
      <w:pPr>
        <w:spacing w:line="360" w:lineRule="auto"/>
        <w:rPr>
          <w:rFonts w:hint="eastAsia" w:ascii="宋体" w:hAnsi="宋体" w:eastAsia="宋体" w:cs="宋体"/>
          <w:sz w:val="24"/>
          <w:szCs w:val="24"/>
          <w:highlight w:val="none"/>
        </w:rPr>
      </w:pPr>
      <w:r>
        <w:rPr>
          <w:rFonts w:hint="eastAsia" w:ascii="宋体" w:hAnsi="宋体" w:eastAsia="宋体" w:cs="宋体"/>
          <w:b/>
          <w:bCs/>
          <w:color w:val="000000" w:themeColor="text1"/>
          <w:sz w:val="36"/>
          <w:szCs w:val="36"/>
          <w:highlight w:val="none"/>
          <w14:textFill>
            <w14:solidFill>
              <w14:schemeClr w14:val="tx1"/>
            </w14:solidFill>
          </w14:textFill>
        </w:rPr>
        <w:t>供应商可自行编写，</w:t>
      </w:r>
      <w:r>
        <w:rPr>
          <w:rFonts w:hint="eastAsia" w:ascii="宋体" w:hAnsi="宋体" w:eastAsia="宋体" w:cs="宋体"/>
          <w:b/>
          <w:bCs/>
          <w:color w:val="000000" w:themeColor="text1"/>
          <w:sz w:val="36"/>
          <w:szCs w:val="36"/>
          <w:highlight w:val="none"/>
          <w:lang w:eastAsia="zh-CN"/>
          <w14:textFill>
            <w14:solidFill>
              <w14:schemeClr w14:val="tx1"/>
            </w14:solidFill>
          </w14:textFill>
        </w:rPr>
        <w:t>格式不限</w:t>
      </w:r>
      <w:r>
        <w:rPr>
          <w:rFonts w:hint="eastAsia" w:ascii="宋体" w:hAnsi="宋体" w:eastAsia="宋体" w:cs="宋体"/>
          <w:b/>
          <w:bCs/>
          <w:color w:val="000000" w:themeColor="text1"/>
          <w:sz w:val="36"/>
          <w:szCs w:val="36"/>
          <w:highlight w:val="none"/>
          <w14:textFill>
            <w14:solidFill>
              <w14:schemeClr w14:val="tx1"/>
            </w14:solidFill>
          </w14:textFill>
        </w:rPr>
        <w:t>：</w:t>
      </w:r>
    </w:p>
    <w:p>
      <w:pPr>
        <w:rPr>
          <w:rFonts w:hint="eastAsia" w:ascii="宋体" w:hAnsi="宋体" w:eastAsia="宋体" w:cs="宋体"/>
          <w:highlight w:val="none"/>
        </w:rPr>
      </w:pPr>
      <w:r>
        <w:rPr>
          <w:rFonts w:hint="eastAsia" w:ascii="宋体" w:hAnsi="宋体" w:eastAsia="宋体" w:cs="宋体"/>
          <w:highlight w:val="none"/>
        </w:rPr>
        <w:br w:type="page"/>
      </w:r>
    </w:p>
    <w:p>
      <w:pPr>
        <w:pStyle w:val="4"/>
        <w:rPr>
          <w:rFonts w:hint="eastAsia" w:ascii="宋体" w:hAnsi="宋体" w:eastAsia="宋体" w:cs="宋体"/>
          <w:color w:val="000000" w:themeColor="text1"/>
          <w:highlight w:val="none"/>
          <w14:textFill>
            <w14:solidFill>
              <w14:schemeClr w14:val="tx1"/>
            </w14:solidFill>
          </w14:textFill>
        </w:rPr>
      </w:pPr>
      <w:bookmarkStart w:id="206" w:name="_Toc18216"/>
      <w:bookmarkStart w:id="207" w:name="_Toc23432"/>
      <w:bookmarkStart w:id="208" w:name="_Toc18894"/>
      <w:bookmarkStart w:id="209" w:name="_Toc29034"/>
      <w:bookmarkStart w:id="210" w:name="_Toc1111"/>
      <w:bookmarkStart w:id="211" w:name="_Toc4580"/>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章</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供应商认为有必要说明的其他问题</w:t>
      </w:r>
      <w:bookmarkEnd w:id="206"/>
      <w:bookmarkEnd w:id="207"/>
      <w:bookmarkEnd w:id="208"/>
      <w:bookmarkEnd w:id="209"/>
      <w:bookmarkEnd w:id="210"/>
      <w:bookmarkEnd w:id="211"/>
    </w:p>
    <w:p>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供应商认为有必要提供的其他证明文件</w:t>
      </w:r>
    </w:p>
    <w:p>
      <w:pPr>
        <w:rPr>
          <w:rFonts w:hint="eastAsia" w:ascii="宋体" w:hAnsi="宋体" w:eastAsia="宋体" w:cs="宋体"/>
          <w:highlight w:val="none"/>
        </w:rPr>
      </w:pPr>
      <w:r>
        <w:rPr>
          <w:rFonts w:hint="eastAsia" w:ascii="宋体" w:hAnsi="宋体" w:eastAsia="宋体" w:cs="宋体"/>
          <w:highlight w:val="none"/>
        </w:rPr>
        <w:br w:type="page"/>
      </w:r>
    </w:p>
    <w:bookmarkEnd w:id="204"/>
    <w:bookmarkEnd w:id="205"/>
    <w:p>
      <w:pPr>
        <w:pStyle w:val="4"/>
        <w:rPr>
          <w:rFonts w:hint="eastAsia" w:ascii="宋体" w:hAnsi="宋体" w:eastAsia="宋体" w:cs="宋体"/>
          <w:highlight w:val="none"/>
        </w:rPr>
      </w:pPr>
      <w:bookmarkStart w:id="212" w:name="_Toc15104"/>
      <w:bookmarkStart w:id="213" w:name="_Toc16208"/>
      <w:r>
        <w:rPr>
          <w:rFonts w:hint="eastAsia" w:ascii="宋体" w:hAnsi="宋体" w:eastAsia="宋体" w:cs="宋体"/>
          <w:highlight w:val="none"/>
        </w:rPr>
        <w:t>第</w:t>
      </w:r>
      <w:r>
        <w:rPr>
          <w:rFonts w:hint="eastAsia" w:ascii="宋体" w:hAnsi="宋体" w:eastAsia="宋体" w:cs="宋体"/>
          <w:highlight w:val="none"/>
          <w:lang w:val="en-US" w:eastAsia="zh-CN"/>
        </w:rPr>
        <w:t>九</w:t>
      </w:r>
      <w:r>
        <w:rPr>
          <w:rFonts w:hint="eastAsia" w:ascii="宋体" w:hAnsi="宋体" w:eastAsia="宋体" w:cs="宋体"/>
          <w:highlight w:val="none"/>
          <w:lang w:eastAsia="zh-CN"/>
        </w:rPr>
        <w:t>章</w:t>
      </w:r>
      <w:r>
        <w:rPr>
          <w:rFonts w:hint="eastAsia" w:ascii="宋体" w:hAnsi="宋体" w:eastAsia="宋体" w:cs="宋体"/>
          <w:highlight w:val="none"/>
        </w:rPr>
        <w:t xml:space="preserve"> 供应商承诺书</w:t>
      </w:r>
      <w:bookmarkEnd w:id="212"/>
      <w:bookmarkEnd w:id="213"/>
    </w:p>
    <w:p>
      <w:pPr>
        <w:pStyle w:val="13"/>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陕西省政府采购供货商拒绝政府采购领域商业贿赂承诺书Ⅰ</w:t>
      </w:r>
    </w:p>
    <w:p>
      <w:pPr>
        <w:spacing w:line="48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为响应党中央、国务院关于治理政府采购领域商业贿赂行为的号召，我公司在此庄严承诺：</w:t>
      </w:r>
    </w:p>
    <w:p>
      <w:pPr>
        <w:spacing w:line="48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1、在参与政府采购活动中遵纪守法、诚信经营、公平竞标。</w:t>
      </w:r>
    </w:p>
    <w:p>
      <w:pPr>
        <w:spacing w:line="48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2、不向政府采购人、代理机构和政府采购评审专家进行任何形式的商业贿赂以谋取交易机会。</w:t>
      </w:r>
    </w:p>
    <w:p>
      <w:pPr>
        <w:spacing w:line="48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3、不向政府代理机构和采购人提供虚假资质文件或采用虚假应标方式参与政府采购市场竞争并谋取成交。</w:t>
      </w:r>
    </w:p>
    <w:p>
      <w:pPr>
        <w:spacing w:line="48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4、不采取“围标、陪标”等商业欺诈手段获得政府采购订单。</w:t>
      </w:r>
    </w:p>
    <w:p>
      <w:pPr>
        <w:spacing w:line="48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5、不采取不正当手段诋毁、排挤其它供货商。</w:t>
      </w:r>
    </w:p>
    <w:p>
      <w:pPr>
        <w:spacing w:line="48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6、不在提供商品和服务时“偷梁换柱、以次充好”损害采购人的合法权益。</w:t>
      </w:r>
    </w:p>
    <w:p>
      <w:pPr>
        <w:spacing w:line="48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7、不与采购人、代理机构政府采购评审专家或其它供货商恶意串通，进行质疑和投诉，维护政府采购市场秩序。</w:t>
      </w:r>
    </w:p>
    <w:p>
      <w:pPr>
        <w:spacing w:line="48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8、尊重和接受政府采购监督管理部门的监督和政府代理机构</w:t>
      </w:r>
      <w:r>
        <w:rPr>
          <w:rFonts w:hint="eastAsia" w:ascii="宋体" w:hAnsi="宋体" w:eastAsia="宋体" w:cs="宋体"/>
          <w:sz w:val="24"/>
          <w:szCs w:val="28"/>
          <w:highlight w:val="none"/>
          <w:lang w:val="en-US" w:eastAsia="zh-CN"/>
        </w:rPr>
        <w:t>谈判</w:t>
      </w:r>
      <w:r>
        <w:rPr>
          <w:rFonts w:hint="eastAsia" w:ascii="宋体" w:hAnsi="宋体" w:eastAsia="宋体" w:cs="宋体"/>
          <w:sz w:val="24"/>
          <w:szCs w:val="28"/>
          <w:highlight w:val="none"/>
        </w:rPr>
        <w:t>采购要求，承担因违约行为给采购人造成的损失。</w:t>
      </w:r>
    </w:p>
    <w:p>
      <w:pPr>
        <w:spacing w:line="48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9、不发生其它有悖于政府采购公开、公平、公正和诚信原则的行为。</w:t>
      </w:r>
    </w:p>
    <w:p>
      <w:pPr>
        <w:adjustRightInd w:val="0"/>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供应商（单位名称及公章）：______________________</w:t>
      </w:r>
    </w:p>
    <w:p>
      <w:pPr>
        <w:snapToGrid w:val="0"/>
        <w:spacing w:line="36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被授权人（签字）：______________________</w:t>
      </w:r>
    </w:p>
    <w:p>
      <w:pPr>
        <w:snapToGrid w:val="0"/>
        <w:spacing w:line="36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时间：</w:t>
      </w:r>
      <w:r>
        <w:rPr>
          <w:rFonts w:hint="eastAsia" w:ascii="宋体" w:hAnsi="宋体" w:eastAsia="宋体" w:cs="宋体"/>
          <w:sz w:val="24"/>
          <w:highlight w:val="none"/>
        </w:rPr>
        <w:t>____</w:t>
      </w:r>
      <w:r>
        <w:rPr>
          <w:rFonts w:hint="eastAsia" w:ascii="宋体" w:hAnsi="宋体" w:eastAsia="宋体" w:cs="宋体"/>
          <w:szCs w:val="21"/>
          <w:highlight w:val="none"/>
        </w:rPr>
        <w:t>年</w:t>
      </w:r>
      <w:r>
        <w:rPr>
          <w:rFonts w:hint="eastAsia" w:ascii="宋体" w:hAnsi="宋体" w:eastAsia="宋体" w:cs="宋体"/>
          <w:sz w:val="24"/>
          <w:highlight w:val="none"/>
        </w:rPr>
        <w:t>____</w:t>
      </w:r>
      <w:r>
        <w:rPr>
          <w:rFonts w:hint="eastAsia" w:ascii="宋体" w:hAnsi="宋体" w:eastAsia="宋体" w:cs="宋体"/>
          <w:szCs w:val="21"/>
          <w:highlight w:val="none"/>
        </w:rPr>
        <w:t>月</w:t>
      </w:r>
      <w:r>
        <w:rPr>
          <w:rFonts w:hint="eastAsia" w:ascii="宋体" w:hAnsi="宋体" w:eastAsia="宋体" w:cs="宋体"/>
          <w:sz w:val="24"/>
          <w:highlight w:val="none"/>
        </w:rPr>
        <w:t>____</w:t>
      </w:r>
      <w:r>
        <w:rPr>
          <w:rFonts w:hint="eastAsia" w:ascii="宋体" w:hAnsi="宋体" w:eastAsia="宋体" w:cs="宋体"/>
          <w:szCs w:val="21"/>
          <w:highlight w:val="none"/>
        </w:rPr>
        <w:t>日</w:t>
      </w:r>
    </w:p>
    <w:p>
      <w:pPr>
        <w:pageBreakBefore/>
        <w:spacing w:line="360" w:lineRule="atLeast"/>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承诺书Ⅱ</w:t>
      </w:r>
    </w:p>
    <w:tbl>
      <w:tblPr>
        <w:tblStyle w:val="24"/>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hint="eastAsia" w:ascii="宋体" w:hAnsi="宋体" w:eastAsia="宋体" w:cs="宋体"/>
                <w:szCs w:val="21"/>
                <w:highlight w:val="none"/>
              </w:rPr>
            </w:pPr>
            <w:r>
              <w:rPr>
                <w:rFonts w:hint="eastAsia" w:ascii="宋体" w:hAnsi="宋体" w:eastAsia="宋体" w:cs="宋体"/>
                <w:szCs w:val="21"/>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作为参加贵公司组织的</w:t>
            </w:r>
            <w:r>
              <w:rPr>
                <w:rFonts w:hint="eastAsia" w:ascii="宋体" w:hAnsi="宋体" w:cs="宋体"/>
                <w:szCs w:val="21"/>
                <w:highlight w:val="none"/>
                <w:u w:val="single"/>
                <w:lang w:eastAsia="zh-CN"/>
              </w:rPr>
              <w:t xml:space="preserve">陕西中医药大学附属医院GE64排双能CT更换球管采购项目 </w:t>
            </w:r>
            <w:r>
              <w:rPr>
                <w:rFonts w:hint="eastAsia" w:ascii="宋体" w:hAnsi="宋体" w:eastAsia="宋体" w:cs="宋体"/>
                <w:szCs w:val="21"/>
                <w:highlight w:val="none"/>
              </w:rPr>
              <w:t xml:space="preserve">的供应商，本公司承诺：在参加本项目谈判之前不存在被依法禁止经营行为、财产被接管或冻结的情况，如有隐瞒实情，愿承担一切责任及后果。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供应商</w:t>
            </w:r>
          </w:p>
        </w:tc>
        <w:tc>
          <w:tcPr>
            <w:tcW w:w="3474"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法定代表人/被授权人</w:t>
            </w:r>
          </w:p>
        </w:tc>
        <w:tc>
          <w:tcPr>
            <w:tcW w:w="2376"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（公章）</w:t>
            </w:r>
          </w:p>
        </w:tc>
        <w:tc>
          <w:tcPr>
            <w:tcW w:w="3474"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（签字或盖章） </w:t>
            </w:r>
          </w:p>
        </w:tc>
        <w:tc>
          <w:tcPr>
            <w:tcW w:w="2376" w:type="dxa"/>
            <w:vAlign w:val="center"/>
          </w:tcPr>
          <w:p>
            <w:pPr>
              <w:spacing w:line="360" w:lineRule="atLeast"/>
              <w:jc w:val="lef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tc>
      </w:tr>
    </w:tbl>
    <w:p>
      <w:pPr>
        <w:spacing w:line="360" w:lineRule="atLeast"/>
        <w:ind w:firstLine="843" w:firstLineChars="200"/>
        <w:jc w:val="left"/>
        <w:rPr>
          <w:rFonts w:hint="eastAsia" w:ascii="宋体" w:hAnsi="宋体" w:eastAsia="宋体" w:cs="宋体"/>
          <w:b/>
          <w:sz w:val="42"/>
          <w:szCs w:val="42"/>
          <w:highlight w:val="none"/>
        </w:rPr>
      </w:pPr>
    </w:p>
    <w:p>
      <w:pPr>
        <w:spacing w:line="360" w:lineRule="atLeast"/>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承诺书Ⅲ</w:t>
      </w:r>
    </w:p>
    <w:tbl>
      <w:tblPr>
        <w:tblStyle w:val="2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hint="eastAsia" w:ascii="宋体" w:hAnsi="宋体" w:eastAsia="宋体" w:cs="宋体"/>
                <w:szCs w:val="21"/>
                <w:highlight w:val="none"/>
              </w:rPr>
            </w:pPr>
            <w:r>
              <w:rPr>
                <w:rFonts w:hint="eastAsia" w:ascii="宋体" w:hAnsi="宋体" w:eastAsia="宋体" w:cs="宋体"/>
                <w:szCs w:val="21"/>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作为参加贵公司组织的</w:t>
            </w:r>
            <w:r>
              <w:rPr>
                <w:rFonts w:hint="eastAsia" w:ascii="宋体" w:hAnsi="宋体" w:cs="宋体"/>
                <w:szCs w:val="21"/>
                <w:highlight w:val="none"/>
                <w:u w:val="single"/>
                <w:lang w:eastAsia="zh-CN"/>
              </w:rPr>
              <w:t xml:space="preserve">陕西中医药大学附属医院GE64排双能CT更换球管采购项目 </w:t>
            </w:r>
            <w:r>
              <w:rPr>
                <w:rFonts w:hint="eastAsia" w:ascii="宋体" w:hAnsi="宋体" w:eastAsia="宋体" w:cs="宋体"/>
                <w:szCs w:val="21"/>
                <w:highlight w:val="none"/>
              </w:rPr>
              <w:t>的供应商，本公司郑重申告并承诺：近三年受到有关行政主管部门的行政处理、不良行为记录为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供应商</w:t>
            </w:r>
          </w:p>
        </w:tc>
        <w:tc>
          <w:tcPr>
            <w:tcW w:w="3488"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法定代表人/被授权人</w:t>
            </w:r>
          </w:p>
        </w:tc>
        <w:tc>
          <w:tcPr>
            <w:tcW w:w="2387"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（公章）</w:t>
            </w:r>
          </w:p>
        </w:tc>
        <w:tc>
          <w:tcPr>
            <w:tcW w:w="3488"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（签字或盖章）</w:t>
            </w:r>
          </w:p>
        </w:tc>
        <w:tc>
          <w:tcPr>
            <w:tcW w:w="2387" w:type="dxa"/>
            <w:vAlign w:val="center"/>
          </w:tcPr>
          <w:p>
            <w:pPr>
              <w:spacing w:line="360" w:lineRule="atLeast"/>
              <w:jc w:val="lef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tc>
      </w:tr>
    </w:tbl>
    <w:p>
      <w:pPr>
        <w:pageBreakBefore/>
        <w:spacing w:line="360" w:lineRule="atLeast"/>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承诺书Ⅳ</w:t>
      </w:r>
    </w:p>
    <w:tbl>
      <w:tblPr>
        <w:tblStyle w:val="24"/>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hint="eastAsia" w:ascii="宋体" w:hAnsi="宋体" w:eastAsia="宋体" w:cs="宋体"/>
                <w:szCs w:val="21"/>
                <w:highlight w:val="none"/>
              </w:rPr>
            </w:pPr>
            <w:r>
              <w:rPr>
                <w:rFonts w:hint="eastAsia" w:ascii="宋体" w:hAnsi="宋体" w:eastAsia="宋体" w:cs="宋体"/>
                <w:szCs w:val="21"/>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作为参加贵公司组织的</w:t>
            </w:r>
            <w:r>
              <w:rPr>
                <w:rFonts w:hint="eastAsia" w:ascii="宋体" w:hAnsi="宋体" w:cs="宋体"/>
                <w:szCs w:val="21"/>
                <w:highlight w:val="none"/>
                <w:u w:val="single"/>
                <w:lang w:eastAsia="zh-CN"/>
              </w:rPr>
              <w:t xml:space="preserve">陕西中医药大学附属医院GE64排双能CT更换球管采购项目 </w:t>
            </w:r>
            <w:r>
              <w:rPr>
                <w:rFonts w:hint="eastAsia" w:ascii="宋体" w:hAnsi="宋体" w:eastAsia="宋体" w:cs="宋体"/>
                <w:szCs w:val="21"/>
                <w:highlight w:val="none"/>
              </w:rPr>
              <w:t>的供应商，本公司郑重申告：近三年因产品供货问题（水货、替代品、次品、翻新品等）的不法行为记录为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次（没有填零），如有隐瞒实情，愿承担一切责任及后果。</w:t>
            </w:r>
          </w:p>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本公司承诺：本次谈判产品为正品行货。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供应商</w:t>
            </w:r>
          </w:p>
        </w:tc>
        <w:tc>
          <w:tcPr>
            <w:tcW w:w="3466"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法定代表人/被授权人</w:t>
            </w:r>
          </w:p>
        </w:tc>
        <w:tc>
          <w:tcPr>
            <w:tcW w:w="2371"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（公章）</w:t>
            </w:r>
          </w:p>
        </w:tc>
        <w:tc>
          <w:tcPr>
            <w:tcW w:w="3466"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（签字或盖章）</w:t>
            </w:r>
          </w:p>
        </w:tc>
        <w:tc>
          <w:tcPr>
            <w:tcW w:w="2371" w:type="dxa"/>
            <w:vAlign w:val="center"/>
          </w:tcPr>
          <w:p>
            <w:pPr>
              <w:spacing w:line="360" w:lineRule="atLeast"/>
              <w:jc w:val="lef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tc>
      </w:tr>
    </w:tbl>
    <w:p>
      <w:pPr>
        <w:spacing w:line="360" w:lineRule="auto"/>
        <w:ind w:firstLine="480" w:firstLineChars="200"/>
        <w:jc w:val="left"/>
        <w:rPr>
          <w:rFonts w:hint="eastAsia" w:ascii="宋体" w:hAnsi="宋体" w:eastAsia="宋体" w:cs="宋体"/>
          <w:sz w:val="24"/>
          <w:szCs w:val="28"/>
          <w:highlight w:val="none"/>
        </w:rPr>
      </w:pPr>
    </w:p>
    <w:p>
      <w:pPr>
        <w:spacing w:line="360" w:lineRule="atLeast"/>
        <w:ind w:firstLine="482" w:firstLineChars="200"/>
        <w:jc w:val="center"/>
        <w:rPr>
          <w:rFonts w:hint="eastAsia" w:ascii="宋体" w:hAnsi="宋体" w:eastAsia="宋体" w:cs="宋体"/>
          <w:b/>
          <w:sz w:val="32"/>
          <w:szCs w:val="32"/>
          <w:highlight w:val="none"/>
        </w:rPr>
      </w:pPr>
      <w:r>
        <w:rPr>
          <w:rFonts w:hint="eastAsia" w:ascii="宋体" w:hAnsi="宋体" w:eastAsia="宋体" w:cs="宋体"/>
          <w:b/>
          <w:sz w:val="24"/>
          <w:szCs w:val="24"/>
          <w:highlight w:val="none"/>
        </w:rPr>
        <w:t>承诺书</w:t>
      </w: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 5 \* ROMAN </w:instrText>
      </w:r>
      <w:r>
        <w:rPr>
          <w:rFonts w:hint="eastAsia" w:ascii="宋体" w:hAnsi="宋体" w:eastAsia="宋体" w:cs="宋体"/>
          <w:b/>
          <w:sz w:val="24"/>
          <w:szCs w:val="24"/>
          <w:highlight w:val="none"/>
        </w:rPr>
        <w:fldChar w:fldCharType="separate"/>
      </w:r>
      <w:r>
        <w:rPr>
          <w:rFonts w:hint="eastAsia" w:ascii="宋体" w:hAnsi="宋体" w:eastAsia="宋体" w:cs="宋体"/>
          <w:b/>
          <w:sz w:val="24"/>
          <w:szCs w:val="24"/>
          <w:highlight w:val="none"/>
          <w:lang w:val="zh-CN"/>
        </w:rPr>
        <w:t>V</w:t>
      </w:r>
      <w:r>
        <w:rPr>
          <w:rFonts w:hint="eastAsia" w:ascii="宋体" w:hAnsi="宋体" w:eastAsia="宋体" w:cs="宋体"/>
          <w:b/>
          <w:sz w:val="24"/>
          <w:szCs w:val="24"/>
          <w:highlight w:val="none"/>
        </w:rPr>
        <w:fldChar w:fldCharType="end"/>
      </w:r>
    </w:p>
    <w:tbl>
      <w:tblPr>
        <w:tblStyle w:val="24"/>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hint="eastAsia" w:ascii="宋体" w:hAnsi="宋体" w:eastAsia="宋体" w:cs="宋体"/>
                <w:szCs w:val="21"/>
                <w:highlight w:val="none"/>
              </w:rPr>
            </w:pPr>
            <w:r>
              <w:rPr>
                <w:rFonts w:hint="eastAsia" w:ascii="宋体" w:hAnsi="宋体" w:eastAsia="宋体" w:cs="宋体"/>
                <w:szCs w:val="21"/>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作为参加贵公司组织的</w:t>
            </w:r>
            <w:r>
              <w:rPr>
                <w:rFonts w:hint="eastAsia" w:ascii="宋体" w:hAnsi="宋体" w:cs="宋体"/>
                <w:szCs w:val="21"/>
                <w:highlight w:val="none"/>
                <w:u w:val="single"/>
                <w:lang w:eastAsia="zh-CN"/>
              </w:rPr>
              <w:t xml:space="preserve">陕西中医药大学附属医院GE64排双能CT更换球管采购项目 </w:t>
            </w:r>
            <w:r>
              <w:rPr>
                <w:rFonts w:hint="eastAsia" w:ascii="宋体" w:hAnsi="宋体" w:eastAsia="宋体" w:cs="宋体"/>
                <w:szCs w:val="21"/>
                <w:highlight w:val="none"/>
              </w:rPr>
              <w:t>的供应商，本公司承诺：参加本次谈判提交的所有资质证明文件及业绩证明文件是真实的、有效的，如有隐瞒实情，愿承担一切责任及后果。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供应商</w:t>
            </w:r>
          </w:p>
        </w:tc>
        <w:tc>
          <w:tcPr>
            <w:tcW w:w="3534"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法定代表人/被授权人</w:t>
            </w:r>
          </w:p>
        </w:tc>
        <w:tc>
          <w:tcPr>
            <w:tcW w:w="2418"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（公章）</w:t>
            </w:r>
          </w:p>
        </w:tc>
        <w:tc>
          <w:tcPr>
            <w:tcW w:w="3534" w:type="dxa"/>
            <w:vAlign w:val="center"/>
          </w:tcPr>
          <w:p>
            <w:pPr>
              <w:spacing w:line="360" w:lineRule="atLeast"/>
              <w:ind w:firstLine="480" w:firstLineChars="200"/>
              <w:jc w:val="left"/>
              <w:rPr>
                <w:rFonts w:hint="eastAsia" w:ascii="宋体" w:hAnsi="宋体" w:eastAsia="宋体" w:cs="宋体"/>
                <w:szCs w:val="21"/>
                <w:highlight w:val="none"/>
              </w:rPr>
            </w:pPr>
            <w:r>
              <w:rPr>
                <w:rFonts w:hint="eastAsia" w:ascii="宋体" w:hAnsi="宋体" w:eastAsia="宋体" w:cs="宋体"/>
                <w:szCs w:val="21"/>
                <w:highlight w:val="none"/>
              </w:rPr>
              <w:t>（签字或盖章）</w:t>
            </w:r>
          </w:p>
        </w:tc>
        <w:tc>
          <w:tcPr>
            <w:tcW w:w="2418" w:type="dxa"/>
            <w:vAlign w:val="center"/>
          </w:tcPr>
          <w:p>
            <w:pPr>
              <w:spacing w:line="360" w:lineRule="atLeast"/>
              <w:jc w:val="lef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tc>
      </w:tr>
    </w:tbl>
    <w:p>
      <w:pPr>
        <w:rPr>
          <w:rFonts w:hint="eastAsia" w:ascii="宋体" w:hAnsi="宋体" w:eastAsia="宋体" w:cs="宋体"/>
          <w:highlight w:val="none"/>
        </w:rPr>
      </w:pPr>
      <w:r>
        <w:rPr>
          <w:rFonts w:hint="eastAsia" w:ascii="宋体" w:hAnsi="宋体" w:eastAsia="宋体" w:cs="宋体"/>
          <w:highlight w:val="none"/>
        </w:rPr>
        <w:br w:type="page"/>
      </w:r>
    </w:p>
    <w:p>
      <w:pPr>
        <w:bidi w:val="0"/>
        <w:rPr>
          <w:rFonts w:hint="eastAsia" w:ascii="宋体" w:hAnsi="宋体" w:eastAsia="宋体" w:cs="宋体"/>
          <w:highlight w:val="none"/>
        </w:rPr>
      </w:pPr>
    </w:p>
    <w:p>
      <w:pPr>
        <w:pStyle w:val="4"/>
        <w:adjustRightInd w:val="0"/>
        <w:spacing w:line="416" w:lineRule="atLeast"/>
        <w:textAlignment w:val="baseline"/>
        <w:rPr>
          <w:rFonts w:hint="eastAsia" w:ascii="宋体" w:hAnsi="宋体" w:eastAsia="宋体" w:cs="宋体"/>
          <w:highlight w:val="none"/>
        </w:rPr>
      </w:pPr>
      <w:bookmarkStart w:id="214" w:name="_Toc10726"/>
      <w:r>
        <w:rPr>
          <w:rFonts w:hint="eastAsia" w:ascii="宋体" w:hAnsi="宋体" w:eastAsia="宋体" w:cs="宋体"/>
          <w:highlight w:val="none"/>
        </w:rPr>
        <w:t>附件一、封袋正面标识式样</w:t>
      </w:r>
      <w:bookmarkEnd w:id="214"/>
    </w:p>
    <w:p>
      <w:pPr>
        <w:spacing w:line="460" w:lineRule="exact"/>
        <w:ind w:firstLine="482" w:firstLineChars="200"/>
        <w:jc w:val="center"/>
        <w:rPr>
          <w:rFonts w:hint="eastAsia" w:ascii="宋体" w:hAnsi="宋体" w:eastAsia="宋体" w:cs="宋体"/>
          <w:b/>
          <w:highlight w:val="none"/>
        </w:rPr>
      </w:pPr>
      <w:r>
        <w:rPr>
          <w:rFonts w:hint="eastAsia" w:ascii="宋体" w:hAnsi="宋体" w:eastAsia="宋体" w:cs="宋体"/>
          <w:b/>
          <w:highlight w:val="none"/>
        </w:rPr>
        <w:t>谈判响应文件正本封袋正面标识式样</w:t>
      </w:r>
    </w:p>
    <w:p>
      <w:pPr>
        <w:spacing w:line="460" w:lineRule="exact"/>
        <w:ind w:firstLine="480" w:firstLineChars="200"/>
        <w:jc w:val="center"/>
        <w:rPr>
          <w:rFonts w:hint="eastAsia" w:ascii="宋体" w:hAnsi="宋体" w:eastAsia="宋体" w:cs="宋体"/>
          <w:b/>
          <w:highlight w:val="none"/>
        </w:rPr>
      </w:pP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-315595</wp:posOffset>
                </wp:positionH>
                <wp:positionV relativeFrom="paragraph">
                  <wp:posOffset>113030</wp:posOffset>
                </wp:positionV>
                <wp:extent cx="6255385" cy="3110230"/>
                <wp:effectExtent l="4445" t="4445" r="19050" b="9525"/>
                <wp:wrapNone/>
                <wp:docPr id="13" name="Text Box 3"/>
                <wp:cNvGraphicFramePr/>
                <a:graphic xmlns:a="http://schemas.openxmlformats.org/drawingml/2006/main">
                  <a:graphicData uri="http://schemas.microsoft.com/office/word/2010/wordprocessingShape">
                    <wps:wsp>
                      <wps:cNvSpPr txBox="1"/>
                      <wps:spPr>
                        <a:xfrm>
                          <a:off x="0" y="0"/>
                          <a:ext cx="6255385" cy="25311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yellow"/>
                                <w:lang w:eastAsia="zh-CN"/>
                              </w:rPr>
                            </w:pPr>
                            <w:r>
                              <w:rPr>
                                <w:rFonts w:hint="eastAsia"/>
                                <w:sz w:val="28"/>
                                <w:szCs w:val="28"/>
                              </w:rPr>
                              <w:t>致：陕西万泽招标有限公司</w:t>
                            </w:r>
                            <w:r>
                              <w:rPr>
                                <w:sz w:val="28"/>
                                <w:szCs w:val="28"/>
                              </w:rPr>
                              <w:t xml:space="preserve">               </w:t>
                            </w:r>
                            <w:r>
                              <w:rPr>
                                <w:rFonts w:hint="eastAsia"/>
                                <w:sz w:val="28"/>
                                <w:szCs w:val="28"/>
                              </w:rPr>
                              <w:t xml:space="preserve">项目编号： </w:t>
                            </w:r>
                            <w:r>
                              <w:rPr>
                                <w:rFonts w:hint="eastAsia"/>
                                <w:sz w:val="28"/>
                                <w:szCs w:val="28"/>
                                <w:lang w:eastAsia="zh-CN"/>
                              </w:rPr>
                              <w:t>SXWZ2022ZB-SZFY-055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陕西中医药大学附属医院GE64排双能CT更换球管采购项目 </w:t>
                            </w:r>
                          </w:p>
                          <w:p>
                            <w:pPr>
                              <w:jc w:val="center"/>
                              <w:rPr>
                                <w:b/>
                                <w:sz w:val="44"/>
                                <w:szCs w:val="44"/>
                              </w:rPr>
                            </w:pPr>
                            <w:r>
                              <w:rPr>
                                <w:rFonts w:hint="eastAsia"/>
                                <w:b/>
                                <w:sz w:val="44"/>
                                <w:szCs w:val="44"/>
                                <w:lang w:eastAsia="zh-CN"/>
                              </w:rPr>
                              <w:t>单一来源</w:t>
                            </w: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rFonts w:hint="eastAsia"/>
                                <w:sz w:val="28"/>
                                <w:szCs w:val="28"/>
                                <w:u w:val="single"/>
                              </w:rPr>
                              <w:t xml:space="preserve">                      </w:t>
                            </w:r>
                          </w:p>
                          <w:p>
                            <w:pPr>
                              <w:rPr>
                                <w:sz w:val="28"/>
                                <w:szCs w:val="28"/>
                                <w:u w:val="single"/>
                              </w:rPr>
                            </w:pPr>
                            <w:r>
                              <w:rPr>
                                <w:rFonts w:hint="eastAsia"/>
                                <w:sz w:val="28"/>
                                <w:szCs w:val="28"/>
                              </w:rPr>
                              <w:t xml:space="preserve">时间： </w:t>
                            </w:r>
                            <w:r>
                              <w:rPr>
                                <w:rFonts w:hint="eastAsia"/>
                                <w:sz w:val="28"/>
                                <w:szCs w:val="28"/>
                                <w:u w:val="single"/>
                              </w:rPr>
                              <w:t xml:space="preserve">        年       月      日</w:t>
                            </w:r>
                          </w:p>
                          <w:p>
                            <w:pPr>
                              <w:jc w:val="center"/>
                              <w:rPr>
                                <w:sz w:val="28"/>
                                <w:szCs w:val="28"/>
                              </w:rPr>
                            </w:pPr>
                          </w:p>
                        </w:txbxContent>
                      </wps:txbx>
                      <wps:bodyPr upright="1"/>
                    </wps:wsp>
                  </a:graphicData>
                </a:graphic>
              </wp:anchor>
            </w:drawing>
          </mc:Choice>
          <mc:Fallback>
            <w:pict>
              <v:shape id="Text Box 3" o:spid="_x0000_s1026" o:spt="202" type="#_x0000_t202" style="position:absolute;left:0pt;margin-left:-24.85pt;margin-top:8.9pt;height:244.9pt;width:492.55pt;z-index:251661312;mso-width-relative:page;mso-height-relative:page;" fillcolor="#FFFFFF" filled="t" stroked="t" coordsize="21600,21600" o:gfxdata="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bgyftkAAAAKAQAADwAAAAAAAAABACAAAAAiAAAAZHJz&#10;L2Rvd25yZXYueG1sUEsBAhQAFAAAAAgAh07iQAHc38cDAgAARQQAAA4AAAAAAAAAAQAgAAAAKAEA&#10;AGRycy9lMm9Eb2MueG1sUEsFBgAAAAAGAAYAWQEAAJ0FAAAAAA==&#10;">
                <v:fill on="t" focussize="0,0"/>
                <v:stroke color="#000000" joinstyle="miter"/>
                <v:imagedata o:title=""/>
                <o:lock v:ext="edit" aspectratio="f"/>
                <v:textbox>
                  <w:txbxContent>
                    <w:p>
                      <w:pPr>
                        <w:rPr>
                          <w:rFonts w:hint="eastAsia" w:eastAsia="宋体"/>
                          <w:sz w:val="28"/>
                          <w:szCs w:val="28"/>
                          <w:highlight w:val="yellow"/>
                          <w:lang w:eastAsia="zh-CN"/>
                        </w:rPr>
                      </w:pPr>
                      <w:r>
                        <w:rPr>
                          <w:rFonts w:hint="eastAsia"/>
                          <w:sz w:val="28"/>
                          <w:szCs w:val="28"/>
                        </w:rPr>
                        <w:t>致：陕西万泽招标有限公司</w:t>
                      </w:r>
                      <w:r>
                        <w:rPr>
                          <w:sz w:val="28"/>
                          <w:szCs w:val="28"/>
                        </w:rPr>
                        <w:t xml:space="preserve">               </w:t>
                      </w:r>
                      <w:r>
                        <w:rPr>
                          <w:rFonts w:hint="eastAsia"/>
                          <w:sz w:val="28"/>
                          <w:szCs w:val="28"/>
                        </w:rPr>
                        <w:t xml:space="preserve">项目编号： </w:t>
                      </w:r>
                      <w:r>
                        <w:rPr>
                          <w:rFonts w:hint="eastAsia"/>
                          <w:sz w:val="28"/>
                          <w:szCs w:val="28"/>
                          <w:lang w:eastAsia="zh-CN"/>
                        </w:rPr>
                        <w:t>SXWZ2022ZB-SZFY-055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陕西中医药大学附属医院GE64排双能CT更换球管采购项目 </w:t>
                      </w:r>
                    </w:p>
                    <w:p>
                      <w:pPr>
                        <w:jc w:val="center"/>
                        <w:rPr>
                          <w:b/>
                          <w:sz w:val="44"/>
                          <w:szCs w:val="44"/>
                        </w:rPr>
                      </w:pPr>
                      <w:r>
                        <w:rPr>
                          <w:rFonts w:hint="eastAsia"/>
                          <w:b/>
                          <w:sz w:val="44"/>
                          <w:szCs w:val="44"/>
                          <w:lang w:eastAsia="zh-CN"/>
                        </w:rPr>
                        <w:t>单一来源</w:t>
                      </w: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rFonts w:hint="eastAsia"/>
                          <w:sz w:val="28"/>
                          <w:szCs w:val="28"/>
                          <w:u w:val="single"/>
                        </w:rPr>
                        <w:t xml:space="preserve">                      </w:t>
                      </w:r>
                    </w:p>
                    <w:p>
                      <w:pPr>
                        <w:rPr>
                          <w:sz w:val="28"/>
                          <w:szCs w:val="28"/>
                          <w:u w:val="single"/>
                        </w:rPr>
                      </w:pPr>
                      <w:r>
                        <w:rPr>
                          <w:rFonts w:hint="eastAsia"/>
                          <w:sz w:val="28"/>
                          <w:szCs w:val="28"/>
                        </w:rPr>
                        <w:t xml:space="preserve">时间： </w:t>
                      </w:r>
                      <w:r>
                        <w:rPr>
                          <w:rFonts w:hint="eastAsia"/>
                          <w:sz w:val="28"/>
                          <w:szCs w:val="28"/>
                          <w:u w:val="single"/>
                        </w:rPr>
                        <w:t xml:space="preserve">        年       月      日</w:t>
                      </w:r>
                    </w:p>
                    <w:p>
                      <w:pPr>
                        <w:jc w:val="center"/>
                        <w:rPr>
                          <w:sz w:val="28"/>
                          <w:szCs w:val="28"/>
                        </w:rPr>
                      </w:pPr>
                    </w:p>
                  </w:txbxContent>
                </v:textbox>
              </v:shape>
            </w:pict>
          </mc:Fallback>
        </mc:AlternateContent>
      </w: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r>
        <w:rPr>
          <w:rFonts w:hint="eastAsia" w:ascii="宋体" w:hAnsi="宋体" w:eastAsia="宋体" w:cs="宋体"/>
          <w:b/>
          <w:highlight w:val="none"/>
        </w:rPr>
        <w:t>谈判响应文件副本封袋正面标识式样</w:t>
      </w:r>
    </w:p>
    <w:p>
      <w:pPr>
        <w:tabs>
          <w:tab w:val="left" w:pos="8280"/>
        </w:tabs>
        <w:spacing w:line="460" w:lineRule="exact"/>
        <w:ind w:firstLine="480" w:firstLineChars="200"/>
        <w:jc w:val="center"/>
        <w:rPr>
          <w:rFonts w:hint="eastAsia" w:ascii="宋体" w:hAnsi="宋体" w:eastAsia="宋体" w:cs="宋体"/>
          <w:b/>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-317500</wp:posOffset>
                </wp:positionH>
                <wp:positionV relativeFrom="paragraph">
                  <wp:posOffset>217805</wp:posOffset>
                </wp:positionV>
                <wp:extent cx="6249670" cy="2950845"/>
                <wp:effectExtent l="4445" t="4445" r="9525" b="16510"/>
                <wp:wrapNone/>
                <wp:docPr id="12" name="Text Box 4"/>
                <wp:cNvGraphicFramePr/>
                <a:graphic xmlns:a="http://schemas.openxmlformats.org/drawingml/2006/main">
                  <a:graphicData uri="http://schemas.microsoft.com/office/word/2010/wordprocessingShape">
                    <wps:wsp>
                      <wps:cNvSpPr txBox="1"/>
                      <wps:spPr>
                        <a:xfrm>
                          <a:off x="0" y="0"/>
                          <a:ext cx="6288405" cy="26885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yellow"/>
                                <w:lang w:eastAsia="zh-CN"/>
                              </w:rPr>
                            </w:pPr>
                            <w:r>
                              <w:rPr>
                                <w:rFonts w:hint="eastAsia"/>
                                <w:sz w:val="28"/>
                                <w:szCs w:val="28"/>
                              </w:rPr>
                              <w:t>致：陕西万泽招标有限公司</w:t>
                            </w:r>
                            <w:r>
                              <w:rPr>
                                <w:sz w:val="28"/>
                                <w:szCs w:val="28"/>
                              </w:rPr>
                              <w:t xml:space="preserve">               </w:t>
                            </w:r>
                            <w:r>
                              <w:rPr>
                                <w:rFonts w:hint="eastAsia"/>
                                <w:sz w:val="28"/>
                                <w:szCs w:val="28"/>
                              </w:rPr>
                              <w:t xml:space="preserve">项目编号： </w:t>
                            </w:r>
                            <w:r>
                              <w:rPr>
                                <w:rFonts w:hint="eastAsia"/>
                                <w:sz w:val="28"/>
                                <w:szCs w:val="28"/>
                                <w:lang w:eastAsia="zh-CN"/>
                              </w:rPr>
                              <w:t>SXWZ2022ZB-SZFY-055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陕西中医药大学附属医院GE64排双能CT更换球管采购项目 </w:t>
                            </w:r>
                          </w:p>
                          <w:p>
                            <w:pPr>
                              <w:jc w:val="center"/>
                              <w:rPr>
                                <w:b/>
                                <w:sz w:val="44"/>
                                <w:szCs w:val="44"/>
                              </w:rPr>
                            </w:pPr>
                            <w:r>
                              <w:rPr>
                                <w:rFonts w:hint="eastAsia"/>
                                <w:b/>
                                <w:sz w:val="44"/>
                                <w:szCs w:val="44"/>
                                <w:lang w:eastAsia="zh-CN"/>
                              </w:rPr>
                              <w:t>单一来源</w:t>
                            </w: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sz w:val="28"/>
                                <w:szCs w:val="28"/>
                                <w:u w:val="single"/>
                              </w:rPr>
                              <w:t xml:space="preserve">            </w:t>
                            </w:r>
                          </w:p>
                          <w:p>
                            <w:pPr>
                              <w:rPr>
                                <w:sz w:val="28"/>
                                <w:szCs w:val="28"/>
                                <w:u w:val="single"/>
                              </w:rPr>
                            </w:pPr>
                            <w:r>
                              <w:rPr>
                                <w:rFonts w:hint="eastAsia"/>
                                <w:sz w:val="28"/>
                                <w:szCs w:val="28"/>
                              </w:rPr>
                              <w:t xml:space="preserve">时间： </w:t>
                            </w:r>
                            <w:r>
                              <w:rPr>
                                <w:rFonts w:hint="eastAsia"/>
                                <w:sz w:val="28"/>
                                <w:szCs w:val="28"/>
                                <w:u w:val="single"/>
                              </w:rPr>
                              <w:t xml:space="preserve">        年       月      日</w:t>
                            </w:r>
                          </w:p>
                          <w:p>
                            <w:pPr>
                              <w:rPr>
                                <w:sz w:val="28"/>
                                <w:szCs w:val="28"/>
                              </w:rPr>
                            </w:pPr>
                          </w:p>
                        </w:txbxContent>
                      </wps:txbx>
                      <wps:bodyPr upright="1"/>
                    </wps:wsp>
                  </a:graphicData>
                </a:graphic>
              </wp:anchor>
            </w:drawing>
          </mc:Choice>
          <mc:Fallback>
            <w:pict>
              <v:shape id="Text Box 4" o:spid="_x0000_s1026" o:spt="202" type="#_x0000_t202" style="position:absolute;left:0pt;margin-left:-25pt;margin-top:17.15pt;height:232.35pt;width:492.1pt;z-index:251662336;mso-width-relative:page;mso-height-relative:page;" fillcolor="#FFFFFF" filled="t" stroked="t" coordsize="21600,21600" o:gfxdata="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LRjuXaAAAACgEAAA8AAAAAAAAAAQAgAAAAIgAAAGRy&#10;cy9kb3ducmV2LnhtbFBLAQIUABQAAAAIAIdO4kDSfYRkAwIAAEUEAAAOAAAAAAAAAAEAIAAAACkB&#10;AABkcnMvZTJvRG9jLnhtbFBLBQYAAAAABgAGAFkBAACeBQAAAAA=&#10;">
                <v:fill on="t" focussize="0,0"/>
                <v:stroke color="#000000" joinstyle="miter"/>
                <v:imagedata o:title=""/>
                <o:lock v:ext="edit" aspectratio="f"/>
                <v:textbox>
                  <w:txbxContent>
                    <w:p>
                      <w:pPr>
                        <w:rPr>
                          <w:rFonts w:hint="eastAsia" w:eastAsia="宋体"/>
                          <w:sz w:val="28"/>
                          <w:szCs w:val="28"/>
                          <w:highlight w:val="yellow"/>
                          <w:lang w:eastAsia="zh-CN"/>
                        </w:rPr>
                      </w:pPr>
                      <w:r>
                        <w:rPr>
                          <w:rFonts w:hint="eastAsia"/>
                          <w:sz w:val="28"/>
                          <w:szCs w:val="28"/>
                        </w:rPr>
                        <w:t>致：陕西万泽招标有限公司</w:t>
                      </w:r>
                      <w:r>
                        <w:rPr>
                          <w:sz w:val="28"/>
                          <w:szCs w:val="28"/>
                        </w:rPr>
                        <w:t xml:space="preserve">               </w:t>
                      </w:r>
                      <w:r>
                        <w:rPr>
                          <w:rFonts w:hint="eastAsia"/>
                          <w:sz w:val="28"/>
                          <w:szCs w:val="28"/>
                        </w:rPr>
                        <w:t xml:space="preserve">项目编号： </w:t>
                      </w:r>
                      <w:r>
                        <w:rPr>
                          <w:rFonts w:hint="eastAsia"/>
                          <w:sz w:val="28"/>
                          <w:szCs w:val="28"/>
                          <w:lang w:eastAsia="zh-CN"/>
                        </w:rPr>
                        <w:t>SXWZ2022ZB-SZFY-055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陕西中医药大学附属医院GE64排双能CT更换球管采购项目 </w:t>
                      </w:r>
                    </w:p>
                    <w:p>
                      <w:pPr>
                        <w:jc w:val="center"/>
                        <w:rPr>
                          <w:b/>
                          <w:sz w:val="44"/>
                          <w:szCs w:val="44"/>
                        </w:rPr>
                      </w:pPr>
                      <w:r>
                        <w:rPr>
                          <w:rFonts w:hint="eastAsia"/>
                          <w:b/>
                          <w:sz w:val="44"/>
                          <w:szCs w:val="44"/>
                          <w:lang w:eastAsia="zh-CN"/>
                        </w:rPr>
                        <w:t>单一来源</w:t>
                      </w: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sz w:val="28"/>
                          <w:szCs w:val="28"/>
                          <w:u w:val="single"/>
                        </w:rPr>
                        <w:t xml:space="preserve">            </w:t>
                      </w:r>
                    </w:p>
                    <w:p>
                      <w:pPr>
                        <w:rPr>
                          <w:sz w:val="28"/>
                          <w:szCs w:val="28"/>
                          <w:u w:val="single"/>
                        </w:rPr>
                      </w:pPr>
                      <w:r>
                        <w:rPr>
                          <w:rFonts w:hint="eastAsia"/>
                          <w:sz w:val="28"/>
                          <w:szCs w:val="28"/>
                        </w:rPr>
                        <w:t xml:space="preserve">时间： </w:t>
                      </w:r>
                      <w:r>
                        <w:rPr>
                          <w:rFonts w:hint="eastAsia"/>
                          <w:sz w:val="28"/>
                          <w:szCs w:val="28"/>
                          <w:u w:val="single"/>
                        </w:rPr>
                        <w:t xml:space="preserve">        年       月      日</w:t>
                      </w:r>
                    </w:p>
                    <w:p>
                      <w:pPr>
                        <w:rPr>
                          <w:sz w:val="28"/>
                          <w:szCs w:val="28"/>
                        </w:rPr>
                      </w:pPr>
                    </w:p>
                  </w:txbxContent>
                </v:textbox>
              </v:shape>
            </w:pict>
          </mc:Fallback>
        </mc:AlternateContent>
      </w: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1004" w:firstLineChars="200"/>
        <w:jc w:val="center"/>
        <w:rPr>
          <w:rFonts w:hint="eastAsia" w:ascii="宋体" w:hAnsi="宋体" w:eastAsia="宋体" w:cs="宋体"/>
          <w:b/>
          <w:sz w:val="50"/>
          <w:highlight w:val="none"/>
        </w:rPr>
      </w:pPr>
    </w:p>
    <w:p>
      <w:pPr>
        <w:widowControl/>
        <w:spacing w:line="460" w:lineRule="exact"/>
        <w:ind w:firstLine="480" w:firstLineChars="200"/>
        <w:jc w:val="center"/>
        <w:rPr>
          <w:rFonts w:hint="eastAsia" w:ascii="宋体" w:hAnsi="宋体" w:eastAsia="宋体" w:cs="宋体"/>
          <w:szCs w:val="28"/>
          <w:highlight w:val="none"/>
        </w:rPr>
        <w:sectPr>
          <w:pgSz w:w="11906" w:h="16838"/>
          <w:pgMar w:top="1440" w:right="1800" w:bottom="1440" w:left="1800" w:header="851" w:footer="992" w:gutter="0"/>
          <w:pgNumType w:fmt="decimal"/>
          <w:cols w:space="720" w:num="1"/>
          <w:docGrid w:type="lines" w:linePitch="312" w:charSpace="0"/>
        </w:sectPr>
      </w:pPr>
    </w:p>
    <w:p>
      <w:pPr>
        <w:spacing w:line="460" w:lineRule="exact"/>
        <w:ind w:firstLine="482" w:firstLineChars="200"/>
        <w:jc w:val="center"/>
        <w:rPr>
          <w:rFonts w:hint="eastAsia" w:ascii="宋体" w:hAnsi="宋体" w:eastAsia="宋体" w:cs="宋体"/>
          <w:b/>
          <w:highlight w:val="none"/>
        </w:rPr>
      </w:pPr>
      <w:r>
        <w:rPr>
          <w:rFonts w:hint="eastAsia" w:ascii="宋体" w:hAnsi="宋体" w:eastAsia="宋体" w:cs="宋体"/>
          <w:b/>
          <w:highlight w:val="none"/>
        </w:rPr>
        <w:t>响应一览表封袋正面标识式样</w:t>
      </w:r>
    </w:p>
    <w:p>
      <w:pPr>
        <w:spacing w:line="460" w:lineRule="exact"/>
        <w:ind w:firstLine="480" w:firstLineChars="200"/>
        <w:jc w:val="center"/>
        <w:rPr>
          <w:rFonts w:hint="eastAsia" w:ascii="宋体" w:hAnsi="宋体" w:eastAsia="宋体" w:cs="宋体"/>
          <w:b/>
          <w:highlight w:val="none"/>
        </w:rPr>
      </w:pPr>
      <w:r>
        <w:rPr>
          <w:rFonts w:hint="eastAsia" w:ascii="宋体" w:hAnsi="宋体" w:eastAsia="宋体" w:cs="宋体"/>
          <w:highlight w:val="none"/>
        </w:rPr>
        <mc:AlternateContent>
          <mc:Choice Requires="wps">
            <w:drawing>
              <wp:anchor distT="0" distB="0" distL="114300" distR="114300" simplePos="0" relativeHeight="251663360" behindDoc="0" locked="0" layoutInCell="1" allowOverlap="1">
                <wp:simplePos x="0" y="0"/>
                <wp:positionH relativeFrom="column">
                  <wp:posOffset>-325755</wp:posOffset>
                </wp:positionH>
                <wp:positionV relativeFrom="paragraph">
                  <wp:posOffset>191135</wp:posOffset>
                </wp:positionV>
                <wp:extent cx="6189345" cy="3220720"/>
                <wp:effectExtent l="5080" t="4445" r="8255" b="5715"/>
                <wp:wrapNone/>
                <wp:docPr id="11" name="Text Box 3"/>
                <wp:cNvGraphicFramePr/>
                <a:graphic xmlns:a="http://schemas.openxmlformats.org/drawingml/2006/main">
                  <a:graphicData uri="http://schemas.microsoft.com/office/word/2010/wordprocessingShape">
                    <wps:wsp>
                      <wps:cNvSpPr txBox="1"/>
                      <wps:spPr>
                        <a:xfrm>
                          <a:off x="0" y="0"/>
                          <a:ext cx="6189345" cy="25311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yellow"/>
                                <w:lang w:eastAsia="zh-CN"/>
                              </w:rPr>
                            </w:pPr>
                            <w:r>
                              <w:rPr>
                                <w:rFonts w:hint="eastAsia"/>
                                <w:sz w:val="28"/>
                                <w:szCs w:val="28"/>
                              </w:rPr>
                              <w:t>致：陕西万泽招标有限公司</w:t>
                            </w:r>
                            <w:r>
                              <w:rPr>
                                <w:sz w:val="28"/>
                                <w:szCs w:val="28"/>
                              </w:rPr>
                              <w:t xml:space="preserve">              </w:t>
                            </w:r>
                            <w:r>
                              <w:rPr>
                                <w:rFonts w:hint="eastAsia"/>
                                <w:sz w:val="28"/>
                                <w:szCs w:val="28"/>
                              </w:rPr>
                              <w:t xml:space="preserve">项目编号： </w:t>
                            </w:r>
                            <w:r>
                              <w:rPr>
                                <w:rFonts w:hint="eastAsia"/>
                                <w:sz w:val="28"/>
                                <w:szCs w:val="28"/>
                                <w:lang w:eastAsia="zh-CN"/>
                              </w:rPr>
                              <w:t>SXWZ2022ZB-SZFY-055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陕西中医药大学附属医院GE64排双能CT更换球管采购项目 </w:t>
                            </w:r>
                          </w:p>
                          <w:p>
                            <w:pPr>
                              <w:jc w:val="center"/>
                              <w:rPr>
                                <w:b/>
                                <w:sz w:val="44"/>
                                <w:szCs w:val="44"/>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sz w:val="28"/>
                                <w:szCs w:val="28"/>
                                <w:u w:val="single"/>
                              </w:rPr>
                              <w:t xml:space="preserve">            </w:t>
                            </w:r>
                          </w:p>
                          <w:p>
                            <w:pPr>
                              <w:rPr>
                                <w:sz w:val="28"/>
                                <w:szCs w:val="28"/>
                              </w:rPr>
                            </w:pPr>
                            <w:r>
                              <w:rPr>
                                <w:rFonts w:hint="eastAsia"/>
                                <w:sz w:val="28"/>
                                <w:szCs w:val="28"/>
                              </w:rPr>
                              <w:t xml:space="preserve">时间： </w:t>
                            </w:r>
                            <w:r>
                              <w:rPr>
                                <w:rFonts w:hint="eastAsia"/>
                                <w:sz w:val="28"/>
                                <w:szCs w:val="28"/>
                                <w:u w:val="single"/>
                              </w:rPr>
                              <w:t xml:space="preserve">        年       月      日</w:t>
                            </w:r>
                          </w:p>
                        </w:txbxContent>
                      </wps:txbx>
                      <wps:bodyPr upright="1"/>
                    </wps:wsp>
                  </a:graphicData>
                </a:graphic>
              </wp:anchor>
            </w:drawing>
          </mc:Choice>
          <mc:Fallback>
            <w:pict>
              <v:shape id="Text Box 3" o:spid="_x0000_s1026" o:spt="202" type="#_x0000_t202" style="position:absolute;left:0pt;margin-left:-25.65pt;margin-top:15.05pt;height:253.6pt;width:487.35pt;z-index:251663360;mso-width-relative:page;mso-height-relative:page;" fillcolor="#FFFFFF" filled="t" stroked="t" coordsize="21600,21600" o:gfxdata="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6kp4PZAAAACgEAAA8AAAAAAAAAAQAgAAAAIgAAAGRy&#10;cy9kb3ducmV2LnhtbFBLAQIUABQAAAAIAIdO4kCElvEdBAIAAEUEAAAOAAAAAAAAAAEAIAAAACgB&#10;AABkcnMvZTJvRG9jLnhtbFBLBQYAAAAABgAGAFkBAACeBQAAAAA=&#10;">
                <v:fill on="t" focussize="0,0"/>
                <v:stroke color="#000000" joinstyle="miter"/>
                <v:imagedata o:title=""/>
                <o:lock v:ext="edit" aspectratio="f"/>
                <v:textbox>
                  <w:txbxContent>
                    <w:p>
                      <w:pPr>
                        <w:rPr>
                          <w:rFonts w:hint="eastAsia" w:eastAsia="宋体"/>
                          <w:sz w:val="28"/>
                          <w:szCs w:val="28"/>
                          <w:highlight w:val="yellow"/>
                          <w:lang w:eastAsia="zh-CN"/>
                        </w:rPr>
                      </w:pPr>
                      <w:r>
                        <w:rPr>
                          <w:rFonts w:hint="eastAsia"/>
                          <w:sz w:val="28"/>
                          <w:szCs w:val="28"/>
                        </w:rPr>
                        <w:t>致：陕西万泽招标有限公司</w:t>
                      </w:r>
                      <w:r>
                        <w:rPr>
                          <w:sz w:val="28"/>
                          <w:szCs w:val="28"/>
                        </w:rPr>
                        <w:t xml:space="preserve">              </w:t>
                      </w:r>
                      <w:r>
                        <w:rPr>
                          <w:rFonts w:hint="eastAsia"/>
                          <w:sz w:val="28"/>
                          <w:szCs w:val="28"/>
                        </w:rPr>
                        <w:t xml:space="preserve">项目编号： </w:t>
                      </w:r>
                      <w:r>
                        <w:rPr>
                          <w:rFonts w:hint="eastAsia"/>
                          <w:sz w:val="28"/>
                          <w:szCs w:val="28"/>
                          <w:lang w:eastAsia="zh-CN"/>
                        </w:rPr>
                        <w:t>SXWZ2022ZB-SZFY-055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陕西中医药大学附属医院GE64排双能CT更换球管采购项目 </w:t>
                      </w:r>
                    </w:p>
                    <w:p>
                      <w:pPr>
                        <w:jc w:val="center"/>
                        <w:rPr>
                          <w:b/>
                          <w:sz w:val="44"/>
                          <w:szCs w:val="44"/>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u w:val="single"/>
                        </w:rPr>
                      </w:pPr>
                      <w:r>
                        <w:rPr>
                          <w:rFonts w:hint="eastAsia"/>
                          <w:sz w:val="28"/>
                          <w:szCs w:val="28"/>
                        </w:rPr>
                        <w:t>供应商（公章）：</w:t>
                      </w:r>
                      <w:r>
                        <w:rPr>
                          <w:sz w:val="28"/>
                          <w:szCs w:val="28"/>
                          <w:u w:val="single"/>
                        </w:rPr>
                        <w:t xml:space="preserve">            </w:t>
                      </w:r>
                    </w:p>
                    <w:p>
                      <w:pPr>
                        <w:rPr>
                          <w:sz w:val="28"/>
                          <w:szCs w:val="28"/>
                        </w:rPr>
                      </w:pPr>
                      <w:r>
                        <w:rPr>
                          <w:rFonts w:hint="eastAsia"/>
                          <w:sz w:val="28"/>
                          <w:szCs w:val="28"/>
                        </w:rPr>
                        <w:t xml:space="preserve">时间： </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ind w:firstLine="482" w:firstLineChars="200"/>
        <w:jc w:val="center"/>
        <w:rPr>
          <w:rFonts w:hint="eastAsia" w:ascii="宋体" w:hAnsi="宋体" w:eastAsia="宋体" w:cs="宋体"/>
          <w:b/>
          <w:highlight w:val="none"/>
        </w:rPr>
      </w:pPr>
    </w:p>
    <w:p>
      <w:pPr>
        <w:spacing w:line="460" w:lineRule="exact"/>
        <w:jc w:val="center"/>
        <w:rPr>
          <w:rFonts w:hint="eastAsia" w:ascii="宋体" w:hAnsi="宋体" w:eastAsia="宋体" w:cs="宋体"/>
          <w:b/>
          <w:highlight w:val="none"/>
        </w:rPr>
      </w:pPr>
    </w:p>
    <w:p>
      <w:pPr>
        <w:spacing w:line="460" w:lineRule="exact"/>
        <w:jc w:val="center"/>
        <w:rPr>
          <w:rFonts w:hint="eastAsia" w:ascii="宋体" w:hAnsi="宋体" w:eastAsia="宋体" w:cs="宋体"/>
          <w:b/>
          <w:highlight w:val="none"/>
        </w:rPr>
      </w:pPr>
    </w:p>
    <w:p>
      <w:pPr>
        <w:spacing w:line="460" w:lineRule="exact"/>
        <w:jc w:val="center"/>
        <w:rPr>
          <w:rFonts w:hint="eastAsia" w:ascii="宋体" w:hAnsi="宋体" w:eastAsia="宋体" w:cs="宋体"/>
          <w:b/>
          <w:highlight w:val="none"/>
        </w:rPr>
      </w:pPr>
    </w:p>
    <w:p>
      <w:pPr>
        <w:spacing w:line="460" w:lineRule="exact"/>
        <w:jc w:val="center"/>
        <w:rPr>
          <w:rFonts w:hint="eastAsia" w:ascii="宋体" w:hAnsi="宋体" w:eastAsia="宋体" w:cs="宋体"/>
          <w:b/>
          <w:highlight w:val="none"/>
        </w:rPr>
      </w:pPr>
      <w:r>
        <w:rPr>
          <w:rFonts w:hint="eastAsia" w:ascii="宋体" w:hAnsi="宋体" w:eastAsia="宋体" w:cs="宋体"/>
          <w:b/>
          <w:highlight w:val="none"/>
        </w:rPr>
        <w:t>电子文档封袋正面标识式样</w:t>
      </w:r>
    </w:p>
    <w:p>
      <w:pPr>
        <w:tabs>
          <w:tab w:val="left" w:pos="8280"/>
        </w:tabs>
        <w:spacing w:line="460" w:lineRule="exact"/>
        <w:ind w:firstLine="480" w:firstLineChars="200"/>
        <w:jc w:val="center"/>
        <w:rPr>
          <w:rFonts w:hint="eastAsia" w:ascii="宋体" w:hAnsi="宋体" w:eastAsia="宋体" w:cs="宋体"/>
          <w:b/>
          <w:highlight w:val="none"/>
        </w:rPr>
      </w:pPr>
      <w:r>
        <w:rPr>
          <w:rFonts w:hint="eastAsia" w:ascii="宋体" w:hAnsi="宋体" w:eastAsia="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-331470</wp:posOffset>
                </wp:positionH>
                <wp:positionV relativeFrom="paragraph">
                  <wp:posOffset>142240</wp:posOffset>
                </wp:positionV>
                <wp:extent cx="6241415" cy="2981325"/>
                <wp:effectExtent l="4445" t="4445" r="17780" b="16510"/>
                <wp:wrapNone/>
                <wp:docPr id="10" name="Text Box 3"/>
                <wp:cNvGraphicFramePr/>
                <a:graphic xmlns:a="http://schemas.openxmlformats.org/drawingml/2006/main">
                  <a:graphicData uri="http://schemas.microsoft.com/office/word/2010/wordprocessingShape">
                    <wps:wsp>
                      <wps:cNvSpPr txBox="1"/>
                      <wps:spPr>
                        <a:xfrm>
                          <a:off x="0" y="0"/>
                          <a:ext cx="6455410" cy="25311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yellow"/>
                                <w:lang w:eastAsia="zh-CN"/>
                              </w:rPr>
                            </w:pPr>
                            <w:r>
                              <w:rPr>
                                <w:rFonts w:hint="eastAsia"/>
                                <w:sz w:val="28"/>
                                <w:szCs w:val="28"/>
                              </w:rPr>
                              <w:t>致：陕西万泽招标有限公司</w:t>
                            </w:r>
                            <w:r>
                              <w:rPr>
                                <w:sz w:val="28"/>
                                <w:szCs w:val="28"/>
                              </w:rPr>
                              <w:t xml:space="preserve">              </w:t>
                            </w:r>
                            <w:r>
                              <w:rPr>
                                <w:rFonts w:hint="eastAsia"/>
                                <w:sz w:val="28"/>
                                <w:szCs w:val="28"/>
                              </w:rPr>
                              <w:t xml:space="preserve">项目编号： </w:t>
                            </w:r>
                            <w:r>
                              <w:rPr>
                                <w:rFonts w:hint="eastAsia"/>
                                <w:sz w:val="28"/>
                                <w:szCs w:val="28"/>
                                <w:lang w:eastAsia="zh-CN"/>
                              </w:rPr>
                              <w:t>SXWZ2022ZB-SZFY-055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陕西中医药大学附属医院GE64排双能CT更换球管采购项目 </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（非谈判</w:t>
                            </w:r>
                            <w:r>
                              <w:rPr>
                                <w:rFonts w:hint="eastAsia"/>
                                <w:sz w:val="28"/>
                                <w:szCs w:val="28"/>
                                <w:u w:val="single"/>
                              </w:rPr>
                              <w:t>会议</w:t>
                            </w:r>
                            <w:r>
                              <w:rPr>
                                <w:rFonts w:hint="eastAsia"/>
                                <w:sz w:val="28"/>
                                <w:szCs w:val="28"/>
                              </w:rPr>
                              <w:t>不得启封）</w:t>
                            </w:r>
                          </w:p>
                          <w:p>
                            <w:pPr>
                              <w:rPr>
                                <w:sz w:val="28"/>
                                <w:szCs w:val="28"/>
                                <w:u w:val="single"/>
                              </w:rPr>
                            </w:pPr>
                            <w:r>
                              <w:rPr>
                                <w:rFonts w:hint="eastAsia"/>
                                <w:sz w:val="28"/>
                                <w:szCs w:val="28"/>
                              </w:rPr>
                              <w:t>供应商（公章）：</w:t>
                            </w:r>
                            <w:r>
                              <w:rPr>
                                <w:sz w:val="28"/>
                                <w:szCs w:val="28"/>
                                <w:u w:val="single"/>
                              </w:rPr>
                              <w:t xml:space="preserve">            </w:t>
                            </w:r>
                          </w:p>
                          <w:p>
                            <w:pPr>
                              <w:rPr>
                                <w:sz w:val="28"/>
                                <w:szCs w:val="28"/>
                                <w:u w:val="single"/>
                              </w:rPr>
                            </w:pPr>
                            <w:r>
                              <w:rPr>
                                <w:rFonts w:hint="eastAsia"/>
                                <w:sz w:val="28"/>
                                <w:szCs w:val="28"/>
                              </w:rPr>
                              <w:t xml:space="preserve">时间： </w:t>
                            </w:r>
                            <w:r>
                              <w:rPr>
                                <w:rFonts w:hint="eastAsia"/>
                                <w:sz w:val="28"/>
                                <w:szCs w:val="28"/>
                                <w:u w:val="single"/>
                              </w:rPr>
                              <w:t xml:space="preserve">        年       月      日</w:t>
                            </w:r>
                          </w:p>
                          <w:p/>
                          <w:p>
                            <w:pPr>
                              <w:rPr>
                                <w:ins w:id="0" w:author="米" w:date="2017-03-01T16:56:00Z"/>
                              </w:rPr>
                            </w:pPr>
                          </w:p>
                          <w:p>
                            <w:pPr>
                              <w:rPr>
                                <w:sz w:val="28"/>
                                <w:szCs w:val="28"/>
                              </w:rPr>
                            </w:pPr>
                            <w:ins w:id="1" w:author="米" w:date="2017-03-01T16:56:00Z">
                              <w:r>
                                <w:rPr>
                                  <w:rFonts w:hint="eastAsia"/>
                                  <w:sz w:val="28"/>
                                  <w:szCs w:val="28"/>
                                </w:rPr>
                                <w:t>时间：</w:t>
                              </w:r>
                            </w:ins>
                            <w:ins w:id="2" w:author="米" w:date="2017-03-01T16:56:00Z">
                              <w:r>
                                <w:rPr>
                                  <w:rFonts w:ascii="宋体" w:hAnsi="宋体" w:cs="宋体"/>
                                  <w:szCs w:val="21"/>
                                  <w:u w:val="single"/>
                                </w:rPr>
                                <w:t xml:space="preserve">     </w:t>
                              </w:r>
                            </w:ins>
                            <w:ins w:id="3" w:author="米" w:date="2017-03-01T16:56:00Z">
                              <w:r>
                                <w:rPr>
                                  <w:rFonts w:hint="eastAsia" w:ascii="宋体" w:hAnsi="宋体" w:cs="宋体"/>
                                  <w:szCs w:val="21"/>
                                </w:rPr>
                                <w:t>年</w:t>
                              </w:r>
                            </w:ins>
                            <w:ins w:id="4" w:author="米" w:date="2017-03-01T16:56:00Z">
                              <w:r>
                                <w:rPr>
                                  <w:rFonts w:ascii="宋体" w:hAnsi="宋体" w:cs="宋体"/>
                                  <w:szCs w:val="21"/>
                                  <w:u w:val="single"/>
                                </w:rPr>
                                <w:t xml:space="preserve">   </w:t>
                              </w:r>
                            </w:ins>
                            <w:ins w:id="5" w:author="米" w:date="2017-03-01T16:56:00Z">
                              <w:r>
                                <w:rPr>
                                  <w:rFonts w:hint="eastAsia" w:ascii="宋体" w:hAnsi="宋体" w:cs="宋体"/>
                                  <w:szCs w:val="21"/>
                                </w:rPr>
                                <w:t>月</w:t>
                              </w:r>
                            </w:ins>
                            <w:ins w:id="6" w:author="米" w:date="2017-03-01T16:56:00Z">
                              <w:r>
                                <w:rPr>
                                  <w:rFonts w:ascii="宋体" w:hAnsi="宋体" w:cs="宋体"/>
                                  <w:szCs w:val="21"/>
                                  <w:u w:val="single"/>
                                </w:rPr>
                                <w:t xml:space="preserve">    </w:t>
                              </w:r>
                            </w:ins>
                            <w:ins w:id="7" w:author="米" w:date="2017-03-01T16:56:00Z">
                              <w:r>
                                <w:rPr>
                                  <w:rFonts w:hint="eastAsia" w:ascii="宋体" w:hAnsi="宋体" w:cs="宋体"/>
                                  <w:szCs w:val="21"/>
                                </w:rPr>
                                <w:t>日</w:t>
                              </w:r>
                            </w:ins>
                          </w:p>
                        </w:txbxContent>
                      </wps:txbx>
                      <wps:bodyPr upright="1"/>
                    </wps:wsp>
                  </a:graphicData>
                </a:graphic>
              </wp:anchor>
            </w:drawing>
          </mc:Choice>
          <mc:Fallback>
            <w:pict>
              <v:shape id="Text Box 3" o:spid="_x0000_s1026" o:spt="202" type="#_x0000_t202" style="position:absolute;left:0pt;margin-left:-26.1pt;margin-top:11.2pt;height:234.75pt;width:491.45pt;z-index:251664384;mso-width-relative:page;mso-height-relative:page;" fillcolor="#FFFFFF" filled="t" stroked="t" coordsize="21600,21600" o:gfxdata="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Lyv3TaAAAACgEAAA8AAAAAAAAAAQAgAAAAIgAAAGRycy9k&#10;b3ducmV2LnhtbFBLAQIUABQAAAAIAIdO4kAxe7l4AAIAAEUEAAAOAAAAAAAAAAEAIAAAACkBAABk&#10;cnMvZTJvRG9jLnhtbFBLBQYAAAAABgAGAFkBAACbBQAAAAA=&#10;">
                <v:fill on="t" focussize="0,0"/>
                <v:stroke color="#000000" joinstyle="miter"/>
                <v:imagedata o:title=""/>
                <o:lock v:ext="edit" aspectratio="f"/>
                <v:textbox>
                  <w:txbxContent>
                    <w:p>
                      <w:pPr>
                        <w:rPr>
                          <w:rFonts w:hint="eastAsia" w:eastAsia="宋体"/>
                          <w:sz w:val="28"/>
                          <w:szCs w:val="28"/>
                          <w:highlight w:val="yellow"/>
                          <w:lang w:eastAsia="zh-CN"/>
                        </w:rPr>
                      </w:pPr>
                      <w:r>
                        <w:rPr>
                          <w:rFonts w:hint="eastAsia"/>
                          <w:sz w:val="28"/>
                          <w:szCs w:val="28"/>
                        </w:rPr>
                        <w:t>致：陕西万泽招标有限公司</w:t>
                      </w:r>
                      <w:r>
                        <w:rPr>
                          <w:sz w:val="28"/>
                          <w:szCs w:val="28"/>
                        </w:rPr>
                        <w:t xml:space="preserve">              </w:t>
                      </w:r>
                      <w:r>
                        <w:rPr>
                          <w:rFonts w:hint="eastAsia"/>
                          <w:sz w:val="28"/>
                          <w:szCs w:val="28"/>
                        </w:rPr>
                        <w:t xml:space="preserve">项目编号： </w:t>
                      </w:r>
                      <w:r>
                        <w:rPr>
                          <w:rFonts w:hint="eastAsia"/>
                          <w:sz w:val="28"/>
                          <w:szCs w:val="28"/>
                          <w:lang w:eastAsia="zh-CN"/>
                        </w:rPr>
                        <w:t>SXWZ2022ZB-SZFY-055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陕西中医药大学附属医院GE64排双能CT更换球管采购项目 </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（非谈判</w:t>
                      </w:r>
                      <w:r>
                        <w:rPr>
                          <w:rFonts w:hint="eastAsia"/>
                          <w:sz w:val="28"/>
                          <w:szCs w:val="28"/>
                          <w:u w:val="single"/>
                        </w:rPr>
                        <w:t>会议</w:t>
                      </w:r>
                      <w:r>
                        <w:rPr>
                          <w:rFonts w:hint="eastAsia"/>
                          <w:sz w:val="28"/>
                          <w:szCs w:val="28"/>
                        </w:rPr>
                        <w:t>不得启封）</w:t>
                      </w:r>
                    </w:p>
                    <w:p>
                      <w:pPr>
                        <w:rPr>
                          <w:sz w:val="28"/>
                          <w:szCs w:val="28"/>
                          <w:u w:val="single"/>
                        </w:rPr>
                      </w:pPr>
                      <w:r>
                        <w:rPr>
                          <w:rFonts w:hint="eastAsia"/>
                          <w:sz w:val="28"/>
                          <w:szCs w:val="28"/>
                        </w:rPr>
                        <w:t>供应商（公章）：</w:t>
                      </w:r>
                      <w:r>
                        <w:rPr>
                          <w:sz w:val="28"/>
                          <w:szCs w:val="28"/>
                          <w:u w:val="single"/>
                        </w:rPr>
                        <w:t xml:space="preserve">            </w:t>
                      </w:r>
                    </w:p>
                    <w:p>
                      <w:pPr>
                        <w:rPr>
                          <w:sz w:val="28"/>
                          <w:szCs w:val="28"/>
                          <w:u w:val="single"/>
                        </w:rPr>
                      </w:pPr>
                      <w:r>
                        <w:rPr>
                          <w:rFonts w:hint="eastAsia"/>
                          <w:sz w:val="28"/>
                          <w:szCs w:val="28"/>
                        </w:rPr>
                        <w:t xml:space="preserve">时间： </w:t>
                      </w:r>
                      <w:r>
                        <w:rPr>
                          <w:rFonts w:hint="eastAsia"/>
                          <w:sz w:val="28"/>
                          <w:szCs w:val="28"/>
                          <w:u w:val="single"/>
                        </w:rPr>
                        <w:t xml:space="preserve">        年       月      日</w:t>
                      </w:r>
                    </w:p>
                    <w:p/>
                    <w:p>
                      <w:pPr>
                        <w:rPr>
                          <w:ins w:id="8" w:author="米" w:date="2017-03-01T16:56:00Z"/>
                        </w:rPr>
                      </w:pPr>
                    </w:p>
                    <w:p>
                      <w:pPr>
                        <w:rPr>
                          <w:sz w:val="28"/>
                          <w:szCs w:val="28"/>
                        </w:rPr>
                      </w:pPr>
                      <w:ins w:id="9" w:author="米" w:date="2017-03-01T16:56:00Z">
                        <w:r>
                          <w:rPr>
                            <w:rFonts w:hint="eastAsia"/>
                            <w:sz w:val="28"/>
                            <w:szCs w:val="28"/>
                          </w:rPr>
                          <w:t>时间：</w:t>
                        </w:r>
                      </w:ins>
                      <w:ins w:id="10" w:author="米" w:date="2017-03-01T16:56:00Z">
                        <w:r>
                          <w:rPr>
                            <w:rFonts w:ascii="宋体" w:hAnsi="宋体" w:cs="宋体"/>
                            <w:szCs w:val="21"/>
                            <w:u w:val="single"/>
                          </w:rPr>
                          <w:t xml:space="preserve">     </w:t>
                        </w:r>
                      </w:ins>
                      <w:ins w:id="11" w:author="米" w:date="2017-03-01T16:56:00Z">
                        <w:r>
                          <w:rPr>
                            <w:rFonts w:hint="eastAsia" w:ascii="宋体" w:hAnsi="宋体" w:cs="宋体"/>
                            <w:szCs w:val="21"/>
                          </w:rPr>
                          <w:t>年</w:t>
                        </w:r>
                      </w:ins>
                      <w:ins w:id="12" w:author="米" w:date="2017-03-01T16:56:00Z">
                        <w:r>
                          <w:rPr>
                            <w:rFonts w:ascii="宋体" w:hAnsi="宋体" w:cs="宋体"/>
                            <w:szCs w:val="21"/>
                            <w:u w:val="single"/>
                          </w:rPr>
                          <w:t xml:space="preserve">   </w:t>
                        </w:r>
                      </w:ins>
                      <w:ins w:id="13" w:author="米" w:date="2017-03-01T16:56:00Z">
                        <w:r>
                          <w:rPr>
                            <w:rFonts w:hint="eastAsia" w:ascii="宋体" w:hAnsi="宋体" w:cs="宋体"/>
                            <w:szCs w:val="21"/>
                          </w:rPr>
                          <w:t>月</w:t>
                        </w:r>
                      </w:ins>
                      <w:ins w:id="14" w:author="米" w:date="2017-03-01T16:56:00Z">
                        <w:r>
                          <w:rPr>
                            <w:rFonts w:ascii="宋体" w:hAnsi="宋体" w:cs="宋体"/>
                            <w:szCs w:val="21"/>
                            <w:u w:val="single"/>
                          </w:rPr>
                          <w:t xml:space="preserve">    </w:t>
                        </w:r>
                      </w:ins>
                      <w:ins w:id="15" w:author="米" w:date="2017-03-01T16:56:00Z">
                        <w:r>
                          <w:rPr>
                            <w:rFonts w:hint="eastAsia" w:ascii="宋体" w:hAnsi="宋体" w:cs="宋体"/>
                            <w:szCs w:val="21"/>
                          </w:rPr>
                          <w:t>日</w:t>
                        </w:r>
                      </w:ins>
                    </w:p>
                  </w:txbxContent>
                </v:textbox>
              </v:shape>
            </w:pict>
          </mc:Fallback>
        </mc:AlternateContent>
      </w: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480" w:firstLineChars="200"/>
        <w:jc w:val="center"/>
        <w:rPr>
          <w:rFonts w:hint="eastAsia" w:ascii="宋体" w:hAnsi="宋体" w:eastAsia="宋体" w:cs="宋体"/>
          <w:highlight w:val="none"/>
        </w:rPr>
      </w:pPr>
    </w:p>
    <w:p>
      <w:pPr>
        <w:ind w:firstLine="1004" w:firstLineChars="200"/>
        <w:jc w:val="center"/>
        <w:rPr>
          <w:rFonts w:hint="eastAsia" w:ascii="宋体" w:hAnsi="宋体" w:eastAsia="宋体" w:cs="宋体"/>
          <w:b/>
          <w:sz w:val="50"/>
          <w:highlight w:val="none"/>
        </w:rPr>
      </w:pPr>
    </w:p>
    <w:p>
      <w:pPr>
        <w:pageBreakBefore/>
        <w:spacing w:line="420" w:lineRule="auto"/>
        <w:jc w:val="center"/>
        <w:rPr>
          <w:rFonts w:hint="eastAsia" w:ascii="宋体" w:hAnsi="宋体" w:eastAsia="宋体" w:cs="宋体"/>
          <w:b/>
          <w:bCs/>
          <w:sz w:val="36"/>
          <w:szCs w:val="36"/>
          <w:highlight w:val="none"/>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215" w:name="_Toc20129"/>
      <w:bookmarkStart w:id="216" w:name="_Toc7273"/>
      <w:bookmarkStart w:id="217" w:name="_Toc8177"/>
      <w:bookmarkStart w:id="218" w:name="_Toc2707"/>
      <w:bookmarkStart w:id="219" w:name="_Toc3962"/>
      <w:bookmarkStart w:id="220" w:name="_Toc9607"/>
      <w:bookmarkStart w:id="221" w:name="_Toc22866"/>
      <w:bookmarkStart w:id="222" w:name="_Toc11924"/>
      <w:bookmarkStart w:id="223" w:name="_Toc5338"/>
      <w:bookmarkStart w:id="224" w:name="_Toc10027"/>
      <w:r>
        <w:rPr>
          <w:rFonts w:hint="eastAsia" w:ascii="宋体" w:hAnsi="宋体" w:cs="宋体"/>
        </w:rPr>
        <w:t>附件二、中小企业申明</w:t>
      </w:r>
      <w:bookmarkEnd w:id="215"/>
      <w:bookmarkEnd w:id="216"/>
      <w:bookmarkEnd w:id="217"/>
      <w:bookmarkEnd w:id="218"/>
      <w:bookmarkEnd w:id="219"/>
      <w:bookmarkEnd w:id="220"/>
      <w:bookmarkEnd w:id="221"/>
    </w:p>
    <w:p>
      <w:pPr>
        <w:rPr>
          <w:rFonts w:ascii="宋体" w:hAnsi="宋体" w:cs="宋体"/>
        </w:rPr>
      </w:pPr>
    </w:p>
    <w:p>
      <w:pPr>
        <w:spacing w:line="588" w:lineRule="exact"/>
        <w:ind w:firstLine="504" w:firstLineChars="200"/>
        <w:rPr>
          <w:rFonts w:ascii="宋体" w:hAnsi="宋体" w:cs="宋体"/>
          <w:spacing w:val="6"/>
          <w:sz w:val="24"/>
        </w:rPr>
      </w:pPr>
      <w:r>
        <w:rPr>
          <w:rFonts w:hint="eastAsia" w:ascii="宋体" w:hAnsi="宋体" w:cs="宋体"/>
          <w:spacing w:val="6"/>
          <w:sz w:val="24"/>
        </w:rPr>
        <w:t>根据《政府采购促进中小企业发展暂行办法》（财库[2011]181号）的规定由供应商自行申明，并对声明的真实性负责，如有虚假，将依法承担相应责任。</w:t>
      </w:r>
    </w:p>
    <w:p>
      <w:pPr>
        <w:spacing w:line="588" w:lineRule="exact"/>
        <w:jc w:val="center"/>
        <w:rPr>
          <w:rFonts w:ascii="宋体" w:hAnsi="宋体" w:cs="宋体"/>
          <w:b/>
          <w:color w:val="000000"/>
          <w:spacing w:val="6"/>
          <w:sz w:val="24"/>
          <w:szCs w:val="24"/>
        </w:rPr>
      </w:pPr>
      <w:bookmarkStart w:id="225" w:name="_Toc30503"/>
      <w:bookmarkStart w:id="226" w:name="_Toc11130"/>
      <w:bookmarkStart w:id="227" w:name="_Toc3198"/>
      <w:bookmarkStart w:id="228" w:name="_Toc11556"/>
      <w:bookmarkStart w:id="229" w:name="_Toc15467"/>
      <w:r>
        <w:rPr>
          <w:rFonts w:hint="eastAsia" w:ascii="宋体" w:hAnsi="宋体" w:cs="宋体"/>
          <w:b/>
          <w:color w:val="000000"/>
          <w:spacing w:val="6"/>
          <w:sz w:val="24"/>
          <w:szCs w:val="24"/>
        </w:rPr>
        <w:t>中小企业声明函（货物）</w:t>
      </w:r>
    </w:p>
    <w:p>
      <w:pPr>
        <w:pStyle w:val="11"/>
        <w:spacing w:before="55" w:line="360" w:lineRule="auto"/>
        <w:ind w:right="415" w:firstLine="640"/>
        <w:rPr>
          <w:rFonts w:ascii="宋体" w:hAnsi="宋体" w:cs="宋体"/>
          <w:color w:val="000000"/>
          <w:spacing w:val="6"/>
          <w:sz w:val="24"/>
        </w:rPr>
      </w:pPr>
      <w:r>
        <w:rPr>
          <w:rFonts w:hint="eastAsia" w:ascii="宋体" w:hAnsi="宋体" w:cs="宋体"/>
          <w:color w:val="000000"/>
          <w:spacing w:val="6"/>
          <w:sz w:val="24"/>
        </w:rPr>
        <w:t>本公司</w:t>
      </w:r>
      <w:r>
        <w:rPr>
          <w:rFonts w:hint="eastAsia" w:ascii="宋体" w:hAnsi="宋体" w:cs="宋体"/>
          <w:sz w:val="24"/>
          <w:szCs w:val="24"/>
        </w:rPr>
        <w:t>（联合体）</w:t>
      </w:r>
      <w:r>
        <w:rPr>
          <w:rFonts w:hint="eastAsia" w:ascii="宋体" w:hAnsi="宋体" w:cs="宋体"/>
          <w:color w:val="000000"/>
          <w:spacing w:val="6"/>
          <w:sz w:val="24"/>
        </w:rPr>
        <w:t>郑重声明，根据《政府采购促进中小企业发展管理办法》（财库﹝2020﹞46 号）的规定，本公司</w:t>
      </w:r>
      <w:r>
        <w:rPr>
          <w:rFonts w:hint="eastAsia" w:ascii="宋体" w:hAnsi="宋体" w:cs="宋体"/>
          <w:sz w:val="24"/>
          <w:szCs w:val="24"/>
        </w:rPr>
        <w:t>（联合体）</w:t>
      </w:r>
      <w:r>
        <w:rPr>
          <w:rFonts w:hint="eastAsia" w:ascii="宋体" w:hAnsi="宋体" w:cs="宋体"/>
          <w:color w:val="000000"/>
          <w:spacing w:val="6"/>
          <w:sz w:val="24"/>
        </w:rPr>
        <w:t>参加</w:t>
      </w:r>
      <w:r>
        <w:rPr>
          <w:rFonts w:hint="eastAsia" w:ascii="宋体" w:hAnsi="宋体" w:cs="宋体"/>
          <w:color w:val="000000"/>
          <w:spacing w:val="6"/>
          <w:sz w:val="24"/>
          <w:u w:val="single"/>
        </w:rPr>
        <w:t>（单位名称）</w:t>
      </w:r>
      <w:r>
        <w:rPr>
          <w:rFonts w:hint="eastAsia" w:ascii="宋体" w:hAnsi="宋体" w:cs="宋体"/>
          <w:color w:val="000000"/>
          <w:spacing w:val="6"/>
          <w:sz w:val="24"/>
        </w:rPr>
        <w:t>的</w:t>
      </w:r>
      <w:r>
        <w:rPr>
          <w:rFonts w:hint="eastAsia" w:ascii="宋体" w:hAnsi="宋体" w:cs="宋体"/>
          <w:color w:val="000000"/>
          <w:spacing w:val="6"/>
          <w:sz w:val="24"/>
          <w:u w:val="single"/>
        </w:rPr>
        <w:t>（项目名称）</w:t>
      </w:r>
      <w:r>
        <w:rPr>
          <w:rFonts w:hint="eastAsia" w:ascii="宋体" w:hAnsi="宋体" w:cs="宋体"/>
          <w:color w:val="000000"/>
          <w:spacing w:val="6"/>
          <w:sz w:val="24"/>
        </w:rPr>
        <w:t>采购活动，提供的货物全部由符合政策要求的中小企业制造。相关企业的具体情况如下：</w:t>
      </w:r>
    </w:p>
    <w:p>
      <w:pPr>
        <w:pStyle w:val="80"/>
        <w:numPr>
          <w:ilvl w:val="0"/>
          <w:numId w:val="24"/>
        </w:numPr>
        <w:tabs>
          <w:tab w:val="left" w:pos="1183"/>
          <w:tab w:val="left" w:pos="1484"/>
          <w:tab w:val="left" w:pos="4662"/>
          <w:tab w:val="left" w:pos="6903"/>
        </w:tabs>
        <w:spacing w:line="360" w:lineRule="auto"/>
        <w:ind w:right="169" w:firstLine="504"/>
        <w:jc w:val="left"/>
        <w:rPr>
          <w:rFonts w:ascii="宋体" w:hAnsi="宋体" w:eastAsia="宋体" w:cs="宋体"/>
          <w:color w:val="000000"/>
          <w:spacing w:val="6"/>
          <w:sz w:val="24"/>
        </w:rPr>
      </w:pPr>
      <w:r>
        <w:rPr>
          <w:rFonts w:hint="eastAsia" w:ascii="宋体" w:hAnsi="宋体" w:eastAsia="宋体" w:cs="宋体"/>
          <w:color w:val="000000"/>
          <w:spacing w:val="6"/>
          <w:sz w:val="24"/>
          <w:u w:val="single"/>
        </w:rPr>
        <w:t xml:space="preserve">（ 标 的 名 称 ） </w:t>
      </w:r>
      <w:r>
        <w:rPr>
          <w:rFonts w:hint="eastAsia" w:ascii="宋体" w:hAnsi="宋体" w:eastAsia="宋体" w:cs="宋体"/>
          <w:color w:val="000000"/>
          <w:spacing w:val="6"/>
          <w:sz w:val="24"/>
        </w:rPr>
        <w:t xml:space="preserve">， 属 于 </w:t>
      </w:r>
      <w:r>
        <w:rPr>
          <w:rFonts w:hint="eastAsia" w:ascii="宋体" w:hAnsi="宋体" w:eastAsia="宋体" w:cs="宋体"/>
          <w:color w:val="000000"/>
          <w:spacing w:val="6"/>
          <w:sz w:val="24"/>
          <w:u w:val="single"/>
        </w:rPr>
        <w:t xml:space="preserve">（ 所 属 行 业 ） </w:t>
      </w:r>
      <w:r>
        <w:rPr>
          <w:rFonts w:hint="eastAsia" w:ascii="宋体" w:hAnsi="宋体" w:eastAsia="宋体" w:cs="宋体"/>
          <w:color w:val="000000"/>
          <w:spacing w:val="6"/>
          <w:sz w:val="24"/>
        </w:rPr>
        <w:t>行业；制造商为</w:t>
      </w:r>
      <w:r>
        <w:rPr>
          <w:rFonts w:hint="eastAsia" w:ascii="宋体" w:hAnsi="宋体" w:eastAsia="宋体" w:cs="宋体"/>
          <w:color w:val="000000"/>
          <w:spacing w:val="6"/>
          <w:sz w:val="24"/>
          <w:u w:val="single"/>
        </w:rPr>
        <w:t>（企业名称）</w:t>
      </w:r>
      <w:r>
        <w:rPr>
          <w:rFonts w:hint="eastAsia" w:ascii="宋体" w:hAnsi="宋体" w:eastAsia="宋体" w:cs="宋体"/>
          <w:color w:val="000000"/>
          <w:spacing w:val="6"/>
          <w:sz w:val="24"/>
        </w:rPr>
        <w:t>，从业人员</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人，营业收入为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万元，资产总额为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万元，属于</w:t>
      </w:r>
      <w:r>
        <w:rPr>
          <w:rFonts w:hint="eastAsia" w:ascii="宋体" w:hAnsi="宋体" w:eastAsia="宋体" w:cs="宋体"/>
          <w:color w:val="000000"/>
          <w:spacing w:val="6"/>
          <w:sz w:val="24"/>
          <w:u w:val="single"/>
        </w:rPr>
        <w:t>（中型企业、小型企业、微型企业）</w:t>
      </w:r>
      <w:r>
        <w:rPr>
          <w:rFonts w:hint="eastAsia" w:ascii="宋体" w:hAnsi="宋体" w:eastAsia="宋体" w:cs="宋体"/>
          <w:color w:val="000000"/>
          <w:spacing w:val="6"/>
          <w:sz w:val="24"/>
        </w:rPr>
        <w:t>；</w:t>
      </w:r>
    </w:p>
    <w:p>
      <w:pPr>
        <w:pStyle w:val="80"/>
        <w:numPr>
          <w:ilvl w:val="0"/>
          <w:numId w:val="24"/>
        </w:numPr>
        <w:tabs>
          <w:tab w:val="left" w:pos="1165"/>
          <w:tab w:val="left" w:pos="1183"/>
          <w:tab w:val="left" w:pos="4362"/>
          <w:tab w:val="left" w:pos="6577"/>
        </w:tabs>
        <w:spacing w:line="360" w:lineRule="auto"/>
        <w:ind w:right="169" w:firstLine="504"/>
        <w:jc w:val="left"/>
        <w:rPr>
          <w:rFonts w:ascii="宋体" w:hAnsi="宋体" w:eastAsia="宋体" w:cs="宋体"/>
          <w:color w:val="000000"/>
          <w:spacing w:val="6"/>
          <w:sz w:val="24"/>
        </w:rPr>
      </w:pPr>
      <w:r>
        <w:rPr>
          <w:rFonts w:hint="eastAsia" w:ascii="宋体" w:hAnsi="宋体" w:eastAsia="宋体" w:cs="宋体"/>
          <w:color w:val="000000"/>
          <w:spacing w:val="6"/>
          <w:sz w:val="24"/>
          <w:u w:val="single"/>
        </w:rPr>
        <w:t xml:space="preserve">（ 标 的 名 称 ） </w:t>
      </w:r>
      <w:r>
        <w:rPr>
          <w:rFonts w:hint="eastAsia" w:ascii="宋体" w:hAnsi="宋体" w:eastAsia="宋体" w:cs="宋体"/>
          <w:color w:val="000000"/>
          <w:spacing w:val="6"/>
          <w:sz w:val="24"/>
        </w:rPr>
        <w:t xml:space="preserve">， 属 于 </w:t>
      </w:r>
      <w:r>
        <w:rPr>
          <w:rFonts w:hint="eastAsia" w:ascii="宋体" w:hAnsi="宋体" w:eastAsia="宋体" w:cs="宋体"/>
          <w:color w:val="000000"/>
          <w:spacing w:val="6"/>
          <w:sz w:val="24"/>
          <w:u w:val="single"/>
        </w:rPr>
        <w:t xml:space="preserve">（ 所 属 行 业 ） </w:t>
      </w:r>
      <w:r>
        <w:rPr>
          <w:rFonts w:hint="eastAsia" w:ascii="宋体" w:hAnsi="宋体" w:eastAsia="宋体" w:cs="宋体"/>
          <w:color w:val="000000"/>
          <w:spacing w:val="6"/>
          <w:sz w:val="24"/>
        </w:rPr>
        <w:t>行业；制造商为</w:t>
      </w:r>
      <w:r>
        <w:rPr>
          <w:rFonts w:hint="eastAsia" w:ascii="宋体" w:hAnsi="宋体" w:eastAsia="宋体" w:cs="宋体"/>
          <w:color w:val="000000"/>
          <w:spacing w:val="6"/>
          <w:sz w:val="24"/>
          <w:u w:val="single"/>
        </w:rPr>
        <w:t>（企业名称）</w:t>
      </w:r>
      <w:r>
        <w:rPr>
          <w:rFonts w:hint="eastAsia" w:ascii="宋体" w:hAnsi="宋体" w:eastAsia="宋体" w:cs="宋体"/>
          <w:color w:val="000000"/>
          <w:spacing w:val="6"/>
          <w:sz w:val="24"/>
        </w:rPr>
        <w:t>，从业人员人，营业收入为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万元，资产总额为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万元，属于</w:t>
      </w:r>
      <w:r>
        <w:rPr>
          <w:rFonts w:hint="eastAsia" w:ascii="宋体" w:hAnsi="宋体" w:eastAsia="宋体" w:cs="宋体"/>
          <w:color w:val="000000"/>
          <w:spacing w:val="6"/>
          <w:sz w:val="24"/>
          <w:u w:val="single"/>
        </w:rPr>
        <w:t>（中型企业、小型企业、微型企业）</w:t>
      </w:r>
      <w:r>
        <w:rPr>
          <w:rFonts w:hint="eastAsia" w:ascii="宋体" w:hAnsi="宋体" w:eastAsia="宋体" w:cs="宋体"/>
          <w:color w:val="000000"/>
          <w:spacing w:val="6"/>
          <w:sz w:val="24"/>
        </w:rPr>
        <w:t>；</w:t>
      </w:r>
    </w:p>
    <w:p>
      <w:pPr>
        <w:pStyle w:val="11"/>
        <w:spacing w:line="360" w:lineRule="auto"/>
        <w:ind w:left="860"/>
        <w:rPr>
          <w:rFonts w:ascii="宋体" w:hAnsi="宋体" w:cs="宋体"/>
          <w:color w:val="000000"/>
          <w:spacing w:val="6"/>
          <w:sz w:val="24"/>
        </w:rPr>
      </w:pPr>
      <w:r>
        <w:rPr>
          <w:rFonts w:hint="eastAsia" w:ascii="宋体" w:hAnsi="宋体" w:cs="宋体"/>
          <w:color w:val="000000"/>
          <w:spacing w:val="6"/>
          <w:sz w:val="24"/>
        </w:rPr>
        <w:t>……</w:t>
      </w:r>
    </w:p>
    <w:p>
      <w:pPr>
        <w:pStyle w:val="11"/>
        <w:spacing w:before="105" w:line="360" w:lineRule="auto"/>
        <w:ind w:right="417" w:firstLine="645"/>
        <w:rPr>
          <w:rFonts w:ascii="宋体" w:hAnsi="宋体" w:cs="宋体"/>
          <w:color w:val="000000"/>
          <w:spacing w:val="6"/>
          <w:sz w:val="24"/>
        </w:rPr>
      </w:pPr>
      <w:r>
        <w:rPr>
          <w:rFonts w:hint="eastAsia" w:ascii="宋体" w:hAnsi="宋体" w:cs="宋体"/>
          <w:color w:val="000000"/>
          <w:spacing w:val="6"/>
          <w:sz w:val="24"/>
        </w:rPr>
        <w:t>以上企业，不属于大企业的分支机构，不存在控股股东为大企业的情形，也不存在与大企业的负责人为同一人的情形。</w:t>
      </w:r>
    </w:p>
    <w:p>
      <w:pPr>
        <w:pStyle w:val="11"/>
        <w:spacing w:line="360" w:lineRule="auto"/>
        <w:ind w:right="372" w:firstLine="645"/>
        <w:rPr>
          <w:rFonts w:ascii="宋体" w:hAnsi="宋体" w:cs="宋体"/>
          <w:color w:val="000000"/>
          <w:spacing w:val="6"/>
          <w:sz w:val="24"/>
        </w:rPr>
      </w:pPr>
      <w:r>
        <w:rPr>
          <w:rFonts w:hint="eastAsia" w:ascii="宋体" w:hAnsi="宋体" w:cs="宋体"/>
          <w:color w:val="000000"/>
          <w:spacing w:val="6"/>
          <w:sz w:val="24"/>
        </w:rPr>
        <w:t>本企业对上述声明内容的真实性负责。如有虚假，将依法承担相应责任。</w:t>
      </w:r>
    </w:p>
    <w:p>
      <w:pPr>
        <w:spacing w:line="360" w:lineRule="auto"/>
        <w:jc w:val="left"/>
        <w:rPr>
          <w:rFonts w:ascii="宋体" w:hAnsi="宋体" w:cs="宋体"/>
          <w:color w:val="000000"/>
          <w:spacing w:val="6"/>
          <w:sz w:val="24"/>
        </w:rPr>
      </w:pPr>
    </w:p>
    <w:p>
      <w:pPr>
        <w:spacing w:line="360" w:lineRule="auto"/>
        <w:jc w:val="left"/>
        <w:rPr>
          <w:rFonts w:ascii="宋体" w:hAnsi="宋体" w:cs="宋体"/>
          <w:color w:val="000000"/>
          <w:spacing w:val="6"/>
          <w:sz w:val="24"/>
        </w:rPr>
      </w:pPr>
    </w:p>
    <w:p>
      <w:pPr>
        <w:spacing w:line="360" w:lineRule="auto"/>
        <w:jc w:val="left"/>
        <w:rPr>
          <w:rFonts w:ascii="宋体" w:hAnsi="宋体" w:cs="宋体"/>
          <w:color w:val="000000"/>
          <w:spacing w:val="6"/>
          <w:sz w:val="24"/>
        </w:rPr>
      </w:pPr>
      <w:r>
        <w:rPr>
          <w:rFonts w:hint="eastAsia" w:ascii="宋体" w:hAnsi="宋体" w:cs="宋体"/>
          <w:color w:val="000000"/>
          <w:spacing w:val="6"/>
          <w:sz w:val="24"/>
        </w:rPr>
        <w:t>企业名称（盖章）：</w:t>
      </w:r>
    </w:p>
    <w:p>
      <w:pPr>
        <w:spacing w:line="588" w:lineRule="exact"/>
        <w:rPr>
          <w:rFonts w:ascii="宋体" w:hAnsi="宋体" w:cs="宋体"/>
          <w:color w:val="000000"/>
          <w:spacing w:val="6"/>
          <w:sz w:val="24"/>
        </w:rPr>
      </w:pPr>
      <w:r>
        <w:rPr>
          <w:rFonts w:hint="eastAsia" w:ascii="宋体" w:hAnsi="宋体" w:cs="宋体"/>
          <w:color w:val="000000"/>
          <w:spacing w:val="6"/>
          <w:sz w:val="24"/>
        </w:rPr>
        <w:t>日期：</w:t>
      </w:r>
    </w:p>
    <w:p>
      <w:pPr>
        <w:rPr>
          <w:rFonts w:ascii="宋体" w:hAnsi="宋体" w:cs="宋体"/>
        </w:rPr>
      </w:pPr>
    </w:p>
    <w:p>
      <w:pPr>
        <w:rPr>
          <w:rFonts w:ascii="宋体" w:hAnsi="宋体" w:cs="宋体"/>
        </w:rPr>
        <w:sectPr>
          <w:footerReference r:id="rId11" w:type="default"/>
          <w:pgSz w:w="11906" w:h="16838"/>
          <w:pgMar w:top="1440" w:right="1803" w:bottom="1440" w:left="1803" w:header="851" w:footer="992" w:gutter="0"/>
          <w:pgNumType w:fmt="decimal"/>
          <w:cols w:space="0" w:num="1"/>
          <w:rtlGutter w:val="1"/>
          <w:docGrid w:type="lines" w:linePitch="319" w:charSpace="0"/>
        </w:sectPr>
      </w:pPr>
      <w:r>
        <w:rPr>
          <w:rFonts w:hint="eastAsia" w:ascii="宋体" w:hAnsi="宋体" w:cs="宋体"/>
        </w:rPr>
        <w:t>注： 从业人员、营业收入、资产总额填报上一年度数据，无上一年度数据的新成立企业可不填报。</w:t>
      </w:r>
    </w:p>
    <w:p>
      <w:pPr>
        <w:pStyle w:val="4"/>
        <w:adjustRightInd w:val="0"/>
        <w:spacing w:line="416" w:lineRule="atLeast"/>
        <w:textAlignment w:val="baseline"/>
        <w:rPr>
          <w:rFonts w:ascii="宋体" w:hAnsi="宋体" w:cs="宋体"/>
        </w:rPr>
      </w:pPr>
      <w:bookmarkStart w:id="230" w:name="_Toc15663"/>
      <w:bookmarkStart w:id="231" w:name="_Toc28268"/>
      <w:r>
        <w:rPr>
          <w:rFonts w:hint="eastAsia" w:ascii="宋体" w:hAnsi="宋体" w:cs="宋体"/>
        </w:rPr>
        <w:t>附件三、残疾人福利性单位声明</w:t>
      </w:r>
      <w:bookmarkEnd w:id="225"/>
      <w:bookmarkEnd w:id="226"/>
      <w:bookmarkEnd w:id="227"/>
      <w:bookmarkEnd w:id="228"/>
      <w:bookmarkEnd w:id="230"/>
      <w:bookmarkEnd w:id="231"/>
    </w:p>
    <w:p>
      <w:pPr>
        <w:spacing w:line="588" w:lineRule="exact"/>
        <w:ind w:firstLine="504" w:firstLineChars="200"/>
        <w:rPr>
          <w:rFonts w:ascii="宋体" w:hAnsi="宋体" w:cs="宋体"/>
        </w:rPr>
      </w:pPr>
      <w:r>
        <w:rPr>
          <w:rFonts w:hint="eastAsia" w:ascii="宋体" w:hAnsi="宋体" w:cs="宋体"/>
          <w:spacing w:val="6"/>
          <w:sz w:val="24"/>
        </w:rPr>
        <w:t>根据《关于促进残疾人就业政府采购政策的通知》财库〔2017〕141号的规定由供应商自行申明，并对声明的真实性负责，如有虚假，将依法承担相应责任。</w:t>
      </w:r>
      <w:bookmarkStart w:id="232" w:name="sendNo"/>
      <w:bookmarkEnd w:id="232"/>
    </w:p>
    <w:p>
      <w:pPr>
        <w:spacing w:line="588" w:lineRule="exact"/>
        <w:ind w:firstLine="504" w:firstLineChars="200"/>
        <w:rPr>
          <w:rFonts w:ascii="宋体" w:hAnsi="宋体" w:cs="宋体"/>
          <w:spacing w:val="6"/>
          <w:sz w:val="24"/>
          <w:szCs w:val="24"/>
        </w:rPr>
      </w:pPr>
      <w:bookmarkStart w:id="233" w:name="_Toc3450"/>
      <w:bookmarkStart w:id="234" w:name="_Toc30938"/>
      <w:bookmarkStart w:id="235" w:name="_Toc6369"/>
      <w:bookmarkStart w:id="236" w:name="_Toc30536"/>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360" w:lineRule="auto"/>
        <w:ind w:firstLine="504" w:firstLineChars="200"/>
        <w:rPr>
          <w:rFonts w:ascii="宋体" w:hAnsi="宋体" w:cs="宋体"/>
          <w:spacing w:val="6"/>
        </w:rPr>
      </w:pPr>
    </w:p>
    <w:tbl>
      <w:tblPr>
        <w:tblStyle w:val="2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pPr>
              <w:spacing w:line="360" w:lineRule="auto"/>
              <w:jc w:val="center"/>
              <w:rPr>
                <w:rFonts w:ascii="宋体" w:hAnsi="宋体" w:cs="宋体"/>
                <w:spacing w:val="6"/>
              </w:rPr>
            </w:pPr>
            <w:r>
              <w:rPr>
                <w:rFonts w:hint="eastAsia" w:ascii="宋体" w:hAnsi="宋体" w:cs="宋体"/>
                <w:spacing w:val="6"/>
              </w:rPr>
              <w:t>序号</w:t>
            </w:r>
          </w:p>
        </w:tc>
        <w:tc>
          <w:tcPr>
            <w:tcW w:w="3058" w:type="dxa"/>
            <w:vAlign w:val="center"/>
          </w:tcPr>
          <w:p>
            <w:pPr>
              <w:spacing w:line="360" w:lineRule="auto"/>
              <w:jc w:val="center"/>
              <w:rPr>
                <w:rFonts w:ascii="宋体" w:hAnsi="宋体" w:cs="宋体"/>
                <w:spacing w:val="6"/>
              </w:rPr>
            </w:pPr>
            <w:r>
              <w:rPr>
                <w:rFonts w:hint="eastAsia" w:ascii="宋体" w:hAnsi="宋体" w:cs="宋体"/>
                <w:spacing w:val="6"/>
              </w:rPr>
              <w:t>产品类型</w:t>
            </w:r>
          </w:p>
        </w:tc>
        <w:tc>
          <w:tcPr>
            <w:tcW w:w="1258" w:type="dxa"/>
            <w:vAlign w:val="center"/>
          </w:tcPr>
          <w:p>
            <w:pPr>
              <w:spacing w:line="360" w:lineRule="auto"/>
              <w:jc w:val="center"/>
              <w:rPr>
                <w:rFonts w:ascii="宋体" w:hAnsi="宋体" w:cs="宋体"/>
                <w:spacing w:val="6"/>
              </w:rPr>
            </w:pPr>
            <w:r>
              <w:rPr>
                <w:rFonts w:hint="eastAsia" w:ascii="宋体" w:hAnsi="宋体" w:cs="宋体"/>
                <w:spacing w:val="6"/>
              </w:rPr>
              <w:t>产品名称</w:t>
            </w:r>
          </w:p>
        </w:tc>
        <w:tc>
          <w:tcPr>
            <w:tcW w:w="1439" w:type="dxa"/>
            <w:vAlign w:val="center"/>
          </w:tcPr>
          <w:p>
            <w:pPr>
              <w:spacing w:line="360" w:lineRule="auto"/>
              <w:jc w:val="center"/>
              <w:rPr>
                <w:rFonts w:ascii="宋体" w:hAnsi="宋体" w:cs="宋体"/>
                <w:spacing w:val="6"/>
              </w:rPr>
            </w:pPr>
            <w:r>
              <w:rPr>
                <w:rFonts w:hint="eastAsia" w:ascii="宋体" w:hAnsi="宋体" w:cs="宋体"/>
                <w:spacing w:val="6"/>
              </w:rPr>
              <w:t>制造商</w:t>
            </w:r>
          </w:p>
        </w:tc>
        <w:tc>
          <w:tcPr>
            <w:tcW w:w="1259" w:type="dxa"/>
            <w:vAlign w:val="center"/>
          </w:tcPr>
          <w:p>
            <w:pPr>
              <w:spacing w:line="360" w:lineRule="auto"/>
              <w:jc w:val="center"/>
              <w:rPr>
                <w:rFonts w:ascii="宋体" w:hAnsi="宋体" w:cs="宋体"/>
                <w:spacing w:val="6"/>
              </w:rPr>
            </w:pPr>
            <w:r>
              <w:rPr>
                <w:rFonts w:hint="eastAsia" w:ascii="宋体" w:hAnsi="宋体" w:cs="宋体"/>
                <w:spacing w:val="6"/>
              </w:rPr>
              <w:t>金额（元）</w:t>
            </w:r>
          </w:p>
        </w:tc>
        <w:tc>
          <w:tcPr>
            <w:tcW w:w="1259" w:type="dxa"/>
            <w:vAlign w:val="center"/>
          </w:tcPr>
          <w:p>
            <w:pPr>
              <w:spacing w:line="360" w:lineRule="auto"/>
              <w:jc w:val="center"/>
              <w:rPr>
                <w:rFonts w:ascii="宋体" w:hAnsi="宋体" w:cs="宋体"/>
                <w:spacing w:val="6"/>
              </w:rPr>
            </w:pPr>
            <w:r>
              <w:rPr>
                <w:rFonts w:hint="eastAsia" w:ascii="宋体" w:hAnsi="宋体" w:cs="宋体"/>
                <w:spacing w:val="6"/>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pPr>
              <w:spacing w:line="360" w:lineRule="auto"/>
              <w:jc w:val="center"/>
              <w:rPr>
                <w:rFonts w:ascii="宋体" w:hAnsi="宋体" w:cs="宋体"/>
                <w:spacing w:val="6"/>
              </w:rPr>
            </w:pPr>
            <w:r>
              <w:rPr>
                <w:rFonts w:hint="eastAsia" w:ascii="宋体" w:hAnsi="宋体" w:cs="宋体"/>
                <w:spacing w:val="6"/>
              </w:rPr>
              <w:t>1</w:t>
            </w:r>
          </w:p>
        </w:tc>
        <w:tc>
          <w:tcPr>
            <w:tcW w:w="3058" w:type="dxa"/>
            <w:vAlign w:val="center"/>
          </w:tcPr>
          <w:p>
            <w:pPr>
              <w:spacing w:line="360" w:lineRule="auto"/>
              <w:rPr>
                <w:rFonts w:ascii="宋体" w:hAnsi="宋体" w:cs="宋体"/>
                <w:spacing w:val="6"/>
              </w:rPr>
            </w:pPr>
            <w:r>
              <w:rPr>
                <w:rFonts w:hint="eastAsia" w:ascii="宋体" w:hAnsi="宋体" w:cs="宋体"/>
                <w:spacing w:val="6"/>
              </w:rPr>
              <w:t>本企业制造的货物</w:t>
            </w:r>
          </w:p>
        </w:tc>
        <w:tc>
          <w:tcPr>
            <w:tcW w:w="1258" w:type="dxa"/>
            <w:vAlign w:val="center"/>
          </w:tcPr>
          <w:p>
            <w:pPr>
              <w:spacing w:line="360" w:lineRule="auto"/>
              <w:jc w:val="center"/>
              <w:rPr>
                <w:rFonts w:ascii="宋体" w:hAnsi="宋体" w:cs="宋体"/>
                <w:spacing w:val="6"/>
              </w:rPr>
            </w:pPr>
          </w:p>
        </w:tc>
        <w:tc>
          <w:tcPr>
            <w:tcW w:w="143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pPr>
              <w:spacing w:line="360" w:lineRule="auto"/>
              <w:jc w:val="center"/>
              <w:rPr>
                <w:rFonts w:ascii="宋体" w:hAnsi="宋体" w:cs="宋体"/>
                <w:spacing w:val="6"/>
              </w:rPr>
            </w:pPr>
            <w:r>
              <w:rPr>
                <w:rFonts w:hint="eastAsia" w:ascii="宋体" w:hAnsi="宋体" w:cs="宋体"/>
                <w:spacing w:val="6"/>
              </w:rPr>
              <w:t>2</w:t>
            </w:r>
          </w:p>
        </w:tc>
        <w:tc>
          <w:tcPr>
            <w:tcW w:w="3058" w:type="dxa"/>
            <w:vAlign w:val="center"/>
          </w:tcPr>
          <w:p>
            <w:pPr>
              <w:spacing w:line="360" w:lineRule="auto"/>
              <w:rPr>
                <w:rFonts w:ascii="宋体" w:hAnsi="宋体" w:cs="宋体"/>
                <w:spacing w:val="6"/>
              </w:rPr>
            </w:pPr>
            <w:r>
              <w:rPr>
                <w:rFonts w:hint="eastAsia" w:ascii="宋体" w:hAnsi="宋体" w:cs="宋体"/>
                <w:spacing w:val="6"/>
              </w:rPr>
              <w:t>其他残疾人福利性单位制造的货物</w:t>
            </w:r>
          </w:p>
        </w:tc>
        <w:tc>
          <w:tcPr>
            <w:tcW w:w="1258" w:type="dxa"/>
            <w:vAlign w:val="center"/>
          </w:tcPr>
          <w:p>
            <w:pPr>
              <w:spacing w:line="360" w:lineRule="auto"/>
              <w:jc w:val="center"/>
              <w:rPr>
                <w:rFonts w:ascii="宋体" w:hAnsi="宋体" w:cs="宋体"/>
                <w:spacing w:val="6"/>
              </w:rPr>
            </w:pPr>
          </w:p>
        </w:tc>
        <w:tc>
          <w:tcPr>
            <w:tcW w:w="143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r>
    </w:tbl>
    <w:p>
      <w:pPr>
        <w:rPr>
          <w:rFonts w:ascii="宋体" w:hAnsi="宋体" w:cs="宋体"/>
        </w:rPr>
      </w:pPr>
    </w:p>
    <w:p>
      <w:pPr>
        <w:tabs>
          <w:tab w:val="left" w:pos="4860"/>
        </w:tabs>
        <w:spacing w:line="360" w:lineRule="auto"/>
        <w:ind w:right="1560" w:firstLine="504" w:firstLineChars="200"/>
        <w:rPr>
          <w:rFonts w:ascii="宋体" w:hAnsi="宋体" w:cs="宋体"/>
          <w:spacing w:val="6"/>
        </w:rPr>
      </w:pPr>
      <w:r>
        <w:rPr>
          <w:rFonts w:hint="eastAsia" w:ascii="宋体" w:hAnsi="宋体" w:cs="宋体"/>
          <w:spacing w:val="6"/>
        </w:rPr>
        <w:t>注：1、本声明函对残疾人福利性单位参与政府采购活动时适用。</w:t>
      </w:r>
    </w:p>
    <w:p>
      <w:pPr>
        <w:tabs>
          <w:tab w:val="left" w:pos="4860"/>
        </w:tabs>
        <w:spacing w:line="360" w:lineRule="auto"/>
        <w:ind w:firstLine="504" w:firstLineChars="200"/>
        <w:rPr>
          <w:rFonts w:ascii="宋体" w:hAnsi="宋体" w:cs="宋体"/>
          <w:spacing w:val="6"/>
          <w:sz w:val="24"/>
          <w:szCs w:val="24"/>
        </w:rPr>
      </w:pPr>
      <w:r>
        <w:rPr>
          <w:rFonts w:hint="eastAsia" w:ascii="宋体" w:hAnsi="宋体" w:cs="宋体"/>
          <w:spacing w:val="6"/>
        </w:rPr>
        <w:t>2、如提供其他残疾人福利性单位的货物须按此格式附其他中小企业的《中小企业声明函》</w:t>
      </w:r>
    </w:p>
    <w:p>
      <w:pPr>
        <w:tabs>
          <w:tab w:val="left" w:pos="4860"/>
        </w:tabs>
        <w:spacing w:line="588" w:lineRule="exact"/>
        <w:ind w:right="1560" w:firstLine="504" w:firstLineChars="200"/>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rPr>
          <w:rFonts w:ascii="宋体" w:hAnsi="宋体" w:cs="宋体"/>
          <w:spacing w:val="6"/>
          <w:sz w:val="24"/>
          <w:szCs w:val="24"/>
        </w:rPr>
      </w:pPr>
      <w:r>
        <w:rPr>
          <w:rFonts w:hint="eastAsia" w:ascii="宋体" w:hAnsi="宋体" w:cs="宋体"/>
          <w:spacing w:val="6"/>
          <w:sz w:val="24"/>
          <w:szCs w:val="24"/>
        </w:rPr>
        <w:t>日  期：</w:t>
      </w:r>
    </w:p>
    <w:p>
      <w:pPr>
        <w:rPr>
          <w:rFonts w:ascii="宋体" w:hAnsi="宋体" w:cs="宋体"/>
        </w:rPr>
      </w:pPr>
      <w:r>
        <w:rPr>
          <w:rFonts w:hint="eastAsia" w:ascii="宋体" w:hAnsi="宋体" w:cs="宋体"/>
        </w:rPr>
        <w:br w:type="page"/>
      </w:r>
    </w:p>
    <w:p>
      <w:pPr>
        <w:pStyle w:val="4"/>
        <w:adjustRightInd w:val="0"/>
        <w:spacing w:line="416" w:lineRule="atLeast"/>
        <w:textAlignment w:val="baseline"/>
        <w:rPr>
          <w:rFonts w:ascii="宋体" w:hAnsi="宋体" w:cs="宋体"/>
        </w:rPr>
      </w:pPr>
      <w:bookmarkStart w:id="237" w:name="_Toc15281"/>
      <w:bookmarkStart w:id="238" w:name="_Toc31941"/>
      <w:r>
        <w:rPr>
          <w:rFonts w:hint="eastAsia" w:ascii="宋体" w:hAnsi="宋体" w:cs="宋体"/>
        </w:rPr>
        <w:t>附件四、监狱企业证明文件</w:t>
      </w:r>
      <w:bookmarkEnd w:id="229"/>
      <w:bookmarkEnd w:id="233"/>
      <w:bookmarkEnd w:id="234"/>
      <w:bookmarkEnd w:id="235"/>
      <w:bookmarkEnd w:id="236"/>
      <w:bookmarkEnd w:id="237"/>
      <w:bookmarkEnd w:id="238"/>
    </w:p>
    <w:p>
      <w:pPr>
        <w:rPr>
          <w:rFonts w:ascii="宋体" w:hAnsi="宋体" w:cs="宋体"/>
        </w:rPr>
      </w:pPr>
    </w:p>
    <w:p>
      <w:pPr>
        <w:snapToGrid w:val="0"/>
        <w:spacing w:line="360" w:lineRule="auto"/>
        <w:ind w:firstLine="504" w:firstLineChars="200"/>
        <w:rPr>
          <w:rFonts w:ascii="宋体" w:hAnsi="宋体" w:cs="宋体"/>
          <w:sz w:val="24"/>
          <w:szCs w:val="24"/>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239" w:name="_Toc4281"/>
      <w:bookmarkStart w:id="240" w:name="_Toc3675"/>
      <w:bookmarkStart w:id="241" w:name="_Toc28047"/>
      <w:bookmarkStart w:id="242" w:name="_Toc13303"/>
      <w:bookmarkStart w:id="243" w:name="_Toc22127"/>
      <w:bookmarkStart w:id="244" w:name="_Toc13122"/>
      <w:bookmarkStart w:id="245" w:name="_Toc2594"/>
      <w:r>
        <w:rPr>
          <w:rFonts w:hint="eastAsia" w:ascii="宋体" w:hAnsi="宋体" w:cs="宋体"/>
        </w:rPr>
        <w:t>附件五、“节能产品”，“环境标志产品”证明材料</w:t>
      </w:r>
      <w:bookmarkEnd w:id="239"/>
      <w:bookmarkEnd w:id="240"/>
      <w:bookmarkEnd w:id="241"/>
      <w:bookmarkEnd w:id="242"/>
      <w:bookmarkEnd w:id="243"/>
      <w:bookmarkEnd w:id="244"/>
      <w:bookmarkEnd w:id="245"/>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投标文件第三部分供应商须知总则第六款规定提供产品列入“节能产品品目清单”，“环境标志产品品目清单”相应产品的国家确定的认证机构出具的、处于有效期内的节能产品、环境标志产品认证证书。</w:t>
      </w:r>
    </w:p>
    <w:p>
      <w:pPr>
        <w:widowControl/>
        <w:spacing w:line="360" w:lineRule="auto"/>
        <w:ind w:left="480" w:leftChars="200"/>
        <w:rPr>
          <w:rFonts w:ascii="宋体" w:hAnsi="宋体" w:cs="宋体"/>
          <w:sz w:val="24"/>
          <w:szCs w:val="24"/>
        </w:rPr>
      </w:pPr>
      <w:r>
        <w:rPr>
          <w:rFonts w:hint="eastAsia" w:ascii="宋体" w:hAnsi="宋体" w:cs="宋体"/>
          <w:sz w:val="24"/>
          <w:szCs w:val="24"/>
        </w:rPr>
        <w:t>2、未按照上述要求提供的，评审时不予以考虑。</w:t>
      </w:r>
    </w:p>
    <w:p>
      <w:pPr>
        <w:widowControl/>
        <w:spacing w:line="360" w:lineRule="auto"/>
        <w:ind w:left="480" w:leftChars="200"/>
        <w:rPr>
          <w:rFonts w:ascii="宋体" w:hAnsi="宋体" w:cs="宋体"/>
          <w:sz w:val="24"/>
          <w:szCs w:val="24"/>
        </w:rPr>
      </w:pPr>
    </w:p>
    <w:p>
      <w:pPr>
        <w:snapToGrid w:val="0"/>
        <w:spacing w:line="360" w:lineRule="auto"/>
        <w:ind w:firstLine="480" w:firstLineChars="200"/>
        <w:rPr>
          <w:rFonts w:ascii="宋体" w:hAnsi="宋体" w:cs="宋体"/>
          <w:sz w:val="24"/>
          <w:szCs w:val="24"/>
        </w:rPr>
      </w:pPr>
    </w:p>
    <w:p>
      <w:pPr>
        <w:rPr>
          <w:rFonts w:ascii="宋体" w:hAnsi="宋体" w:cs="宋体"/>
        </w:rPr>
      </w:pPr>
      <w:r>
        <w:rPr>
          <w:rFonts w:hint="eastAsia" w:ascii="宋体" w:hAnsi="宋体" w:cs="宋体"/>
        </w:rPr>
        <w:br w:type="page"/>
      </w:r>
    </w:p>
    <w:bookmarkEnd w:id="222"/>
    <w:bookmarkEnd w:id="223"/>
    <w:bookmarkEnd w:id="224"/>
    <w:p>
      <w:pPr>
        <w:ind w:firstLine="1606" w:firstLineChars="500"/>
        <w:outlineLvl w:val="1"/>
        <w:rPr>
          <w:rFonts w:ascii="宋体" w:hAnsi="宋体" w:cs="宋体"/>
          <w:b/>
          <w:bCs/>
          <w:sz w:val="32"/>
          <w:szCs w:val="32"/>
        </w:rPr>
      </w:pPr>
      <w:bookmarkStart w:id="246" w:name="_Toc23043"/>
      <w:r>
        <w:rPr>
          <w:rFonts w:hint="eastAsia" w:ascii="宋体" w:hAnsi="宋体" w:cs="宋体"/>
          <w:b/>
          <w:bCs/>
          <w:sz w:val="32"/>
          <w:szCs w:val="32"/>
        </w:rPr>
        <w:t>附件</w:t>
      </w:r>
      <w:r>
        <w:rPr>
          <w:rFonts w:hint="eastAsia" w:ascii="宋体" w:hAnsi="宋体" w:cs="宋体"/>
          <w:b/>
          <w:bCs/>
          <w:sz w:val="32"/>
          <w:szCs w:val="32"/>
          <w:lang w:eastAsia="zh-CN"/>
        </w:rPr>
        <w:t>六</w:t>
      </w:r>
      <w:r>
        <w:rPr>
          <w:rFonts w:hint="eastAsia" w:ascii="宋体" w:hAnsi="宋体" w:cs="宋体"/>
          <w:b/>
          <w:bCs/>
          <w:sz w:val="32"/>
          <w:szCs w:val="32"/>
        </w:rPr>
        <w:t>、保证金退还账户信息确认表</w:t>
      </w:r>
      <w:bookmarkEnd w:id="246"/>
      <w:bookmarkStart w:id="247" w:name="_Toc378248335"/>
    </w:p>
    <w:p>
      <w:pPr>
        <w:rPr>
          <w:rFonts w:ascii="宋体" w:hAnsi="宋体" w:cs="宋体"/>
        </w:rPr>
      </w:pPr>
    </w:p>
    <w:p>
      <w:pPr>
        <w:rPr>
          <w:rFonts w:ascii="宋体" w:hAnsi="宋体" w:cs="宋体"/>
          <w:sz w:val="28"/>
          <w:szCs w:val="28"/>
        </w:rPr>
      </w:pPr>
      <w:r>
        <w:rPr>
          <w:rFonts w:hint="eastAsia" w:ascii="宋体" w:hAnsi="宋体" w:cs="宋体"/>
          <w:sz w:val="28"/>
          <w:szCs w:val="28"/>
        </w:rPr>
        <w:t>项目名称：</w:t>
      </w:r>
      <w:r>
        <w:rPr>
          <w:rFonts w:hint="eastAsia" w:ascii="宋体" w:hAnsi="宋体" w:cs="宋体"/>
          <w:kern w:val="0"/>
          <w:sz w:val="24"/>
          <w:szCs w:val="24"/>
        </w:rPr>
        <w:t>_____________________________</w:t>
      </w:r>
    </w:p>
    <w:p>
      <w:pPr>
        <w:tabs>
          <w:tab w:val="center" w:pos="4150"/>
        </w:tabs>
        <w:rPr>
          <w:rFonts w:ascii="宋体" w:hAnsi="宋体" w:cs="宋体"/>
          <w:sz w:val="28"/>
          <w:szCs w:val="28"/>
        </w:rPr>
      </w:pPr>
      <w:r>
        <w:rPr>
          <w:rFonts w:hint="eastAsia" w:ascii="宋体" w:hAnsi="宋体" w:cs="宋体"/>
          <w:sz w:val="28"/>
          <w:szCs w:val="28"/>
        </w:rPr>
        <w:t>项目编号：</w:t>
      </w:r>
      <w:bookmarkEnd w:id="247"/>
      <w:r>
        <w:rPr>
          <w:rFonts w:hint="eastAsia" w:ascii="宋体" w:hAnsi="宋体" w:cs="宋体"/>
          <w:kern w:val="0"/>
          <w:sz w:val="24"/>
          <w:szCs w:val="24"/>
        </w:rPr>
        <w:t>_____________________________</w:t>
      </w:r>
      <w:r>
        <w:rPr>
          <w:rFonts w:hint="eastAsia" w:ascii="宋体" w:hAnsi="宋体" w:cs="宋体"/>
          <w:sz w:val="28"/>
          <w:szCs w:val="28"/>
        </w:rPr>
        <w:tab/>
      </w:r>
    </w:p>
    <w:p>
      <w:pPr>
        <w:rPr>
          <w:rFonts w:ascii="宋体" w:hAnsi="宋体" w:cs="宋体"/>
        </w:rPr>
      </w:pPr>
    </w:p>
    <w:tbl>
      <w:tblPr>
        <w:tblStyle w:val="24"/>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宋体" w:hAnsi="宋体" w:cs="宋体"/>
              </w:rPr>
            </w:pPr>
            <w:r>
              <w:rPr>
                <w:rFonts w:hint="eastAsia" w:ascii="宋体" w:hAnsi="宋体" w:cs="宋体"/>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注：单位公章需清晰完整。（仅作为退还保证金时使用，需单独提供，无需做在响应文件中）</w:t>
      </w:r>
    </w:p>
    <w:p>
      <w:pPr>
        <w:adjustRightInd w:val="0"/>
        <w:snapToGrid w:val="0"/>
        <w:spacing w:line="360" w:lineRule="auto"/>
        <w:rPr>
          <w:rFonts w:ascii="宋体" w:hAnsi="宋体" w:cs="宋体"/>
          <w:b/>
          <w:bCs/>
          <w:sz w:val="24"/>
          <w:szCs w:val="24"/>
        </w:rPr>
      </w:pPr>
    </w:p>
    <w:p>
      <w:pPr>
        <w:keepNext/>
        <w:keepLines/>
        <w:adjustRightInd w:val="0"/>
        <w:spacing w:line="416" w:lineRule="atLeast"/>
        <w:textAlignment w:val="baseline"/>
        <w:rPr>
          <w:rFonts w:hint="eastAsia" w:ascii="宋体" w:hAnsi="宋体" w:eastAsia="宋体" w:cs="宋体"/>
          <w:b/>
          <w:bCs/>
          <w:szCs w:val="24"/>
          <w:highlight w:val="none"/>
        </w:rPr>
      </w:pPr>
      <w:r>
        <w:rPr>
          <w:rFonts w:hint="eastAsia" w:ascii="宋体" w:hAnsi="宋体" w:cs="宋体"/>
          <w:b/>
          <w:bCs/>
          <w:sz w:val="24"/>
          <w:szCs w:val="24"/>
        </w:rPr>
        <w:t>供应商可在投标当天将保证金退还账户信息确认表与投标保证金汇款凭证（复印件加盖公章）一并交给工作人员，当天未提交保证金退还账户信息确认表与投标保证金汇款凭证（复印件加盖公章）的供应商，在投标后将以上资料加盖公章的扫描件发送至邮箱sxwzzb123@163.com；并致电告知。</w:t>
      </w:r>
    </w:p>
    <w:p>
      <w:pPr>
        <w:jc w:val="left"/>
        <w:rPr>
          <w:rFonts w:hint="eastAsia" w:ascii="宋体" w:hAnsi="宋体" w:eastAsia="宋体" w:cs="宋体"/>
          <w:b/>
          <w:bCs/>
          <w:spacing w:val="48"/>
          <w:sz w:val="72"/>
          <w:szCs w:val="72"/>
          <w:highlight w:val="none"/>
        </w:rPr>
      </w:pPr>
    </w:p>
    <w:p>
      <w:pPr>
        <w:jc w:val="left"/>
        <w:rPr>
          <w:rFonts w:hint="eastAsia" w:ascii="宋体" w:hAnsi="宋体" w:eastAsia="宋体" w:cs="宋体"/>
          <w:b/>
          <w:bCs/>
          <w:spacing w:val="48"/>
          <w:sz w:val="72"/>
          <w:szCs w:val="72"/>
          <w:highlight w:val="none"/>
        </w:rPr>
      </w:pPr>
    </w:p>
    <w:p>
      <w:pPr>
        <w:jc w:val="left"/>
        <w:rPr>
          <w:rFonts w:hint="eastAsia" w:ascii="宋体" w:hAnsi="宋体" w:eastAsia="宋体" w:cs="宋体"/>
          <w:b/>
          <w:spacing w:val="48"/>
          <w:sz w:val="72"/>
          <w:szCs w:val="72"/>
          <w:highlight w:val="none"/>
        </w:rPr>
      </w:pPr>
    </w:p>
    <w:p>
      <w:pPr>
        <w:pStyle w:val="7"/>
        <w:rPr>
          <w:rFonts w:hint="eastAsia" w:ascii="宋体" w:hAnsi="宋体" w:eastAsia="宋体" w:cs="宋体"/>
          <w:highlight w:val="none"/>
        </w:rPr>
      </w:pPr>
    </w:p>
    <w:p>
      <w:pPr>
        <w:jc w:val="left"/>
        <w:rPr>
          <w:rFonts w:hint="eastAsia" w:ascii="宋体" w:hAnsi="宋体" w:eastAsia="宋体" w:cs="宋体"/>
          <w:b/>
          <w:spacing w:val="48"/>
          <w:sz w:val="72"/>
          <w:szCs w:val="72"/>
          <w:highlight w:val="none"/>
        </w:rPr>
      </w:pPr>
    </w:p>
    <w:p>
      <w:pPr>
        <w:jc w:val="left"/>
        <w:rPr>
          <w:rFonts w:hint="eastAsia" w:ascii="宋体" w:hAnsi="宋体" w:eastAsia="宋体" w:cs="宋体"/>
          <w:sz w:val="72"/>
          <w:szCs w:val="72"/>
          <w:highlight w:val="none"/>
        </w:rPr>
      </w:pPr>
      <w:r>
        <w:rPr>
          <w:rFonts w:hint="eastAsia" w:ascii="宋体" w:hAnsi="宋体" w:eastAsia="宋体" w:cs="宋体"/>
          <w:b/>
          <w:spacing w:val="48"/>
          <w:sz w:val="72"/>
          <w:szCs w:val="72"/>
          <w:highlight w:val="none"/>
        </w:rPr>
        <w:t>公平</w:t>
      </w:r>
    </w:p>
    <w:p>
      <w:pPr>
        <w:tabs>
          <w:tab w:val="left" w:pos="3810"/>
        </w:tabs>
        <w:jc w:val="left"/>
        <w:rPr>
          <w:rFonts w:hint="eastAsia" w:ascii="宋体" w:hAnsi="宋体" w:eastAsia="宋体" w:cs="宋体"/>
          <w:sz w:val="72"/>
          <w:szCs w:val="72"/>
          <w:highlight w:val="none"/>
        </w:rPr>
      </w:pPr>
    </w:p>
    <w:p>
      <w:pPr>
        <w:jc w:val="left"/>
        <w:rPr>
          <w:rFonts w:hint="eastAsia" w:ascii="宋体" w:hAnsi="宋体" w:eastAsia="宋体" w:cs="宋体"/>
          <w:sz w:val="72"/>
          <w:szCs w:val="72"/>
          <w:highlight w:val="none"/>
        </w:rPr>
      </w:pPr>
    </w:p>
    <w:p>
      <w:pPr>
        <w:jc w:val="left"/>
        <w:rPr>
          <w:rFonts w:hint="eastAsia" w:ascii="宋体" w:hAnsi="宋体" w:eastAsia="宋体" w:cs="宋体"/>
          <w:sz w:val="72"/>
          <w:szCs w:val="72"/>
          <w:highlight w:val="none"/>
        </w:rPr>
      </w:pPr>
    </w:p>
    <w:p>
      <w:pPr>
        <w:jc w:val="center"/>
        <w:rPr>
          <w:rFonts w:hint="eastAsia" w:ascii="宋体" w:hAnsi="宋体" w:eastAsia="宋体" w:cs="宋体"/>
          <w:b/>
          <w:spacing w:val="48"/>
          <w:sz w:val="72"/>
          <w:szCs w:val="72"/>
          <w:highlight w:val="none"/>
        </w:rPr>
      </w:pPr>
    </w:p>
    <w:p>
      <w:pPr>
        <w:jc w:val="center"/>
        <w:rPr>
          <w:rFonts w:hint="eastAsia" w:ascii="宋体" w:hAnsi="宋体" w:eastAsia="宋体" w:cs="宋体"/>
          <w:b/>
          <w:spacing w:val="48"/>
          <w:sz w:val="72"/>
          <w:szCs w:val="72"/>
          <w:highlight w:val="none"/>
        </w:rPr>
      </w:pPr>
      <w:r>
        <w:rPr>
          <w:rFonts w:hint="eastAsia" w:ascii="宋体" w:hAnsi="宋体" w:eastAsia="宋体" w:cs="宋体"/>
          <w:b/>
          <w:spacing w:val="48"/>
          <w:sz w:val="72"/>
          <w:szCs w:val="72"/>
          <w:highlight w:val="none"/>
        </w:rPr>
        <w:t>公正</w:t>
      </w:r>
    </w:p>
    <w:p>
      <w:pPr>
        <w:jc w:val="left"/>
        <w:rPr>
          <w:rFonts w:hint="eastAsia" w:ascii="宋体" w:hAnsi="宋体" w:eastAsia="宋体" w:cs="宋体"/>
          <w:b/>
          <w:spacing w:val="48"/>
          <w:sz w:val="72"/>
          <w:szCs w:val="72"/>
          <w:highlight w:val="none"/>
        </w:rPr>
      </w:pPr>
    </w:p>
    <w:p>
      <w:pPr>
        <w:jc w:val="left"/>
        <w:rPr>
          <w:rFonts w:hint="eastAsia" w:ascii="宋体" w:hAnsi="宋体" w:eastAsia="宋体" w:cs="宋体"/>
          <w:b/>
          <w:spacing w:val="48"/>
          <w:sz w:val="72"/>
          <w:szCs w:val="72"/>
          <w:highlight w:val="none"/>
        </w:rPr>
      </w:pPr>
    </w:p>
    <w:p>
      <w:pPr>
        <w:jc w:val="left"/>
        <w:rPr>
          <w:rFonts w:hint="eastAsia" w:ascii="宋体" w:hAnsi="宋体" w:eastAsia="宋体" w:cs="宋体"/>
          <w:b/>
          <w:spacing w:val="48"/>
          <w:sz w:val="72"/>
          <w:szCs w:val="72"/>
          <w:highlight w:val="none"/>
        </w:rPr>
      </w:pPr>
    </w:p>
    <w:p>
      <w:pPr>
        <w:jc w:val="right"/>
        <w:rPr>
          <w:rFonts w:hint="eastAsia" w:ascii="宋体" w:hAnsi="宋体" w:eastAsia="宋体" w:cs="宋体"/>
          <w:b/>
          <w:spacing w:val="48"/>
          <w:sz w:val="72"/>
          <w:szCs w:val="72"/>
          <w:highlight w:val="none"/>
        </w:rPr>
      </w:pPr>
    </w:p>
    <w:p>
      <w:pPr>
        <w:jc w:val="right"/>
        <w:rPr>
          <w:rFonts w:hint="eastAsia" w:ascii="宋体" w:hAnsi="宋体" w:eastAsia="宋体" w:cs="宋体"/>
          <w:b/>
          <w:spacing w:val="48"/>
          <w:sz w:val="72"/>
          <w:szCs w:val="72"/>
          <w:highlight w:val="none"/>
        </w:rPr>
      </w:pPr>
      <w:r>
        <w:rPr>
          <w:rFonts w:hint="eastAsia" w:ascii="宋体" w:hAnsi="宋体" w:eastAsia="宋体" w:cs="宋体"/>
          <w:b/>
          <w:spacing w:val="48"/>
          <w:sz w:val="72"/>
          <w:szCs w:val="72"/>
          <w:highlight w:val="none"/>
        </w:rPr>
        <w:t>公开</w:t>
      </w:r>
    </w:p>
    <w:bookmarkEnd w:id="0"/>
    <w:p>
      <w:pPr>
        <w:rPr>
          <w:rFonts w:hint="eastAsia" w:ascii="宋体" w:hAnsi="宋体" w:eastAsia="宋体" w:cs="宋体"/>
          <w:b/>
          <w:sz w:val="30"/>
          <w:szCs w:val="30"/>
          <w:highlight w:val="none"/>
        </w:rPr>
      </w:pPr>
      <w:r>
        <w:rPr>
          <w:rFonts w:hint="eastAsia" w:ascii="宋体" w:hAnsi="宋体" w:eastAsia="宋体" w:cs="宋体"/>
          <w:b/>
          <w:sz w:val="30"/>
          <w:szCs w:val="30"/>
          <w:highlight w:val="none"/>
        </w:rPr>
        <w:t>企业名称：陕西万泽招标有限公司</w:t>
      </w:r>
    </w:p>
    <w:p>
      <w:pPr>
        <w:rPr>
          <w:rFonts w:hint="eastAsia" w:ascii="宋体" w:hAnsi="宋体" w:eastAsia="宋体" w:cs="宋体"/>
          <w:b/>
          <w:sz w:val="30"/>
          <w:szCs w:val="30"/>
          <w:highlight w:val="none"/>
        </w:rPr>
      </w:pPr>
      <w:r>
        <w:rPr>
          <w:rFonts w:hint="eastAsia" w:ascii="宋体" w:hAnsi="宋体" w:eastAsia="宋体" w:cs="宋体"/>
          <w:b/>
          <w:sz w:val="30"/>
          <w:szCs w:val="30"/>
          <w:highlight w:val="none"/>
        </w:rPr>
        <w:t>地址：西安市西关正街英达大厦1507室</w:t>
      </w:r>
    </w:p>
    <w:p>
      <w:pPr>
        <w:rPr>
          <w:rFonts w:hint="eastAsia" w:ascii="宋体" w:hAnsi="宋体" w:eastAsia="宋体" w:cs="宋体"/>
          <w:b/>
          <w:sz w:val="30"/>
          <w:szCs w:val="30"/>
          <w:highlight w:val="none"/>
        </w:rPr>
      </w:pPr>
      <w:r>
        <w:rPr>
          <w:rFonts w:hint="eastAsia" w:ascii="宋体" w:hAnsi="宋体" w:eastAsia="宋体" w:cs="宋体"/>
          <w:b/>
          <w:sz w:val="30"/>
          <w:szCs w:val="30"/>
          <w:highlight w:val="none"/>
        </w:rPr>
        <w:t>邮政编码：710082</w:t>
      </w:r>
    </w:p>
    <w:p>
      <w:pPr>
        <w:rPr>
          <w:rFonts w:hint="eastAsia" w:ascii="宋体" w:hAnsi="宋体" w:eastAsia="宋体" w:cs="宋体"/>
          <w:b/>
          <w:sz w:val="30"/>
          <w:szCs w:val="30"/>
          <w:highlight w:val="none"/>
        </w:rPr>
      </w:pPr>
      <w:r>
        <w:rPr>
          <w:rFonts w:hint="eastAsia" w:ascii="宋体" w:hAnsi="宋体" w:eastAsia="宋体" w:cs="宋体"/>
          <w:b/>
          <w:sz w:val="30"/>
          <w:szCs w:val="30"/>
          <w:highlight w:val="none"/>
        </w:rPr>
        <w:t>电话：029-88319689</w:t>
      </w:r>
    </w:p>
    <w:p>
      <w:pPr>
        <w:rPr>
          <w:rFonts w:hint="eastAsia" w:ascii="宋体" w:hAnsi="宋体" w:eastAsia="宋体" w:cs="宋体"/>
          <w:highlight w:val="none"/>
        </w:rPr>
      </w:pPr>
      <w:r>
        <w:rPr>
          <w:rFonts w:hint="eastAsia" w:ascii="宋体" w:hAnsi="宋体" w:eastAsia="宋体" w:cs="宋体"/>
          <w:b/>
          <w:sz w:val="30"/>
          <w:szCs w:val="30"/>
          <w:highlight w:val="none"/>
        </w:rPr>
        <w:t>传真：029-88319689</w:t>
      </w:r>
    </w:p>
    <w:sectPr>
      <w:footerReference r:id="rId12"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cs="宋体"/>
      </w:rPr>
    </w:pP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8426"/>
      </w:tabs>
      <w:rPr>
        <w:rFonts w:asci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0"/>
        <w:tab w:val="right" w:pos="8420"/>
        <w:tab w:val="clear" w:pos="4153"/>
      </w:tabs>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r>
      <w:rPr>
        <w:rFonts w:hint="eastAsia" w:ascii="宋体" w:hAnsi="宋体"/>
      </w:rPr>
      <w:tab/>
    </w:r>
    <w:r>
      <w:rPr>
        <w:rFonts w:hint="eastAsia" w:ascii="宋体" w:hAnsi="宋体"/>
      </w:rPr>
      <w:tab/>
    </w:r>
    <w:r>
      <w:rPr>
        <w:rFonts w:hint="eastAsia" w:ascii="宋体" w:hAnsi="宋体"/>
      </w:rPr>
      <w:t>陕西万泽招标有限公司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40" w:hanging="450" w:hangingChars="300"/>
      <w:jc w:val="left"/>
      <w:rPr>
        <w:rFonts w:hint="eastAsia" w:eastAsia="宋体"/>
        <w:sz w:val="15"/>
        <w:szCs w:val="15"/>
        <w:u w:val="single"/>
        <w:lang w:eastAsia="zh-CN"/>
      </w:rPr>
    </w:pPr>
    <w:r>
      <w:rPr>
        <w:rFonts w:hint="eastAsia"/>
        <w:sz w:val="15"/>
        <w:szCs w:val="15"/>
        <w:u w:val="single"/>
        <w:lang w:eastAsia="zh-CN"/>
      </w:rPr>
      <w:t xml:space="preserve">陕西中医药大学附属医院GE64排双能CT更换球管采购项目 </w:t>
    </w:r>
    <w:r>
      <w:rPr>
        <w:rFonts w:hint="eastAsia"/>
        <w:sz w:val="15"/>
        <w:szCs w:val="15"/>
        <w:u w:val="single"/>
        <w:lang w:val="en-US" w:eastAsia="zh-CN"/>
      </w:rPr>
      <w:t xml:space="preserve">                             </w:t>
    </w:r>
    <w:r>
      <w:rPr>
        <w:rFonts w:hint="eastAsia"/>
        <w:sz w:val="15"/>
        <w:szCs w:val="15"/>
        <w:u w:val="single"/>
        <w:lang w:eastAsia="zh-CN"/>
      </w:rPr>
      <w:t>SXWZ2022ZB-SZFY-055</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40" w:hanging="540" w:hangingChars="300"/>
      <w:rPr>
        <w:rFonts w:hint="eastAsia" w:eastAsia="宋体"/>
        <w:lang w:eastAsia="zh-CN"/>
      </w:rPr>
    </w:pPr>
    <w:r>
      <w:rPr>
        <w:rFonts w:hint="eastAsia"/>
        <w:sz w:val="18"/>
        <w:szCs w:val="18"/>
        <w:u w:val="single"/>
        <w:lang w:eastAsia="zh-CN"/>
      </w:rPr>
      <w:t xml:space="preserve">陕西中医药大学附属医院GE64排双能CT更换球管采购项目 </w:t>
    </w:r>
    <w:r>
      <w:rPr>
        <w:rFonts w:hint="eastAsia"/>
        <w:sz w:val="18"/>
        <w:szCs w:val="18"/>
        <w:u w:val="single"/>
      </w:rPr>
      <w:t xml:space="preserve">                     </w:t>
    </w:r>
    <w:r>
      <w:rPr>
        <w:rFonts w:hint="eastAsia"/>
        <w:sz w:val="18"/>
        <w:szCs w:val="18"/>
        <w:u w:val="single"/>
        <w:lang w:eastAsia="zh-CN"/>
      </w:rPr>
      <w:t>SXWZ2022ZB-SZFY-055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40" w:hanging="450" w:hangingChars="300"/>
      <w:jc w:val="left"/>
      <w:rPr>
        <w:rFonts w:hint="eastAsia" w:eastAsia="宋体"/>
        <w:sz w:val="21"/>
        <w:szCs w:val="20"/>
        <w:lang w:eastAsia="zh-CN"/>
      </w:rPr>
    </w:pPr>
    <w:r>
      <w:rPr>
        <w:rFonts w:hint="eastAsia"/>
        <w:sz w:val="15"/>
        <w:szCs w:val="15"/>
        <w:u w:val="single"/>
        <w:lang w:eastAsia="zh-CN"/>
      </w:rPr>
      <w:t xml:space="preserve">陕西中医药大学附属医院GE64排双能CT更换球管采购项目 </w:t>
    </w:r>
    <w:r>
      <w:rPr>
        <w:rFonts w:hint="eastAsia"/>
        <w:sz w:val="15"/>
        <w:szCs w:val="15"/>
        <w:u w:val="single"/>
      </w:rPr>
      <w:t xml:space="preserve">   </w:t>
    </w:r>
    <w:r>
      <w:rPr>
        <w:rFonts w:hint="eastAsia"/>
        <w:sz w:val="15"/>
        <w:szCs w:val="15"/>
        <w:u w:val="single"/>
        <w:lang w:val="en-US" w:eastAsia="zh-CN"/>
      </w:rPr>
      <w:t xml:space="preserve">                                     </w:t>
    </w:r>
    <w:r>
      <w:rPr>
        <w:rFonts w:hint="eastAsia"/>
        <w:sz w:val="15"/>
        <w:szCs w:val="15"/>
        <w:u w:val="single"/>
        <w:lang w:eastAsia="zh-CN"/>
      </w:rPr>
      <w:t>SXWZ2022ZB-SZFY-055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E62CE"/>
    <w:multiLevelType w:val="singleLevel"/>
    <w:tmpl w:val="F1AE62CE"/>
    <w:lvl w:ilvl="0" w:tentative="0">
      <w:start w:val="1"/>
      <w:numFmt w:val="decimal"/>
      <w:suff w:val="nothing"/>
      <w:lvlText w:val="%1、"/>
      <w:lvlJc w:val="left"/>
      <w:pPr>
        <w:ind w:left="63" w:firstLine="420"/>
      </w:pPr>
      <w:rPr>
        <w:rFonts w:hint="default"/>
      </w:rPr>
    </w:lvl>
  </w:abstractNum>
  <w:abstractNum w:abstractNumId="1">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2">
    <w:nsid w:val="0E3E810B"/>
    <w:multiLevelType w:val="singleLevel"/>
    <w:tmpl w:val="0E3E810B"/>
    <w:lvl w:ilvl="0" w:tentative="0">
      <w:start w:val="1"/>
      <w:numFmt w:val="decimal"/>
      <w:suff w:val="nothing"/>
      <w:lvlText w:val="%1、"/>
      <w:lvlJc w:val="left"/>
    </w:lvl>
  </w:abstractNum>
  <w:abstractNum w:abstractNumId="3">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4">
    <w:nsid w:val="583ECC23"/>
    <w:multiLevelType w:val="singleLevel"/>
    <w:tmpl w:val="583ECC23"/>
    <w:lvl w:ilvl="0" w:tentative="0">
      <w:start w:val="5"/>
      <w:numFmt w:val="chineseCounting"/>
      <w:suff w:val="nothing"/>
      <w:lvlText w:val="%1、"/>
      <w:lvlJc w:val="left"/>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6">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7">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8">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9">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0">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1">
    <w:nsid w:val="58BFC3B3"/>
    <w:multiLevelType w:val="singleLevel"/>
    <w:tmpl w:val="58BFC3B3"/>
    <w:lvl w:ilvl="0" w:tentative="0">
      <w:start w:val="1"/>
      <w:numFmt w:val="decimal"/>
      <w:suff w:val="nothing"/>
      <w:lvlText w:val="（%1）"/>
      <w:lvlJc w:val="left"/>
      <w:pPr>
        <w:ind w:firstLine="420"/>
      </w:pPr>
      <w:rPr>
        <w:rFonts w:hint="default" w:cs="Times New Roman"/>
      </w:rPr>
    </w:lvl>
  </w:abstractNum>
  <w:abstractNum w:abstractNumId="12">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3">
    <w:nsid w:val="58E5BD5C"/>
    <w:multiLevelType w:val="singleLevel"/>
    <w:tmpl w:val="58E5BD5C"/>
    <w:lvl w:ilvl="0" w:tentative="0">
      <w:start w:val="1"/>
      <w:numFmt w:val="decimal"/>
      <w:suff w:val="nothing"/>
      <w:lvlText w:val="（%1）"/>
      <w:lvlJc w:val="left"/>
      <w:pPr>
        <w:ind w:left="0" w:firstLine="420"/>
      </w:pPr>
      <w:rPr>
        <w:rFonts w:hint="default"/>
      </w:rPr>
    </w:lvl>
  </w:abstractNum>
  <w:abstractNum w:abstractNumId="14">
    <w:nsid w:val="591D5589"/>
    <w:multiLevelType w:val="singleLevel"/>
    <w:tmpl w:val="591D5589"/>
    <w:lvl w:ilvl="0" w:tentative="0">
      <w:start w:val="1"/>
      <w:numFmt w:val="chineseCounting"/>
      <w:suff w:val="nothing"/>
      <w:lvlText w:val="%1、"/>
      <w:lvlJc w:val="left"/>
    </w:lvl>
  </w:abstractNum>
  <w:abstractNum w:abstractNumId="15">
    <w:nsid w:val="59E578C5"/>
    <w:multiLevelType w:val="singleLevel"/>
    <w:tmpl w:val="59E578C5"/>
    <w:lvl w:ilvl="0" w:tentative="0">
      <w:start w:val="5"/>
      <w:numFmt w:val="chineseCounting"/>
      <w:suff w:val="nothing"/>
      <w:lvlText w:val="第%1部"/>
      <w:lvlJc w:val="left"/>
    </w:lvl>
  </w:abstractNum>
  <w:abstractNum w:abstractNumId="16">
    <w:nsid w:val="59F034A0"/>
    <w:multiLevelType w:val="singleLevel"/>
    <w:tmpl w:val="59F034A0"/>
    <w:lvl w:ilvl="0" w:tentative="0">
      <w:start w:val="1"/>
      <w:numFmt w:val="bullet"/>
      <w:lvlText w:val=""/>
      <w:lvlJc w:val="left"/>
      <w:pPr>
        <w:ind w:left="420" w:hanging="420"/>
      </w:pPr>
      <w:rPr>
        <w:rFonts w:hint="default" w:ascii="Wingdings" w:hAnsi="Wingdings"/>
      </w:rPr>
    </w:lvl>
  </w:abstractNum>
  <w:abstractNum w:abstractNumId="17">
    <w:nsid w:val="59F08E6A"/>
    <w:multiLevelType w:val="singleLevel"/>
    <w:tmpl w:val="59F08E6A"/>
    <w:lvl w:ilvl="0" w:tentative="0">
      <w:start w:val="1"/>
      <w:numFmt w:val="decimal"/>
      <w:suff w:val="nothing"/>
      <w:lvlText w:val="（%1）"/>
      <w:lvlJc w:val="left"/>
      <w:pPr>
        <w:ind w:left="0" w:firstLine="420"/>
      </w:pPr>
      <w:rPr>
        <w:rFonts w:hint="default"/>
      </w:rPr>
    </w:lvl>
  </w:abstractNum>
  <w:abstractNum w:abstractNumId="18">
    <w:nsid w:val="59F08EA7"/>
    <w:multiLevelType w:val="singleLevel"/>
    <w:tmpl w:val="59F08EA7"/>
    <w:lvl w:ilvl="0" w:tentative="0">
      <w:start w:val="1"/>
      <w:numFmt w:val="decimal"/>
      <w:suff w:val="nothing"/>
      <w:lvlText w:val="（%1）"/>
      <w:lvlJc w:val="left"/>
      <w:pPr>
        <w:ind w:left="0" w:firstLine="420"/>
      </w:pPr>
      <w:rPr>
        <w:rFonts w:hint="default"/>
      </w:rPr>
    </w:lvl>
  </w:abstractNum>
  <w:abstractNum w:abstractNumId="19">
    <w:nsid w:val="59F08F13"/>
    <w:multiLevelType w:val="singleLevel"/>
    <w:tmpl w:val="59F08F13"/>
    <w:lvl w:ilvl="0" w:tentative="0">
      <w:start w:val="1"/>
      <w:numFmt w:val="decimal"/>
      <w:suff w:val="nothing"/>
      <w:lvlText w:val="%1、"/>
      <w:lvlJc w:val="left"/>
    </w:lvl>
  </w:abstractNum>
  <w:abstractNum w:abstractNumId="20">
    <w:nsid w:val="59F098B5"/>
    <w:multiLevelType w:val="singleLevel"/>
    <w:tmpl w:val="59F098B5"/>
    <w:lvl w:ilvl="0" w:tentative="0">
      <w:start w:val="1"/>
      <w:numFmt w:val="decimal"/>
      <w:suff w:val="nothing"/>
      <w:lvlText w:val="（%1）"/>
      <w:lvlJc w:val="left"/>
      <w:pPr>
        <w:ind w:left="0" w:firstLine="420"/>
      </w:pPr>
      <w:rPr>
        <w:rFonts w:hint="default"/>
      </w:rPr>
    </w:lvl>
  </w:abstractNum>
  <w:abstractNum w:abstractNumId="21">
    <w:nsid w:val="5FD13C2B"/>
    <w:multiLevelType w:val="singleLevel"/>
    <w:tmpl w:val="5FD13C2B"/>
    <w:lvl w:ilvl="0" w:tentative="0">
      <w:start w:val="1"/>
      <w:numFmt w:val="decimal"/>
      <w:suff w:val="nothing"/>
      <w:lvlText w:val="%1、"/>
      <w:lvlJc w:val="left"/>
    </w:lvl>
  </w:abstractNum>
  <w:abstractNum w:abstractNumId="22">
    <w:nsid w:val="66050B89"/>
    <w:multiLevelType w:val="singleLevel"/>
    <w:tmpl w:val="66050B89"/>
    <w:lvl w:ilvl="0" w:tentative="0">
      <w:start w:val="7"/>
      <w:numFmt w:val="decimal"/>
      <w:suff w:val="nothing"/>
      <w:lvlText w:val="%1、"/>
      <w:lvlJc w:val="left"/>
    </w:lvl>
  </w:abstractNum>
  <w:abstractNum w:abstractNumId="23">
    <w:nsid w:val="7ED87E52"/>
    <w:multiLevelType w:val="multilevel"/>
    <w:tmpl w:val="7ED87E52"/>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4"/>
  </w:num>
  <w:num w:numId="3">
    <w:abstractNumId w:val="2"/>
  </w:num>
  <w:num w:numId="4">
    <w:abstractNumId w:val="22"/>
  </w:num>
  <w:num w:numId="5">
    <w:abstractNumId w:val="0"/>
  </w:num>
  <w:num w:numId="6">
    <w:abstractNumId w:val="5"/>
  </w:num>
  <w:num w:numId="7">
    <w:abstractNumId w:val="6"/>
  </w:num>
  <w:num w:numId="8">
    <w:abstractNumId w:val="3"/>
  </w:num>
  <w:num w:numId="9">
    <w:abstractNumId w:val="10"/>
  </w:num>
  <w:num w:numId="10">
    <w:abstractNumId w:val="12"/>
  </w:num>
  <w:num w:numId="11">
    <w:abstractNumId w:val="7"/>
  </w:num>
  <w:num w:numId="12">
    <w:abstractNumId w:val="11"/>
  </w:num>
  <w:num w:numId="13">
    <w:abstractNumId w:val="20"/>
  </w:num>
  <w:num w:numId="14">
    <w:abstractNumId w:val="13"/>
  </w:num>
  <w:num w:numId="15">
    <w:abstractNumId w:val="16"/>
  </w:num>
  <w:num w:numId="16">
    <w:abstractNumId w:val="8"/>
  </w:num>
  <w:num w:numId="17">
    <w:abstractNumId w:val="9"/>
  </w:num>
  <w:num w:numId="18">
    <w:abstractNumId w:val="17"/>
  </w:num>
  <w:num w:numId="19">
    <w:abstractNumId w:val="18"/>
  </w:num>
  <w:num w:numId="20">
    <w:abstractNumId w:val="19"/>
  </w:num>
  <w:num w:numId="21">
    <w:abstractNumId w:val="21"/>
  </w:num>
  <w:num w:numId="22">
    <w:abstractNumId w:val="15"/>
  </w:num>
  <w:num w:numId="23">
    <w:abstractNumId w:val="23"/>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米">
    <w15:presenceInfo w15:providerId="None" w15:userId="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NThjOWQ1YTdlYmRiZjExMTEwY2Q3YTRkNmI4YjIifQ=="/>
  </w:docVars>
  <w:rsids>
    <w:rsidRoot w:val="2627224F"/>
    <w:rsid w:val="000C0895"/>
    <w:rsid w:val="00113464"/>
    <w:rsid w:val="0011607E"/>
    <w:rsid w:val="00135474"/>
    <w:rsid w:val="00141AFD"/>
    <w:rsid w:val="00167A28"/>
    <w:rsid w:val="001C1BE0"/>
    <w:rsid w:val="001E3643"/>
    <w:rsid w:val="00241322"/>
    <w:rsid w:val="00290FBC"/>
    <w:rsid w:val="002D7A6D"/>
    <w:rsid w:val="002E07BF"/>
    <w:rsid w:val="002F6FCA"/>
    <w:rsid w:val="00337601"/>
    <w:rsid w:val="00347BE2"/>
    <w:rsid w:val="00360C09"/>
    <w:rsid w:val="003B467C"/>
    <w:rsid w:val="003D37C1"/>
    <w:rsid w:val="003E65D8"/>
    <w:rsid w:val="003E7B81"/>
    <w:rsid w:val="003F3D18"/>
    <w:rsid w:val="003F64A7"/>
    <w:rsid w:val="004456E2"/>
    <w:rsid w:val="00462D92"/>
    <w:rsid w:val="00482B14"/>
    <w:rsid w:val="004B10EC"/>
    <w:rsid w:val="004D70C5"/>
    <w:rsid w:val="00520C66"/>
    <w:rsid w:val="00522064"/>
    <w:rsid w:val="0053350C"/>
    <w:rsid w:val="005728D1"/>
    <w:rsid w:val="005918D7"/>
    <w:rsid w:val="005B3960"/>
    <w:rsid w:val="005D7A12"/>
    <w:rsid w:val="005E2798"/>
    <w:rsid w:val="00602909"/>
    <w:rsid w:val="006657C9"/>
    <w:rsid w:val="00696FBA"/>
    <w:rsid w:val="006A3734"/>
    <w:rsid w:val="006B38D0"/>
    <w:rsid w:val="006E46DF"/>
    <w:rsid w:val="006F1FD6"/>
    <w:rsid w:val="00755E22"/>
    <w:rsid w:val="007629BD"/>
    <w:rsid w:val="00792491"/>
    <w:rsid w:val="007B717F"/>
    <w:rsid w:val="00841916"/>
    <w:rsid w:val="008866C0"/>
    <w:rsid w:val="00891290"/>
    <w:rsid w:val="008962A7"/>
    <w:rsid w:val="00897D92"/>
    <w:rsid w:val="008A367A"/>
    <w:rsid w:val="008B7CA5"/>
    <w:rsid w:val="008F6EFE"/>
    <w:rsid w:val="008F752D"/>
    <w:rsid w:val="00916046"/>
    <w:rsid w:val="00931804"/>
    <w:rsid w:val="00952667"/>
    <w:rsid w:val="00954CF1"/>
    <w:rsid w:val="009A4A76"/>
    <w:rsid w:val="009E3558"/>
    <w:rsid w:val="00A248F4"/>
    <w:rsid w:val="00A63494"/>
    <w:rsid w:val="00A8343C"/>
    <w:rsid w:val="00A921BA"/>
    <w:rsid w:val="00AB0730"/>
    <w:rsid w:val="00AC7625"/>
    <w:rsid w:val="00AD72BC"/>
    <w:rsid w:val="00B32079"/>
    <w:rsid w:val="00B76DB3"/>
    <w:rsid w:val="00BA4575"/>
    <w:rsid w:val="00BC1AB3"/>
    <w:rsid w:val="00BD2877"/>
    <w:rsid w:val="00C05F93"/>
    <w:rsid w:val="00C1147B"/>
    <w:rsid w:val="00C77720"/>
    <w:rsid w:val="00D01247"/>
    <w:rsid w:val="00D574E4"/>
    <w:rsid w:val="00D576EF"/>
    <w:rsid w:val="00D723CA"/>
    <w:rsid w:val="00DA4229"/>
    <w:rsid w:val="00DC1986"/>
    <w:rsid w:val="00DC7FB0"/>
    <w:rsid w:val="00E04145"/>
    <w:rsid w:val="00E24AFE"/>
    <w:rsid w:val="00E55562"/>
    <w:rsid w:val="00E9724B"/>
    <w:rsid w:val="00EA1ECE"/>
    <w:rsid w:val="00F234ED"/>
    <w:rsid w:val="00F75245"/>
    <w:rsid w:val="011221F0"/>
    <w:rsid w:val="01172355"/>
    <w:rsid w:val="011E49F6"/>
    <w:rsid w:val="01301383"/>
    <w:rsid w:val="013A223F"/>
    <w:rsid w:val="015151A5"/>
    <w:rsid w:val="01525A0A"/>
    <w:rsid w:val="016A454D"/>
    <w:rsid w:val="016E1781"/>
    <w:rsid w:val="017D3840"/>
    <w:rsid w:val="01920D21"/>
    <w:rsid w:val="01AC2FBF"/>
    <w:rsid w:val="01C34939"/>
    <w:rsid w:val="01F90F7C"/>
    <w:rsid w:val="02064B47"/>
    <w:rsid w:val="020667AB"/>
    <w:rsid w:val="021358C1"/>
    <w:rsid w:val="023D3E07"/>
    <w:rsid w:val="025423AC"/>
    <w:rsid w:val="027B35DF"/>
    <w:rsid w:val="02854F8C"/>
    <w:rsid w:val="02F61685"/>
    <w:rsid w:val="02FA17E2"/>
    <w:rsid w:val="030035D1"/>
    <w:rsid w:val="030A0C9E"/>
    <w:rsid w:val="03343D40"/>
    <w:rsid w:val="034C725D"/>
    <w:rsid w:val="03B350A3"/>
    <w:rsid w:val="03BB6549"/>
    <w:rsid w:val="03C10C9F"/>
    <w:rsid w:val="03C921C1"/>
    <w:rsid w:val="03CD78DC"/>
    <w:rsid w:val="03E03131"/>
    <w:rsid w:val="046A6AB4"/>
    <w:rsid w:val="046C750A"/>
    <w:rsid w:val="046D004A"/>
    <w:rsid w:val="049629AD"/>
    <w:rsid w:val="04CD0688"/>
    <w:rsid w:val="04D502BA"/>
    <w:rsid w:val="04EC4054"/>
    <w:rsid w:val="050438CD"/>
    <w:rsid w:val="050B5092"/>
    <w:rsid w:val="05151170"/>
    <w:rsid w:val="05402991"/>
    <w:rsid w:val="054E1CE0"/>
    <w:rsid w:val="057A7F6E"/>
    <w:rsid w:val="05B92037"/>
    <w:rsid w:val="05C63FAB"/>
    <w:rsid w:val="05C7505F"/>
    <w:rsid w:val="05E36615"/>
    <w:rsid w:val="060454DB"/>
    <w:rsid w:val="06110D47"/>
    <w:rsid w:val="064D1D08"/>
    <w:rsid w:val="064F0531"/>
    <w:rsid w:val="066D1D57"/>
    <w:rsid w:val="06886A78"/>
    <w:rsid w:val="06913258"/>
    <w:rsid w:val="06BE30D0"/>
    <w:rsid w:val="06D82926"/>
    <w:rsid w:val="06DB30A3"/>
    <w:rsid w:val="06E56C12"/>
    <w:rsid w:val="07217CFE"/>
    <w:rsid w:val="072729DD"/>
    <w:rsid w:val="073E7167"/>
    <w:rsid w:val="07416A2C"/>
    <w:rsid w:val="076235D8"/>
    <w:rsid w:val="077C036A"/>
    <w:rsid w:val="07812C43"/>
    <w:rsid w:val="07824345"/>
    <w:rsid w:val="07A12CEC"/>
    <w:rsid w:val="07E562BD"/>
    <w:rsid w:val="087D1536"/>
    <w:rsid w:val="087F7C22"/>
    <w:rsid w:val="089747C6"/>
    <w:rsid w:val="08B16FB6"/>
    <w:rsid w:val="08D5154A"/>
    <w:rsid w:val="08EE3646"/>
    <w:rsid w:val="090A42F6"/>
    <w:rsid w:val="09271A18"/>
    <w:rsid w:val="0949327F"/>
    <w:rsid w:val="09687FC9"/>
    <w:rsid w:val="096D4A05"/>
    <w:rsid w:val="097A7578"/>
    <w:rsid w:val="09913C41"/>
    <w:rsid w:val="09DD41F0"/>
    <w:rsid w:val="09EA213D"/>
    <w:rsid w:val="09F61D50"/>
    <w:rsid w:val="0A0976BB"/>
    <w:rsid w:val="0A0A4A7D"/>
    <w:rsid w:val="0A3A6382"/>
    <w:rsid w:val="0A3E3F88"/>
    <w:rsid w:val="0A416957"/>
    <w:rsid w:val="0A672A35"/>
    <w:rsid w:val="0A8C4DCE"/>
    <w:rsid w:val="0A917517"/>
    <w:rsid w:val="0AA83BB0"/>
    <w:rsid w:val="0AAA6000"/>
    <w:rsid w:val="0AED02ED"/>
    <w:rsid w:val="0B1E41BF"/>
    <w:rsid w:val="0B5A515E"/>
    <w:rsid w:val="0B5D1A85"/>
    <w:rsid w:val="0B836556"/>
    <w:rsid w:val="0BB31A32"/>
    <w:rsid w:val="0BB5243F"/>
    <w:rsid w:val="0BED26A5"/>
    <w:rsid w:val="0C0C1B1D"/>
    <w:rsid w:val="0C2D1DD6"/>
    <w:rsid w:val="0C8C04FE"/>
    <w:rsid w:val="0CA121DB"/>
    <w:rsid w:val="0CA75AC8"/>
    <w:rsid w:val="0CB35E97"/>
    <w:rsid w:val="0CB5191B"/>
    <w:rsid w:val="0CB6728F"/>
    <w:rsid w:val="0CDE5D12"/>
    <w:rsid w:val="0CE63F92"/>
    <w:rsid w:val="0CFD25BD"/>
    <w:rsid w:val="0D452987"/>
    <w:rsid w:val="0D4F0DA7"/>
    <w:rsid w:val="0D933F5C"/>
    <w:rsid w:val="0D9F6E1F"/>
    <w:rsid w:val="0DA800E4"/>
    <w:rsid w:val="0DA97E70"/>
    <w:rsid w:val="0DAE092E"/>
    <w:rsid w:val="0DB60E58"/>
    <w:rsid w:val="0DE05FFE"/>
    <w:rsid w:val="0DF63272"/>
    <w:rsid w:val="0E0C42FA"/>
    <w:rsid w:val="0E3139FC"/>
    <w:rsid w:val="0E381521"/>
    <w:rsid w:val="0E507C98"/>
    <w:rsid w:val="0EA91CC7"/>
    <w:rsid w:val="0EB27F91"/>
    <w:rsid w:val="0EDD6ADE"/>
    <w:rsid w:val="0F564018"/>
    <w:rsid w:val="0F7C27AB"/>
    <w:rsid w:val="0FB74A2D"/>
    <w:rsid w:val="0FC66DA3"/>
    <w:rsid w:val="0FEB458E"/>
    <w:rsid w:val="10027715"/>
    <w:rsid w:val="101A2132"/>
    <w:rsid w:val="102F2E65"/>
    <w:rsid w:val="103966FB"/>
    <w:rsid w:val="108E6DDE"/>
    <w:rsid w:val="10FF1E8F"/>
    <w:rsid w:val="111E27BF"/>
    <w:rsid w:val="113205D1"/>
    <w:rsid w:val="11724A11"/>
    <w:rsid w:val="11B361D3"/>
    <w:rsid w:val="11BB4D58"/>
    <w:rsid w:val="12532BCF"/>
    <w:rsid w:val="12793BBE"/>
    <w:rsid w:val="127A294C"/>
    <w:rsid w:val="128C33F4"/>
    <w:rsid w:val="12AF1250"/>
    <w:rsid w:val="12DF222F"/>
    <w:rsid w:val="1305127B"/>
    <w:rsid w:val="1314580C"/>
    <w:rsid w:val="13154B3E"/>
    <w:rsid w:val="131C06AC"/>
    <w:rsid w:val="13344DCB"/>
    <w:rsid w:val="13487675"/>
    <w:rsid w:val="135F2E89"/>
    <w:rsid w:val="137447B2"/>
    <w:rsid w:val="137D0971"/>
    <w:rsid w:val="138D11BC"/>
    <w:rsid w:val="139A492C"/>
    <w:rsid w:val="139D2FCC"/>
    <w:rsid w:val="13B5488D"/>
    <w:rsid w:val="13D84C83"/>
    <w:rsid w:val="13DB0FA5"/>
    <w:rsid w:val="14122569"/>
    <w:rsid w:val="147D758C"/>
    <w:rsid w:val="149C20CC"/>
    <w:rsid w:val="14CF3AC4"/>
    <w:rsid w:val="15273101"/>
    <w:rsid w:val="15550B09"/>
    <w:rsid w:val="155550C1"/>
    <w:rsid w:val="15761223"/>
    <w:rsid w:val="15801C05"/>
    <w:rsid w:val="159517A5"/>
    <w:rsid w:val="15B45C44"/>
    <w:rsid w:val="15B7361F"/>
    <w:rsid w:val="15BF211E"/>
    <w:rsid w:val="15E23CA8"/>
    <w:rsid w:val="15FD4466"/>
    <w:rsid w:val="161C7DEF"/>
    <w:rsid w:val="16463200"/>
    <w:rsid w:val="166B3507"/>
    <w:rsid w:val="16E60ECD"/>
    <w:rsid w:val="16E8108D"/>
    <w:rsid w:val="172E41F2"/>
    <w:rsid w:val="17304B16"/>
    <w:rsid w:val="17575561"/>
    <w:rsid w:val="17822E75"/>
    <w:rsid w:val="17907B2D"/>
    <w:rsid w:val="17A06173"/>
    <w:rsid w:val="17B56054"/>
    <w:rsid w:val="17D95A15"/>
    <w:rsid w:val="17DF536C"/>
    <w:rsid w:val="183D0E38"/>
    <w:rsid w:val="1841587E"/>
    <w:rsid w:val="186F1C22"/>
    <w:rsid w:val="186F3E63"/>
    <w:rsid w:val="187857E7"/>
    <w:rsid w:val="187B19AA"/>
    <w:rsid w:val="188321C6"/>
    <w:rsid w:val="18921717"/>
    <w:rsid w:val="192F739D"/>
    <w:rsid w:val="192F7A1F"/>
    <w:rsid w:val="199F3661"/>
    <w:rsid w:val="19DB10CE"/>
    <w:rsid w:val="19FE73AF"/>
    <w:rsid w:val="1A324F2D"/>
    <w:rsid w:val="1A462475"/>
    <w:rsid w:val="1A4907A0"/>
    <w:rsid w:val="1A7A4408"/>
    <w:rsid w:val="1AD77BDD"/>
    <w:rsid w:val="1AF11218"/>
    <w:rsid w:val="1B107CCB"/>
    <w:rsid w:val="1B115D3C"/>
    <w:rsid w:val="1B1E0896"/>
    <w:rsid w:val="1B2C6E01"/>
    <w:rsid w:val="1B2F54E0"/>
    <w:rsid w:val="1B4F68A2"/>
    <w:rsid w:val="1B5E6D18"/>
    <w:rsid w:val="1B6C76E2"/>
    <w:rsid w:val="1B735FBA"/>
    <w:rsid w:val="1B807337"/>
    <w:rsid w:val="1B8F1F49"/>
    <w:rsid w:val="1BA47C58"/>
    <w:rsid w:val="1BB80F43"/>
    <w:rsid w:val="1BC021BE"/>
    <w:rsid w:val="1BC170B5"/>
    <w:rsid w:val="1BC85289"/>
    <w:rsid w:val="1BD448E3"/>
    <w:rsid w:val="1BDC02C0"/>
    <w:rsid w:val="1BF0529D"/>
    <w:rsid w:val="1C0944E3"/>
    <w:rsid w:val="1C0D4B5A"/>
    <w:rsid w:val="1C1501B2"/>
    <w:rsid w:val="1C2F5F3C"/>
    <w:rsid w:val="1C44332D"/>
    <w:rsid w:val="1CA0154D"/>
    <w:rsid w:val="1CE63BC2"/>
    <w:rsid w:val="1D0E0A35"/>
    <w:rsid w:val="1D364B66"/>
    <w:rsid w:val="1D3856EB"/>
    <w:rsid w:val="1D385997"/>
    <w:rsid w:val="1D6B0D1C"/>
    <w:rsid w:val="1D7369FA"/>
    <w:rsid w:val="1D7E52DC"/>
    <w:rsid w:val="1DF97E9A"/>
    <w:rsid w:val="1E2934C1"/>
    <w:rsid w:val="1E445B9E"/>
    <w:rsid w:val="1E5D27F1"/>
    <w:rsid w:val="1E5E18A6"/>
    <w:rsid w:val="1E702D4A"/>
    <w:rsid w:val="1E7F212C"/>
    <w:rsid w:val="1EC052AB"/>
    <w:rsid w:val="1EEB3394"/>
    <w:rsid w:val="1F087C18"/>
    <w:rsid w:val="1F171EBA"/>
    <w:rsid w:val="1F206854"/>
    <w:rsid w:val="1F244EC9"/>
    <w:rsid w:val="1F4C29B9"/>
    <w:rsid w:val="1F895E51"/>
    <w:rsid w:val="1FA073B6"/>
    <w:rsid w:val="1FDD0B97"/>
    <w:rsid w:val="1FE36A7A"/>
    <w:rsid w:val="20025D99"/>
    <w:rsid w:val="2054435F"/>
    <w:rsid w:val="205F1781"/>
    <w:rsid w:val="20720DB9"/>
    <w:rsid w:val="207546D0"/>
    <w:rsid w:val="20A53615"/>
    <w:rsid w:val="20DA5189"/>
    <w:rsid w:val="20E71F9A"/>
    <w:rsid w:val="21045854"/>
    <w:rsid w:val="2149131F"/>
    <w:rsid w:val="214B42D7"/>
    <w:rsid w:val="214F79E9"/>
    <w:rsid w:val="215122BE"/>
    <w:rsid w:val="21516179"/>
    <w:rsid w:val="21571958"/>
    <w:rsid w:val="21670260"/>
    <w:rsid w:val="21AC5CFD"/>
    <w:rsid w:val="21B53414"/>
    <w:rsid w:val="21E5038E"/>
    <w:rsid w:val="223673F2"/>
    <w:rsid w:val="223E6CF8"/>
    <w:rsid w:val="225906DB"/>
    <w:rsid w:val="2268567C"/>
    <w:rsid w:val="227755BD"/>
    <w:rsid w:val="227C1E95"/>
    <w:rsid w:val="22A56DDC"/>
    <w:rsid w:val="22C46F55"/>
    <w:rsid w:val="22C677C0"/>
    <w:rsid w:val="22DD3C85"/>
    <w:rsid w:val="2322550C"/>
    <w:rsid w:val="23335E07"/>
    <w:rsid w:val="23773046"/>
    <w:rsid w:val="23B42767"/>
    <w:rsid w:val="23E303FA"/>
    <w:rsid w:val="23E52D30"/>
    <w:rsid w:val="241E5F24"/>
    <w:rsid w:val="24254E76"/>
    <w:rsid w:val="242D516F"/>
    <w:rsid w:val="243528DB"/>
    <w:rsid w:val="245247ED"/>
    <w:rsid w:val="24575A93"/>
    <w:rsid w:val="24944F1E"/>
    <w:rsid w:val="24B36521"/>
    <w:rsid w:val="24C04FDC"/>
    <w:rsid w:val="24C80102"/>
    <w:rsid w:val="25050BF9"/>
    <w:rsid w:val="252177FC"/>
    <w:rsid w:val="252E1698"/>
    <w:rsid w:val="255F7AD2"/>
    <w:rsid w:val="256D4FBD"/>
    <w:rsid w:val="25AA58E4"/>
    <w:rsid w:val="261750D0"/>
    <w:rsid w:val="2627224F"/>
    <w:rsid w:val="26306DFF"/>
    <w:rsid w:val="265B0A5D"/>
    <w:rsid w:val="266360FF"/>
    <w:rsid w:val="26BE65DE"/>
    <w:rsid w:val="26E403D1"/>
    <w:rsid w:val="26E57C4A"/>
    <w:rsid w:val="26EF72E5"/>
    <w:rsid w:val="26FA2506"/>
    <w:rsid w:val="270B0E4A"/>
    <w:rsid w:val="27117D71"/>
    <w:rsid w:val="27180E6A"/>
    <w:rsid w:val="271E393C"/>
    <w:rsid w:val="274023D4"/>
    <w:rsid w:val="27454326"/>
    <w:rsid w:val="27663E92"/>
    <w:rsid w:val="276B4952"/>
    <w:rsid w:val="276E0786"/>
    <w:rsid w:val="278D1958"/>
    <w:rsid w:val="278E7404"/>
    <w:rsid w:val="27AC2B24"/>
    <w:rsid w:val="27D163B4"/>
    <w:rsid w:val="282B36F9"/>
    <w:rsid w:val="28346CFC"/>
    <w:rsid w:val="28450CB3"/>
    <w:rsid w:val="2859233C"/>
    <w:rsid w:val="287813D0"/>
    <w:rsid w:val="28B92E20"/>
    <w:rsid w:val="28B93CEB"/>
    <w:rsid w:val="28CF323E"/>
    <w:rsid w:val="28E1683E"/>
    <w:rsid w:val="28E6684D"/>
    <w:rsid w:val="290D032A"/>
    <w:rsid w:val="29D10A88"/>
    <w:rsid w:val="29F135D2"/>
    <w:rsid w:val="2A026D17"/>
    <w:rsid w:val="2A441BE1"/>
    <w:rsid w:val="2A4A0382"/>
    <w:rsid w:val="2A6643E1"/>
    <w:rsid w:val="2A695658"/>
    <w:rsid w:val="2A7C6796"/>
    <w:rsid w:val="2AA02867"/>
    <w:rsid w:val="2AB357E7"/>
    <w:rsid w:val="2AC9578D"/>
    <w:rsid w:val="2B000827"/>
    <w:rsid w:val="2B36486C"/>
    <w:rsid w:val="2B7674D7"/>
    <w:rsid w:val="2B955445"/>
    <w:rsid w:val="2BB23B01"/>
    <w:rsid w:val="2BBB57AB"/>
    <w:rsid w:val="2BC069D0"/>
    <w:rsid w:val="2BC2563F"/>
    <w:rsid w:val="2BFA55A6"/>
    <w:rsid w:val="2C0070AA"/>
    <w:rsid w:val="2C0269A0"/>
    <w:rsid w:val="2C042804"/>
    <w:rsid w:val="2C5436BE"/>
    <w:rsid w:val="2C9446A0"/>
    <w:rsid w:val="2C9E44F9"/>
    <w:rsid w:val="2CF617E0"/>
    <w:rsid w:val="2D16631A"/>
    <w:rsid w:val="2D3C40F0"/>
    <w:rsid w:val="2D3E66F0"/>
    <w:rsid w:val="2D45150C"/>
    <w:rsid w:val="2D4E3D0D"/>
    <w:rsid w:val="2D5A4743"/>
    <w:rsid w:val="2D8A1FED"/>
    <w:rsid w:val="2DBB723B"/>
    <w:rsid w:val="2DC15622"/>
    <w:rsid w:val="2DC37DF1"/>
    <w:rsid w:val="2E0D173F"/>
    <w:rsid w:val="2E281685"/>
    <w:rsid w:val="2E514F7B"/>
    <w:rsid w:val="2E6B222D"/>
    <w:rsid w:val="2E773963"/>
    <w:rsid w:val="2ECE634F"/>
    <w:rsid w:val="2F0B54C5"/>
    <w:rsid w:val="2F153A82"/>
    <w:rsid w:val="2F2019A0"/>
    <w:rsid w:val="2F4D5872"/>
    <w:rsid w:val="2F610A8B"/>
    <w:rsid w:val="2F984ABB"/>
    <w:rsid w:val="30561692"/>
    <w:rsid w:val="309F63EE"/>
    <w:rsid w:val="30AA13BF"/>
    <w:rsid w:val="30DC6B3D"/>
    <w:rsid w:val="3105500E"/>
    <w:rsid w:val="31131CE8"/>
    <w:rsid w:val="31195802"/>
    <w:rsid w:val="313D6297"/>
    <w:rsid w:val="313E4759"/>
    <w:rsid w:val="315F185A"/>
    <w:rsid w:val="316770DE"/>
    <w:rsid w:val="318A65F0"/>
    <w:rsid w:val="31926D16"/>
    <w:rsid w:val="31B444D7"/>
    <w:rsid w:val="31B7772C"/>
    <w:rsid w:val="31BC4305"/>
    <w:rsid w:val="32111844"/>
    <w:rsid w:val="324D2C51"/>
    <w:rsid w:val="324E226E"/>
    <w:rsid w:val="32D4454C"/>
    <w:rsid w:val="32D70803"/>
    <w:rsid w:val="32EA1725"/>
    <w:rsid w:val="32F341BB"/>
    <w:rsid w:val="330001A2"/>
    <w:rsid w:val="33434A04"/>
    <w:rsid w:val="33462703"/>
    <w:rsid w:val="334713E7"/>
    <w:rsid w:val="335C0F0C"/>
    <w:rsid w:val="33930B4C"/>
    <w:rsid w:val="33B06FF0"/>
    <w:rsid w:val="33EA4F8B"/>
    <w:rsid w:val="33FB38CA"/>
    <w:rsid w:val="340F5638"/>
    <w:rsid w:val="343D0DDD"/>
    <w:rsid w:val="344A5CAF"/>
    <w:rsid w:val="34627E84"/>
    <w:rsid w:val="34761B3D"/>
    <w:rsid w:val="34E023E3"/>
    <w:rsid w:val="34ED2EF3"/>
    <w:rsid w:val="34FB6280"/>
    <w:rsid w:val="350614D4"/>
    <w:rsid w:val="353D1B92"/>
    <w:rsid w:val="357B2262"/>
    <w:rsid w:val="358B1967"/>
    <w:rsid w:val="35A41C98"/>
    <w:rsid w:val="35A56003"/>
    <w:rsid w:val="35BE61A8"/>
    <w:rsid w:val="360E3D96"/>
    <w:rsid w:val="360F4901"/>
    <w:rsid w:val="36777D43"/>
    <w:rsid w:val="367E78CA"/>
    <w:rsid w:val="36804D7E"/>
    <w:rsid w:val="36897EB8"/>
    <w:rsid w:val="369F5F8F"/>
    <w:rsid w:val="36A1205A"/>
    <w:rsid w:val="36A46172"/>
    <w:rsid w:val="36AB41BB"/>
    <w:rsid w:val="36B22365"/>
    <w:rsid w:val="36CD7058"/>
    <w:rsid w:val="36CE6BE8"/>
    <w:rsid w:val="36EC1C72"/>
    <w:rsid w:val="370666E5"/>
    <w:rsid w:val="37166CE2"/>
    <w:rsid w:val="372E468C"/>
    <w:rsid w:val="3742623A"/>
    <w:rsid w:val="375111F8"/>
    <w:rsid w:val="37785578"/>
    <w:rsid w:val="379501B2"/>
    <w:rsid w:val="3818637F"/>
    <w:rsid w:val="385F1A9D"/>
    <w:rsid w:val="3883540B"/>
    <w:rsid w:val="389712F2"/>
    <w:rsid w:val="38DD3307"/>
    <w:rsid w:val="38E76B84"/>
    <w:rsid w:val="38EA1BFF"/>
    <w:rsid w:val="39212DA8"/>
    <w:rsid w:val="39293DB0"/>
    <w:rsid w:val="3932357B"/>
    <w:rsid w:val="39372EBC"/>
    <w:rsid w:val="394B60E6"/>
    <w:rsid w:val="398630C2"/>
    <w:rsid w:val="3988651C"/>
    <w:rsid w:val="39A03524"/>
    <w:rsid w:val="39B13AE1"/>
    <w:rsid w:val="39C627A0"/>
    <w:rsid w:val="39E901AB"/>
    <w:rsid w:val="39F3335C"/>
    <w:rsid w:val="39F57D4C"/>
    <w:rsid w:val="3A2E433E"/>
    <w:rsid w:val="3A441023"/>
    <w:rsid w:val="3A595941"/>
    <w:rsid w:val="3A8D3267"/>
    <w:rsid w:val="3AD25972"/>
    <w:rsid w:val="3AD30421"/>
    <w:rsid w:val="3AD30754"/>
    <w:rsid w:val="3AD31A4B"/>
    <w:rsid w:val="3B0B5B2E"/>
    <w:rsid w:val="3B1866F7"/>
    <w:rsid w:val="3B376687"/>
    <w:rsid w:val="3B3E6939"/>
    <w:rsid w:val="3B4F12B2"/>
    <w:rsid w:val="3B730A2C"/>
    <w:rsid w:val="3B946A47"/>
    <w:rsid w:val="3BA22370"/>
    <w:rsid w:val="3C040985"/>
    <w:rsid w:val="3C0A04BB"/>
    <w:rsid w:val="3C3360EC"/>
    <w:rsid w:val="3C3E0561"/>
    <w:rsid w:val="3C452831"/>
    <w:rsid w:val="3C625190"/>
    <w:rsid w:val="3C7057AE"/>
    <w:rsid w:val="3CA53C3A"/>
    <w:rsid w:val="3CA97F92"/>
    <w:rsid w:val="3CC1259B"/>
    <w:rsid w:val="3CD82850"/>
    <w:rsid w:val="3CEA1C78"/>
    <w:rsid w:val="3CFD2A7F"/>
    <w:rsid w:val="3D0266F6"/>
    <w:rsid w:val="3D195F9F"/>
    <w:rsid w:val="3D1F5861"/>
    <w:rsid w:val="3D351B1D"/>
    <w:rsid w:val="3D3B07E2"/>
    <w:rsid w:val="3D3E398C"/>
    <w:rsid w:val="3D4B442E"/>
    <w:rsid w:val="3D537D9A"/>
    <w:rsid w:val="3D61265A"/>
    <w:rsid w:val="3D6D69CE"/>
    <w:rsid w:val="3D7D162F"/>
    <w:rsid w:val="3D967A01"/>
    <w:rsid w:val="3DB13B3B"/>
    <w:rsid w:val="3DC70F93"/>
    <w:rsid w:val="3DEC15D6"/>
    <w:rsid w:val="3DF15FE0"/>
    <w:rsid w:val="3E0169BD"/>
    <w:rsid w:val="3E2B7513"/>
    <w:rsid w:val="3E5700F6"/>
    <w:rsid w:val="3E7D1F13"/>
    <w:rsid w:val="3EB721C8"/>
    <w:rsid w:val="3EC7628C"/>
    <w:rsid w:val="3F1E5F37"/>
    <w:rsid w:val="3F2C79EE"/>
    <w:rsid w:val="3F57615E"/>
    <w:rsid w:val="3FA30EFB"/>
    <w:rsid w:val="3FA46EF8"/>
    <w:rsid w:val="3FB62795"/>
    <w:rsid w:val="3FDB5779"/>
    <w:rsid w:val="3FF92975"/>
    <w:rsid w:val="3FFC6EA5"/>
    <w:rsid w:val="40003CEF"/>
    <w:rsid w:val="40245BC4"/>
    <w:rsid w:val="403D27BC"/>
    <w:rsid w:val="40444734"/>
    <w:rsid w:val="4084115C"/>
    <w:rsid w:val="40996295"/>
    <w:rsid w:val="409B548E"/>
    <w:rsid w:val="40B35057"/>
    <w:rsid w:val="40F70182"/>
    <w:rsid w:val="411E7D17"/>
    <w:rsid w:val="41303C39"/>
    <w:rsid w:val="414F74CB"/>
    <w:rsid w:val="415B6654"/>
    <w:rsid w:val="41662EBF"/>
    <w:rsid w:val="416745BC"/>
    <w:rsid w:val="417C2EE6"/>
    <w:rsid w:val="41D12A32"/>
    <w:rsid w:val="41D301C3"/>
    <w:rsid w:val="41D623AF"/>
    <w:rsid w:val="41E00614"/>
    <w:rsid w:val="422F49B3"/>
    <w:rsid w:val="423B1067"/>
    <w:rsid w:val="426360C7"/>
    <w:rsid w:val="426D62ED"/>
    <w:rsid w:val="42802614"/>
    <w:rsid w:val="42B01704"/>
    <w:rsid w:val="42CC4106"/>
    <w:rsid w:val="42CE4911"/>
    <w:rsid w:val="431F1AE3"/>
    <w:rsid w:val="433002FD"/>
    <w:rsid w:val="433858A5"/>
    <w:rsid w:val="43425DE6"/>
    <w:rsid w:val="434638CD"/>
    <w:rsid w:val="438753A5"/>
    <w:rsid w:val="438D1ECE"/>
    <w:rsid w:val="438F79BB"/>
    <w:rsid w:val="43920E07"/>
    <w:rsid w:val="43951B04"/>
    <w:rsid w:val="43D638F2"/>
    <w:rsid w:val="43F715ED"/>
    <w:rsid w:val="442A56DD"/>
    <w:rsid w:val="44655A6C"/>
    <w:rsid w:val="44984355"/>
    <w:rsid w:val="44A8226D"/>
    <w:rsid w:val="44AA08C6"/>
    <w:rsid w:val="44D25D1C"/>
    <w:rsid w:val="44E87F0C"/>
    <w:rsid w:val="44EF4A70"/>
    <w:rsid w:val="451C7BB5"/>
    <w:rsid w:val="45342FB5"/>
    <w:rsid w:val="4550153F"/>
    <w:rsid w:val="45591DA2"/>
    <w:rsid w:val="455A0950"/>
    <w:rsid w:val="455B0D44"/>
    <w:rsid w:val="45660998"/>
    <w:rsid w:val="458B3F95"/>
    <w:rsid w:val="45AA2F38"/>
    <w:rsid w:val="45B93656"/>
    <w:rsid w:val="45C336FA"/>
    <w:rsid w:val="45F97DCD"/>
    <w:rsid w:val="4601483F"/>
    <w:rsid w:val="46025A85"/>
    <w:rsid w:val="46075783"/>
    <w:rsid w:val="465530CB"/>
    <w:rsid w:val="46760020"/>
    <w:rsid w:val="46A7659A"/>
    <w:rsid w:val="46C838E4"/>
    <w:rsid w:val="46D92199"/>
    <w:rsid w:val="46F20FCA"/>
    <w:rsid w:val="47045B5F"/>
    <w:rsid w:val="475A6142"/>
    <w:rsid w:val="47630D4C"/>
    <w:rsid w:val="476A5FE9"/>
    <w:rsid w:val="47732AB5"/>
    <w:rsid w:val="478D3666"/>
    <w:rsid w:val="479C53F6"/>
    <w:rsid w:val="479D2C98"/>
    <w:rsid w:val="47A30A38"/>
    <w:rsid w:val="47AB179B"/>
    <w:rsid w:val="47C30288"/>
    <w:rsid w:val="48161D29"/>
    <w:rsid w:val="48293860"/>
    <w:rsid w:val="48553B36"/>
    <w:rsid w:val="485A2871"/>
    <w:rsid w:val="488270A6"/>
    <w:rsid w:val="49001E86"/>
    <w:rsid w:val="49081412"/>
    <w:rsid w:val="4943094A"/>
    <w:rsid w:val="496D50BB"/>
    <w:rsid w:val="49D14C7B"/>
    <w:rsid w:val="49F64E88"/>
    <w:rsid w:val="49F712AC"/>
    <w:rsid w:val="4A221247"/>
    <w:rsid w:val="4A3E05CE"/>
    <w:rsid w:val="4A4C3C76"/>
    <w:rsid w:val="4A582F08"/>
    <w:rsid w:val="4A770D74"/>
    <w:rsid w:val="4AB30EDE"/>
    <w:rsid w:val="4AB344AE"/>
    <w:rsid w:val="4AE87797"/>
    <w:rsid w:val="4AED368C"/>
    <w:rsid w:val="4B341F77"/>
    <w:rsid w:val="4B635581"/>
    <w:rsid w:val="4B7D207A"/>
    <w:rsid w:val="4B875EB6"/>
    <w:rsid w:val="4B8D42B7"/>
    <w:rsid w:val="4C7D1FFD"/>
    <w:rsid w:val="4C872B81"/>
    <w:rsid w:val="4CCC23EE"/>
    <w:rsid w:val="4CD945DE"/>
    <w:rsid w:val="4CF5763E"/>
    <w:rsid w:val="4D0A39C2"/>
    <w:rsid w:val="4D0D0CAE"/>
    <w:rsid w:val="4D1E7969"/>
    <w:rsid w:val="4D3F7CBF"/>
    <w:rsid w:val="4D4D1D94"/>
    <w:rsid w:val="4D7711E6"/>
    <w:rsid w:val="4DB842B2"/>
    <w:rsid w:val="4DC46301"/>
    <w:rsid w:val="4DFE3CC8"/>
    <w:rsid w:val="4E1230AB"/>
    <w:rsid w:val="4E226C82"/>
    <w:rsid w:val="4E476559"/>
    <w:rsid w:val="4E4E418E"/>
    <w:rsid w:val="4E5E1C73"/>
    <w:rsid w:val="4E887901"/>
    <w:rsid w:val="4EA902EC"/>
    <w:rsid w:val="4ED23C6A"/>
    <w:rsid w:val="4EF6717E"/>
    <w:rsid w:val="4F0A7123"/>
    <w:rsid w:val="4F197143"/>
    <w:rsid w:val="4F1A5E88"/>
    <w:rsid w:val="4F2A3762"/>
    <w:rsid w:val="4F2E0DB1"/>
    <w:rsid w:val="4F3D7371"/>
    <w:rsid w:val="4F60338B"/>
    <w:rsid w:val="4FBD116C"/>
    <w:rsid w:val="4FD06EA2"/>
    <w:rsid w:val="4FD41C1D"/>
    <w:rsid w:val="4FED2322"/>
    <w:rsid w:val="4FFD22D4"/>
    <w:rsid w:val="4FFD53C6"/>
    <w:rsid w:val="503C0967"/>
    <w:rsid w:val="503D1B16"/>
    <w:rsid w:val="506D5769"/>
    <w:rsid w:val="507405DA"/>
    <w:rsid w:val="508E47DC"/>
    <w:rsid w:val="50A25484"/>
    <w:rsid w:val="50AE3F83"/>
    <w:rsid w:val="50CF7A4B"/>
    <w:rsid w:val="51054F86"/>
    <w:rsid w:val="510878CC"/>
    <w:rsid w:val="512B33CF"/>
    <w:rsid w:val="5137564E"/>
    <w:rsid w:val="51433816"/>
    <w:rsid w:val="514E0A72"/>
    <w:rsid w:val="51576FE4"/>
    <w:rsid w:val="51903D56"/>
    <w:rsid w:val="519F488C"/>
    <w:rsid w:val="51BB1780"/>
    <w:rsid w:val="51D77850"/>
    <w:rsid w:val="520713EF"/>
    <w:rsid w:val="520923F4"/>
    <w:rsid w:val="5222282D"/>
    <w:rsid w:val="52302A27"/>
    <w:rsid w:val="52311BA0"/>
    <w:rsid w:val="52547F54"/>
    <w:rsid w:val="52651F95"/>
    <w:rsid w:val="526B5D33"/>
    <w:rsid w:val="529E7DC9"/>
    <w:rsid w:val="52A1157D"/>
    <w:rsid w:val="52A17953"/>
    <w:rsid w:val="52C45934"/>
    <w:rsid w:val="52ED40C1"/>
    <w:rsid w:val="53071031"/>
    <w:rsid w:val="532452B2"/>
    <w:rsid w:val="5350404C"/>
    <w:rsid w:val="535B4CF0"/>
    <w:rsid w:val="53BA08AE"/>
    <w:rsid w:val="53BC278B"/>
    <w:rsid w:val="53C706AD"/>
    <w:rsid w:val="53D04F72"/>
    <w:rsid w:val="53E2021C"/>
    <w:rsid w:val="5400093A"/>
    <w:rsid w:val="541115FF"/>
    <w:rsid w:val="543E150A"/>
    <w:rsid w:val="547747B8"/>
    <w:rsid w:val="547F24EC"/>
    <w:rsid w:val="54935808"/>
    <w:rsid w:val="54E164AC"/>
    <w:rsid w:val="55033C76"/>
    <w:rsid w:val="55214A1D"/>
    <w:rsid w:val="55254864"/>
    <w:rsid w:val="55411377"/>
    <w:rsid w:val="55496AED"/>
    <w:rsid w:val="554D54B4"/>
    <w:rsid w:val="55592634"/>
    <w:rsid w:val="55992746"/>
    <w:rsid w:val="565B2641"/>
    <w:rsid w:val="569B59A6"/>
    <w:rsid w:val="56AF0A2A"/>
    <w:rsid w:val="56E6209E"/>
    <w:rsid w:val="57132F95"/>
    <w:rsid w:val="572A7C05"/>
    <w:rsid w:val="572D4E3F"/>
    <w:rsid w:val="572D56F6"/>
    <w:rsid w:val="57313889"/>
    <w:rsid w:val="57457023"/>
    <w:rsid w:val="57530FA1"/>
    <w:rsid w:val="57606393"/>
    <w:rsid w:val="57720FF4"/>
    <w:rsid w:val="577F5DB3"/>
    <w:rsid w:val="57C63600"/>
    <w:rsid w:val="57E8417C"/>
    <w:rsid w:val="57F02B3E"/>
    <w:rsid w:val="57F7454B"/>
    <w:rsid w:val="582A33EA"/>
    <w:rsid w:val="58430210"/>
    <w:rsid w:val="585838C1"/>
    <w:rsid w:val="5863214C"/>
    <w:rsid w:val="58717162"/>
    <w:rsid w:val="58BB4F57"/>
    <w:rsid w:val="58F720CA"/>
    <w:rsid w:val="593F71FC"/>
    <w:rsid w:val="594850C6"/>
    <w:rsid w:val="599B3347"/>
    <w:rsid w:val="59CF07B4"/>
    <w:rsid w:val="59DC43D8"/>
    <w:rsid w:val="5A046827"/>
    <w:rsid w:val="5A400973"/>
    <w:rsid w:val="5A46701C"/>
    <w:rsid w:val="5A4930C9"/>
    <w:rsid w:val="5A4D66ED"/>
    <w:rsid w:val="5A647BDD"/>
    <w:rsid w:val="5AA549B2"/>
    <w:rsid w:val="5ADC7386"/>
    <w:rsid w:val="5AF31DC2"/>
    <w:rsid w:val="5AFA22EF"/>
    <w:rsid w:val="5B1F78F3"/>
    <w:rsid w:val="5B5104F9"/>
    <w:rsid w:val="5B5D0855"/>
    <w:rsid w:val="5B61411C"/>
    <w:rsid w:val="5B7D558A"/>
    <w:rsid w:val="5BAC4E3A"/>
    <w:rsid w:val="5BFA0921"/>
    <w:rsid w:val="5C012B8C"/>
    <w:rsid w:val="5C343B51"/>
    <w:rsid w:val="5C362AF4"/>
    <w:rsid w:val="5C3A2C8A"/>
    <w:rsid w:val="5C3E4720"/>
    <w:rsid w:val="5C526BB4"/>
    <w:rsid w:val="5C8D3282"/>
    <w:rsid w:val="5C9853DD"/>
    <w:rsid w:val="5C9B09C7"/>
    <w:rsid w:val="5C9D2D1B"/>
    <w:rsid w:val="5CC85BD5"/>
    <w:rsid w:val="5CE018DD"/>
    <w:rsid w:val="5CF7443D"/>
    <w:rsid w:val="5D117077"/>
    <w:rsid w:val="5D156AD4"/>
    <w:rsid w:val="5D157F0C"/>
    <w:rsid w:val="5D363D8B"/>
    <w:rsid w:val="5D3E5C6C"/>
    <w:rsid w:val="5D55736E"/>
    <w:rsid w:val="5DC32CD5"/>
    <w:rsid w:val="5E074110"/>
    <w:rsid w:val="5E2C0A11"/>
    <w:rsid w:val="5E5C7FAC"/>
    <w:rsid w:val="5E872C01"/>
    <w:rsid w:val="5E8E1E7B"/>
    <w:rsid w:val="5E933865"/>
    <w:rsid w:val="5E9A27FB"/>
    <w:rsid w:val="5EB1181D"/>
    <w:rsid w:val="5EC52109"/>
    <w:rsid w:val="5EDC6635"/>
    <w:rsid w:val="5EDF242A"/>
    <w:rsid w:val="5EEA23B0"/>
    <w:rsid w:val="5EEC4CC9"/>
    <w:rsid w:val="5EFC424F"/>
    <w:rsid w:val="5F297A96"/>
    <w:rsid w:val="5F387DD8"/>
    <w:rsid w:val="5F610F9A"/>
    <w:rsid w:val="5F88611B"/>
    <w:rsid w:val="5FB90777"/>
    <w:rsid w:val="5FC72CEE"/>
    <w:rsid w:val="5FF86F5E"/>
    <w:rsid w:val="602479AA"/>
    <w:rsid w:val="602C20DD"/>
    <w:rsid w:val="603875BB"/>
    <w:rsid w:val="60442474"/>
    <w:rsid w:val="60B12374"/>
    <w:rsid w:val="60B12B22"/>
    <w:rsid w:val="60CB5CDD"/>
    <w:rsid w:val="60D45919"/>
    <w:rsid w:val="60FB7E65"/>
    <w:rsid w:val="613C13E6"/>
    <w:rsid w:val="615E3BC9"/>
    <w:rsid w:val="615F10FE"/>
    <w:rsid w:val="619031C9"/>
    <w:rsid w:val="61B42655"/>
    <w:rsid w:val="61EB04E9"/>
    <w:rsid w:val="621F176D"/>
    <w:rsid w:val="622F4266"/>
    <w:rsid w:val="62462A72"/>
    <w:rsid w:val="62736765"/>
    <w:rsid w:val="62EA6460"/>
    <w:rsid w:val="62FC698C"/>
    <w:rsid w:val="63030F14"/>
    <w:rsid w:val="63806113"/>
    <w:rsid w:val="63835A3F"/>
    <w:rsid w:val="638E1B29"/>
    <w:rsid w:val="63BB5D1B"/>
    <w:rsid w:val="63D5525A"/>
    <w:rsid w:val="64223E55"/>
    <w:rsid w:val="643D1096"/>
    <w:rsid w:val="6453132F"/>
    <w:rsid w:val="64A036C7"/>
    <w:rsid w:val="64C22BED"/>
    <w:rsid w:val="64D21925"/>
    <w:rsid w:val="64D91523"/>
    <w:rsid w:val="64DB2E27"/>
    <w:rsid w:val="64E37071"/>
    <w:rsid w:val="64EC5F80"/>
    <w:rsid w:val="651264A6"/>
    <w:rsid w:val="651751A8"/>
    <w:rsid w:val="654759C8"/>
    <w:rsid w:val="654D11D6"/>
    <w:rsid w:val="65586A2A"/>
    <w:rsid w:val="657038D9"/>
    <w:rsid w:val="657F3B1C"/>
    <w:rsid w:val="6584536B"/>
    <w:rsid w:val="65A12770"/>
    <w:rsid w:val="65D65610"/>
    <w:rsid w:val="65ED18A5"/>
    <w:rsid w:val="65EF7AB7"/>
    <w:rsid w:val="66035B03"/>
    <w:rsid w:val="661462F7"/>
    <w:rsid w:val="66150AEC"/>
    <w:rsid w:val="66544EF8"/>
    <w:rsid w:val="668B5CC3"/>
    <w:rsid w:val="66AF26E3"/>
    <w:rsid w:val="66C919F0"/>
    <w:rsid w:val="66CE558C"/>
    <w:rsid w:val="66E30E48"/>
    <w:rsid w:val="67010AE3"/>
    <w:rsid w:val="67251571"/>
    <w:rsid w:val="67322B5A"/>
    <w:rsid w:val="67371207"/>
    <w:rsid w:val="67463A17"/>
    <w:rsid w:val="675B51C1"/>
    <w:rsid w:val="678673E4"/>
    <w:rsid w:val="6794124F"/>
    <w:rsid w:val="67A16233"/>
    <w:rsid w:val="67C373D8"/>
    <w:rsid w:val="67FC723E"/>
    <w:rsid w:val="68002120"/>
    <w:rsid w:val="68175BEF"/>
    <w:rsid w:val="68234055"/>
    <w:rsid w:val="683948E7"/>
    <w:rsid w:val="686314D3"/>
    <w:rsid w:val="6869441C"/>
    <w:rsid w:val="689D0E3F"/>
    <w:rsid w:val="689F47D3"/>
    <w:rsid w:val="68DC5C2D"/>
    <w:rsid w:val="68E80C27"/>
    <w:rsid w:val="68E814B4"/>
    <w:rsid w:val="68F91EAB"/>
    <w:rsid w:val="690C7260"/>
    <w:rsid w:val="69121E3A"/>
    <w:rsid w:val="69154D60"/>
    <w:rsid w:val="691F4D9F"/>
    <w:rsid w:val="694A6DBA"/>
    <w:rsid w:val="695D62E9"/>
    <w:rsid w:val="699954C4"/>
    <w:rsid w:val="699D36D6"/>
    <w:rsid w:val="69B631EB"/>
    <w:rsid w:val="69B779BF"/>
    <w:rsid w:val="69CD7FDE"/>
    <w:rsid w:val="69CF08EE"/>
    <w:rsid w:val="69DF4E90"/>
    <w:rsid w:val="6A07214F"/>
    <w:rsid w:val="6A1D278A"/>
    <w:rsid w:val="6A2B779E"/>
    <w:rsid w:val="6A651034"/>
    <w:rsid w:val="6A8A66E4"/>
    <w:rsid w:val="6A8B2E97"/>
    <w:rsid w:val="6AA72B52"/>
    <w:rsid w:val="6ABE4147"/>
    <w:rsid w:val="6AE2354A"/>
    <w:rsid w:val="6AF8649D"/>
    <w:rsid w:val="6B0F7EA9"/>
    <w:rsid w:val="6B1F10AD"/>
    <w:rsid w:val="6B22477C"/>
    <w:rsid w:val="6B320A31"/>
    <w:rsid w:val="6B3D6C33"/>
    <w:rsid w:val="6B491DA4"/>
    <w:rsid w:val="6B594672"/>
    <w:rsid w:val="6B5D28FD"/>
    <w:rsid w:val="6B5E4D2E"/>
    <w:rsid w:val="6B775DEA"/>
    <w:rsid w:val="6B7C73CC"/>
    <w:rsid w:val="6B881D49"/>
    <w:rsid w:val="6BCC495B"/>
    <w:rsid w:val="6BE116D3"/>
    <w:rsid w:val="6BE16828"/>
    <w:rsid w:val="6BFE69B3"/>
    <w:rsid w:val="6C1E1E3E"/>
    <w:rsid w:val="6C2A7865"/>
    <w:rsid w:val="6C620EF9"/>
    <w:rsid w:val="6C6A54FD"/>
    <w:rsid w:val="6CAA3EA4"/>
    <w:rsid w:val="6CAA6CF2"/>
    <w:rsid w:val="6CAE2A5E"/>
    <w:rsid w:val="6CB53CC9"/>
    <w:rsid w:val="6CD93690"/>
    <w:rsid w:val="6CF60D91"/>
    <w:rsid w:val="6CF6746A"/>
    <w:rsid w:val="6D0E72FA"/>
    <w:rsid w:val="6D2D03F9"/>
    <w:rsid w:val="6D863465"/>
    <w:rsid w:val="6D876D62"/>
    <w:rsid w:val="6D9E588E"/>
    <w:rsid w:val="6DA94262"/>
    <w:rsid w:val="6DAE2A69"/>
    <w:rsid w:val="6DB70CB4"/>
    <w:rsid w:val="6DE36788"/>
    <w:rsid w:val="6E094352"/>
    <w:rsid w:val="6E0A2C2C"/>
    <w:rsid w:val="6E2B38D1"/>
    <w:rsid w:val="6E6C5872"/>
    <w:rsid w:val="6E92195E"/>
    <w:rsid w:val="6EAF4174"/>
    <w:rsid w:val="6F215C00"/>
    <w:rsid w:val="6F3626B6"/>
    <w:rsid w:val="6F3F40AE"/>
    <w:rsid w:val="6F55742A"/>
    <w:rsid w:val="6F815117"/>
    <w:rsid w:val="6F9F5995"/>
    <w:rsid w:val="6FA0724B"/>
    <w:rsid w:val="6FC35A98"/>
    <w:rsid w:val="70032E02"/>
    <w:rsid w:val="70046E3A"/>
    <w:rsid w:val="70273ED3"/>
    <w:rsid w:val="702A2DF0"/>
    <w:rsid w:val="708F3F4F"/>
    <w:rsid w:val="70AC5055"/>
    <w:rsid w:val="70ED71CC"/>
    <w:rsid w:val="7170308B"/>
    <w:rsid w:val="719D1D80"/>
    <w:rsid w:val="719E503F"/>
    <w:rsid w:val="71AC3D91"/>
    <w:rsid w:val="71B903FB"/>
    <w:rsid w:val="71E31595"/>
    <w:rsid w:val="71E65261"/>
    <w:rsid w:val="71FF0740"/>
    <w:rsid w:val="71FF0BB1"/>
    <w:rsid w:val="72002F73"/>
    <w:rsid w:val="720F4716"/>
    <w:rsid w:val="72896FE0"/>
    <w:rsid w:val="728E5F19"/>
    <w:rsid w:val="729130E1"/>
    <w:rsid w:val="73013FCC"/>
    <w:rsid w:val="73245D0B"/>
    <w:rsid w:val="734B2CD8"/>
    <w:rsid w:val="73531D3D"/>
    <w:rsid w:val="73547991"/>
    <w:rsid w:val="736938A6"/>
    <w:rsid w:val="73815A8E"/>
    <w:rsid w:val="738E6C88"/>
    <w:rsid w:val="739169F9"/>
    <w:rsid w:val="73956555"/>
    <w:rsid w:val="73B20FBC"/>
    <w:rsid w:val="73D444E9"/>
    <w:rsid w:val="73E52D88"/>
    <w:rsid w:val="73EB093B"/>
    <w:rsid w:val="73F53135"/>
    <w:rsid w:val="73F717DB"/>
    <w:rsid w:val="74031DA5"/>
    <w:rsid w:val="742D4234"/>
    <w:rsid w:val="742D47F0"/>
    <w:rsid w:val="743F4CBA"/>
    <w:rsid w:val="748729B3"/>
    <w:rsid w:val="748A000B"/>
    <w:rsid w:val="74942EB6"/>
    <w:rsid w:val="749E119A"/>
    <w:rsid w:val="749F3C38"/>
    <w:rsid w:val="74A356E3"/>
    <w:rsid w:val="74B6777C"/>
    <w:rsid w:val="74C53ACB"/>
    <w:rsid w:val="74D33EF6"/>
    <w:rsid w:val="74D81279"/>
    <w:rsid w:val="74E0507D"/>
    <w:rsid w:val="75517D18"/>
    <w:rsid w:val="756D2733"/>
    <w:rsid w:val="7579243F"/>
    <w:rsid w:val="75AC17A8"/>
    <w:rsid w:val="75B14542"/>
    <w:rsid w:val="75B456A9"/>
    <w:rsid w:val="75C50AA6"/>
    <w:rsid w:val="75CB3E5F"/>
    <w:rsid w:val="75D94171"/>
    <w:rsid w:val="75EA51DF"/>
    <w:rsid w:val="765E26FC"/>
    <w:rsid w:val="7698556E"/>
    <w:rsid w:val="769D4442"/>
    <w:rsid w:val="76AF515A"/>
    <w:rsid w:val="76B61F68"/>
    <w:rsid w:val="76C57E80"/>
    <w:rsid w:val="76CC1292"/>
    <w:rsid w:val="76CD25D8"/>
    <w:rsid w:val="77026BC5"/>
    <w:rsid w:val="77210231"/>
    <w:rsid w:val="77222886"/>
    <w:rsid w:val="773312C2"/>
    <w:rsid w:val="773D64AD"/>
    <w:rsid w:val="777703EE"/>
    <w:rsid w:val="77B4383F"/>
    <w:rsid w:val="77E2543A"/>
    <w:rsid w:val="77F25BCE"/>
    <w:rsid w:val="78203AD8"/>
    <w:rsid w:val="78306110"/>
    <w:rsid w:val="785B754B"/>
    <w:rsid w:val="78615D56"/>
    <w:rsid w:val="787D0A6E"/>
    <w:rsid w:val="789829BB"/>
    <w:rsid w:val="789E2A4C"/>
    <w:rsid w:val="78A15077"/>
    <w:rsid w:val="78C83AD2"/>
    <w:rsid w:val="78E6713F"/>
    <w:rsid w:val="7925799D"/>
    <w:rsid w:val="7950760C"/>
    <w:rsid w:val="79516F63"/>
    <w:rsid w:val="795356A6"/>
    <w:rsid w:val="79565544"/>
    <w:rsid w:val="79582410"/>
    <w:rsid w:val="796E1666"/>
    <w:rsid w:val="798A5C60"/>
    <w:rsid w:val="79A07515"/>
    <w:rsid w:val="79A9103A"/>
    <w:rsid w:val="79AB36F9"/>
    <w:rsid w:val="79DD1D32"/>
    <w:rsid w:val="79EF06E6"/>
    <w:rsid w:val="7A00729F"/>
    <w:rsid w:val="7A0A1FB4"/>
    <w:rsid w:val="7A136FE5"/>
    <w:rsid w:val="7A402138"/>
    <w:rsid w:val="7AA0594B"/>
    <w:rsid w:val="7AB2692A"/>
    <w:rsid w:val="7AC15EB2"/>
    <w:rsid w:val="7ACA5466"/>
    <w:rsid w:val="7AD45C10"/>
    <w:rsid w:val="7B043CCA"/>
    <w:rsid w:val="7B0A6A9B"/>
    <w:rsid w:val="7B0D2818"/>
    <w:rsid w:val="7B123D44"/>
    <w:rsid w:val="7B3B3CFD"/>
    <w:rsid w:val="7B6B5634"/>
    <w:rsid w:val="7B6D1BDA"/>
    <w:rsid w:val="7B7F61CD"/>
    <w:rsid w:val="7B994E29"/>
    <w:rsid w:val="7BD07F21"/>
    <w:rsid w:val="7BEA4EEA"/>
    <w:rsid w:val="7C064153"/>
    <w:rsid w:val="7C3857E3"/>
    <w:rsid w:val="7C4E0368"/>
    <w:rsid w:val="7C545112"/>
    <w:rsid w:val="7C60651C"/>
    <w:rsid w:val="7CB82DCD"/>
    <w:rsid w:val="7CC83BA3"/>
    <w:rsid w:val="7CE57657"/>
    <w:rsid w:val="7CED360A"/>
    <w:rsid w:val="7D4F33EB"/>
    <w:rsid w:val="7D5A601F"/>
    <w:rsid w:val="7D640B9C"/>
    <w:rsid w:val="7D926429"/>
    <w:rsid w:val="7D9A2209"/>
    <w:rsid w:val="7DA56900"/>
    <w:rsid w:val="7DA9460F"/>
    <w:rsid w:val="7DC80B9A"/>
    <w:rsid w:val="7DE03DE0"/>
    <w:rsid w:val="7DE65FBE"/>
    <w:rsid w:val="7DFF6F70"/>
    <w:rsid w:val="7E0A4D94"/>
    <w:rsid w:val="7E1D4451"/>
    <w:rsid w:val="7E2461C2"/>
    <w:rsid w:val="7E3B2283"/>
    <w:rsid w:val="7E58785B"/>
    <w:rsid w:val="7E826950"/>
    <w:rsid w:val="7E904003"/>
    <w:rsid w:val="7E9064E4"/>
    <w:rsid w:val="7EA42767"/>
    <w:rsid w:val="7EB76F44"/>
    <w:rsid w:val="7EC0073F"/>
    <w:rsid w:val="7ECB4E2F"/>
    <w:rsid w:val="7ED1368E"/>
    <w:rsid w:val="7EFF5CB3"/>
    <w:rsid w:val="7F316EE6"/>
    <w:rsid w:val="7F337D66"/>
    <w:rsid w:val="7F51509B"/>
    <w:rsid w:val="7F7405C7"/>
    <w:rsid w:val="7F7F75D9"/>
    <w:rsid w:val="7F9564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7"/>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link w:val="40"/>
    <w:qFormat/>
    <w:uiPriority w:val="99"/>
    <w:pPr>
      <w:keepNext/>
      <w:keepLines/>
      <w:spacing w:line="576" w:lineRule="auto"/>
      <w:jc w:val="center"/>
      <w:outlineLvl w:val="0"/>
    </w:pPr>
    <w:rPr>
      <w:rFonts w:ascii="Times New Roman" w:hAnsi="Times New Roman"/>
      <w:b/>
      <w:kern w:val="44"/>
      <w:sz w:val="32"/>
    </w:rPr>
  </w:style>
  <w:style w:type="paragraph" w:styleId="4">
    <w:name w:val="heading 2"/>
    <w:basedOn w:val="1"/>
    <w:next w:val="1"/>
    <w:link w:val="41"/>
    <w:qFormat/>
    <w:uiPriority w:val="99"/>
    <w:pPr>
      <w:keepNext/>
      <w:keepLines/>
      <w:spacing w:line="413" w:lineRule="auto"/>
      <w:jc w:val="center"/>
      <w:outlineLvl w:val="1"/>
    </w:pPr>
    <w:rPr>
      <w:rFonts w:ascii="Arial" w:hAnsi="Arial"/>
      <w:b/>
      <w:sz w:val="28"/>
    </w:rPr>
  </w:style>
  <w:style w:type="paragraph" w:styleId="5">
    <w:name w:val="heading 3"/>
    <w:basedOn w:val="1"/>
    <w:next w:val="1"/>
    <w:link w:val="42"/>
    <w:qFormat/>
    <w:uiPriority w:val="99"/>
    <w:pPr>
      <w:keepNext/>
      <w:keepLines/>
      <w:spacing w:line="413" w:lineRule="auto"/>
      <w:outlineLvl w:val="2"/>
    </w:pPr>
    <w:rPr>
      <w:b/>
      <w:sz w:val="28"/>
    </w:rPr>
  </w:style>
  <w:style w:type="paragraph" w:styleId="6">
    <w:name w:val="heading 4"/>
    <w:basedOn w:val="1"/>
    <w:next w:val="1"/>
    <w:unhideWhenUsed/>
    <w:qFormat/>
    <w:locked/>
    <w:uiPriority w:val="0"/>
    <w:pPr>
      <w:keepNext/>
      <w:keepLines/>
      <w:jc w:val="left"/>
      <w:outlineLvl w:val="3"/>
    </w:pPr>
    <w:rPr>
      <w:rFonts w:hint="eastAsia" w:ascii="Arial" w:hAnsi="Arial"/>
      <w:b/>
      <w:sz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next w:val="8"/>
    <w:qFormat/>
    <w:uiPriority w:val="99"/>
    <w:pPr>
      <w:ind w:firstLine="420"/>
    </w:pPr>
    <w:rPr>
      <w:szCs w:val="20"/>
    </w:rPr>
  </w:style>
  <w:style w:type="paragraph" w:styleId="8">
    <w:name w:val="Body Text First Indent 2"/>
    <w:basedOn w:val="9"/>
    <w:next w:val="7"/>
    <w:unhideWhenUsed/>
    <w:qFormat/>
    <w:uiPriority w:val="0"/>
    <w:pPr>
      <w:ind w:firstLine="420" w:firstLineChars="200"/>
    </w:pPr>
  </w:style>
  <w:style w:type="paragraph" w:styleId="9">
    <w:name w:val="Body Text Indent"/>
    <w:basedOn w:val="1"/>
    <w:next w:val="1"/>
    <w:unhideWhenUsed/>
    <w:qFormat/>
    <w:uiPriority w:val="99"/>
    <w:pPr>
      <w:ind w:left="420" w:leftChars="200"/>
    </w:pPr>
  </w:style>
  <w:style w:type="paragraph" w:styleId="10">
    <w:name w:val="annotation text"/>
    <w:basedOn w:val="1"/>
    <w:link w:val="43"/>
    <w:qFormat/>
    <w:uiPriority w:val="99"/>
    <w:pPr>
      <w:jc w:val="left"/>
    </w:pPr>
    <w:rPr>
      <w:rFonts w:ascii="宋体"/>
      <w:kern w:val="0"/>
      <w:sz w:val="34"/>
    </w:rPr>
  </w:style>
  <w:style w:type="paragraph" w:styleId="11">
    <w:name w:val="Body Text"/>
    <w:basedOn w:val="1"/>
    <w:next w:val="1"/>
    <w:link w:val="44"/>
    <w:qFormat/>
    <w:uiPriority w:val="99"/>
  </w:style>
  <w:style w:type="paragraph" w:styleId="12">
    <w:name w:val="toc 3"/>
    <w:basedOn w:val="1"/>
    <w:next w:val="1"/>
    <w:qFormat/>
    <w:uiPriority w:val="99"/>
    <w:pPr>
      <w:ind w:left="840" w:leftChars="400"/>
    </w:pPr>
  </w:style>
  <w:style w:type="paragraph" w:styleId="13">
    <w:name w:val="Plain Text"/>
    <w:basedOn w:val="1"/>
    <w:link w:val="45"/>
    <w:qFormat/>
    <w:uiPriority w:val="99"/>
    <w:pPr>
      <w:spacing w:line="324" w:lineRule="auto"/>
    </w:pPr>
    <w:rPr>
      <w:rFonts w:ascii="宋体" w:hAnsi="Courier New" w:cs="Courier New"/>
      <w:szCs w:val="21"/>
    </w:rPr>
  </w:style>
  <w:style w:type="paragraph" w:styleId="14">
    <w:name w:val="Body Text Indent 2"/>
    <w:basedOn w:val="1"/>
    <w:link w:val="46"/>
    <w:qFormat/>
    <w:uiPriority w:val="99"/>
    <w:pPr>
      <w:spacing w:after="120" w:line="480" w:lineRule="auto"/>
      <w:ind w:left="420" w:leftChars="200"/>
    </w:pPr>
  </w:style>
  <w:style w:type="paragraph" w:styleId="15">
    <w:name w:val="Balloon Text"/>
    <w:basedOn w:val="1"/>
    <w:link w:val="47"/>
    <w:qFormat/>
    <w:uiPriority w:val="99"/>
    <w:rPr>
      <w:sz w:val="18"/>
      <w:szCs w:val="18"/>
    </w:rPr>
  </w:style>
  <w:style w:type="paragraph" w:styleId="16">
    <w:name w:val="footer"/>
    <w:basedOn w:val="1"/>
    <w:link w:val="48"/>
    <w:qFormat/>
    <w:uiPriority w:val="99"/>
    <w:pPr>
      <w:tabs>
        <w:tab w:val="center" w:pos="4153"/>
        <w:tab w:val="right" w:pos="8306"/>
      </w:tabs>
      <w:snapToGrid w:val="0"/>
      <w:jc w:val="left"/>
    </w:pPr>
    <w:rPr>
      <w:sz w:val="18"/>
      <w:szCs w:val="18"/>
    </w:rPr>
  </w:style>
  <w:style w:type="paragraph" w:styleId="17">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Body Text 2"/>
    <w:basedOn w:val="1"/>
    <w:link w:val="50"/>
    <w:qFormat/>
    <w:uiPriority w:val="99"/>
    <w:pPr>
      <w:jc w:val="center"/>
    </w:pPr>
    <w:rPr>
      <w:b/>
      <w:spacing w:val="-20"/>
      <w:w w:val="130"/>
      <w:sz w:val="48"/>
      <w:szCs w:val="20"/>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22">
    <w:name w:val="Title"/>
    <w:basedOn w:val="1"/>
    <w:next w:val="1"/>
    <w:qFormat/>
    <w:locked/>
    <w:uiPriority w:val="0"/>
    <w:pPr>
      <w:widowControl/>
      <w:spacing w:before="240" w:after="60" w:line="300" w:lineRule="auto"/>
      <w:ind w:firstLine="480"/>
      <w:jc w:val="center"/>
      <w:outlineLvl w:val="0"/>
    </w:pPr>
    <w:rPr>
      <w:rFonts w:ascii="Calibri Light" w:hAnsi="Calibri Light"/>
      <w:b/>
      <w:bCs/>
      <w:sz w:val="32"/>
      <w:szCs w:val="32"/>
    </w:rPr>
  </w:style>
  <w:style w:type="paragraph" w:styleId="23">
    <w:name w:val="Body Text First Indent"/>
    <w:basedOn w:val="11"/>
    <w:unhideWhenUsed/>
    <w:qFormat/>
    <w:uiPriority w:val="99"/>
    <w:pPr>
      <w:ind w:firstLine="420" w:firstLineChars="100"/>
    </w:pPr>
    <w:rPr>
      <w:rFonts w:ascii="Times New Roman" w:hAnsi="Times New Roman"/>
      <w:sz w:val="18"/>
      <w:szCs w:val="18"/>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rFonts w:cs="Times New Roman"/>
      <w:b/>
      <w:sz w:val="24"/>
      <w:szCs w:val="24"/>
    </w:rPr>
  </w:style>
  <w:style w:type="character" w:styleId="28">
    <w:name w:val="page number"/>
    <w:basedOn w:val="26"/>
    <w:qFormat/>
    <w:uiPriority w:val="99"/>
    <w:rPr>
      <w:rFonts w:cs="Times New Roman"/>
    </w:rPr>
  </w:style>
  <w:style w:type="character" w:styleId="29">
    <w:name w:val="FollowedHyperlink"/>
    <w:basedOn w:val="26"/>
    <w:unhideWhenUsed/>
    <w:qFormat/>
    <w:uiPriority w:val="99"/>
    <w:rPr>
      <w:rFonts w:hint="eastAsia" w:ascii="宋体" w:hAnsi="宋体" w:eastAsia="宋体" w:cs="宋体"/>
      <w:color w:val="000000"/>
      <w:sz w:val="18"/>
      <w:szCs w:val="18"/>
      <w:u w:val="none"/>
    </w:rPr>
  </w:style>
  <w:style w:type="character" w:styleId="30">
    <w:name w:val="Emphasis"/>
    <w:basedOn w:val="26"/>
    <w:qFormat/>
    <w:uiPriority w:val="99"/>
    <w:rPr>
      <w:rFonts w:cs="Times New Roman"/>
      <w:i/>
      <w:iCs/>
    </w:rPr>
  </w:style>
  <w:style w:type="character" w:styleId="31">
    <w:name w:val="HTML Definition"/>
    <w:basedOn w:val="26"/>
    <w:unhideWhenUsed/>
    <w:qFormat/>
    <w:uiPriority w:val="99"/>
    <w:rPr>
      <w:i/>
    </w:rPr>
  </w:style>
  <w:style w:type="character" w:styleId="32">
    <w:name w:val="Hyperlink"/>
    <w:basedOn w:val="26"/>
    <w:qFormat/>
    <w:uiPriority w:val="99"/>
    <w:rPr>
      <w:rFonts w:cs="Times New Roman"/>
      <w:color w:val="0000FF"/>
      <w:u w:val="single"/>
    </w:rPr>
  </w:style>
  <w:style w:type="character" w:styleId="33">
    <w:name w:val="HTML Code"/>
    <w:basedOn w:val="26"/>
    <w:unhideWhenUsed/>
    <w:qFormat/>
    <w:uiPriority w:val="99"/>
    <w:rPr>
      <w:rFonts w:ascii="Consolas" w:hAnsi="Consolas" w:eastAsia="Consolas" w:cs="Consolas"/>
      <w:color w:val="C7254E"/>
      <w:sz w:val="21"/>
      <w:szCs w:val="21"/>
      <w:shd w:val="clear" w:color="auto" w:fill="F9F2F4"/>
    </w:rPr>
  </w:style>
  <w:style w:type="character" w:styleId="34">
    <w:name w:val="annotation reference"/>
    <w:basedOn w:val="26"/>
    <w:qFormat/>
    <w:uiPriority w:val="99"/>
    <w:rPr>
      <w:rFonts w:cs="Times New Roman"/>
      <w:sz w:val="21"/>
    </w:rPr>
  </w:style>
  <w:style w:type="character" w:styleId="35">
    <w:name w:val="HTML Cite"/>
    <w:basedOn w:val="26"/>
    <w:qFormat/>
    <w:uiPriority w:val="99"/>
    <w:rPr>
      <w:rFonts w:cs="Times New Roman"/>
      <w:sz w:val="24"/>
      <w:szCs w:val="24"/>
    </w:rPr>
  </w:style>
  <w:style w:type="character" w:styleId="36">
    <w:name w:val="HTML Keyboard"/>
    <w:basedOn w:val="26"/>
    <w:unhideWhenUsed/>
    <w:qFormat/>
    <w:uiPriority w:val="99"/>
    <w:rPr>
      <w:rFonts w:hint="default" w:ascii="Consolas" w:hAnsi="Consolas" w:eastAsia="Consolas" w:cs="Consolas"/>
      <w:color w:val="FFFFFF"/>
      <w:sz w:val="21"/>
      <w:szCs w:val="21"/>
      <w:shd w:val="clear" w:color="auto" w:fill="333333"/>
    </w:rPr>
  </w:style>
  <w:style w:type="character" w:styleId="37">
    <w:name w:val="HTML Sample"/>
    <w:basedOn w:val="26"/>
    <w:unhideWhenUsed/>
    <w:qFormat/>
    <w:uiPriority w:val="99"/>
    <w:rPr>
      <w:rFonts w:hint="default" w:ascii="Consolas" w:hAnsi="Consolas" w:eastAsia="Consolas" w:cs="Consolas"/>
      <w:sz w:val="21"/>
      <w:szCs w:val="21"/>
    </w:rPr>
  </w:style>
  <w:style w:type="paragraph" w:customStyle="1" w:styleId="38">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39">
    <w:name w:val="无间隔1"/>
    <w:qFormat/>
    <w:uiPriority w:val="1"/>
    <w:pPr>
      <w:widowControl w:val="0"/>
      <w:spacing w:line="300" w:lineRule="auto"/>
    </w:pPr>
    <w:rPr>
      <w:rFonts w:ascii="Times New Roman" w:hAnsi="Times New Roman" w:eastAsia="宋体" w:cs="黑体"/>
      <w:kern w:val="2"/>
      <w:sz w:val="21"/>
      <w:szCs w:val="22"/>
      <w:lang w:val="en-US" w:eastAsia="zh-CN" w:bidi="ar-SA"/>
    </w:rPr>
  </w:style>
  <w:style w:type="character" w:customStyle="1" w:styleId="40">
    <w:name w:val="标题 1 Char"/>
    <w:basedOn w:val="26"/>
    <w:link w:val="3"/>
    <w:qFormat/>
    <w:locked/>
    <w:uiPriority w:val="99"/>
    <w:rPr>
      <w:rFonts w:ascii="Calibri" w:hAnsi="Calibri" w:cs="Times New Roman"/>
      <w:b/>
      <w:bCs/>
      <w:kern w:val="44"/>
      <w:sz w:val="44"/>
      <w:szCs w:val="44"/>
    </w:rPr>
  </w:style>
  <w:style w:type="character" w:customStyle="1" w:styleId="41">
    <w:name w:val="标题 2 Char"/>
    <w:basedOn w:val="26"/>
    <w:link w:val="4"/>
    <w:semiHidden/>
    <w:qFormat/>
    <w:locked/>
    <w:uiPriority w:val="99"/>
    <w:rPr>
      <w:rFonts w:ascii="Cambria" w:hAnsi="Cambria" w:eastAsia="宋体" w:cs="Times New Roman"/>
      <w:b/>
      <w:bCs/>
      <w:sz w:val="32"/>
      <w:szCs w:val="32"/>
    </w:rPr>
  </w:style>
  <w:style w:type="character" w:customStyle="1" w:styleId="42">
    <w:name w:val="标题 3 Char"/>
    <w:basedOn w:val="26"/>
    <w:link w:val="5"/>
    <w:semiHidden/>
    <w:qFormat/>
    <w:locked/>
    <w:uiPriority w:val="99"/>
    <w:rPr>
      <w:rFonts w:ascii="Calibri" w:hAnsi="Calibri" w:eastAsia="宋体" w:cs="Times New Roman"/>
      <w:b/>
      <w:bCs/>
      <w:sz w:val="28"/>
      <w:szCs w:val="32"/>
    </w:rPr>
  </w:style>
  <w:style w:type="character" w:customStyle="1" w:styleId="43">
    <w:name w:val="批注文字 Char"/>
    <w:basedOn w:val="26"/>
    <w:link w:val="10"/>
    <w:qFormat/>
    <w:locked/>
    <w:uiPriority w:val="99"/>
    <w:rPr>
      <w:rFonts w:ascii="宋体" w:hAnsi="Calibri" w:eastAsia="宋体" w:cs="Times New Roman"/>
      <w:sz w:val="22"/>
      <w:szCs w:val="22"/>
    </w:rPr>
  </w:style>
  <w:style w:type="character" w:customStyle="1" w:styleId="44">
    <w:name w:val="正文文本 Char"/>
    <w:basedOn w:val="26"/>
    <w:link w:val="11"/>
    <w:semiHidden/>
    <w:qFormat/>
    <w:locked/>
    <w:uiPriority w:val="99"/>
    <w:rPr>
      <w:rFonts w:ascii="Calibri" w:hAnsi="Calibri" w:cs="Times New Roman"/>
    </w:rPr>
  </w:style>
  <w:style w:type="character" w:customStyle="1" w:styleId="45">
    <w:name w:val="纯文本 Char"/>
    <w:basedOn w:val="26"/>
    <w:link w:val="13"/>
    <w:semiHidden/>
    <w:qFormat/>
    <w:locked/>
    <w:uiPriority w:val="99"/>
    <w:rPr>
      <w:rFonts w:ascii="宋体" w:hAnsi="Courier New" w:cs="Courier New"/>
      <w:sz w:val="21"/>
      <w:szCs w:val="21"/>
    </w:rPr>
  </w:style>
  <w:style w:type="character" w:customStyle="1" w:styleId="46">
    <w:name w:val="正文文本缩进 2 Char"/>
    <w:basedOn w:val="26"/>
    <w:link w:val="14"/>
    <w:semiHidden/>
    <w:qFormat/>
    <w:locked/>
    <w:uiPriority w:val="99"/>
    <w:rPr>
      <w:rFonts w:ascii="Calibri" w:hAnsi="Calibri" w:cs="Times New Roman"/>
    </w:rPr>
  </w:style>
  <w:style w:type="character" w:customStyle="1" w:styleId="47">
    <w:name w:val="批注框文本 Char"/>
    <w:basedOn w:val="26"/>
    <w:link w:val="15"/>
    <w:qFormat/>
    <w:locked/>
    <w:uiPriority w:val="99"/>
    <w:rPr>
      <w:rFonts w:ascii="Calibri" w:hAnsi="Calibri" w:eastAsia="宋体" w:cs="Times New Roman"/>
      <w:kern w:val="2"/>
      <w:sz w:val="18"/>
      <w:szCs w:val="18"/>
    </w:rPr>
  </w:style>
  <w:style w:type="character" w:customStyle="1" w:styleId="48">
    <w:name w:val="页脚 Char"/>
    <w:basedOn w:val="26"/>
    <w:link w:val="16"/>
    <w:semiHidden/>
    <w:qFormat/>
    <w:locked/>
    <w:uiPriority w:val="99"/>
    <w:rPr>
      <w:rFonts w:ascii="Calibri" w:hAnsi="Calibri" w:cs="Times New Roman"/>
      <w:sz w:val="18"/>
      <w:szCs w:val="18"/>
    </w:rPr>
  </w:style>
  <w:style w:type="character" w:customStyle="1" w:styleId="49">
    <w:name w:val="页眉 Char"/>
    <w:basedOn w:val="26"/>
    <w:link w:val="17"/>
    <w:semiHidden/>
    <w:qFormat/>
    <w:locked/>
    <w:uiPriority w:val="99"/>
    <w:rPr>
      <w:rFonts w:ascii="Calibri" w:hAnsi="Calibri" w:cs="Times New Roman"/>
      <w:sz w:val="18"/>
      <w:szCs w:val="18"/>
    </w:rPr>
  </w:style>
  <w:style w:type="character" w:customStyle="1" w:styleId="50">
    <w:name w:val="正文文本 2 Char"/>
    <w:basedOn w:val="26"/>
    <w:link w:val="20"/>
    <w:semiHidden/>
    <w:qFormat/>
    <w:locked/>
    <w:uiPriority w:val="99"/>
    <w:rPr>
      <w:rFonts w:ascii="Calibri" w:hAnsi="Calibri" w:cs="Times New Roman"/>
    </w:rPr>
  </w:style>
  <w:style w:type="paragraph" w:customStyle="1" w:styleId="51">
    <w:name w:val="Char2 Char Char Char"/>
    <w:basedOn w:val="1"/>
    <w:qFormat/>
    <w:uiPriority w:val="99"/>
    <w:rPr>
      <w:rFonts w:ascii="Tahoma" w:hAnsi="Tahoma"/>
      <w:szCs w:val="20"/>
    </w:rPr>
  </w:style>
  <w:style w:type="paragraph" w:customStyle="1" w:styleId="52">
    <w:name w:val="列出段落1"/>
    <w:basedOn w:val="1"/>
    <w:qFormat/>
    <w:uiPriority w:val="99"/>
    <w:pPr>
      <w:ind w:firstLine="420" w:firstLineChars="200"/>
    </w:pPr>
  </w:style>
  <w:style w:type="character" w:customStyle="1" w:styleId="53">
    <w:name w:val="10"/>
    <w:basedOn w:val="26"/>
    <w:qFormat/>
    <w:uiPriority w:val="99"/>
    <w:rPr>
      <w:rFonts w:ascii="Calibri" w:hAnsi="Calibri" w:cs="Times New Roman"/>
    </w:rPr>
  </w:style>
  <w:style w:type="character" w:customStyle="1" w:styleId="54">
    <w:name w:val="15"/>
    <w:basedOn w:val="26"/>
    <w:qFormat/>
    <w:uiPriority w:val="99"/>
    <w:rPr>
      <w:rFonts w:ascii="Calibri" w:hAnsi="Calibri" w:cs="Times New Roman"/>
      <w:i/>
      <w:iCs/>
    </w:rPr>
  </w:style>
  <w:style w:type="paragraph" w:customStyle="1" w:styleId="55">
    <w:name w:val="_Style 2"/>
    <w:basedOn w:val="1"/>
    <w:qFormat/>
    <w:uiPriority w:val="99"/>
    <w:pPr>
      <w:ind w:firstLine="420" w:firstLineChars="200"/>
    </w:pPr>
  </w:style>
  <w:style w:type="character" w:customStyle="1" w:styleId="56">
    <w:name w:val="apple-style-span"/>
    <w:qFormat/>
    <w:uiPriority w:val="99"/>
  </w:style>
  <w:style w:type="character" w:customStyle="1" w:styleId="57">
    <w:name w:val="del"/>
    <w:basedOn w:val="26"/>
    <w:qFormat/>
    <w:uiPriority w:val="99"/>
    <w:rPr>
      <w:rFonts w:cs="Times New Roman"/>
    </w:rPr>
  </w:style>
  <w:style w:type="character" w:customStyle="1" w:styleId="58">
    <w:name w:val="del1"/>
    <w:basedOn w:val="26"/>
    <w:qFormat/>
    <w:uiPriority w:val="99"/>
    <w:rPr>
      <w:rFonts w:cs="Times New Roman"/>
      <w:vanish/>
      <w:color w:val="666666"/>
      <w:sz w:val="18"/>
      <w:szCs w:val="18"/>
      <w:u w:val="single"/>
    </w:rPr>
  </w:style>
  <w:style w:type="character" w:customStyle="1" w:styleId="59">
    <w:name w:val="del2"/>
    <w:basedOn w:val="26"/>
    <w:qFormat/>
    <w:uiPriority w:val="99"/>
    <w:rPr>
      <w:rFonts w:cs="Times New Roman"/>
      <w:vanish/>
    </w:rPr>
  </w:style>
  <w:style w:type="character" w:customStyle="1" w:styleId="60">
    <w:name w:val="del3"/>
    <w:basedOn w:val="26"/>
    <w:qFormat/>
    <w:uiPriority w:val="99"/>
    <w:rPr>
      <w:rFonts w:cs="Times New Roman"/>
      <w:vanish/>
    </w:rPr>
  </w:style>
  <w:style w:type="paragraph" w:customStyle="1" w:styleId="61">
    <w:name w:val="_Style 4"/>
    <w:basedOn w:val="1"/>
    <w:qFormat/>
    <w:uiPriority w:val="99"/>
    <w:pPr>
      <w:ind w:firstLine="420" w:firstLineChars="200"/>
    </w:pPr>
  </w:style>
  <w:style w:type="paragraph" w:customStyle="1" w:styleId="62">
    <w:name w:val="pa-19"/>
    <w:basedOn w:val="1"/>
    <w:qFormat/>
    <w:uiPriority w:val="0"/>
    <w:pPr>
      <w:widowControl/>
      <w:spacing w:before="100" w:beforeAutospacing="1" w:after="100" w:afterAutospacing="1"/>
      <w:jc w:val="left"/>
    </w:pPr>
    <w:rPr>
      <w:rFonts w:ascii="宋体" w:hAnsi="宋体" w:cs="宋体"/>
      <w:kern w:val="0"/>
    </w:rPr>
  </w:style>
  <w:style w:type="paragraph" w:customStyle="1" w:styleId="63">
    <w:name w:val="List Paragraph"/>
    <w:basedOn w:val="1"/>
    <w:qFormat/>
    <w:uiPriority w:val="34"/>
    <w:pPr>
      <w:ind w:firstLine="420" w:firstLineChars="200"/>
    </w:pPr>
  </w:style>
  <w:style w:type="paragraph" w:customStyle="1" w:styleId="64">
    <w:name w:val="WPSOffice手动目录 1"/>
    <w:qFormat/>
    <w:uiPriority w:val="0"/>
    <w:rPr>
      <w:rFonts w:asciiTheme="minorHAnsi" w:hAnsiTheme="minorHAnsi" w:eastAsiaTheme="minorEastAsia" w:cstheme="minorBidi"/>
      <w:lang w:val="en-US" w:eastAsia="zh-CN" w:bidi="ar-SA"/>
    </w:rPr>
  </w:style>
  <w:style w:type="paragraph" w:customStyle="1" w:styleId="65">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66">
    <w:name w:val="glyphicon"/>
    <w:basedOn w:val="26"/>
    <w:qFormat/>
    <w:uiPriority w:val="0"/>
  </w:style>
  <w:style w:type="character" w:customStyle="1" w:styleId="67">
    <w:name w:val="old"/>
    <w:basedOn w:val="26"/>
    <w:qFormat/>
    <w:uiPriority w:val="0"/>
    <w:rPr>
      <w:color w:val="999999"/>
    </w:rPr>
  </w:style>
  <w:style w:type="character" w:customStyle="1" w:styleId="68">
    <w:name w:val="hover3"/>
    <w:basedOn w:val="26"/>
    <w:qFormat/>
    <w:uiPriority w:val="0"/>
    <w:rPr>
      <w:shd w:val="clear" w:color="auto" w:fill="EEEEEE"/>
    </w:rPr>
  </w:style>
  <w:style w:type="character" w:customStyle="1" w:styleId="69">
    <w:name w:val="hour_am"/>
    <w:basedOn w:val="26"/>
    <w:qFormat/>
    <w:uiPriority w:val="0"/>
  </w:style>
  <w:style w:type="character" w:customStyle="1" w:styleId="70">
    <w:name w:val="hour_pm"/>
    <w:basedOn w:val="26"/>
    <w:qFormat/>
    <w:uiPriority w:val="0"/>
  </w:style>
  <w:style w:type="character" w:customStyle="1" w:styleId="71">
    <w:name w:val="indent"/>
    <w:basedOn w:val="26"/>
    <w:qFormat/>
    <w:uiPriority w:val="0"/>
  </w:style>
  <w:style w:type="character" w:customStyle="1" w:styleId="72">
    <w:name w:val="button"/>
    <w:basedOn w:val="26"/>
    <w:qFormat/>
    <w:uiPriority w:val="0"/>
  </w:style>
  <w:style w:type="character" w:customStyle="1" w:styleId="73">
    <w:name w:val="tmpztreemove_arrow"/>
    <w:basedOn w:val="26"/>
    <w:qFormat/>
    <w:uiPriority w:val="0"/>
    <w:rPr>
      <w:shd w:val="clear" w:color="auto" w:fill="FFFFFF"/>
    </w:rPr>
  </w:style>
  <w:style w:type="character" w:customStyle="1" w:styleId="74">
    <w:name w:val="hover"/>
    <w:basedOn w:val="26"/>
    <w:qFormat/>
    <w:uiPriority w:val="0"/>
    <w:rPr>
      <w:shd w:val="clear" w:color="auto" w:fill="EEEEEE"/>
    </w:rPr>
  </w:style>
  <w:style w:type="paragraph" w:customStyle="1" w:styleId="75">
    <w:name w:val="※正文"/>
    <w:basedOn w:val="1"/>
    <w:next w:val="1"/>
    <w:qFormat/>
    <w:uiPriority w:val="0"/>
    <w:pPr>
      <w:wordWrap w:val="0"/>
    </w:pPr>
    <w:rPr>
      <w:rFonts w:cstheme="minorBidi"/>
    </w:rPr>
  </w:style>
  <w:style w:type="paragraph" w:customStyle="1" w:styleId="76">
    <w:name w:val="KS表格"/>
    <w:basedOn w:val="1"/>
    <w:qFormat/>
    <w:uiPriority w:val="0"/>
    <w:pPr>
      <w:widowControl w:val="0"/>
      <w:spacing w:line="300" w:lineRule="auto"/>
    </w:pPr>
    <w:rPr>
      <w:rFonts w:ascii="Times New Roman" w:hAnsi="Times New Roman" w:eastAsia="宋体" w:cs="黑体"/>
      <w:sz w:val="21"/>
      <w:szCs w:val="22"/>
    </w:rPr>
  </w:style>
  <w:style w:type="character" w:customStyle="1" w:styleId="77">
    <w:name w:val="NormalCharacter"/>
    <w:link w:val="1"/>
    <w:semiHidden/>
    <w:qFormat/>
    <w:uiPriority w:val="0"/>
    <w:rPr>
      <w:rFonts w:ascii="Calibri" w:hAnsi="Calibri" w:eastAsia="宋体" w:cs="Times New Roman"/>
      <w:kern w:val="2"/>
      <w:sz w:val="24"/>
      <w:szCs w:val="22"/>
      <w:lang w:val="en-US" w:eastAsia="zh-CN" w:bidi="ar-SA"/>
    </w:rPr>
  </w:style>
  <w:style w:type="paragraph" w:customStyle="1" w:styleId="78">
    <w:name w:val="首行缩进"/>
    <w:basedOn w:val="1"/>
    <w:qFormat/>
    <w:uiPriority w:val="0"/>
    <w:pPr>
      <w:ind w:firstLine="480"/>
    </w:pPr>
    <w:rPr>
      <w:rFonts w:ascii="Calibri" w:hAnsi="Calibri"/>
      <w:szCs w:val="22"/>
      <w:lang w:val="zh-CN"/>
    </w:rPr>
  </w:style>
  <w:style w:type="paragraph" w:customStyle="1" w:styleId="79">
    <w:name w:val="p0"/>
    <w:basedOn w:val="1"/>
    <w:qFormat/>
    <w:uiPriority w:val="0"/>
    <w:pPr>
      <w:widowControl/>
    </w:pPr>
    <w:rPr>
      <w:rFonts w:ascii="Times New Roman" w:hAnsi="Times New Roman"/>
      <w:kern w:val="0"/>
      <w:szCs w:val="21"/>
    </w:rPr>
  </w:style>
  <w:style w:type="paragraph" w:customStyle="1" w:styleId="80">
    <w:name w:val="列出段落4"/>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59</Pages>
  <Words>21008</Words>
  <Characters>22502</Characters>
  <Lines>155</Lines>
  <Paragraphs>43</Paragraphs>
  <TotalTime>2</TotalTime>
  <ScaleCrop>false</ScaleCrop>
  <LinksUpToDate>false</LinksUpToDate>
  <CharactersWithSpaces>23971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2019-10-11T10:48:00Z</dcterms:created>
  <dc:creator>Administrator</dc:creator>
  <cp:lastModifiedBy>Administrator</cp:lastModifiedBy>
  <cp:lastPrinted>2017-03-13T04:59:00Z</cp:lastPrinted>
  <dcterms:modified xsi:type="dcterms:W3CDTF">2022-05-18T03:33:40Z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52C0B36FDD184539AAA015AF7145244D</vt:lpwstr>
  </property>
</Properties>
</file>