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00" w:lineRule="exact"/>
        <w:jc w:val="both"/>
        <w:rPr>
          <w:color w:val="auto"/>
          <w:highlight w:val="none"/>
        </w:rPr>
      </w:pPr>
      <w:bookmarkStart w:id="0" w:name="_Toc328739376"/>
      <w:bookmarkStart w:id="1" w:name="_Toc493678860"/>
      <w:bookmarkStart w:id="2" w:name="_Toc490234578"/>
      <w:bookmarkStart w:id="3" w:name="_Toc493257942"/>
      <w:bookmarkStart w:id="4" w:name="_Toc490234465"/>
      <w:bookmarkStart w:id="5" w:name="_Toc489869352"/>
      <w:bookmarkStart w:id="6" w:name="_Toc490234567"/>
      <w:bookmarkStart w:id="7" w:name="_Toc479760678"/>
      <w:bookmarkStart w:id="8" w:name="_Toc479760806"/>
      <w:bookmarkStart w:id="9" w:name="_Toc489869738"/>
      <w:bookmarkStart w:id="10" w:name="_Toc489869014"/>
      <w:bookmarkStart w:id="11" w:name="_Toc490234237"/>
      <w:bookmarkStart w:id="12" w:name="_Toc489868880"/>
      <w:bookmarkStart w:id="13" w:name="_Toc489870014"/>
      <w:bookmarkStart w:id="14" w:name="_Toc490234293"/>
      <w:r>
        <w:rPr>
          <w:rFonts w:hint="eastAsia" w:ascii="华文新魏" w:eastAsia="华文新魏"/>
          <w:bCs/>
          <w:color w:val="auto"/>
          <w:sz w:val="22"/>
          <w:szCs w:val="28"/>
          <w:highlight w:val="none"/>
        </w:rPr>
        <w:t xml:space="preserve"> </w:t>
      </w:r>
    </w:p>
    <w:p>
      <w:pPr>
        <w:ind w:right="-52" w:rightChars="0"/>
        <w:jc w:val="right"/>
        <w:rPr>
          <w:color w:val="auto"/>
          <w:highlight w:val="none"/>
        </w:rPr>
      </w:pPr>
      <w:r>
        <w:rPr>
          <w:color w:val="auto"/>
          <w:sz w:val="18"/>
          <w:highlight w:val="none"/>
        </w:rPr>
        <mc:AlternateContent>
          <mc:Choice Requires="wpg">
            <w:drawing>
              <wp:anchor distT="0" distB="0" distL="114300" distR="114300" simplePos="0" relativeHeight="251664384" behindDoc="0" locked="0" layoutInCell="1" allowOverlap="1">
                <wp:simplePos x="0" y="0"/>
                <wp:positionH relativeFrom="column">
                  <wp:posOffset>-2284730</wp:posOffset>
                </wp:positionH>
                <wp:positionV relativeFrom="paragraph">
                  <wp:posOffset>2007235</wp:posOffset>
                </wp:positionV>
                <wp:extent cx="6898005" cy="1957070"/>
                <wp:effectExtent l="4445" t="4445" r="12700" b="635"/>
                <wp:wrapNone/>
                <wp:docPr id="3" name="组合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rot="0">
                          <a:off x="346710" y="2933065"/>
                          <a:ext cx="6898178" cy="1957134"/>
                          <a:chOff x="-3114" y="2970"/>
                          <a:chExt cx="15206" cy="2799"/>
                        </a:xfrm>
                      </wpg:grpSpPr>
                      <wps:wsp>
                        <wps:cNvPr id="1" name="矩形 1"/>
                        <wps:cNvSpPr>
                          <a:spLocks noChangeAspect="1" noTextEdit="1"/>
                        </wps:cNvSpPr>
                        <wps:spPr>
                          <a:xfrm>
                            <a:off x="-3114" y="2970"/>
                            <a:ext cx="15206" cy="340"/>
                          </a:xfrm>
                          <a:prstGeom prst="rect">
                            <a:avLst/>
                          </a:prstGeom>
                          <a:solidFill>
                            <a:srgbClr val="1C3E8B"/>
                          </a:solidFill>
                          <a:ln w="9525" cap="flat" cmpd="sng">
                            <a:solidFill>
                              <a:srgbClr val="000000"/>
                            </a:solidFill>
                            <a:prstDash val="solid"/>
                            <a:miter/>
                            <a:headEnd type="none" w="med" len="med"/>
                            <a:tailEnd type="none" w="med" len="med"/>
                          </a:ln>
                        </wps:spPr>
                        <wps:bodyPr upright="1"/>
                      </wps:wsp>
                      <wps:wsp>
                        <wps:cNvPr id="2" name="矩形 2"/>
                        <wps:cNvSpPr>
                          <a:spLocks noChangeAspect="1" noTextEdit="1"/>
                        </wps:cNvSpPr>
                        <wps:spPr>
                          <a:xfrm flipV="1">
                            <a:off x="-3051" y="5603"/>
                            <a:ext cx="15066" cy="166"/>
                          </a:xfrm>
                          <a:prstGeom prst="rect">
                            <a:avLst/>
                          </a:prstGeom>
                          <a:solidFill>
                            <a:srgbClr val="1C3E8B"/>
                          </a:solidFill>
                          <a:ln>
                            <a:noFill/>
                          </a:ln>
                        </wps:spPr>
                        <wps:bodyPr upright="1"/>
                      </wps:wsp>
                    </wpg:wgp>
                  </a:graphicData>
                </a:graphic>
              </wp:anchor>
            </w:drawing>
          </mc:Choice>
          <mc:Fallback>
            <w:pict>
              <v:group id="_x0000_s1026" o:spid="_x0000_s1026" o:spt="203" style="position:absolute;left:0pt;margin-left:-179.9pt;margin-top:158.05pt;height:154.1pt;width:543.15pt;z-index:251664384;mso-width-relative:page;mso-height-relative:page;" coordorigin="-3114,2970" coordsize="15206,2799" o:gfxdata="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B8yQOR3AAAAAwBAAAPAAAAAAAAAAEAIAAAACIAAABk&#10;cnMvZG93bnJldi54bWxQSwECFAAUAAAACACHTuJAfNA9DOYCAACbBwAADgAAAAAAAAABACAAAAAr&#10;AQAAZHJzL2Uyb0RvYy54bWxQSwUGAAAAAAYABgBZAQAAgwYAAAAA&#10;">
                <o:lock v:ext="edit" aspectratio="t"/>
                <v:rect id="_x0000_s1026" o:spid="_x0000_s1026" o:spt="1" style="position:absolute;left:-3114;top:2970;height:340;width:15206;" fillcolor="#1C3E8B" filled="t" stroked="t" coordsize="21600,21600" o:gfxdata="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raWgjtAAAANoAAAAPAAAA&#10;AAAAAAEAIAAAACIAAABkcnMvZG93bnJldi54bWxQSwECFAAUAAAACACHTuJAMy8FnjsAAAA5AAAA&#10;EAAAAAAAAAABACAAAAADAQAAZHJzL3NoYXBleG1sLnhtbFBLBQYAAAAABgAGAFsBAACtAwAAAAA=&#10;">
                  <v:fill on="t" focussize="0,0"/>
                  <v:stroke color="#000000" joinstyle="miter"/>
                  <v:imagedata o:title=""/>
                  <o:lock v:ext="edit" text="t" aspectratio="t"/>
                </v:rect>
                <v:rect id="_x0000_s1026" o:spid="_x0000_s1026" o:spt="1" style="position:absolute;left:-3051;top:5603;flip:y;height:166;width:15066;" fillcolor="#1C3E8B" filled="t" stroked="f" coordsize="21600,21600" o:gfxdata="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hAeUC5AAAA2gAA&#10;AA8AAAAAAAAAAQAgAAAAIgAAAGRycy9kb3ducmV2LnhtbFBLAQIUABQAAAAIAIdO4kAzLwWeOwAA&#10;ADkAAAAQAAAAAAAAAAEAIAAAAAgBAABkcnMvc2hhcGV4bWwueG1sUEsFBgAAAAAGAAYAWwEAALID&#10;AAAAAA==&#10;">
                  <v:fill on="t" focussize="0,0"/>
                  <v:stroke on="f"/>
                  <v:imagedata o:title=""/>
                  <o:lock v:ext="edit" text="t" aspectratio="t"/>
                </v:rect>
              </v:group>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-2253615</wp:posOffset>
                </wp:positionH>
                <wp:positionV relativeFrom="paragraph">
                  <wp:posOffset>2041525</wp:posOffset>
                </wp:positionV>
                <wp:extent cx="6823710" cy="1789430"/>
                <wp:effectExtent l="0" t="0" r="15240" b="1270"/>
                <wp:wrapNone/>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823710" cy="1789430"/>
                        </a:xfrm>
                        <a:prstGeom prst="rect">
                          <a:avLst/>
                        </a:prstGeom>
                        <a:solidFill>
                          <a:srgbClr val="FFFFFF"/>
                        </a:solidFill>
                        <a:ln>
                          <a:noFill/>
                        </a:ln>
                      </wps:spPr>
                      <wps:txbx>
                        <w:txbxContent>
                          <w:p>
                            <w:pPr>
                              <w:spacing w:before="468" w:beforeLines="150" w:line="360" w:lineRule="auto"/>
                              <w:jc w:val="left"/>
                            </w:pPr>
                            <w:r>
                              <w:rPr>
                                <w:rFonts w:hint="eastAsia" w:ascii="黑体" w:hAnsi="黑体" w:eastAsia="黑体" w:cs="黑体"/>
                                <w:b/>
                                <w:bCs/>
                                <w:spacing w:val="-6"/>
                                <w:sz w:val="36"/>
                                <w:szCs w:val="36"/>
                              </w:rPr>
                              <w:t>项目名称：秦岭珍稀野生动物保护补助项目</w:t>
                            </w:r>
                          </w:p>
                          <w:p>
                            <w:pPr>
                              <w:spacing w:before="468" w:beforeLines="150" w:line="360" w:lineRule="auto"/>
                              <w:jc w:val="left"/>
                              <w:rPr>
                                <w:rFonts w:hint="eastAsia" w:ascii="黑体" w:hAnsi="黑体" w:eastAsia="黑体" w:cs="黑体"/>
                                <w:b/>
                                <w:bCs/>
                                <w:spacing w:val="-6"/>
                                <w:sz w:val="36"/>
                                <w:szCs w:val="36"/>
                                <w:lang w:eastAsia="zh-CN"/>
                              </w:rPr>
                            </w:pPr>
                            <w:r>
                              <w:rPr>
                                <w:rFonts w:hint="eastAsia" w:ascii="黑体" w:hAnsi="黑体" w:eastAsia="黑体" w:cs="黑体"/>
                                <w:b/>
                                <w:bCs/>
                                <w:spacing w:val="-6"/>
                                <w:sz w:val="36"/>
                                <w:szCs w:val="36"/>
                              </w:rPr>
                              <w:t>项目编号：</w:t>
                            </w:r>
                            <w:r>
                              <w:rPr>
                                <w:rFonts w:hint="eastAsia" w:ascii="宋体" w:hAnsi="宋体" w:eastAsia="宋体" w:cs="宋体"/>
                                <w:b/>
                                <w:sz w:val="36"/>
                                <w:szCs w:val="28"/>
                                <w:highlight w:val="none"/>
                                <w:lang w:eastAsia="zh-CN"/>
                              </w:rPr>
                              <w:t>XD22-2H-1S30</w:t>
                            </w:r>
                          </w:p>
                          <w:p>
                            <w:pPr>
                              <w:spacing w:before="312" w:beforeLines="100" w:line="120" w:lineRule="auto"/>
                              <w:jc w:val="left"/>
                              <w:rPr>
                                <w:rFonts w:ascii="黑体" w:hAnsi="黑体" w:eastAsia="黑体" w:cs="黑体"/>
                                <w:b/>
                                <w:bCs/>
                                <w:color w:val="808080"/>
                                <w:spacing w:val="20"/>
                                <w:sz w:val="36"/>
                                <w:szCs w:val="36"/>
                              </w:rPr>
                            </w:pPr>
                          </w:p>
                        </w:txbxContent>
                      </wps:txbx>
                      <wps:bodyPr upright="1"/>
                    </wps:wsp>
                  </a:graphicData>
                </a:graphic>
              </wp:anchor>
            </w:drawing>
          </mc:Choice>
          <mc:Fallback>
            <w:pict>
              <v:rect id="_x0000_s1026" o:spid="_x0000_s1026" o:spt="1" style="position:absolute;left:0pt;margin-left:-177.45pt;margin-top:160.75pt;height:140.9pt;width:537.3pt;z-index:251663360;mso-width-relative:page;mso-height-relative:page;" fillcolor="#FFFFFF" filled="t" stroked="f" coordsize="21600,21600" o:gfxdata="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qPOUNoAAAAMAQAADwAAAAAA&#10;AAABACAAAAAiAAAAZHJzL2Rvd25yZXYueG1sUEsBAhQAFAAAAAgAh07iQFspi7bYAQAApgMAAA4A&#10;AAAAAAAAAQAgAAAAKQEAAGRycy9lMm9Eb2MueG1sUEsFBgAAAAAGAAYAWQEAAHMFAAAAAA==&#10;">
                <v:fill on="t" focussize="0,0"/>
                <v:stroke on="f"/>
                <v:imagedata o:title=""/>
                <o:lock v:ext="edit" text="t" aspectratio="t"/>
                <v:textbox>
                  <w:txbxContent>
                    <w:p>
                      <w:pPr>
                        <w:spacing w:before="468" w:beforeLines="150" w:line="360" w:lineRule="auto"/>
                        <w:jc w:val="left"/>
                      </w:pPr>
                      <w:r>
                        <w:rPr>
                          <w:rFonts w:hint="eastAsia" w:ascii="黑体" w:hAnsi="黑体" w:eastAsia="黑体" w:cs="黑体"/>
                          <w:b/>
                          <w:bCs/>
                          <w:spacing w:val="-6"/>
                          <w:sz w:val="36"/>
                          <w:szCs w:val="36"/>
                        </w:rPr>
                        <w:t>项目名称：秦岭珍稀野生动物保护补助项目</w:t>
                      </w:r>
                    </w:p>
                    <w:p>
                      <w:pPr>
                        <w:spacing w:before="468" w:beforeLines="150" w:line="360" w:lineRule="auto"/>
                        <w:jc w:val="left"/>
                        <w:rPr>
                          <w:rFonts w:hint="eastAsia" w:ascii="黑体" w:hAnsi="黑体" w:eastAsia="黑体" w:cs="黑体"/>
                          <w:b/>
                          <w:bCs/>
                          <w:spacing w:val="-6"/>
                          <w:sz w:val="36"/>
                          <w:szCs w:val="36"/>
                          <w:lang w:eastAsia="zh-CN"/>
                        </w:rPr>
                      </w:pPr>
                      <w:r>
                        <w:rPr>
                          <w:rFonts w:hint="eastAsia" w:ascii="黑体" w:hAnsi="黑体" w:eastAsia="黑体" w:cs="黑体"/>
                          <w:b/>
                          <w:bCs/>
                          <w:spacing w:val="-6"/>
                          <w:sz w:val="36"/>
                          <w:szCs w:val="36"/>
                        </w:rPr>
                        <w:t>项目编号：</w:t>
                      </w:r>
                      <w:r>
                        <w:rPr>
                          <w:rFonts w:hint="eastAsia" w:ascii="宋体" w:hAnsi="宋体" w:eastAsia="宋体" w:cs="宋体"/>
                          <w:b/>
                          <w:sz w:val="36"/>
                          <w:szCs w:val="28"/>
                          <w:highlight w:val="none"/>
                          <w:lang w:eastAsia="zh-CN"/>
                        </w:rPr>
                        <w:t>XD22-2H-1S30</w:t>
                      </w:r>
                    </w:p>
                    <w:p>
                      <w:pPr>
                        <w:spacing w:before="312" w:beforeLines="100" w:line="120" w:lineRule="auto"/>
                        <w:jc w:val="left"/>
                        <w:rPr>
                          <w:rFonts w:ascii="黑体" w:hAnsi="黑体" w:eastAsia="黑体" w:cs="黑体"/>
                          <w:b/>
                          <w:bCs/>
                          <w:color w:val="808080"/>
                          <w:spacing w:val="20"/>
                          <w:sz w:val="36"/>
                          <w:szCs w:val="36"/>
                        </w:rPr>
                      </w:pP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567690</wp:posOffset>
                </wp:positionV>
                <wp:extent cx="5722620" cy="1174750"/>
                <wp:effectExtent l="0" t="0" r="0" b="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2910205" y="1672590"/>
                          <a:ext cx="4262755" cy="1174750"/>
                        </a:xfrm>
                        <a:prstGeom prst="rect">
                          <a:avLst/>
                        </a:prstGeom>
                        <a:noFill/>
                        <a:ln>
                          <a:noFill/>
                        </a:ln>
                        <a:effectLst/>
                      </wps:spPr>
                      <wps:txbx>
                        <w:txbxContent>
                          <w:p>
                            <w:pPr>
                              <w:spacing w:before="468" w:line="240" w:lineRule="atLeast"/>
                              <w:rPr>
                                <w:rFonts w:ascii="新宋体" w:hAnsi="新宋体" w:eastAsia="新宋体" w:cs="新宋体"/>
                                <w:b/>
                                <w:kern w:val="0"/>
                                <w:sz w:val="96"/>
                                <w:szCs w:val="96"/>
                              </w:rPr>
                            </w:pPr>
                            <w:r>
                              <w:rPr>
                                <w:rFonts w:hint="eastAsia" w:ascii="宋体" w:hAnsi="宋体" w:eastAsia="宋体" w:cs="宋体"/>
                                <w:b/>
                                <w:sz w:val="72"/>
                                <w:szCs w:val="28"/>
                                <w:highlight w:val="none"/>
                              </w:rPr>
                              <w:t>竞争性谈判采购文件</w:t>
                            </w:r>
                            <w:r>
                              <w:rPr>
                                <w:rFonts w:hint="eastAsia" w:ascii="新宋体" w:hAnsi="新宋体" w:eastAsia="新宋体" w:cs="新宋体"/>
                                <w:b/>
                                <w:kern w:val="0"/>
                                <w:sz w:val="96"/>
                                <w:szCs w:val="96"/>
                              </w:rPr>
                              <w:t xml:space="preserve"> </w:t>
                            </w:r>
                          </w:p>
                          <w:p>
                            <w:pPr>
                              <w:spacing w:before="468"/>
                              <w:rPr>
                                <w:kern w:val="0"/>
                                <w:sz w:val="22"/>
                                <w:szCs w:val="22"/>
                              </w:rPr>
                            </w:pPr>
                          </w:p>
                          <w:p>
                            <w:pPr>
                              <w:spacing w:before="468"/>
                              <w:rPr>
                                <w:kern w:val="0"/>
                                <w:sz w:val="22"/>
                                <w:szCs w:val="22"/>
                              </w:rPr>
                            </w:pPr>
                          </w:p>
                        </w:txbxContent>
                      </wps:txbx>
                      <wps:bodyPr lIns="0" tIns="45720" rIns="91440" bIns="45720" anchor="b" anchorCtr="0" upright="1"/>
                    </wps:wsp>
                  </a:graphicData>
                </a:graphic>
              </wp:anchor>
            </w:drawing>
          </mc:Choice>
          <mc:Fallback>
            <w:pict>
              <v:rect id="_x0000_s1026" o:spid="_x0000_s1026" o:spt="1" style="position:absolute;left:0pt;margin-left:-2.6pt;margin-top:44.7pt;height:92.5pt;width:450.6pt;z-index:251661312;v-text-anchor:bottom;mso-width-relative:page;mso-height-relative:page;" filled="f" stroked="f" coordsize="21600,21600" o:gfxdata="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yZfXbZAAAACQEAAA8AAAAAAAAAAQAgAAAAIgAAAGRycy9kb3ducmV2LnhtbFBL&#10;AQIUABQAAAAIAIdO4kCcmf+79QEAAOADAAAOAAAAAAAAAAEAIAAAACgBAABkcnMvZTJvRG9jLnht&#10;bFBLBQYAAAAABgAGAFkBAACPBQAAAAA=&#10;">
                <v:fill on="f" focussize="0,0"/>
                <v:stroke on="f"/>
                <v:imagedata o:title=""/>
                <o:lock v:ext="edit" text="t" aspectratio="t"/>
                <v:textbox inset="0mm,1.27mm,2.54mm,1.27mm">
                  <w:txbxContent>
                    <w:p>
                      <w:pPr>
                        <w:spacing w:before="468" w:line="240" w:lineRule="atLeast"/>
                        <w:rPr>
                          <w:rFonts w:ascii="新宋体" w:hAnsi="新宋体" w:eastAsia="新宋体" w:cs="新宋体"/>
                          <w:b/>
                          <w:kern w:val="0"/>
                          <w:sz w:val="96"/>
                          <w:szCs w:val="96"/>
                        </w:rPr>
                      </w:pPr>
                      <w:r>
                        <w:rPr>
                          <w:rFonts w:hint="eastAsia" w:ascii="宋体" w:hAnsi="宋体" w:eastAsia="宋体" w:cs="宋体"/>
                          <w:b/>
                          <w:sz w:val="72"/>
                          <w:szCs w:val="28"/>
                          <w:highlight w:val="none"/>
                        </w:rPr>
                        <w:t>竞争性谈判采购文件</w:t>
                      </w:r>
                      <w:r>
                        <w:rPr>
                          <w:rFonts w:hint="eastAsia" w:ascii="新宋体" w:hAnsi="新宋体" w:eastAsia="新宋体" w:cs="新宋体"/>
                          <w:b/>
                          <w:kern w:val="0"/>
                          <w:sz w:val="96"/>
                          <w:szCs w:val="96"/>
                        </w:rPr>
                        <w:t xml:space="preserve"> </w:t>
                      </w:r>
                    </w:p>
                    <w:p>
                      <w:pPr>
                        <w:spacing w:before="468"/>
                        <w:rPr>
                          <w:kern w:val="0"/>
                          <w:sz w:val="22"/>
                          <w:szCs w:val="22"/>
                        </w:rPr>
                      </w:pPr>
                    </w:p>
                    <w:p>
                      <w:pPr>
                        <w:spacing w:before="468"/>
                        <w:rPr>
                          <w:kern w:val="0"/>
                          <w:sz w:val="22"/>
                          <w:szCs w:val="22"/>
                        </w:rPr>
                      </w:pP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5837555</wp:posOffset>
                </wp:positionV>
                <wp:extent cx="5740400" cy="2412365"/>
                <wp:effectExtent l="0" t="0" r="0" b="0"/>
                <wp:wrapSquare wrapText="bothSides"/>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1323975" y="6445885"/>
                          <a:ext cx="4375150" cy="2412365"/>
                        </a:xfrm>
                        <a:prstGeom prst="rect">
                          <a:avLst/>
                        </a:prstGeom>
                        <a:noFill/>
                        <a:ln>
                          <a:noFill/>
                        </a:ln>
                        <a:effectLst/>
                      </wps:spPr>
                      <wps:txbx>
                        <w:txbxContent>
                          <w:p>
                            <w:pPr>
                              <w:rPr>
                                <w:rFonts w:ascii="黑体" w:hAnsi="黑体" w:eastAsia="黑体" w:cs="黑体"/>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采 购 人：</w:t>
                            </w:r>
                            <w:r>
                              <w:rPr>
                                <w:rFonts w:hint="eastAsia" w:ascii="黑体" w:hAnsi="黑体" w:eastAsia="黑体" w:cs="黑体"/>
                                <w:sz w:val="32"/>
                                <w:szCs w:val="32"/>
                                <w:lang w:eastAsia="zh-CN"/>
                              </w:rPr>
                              <w:t>秦岭大熊猫研究中心（陕西省珍稀野生动物救护基地）</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采购代理机构：武汉新地工程造价咨询有限公司</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日   期：二〇二</w:t>
                            </w:r>
                            <w:r>
                              <w:rPr>
                                <w:rFonts w:hint="eastAsia" w:ascii="黑体" w:hAnsi="黑体" w:eastAsia="黑体" w:cs="黑体"/>
                                <w:sz w:val="32"/>
                                <w:szCs w:val="32"/>
                                <w:lang w:eastAsia="zh-CN"/>
                              </w:rPr>
                              <w:t>二</w:t>
                            </w:r>
                            <w:r>
                              <w:rPr>
                                <w:rFonts w:hint="eastAsia" w:ascii="黑体" w:hAnsi="黑体" w:eastAsia="黑体" w:cs="黑体"/>
                                <w:sz w:val="32"/>
                                <w:szCs w:val="32"/>
                              </w:rPr>
                              <w:t>年</w:t>
                            </w:r>
                            <w:r>
                              <w:rPr>
                                <w:rFonts w:hint="eastAsia" w:ascii="黑体" w:hAnsi="黑体" w:eastAsia="黑体" w:cs="黑体"/>
                                <w:sz w:val="32"/>
                                <w:szCs w:val="32"/>
                                <w:lang w:eastAsia="zh-CN"/>
                              </w:rPr>
                              <w:t>五</w:t>
                            </w:r>
                            <w:r>
                              <w:rPr>
                                <w:rFonts w:hint="eastAsia" w:ascii="黑体" w:hAnsi="黑体" w:eastAsia="黑体" w:cs="黑体"/>
                                <w:sz w:val="32"/>
                                <w:szCs w:val="32"/>
                              </w:rPr>
                              <w:t>月</w:t>
                            </w:r>
                          </w:p>
                          <w:p>
                            <w:pPr>
                              <w:rPr>
                                <w:rFonts w:ascii="黑体" w:hAnsi="黑体" w:eastAsia="黑体" w:cs="黑体"/>
                                <w:sz w:val="32"/>
                                <w:szCs w:val="32"/>
                              </w:rPr>
                            </w:pPr>
                          </w:p>
                          <w:p>
                            <w:pPr>
                              <w:rPr>
                                <w:sz w:val="22"/>
                                <w:szCs w:val="22"/>
                              </w:rPr>
                            </w:pPr>
                          </w:p>
                        </w:txbxContent>
                      </wps:txbx>
                      <wps:bodyPr lIns="0" tIns="45720" rIns="91440" bIns="45720" anchor="b" anchorCtr="0" upright="1"/>
                    </wps:wsp>
                  </a:graphicData>
                </a:graphic>
              </wp:anchor>
            </w:drawing>
          </mc:Choice>
          <mc:Fallback>
            <w:pict>
              <v:rect id="_x0000_s1026" o:spid="_x0000_s1026" o:spt="1" style="position:absolute;left:0pt;margin-left:5pt;margin-top:459.65pt;height:189.95pt;width:452pt;mso-wrap-distance-bottom:0pt;mso-wrap-distance-left:9pt;mso-wrap-distance-right:9pt;mso-wrap-distance-top:0pt;z-index:251662336;v-text-anchor:bottom;mso-width-relative:page;mso-height-relative:page;" filled="f" stroked="f" coordsize="21600,21600" o:gfxdata="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lYZy1wAAAAsBAAAPAAAAAAAAAAEAIAAAACIAAABkcnMvZG93bnJldi54bWxQ&#10;SwECFAAUAAAACACHTuJAUu++u/gBAADiAwAADgAAAAAAAAABACAAAAAmAQAAZHJzL2Uyb0RvYy54&#10;bWxQSwUGAAAAAAYABgBZAQAAkAUAAAAA&#10;">
                <v:fill on="f" focussize="0,0"/>
                <v:stroke on="f"/>
                <v:imagedata o:title=""/>
                <o:lock v:ext="edit" text="t" aspectratio="t"/>
                <v:textbox inset="0mm,1.27mm,2.54mm,1.27mm">
                  <w:txbxContent>
                    <w:p>
                      <w:pPr>
                        <w:rPr>
                          <w:rFonts w:ascii="黑体" w:hAnsi="黑体" w:eastAsia="黑体" w:cs="黑体"/>
                          <w:sz w:val="32"/>
                          <w:szCs w:val="32"/>
                        </w:rPr>
                      </w:pPr>
                    </w:p>
                    <w:p>
                      <w:pPr>
                        <w:rPr>
                          <w:rFonts w:hint="eastAsia" w:ascii="黑体" w:hAnsi="黑体" w:eastAsia="黑体" w:cs="黑体"/>
                          <w:sz w:val="32"/>
                          <w:szCs w:val="32"/>
                          <w:lang w:eastAsia="zh-CN"/>
                        </w:rPr>
                      </w:pPr>
                      <w:r>
                        <w:rPr>
                          <w:rFonts w:hint="eastAsia" w:ascii="黑体" w:hAnsi="黑体" w:eastAsia="黑体" w:cs="黑体"/>
                          <w:sz w:val="32"/>
                          <w:szCs w:val="32"/>
                        </w:rPr>
                        <w:t>采 购 人：</w:t>
                      </w:r>
                      <w:r>
                        <w:rPr>
                          <w:rFonts w:hint="eastAsia" w:ascii="黑体" w:hAnsi="黑体" w:eastAsia="黑体" w:cs="黑体"/>
                          <w:sz w:val="32"/>
                          <w:szCs w:val="32"/>
                          <w:lang w:eastAsia="zh-CN"/>
                        </w:rPr>
                        <w:t>秦岭大熊猫研究中心（陕西省珍稀野生动物救护基地）</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采购代理机构：武汉新地工程造价咨询有限公司</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日   期：二〇二</w:t>
                      </w:r>
                      <w:r>
                        <w:rPr>
                          <w:rFonts w:hint="eastAsia" w:ascii="黑体" w:hAnsi="黑体" w:eastAsia="黑体" w:cs="黑体"/>
                          <w:sz w:val="32"/>
                          <w:szCs w:val="32"/>
                          <w:lang w:eastAsia="zh-CN"/>
                        </w:rPr>
                        <w:t>二</w:t>
                      </w:r>
                      <w:r>
                        <w:rPr>
                          <w:rFonts w:hint="eastAsia" w:ascii="黑体" w:hAnsi="黑体" w:eastAsia="黑体" w:cs="黑体"/>
                          <w:sz w:val="32"/>
                          <w:szCs w:val="32"/>
                        </w:rPr>
                        <w:t>年</w:t>
                      </w:r>
                      <w:r>
                        <w:rPr>
                          <w:rFonts w:hint="eastAsia" w:ascii="黑体" w:hAnsi="黑体" w:eastAsia="黑体" w:cs="黑体"/>
                          <w:sz w:val="32"/>
                          <w:szCs w:val="32"/>
                          <w:lang w:eastAsia="zh-CN"/>
                        </w:rPr>
                        <w:t>五</w:t>
                      </w:r>
                      <w:r>
                        <w:rPr>
                          <w:rFonts w:hint="eastAsia" w:ascii="黑体" w:hAnsi="黑体" w:eastAsia="黑体" w:cs="黑体"/>
                          <w:sz w:val="32"/>
                          <w:szCs w:val="32"/>
                        </w:rPr>
                        <w:t>月</w:t>
                      </w:r>
                    </w:p>
                    <w:p>
                      <w:pPr>
                        <w:rPr>
                          <w:rFonts w:ascii="黑体" w:hAnsi="黑体" w:eastAsia="黑体" w:cs="黑体"/>
                          <w:sz w:val="32"/>
                          <w:szCs w:val="32"/>
                        </w:rPr>
                      </w:pPr>
                    </w:p>
                    <w:p>
                      <w:pPr>
                        <w:rPr>
                          <w:sz w:val="22"/>
                          <w:szCs w:val="22"/>
                        </w:rPr>
                      </w:pPr>
                    </w:p>
                  </w:txbxContent>
                </v:textbox>
                <w10:wrap type="square"/>
              </v:rect>
            </w:pict>
          </mc:Fallback>
        </mc:AlternateContent>
      </w:r>
      <w:r>
        <w:rPr>
          <w:rFonts w:hint="eastAsia" w:ascii="宋体" w:hAnsi="宋体" w:cs="宋体"/>
          <w:color w:val="auto"/>
          <w:highlight w:val="none"/>
        </w:rPr>
        <w:drawing>
          <wp:anchor distT="0" distB="0" distL="114300" distR="114300" simplePos="0" relativeHeight="251660288" behindDoc="1" locked="0" layoutInCell="1" allowOverlap="1">
            <wp:simplePos x="0" y="0"/>
            <wp:positionH relativeFrom="column">
              <wp:posOffset>-287655</wp:posOffset>
            </wp:positionH>
            <wp:positionV relativeFrom="paragraph">
              <wp:posOffset>-67310</wp:posOffset>
            </wp:positionV>
            <wp:extent cx="1819910" cy="1895475"/>
            <wp:effectExtent l="0" t="0" r="8890" b="9525"/>
            <wp:wrapTight wrapText="bothSides">
              <wp:wrapPolygon>
                <wp:start x="0" y="0"/>
                <wp:lineTo x="0" y="21491"/>
                <wp:lineTo x="21479" y="21491"/>
                <wp:lineTo x="21479" y="0"/>
                <wp:lineTo x="0" y="0"/>
              </wp:wrapPolygon>
            </wp:wrapTight>
            <wp:docPr id="7" name="图片 4" descr="37e0cf11c74a7fd9892b02ae6b640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37e0cf11c74a7fd9892b02ae6b640f3"/>
                    <pic:cNvPicPr>
                      <a:picLocks noChangeAspect="1"/>
                    </pic:cNvPicPr>
                  </pic:nvPicPr>
                  <pic:blipFill>
                    <a:blip r:embed="rId10"/>
                    <a:stretch>
                      <a:fillRect/>
                    </a:stretch>
                  </pic:blipFill>
                  <pic:spPr>
                    <a:xfrm>
                      <a:off x="0" y="0"/>
                      <a:ext cx="1819910" cy="1895475"/>
                    </a:xfrm>
                    <a:prstGeom prst="rect">
                      <a:avLst/>
                    </a:prstGeom>
                    <a:noFill/>
                    <a:ln>
                      <a:noFill/>
                    </a:ln>
                  </pic:spPr>
                </pic:pic>
              </a:graphicData>
            </a:graphic>
          </wp:anchor>
        </w:drawing>
      </w:r>
      <w:r>
        <w:rPr>
          <w:rFonts w:hint="eastAsia" w:ascii="宋体" w:hAnsi="宋体"/>
          <w:b/>
          <w:color w:val="auto"/>
          <w:sz w:val="44"/>
          <w:szCs w:val="44"/>
          <w:highlight w:val="none"/>
        </w:rPr>
        <w:br w:type="page"/>
      </w:r>
    </w:p>
    <w:sdt>
      <w:sdtPr>
        <w:rPr>
          <w:rFonts w:hint="eastAsia" w:ascii="宋体" w:hAnsi="宋体" w:eastAsia="宋体" w:cs="宋体"/>
          <w:b w:val="0"/>
          <w:bCs w:val="0"/>
          <w:color w:val="auto"/>
          <w:kern w:val="2"/>
          <w:sz w:val="18"/>
          <w:szCs w:val="24"/>
          <w:highlight w:val="none"/>
          <w:lang w:val="zh-CN"/>
        </w:rPr>
        <w:id w:val="-1747795955"/>
        <w:docPartObj>
          <w:docPartGallery w:val="Table of Contents"/>
          <w:docPartUnique/>
        </w:docPartObj>
      </w:sdtPr>
      <w:sdtEndPr>
        <w:rPr>
          <w:rFonts w:hint="eastAsia" w:ascii="宋体" w:hAnsi="宋体" w:eastAsia="宋体" w:cs="宋体"/>
          <w:b w:val="0"/>
          <w:bCs w:val="0"/>
          <w:color w:val="auto"/>
          <w:kern w:val="2"/>
          <w:sz w:val="18"/>
          <w:szCs w:val="24"/>
          <w:highlight w:val="none"/>
          <w:lang w:val="zh-CN"/>
        </w:rPr>
      </w:sdtEndPr>
      <w:sdtContent>
        <w:p>
          <w:pPr>
            <w:pStyle w:val="112"/>
            <w:spacing w:before="0"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lang w:val="zh-CN"/>
            </w:rPr>
            <w:t>目录</w:t>
          </w:r>
        </w:p>
        <w:p>
          <w:pPr>
            <w:pStyle w:val="28"/>
            <w:tabs>
              <w:tab w:val="right" w:leader="dot" w:pos="8312"/>
            </w:tabs>
            <w:spacing w:line="480" w:lineRule="auto"/>
          </w:pPr>
          <w:r>
            <w:rPr>
              <w:rFonts w:hint="eastAsia" w:ascii="宋体" w:hAnsi="宋体" w:eastAsia="宋体" w:cs="宋体"/>
              <w:color w:val="auto"/>
              <w:sz w:val="21"/>
              <w:highlight w:val="none"/>
            </w:rPr>
            <w:fldChar w:fldCharType="begin"/>
          </w:r>
          <w:r>
            <w:rPr>
              <w:rFonts w:hint="eastAsia" w:ascii="宋体" w:hAnsi="宋体" w:eastAsia="宋体" w:cs="宋体"/>
              <w:color w:val="auto"/>
              <w:sz w:val="21"/>
              <w:highlight w:val="none"/>
            </w:rPr>
            <w:instrText xml:space="preserve"> TOC \o "1-3" \h \z \u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_Toc7277 </w:instrText>
          </w:r>
          <w:r>
            <w:rPr>
              <w:rFonts w:hint="eastAsia" w:ascii="宋体" w:hAnsi="宋体" w:eastAsia="宋体" w:cs="宋体"/>
              <w:highlight w:val="none"/>
            </w:rPr>
            <w:fldChar w:fldCharType="separate"/>
          </w:r>
          <w:r>
            <w:rPr>
              <w:rFonts w:hint="eastAsia" w:ascii="宋体" w:hAnsi="宋体" w:eastAsia="宋体" w:cs="宋体"/>
              <w:szCs w:val="30"/>
              <w:highlight w:val="none"/>
            </w:rPr>
            <w:t>第一部分 竞争性谈判公告</w:t>
          </w:r>
          <w:r>
            <w:tab/>
          </w:r>
          <w:r>
            <w:fldChar w:fldCharType="begin"/>
          </w:r>
          <w:r>
            <w:instrText xml:space="preserve"> PAGEREF _Toc7277 \h </w:instrText>
          </w:r>
          <w:r>
            <w:fldChar w:fldCharType="separate"/>
          </w:r>
          <w:r>
            <w:t>3</w:t>
          </w:r>
          <w:r>
            <w:fldChar w:fldCharType="end"/>
          </w:r>
          <w:r>
            <w:rPr>
              <w:rFonts w:hint="eastAsia" w:ascii="宋体" w:hAnsi="宋体" w:eastAsia="宋体" w:cs="宋体"/>
              <w:color w:val="auto"/>
              <w:highlight w:val="none"/>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_Toc31772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第二部分 供应商须知</w:t>
          </w:r>
          <w:r>
            <w:tab/>
          </w:r>
          <w:r>
            <w:fldChar w:fldCharType="begin"/>
          </w:r>
          <w:r>
            <w:instrText xml:space="preserve"> PAGEREF _Toc31772 \h </w:instrText>
          </w:r>
          <w:r>
            <w:fldChar w:fldCharType="separate"/>
          </w:r>
          <w:r>
            <w:t>6</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_Toc14616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一．名词解释</w:t>
          </w:r>
          <w:r>
            <w:tab/>
          </w:r>
          <w:r>
            <w:fldChar w:fldCharType="begin"/>
          </w:r>
          <w:r>
            <w:instrText xml:space="preserve"> PAGEREF _Toc14616 \h </w:instrText>
          </w:r>
          <w:r>
            <w:fldChar w:fldCharType="separate"/>
          </w:r>
          <w:r>
            <w:t>6</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_Toc3583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二．供应商</w:t>
          </w:r>
          <w:r>
            <w:tab/>
          </w:r>
          <w:r>
            <w:fldChar w:fldCharType="begin"/>
          </w:r>
          <w:r>
            <w:instrText xml:space="preserve"> PAGEREF _Toc3583 \h </w:instrText>
          </w:r>
          <w:r>
            <w:fldChar w:fldCharType="separate"/>
          </w:r>
          <w:r>
            <w:t>6</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_Toc19434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三．谈判文件</w:t>
          </w:r>
          <w:r>
            <w:tab/>
          </w:r>
          <w:r>
            <w:fldChar w:fldCharType="begin"/>
          </w:r>
          <w:r>
            <w:instrText xml:space="preserve"> PAGEREF _Toc19434 \h </w:instrText>
          </w:r>
          <w:r>
            <w:fldChar w:fldCharType="separate"/>
          </w:r>
          <w:r>
            <w:t>7</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_Toc31668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四．谈判要求</w:t>
          </w:r>
          <w:r>
            <w:tab/>
          </w:r>
          <w:r>
            <w:fldChar w:fldCharType="begin"/>
          </w:r>
          <w:r>
            <w:instrText xml:space="preserve"> PAGEREF _Toc31668 \h </w:instrText>
          </w:r>
          <w:r>
            <w:fldChar w:fldCharType="separate"/>
          </w:r>
          <w:r>
            <w:t>9</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_Toc4450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五．响应文件封装、递交</w:t>
          </w:r>
          <w:r>
            <w:tab/>
          </w:r>
          <w:r>
            <w:fldChar w:fldCharType="begin"/>
          </w:r>
          <w:r>
            <w:instrText xml:space="preserve"> PAGEREF _Toc4450 \h </w:instrText>
          </w:r>
          <w:r>
            <w:fldChar w:fldCharType="separate"/>
          </w:r>
          <w:r>
            <w:t>11</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_Toc31786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六．谈判、修改澄清、成交</w:t>
          </w:r>
          <w:r>
            <w:tab/>
          </w:r>
          <w:r>
            <w:fldChar w:fldCharType="begin"/>
          </w:r>
          <w:r>
            <w:instrText xml:space="preserve"> PAGEREF _Toc31786 \h </w:instrText>
          </w:r>
          <w:r>
            <w:fldChar w:fldCharType="separate"/>
          </w:r>
          <w:r>
            <w:t>12</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_Toc10122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七．授予合同</w:t>
          </w:r>
          <w:r>
            <w:tab/>
          </w:r>
          <w:r>
            <w:fldChar w:fldCharType="begin"/>
          </w:r>
          <w:r>
            <w:instrText xml:space="preserve"> PAGEREF _Toc10122 \h </w:instrText>
          </w:r>
          <w:r>
            <w:fldChar w:fldCharType="separate"/>
          </w:r>
          <w:r>
            <w:t>15</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_Toc21676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八．其他</w:t>
          </w:r>
          <w:r>
            <w:tab/>
          </w:r>
          <w:r>
            <w:fldChar w:fldCharType="begin"/>
          </w:r>
          <w:r>
            <w:instrText xml:space="preserve"> PAGEREF _Toc21676 \h </w:instrText>
          </w:r>
          <w:r>
            <w:fldChar w:fldCharType="separate"/>
          </w:r>
          <w:r>
            <w:t>16</w:t>
          </w:r>
          <w:r>
            <w:fldChar w:fldCharType="end"/>
          </w:r>
          <w:r>
            <w:rPr>
              <w:rFonts w:hint="eastAsia" w:ascii="宋体" w:hAnsi="宋体" w:eastAsia="宋体" w:cs="宋体"/>
              <w:bCs/>
              <w:color w:val="auto"/>
              <w:highlight w:val="none"/>
              <w:lang w:val="zh-CN"/>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_Toc10288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第三部分 技术要求及商务要求</w:t>
          </w:r>
          <w:r>
            <w:tab/>
          </w:r>
          <w:r>
            <w:fldChar w:fldCharType="begin"/>
          </w:r>
          <w:r>
            <w:instrText xml:space="preserve"> PAGEREF _Toc10288 \h </w:instrText>
          </w:r>
          <w:r>
            <w:fldChar w:fldCharType="separate"/>
          </w:r>
          <w:r>
            <w:t>17</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_Toc8923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一、技术要求</w:t>
          </w:r>
          <w:r>
            <w:tab/>
          </w:r>
          <w:r>
            <w:fldChar w:fldCharType="begin"/>
          </w:r>
          <w:r>
            <w:instrText xml:space="preserve"> PAGEREF _Toc8923 \h </w:instrText>
          </w:r>
          <w:r>
            <w:fldChar w:fldCharType="separate"/>
          </w:r>
          <w:r>
            <w:t>17</w:t>
          </w:r>
          <w:r>
            <w:fldChar w:fldCharType="end"/>
          </w:r>
          <w:r>
            <w:rPr>
              <w:rFonts w:hint="eastAsia" w:ascii="宋体" w:hAnsi="宋体" w:eastAsia="宋体" w:cs="宋体"/>
              <w:bCs/>
              <w:color w:val="auto"/>
              <w:highlight w:val="none"/>
              <w:lang w:val="zh-CN"/>
            </w:rPr>
            <w:fldChar w:fldCharType="end"/>
          </w:r>
        </w:p>
        <w:p>
          <w:pPr>
            <w:pStyle w:val="33"/>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_Toc359 </w:instrText>
          </w:r>
          <w:r>
            <w:rPr>
              <w:rFonts w:hint="eastAsia" w:ascii="宋体" w:hAnsi="宋体" w:eastAsia="宋体" w:cs="宋体"/>
              <w:bCs/>
              <w:highlight w:val="none"/>
              <w:lang w:val="zh-CN"/>
            </w:rPr>
            <w:fldChar w:fldCharType="separate"/>
          </w:r>
          <w:r>
            <w:rPr>
              <w:rFonts w:hint="eastAsia" w:ascii="宋体" w:hAnsi="宋体" w:eastAsia="宋体" w:cs="宋体"/>
              <w:highlight w:val="none"/>
            </w:rPr>
            <w:t>二、商务要求</w:t>
          </w:r>
          <w:r>
            <w:tab/>
          </w:r>
          <w:r>
            <w:fldChar w:fldCharType="begin"/>
          </w:r>
          <w:r>
            <w:instrText xml:space="preserve"> PAGEREF _Toc359 \h </w:instrText>
          </w:r>
          <w:r>
            <w:fldChar w:fldCharType="separate"/>
          </w:r>
          <w:r>
            <w:t>17</w:t>
          </w:r>
          <w:r>
            <w:fldChar w:fldCharType="end"/>
          </w:r>
          <w:r>
            <w:rPr>
              <w:rFonts w:hint="eastAsia" w:ascii="宋体" w:hAnsi="宋体" w:eastAsia="宋体" w:cs="宋体"/>
              <w:bCs/>
              <w:color w:val="auto"/>
              <w:highlight w:val="none"/>
              <w:lang w:val="zh-CN"/>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_Toc12169 </w:instrText>
          </w:r>
          <w:r>
            <w:rPr>
              <w:rFonts w:hint="eastAsia" w:ascii="宋体" w:hAnsi="宋体" w:eastAsia="宋体" w:cs="宋体"/>
              <w:bCs/>
              <w:highlight w:val="none"/>
              <w:lang w:val="zh-CN"/>
            </w:rPr>
            <w:fldChar w:fldCharType="separate"/>
          </w:r>
          <w:r>
            <w:rPr>
              <w:rFonts w:hint="eastAsia" w:ascii="宋体" w:hAnsi="宋体" w:eastAsia="宋体" w:cs="宋体"/>
              <w:szCs w:val="30"/>
              <w:highlight w:val="none"/>
            </w:rPr>
            <w:t>第四部分 合同格式</w:t>
          </w:r>
          <w:r>
            <w:rPr>
              <w:rFonts w:hint="eastAsia" w:ascii="宋体" w:hAnsi="宋体" w:eastAsia="宋体" w:cs="宋体"/>
              <w:szCs w:val="30"/>
              <w:highlight w:val="none"/>
              <w:lang w:eastAsia="zh-CN"/>
            </w:rPr>
            <w:t>及条款</w:t>
          </w:r>
          <w:r>
            <w:tab/>
          </w:r>
          <w:r>
            <w:fldChar w:fldCharType="begin"/>
          </w:r>
          <w:r>
            <w:instrText xml:space="preserve"> PAGEREF _Toc12169 \h </w:instrText>
          </w:r>
          <w:r>
            <w:fldChar w:fldCharType="separate"/>
          </w:r>
          <w:r>
            <w:t>20</w:t>
          </w:r>
          <w:r>
            <w:fldChar w:fldCharType="end"/>
          </w:r>
          <w:r>
            <w:rPr>
              <w:rFonts w:hint="eastAsia" w:ascii="宋体" w:hAnsi="宋体" w:eastAsia="宋体" w:cs="宋体"/>
              <w:bCs/>
              <w:color w:val="auto"/>
              <w:highlight w:val="none"/>
              <w:lang w:val="zh-CN"/>
            </w:rPr>
            <w:fldChar w:fldCharType="end"/>
          </w:r>
        </w:p>
        <w:p>
          <w:pPr>
            <w:pStyle w:val="28"/>
            <w:tabs>
              <w:tab w:val="right" w:leader="dot" w:pos="8312"/>
            </w:tabs>
            <w:spacing w:line="480" w:lineRule="auto"/>
          </w:pPr>
          <w:r>
            <w:rPr>
              <w:rFonts w:hint="eastAsia" w:ascii="宋体" w:hAnsi="宋体" w:eastAsia="宋体" w:cs="宋体"/>
              <w:bCs/>
              <w:color w:val="auto"/>
              <w:highlight w:val="none"/>
              <w:lang w:val="zh-CN"/>
            </w:rPr>
            <w:fldChar w:fldCharType="begin"/>
          </w:r>
          <w:r>
            <w:rPr>
              <w:rFonts w:hint="eastAsia" w:ascii="宋体" w:hAnsi="宋体" w:eastAsia="宋体" w:cs="宋体"/>
              <w:bCs/>
              <w:highlight w:val="none"/>
              <w:lang w:val="zh-CN"/>
            </w:rPr>
            <w:instrText xml:space="preserve"> HYPERLINK \l _Toc14801 </w:instrText>
          </w:r>
          <w:r>
            <w:rPr>
              <w:rFonts w:hint="eastAsia" w:ascii="宋体" w:hAnsi="宋体" w:eastAsia="宋体" w:cs="宋体"/>
              <w:bCs/>
              <w:highlight w:val="none"/>
              <w:lang w:val="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eastAsia="zh-CN"/>
            </w:rPr>
            <w:t>五</w:t>
          </w:r>
          <w:r>
            <w:rPr>
              <w:rFonts w:hint="eastAsia" w:ascii="宋体" w:hAnsi="宋体" w:eastAsia="宋体" w:cs="宋体"/>
              <w:szCs w:val="36"/>
              <w:highlight w:val="none"/>
            </w:rPr>
            <w:t>部分 响应文件格式</w:t>
          </w:r>
          <w:r>
            <w:tab/>
          </w:r>
          <w:r>
            <w:fldChar w:fldCharType="begin"/>
          </w:r>
          <w:r>
            <w:instrText xml:space="preserve"> PAGEREF _Toc14801 \h </w:instrText>
          </w:r>
          <w:r>
            <w:fldChar w:fldCharType="separate"/>
          </w:r>
          <w:r>
            <w:t>34</w:t>
          </w:r>
          <w:r>
            <w:fldChar w:fldCharType="end"/>
          </w:r>
          <w:r>
            <w:rPr>
              <w:rFonts w:hint="eastAsia" w:ascii="宋体" w:hAnsi="宋体" w:eastAsia="宋体" w:cs="宋体"/>
              <w:bCs/>
              <w:color w:val="auto"/>
              <w:highlight w:val="none"/>
              <w:lang w:val="zh-CN"/>
            </w:rPr>
            <w:fldChar w:fldCharType="end"/>
          </w:r>
        </w:p>
        <w:p>
          <w:pPr>
            <w:rPr>
              <w:rFonts w:hint="eastAsia" w:ascii="宋体" w:hAnsi="宋体" w:eastAsia="宋体" w:cs="宋体"/>
              <w:color w:val="auto"/>
              <w:highlight w:val="none"/>
            </w:rPr>
          </w:pPr>
          <w:r>
            <w:rPr>
              <w:rFonts w:hint="eastAsia" w:ascii="宋体" w:hAnsi="宋体" w:eastAsia="宋体" w:cs="宋体"/>
              <w:bCs/>
              <w:color w:val="auto"/>
              <w:highlight w:val="none"/>
              <w:lang w:val="zh-CN"/>
            </w:rPr>
            <w:fldChar w:fldCharType="end"/>
          </w:r>
        </w:p>
      </w:sdtContent>
    </w:sdt>
    <w:p>
      <w:pPr>
        <w:pStyle w:val="28"/>
        <w:tabs>
          <w:tab w:val="right" w:leader="dot" w:pos="8302"/>
        </w:tabs>
        <w:spacing w:line="480" w:lineRule="auto"/>
        <w:rPr>
          <w:rFonts w:hint="eastAsia" w:ascii="宋体" w:hAnsi="宋体" w:eastAsia="宋体" w:cs="宋体"/>
          <w:b/>
          <w:bCs/>
          <w:color w:val="auto"/>
          <w:highlight w:val="none"/>
          <w:lang w:val="zh-CN"/>
        </w:rPr>
      </w:pPr>
    </w:p>
    <w:p>
      <w:pPr>
        <w:rPr>
          <w:rFonts w:hint="eastAsia" w:ascii="宋体" w:hAnsi="宋体" w:eastAsia="宋体" w:cs="宋体"/>
          <w:color w:val="auto"/>
          <w:highlight w:val="none"/>
          <w:lang w:val="zh-CN"/>
        </w:rPr>
        <w:sectPr>
          <w:headerReference r:id="rId4" w:type="first"/>
          <w:footerReference r:id="rId7" w:type="first"/>
          <w:headerReference r:id="rId3" w:type="default"/>
          <w:footerReference r:id="rId5" w:type="default"/>
          <w:footerReference r:id="rId6" w:type="even"/>
          <w:type w:val="nextColumn"/>
          <w:pgSz w:w="11906" w:h="16838"/>
          <w:pgMar w:top="1418" w:right="1797" w:bottom="1418" w:left="1797" w:header="851" w:footer="992" w:gutter="0"/>
          <w:pgNumType w:fmt="decimal"/>
          <w:cols w:space="720" w:num="1"/>
          <w:titlePg/>
          <w:docGrid w:linePitch="312" w:charSpace="0"/>
        </w:sectPr>
      </w:pPr>
    </w:p>
    <w:p>
      <w:pPr>
        <w:tabs>
          <w:tab w:val="left" w:pos="3544"/>
        </w:tabs>
        <w:spacing w:line="360" w:lineRule="auto"/>
        <w:jc w:val="center"/>
        <w:outlineLvl w:val="0"/>
        <w:rPr>
          <w:rFonts w:hint="eastAsia" w:ascii="宋体" w:hAnsi="宋体" w:eastAsia="宋体" w:cs="宋体"/>
          <w:b/>
          <w:color w:val="auto"/>
          <w:sz w:val="30"/>
          <w:szCs w:val="30"/>
          <w:highlight w:val="none"/>
        </w:rPr>
      </w:pPr>
      <w:bookmarkStart w:id="15" w:name="_Toc6847015"/>
      <w:bookmarkStart w:id="16" w:name="_Toc7277"/>
      <w:r>
        <w:rPr>
          <w:rFonts w:hint="eastAsia" w:ascii="宋体" w:hAnsi="宋体" w:eastAsia="宋体" w:cs="宋体"/>
          <w:b/>
          <w:color w:val="auto"/>
          <w:sz w:val="30"/>
          <w:szCs w:val="30"/>
          <w:highlight w:val="none"/>
        </w:rPr>
        <w:t>第一部分</w:t>
      </w:r>
      <w:bookmarkEnd w:id="0"/>
      <w:r>
        <w:rPr>
          <w:rFonts w:hint="eastAsia" w:ascii="宋体" w:hAnsi="宋体" w:eastAsia="宋体" w:cs="宋体"/>
          <w:b/>
          <w:color w:val="auto"/>
          <w:sz w:val="30"/>
          <w:szCs w:val="30"/>
          <w:highlight w:val="none"/>
        </w:rPr>
        <w:t xml:space="preserve"> 竞争性谈判公告</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tabs>
          <w:tab w:val="left" w:pos="3544"/>
        </w:tabs>
        <w:topLinePunct/>
        <w:spacing w:line="360" w:lineRule="auto"/>
        <w:jc w:val="center"/>
        <w:rPr>
          <w:rFonts w:hint="eastAsia" w:ascii="宋体" w:hAnsi="宋体" w:eastAsia="宋体" w:cs="宋体"/>
          <w:b/>
          <w:bCs/>
          <w:color w:val="auto"/>
          <w:sz w:val="22"/>
          <w:szCs w:val="21"/>
          <w:highlight w:val="none"/>
          <w:lang w:eastAsia="zh-CN"/>
        </w:rPr>
      </w:pPr>
      <w:bookmarkStart w:id="17" w:name="_Toc51572448"/>
      <w:bookmarkStart w:id="18" w:name="_Toc490234294"/>
      <w:bookmarkStart w:id="19" w:name="_Toc6847016"/>
      <w:bookmarkStart w:id="20" w:name="_Toc479760807"/>
      <w:bookmarkStart w:id="21" w:name="_Toc489869739"/>
      <w:bookmarkStart w:id="22" w:name="_Toc489869015"/>
      <w:bookmarkStart w:id="23" w:name="_Toc489868881"/>
      <w:bookmarkStart w:id="24" w:name="_Toc328739377"/>
      <w:bookmarkStart w:id="25" w:name="_Toc490234466"/>
      <w:bookmarkStart w:id="26" w:name="_Toc490234568"/>
      <w:bookmarkStart w:id="27" w:name="_Toc493678861"/>
      <w:bookmarkStart w:id="28" w:name="_Toc493257943"/>
      <w:bookmarkStart w:id="29" w:name="_Toc489870015"/>
      <w:bookmarkStart w:id="30" w:name="_Toc490234238"/>
      <w:bookmarkStart w:id="31" w:name="_Toc489869353"/>
      <w:bookmarkStart w:id="32" w:name="_Toc479760679"/>
      <w:bookmarkStart w:id="33" w:name="_Toc490234579"/>
      <w:r>
        <w:rPr>
          <w:rFonts w:hint="eastAsia" w:ascii="宋体" w:hAnsi="宋体" w:eastAsia="宋体" w:cs="宋体"/>
          <w:b/>
          <w:bCs/>
          <w:color w:val="auto"/>
          <w:sz w:val="22"/>
          <w:szCs w:val="21"/>
          <w:highlight w:val="none"/>
          <w:lang w:eastAsia="zh-CN"/>
        </w:rPr>
        <w:t>秦岭珍稀野生动物保护补助项目</w:t>
      </w:r>
    </w:p>
    <w:p>
      <w:pPr>
        <w:tabs>
          <w:tab w:val="left" w:pos="3544"/>
        </w:tabs>
        <w:topLinePunct/>
        <w:spacing w:line="360" w:lineRule="auto"/>
        <w:jc w:val="center"/>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竞争性谈判公告</w:t>
      </w:r>
    </w:p>
    <w:p>
      <w:pPr>
        <w:tabs>
          <w:tab w:val="left" w:pos="3544"/>
        </w:tabs>
        <w:topLinePunct/>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秦岭珍稀野生动物保护补助项目</w:t>
      </w:r>
      <w:r>
        <w:rPr>
          <w:rFonts w:hint="eastAsia" w:ascii="宋体" w:hAnsi="宋体" w:eastAsia="宋体" w:cs="宋体"/>
          <w:b/>
          <w:bCs/>
          <w:color w:val="auto"/>
          <w:sz w:val="22"/>
          <w:szCs w:val="22"/>
          <w:highlight w:val="none"/>
        </w:rPr>
        <w:t>潜在的供应商可在</w:t>
      </w:r>
      <w:r>
        <w:rPr>
          <w:rFonts w:hint="eastAsia" w:ascii="宋体" w:hAnsi="宋体" w:eastAsia="宋体" w:cs="宋体"/>
          <w:b/>
          <w:bCs/>
          <w:color w:val="auto"/>
          <w:sz w:val="22"/>
          <w:szCs w:val="22"/>
          <w:highlight w:val="none"/>
          <w:lang w:eastAsia="zh-CN"/>
        </w:rPr>
        <w:t>陕西省西安市碑林区宏信国际花园一号楼1408室</w:t>
      </w:r>
      <w:r>
        <w:rPr>
          <w:rFonts w:hint="eastAsia" w:ascii="宋体" w:hAnsi="宋体" w:eastAsia="宋体" w:cs="宋体"/>
          <w:b/>
          <w:bCs/>
          <w:color w:val="auto"/>
          <w:sz w:val="22"/>
          <w:szCs w:val="22"/>
          <w:highlight w:val="none"/>
        </w:rPr>
        <w:t>获取采购文件，并于202</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05</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31</w:t>
      </w: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lang w:val="en-US" w:eastAsia="zh-CN"/>
        </w:rPr>
        <w:t>09</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0:00前递交响应文件。</w:t>
      </w:r>
      <w:bookmarkEnd w:id="17"/>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一、项目基本情况：</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1、项目编号：</w:t>
      </w:r>
      <w:r>
        <w:rPr>
          <w:rFonts w:hint="eastAsia" w:ascii="宋体" w:hAnsi="宋体" w:eastAsia="宋体" w:cs="宋体"/>
          <w:color w:val="auto"/>
          <w:sz w:val="22"/>
          <w:szCs w:val="22"/>
          <w:highlight w:val="none"/>
          <w:lang w:eastAsia="zh-CN"/>
        </w:rPr>
        <w:t>XD22-2H-1S30</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2、项目名称：</w:t>
      </w:r>
      <w:r>
        <w:rPr>
          <w:rFonts w:hint="eastAsia" w:ascii="宋体" w:hAnsi="宋体" w:eastAsia="宋体" w:cs="宋体"/>
          <w:color w:val="auto"/>
          <w:sz w:val="22"/>
          <w:szCs w:val="22"/>
          <w:highlight w:val="none"/>
          <w:lang w:eastAsia="zh-CN"/>
        </w:rPr>
        <w:t>秦岭珍稀野生动物保护补助项目</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3、预算金额：615,000.00元</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4、最高限价：615,000.00元</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5、采购需求：</w:t>
      </w:r>
      <w:r>
        <w:rPr>
          <w:rFonts w:hint="eastAsia" w:ascii="宋体" w:hAnsi="宋体" w:eastAsia="宋体" w:cs="宋体"/>
          <w:color w:val="auto"/>
          <w:sz w:val="22"/>
          <w:szCs w:val="22"/>
          <w:highlight w:val="none"/>
          <w:lang w:eastAsia="zh-CN"/>
        </w:rPr>
        <w:t>竹子、泥鳅</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6、合同履行期限：202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02</w:t>
      </w:r>
      <w:r>
        <w:rPr>
          <w:rFonts w:hint="eastAsia" w:ascii="宋体" w:hAnsi="宋体" w:eastAsia="宋体" w:cs="宋体"/>
          <w:color w:val="auto"/>
          <w:sz w:val="22"/>
          <w:szCs w:val="22"/>
          <w:highlight w:val="none"/>
        </w:rPr>
        <w:t xml:space="preserve"> 08:00:00 至 202</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02</w:t>
      </w:r>
      <w:r>
        <w:rPr>
          <w:rFonts w:hint="eastAsia" w:ascii="宋体" w:hAnsi="宋体" w:eastAsia="宋体" w:cs="宋体"/>
          <w:color w:val="auto"/>
          <w:sz w:val="22"/>
          <w:szCs w:val="22"/>
          <w:highlight w:val="none"/>
        </w:rPr>
        <w:t xml:space="preserve"> 18:00:00（具体服务起止日期可随合同签订时间相应顺延）</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7、本项目是否接受联合体投标：否</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 响应供应商的资格要求</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1、满足《中华人民共和国政府采购法》第二十二条规定</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2、落实政府采购政策需满足的资格要求：</w:t>
      </w:r>
      <w:r>
        <w:rPr>
          <w:rFonts w:hint="eastAsia" w:ascii="宋体" w:hAnsi="宋体" w:eastAsia="宋体" w:cs="宋体"/>
          <w:color w:val="auto"/>
          <w:sz w:val="22"/>
          <w:szCs w:val="22"/>
          <w:highlight w:val="none"/>
          <w:lang w:eastAsia="zh-CN"/>
        </w:rPr>
        <w:t>本项目专门面向中小微企业</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3、本项目的特定资格要求：</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2"/>
          <w:szCs w:val="22"/>
          <w:highlight w:val="none"/>
          <w:lang w:eastAsia="zh-CN"/>
        </w:rPr>
        <w:t>；</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2）具有法定代表人授权委托书（附法定代表人及被授权人身份证复印件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法定代表人直接参加只需提供法定代表人身份证明及身份证；</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供应商不得为“信用中国”网站（www.creditchina.gov.cn）中被列入失信被执行人和重大税收违法案件当事人名单，不得在中国政府采购网（www.ccgp.gov.cn）政府采购严重违法失信行为记录名单中被财政部门禁止参加政府采购活动（由采购人或采购代理机构于磋商当日查询结果截图并打印留存）；</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 采购文件的获取方式</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时间：即日起至202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 xml:space="preserve"> 17:00:00止</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地点：</w:t>
      </w:r>
      <w:r>
        <w:rPr>
          <w:rFonts w:hint="eastAsia" w:ascii="宋体" w:hAnsi="宋体" w:eastAsia="宋体" w:cs="宋体"/>
          <w:color w:val="auto"/>
          <w:sz w:val="22"/>
          <w:szCs w:val="22"/>
          <w:highlight w:val="none"/>
          <w:lang w:eastAsia="zh-CN"/>
        </w:rPr>
        <w:t>陕西省西安市碑林区宏信国际花园一号楼1408室</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方式：现场购买/邮寄</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售价：标书金额：</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00.00元（人民币），售后不退； </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Style w:val="42"/>
          <w:rFonts w:hint="eastAsia" w:ascii="宋体" w:hAnsi="宋体" w:eastAsia="宋体" w:cs="宋体"/>
          <w:color w:val="auto"/>
          <w:sz w:val="22"/>
          <w:szCs w:val="22"/>
          <w:highlight w:val="none"/>
        </w:rPr>
        <w:t xml:space="preserve">注：发售期内：上午9:00～12:00，下午14:00～17:00（双休日及法定节假日除外）； </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 响应文件递交</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截止时间：2022-0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09</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0:00</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w:t>
      </w:r>
      <w:r>
        <w:rPr>
          <w:rFonts w:hint="eastAsia" w:ascii="宋体" w:hAnsi="宋体" w:eastAsia="宋体" w:cs="宋体"/>
          <w:color w:val="auto"/>
          <w:sz w:val="22"/>
          <w:szCs w:val="22"/>
          <w:highlight w:val="none"/>
          <w:lang w:eastAsia="zh-CN"/>
        </w:rPr>
        <w:t>陕西省西安市碑林区宏信国际花园一号楼1408室</w:t>
      </w:r>
      <w:r>
        <w:rPr>
          <w:rFonts w:hint="eastAsia" w:ascii="宋体" w:hAnsi="宋体" w:eastAsia="宋体" w:cs="宋体"/>
          <w:color w:val="auto"/>
          <w:sz w:val="22"/>
          <w:szCs w:val="22"/>
          <w:highlight w:val="none"/>
        </w:rPr>
        <w:t>会议室</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五、公告期限</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自本公告发布之日起3个工作日。</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六、其他补充事宜</w:t>
      </w:r>
    </w:p>
    <w:p>
      <w:pPr>
        <w:widowControl/>
        <w:spacing w:line="360" w:lineRule="auto"/>
        <w:ind w:firstLine="480"/>
        <w:jc w:val="left"/>
        <w:rPr>
          <w:rFonts w:hint="eastAsia" w:ascii="宋体" w:hAnsi="宋体" w:eastAsia="宋体" w:cs="Helvetica"/>
          <w:color w:val="auto"/>
          <w:kern w:val="0"/>
          <w:sz w:val="22"/>
          <w:szCs w:val="22"/>
          <w:highlight w:val="none"/>
          <w:lang w:val="en-US" w:eastAsia="zh-CN"/>
        </w:rPr>
      </w:pPr>
      <w:r>
        <w:rPr>
          <w:rFonts w:hint="eastAsia" w:ascii="宋体" w:hAnsi="宋体" w:eastAsia="宋体" w:cs="Helvetica"/>
          <w:color w:val="auto"/>
          <w:kern w:val="0"/>
          <w:sz w:val="22"/>
          <w:szCs w:val="22"/>
          <w:highlight w:val="none"/>
          <w:lang w:val="en-US" w:eastAsia="zh-CN"/>
        </w:rPr>
        <w:t>1、领取磋商文件时需提供法定代表人授权委托书或单位介绍信、经办人身份证件原件及加盖公章的复印件。</w:t>
      </w:r>
    </w:p>
    <w:p>
      <w:pPr>
        <w:widowControl/>
        <w:spacing w:line="360" w:lineRule="auto"/>
        <w:ind w:firstLine="480"/>
        <w:jc w:val="left"/>
        <w:rPr>
          <w:rFonts w:hint="eastAsia" w:ascii="宋体" w:hAnsi="宋体" w:eastAsia="宋体" w:cs="Helvetica"/>
          <w:color w:val="auto"/>
          <w:kern w:val="0"/>
          <w:sz w:val="22"/>
          <w:szCs w:val="22"/>
          <w:highlight w:val="none"/>
          <w:lang w:val="en-US" w:eastAsia="zh-CN"/>
        </w:rPr>
      </w:pPr>
      <w:r>
        <w:rPr>
          <w:rFonts w:hint="eastAsia" w:ascii="宋体" w:hAnsi="宋体" w:eastAsia="宋体" w:cs="Helvetica"/>
          <w:color w:val="auto"/>
          <w:kern w:val="0"/>
          <w:sz w:val="22"/>
          <w:szCs w:val="22"/>
          <w:highlight w:val="none"/>
          <w:lang w:val="en-US" w:eastAsia="zh-CN"/>
        </w:rPr>
        <w:t>2、根据《陕西省财政厅关于采购供应商注册登记有关事项的通知》，供应商需自行通过陕西省政府采购网注册登记加入陕西省政府采购供应商库。</w:t>
      </w:r>
    </w:p>
    <w:p>
      <w:pPr>
        <w:widowControl/>
        <w:spacing w:line="360" w:lineRule="auto"/>
        <w:ind w:firstLine="480"/>
        <w:jc w:val="left"/>
        <w:rPr>
          <w:rFonts w:hint="default" w:ascii="宋体" w:hAnsi="宋体" w:eastAsia="宋体" w:cs="Helvetica"/>
          <w:color w:val="auto"/>
          <w:kern w:val="0"/>
          <w:sz w:val="22"/>
          <w:szCs w:val="22"/>
          <w:highlight w:val="none"/>
          <w:lang w:val="en-US"/>
        </w:rPr>
      </w:pPr>
      <w:r>
        <w:rPr>
          <w:rFonts w:hint="eastAsia" w:ascii="宋体" w:hAnsi="宋体" w:eastAsia="宋体" w:cs="Helvetica"/>
          <w:color w:val="auto"/>
          <w:kern w:val="0"/>
          <w:sz w:val="22"/>
          <w:szCs w:val="22"/>
          <w:highlight w:val="none"/>
          <w:lang w:val="en-US" w:eastAsia="zh-CN"/>
        </w:rPr>
        <w:t>3、</w:t>
      </w:r>
      <w:r>
        <w:rPr>
          <w:rFonts w:hint="eastAsia" w:ascii="宋体" w:hAnsi="宋体" w:eastAsia="宋体" w:cs="Helvetica"/>
          <w:color w:val="auto"/>
          <w:kern w:val="0"/>
          <w:sz w:val="22"/>
          <w:szCs w:val="22"/>
          <w:highlight w:val="none"/>
        </w:rPr>
        <w:t>落实的政府采购政策：（1）《政府采购促进中小企业发展管理办法》（财库〔2020〕46号）；（2）《财政部 司法部关于政府采购支持监狱企业发展有关问题的通知》（财库〔2014〕68号）；（3）《三部门联合发布关于促进残疾人就业政府采购政策的通知》（财库〔2017〕141号）；（</w:t>
      </w:r>
      <w:r>
        <w:rPr>
          <w:rFonts w:hint="eastAsia" w:ascii="宋体" w:hAnsi="宋体" w:eastAsia="宋体" w:cs="Helvetica"/>
          <w:color w:val="auto"/>
          <w:kern w:val="0"/>
          <w:sz w:val="22"/>
          <w:szCs w:val="22"/>
          <w:highlight w:val="none"/>
          <w:lang w:val="en-US" w:eastAsia="zh-CN"/>
        </w:rPr>
        <w:t>4</w:t>
      </w:r>
      <w:r>
        <w:rPr>
          <w:rFonts w:hint="eastAsia" w:ascii="宋体" w:hAnsi="宋体" w:eastAsia="宋体" w:cs="Helvetica"/>
          <w:color w:val="auto"/>
          <w:kern w:val="0"/>
          <w:sz w:val="22"/>
          <w:szCs w:val="22"/>
          <w:highlight w:val="none"/>
        </w:rPr>
        <w:t>）《国务院办公厅关于建立政府强制采购节能产品制度的通知》（国发办〔2007〕51号）；（</w:t>
      </w:r>
      <w:r>
        <w:rPr>
          <w:rFonts w:hint="eastAsia" w:ascii="宋体" w:hAnsi="宋体" w:eastAsia="宋体" w:cs="Helvetica"/>
          <w:color w:val="auto"/>
          <w:kern w:val="0"/>
          <w:sz w:val="22"/>
          <w:szCs w:val="22"/>
          <w:highlight w:val="none"/>
          <w:lang w:val="en-US" w:eastAsia="zh-CN"/>
        </w:rPr>
        <w:t>5</w:t>
      </w:r>
      <w:r>
        <w:rPr>
          <w:rFonts w:hint="eastAsia" w:ascii="宋体" w:hAnsi="宋体" w:eastAsia="宋体" w:cs="Helvetica"/>
          <w:color w:val="auto"/>
          <w:kern w:val="0"/>
          <w:sz w:val="22"/>
          <w:szCs w:val="22"/>
          <w:highlight w:val="none"/>
        </w:rPr>
        <w:t>）《节能产品政府采购实施意见》（财库〔2004〕185号）；（</w:t>
      </w:r>
      <w:r>
        <w:rPr>
          <w:rFonts w:hint="eastAsia" w:ascii="宋体" w:hAnsi="宋体" w:eastAsia="宋体" w:cs="Helvetica"/>
          <w:color w:val="auto"/>
          <w:kern w:val="0"/>
          <w:sz w:val="22"/>
          <w:szCs w:val="22"/>
          <w:highlight w:val="none"/>
          <w:lang w:val="en-US" w:eastAsia="zh-CN"/>
        </w:rPr>
        <w:t>6</w:t>
      </w:r>
      <w:r>
        <w:rPr>
          <w:rFonts w:hint="eastAsia" w:ascii="宋体" w:hAnsi="宋体" w:eastAsia="宋体" w:cs="Helvetica"/>
          <w:color w:val="auto"/>
          <w:kern w:val="0"/>
          <w:sz w:val="22"/>
          <w:szCs w:val="22"/>
          <w:highlight w:val="none"/>
        </w:rPr>
        <w:t>）《财政部环保总局关于环境标志产品政府采购实施的意见》（财库〔2006〕90号）；（7）《财政部 发展改革委 生态环境部 市场监管总局关于调整优化节能产品、环境标志产品政府采购执行机制的通知》（财库〔2019〕9号）；（8）《财政部 国务院扶贫办关于运用政府采购政策支持脱贫攻坚的通知》（财库〔2019〕27号）</w:t>
      </w:r>
      <w:r>
        <w:rPr>
          <w:rFonts w:hint="eastAsia" w:ascii="宋体" w:hAnsi="宋体" w:eastAsia="宋体" w:cs="Helvetica"/>
          <w:color w:val="auto"/>
          <w:kern w:val="0"/>
          <w:sz w:val="22"/>
          <w:szCs w:val="22"/>
          <w:highlight w:val="none"/>
          <w:lang w:eastAsia="zh-CN"/>
        </w:rPr>
        <w:t>；</w:t>
      </w:r>
      <w:r>
        <w:rPr>
          <w:rFonts w:hint="eastAsia" w:ascii="宋体" w:hAnsi="宋体" w:eastAsia="宋体" w:cs="Helvetica"/>
          <w:color w:val="auto"/>
          <w:kern w:val="0"/>
          <w:sz w:val="22"/>
          <w:szCs w:val="22"/>
          <w:highlight w:val="none"/>
        </w:rPr>
        <w:t>（9）《陕西省财政厅关于加快推进我省中小企业政府采购信用融资工作的通知》（陕财办采〔2020〕15号）；（</w:t>
      </w:r>
      <w:r>
        <w:rPr>
          <w:rFonts w:hint="eastAsia" w:ascii="宋体" w:hAnsi="宋体" w:eastAsia="宋体" w:cs="Helvetica"/>
          <w:color w:val="auto"/>
          <w:kern w:val="0"/>
          <w:sz w:val="22"/>
          <w:szCs w:val="22"/>
          <w:highlight w:val="none"/>
          <w:lang w:val="en-US" w:eastAsia="zh-CN"/>
        </w:rPr>
        <w:t>10</w:t>
      </w:r>
      <w:r>
        <w:rPr>
          <w:rFonts w:hint="eastAsia" w:ascii="宋体" w:hAnsi="宋体" w:eastAsia="宋体" w:cs="Helvetica"/>
          <w:color w:val="auto"/>
          <w:kern w:val="0"/>
          <w:sz w:val="22"/>
          <w:szCs w:val="22"/>
          <w:highlight w:val="none"/>
        </w:rPr>
        <w:t>）《财政部 农业农村部 国家乡村振兴局关于运用政府采购政策支持乡村产业振兴的通知》（财库〔2021〕19 号）；（1</w:t>
      </w:r>
      <w:r>
        <w:rPr>
          <w:rFonts w:hint="eastAsia" w:ascii="宋体" w:hAnsi="宋体" w:eastAsia="宋体" w:cs="Helvetica"/>
          <w:color w:val="auto"/>
          <w:kern w:val="0"/>
          <w:sz w:val="22"/>
          <w:szCs w:val="22"/>
          <w:highlight w:val="none"/>
          <w:lang w:val="en-US" w:eastAsia="zh-CN"/>
        </w:rPr>
        <w:t>1</w:t>
      </w:r>
      <w:r>
        <w:rPr>
          <w:rFonts w:hint="eastAsia" w:ascii="宋体" w:hAnsi="宋体" w:eastAsia="宋体" w:cs="Helvetica"/>
          <w:color w:val="auto"/>
          <w:kern w:val="0"/>
          <w:sz w:val="22"/>
          <w:szCs w:val="22"/>
          <w:highlight w:val="none"/>
        </w:rPr>
        <w:t>）《财政部 农业农村部 国家乡村振兴局 中华全国供销合作总社关于印发&lt;关于深入开展政府采购脱贫地区农副产品工作推进乡村产业振兴的实施意见&gt;的通知》（财库〔2021〕20 号</w:t>
      </w:r>
      <w:r>
        <w:rPr>
          <w:rFonts w:hint="eastAsia" w:ascii="宋体" w:hAnsi="宋体" w:eastAsia="宋体" w:cs="Helvetica"/>
          <w:b w:val="0"/>
          <w:bCs w:val="0"/>
          <w:color w:val="auto"/>
          <w:kern w:val="0"/>
          <w:sz w:val="22"/>
          <w:szCs w:val="22"/>
          <w:highlight w:val="none"/>
        </w:rPr>
        <w:t>）</w:t>
      </w:r>
      <w:r>
        <w:rPr>
          <w:rFonts w:hint="eastAsia" w:ascii="宋体" w:hAnsi="宋体" w:eastAsia="宋体" w:cs="Helvetica"/>
          <w:color w:val="auto"/>
          <w:kern w:val="0"/>
          <w:sz w:val="22"/>
          <w:szCs w:val="22"/>
          <w:highlight w:val="none"/>
        </w:rPr>
        <w:t>。</w:t>
      </w:r>
    </w:p>
    <w:p>
      <w:pPr>
        <w:pStyle w:val="152"/>
        <w:shd w:val="clear" w:color="auto" w:fill="FFFFFF"/>
        <w:spacing w:before="0" w:beforeAutospacing="0" w:after="0" w:afterAutospacing="0"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七、对本次采购提出询问，请按以下方式联系。</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1、采购人信息：</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cs="宋体"/>
          <w:color w:val="auto"/>
          <w:sz w:val="22"/>
          <w:szCs w:val="22"/>
          <w:highlight w:val="none"/>
          <w:lang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eastAsia="zh-CN"/>
        </w:rPr>
        <w:t>刘工</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联系地址：</w:t>
      </w:r>
      <w:r>
        <w:rPr>
          <w:rFonts w:hint="eastAsia" w:ascii="宋体" w:hAnsi="宋体" w:eastAsia="宋体" w:cs="宋体"/>
          <w:color w:val="auto"/>
          <w:sz w:val="22"/>
          <w:szCs w:val="22"/>
          <w:highlight w:val="none"/>
          <w:lang w:val="en-US" w:eastAsia="zh-CN"/>
        </w:rPr>
        <w:t>西安市周至县楼观台</w:t>
      </w:r>
    </w:p>
    <w:p>
      <w:pPr>
        <w:pStyle w:val="36"/>
        <w:keepNext w:val="0"/>
        <w:keepLines w:val="0"/>
        <w:widowControl/>
        <w:suppressLineNumbers w:val="0"/>
        <w:spacing w:before="0" w:beforeAutospacing="0" w:after="0" w:afterAutospacing="0" w:line="360" w:lineRule="auto"/>
        <w:ind w:left="0" w:right="0" w:firstLine="42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联系电话：</w:t>
      </w:r>
      <w:r>
        <w:rPr>
          <w:rFonts w:hint="eastAsia" w:ascii="宋体" w:hAnsi="宋体" w:cs="宋体"/>
          <w:color w:val="auto"/>
          <w:sz w:val="22"/>
          <w:szCs w:val="22"/>
          <w:highlight w:val="none"/>
          <w:lang w:val="en-US" w:eastAsia="zh-CN"/>
        </w:rPr>
        <w:t>029-85180155</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2、项目联系方式</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项目联系人：武汉新地经办-刘工、胡工、可工</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话：029-85227896</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3、采购代理机构信息</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lang w:eastAsia="zh-CN"/>
        </w:rPr>
        <w:t>武汉新地工程造价咨询有限公司</w:t>
      </w:r>
    </w:p>
    <w:p>
      <w:pPr>
        <w:pStyle w:val="36"/>
        <w:keepNext w:val="0"/>
        <w:keepLines w:val="0"/>
        <w:widowControl/>
        <w:suppressLineNumbers w:val="0"/>
        <w:spacing w:before="0" w:beforeAutospacing="0" w:after="0" w:afterAutospacing="0" w:line="360" w:lineRule="auto"/>
        <w:ind w:left="0" w:right="0" w:firstLine="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联系地址：</w:t>
      </w:r>
      <w:r>
        <w:rPr>
          <w:rFonts w:hint="eastAsia" w:ascii="宋体" w:hAnsi="宋体" w:eastAsia="宋体" w:cs="宋体"/>
          <w:color w:val="auto"/>
          <w:sz w:val="22"/>
          <w:szCs w:val="22"/>
          <w:highlight w:val="none"/>
          <w:lang w:eastAsia="zh-CN"/>
        </w:rPr>
        <w:t>陕西省西安市碑林区宏信国际花园一号楼1408室</w:t>
      </w:r>
    </w:p>
    <w:p>
      <w:pPr>
        <w:tabs>
          <w:tab w:val="left" w:pos="3544"/>
        </w:tabs>
        <w:topLinePunct/>
        <w:spacing w:line="360" w:lineRule="auto"/>
        <w:ind w:firstLine="600" w:firstLineChars="250"/>
        <w:jc w:val="right"/>
        <w:rPr>
          <w:rFonts w:hint="eastAsia" w:ascii="宋体" w:hAnsi="宋体" w:eastAsia="宋体" w:cs="宋体"/>
          <w:color w:val="auto"/>
          <w:sz w:val="24"/>
          <w:highlight w:val="none"/>
        </w:rPr>
      </w:pPr>
    </w:p>
    <w:p>
      <w:pPr>
        <w:tabs>
          <w:tab w:val="left" w:pos="3544"/>
        </w:tabs>
        <w:topLinePunct/>
        <w:spacing w:line="360" w:lineRule="auto"/>
        <w:ind w:firstLine="600" w:firstLineChars="250"/>
        <w:jc w:val="right"/>
        <w:rPr>
          <w:rFonts w:hint="eastAsia" w:ascii="宋体" w:hAnsi="宋体" w:eastAsia="宋体" w:cs="宋体"/>
          <w:color w:val="auto"/>
          <w:sz w:val="24"/>
          <w:highlight w:val="none"/>
        </w:rPr>
      </w:pPr>
    </w:p>
    <w:p>
      <w:pPr>
        <w:tabs>
          <w:tab w:val="left" w:pos="3544"/>
        </w:tabs>
        <w:topLinePunct/>
        <w:spacing w:line="360" w:lineRule="auto"/>
        <w:ind w:firstLine="600" w:firstLineChars="25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武汉新地工程造价咨询有限公司</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日</w:t>
      </w:r>
    </w:p>
    <w:p>
      <w:pPr>
        <w:tabs>
          <w:tab w:val="left" w:pos="3544"/>
        </w:tabs>
        <w:spacing w:line="360" w:lineRule="auto"/>
        <w:ind w:firstLine="753" w:firstLineChars="250"/>
        <w:jc w:val="center"/>
        <w:outlineLvl w:val="0"/>
        <w:rPr>
          <w:rFonts w:hint="eastAsia" w:ascii="宋体" w:hAnsi="宋体" w:eastAsia="宋体" w:cs="宋体"/>
          <w:b/>
          <w:color w:val="auto"/>
          <w:sz w:val="30"/>
          <w:szCs w:val="30"/>
          <w:highlight w:val="none"/>
        </w:rPr>
        <w:sectPr>
          <w:type w:val="nextColumn"/>
          <w:pgSz w:w="11906" w:h="16838"/>
          <w:pgMar w:top="1440" w:right="1797" w:bottom="1440" w:left="1797" w:header="851" w:footer="992" w:gutter="0"/>
          <w:pgNumType w:fmt="decimal"/>
          <w:cols w:space="720" w:num="1"/>
          <w:docGrid w:linePitch="312" w:charSpace="0"/>
        </w:sectPr>
      </w:pP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tabs>
          <w:tab w:val="left" w:pos="3544"/>
        </w:tabs>
        <w:spacing w:line="360" w:lineRule="auto"/>
        <w:ind w:firstLine="753" w:firstLineChars="250"/>
        <w:jc w:val="center"/>
        <w:outlineLvl w:val="0"/>
        <w:rPr>
          <w:rFonts w:hint="eastAsia" w:ascii="宋体" w:hAnsi="宋体" w:eastAsia="宋体" w:cs="宋体"/>
          <w:b/>
          <w:color w:val="auto"/>
          <w:sz w:val="30"/>
          <w:szCs w:val="30"/>
          <w:highlight w:val="none"/>
        </w:rPr>
      </w:pPr>
      <w:bookmarkStart w:id="34" w:name="_Toc31772"/>
      <w:r>
        <w:rPr>
          <w:rFonts w:hint="eastAsia" w:ascii="宋体" w:hAnsi="宋体" w:eastAsia="宋体" w:cs="宋体"/>
          <w:b/>
          <w:color w:val="auto"/>
          <w:sz w:val="30"/>
          <w:szCs w:val="30"/>
          <w:highlight w:val="none"/>
        </w:rPr>
        <w:t>第二部分 供应商须知</w:t>
      </w:r>
      <w:bookmarkEnd w:id="34"/>
    </w:p>
    <w:p>
      <w:pPr>
        <w:spacing w:line="360" w:lineRule="auto"/>
        <w:ind w:firstLine="440" w:firstLineChars="200"/>
        <w:jc w:val="left"/>
        <w:rPr>
          <w:rFonts w:hint="eastAsia" w:ascii="宋体" w:hAnsi="宋体" w:eastAsia="宋体" w:cs="宋体"/>
          <w:color w:val="auto"/>
          <w:sz w:val="22"/>
          <w:highlight w:val="none"/>
        </w:rPr>
      </w:pPr>
      <w:bookmarkStart w:id="35" w:name="_Toc493678862"/>
      <w:bookmarkStart w:id="36" w:name="_Toc6847017"/>
      <w:r>
        <w:rPr>
          <w:rFonts w:hint="eastAsia" w:ascii="宋体" w:hAnsi="宋体" w:eastAsia="宋体" w:cs="宋体"/>
          <w:color w:val="auto"/>
          <w:sz w:val="22"/>
          <w:highlight w:val="none"/>
        </w:rPr>
        <w:t>供应商仔细阅读本部分，并根据采购文件要求编制响应文件。</w:t>
      </w:r>
    </w:p>
    <w:p>
      <w:pPr>
        <w:tabs>
          <w:tab w:val="left" w:pos="3544"/>
        </w:tabs>
        <w:spacing w:line="360" w:lineRule="auto"/>
        <w:jc w:val="center"/>
        <w:outlineLvl w:val="1"/>
        <w:rPr>
          <w:rFonts w:hint="eastAsia" w:ascii="宋体" w:hAnsi="宋体" w:eastAsia="宋体" w:cs="宋体"/>
          <w:b/>
          <w:color w:val="auto"/>
          <w:sz w:val="24"/>
          <w:szCs w:val="30"/>
          <w:highlight w:val="none"/>
        </w:rPr>
      </w:pPr>
      <w:bookmarkStart w:id="37" w:name="_Toc14616"/>
      <w:r>
        <w:rPr>
          <w:rFonts w:hint="eastAsia" w:ascii="宋体" w:hAnsi="宋体" w:eastAsia="宋体" w:cs="宋体"/>
          <w:b/>
          <w:color w:val="auto"/>
          <w:sz w:val="24"/>
          <w:szCs w:val="30"/>
          <w:highlight w:val="none"/>
        </w:rPr>
        <w:t>一．名词解释</w:t>
      </w:r>
      <w:bookmarkEnd w:id="35"/>
      <w:bookmarkEnd w:id="36"/>
      <w:bookmarkEnd w:id="37"/>
    </w:p>
    <w:p>
      <w:pPr>
        <w:tabs>
          <w:tab w:val="left" w:pos="3544"/>
        </w:tabs>
        <w:spacing w:line="360" w:lineRule="auto"/>
        <w:ind w:firstLine="440" w:firstLineChars="200"/>
        <w:jc w:val="left"/>
        <w:rPr>
          <w:rFonts w:hint="eastAsia" w:ascii="宋体" w:hAnsi="宋体" w:eastAsia="宋体" w:cs="宋体"/>
          <w:b/>
          <w:color w:val="auto"/>
          <w:sz w:val="24"/>
          <w:szCs w:val="30"/>
          <w:highlight w:val="none"/>
          <w:lang w:eastAsia="zh-CN"/>
        </w:rPr>
      </w:pPr>
      <w:r>
        <w:rPr>
          <w:rFonts w:hint="eastAsia" w:ascii="宋体" w:hAnsi="宋体" w:eastAsia="宋体" w:cs="宋体"/>
          <w:color w:val="auto"/>
          <w:sz w:val="22"/>
          <w:highlight w:val="none"/>
        </w:rPr>
        <w:t>采购人：</w:t>
      </w:r>
      <w:r>
        <w:rPr>
          <w:rFonts w:hint="eastAsia" w:ascii="宋体" w:hAnsi="宋体" w:eastAsia="宋体" w:cs="宋体"/>
          <w:color w:val="auto"/>
          <w:sz w:val="22"/>
          <w:szCs w:val="22"/>
          <w:highlight w:val="none"/>
          <w:lang w:eastAsia="zh-CN"/>
        </w:rPr>
        <w:t>秦岭大熊猫研究中心（陕西省珍稀野生动物救护基地）</w:t>
      </w:r>
    </w:p>
    <w:p>
      <w:pPr>
        <w:tabs>
          <w:tab w:val="left" w:pos="3544"/>
        </w:tabs>
        <w:spacing w:line="360" w:lineRule="auto"/>
        <w:ind w:firstLine="440" w:firstLineChars="200"/>
        <w:jc w:val="left"/>
        <w:rPr>
          <w:rFonts w:hint="eastAsia" w:ascii="宋体" w:hAnsi="宋体" w:eastAsia="宋体" w:cs="宋体"/>
          <w:b/>
          <w:color w:val="auto"/>
          <w:sz w:val="24"/>
          <w:szCs w:val="30"/>
          <w:highlight w:val="none"/>
        </w:rPr>
      </w:pPr>
      <w:r>
        <w:rPr>
          <w:rFonts w:hint="eastAsia" w:ascii="宋体" w:hAnsi="宋体" w:eastAsia="宋体" w:cs="宋体"/>
          <w:color w:val="auto"/>
          <w:sz w:val="22"/>
          <w:highlight w:val="none"/>
        </w:rPr>
        <w:t>监督机构：陕西省财政厅</w:t>
      </w:r>
    </w:p>
    <w:p>
      <w:pPr>
        <w:tabs>
          <w:tab w:val="left" w:pos="3544"/>
        </w:tabs>
        <w:spacing w:line="360" w:lineRule="auto"/>
        <w:ind w:firstLine="440" w:firstLineChars="200"/>
        <w:jc w:val="left"/>
        <w:rPr>
          <w:rFonts w:hint="eastAsia" w:ascii="宋体" w:hAnsi="宋体" w:eastAsia="宋体" w:cs="宋体"/>
          <w:b/>
          <w:color w:val="auto"/>
          <w:sz w:val="24"/>
          <w:szCs w:val="30"/>
          <w:highlight w:val="none"/>
          <w:lang w:eastAsia="zh-CN"/>
        </w:rPr>
      </w:pPr>
      <w:r>
        <w:rPr>
          <w:rFonts w:hint="eastAsia" w:ascii="宋体" w:hAnsi="宋体" w:eastAsia="宋体" w:cs="宋体"/>
          <w:color w:val="auto"/>
          <w:sz w:val="22"/>
          <w:highlight w:val="none"/>
        </w:rPr>
        <w:t>采购代理机构：</w:t>
      </w:r>
      <w:r>
        <w:rPr>
          <w:rFonts w:hint="eastAsia" w:ascii="宋体" w:hAnsi="宋体" w:eastAsia="宋体" w:cs="宋体"/>
          <w:color w:val="auto"/>
          <w:sz w:val="22"/>
          <w:highlight w:val="none"/>
          <w:lang w:eastAsia="zh-CN"/>
        </w:rPr>
        <w:t>武汉新地工程造价咨询有限公司</w:t>
      </w:r>
    </w:p>
    <w:p>
      <w:pPr>
        <w:tabs>
          <w:tab w:val="left" w:pos="3544"/>
        </w:tabs>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成交人：由谈判小组推荐经采购人确认的供应商</w:t>
      </w:r>
      <w:bookmarkStart w:id="38" w:name="_Toc493678863"/>
    </w:p>
    <w:p>
      <w:pPr>
        <w:tabs>
          <w:tab w:val="left" w:pos="3544"/>
        </w:tabs>
        <w:spacing w:line="360" w:lineRule="auto"/>
        <w:ind w:firstLine="440" w:firstLineChars="200"/>
        <w:jc w:val="left"/>
        <w:rPr>
          <w:rFonts w:hint="eastAsia" w:ascii="宋体" w:hAnsi="宋体" w:eastAsia="宋体" w:cs="宋体"/>
          <w:b/>
          <w:color w:val="auto"/>
          <w:sz w:val="24"/>
          <w:szCs w:val="30"/>
          <w:highlight w:val="none"/>
        </w:rPr>
      </w:pPr>
      <w:r>
        <w:rPr>
          <w:rFonts w:hint="eastAsia" w:ascii="宋体" w:hAnsi="宋体" w:eastAsia="宋体" w:cs="宋体"/>
          <w:color w:val="auto"/>
          <w:sz w:val="22"/>
          <w:highlight w:val="none"/>
        </w:rPr>
        <w:t>谈判文件：本次竞争性谈判所使用的采购文件</w:t>
      </w:r>
    </w:p>
    <w:bookmarkEnd w:id="38"/>
    <w:p>
      <w:pPr>
        <w:tabs>
          <w:tab w:val="left" w:pos="240"/>
          <w:tab w:val="left" w:pos="3544"/>
        </w:tabs>
        <w:wordWrap w:val="0"/>
        <w:spacing w:line="360" w:lineRule="auto"/>
        <w:ind w:left="-119"/>
        <w:jc w:val="center"/>
        <w:outlineLvl w:val="1"/>
        <w:rPr>
          <w:rFonts w:hint="eastAsia" w:ascii="宋体" w:hAnsi="宋体" w:eastAsia="宋体" w:cs="宋体"/>
          <w:color w:val="auto"/>
          <w:sz w:val="21"/>
          <w:highlight w:val="none"/>
        </w:rPr>
      </w:pPr>
      <w:bookmarkStart w:id="39" w:name="_Toc3583"/>
      <w:r>
        <w:rPr>
          <w:rFonts w:hint="eastAsia" w:ascii="宋体" w:hAnsi="宋体" w:eastAsia="宋体" w:cs="宋体"/>
          <w:b/>
          <w:color w:val="auto"/>
          <w:sz w:val="24"/>
          <w:szCs w:val="30"/>
          <w:highlight w:val="none"/>
        </w:rPr>
        <w:t>二．供应商</w:t>
      </w:r>
      <w:bookmarkEnd w:id="39"/>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1、合格的供应商</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1.1满足下列资格条件且有能力提供项目所需的供应商。</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1.2资格条件</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1.2.1满足《中华人民共和国政府采购法》第二十二条规定</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供应商参加政府采购活动应当具备下列条件：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1）具有独立承担民事责任的能力；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2）具有良好的商业信誉和健全的财务会计制度；</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3）具有履行合同所必需的设备和专业技术能力；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4）有依法缴纳税收和社会保障资金的良好记录；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5）参加政府采购活动前三年内，在经营活动中没有重大违法记录；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6）法律、行政法规规定的其他条件。</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1.2.2特定资格条件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2"/>
          <w:highlight w:val="none"/>
          <w:lang w:eastAsia="zh-CN"/>
        </w:rPr>
        <w:t>；</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2）具有法定代表人授权委托书（附法定代表人及被授权人身份证复印件</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法定代表人直接参加只需提供法定代表人身份证明及身份证；</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r>
        <w:rPr>
          <w:rFonts w:hint="eastAsia" w:ascii="宋体" w:hAnsi="宋体" w:eastAsia="宋体" w:cs="宋体"/>
          <w:color w:val="auto"/>
          <w:sz w:val="22"/>
          <w:highlight w:val="none"/>
          <w:lang w:val="en-US" w:eastAsia="zh-CN"/>
        </w:rPr>
        <w:t>供应商不得为“信用中国”网站（www.creditchina.gov.cn）中被列入失信被执行人和重大税收违法案件当事人名单，不得在中国政府采购网（www.ccgp.gov.cn）政府采购严重违法失信行为记录名单中被财政部门禁止参加政府采购活动（由采购人或采购代理机构于磋商当日查询结果截图并打印留存）；</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r>
        <w:rPr>
          <w:rFonts w:hint="eastAsia" w:ascii="宋体" w:hAnsi="宋体" w:eastAsia="宋体" w:cs="宋体"/>
          <w:color w:val="auto"/>
          <w:sz w:val="22"/>
          <w:highlight w:val="none"/>
          <w:lang w:val="en-US" w:eastAsia="zh-CN"/>
        </w:rPr>
        <w:t>本项目为专门面向中小企业采购项目。供应商应如实填写并提供适用于本项目的《中小企业声明函》。</w:t>
      </w:r>
    </w:p>
    <w:p>
      <w:pPr>
        <w:pStyle w:val="2"/>
        <w:rPr>
          <w:rFonts w:hint="eastAsia" w:ascii="宋体" w:hAnsi="宋体" w:eastAsia="宋体" w:cs="宋体"/>
          <w:color w:val="auto"/>
          <w:highlight w:val="none"/>
        </w:rPr>
      </w:pP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1.3关于资格条件的说明：</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1、“第二十二条规定”的6项内容，供应商自行提供相关承诺或者提供相关证明材料，格式自拟，不可缺少，否则投标无效；</w:t>
      </w:r>
    </w:p>
    <w:p>
      <w:pPr>
        <w:tabs>
          <w:tab w:val="left" w:pos="3544"/>
        </w:tabs>
        <w:wordWrap w:val="0"/>
        <w:topLinePunct/>
        <w:snapToGrid w:val="0"/>
        <w:spacing w:line="360" w:lineRule="auto"/>
        <w:ind w:firstLine="442" w:firstLineChars="200"/>
        <w:contextualSpacing/>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2、特定资格条件第2）、3）项按照招标文件</w:t>
      </w:r>
      <w:r>
        <w:rPr>
          <w:rFonts w:hint="eastAsia" w:ascii="宋体" w:hAnsi="宋体" w:eastAsia="宋体" w:cs="宋体"/>
          <w:b/>
          <w:color w:val="auto"/>
          <w:sz w:val="22"/>
          <w:highlight w:val="none"/>
          <w:u w:val="single"/>
          <w:lang w:eastAsia="zh-CN"/>
        </w:rPr>
        <w:t>第五部分</w:t>
      </w:r>
      <w:r>
        <w:rPr>
          <w:rFonts w:hint="eastAsia" w:ascii="宋体" w:hAnsi="宋体" w:eastAsia="宋体" w:cs="宋体"/>
          <w:b/>
          <w:color w:val="auto"/>
          <w:sz w:val="22"/>
          <w:highlight w:val="none"/>
          <w:u w:val="single"/>
        </w:rPr>
        <w:t>已明确的格式及要求制作，其余项格式自拟，但不可缺少，否则投标无效；</w:t>
      </w:r>
    </w:p>
    <w:p>
      <w:pPr>
        <w:tabs>
          <w:tab w:val="left" w:pos="3544"/>
        </w:tabs>
        <w:wordWrap w:val="0"/>
        <w:topLinePunct/>
        <w:spacing w:line="360" w:lineRule="auto"/>
        <w:ind w:firstLine="442" w:firstLineChars="200"/>
        <w:jc w:val="left"/>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u w:val="single"/>
        </w:rPr>
        <w:t>3、供应商应保证所递交的响应文件中“资格条件”的完整、有效，因无法辨别、不完整或不符合采购文件要求等引起的投标无效，责任供应商自行承担。</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2、合格的货物与服务</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2.1 谈判有关的货物与服务，均应来自上述第1条款所规定的合格供应商，否则其谈判无效。</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2.2货物指供应商按谈判文件规定，完成本项目所需的相关的货物，如设备、机械、仪表、备件，包括工具、手册等其它相关资料。</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2.3服务指谈判文件规定的，供应商须承担的与本项目有关的服务,如保险、运输、设备安装调试、技术培训、售后服务以及其他类似的义务。</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3、谈判须知</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bookmarkStart w:id="40" w:name="_Toc493678864"/>
      <w:bookmarkStart w:id="41" w:name="_Toc6847019"/>
      <w:r>
        <w:rPr>
          <w:rFonts w:hint="eastAsia" w:ascii="宋体" w:hAnsi="宋体" w:eastAsia="宋体" w:cs="宋体"/>
          <w:color w:val="auto"/>
          <w:sz w:val="22"/>
          <w:highlight w:val="none"/>
        </w:rPr>
        <w:t>3.1无论谈判结果如何，供应商自行承担参加谈判相关的全部费用。</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3.2采购代理机构暂不组织本项目谈判前的现场踏勘活动，若需踏勘，另行通知。</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3.3若“信用中国”或“中国政府采购网”网站关于相关主体信用记录查询留存的材料中存在处罚，但实际处罚已取消或者处罚已作废的，供应商应附相应证明材料，否则，在资格性审查中不予</w:t>
      </w:r>
      <w:r>
        <w:rPr>
          <w:rFonts w:hint="eastAsia" w:ascii="宋体" w:hAnsi="宋体" w:eastAsia="宋体" w:cs="宋体"/>
          <w:color w:val="auto"/>
          <w:sz w:val="22"/>
          <w:highlight w:val="none"/>
          <w:lang w:eastAsia="zh-CN"/>
        </w:rPr>
        <w:t>认可</w:t>
      </w:r>
      <w:r>
        <w:rPr>
          <w:rFonts w:hint="eastAsia" w:ascii="宋体" w:hAnsi="宋体" w:eastAsia="宋体" w:cs="宋体"/>
          <w:color w:val="auto"/>
          <w:sz w:val="22"/>
          <w:highlight w:val="none"/>
        </w:rPr>
        <w:t>。（格式要求见</w:t>
      </w:r>
      <w:r>
        <w:rPr>
          <w:rFonts w:hint="eastAsia" w:ascii="宋体" w:hAnsi="宋体" w:eastAsia="宋体" w:cs="宋体"/>
          <w:color w:val="auto"/>
          <w:sz w:val="22"/>
          <w:highlight w:val="none"/>
          <w:lang w:eastAsia="zh-CN"/>
        </w:rPr>
        <w:t>第五部分</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3.4供应商代表若不是法定代表人，须持有《法定代表人授权书》。</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3.5供应商为非法人组织类型的，参照法人单位执行（格式见</w:t>
      </w:r>
      <w:r>
        <w:rPr>
          <w:rFonts w:hint="eastAsia" w:ascii="宋体" w:hAnsi="宋体" w:eastAsia="宋体" w:cs="宋体"/>
          <w:color w:val="auto"/>
          <w:sz w:val="22"/>
          <w:highlight w:val="none"/>
          <w:lang w:eastAsia="zh-CN"/>
        </w:rPr>
        <w:t>第五部分</w:t>
      </w:r>
      <w:r>
        <w:rPr>
          <w:rFonts w:hint="eastAsia" w:ascii="宋体" w:hAnsi="宋体" w:eastAsia="宋体" w:cs="宋体"/>
          <w:color w:val="auto"/>
          <w:sz w:val="22"/>
          <w:highlight w:val="none"/>
        </w:rPr>
        <w:t>）。</w:t>
      </w:r>
    </w:p>
    <w:p>
      <w:pPr>
        <w:tabs>
          <w:tab w:val="left" w:pos="240"/>
          <w:tab w:val="left" w:pos="3544"/>
        </w:tabs>
        <w:wordWrap w:val="0"/>
        <w:spacing w:line="360" w:lineRule="auto"/>
        <w:ind w:left="-119"/>
        <w:jc w:val="center"/>
        <w:outlineLvl w:val="1"/>
        <w:rPr>
          <w:rFonts w:hint="eastAsia" w:ascii="宋体" w:hAnsi="宋体" w:eastAsia="宋体" w:cs="宋体"/>
          <w:b/>
          <w:color w:val="auto"/>
          <w:sz w:val="24"/>
          <w:szCs w:val="30"/>
          <w:highlight w:val="none"/>
        </w:rPr>
      </w:pPr>
      <w:bookmarkStart w:id="42" w:name="_Toc19434"/>
      <w:r>
        <w:rPr>
          <w:rFonts w:hint="eastAsia" w:ascii="宋体" w:hAnsi="宋体" w:eastAsia="宋体" w:cs="宋体"/>
          <w:b/>
          <w:color w:val="auto"/>
          <w:sz w:val="24"/>
          <w:szCs w:val="30"/>
          <w:highlight w:val="none"/>
        </w:rPr>
        <w:t>三．谈判文件</w:t>
      </w:r>
      <w:bookmarkEnd w:id="40"/>
      <w:bookmarkEnd w:id="41"/>
      <w:bookmarkEnd w:id="42"/>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1、谈判文件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谈判文件由总目录所列内容组成；供应商应详细阅读谈判文件中所有的事项、格式、条款和规范要求，在响应文件中对谈判文件的各方面都应做出实质性响应，按照谈判文件的要求提交全部资料。</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2、落实政府采购相关政策</w:t>
      </w:r>
    </w:p>
    <w:p>
      <w:pPr>
        <w:tabs>
          <w:tab w:val="left" w:pos="3544"/>
        </w:tabs>
        <w:wordWrap w:val="0"/>
        <w:topLinePunct/>
        <w:spacing w:line="360" w:lineRule="auto"/>
        <w:ind w:firstLine="440"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本项目为专门面向中小企业或小微型企业采购。依据《中华人民共和国政府采购法》、《中华人民共和国政府采购法实施条例》等的有关规定，落实政府采购相关政策功能</w:t>
      </w:r>
      <w:r>
        <w:rPr>
          <w:rFonts w:hint="eastAsia" w:ascii="宋体" w:hAnsi="宋体" w:cs="宋体"/>
          <w:color w:val="auto"/>
          <w:sz w:val="22"/>
          <w:highlight w:val="none"/>
          <w:lang w:eastAsia="zh-CN"/>
        </w:rPr>
        <w:t>。</w:t>
      </w:r>
    </w:p>
    <w:p>
      <w:pPr>
        <w:pStyle w:val="36"/>
        <w:shd w:val="clear" w:color="auto" w:fill="FFFFFF"/>
        <w:spacing w:before="0" w:beforeAutospacing="0" w:after="0" w:afterAutospacing="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（1）《政府采购促进中小企业发展管理办法》（财库〔2020〕46号）；（2）《财政部 司法部关于政府采购支持监狱企业发展有关问题的通知》（财库〔2014〕68号）；（3）《三部门联合发布关于促进残疾人就业政府采购政策的通知》（财库〔2017〕141号）；（</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）《国务院办公厅关于建立政府强制采购节能产品制度的通知》（国发办〔2007〕51号）；（</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）《节能产品政府采购实施意见》（财库〔2004〕185号）；（</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）《财政部环保总局关于环境标志产品政府采购实施的意见》（财库〔2006〕90号）；（7）《财政部 发展改革委 生态环境部 市场监管总局关于调整优化节能产品、环境标志产品政府采购执行机制的通知》（财库〔2019〕9号）；（8）《财政部 国务院扶贫办关于运用政府采购政策支持脱贫攻坚的通知》（财库〔2019〕27号）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（9）《陕西省财政厅关于加快推进我省中小企业政府采购信用融资工作的通知》（陕财办采〔2020〕15号）；（</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）《财政部 农业农村部 国家乡村振兴局关于运用政府采购政策支持乡村产业振兴的通知》（财库〔2021〕19 号）；（1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）《财政部 农业农村部 国家乡村振兴局 中华全国供销合作总社关于印发&lt;关于深入开展政府采购脱贫地区农副产品工作推进乡村产业振兴的实施意见&gt;的通知》（财库〔2021〕20 号）。</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A</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投标产品列入中国政府采购网公布的最新节能产品政府采购品目清单或环境标志产品政府采购品目清单，提供国家确定的认证机构出具的、处于有效期之内的节能产品、环境标志产品认证证书</w:t>
      </w:r>
      <w:r>
        <w:rPr>
          <w:rFonts w:hint="eastAsia" w:ascii="宋体" w:hAnsi="宋体" w:eastAsia="宋体" w:cs="宋体"/>
          <w:color w:val="auto"/>
          <w:sz w:val="22"/>
          <w:highlight w:val="none"/>
        </w:rPr>
        <w:t>，根据相关政策，采购人采购的产品属于清单中品目的，在性能、技术、服务等指标同等条件下，应当优先采购清单中的产品；</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B</w:t>
      </w:r>
      <w:r>
        <w:rPr>
          <w:rFonts w:hint="eastAsia" w:ascii="宋体" w:hAnsi="宋体" w:eastAsia="宋体" w:cs="宋体"/>
          <w:color w:val="auto"/>
          <w:sz w:val="22"/>
          <w:highlight w:val="none"/>
        </w:rPr>
        <w:t>.有融资需求的供应商可根据自身情况，在陕西省政府采购信用融资平台（含各市分平台）自主选择金融机构及其融资产品，凭政府采购中标（成交）通知书或政府采购合同向金融机构提出融资申请。</w:t>
      </w:r>
    </w:p>
    <w:p>
      <w:pPr>
        <w:pStyle w:val="17"/>
        <w:spacing w:line="360" w:lineRule="auto"/>
        <w:ind w:firstLine="440" w:firstLineChars="200"/>
        <w:rPr>
          <w:rFonts w:hint="eastAsia" w:ascii="宋体" w:hAnsi="宋体" w:eastAsia="宋体" w:cs="宋体"/>
          <w:color w:val="auto"/>
          <w:kern w:val="2"/>
          <w:sz w:val="22"/>
          <w:szCs w:val="24"/>
          <w:highlight w:val="none"/>
          <w:lang w:val="en-US" w:eastAsia="zh-CN" w:bidi="ar-SA"/>
        </w:rPr>
      </w:pPr>
      <w:r>
        <w:rPr>
          <w:rFonts w:hint="eastAsia" w:ascii="宋体" w:hAnsi="宋体" w:cs="宋体"/>
          <w:color w:val="auto"/>
          <w:kern w:val="2"/>
          <w:sz w:val="22"/>
          <w:szCs w:val="24"/>
          <w:highlight w:val="none"/>
          <w:lang w:val="en-US" w:eastAsia="zh-CN" w:bidi="ar-SA"/>
        </w:rPr>
        <w:t>C</w:t>
      </w:r>
      <w:r>
        <w:rPr>
          <w:rFonts w:hint="eastAsia" w:ascii="宋体" w:hAnsi="宋体" w:eastAsia="宋体" w:cs="宋体"/>
          <w:color w:val="auto"/>
          <w:kern w:val="2"/>
          <w:sz w:val="22"/>
          <w:szCs w:val="24"/>
          <w:highlight w:val="none"/>
          <w:lang w:val="en-US" w:eastAsia="zh-CN" w:bidi="ar-SA"/>
        </w:rPr>
        <w:t>.专门面向中小微企业的项目不予</w:t>
      </w:r>
      <w:r>
        <w:rPr>
          <w:rFonts w:hint="eastAsia" w:ascii="宋体" w:hAnsi="宋体" w:cs="宋体"/>
          <w:color w:val="auto"/>
          <w:kern w:val="2"/>
          <w:sz w:val="22"/>
          <w:szCs w:val="24"/>
          <w:highlight w:val="none"/>
          <w:lang w:val="en-US" w:eastAsia="zh-CN" w:bidi="ar-SA"/>
        </w:rPr>
        <w:t>价格</w:t>
      </w:r>
      <w:r>
        <w:rPr>
          <w:rFonts w:hint="eastAsia" w:ascii="宋体" w:hAnsi="宋体" w:eastAsia="宋体" w:cs="宋体"/>
          <w:color w:val="auto"/>
          <w:kern w:val="2"/>
          <w:sz w:val="22"/>
          <w:szCs w:val="24"/>
          <w:highlight w:val="none"/>
          <w:lang w:val="en-US" w:eastAsia="zh-CN" w:bidi="ar-SA"/>
        </w:rPr>
        <w:t>扣除。</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3、采购文件的澄清与修改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4、谈判文件的获取</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4.1供应商必须按照公告要求从采购代理机构获取谈判文件并登记，未从采购代理机构获取谈判文件并登记备案的潜在供应商均无资格参加本次谈判，谈判文件一经售出，一律不退换，仅作为本次谈判使用。</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4.2供应商所参与项目或划分包/标段的项目与从采购代理机构登记备案时不一致，视为无效谈判。</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bookmarkStart w:id="43" w:name="_Toc6847020"/>
      <w:bookmarkStart w:id="44" w:name="_Toc493678865"/>
      <w:r>
        <w:rPr>
          <w:rFonts w:hint="eastAsia" w:ascii="宋体" w:hAnsi="宋体" w:eastAsia="宋体" w:cs="宋体"/>
          <w:b/>
          <w:color w:val="auto"/>
          <w:sz w:val="22"/>
          <w:highlight w:val="none"/>
        </w:rPr>
        <w:t>5、谈判的处理依据</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谈判小组有权对在谈判过程中出现的一切问题，根据本项目谈判文件与《政府采购非招标采购方式管理办法》等条款，本着公平、公正的原则进行处理。</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6、进口产品、联合体</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6.1若项目已获进口审批，则接受进口产品投标，否则，不接受进口产品投标。</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6.2本项目不接受联合体投标。</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7、解释权归属</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本次谈判文件的解释权归采购代理机构所有。</w:t>
      </w:r>
    </w:p>
    <w:p>
      <w:pPr>
        <w:tabs>
          <w:tab w:val="left" w:pos="3544"/>
        </w:tabs>
        <w:wordWrap w:val="0"/>
        <w:spacing w:line="360" w:lineRule="auto"/>
        <w:jc w:val="center"/>
        <w:outlineLvl w:val="1"/>
        <w:rPr>
          <w:rFonts w:hint="eastAsia" w:ascii="宋体" w:hAnsi="宋体" w:eastAsia="宋体" w:cs="宋体"/>
          <w:b/>
          <w:color w:val="auto"/>
          <w:sz w:val="24"/>
          <w:szCs w:val="30"/>
          <w:highlight w:val="none"/>
        </w:rPr>
      </w:pPr>
      <w:bookmarkStart w:id="45" w:name="_Toc31668"/>
      <w:r>
        <w:rPr>
          <w:rFonts w:hint="eastAsia" w:ascii="宋体" w:hAnsi="宋体" w:eastAsia="宋体" w:cs="宋体"/>
          <w:b/>
          <w:color w:val="auto"/>
          <w:sz w:val="24"/>
          <w:szCs w:val="30"/>
          <w:highlight w:val="none"/>
        </w:rPr>
        <w:t>四．谈判要求</w:t>
      </w:r>
      <w:bookmarkEnd w:id="43"/>
      <w:bookmarkEnd w:id="44"/>
      <w:bookmarkEnd w:id="45"/>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1、谈判内容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1.1本次谈判以“</w:t>
      </w: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”为单位：谈判文件的获取、响应文件的编制、谈判保证金的交纳、开标、评标、代理服务费的收取、签订合同等均以“</w:t>
      </w: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”为单位进行；</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1.2供应商可根据自身的资质情况和营业范围对“</w:t>
      </w: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”进行谈判，但不得将其子目再行分解或只响应其中的一部分内容，否则谈判无效。</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2、响应文件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pacing w:val="-6"/>
          <w:sz w:val="22"/>
          <w:highlight w:val="none"/>
        </w:rPr>
      </w:pPr>
      <w:r>
        <w:rPr>
          <w:rFonts w:hint="eastAsia" w:ascii="宋体" w:hAnsi="宋体" w:eastAsia="宋体" w:cs="宋体"/>
          <w:color w:val="auto"/>
          <w:sz w:val="22"/>
          <w:highlight w:val="none"/>
        </w:rPr>
        <w:t>2.1响应文件是响应文件正本与响应文件副本的统称。</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3、响应文件的编制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3.1响应文件必须根据谈判文件提供的内容及格式要求编制，并对谈判文件做出实质性响应；</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3.2本项目只允许供应商提供一个方案或一个报价，响应文件中出现任何有选择的方案或报价的，按无效谈判处理。</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4、谈判报价</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4.1供应商的谈判报价应以人民币报价，不接受以人民币报价的，其谈判无效。</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4.2供应商应按照谈判文件的采购内容、责任范围等进行报价，谈判报价不得包含谈判文件要求以外的内容，否则在评审时不予核减，也不得缺漏谈判文件所要求的内容，否则，其谈判无效。</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4.3供应商应按要求填写详细的报价表，其中分项报价表填写时必须列明响应报价的报价明细，且报价时应考虑以下内容：</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1)应考虑所有根据合同或其它原因应由供应商支付的税款和其它应交纳的费用都要包括在供应商提交的报价中；</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2)应包含服务与货物运至最终目的地的运输、保险和伴随服务的其它所有费用。</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4.4合同价格：经谈判小组确认的某一供应商的最后报价，在合同执行过程中是固定不变的，不受外汇汇率及市场价格变化的影响；</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4.5凡因供应商对谈判文件阅读不深、理解不透、误解、疏漏、或因市场行情了解不清造成的后果和风险均由供应商自行承担；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4.6供应商不得以低于成本的报价参加谈判。当谈判小组认为某个供应商的谈判价或者某些分项报价明显不合理或者低于成本，有可能影响服务及货物质量和不能诚信履约的，可要求该供应商在规定的期限内提供书面文件予以解释说明，并提交相关证明材料，否则，谈判小组可以取消该供应商的成交候选资格。</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5、谈判保证金</w:t>
      </w:r>
    </w:p>
    <w:p>
      <w:pPr>
        <w:wordWrap w:val="0"/>
        <w:topLinePunct/>
        <w:snapToGrid w:val="0"/>
        <w:spacing w:line="360" w:lineRule="auto"/>
        <w:ind w:firstLine="442" w:firstLineChars="200"/>
        <w:contextualSpacing/>
        <w:jc w:val="left"/>
        <w:rPr>
          <w:rFonts w:hint="eastAsia" w:ascii="宋体" w:hAnsi="宋体" w:eastAsia="宋体" w:cs="宋体"/>
          <w:b/>
          <w:color w:val="auto"/>
          <w:sz w:val="22"/>
          <w:szCs w:val="28"/>
          <w:highlight w:val="none"/>
          <w:lang w:val="en-US" w:eastAsia="zh-CN"/>
        </w:rPr>
      </w:pPr>
      <w:bookmarkStart w:id="46" w:name="_Toc328739378"/>
      <w:bookmarkStart w:id="47" w:name="_Toc493678871"/>
      <w:bookmarkStart w:id="48" w:name="_Toc489868882"/>
      <w:bookmarkStart w:id="49" w:name="_Toc489870016"/>
      <w:bookmarkStart w:id="50" w:name="_Toc490234569"/>
      <w:bookmarkStart w:id="51" w:name="_Toc489869354"/>
      <w:bookmarkStart w:id="52" w:name="_Toc489869016"/>
      <w:bookmarkStart w:id="53" w:name="_Toc479760680"/>
      <w:bookmarkStart w:id="54" w:name="_Toc489869740"/>
      <w:bookmarkStart w:id="55" w:name="_Toc490234295"/>
      <w:bookmarkStart w:id="56" w:name="_Toc490234580"/>
      <w:bookmarkStart w:id="57" w:name="_Toc479760808"/>
      <w:bookmarkStart w:id="58" w:name="_Toc493257944"/>
      <w:bookmarkStart w:id="59" w:name="_Toc490234239"/>
      <w:bookmarkStart w:id="60" w:name="_Toc490234467"/>
      <w:bookmarkStart w:id="61" w:name="_Toc6847025"/>
      <w:r>
        <w:rPr>
          <w:rFonts w:hint="eastAsia" w:ascii="宋体" w:hAnsi="宋体" w:eastAsia="宋体" w:cs="宋体"/>
          <w:b/>
          <w:color w:val="auto"/>
          <w:sz w:val="22"/>
          <w:szCs w:val="28"/>
          <w:highlight w:val="none"/>
          <w:lang w:val="en-US" w:eastAsia="zh-CN"/>
        </w:rPr>
        <w:t>本项目无需缴纳谈判保证金。</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6、响应文件的有效期</w:t>
      </w:r>
    </w:p>
    <w:p>
      <w:pPr>
        <w:pStyle w:val="89"/>
        <w:widowControl w:val="0"/>
        <w:tabs>
          <w:tab w:val="left" w:pos="3544"/>
        </w:tabs>
        <w:wordWrap w:val="0"/>
        <w:topLinePunct/>
        <w:snapToGrid w:val="0"/>
        <w:spacing w:line="360" w:lineRule="auto"/>
        <w:ind w:firstLine="440"/>
        <w:contextualSpacing/>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u w:val="single"/>
        </w:rPr>
        <w:t>响应文件有效期为自响应文件递交截止之日起算九十（90）天；无谈判有效期或有效期短于规定的有效期，视为无效文件；成交人的响应文件有效期延长至合同执行完毕；法人证明与法人授权书有效期与响应文件有效期一致</w:t>
      </w:r>
      <w:r>
        <w:rPr>
          <w:rFonts w:hint="eastAsia" w:ascii="宋体" w:hAnsi="宋体" w:eastAsia="宋体" w:cs="宋体"/>
          <w:color w:val="auto"/>
          <w:sz w:val="22"/>
          <w:szCs w:val="24"/>
          <w:highlight w:val="none"/>
        </w:rPr>
        <w:t>。</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7、响应文件的签署及规定</w:t>
      </w:r>
    </w:p>
    <w:p>
      <w:pPr>
        <w:tabs>
          <w:tab w:val="left" w:pos="3544"/>
        </w:tabs>
        <w:wordWrap w:val="0"/>
        <w:topLinePunct/>
        <w:snapToGrid w:val="0"/>
        <w:spacing w:line="360" w:lineRule="auto"/>
        <w:ind w:firstLine="440" w:firstLineChars="200"/>
        <w:contextualSpacing/>
        <w:rPr>
          <w:rFonts w:hint="eastAsia" w:ascii="宋体" w:hAnsi="宋体" w:eastAsia="宋体" w:cs="宋体"/>
          <w:b/>
          <w:color w:val="auto"/>
          <w:sz w:val="22"/>
          <w:highlight w:val="none"/>
        </w:rPr>
      </w:pPr>
      <w:r>
        <w:rPr>
          <w:rFonts w:hint="eastAsia" w:ascii="宋体" w:hAnsi="宋体" w:eastAsia="宋体" w:cs="宋体"/>
          <w:color w:val="auto"/>
          <w:sz w:val="22"/>
          <w:highlight w:val="none"/>
        </w:rPr>
        <w:t>7.1供应商须依据谈判文件的内容和响应文件格式的要求编制响应文件；</w:t>
      </w:r>
    </w:p>
    <w:p>
      <w:pPr>
        <w:tabs>
          <w:tab w:val="left" w:pos="3544"/>
        </w:tabs>
        <w:wordWrap w:val="0"/>
        <w:topLinePunct/>
        <w:snapToGrid w:val="0"/>
        <w:spacing w:line="360" w:lineRule="auto"/>
        <w:ind w:firstLine="440" w:firstLineChars="200"/>
        <w:contextualSpacing/>
        <w:rPr>
          <w:rFonts w:hint="eastAsia" w:ascii="宋体" w:hAnsi="宋体" w:eastAsia="宋体" w:cs="宋体"/>
          <w:b/>
          <w:color w:val="auto"/>
          <w:sz w:val="22"/>
          <w:highlight w:val="none"/>
        </w:rPr>
      </w:pPr>
      <w:r>
        <w:rPr>
          <w:rFonts w:hint="eastAsia" w:ascii="宋体" w:hAnsi="宋体" w:eastAsia="宋体" w:cs="宋体"/>
          <w:color w:val="auto"/>
          <w:sz w:val="22"/>
          <w:highlight w:val="none"/>
        </w:rPr>
        <w:t>7.2本次谈判需提交响应文件</w:t>
      </w:r>
      <w:r>
        <w:rPr>
          <w:rFonts w:hint="eastAsia" w:ascii="宋体" w:hAnsi="宋体" w:eastAsia="宋体" w:cs="宋体"/>
          <w:b/>
          <w:color w:val="auto"/>
          <w:sz w:val="22"/>
          <w:highlight w:val="none"/>
        </w:rPr>
        <w:t>共</w:t>
      </w:r>
      <w:r>
        <w:rPr>
          <w:rFonts w:hint="eastAsia" w:ascii="宋体" w:hAnsi="宋体" w:eastAsia="宋体" w:cs="宋体"/>
          <w:b/>
          <w:color w:val="auto"/>
          <w:sz w:val="22"/>
          <w:highlight w:val="none"/>
          <w:lang w:eastAsia="zh-CN"/>
        </w:rPr>
        <w:t>三</w:t>
      </w:r>
      <w:r>
        <w:rPr>
          <w:rFonts w:hint="eastAsia" w:ascii="宋体" w:hAnsi="宋体" w:eastAsia="宋体" w:cs="宋体"/>
          <w:b/>
          <w:color w:val="auto"/>
          <w:sz w:val="22"/>
          <w:highlight w:val="none"/>
        </w:rPr>
        <w:t>份</w:t>
      </w:r>
      <w:r>
        <w:rPr>
          <w:rFonts w:hint="eastAsia" w:ascii="宋体" w:hAnsi="宋体" w:eastAsia="宋体" w:cs="宋体"/>
          <w:color w:val="auto"/>
          <w:sz w:val="22"/>
          <w:highlight w:val="none"/>
        </w:rPr>
        <w:t>，其中</w:t>
      </w:r>
      <w:r>
        <w:rPr>
          <w:rFonts w:hint="eastAsia" w:ascii="宋体" w:hAnsi="宋体" w:eastAsia="宋体" w:cs="宋体"/>
          <w:b/>
          <w:color w:val="auto"/>
          <w:sz w:val="22"/>
          <w:highlight w:val="none"/>
        </w:rPr>
        <w:t>正本一份</w:t>
      </w:r>
      <w:r>
        <w:rPr>
          <w:rFonts w:hint="eastAsia" w:ascii="宋体" w:hAnsi="宋体" w:eastAsia="宋体" w:cs="宋体"/>
          <w:color w:val="auto"/>
          <w:sz w:val="22"/>
          <w:highlight w:val="none"/>
        </w:rPr>
        <w:t>、</w:t>
      </w:r>
      <w:r>
        <w:rPr>
          <w:rFonts w:hint="eastAsia" w:ascii="宋体" w:hAnsi="宋体" w:eastAsia="宋体" w:cs="宋体"/>
          <w:b/>
          <w:color w:val="auto"/>
          <w:sz w:val="22"/>
          <w:highlight w:val="none"/>
        </w:rPr>
        <w:t>副本</w:t>
      </w:r>
      <w:r>
        <w:rPr>
          <w:rFonts w:hint="eastAsia" w:ascii="宋体" w:hAnsi="宋体" w:eastAsia="宋体" w:cs="宋体"/>
          <w:b/>
          <w:color w:val="auto"/>
          <w:sz w:val="22"/>
          <w:highlight w:val="none"/>
          <w:lang w:eastAsia="zh-CN"/>
        </w:rPr>
        <w:t>二</w:t>
      </w:r>
      <w:r>
        <w:rPr>
          <w:rFonts w:hint="eastAsia" w:ascii="宋体" w:hAnsi="宋体" w:eastAsia="宋体" w:cs="宋体"/>
          <w:b/>
          <w:color w:val="auto"/>
          <w:sz w:val="22"/>
          <w:highlight w:val="none"/>
        </w:rPr>
        <w:t>份</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b/>
          <w:color w:val="auto"/>
          <w:sz w:val="22"/>
          <w:highlight w:val="none"/>
        </w:rPr>
      </w:pPr>
      <w:r>
        <w:rPr>
          <w:rFonts w:hint="eastAsia" w:ascii="宋体" w:hAnsi="宋体" w:eastAsia="宋体" w:cs="宋体"/>
          <w:color w:val="auto"/>
          <w:sz w:val="22"/>
          <w:highlight w:val="none"/>
        </w:rPr>
        <w:t>7.3响应文件封面注明“正本”/“副本”字样；</w:t>
      </w: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7.4供应商应</w:t>
      </w:r>
      <w:r>
        <w:rPr>
          <w:rFonts w:hint="eastAsia" w:ascii="宋体" w:hAnsi="宋体" w:eastAsia="宋体" w:cs="宋体"/>
          <w:b/>
          <w:color w:val="auto"/>
          <w:sz w:val="22"/>
          <w:highlight w:val="none"/>
        </w:rPr>
        <w:t>同时递交与响应文件正本内容相同的电子版本一套</w:t>
      </w:r>
      <w:r>
        <w:rPr>
          <w:rFonts w:hint="eastAsia" w:ascii="宋体" w:hAnsi="宋体" w:eastAsia="宋体" w:cs="宋体"/>
          <w:color w:val="auto"/>
          <w:sz w:val="22"/>
          <w:highlight w:val="none"/>
        </w:rPr>
        <w:t>（</w:t>
      </w:r>
      <w:r>
        <w:rPr>
          <w:rFonts w:hint="eastAsia" w:ascii="宋体" w:hAnsi="宋体" w:eastAsia="宋体" w:cs="宋体"/>
          <w:color w:val="auto"/>
          <w:sz w:val="22"/>
          <w:highlight w:val="none"/>
          <w:u w:val="single"/>
        </w:rPr>
        <w:t>以U盘形式，文件格式包含.doc/.docx格式 及 正本盖章后扫描的.pdf格式</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7.5正副本内容应一致，若正副本不一致，以正本为准（若副本出现评审的关键因素（如：投标方案、证明材料、履约材料等）不一致的或未按谈判文件要求编制响应文件的，按无效投标处理）；电子版本与纸质版不符，以纸质版正本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7.6响应文件须按谈判文件已经明确的格式要求编制，并按格式要求签署盖章，其中供应商单位名称处必须填写全称；</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7.7响应文件的任何行间插字、涂改和增删，必须由法定代表人或被授权人在改动处旁签字或加盖公章方为有效；</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7.8响应文件（除特殊规格的图纸外）建议按A4规格纸张制作，建议采用</w:t>
      </w:r>
      <w:r>
        <w:rPr>
          <w:rFonts w:hint="eastAsia" w:ascii="宋体" w:hAnsi="宋体" w:eastAsia="宋体" w:cs="宋体"/>
          <w:b/>
          <w:bCs/>
          <w:color w:val="auto"/>
          <w:sz w:val="22"/>
          <w:highlight w:val="none"/>
        </w:rPr>
        <w:t>双面</w:t>
      </w:r>
      <w:r>
        <w:rPr>
          <w:rFonts w:hint="eastAsia" w:ascii="宋体" w:hAnsi="宋体" w:eastAsia="宋体" w:cs="宋体"/>
          <w:color w:val="auto"/>
          <w:sz w:val="22"/>
          <w:highlight w:val="none"/>
        </w:rPr>
        <w:t>打印或复印；</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7.9响应文件应胶装成本（册）并加盖骑缝章，正文处需逐页连续编码。</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8、文字要求：本次谈判只接受简体中文文字的响应文件。</w:t>
      </w:r>
    </w:p>
    <w:p>
      <w:pPr>
        <w:tabs>
          <w:tab w:val="left" w:pos="3544"/>
        </w:tabs>
        <w:wordWrap w:val="0"/>
        <w:topLinePunct/>
        <w:snapToGrid w:val="0"/>
        <w:spacing w:line="360" w:lineRule="auto"/>
        <w:contextualSpacing/>
        <w:jc w:val="center"/>
        <w:outlineLvl w:val="1"/>
        <w:rPr>
          <w:rFonts w:hint="eastAsia" w:ascii="宋体" w:hAnsi="宋体" w:eastAsia="宋体" w:cs="宋体"/>
          <w:color w:val="auto"/>
          <w:sz w:val="22"/>
          <w:highlight w:val="none"/>
        </w:rPr>
      </w:pPr>
      <w:bookmarkStart w:id="62" w:name="_Toc50539855"/>
      <w:bookmarkStart w:id="63" w:name="_Toc6847021"/>
      <w:bookmarkStart w:id="64" w:name="_Toc4450"/>
      <w:bookmarkStart w:id="65" w:name="_Toc493678866"/>
      <w:bookmarkStart w:id="66" w:name="_Toc55297835"/>
      <w:bookmarkStart w:id="67" w:name="_Toc45783012"/>
      <w:r>
        <w:rPr>
          <w:rFonts w:hint="eastAsia" w:ascii="宋体" w:hAnsi="宋体" w:eastAsia="宋体" w:cs="宋体"/>
          <w:b/>
          <w:color w:val="auto"/>
          <w:sz w:val="22"/>
          <w:highlight w:val="none"/>
        </w:rPr>
        <w:t>五．响应文件封装、递交</w:t>
      </w:r>
      <w:bookmarkEnd w:id="62"/>
      <w:bookmarkEnd w:id="63"/>
      <w:bookmarkEnd w:id="64"/>
      <w:bookmarkEnd w:id="65"/>
      <w:bookmarkEnd w:id="66"/>
      <w:bookmarkEnd w:id="67"/>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1、响应文件的封装及标记</w:t>
      </w: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r>
        <w:rPr>
          <w:rFonts w:hint="eastAsia" w:ascii="宋体" w:hAnsi="宋体" w:eastAsia="宋体" w:cs="宋体"/>
          <w:color w:val="auto"/>
          <w:sz w:val="22"/>
          <w:highlight w:val="none"/>
          <w:u w:val="single"/>
        </w:rPr>
        <w:t>供应商应将响应文件正本、副本、电子版本（U盘）、响应报价一览表，按类别分开密封包装，不同类别不能混装，同类别必须密封在同一密封袋/箱中，密封封口处粘贴密封条并加盖供应商公章</w:t>
      </w:r>
      <w:r>
        <w:rPr>
          <w:rFonts w:hint="eastAsia" w:ascii="宋体" w:hAnsi="宋体" w:eastAsia="宋体" w:cs="宋体"/>
          <w:color w:val="auto"/>
          <w:sz w:val="22"/>
          <w:highlight w:val="none"/>
        </w:rPr>
        <w:t>。</w:t>
      </w: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1.2密封后的外包装上必须粘贴或打印标记，标记内容包括：密封袋的类别（“正本/副本/电子版本（U盘）/响应报价一览表”）、项目名称、项目编号、供应商名称并加盖公章、“</w:t>
      </w:r>
      <w:r>
        <w:rPr>
          <w:rFonts w:hint="eastAsia" w:ascii="宋体" w:hAnsi="宋体" w:eastAsia="宋体" w:cs="宋体"/>
          <w:color w:val="auto"/>
          <w:sz w:val="22"/>
          <w:highlight w:val="none"/>
          <w:u w:val="single"/>
        </w:rPr>
        <w:t>在采购文件中规定的（谈判时间***日期***时点）之前不得启封</w:t>
      </w:r>
      <w:r>
        <w:rPr>
          <w:rFonts w:hint="eastAsia" w:ascii="宋体" w:hAnsi="宋体" w:eastAsia="宋体" w:cs="宋体"/>
          <w:color w:val="auto"/>
          <w:sz w:val="22"/>
          <w:highlight w:val="none"/>
        </w:rPr>
        <w:t>”的字样。（与标识相关的信息见“第一部分”）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1.3如果供应商未按上述要求密封与标记而导致响应文件无效、误投或过早启封的，出现此类情况的响应文件，采购代理机构有权拒绝接收；采购代理机构对响应文件的误投、无效和提前启封概不负责。</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2、响应文件递交</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2.1供应商必须在谈判文件规定的时间内，将全部响应文件递交至指定地点；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2.2采购代理机构项目承办或负责人在谈判文件规定的响应文件递交截止时间前，只负责响应文件的接收、清点、造册登记工作，并请法定代表人或被授权人签字确认，对其有效性、响应性、完整性不负任何责任；</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2.3采购代理机构在宣布递交响应文件时间截止之后，拒绝接收任何人送达、递交的响应文件；</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2.4无论供应商成交与否或者废标，其响应文件恕不退还。</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 谈判前的答疑</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3.1已获取谈判文件的潜在供应商对谈判文件内容有不理解或有疑问的，可以向采购代理机构提出，采购代理机构将对提出疑问的供应商进行答疑；必要时，采购代理机构将书面形式通知所有获取谈判文件的潜在供应商，召开谈判前答疑会，答复中不包括问题的来源。</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4、响应文件递交截止时间变更</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4.1若响应文件递交截止时间变更，将进行更正公告，在这种情况下，采购代理机构和供应商的权利和义务将受到新的截止时间的约束。</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5、响应文件的撤回和修改</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5.1响应文件递交后，如果供应商提出修改和撤回其响应文件要求的，在响应文件递交截止时间前以书面形式送达采购代理机构；</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5.2补充或修改内容应按谈判文件要求签署、盖章、密封与标记，并在响应文件递交截止时间前送达谈判现场，补充或修改内容作为响应文件的组成部分；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5.3供应商在响应文件递交截止时间后，不得对其响应文件做任何修改及撤回。</w:t>
      </w:r>
    </w:p>
    <w:p>
      <w:pPr>
        <w:tabs>
          <w:tab w:val="left" w:pos="3544"/>
        </w:tabs>
        <w:wordWrap w:val="0"/>
        <w:spacing w:line="360" w:lineRule="auto"/>
        <w:jc w:val="center"/>
        <w:outlineLvl w:val="1"/>
        <w:rPr>
          <w:rFonts w:hint="eastAsia" w:ascii="宋体" w:hAnsi="宋体" w:eastAsia="宋体" w:cs="宋体"/>
          <w:b/>
          <w:color w:val="auto"/>
          <w:sz w:val="24"/>
          <w:szCs w:val="30"/>
          <w:highlight w:val="none"/>
        </w:rPr>
      </w:pPr>
      <w:bookmarkStart w:id="68" w:name="_Toc31786"/>
      <w:bookmarkStart w:id="69" w:name="_Toc493678867"/>
      <w:bookmarkStart w:id="70" w:name="_Toc6847022"/>
      <w:r>
        <w:rPr>
          <w:rFonts w:hint="eastAsia" w:ascii="宋体" w:hAnsi="宋体" w:eastAsia="宋体" w:cs="宋体"/>
          <w:b/>
          <w:color w:val="auto"/>
          <w:sz w:val="24"/>
          <w:szCs w:val="30"/>
          <w:highlight w:val="none"/>
        </w:rPr>
        <w:t>六．谈判、修改澄清、成交</w:t>
      </w:r>
      <w:bookmarkEnd w:id="68"/>
      <w:bookmarkEnd w:id="69"/>
      <w:bookmarkEnd w:id="70"/>
    </w:p>
    <w:p>
      <w:pPr>
        <w:tabs>
          <w:tab w:val="left" w:pos="1478"/>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1、谈判</w:t>
      </w:r>
    </w:p>
    <w:p>
      <w:pPr>
        <w:tabs>
          <w:tab w:val="left" w:pos="1478"/>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1.1采购代理机构按谈判文件规定的时间、地点组织谈判；开标由采购人或采购代理机构主持，供应商未参加开标的，视同认可开标结果。</w:t>
      </w:r>
    </w:p>
    <w:p>
      <w:pPr>
        <w:tabs>
          <w:tab w:val="left" w:pos="1478"/>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1.2为确保谈判工作公平、公正，依法成立谈判小组。谈判小组由采购人及有关专家组成，其中技术、经济等方面的专家不少于谈判小组成员总数的</w:t>
      </w:r>
      <w:r>
        <w:rPr>
          <w:rFonts w:hint="eastAsia" w:ascii="宋体" w:hAnsi="宋体" w:eastAsia="宋体" w:cs="宋体"/>
          <w:color w:val="auto"/>
          <w:sz w:val="22"/>
          <w:highlight w:val="none"/>
          <w:vertAlign w:val="superscript"/>
        </w:rPr>
        <w:t>2</w:t>
      </w:r>
      <w:r>
        <w:rPr>
          <w:rFonts w:hint="eastAsia" w:ascii="宋体" w:hAnsi="宋体" w:eastAsia="宋体" w:cs="宋体"/>
          <w:color w:val="auto"/>
          <w:sz w:val="22"/>
          <w:highlight w:val="none"/>
        </w:rPr>
        <w:t>/</w:t>
      </w:r>
      <w:r>
        <w:rPr>
          <w:rFonts w:hint="eastAsia" w:ascii="宋体" w:hAnsi="宋体" w:eastAsia="宋体" w:cs="宋体"/>
          <w:color w:val="auto"/>
          <w:sz w:val="22"/>
          <w:highlight w:val="none"/>
          <w:vertAlign w:val="subscript"/>
        </w:rPr>
        <w:t>3</w:t>
      </w:r>
      <w:r>
        <w:rPr>
          <w:rFonts w:hint="eastAsia" w:ascii="宋体" w:hAnsi="宋体" w:eastAsia="宋体" w:cs="宋体"/>
          <w:color w:val="auto"/>
          <w:sz w:val="22"/>
          <w:highlight w:val="none"/>
        </w:rPr>
        <w:t>，专家成员由采购代理机构在政府采购专家库中随机抽取，谈判小组成员应当遵守并履行下列责任和义务：</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1）要严格遵守政府采购相关法律制度，依法履行各自职责，公正、客观、审慎地组织和参与评审工作；</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2）按谈判文件规定的评审方法和标准，进行比较和评价；</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3）可以要求供应商对响应文件有关事项作出解释或澄清；</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4）要依法独立评审，评审后，推荐成交候选人名单，对评审意见承担个人责任；</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5）对需要共同认定的事项存在争议的，按照少数服从多数的原则做出结论，持不同意见的谈判小组成员应当在评审报告上签署不同意见并说明理由，否则视为同意；</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6）对评审情况以及在评审过程中获悉的国家秘密、商业秘密负有保密责任；</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7）配合处理质疑投诉工作。 </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1.3谈判开标时，由供应商或其推选的代表查验响应文件密封情况；</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1.4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1.5采购代理机构负责将供应商的名称、谈判价格等记录，并存档；</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1.6评审过程中响应文件中出现下列情况，修正原则为：</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rPr>
        <w:t>）响应文件中的报价一览表内容与响应文件中相应内容不一致的，以报价一览表为准；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eastAsia="宋体" w:cs="宋体"/>
          <w:color w:val="auto"/>
          <w:sz w:val="22"/>
          <w:highlight w:val="none"/>
        </w:rPr>
        <w:t>）大写金额和小写金额不一致的，以大写金额为准；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）单价金额小数点或百分比有明显错位的，以报价一览表为准，并修改单价；</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4</w:t>
      </w:r>
      <w:r>
        <w:rPr>
          <w:rFonts w:hint="eastAsia" w:ascii="宋体" w:hAnsi="宋体" w:eastAsia="宋体" w:cs="宋体"/>
          <w:color w:val="auto"/>
          <w:sz w:val="22"/>
          <w:highlight w:val="none"/>
        </w:rPr>
        <w:t>）总价金额与按单价汇总金额不一致的，以单价金额计算结果为准；</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出现两种以上不一致的，按照规定的顺序修正，修正后的报价经供应商确认后产生约束力，供应商不确认的，其谈判无效</w:t>
      </w:r>
      <w:r>
        <w:rPr>
          <w:rFonts w:hint="eastAsia" w:ascii="宋体" w:hAnsi="宋体" w:eastAsia="宋体" w:cs="宋体"/>
          <w:color w:val="auto"/>
          <w:sz w:val="22"/>
          <w:highlight w:val="none"/>
        </w:rPr>
        <w:t>。</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1.7谈判后，直到结果公告公示前，凡审查、澄清、评价和谈判的有关资料及评审结论等内容，谈判小组不得向供应商及与谈判无关的其他人透露。</w:t>
      </w:r>
    </w:p>
    <w:p>
      <w:pPr>
        <w:tabs>
          <w:tab w:val="left" w:pos="3544"/>
        </w:tabs>
        <w:wordWrap w:val="0"/>
        <w:topLinePunct/>
        <w:snapToGrid w:val="0"/>
        <w:spacing w:line="360" w:lineRule="auto"/>
        <w:ind w:firstLine="442" w:firstLineChars="200"/>
        <w:contextualSpacing/>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2、响应文件的初审</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2.1初审分为资格性审查和符合性审查</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资格性审查：</w:t>
      </w:r>
      <w:r>
        <w:rPr>
          <w:rFonts w:hint="eastAsia" w:ascii="宋体" w:hAnsi="宋体" w:eastAsia="宋体" w:cs="宋体"/>
          <w:color w:val="auto"/>
          <w:sz w:val="22"/>
          <w:highlight w:val="none"/>
          <w:lang w:eastAsia="zh-CN"/>
        </w:rPr>
        <w:t>谈判小组</w:t>
      </w:r>
      <w:r>
        <w:rPr>
          <w:rFonts w:hint="eastAsia" w:ascii="宋体" w:hAnsi="宋体" w:eastAsia="宋体" w:cs="宋体"/>
          <w:color w:val="auto"/>
          <w:sz w:val="22"/>
          <w:highlight w:val="none"/>
        </w:rPr>
        <w:t>对资格证明文件进行审查，资格性审查合格的供应商将进行符合性审查阶段，资格性审查不合格的或存在争议的供应商经谈判小组确认后按无效谈判执行。</w:t>
      </w:r>
    </w:p>
    <w:p>
      <w:pPr>
        <w:tabs>
          <w:tab w:val="left" w:pos="3544"/>
        </w:tabs>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符合性审查：谈判小组将对资格审查合格的供应商进行以下审查，其中供应商的技术部分须实质上响应采购文件不允许负偏离，否则视为未按照要求编制响应文件。</w:t>
      </w:r>
    </w:p>
    <w:p>
      <w:pPr>
        <w:wordWrap w:val="0"/>
        <w:topLinePunct/>
        <w:snapToGrid w:val="0"/>
        <w:spacing w:line="360" w:lineRule="auto"/>
        <w:ind w:firstLine="440" w:firstLineChars="200"/>
        <w:contextualSpacing/>
        <w:jc w:val="left"/>
        <w:rPr>
          <w:rFonts w:hint="eastAsia" w:ascii="宋体" w:hAnsi="宋体" w:eastAsia="宋体" w:cs="宋体"/>
          <w:color w:val="auto"/>
          <w:highlight w:val="none"/>
        </w:rPr>
      </w:pPr>
      <w:r>
        <w:rPr>
          <w:rFonts w:hint="eastAsia" w:ascii="宋体" w:hAnsi="宋体" w:eastAsia="宋体" w:cs="宋体"/>
          <w:color w:val="auto"/>
          <w:sz w:val="22"/>
          <w:highlight w:val="none"/>
          <w:u w:val="single"/>
        </w:rPr>
        <w:t>①响应文件的完整性(一正</w:t>
      </w:r>
      <w:r>
        <w:rPr>
          <w:rFonts w:hint="eastAsia" w:ascii="宋体" w:hAnsi="宋体" w:eastAsia="宋体" w:cs="宋体"/>
          <w:color w:val="auto"/>
          <w:sz w:val="22"/>
          <w:highlight w:val="none"/>
          <w:u w:val="single"/>
          <w:lang w:eastAsia="zh-CN"/>
        </w:rPr>
        <w:t>二</w:t>
      </w:r>
      <w:r>
        <w:rPr>
          <w:rFonts w:hint="eastAsia" w:ascii="宋体" w:hAnsi="宋体" w:eastAsia="宋体" w:cs="宋体"/>
          <w:color w:val="auto"/>
          <w:sz w:val="22"/>
          <w:highlight w:val="none"/>
          <w:u w:val="single"/>
        </w:rPr>
        <w:t>副)</w:t>
      </w:r>
      <w:r>
        <w:rPr>
          <w:rFonts w:hint="eastAsia" w:ascii="宋体" w:hAnsi="宋体" w:eastAsia="宋体" w:cs="宋体"/>
          <w:color w:val="auto"/>
          <w:highlight w:val="none"/>
          <w:u w:val="single"/>
        </w:rPr>
        <w:t xml:space="preserve"> </w:t>
      </w:r>
      <w:r>
        <w:rPr>
          <w:rFonts w:hint="eastAsia" w:ascii="宋体" w:hAnsi="宋体" w:eastAsia="宋体" w:cs="宋体"/>
          <w:color w:val="auto"/>
          <w:sz w:val="22"/>
          <w:highlight w:val="none"/>
          <w:u w:val="single"/>
        </w:rPr>
        <w:t>②响应文件的有效性(响应谈判文件并签署盖章)</w:t>
      </w:r>
      <w:r>
        <w:rPr>
          <w:rFonts w:hint="eastAsia" w:ascii="宋体" w:hAnsi="宋体" w:eastAsia="宋体" w:cs="宋体"/>
          <w:color w:val="auto"/>
          <w:highlight w:val="none"/>
          <w:u w:val="single"/>
        </w:rPr>
        <w:t xml:space="preserve"> </w:t>
      </w:r>
      <w:r>
        <w:rPr>
          <w:rFonts w:hint="eastAsia" w:ascii="宋体" w:hAnsi="宋体" w:eastAsia="宋体" w:cs="宋体"/>
          <w:color w:val="auto"/>
          <w:sz w:val="22"/>
          <w:highlight w:val="none"/>
          <w:u w:val="single"/>
        </w:rPr>
        <w:t>③响应报价未超过采购预算或最高限价。</w:t>
      </w:r>
    </w:p>
    <w:p>
      <w:pPr>
        <w:tabs>
          <w:tab w:val="left" w:pos="3544"/>
        </w:tabs>
        <w:wordWrap w:val="0"/>
        <w:spacing w:line="360" w:lineRule="auto"/>
        <w:ind w:firstLine="442" w:firstLineChars="200"/>
        <w:rPr>
          <w:rFonts w:hint="eastAsia" w:ascii="宋体" w:hAnsi="宋体" w:eastAsia="宋体" w:cs="宋体"/>
          <w:color w:val="auto"/>
          <w:sz w:val="22"/>
          <w:highlight w:val="none"/>
        </w:rPr>
      </w:pPr>
      <w:r>
        <w:rPr>
          <w:rFonts w:hint="eastAsia" w:ascii="宋体" w:hAnsi="宋体" w:eastAsia="宋体" w:cs="宋体"/>
          <w:b/>
          <w:color w:val="auto"/>
          <w:sz w:val="22"/>
          <w:highlight w:val="none"/>
        </w:rPr>
        <w:t>3、谈判步骤</w:t>
      </w:r>
    </w:p>
    <w:p>
      <w:pPr>
        <w:tabs>
          <w:tab w:val="left" w:pos="3544"/>
        </w:tabs>
        <w:wordWrap w:val="0"/>
        <w:spacing w:line="360" w:lineRule="auto"/>
        <w:ind w:firstLine="440" w:firstLineChars="200"/>
        <w:rPr>
          <w:rFonts w:hint="eastAsia" w:ascii="宋体" w:hAnsi="宋体" w:eastAsia="宋体" w:cs="宋体"/>
          <w:b/>
          <w:color w:val="auto"/>
          <w:sz w:val="22"/>
          <w:highlight w:val="none"/>
        </w:rPr>
      </w:pPr>
      <w:r>
        <w:rPr>
          <w:rFonts w:hint="eastAsia" w:ascii="宋体" w:hAnsi="宋体" w:eastAsia="宋体" w:cs="宋体"/>
          <w:color w:val="auto"/>
          <w:sz w:val="22"/>
          <w:highlight w:val="none"/>
        </w:rPr>
        <w:t>3.1谈判小组对通过初审的供应商分别进行谈判，并给予所有参加谈判的供应商平等的谈判机会。</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3.2谈判文件能够详细列明采购标的的技术、服务要求的，谈判结束后，谈判小组应当要求所有继续参加谈判的供应商在规定时间内提交最后报价，提交最后报价的供应商不得少于3家。</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3.3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tabs>
          <w:tab w:val="left" w:pos="3544"/>
        </w:tabs>
        <w:wordWrap w:val="0"/>
        <w:spacing w:line="360" w:lineRule="auto"/>
        <w:ind w:firstLine="442" w:firstLineChars="200"/>
        <w:rPr>
          <w:rFonts w:hint="eastAsia" w:ascii="宋体" w:hAnsi="宋体" w:cs="宋体"/>
          <w:b/>
          <w:bCs/>
          <w:color w:val="auto"/>
          <w:sz w:val="22"/>
          <w:highlight w:val="none"/>
          <w:lang w:eastAsia="zh-CN"/>
        </w:rPr>
      </w:pPr>
      <w:r>
        <w:rPr>
          <w:rFonts w:hint="eastAsia" w:ascii="宋体" w:hAnsi="宋体" w:eastAsia="宋体" w:cs="宋体"/>
          <w:b/>
          <w:bCs/>
          <w:color w:val="auto"/>
          <w:sz w:val="22"/>
          <w:highlight w:val="none"/>
        </w:rPr>
        <w:t>3.4</w:t>
      </w:r>
      <w:r>
        <w:rPr>
          <w:rFonts w:hint="eastAsia" w:ascii="宋体" w:hAnsi="宋体" w:cs="宋体"/>
          <w:b/>
          <w:bCs/>
          <w:color w:val="auto"/>
          <w:sz w:val="22"/>
          <w:highlight w:val="none"/>
          <w:lang w:eastAsia="zh-CN"/>
        </w:rPr>
        <w:t>首次报价和最后报价均须填写投标总价及各项单价，且首次报价和最后报价的总价与单价均不得超过项目预算金额与最高单价。如有一项超过预算金额或最高单价，均作无效投标处理。如采购需求没有实质性变化，各供应商的最后报价（含总报价及各单项报价）均不得超过首次报价，否则，按无效投标处理。</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4、修改澄清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4.1采购需求实质性变动的修改澄清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1）在谈判过程中，谈判小组可以根据谈判文件和谈判情况实质性变动采购需求中的技术、服务要求以及合同草案条款，但不得变动谈判文件中的其他内容。实质性变动的内容，须经采购人代表确认。</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2）对谈判文件作出的实质性变动是谈判文件的有效组成部分，谈判小组应当及时以书面形式同时通知所有参加谈判的供应商。</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3）供应商应当按照谈判文件的变动情况和谈判小组的要求重新提交响应文件，并由其法定代表人或授权代表签字或者加盖公章。</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4.2采购需求未实质性变动的修改澄清</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1）谈判小组有权就响应文件中含混之处向初审合格的供应商提出询问、澄清或修改要求，供应商将有关询标、澄清或修改内容应以书面形式提交，并由其法定代表人或授权代表签字或者加盖公章。</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文件与响应文件作为谈判的依据，澄清时供应商只作说明和解释，不得借此对谈判报价、技术、服务指标等实质性内容做任何修改，否则谈判无效（谈判小组经采购人确认后，实质性变动采购需求的情况除外）。</w:t>
      </w:r>
    </w:p>
    <w:p>
      <w:pPr>
        <w:wordWrap w:val="0"/>
        <w:topLinePunct/>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5、无效谈判或谈判无效</w:t>
      </w:r>
    </w:p>
    <w:p>
      <w:pPr>
        <w:wordWrap w:val="0"/>
        <w:topLinePunct/>
        <w:snapToGrid w:val="0"/>
        <w:spacing w:line="360" w:lineRule="auto"/>
        <w:ind w:firstLine="440" w:firstLineChars="200"/>
        <w:contextualSpacing/>
        <w:jc w:val="left"/>
        <w:rPr>
          <w:rFonts w:hint="eastAsia" w:ascii="宋体" w:hAnsi="宋体" w:eastAsia="宋体" w:cs="宋体"/>
          <w:b/>
          <w:color w:val="auto"/>
          <w:sz w:val="22"/>
          <w:highlight w:val="none"/>
        </w:rPr>
      </w:pPr>
      <w:r>
        <w:rPr>
          <w:rFonts w:hint="eastAsia" w:ascii="宋体" w:hAnsi="宋体" w:eastAsia="宋体" w:cs="宋体"/>
          <w:color w:val="auto"/>
          <w:sz w:val="22"/>
          <w:highlight w:val="none"/>
        </w:rPr>
        <w:t>5.1供应商有下列情形之一的，其谈判将被视为无效谈判：</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eastAsia="宋体" w:cs="宋体"/>
          <w:color w:val="auto"/>
          <w:sz w:val="22"/>
          <w:highlight w:val="none"/>
        </w:rPr>
        <w:t>）谈判报价计算后超过本项目采购预算或者最高限价的；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eastAsia="宋体" w:cs="宋体"/>
          <w:color w:val="auto"/>
          <w:sz w:val="22"/>
          <w:highlight w:val="none"/>
        </w:rPr>
        <w:t>）供应商的响应文件与资格证明文件未提供或提供不全或提供的资料不在有效期内或不符合谈判文件要求的；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）未按照谈判文件要求编制响应文件的或未按谈判文件规定的格式要求签署盖章、密封与标记的；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4</w:t>
      </w:r>
      <w:r>
        <w:rPr>
          <w:rFonts w:hint="eastAsia" w:ascii="宋体" w:hAnsi="宋体" w:eastAsia="宋体" w:cs="宋体"/>
          <w:color w:val="auto"/>
          <w:sz w:val="22"/>
          <w:highlight w:val="none"/>
        </w:rPr>
        <w:t>）响应文件无法定代表人签署盖章或签署盖章人无法定代表人有效授权的；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rPr>
        <w:t>）参加政府采购活动前三年内，在经营中有违法记录与失信记录的；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）响应文件对谈判文件的技术与商务条款产生</w:t>
      </w:r>
      <w:r>
        <w:rPr>
          <w:rFonts w:hint="eastAsia" w:ascii="宋体" w:hAnsi="宋体" w:cs="宋体"/>
          <w:color w:val="auto"/>
          <w:sz w:val="22"/>
          <w:highlight w:val="none"/>
          <w:lang w:eastAsia="zh-CN"/>
        </w:rPr>
        <w:t>实质性负</w:t>
      </w:r>
      <w:r>
        <w:rPr>
          <w:rFonts w:hint="eastAsia" w:ascii="宋体" w:hAnsi="宋体" w:eastAsia="宋体" w:cs="宋体"/>
          <w:color w:val="auto"/>
          <w:sz w:val="22"/>
          <w:highlight w:val="none"/>
        </w:rPr>
        <w:t>偏离的；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rPr>
        <w:t>）提供虚假技术性能指标、虚假证明材料及虚假声明与承诺的；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8</w:t>
      </w:r>
      <w:r>
        <w:rPr>
          <w:rFonts w:hint="eastAsia" w:ascii="宋体" w:hAnsi="宋体" w:eastAsia="宋体" w:cs="宋体"/>
          <w:color w:val="auto"/>
          <w:sz w:val="22"/>
          <w:highlight w:val="none"/>
        </w:rPr>
        <w:t>）响应文件附加了采购人难以接受的条件或条款的；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9</w:t>
      </w:r>
      <w:r>
        <w:rPr>
          <w:rFonts w:hint="eastAsia" w:ascii="宋体" w:hAnsi="宋体" w:eastAsia="宋体" w:cs="宋体"/>
          <w:color w:val="auto"/>
          <w:sz w:val="22"/>
          <w:highlight w:val="none"/>
        </w:rPr>
        <w:t>）符合谈判文件中规定的被视为无效谈判的其它条款的；</w:t>
      </w:r>
    </w:p>
    <w:p>
      <w:pPr>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cs="宋体"/>
          <w:color w:val="auto"/>
          <w:sz w:val="22"/>
          <w:highlight w:val="none"/>
          <w:lang w:val="en-US" w:eastAsia="zh-CN"/>
        </w:rPr>
        <w:t>0</w:t>
      </w:r>
      <w:r>
        <w:rPr>
          <w:rFonts w:hint="eastAsia" w:ascii="宋体" w:hAnsi="宋体" w:eastAsia="宋体" w:cs="宋体"/>
          <w:color w:val="auto"/>
          <w:sz w:val="22"/>
          <w:highlight w:val="none"/>
        </w:rPr>
        <w:t>）不符合法律、法规规定的其它实质性要求的。</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5.2供应商有下列情形之一的，视为供应商串通谈判，其谈判无效：</w:t>
      </w:r>
    </w:p>
    <w:p>
      <w:pPr>
        <w:wordWrap w:val="0"/>
        <w:topLinePunct/>
        <w:snapToGrid w:val="0"/>
        <w:spacing w:line="360" w:lineRule="auto"/>
        <w:ind w:firstLine="440" w:firstLineChars="20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1）不同供应商的响应文件由同一单位或者个人编制；</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2）不同供应商委托同一单位或者个人办理谈判事宜；</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3）不同供应商的响应文件载明的项目管理成员或者联系人员为同一人；</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4）不同供应商的响应文件异常一致或者谈判报价呈规律性差异；</w:t>
      </w:r>
    </w:p>
    <w:p>
      <w:pPr>
        <w:wordWrap w:val="0"/>
        <w:topLinePunct/>
        <w:snapToGrid w:val="0"/>
        <w:spacing w:line="360" w:lineRule="auto"/>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　　5）不同供应商的响应文件相互混装；</w:t>
      </w:r>
    </w:p>
    <w:p>
      <w:pPr>
        <w:wordWrap w:val="0"/>
        <w:topLinePunct/>
        <w:snapToGrid w:val="0"/>
        <w:spacing w:line="360" w:lineRule="auto"/>
        <w:ind w:firstLine="48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6）不同供应商的谈判保证金从同一单位或者个人的账户转出；</w:t>
      </w:r>
    </w:p>
    <w:p>
      <w:pPr>
        <w:wordWrap w:val="0"/>
        <w:topLinePunct/>
        <w:snapToGrid w:val="0"/>
        <w:spacing w:line="360" w:lineRule="auto"/>
        <w:ind w:firstLine="480"/>
        <w:contextualSpacing/>
        <w:rPr>
          <w:rFonts w:hint="eastAsia" w:ascii="宋体" w:hAnsi="宋体" w:eastAsia="宋体" w:cs="宋体"/>
          <w:color w:val="auto"/>
          <w:sz w:val="22"/>
          <w:highlight w:val="none"/>
        </w:rPr>
      </w:pPr>
      <w:r>
        <w:rPr>
          <w:rFonts w:hint="eastAsia" w:ascii="宋体" w:hAnsi="宋体" w:eastAsia="宋体" w:cs="宋体"/>
          <w:color w:val="auto"/>
          <w:sz w:val="22"/>
          <w:highlight w:val="none"/>
        </w:rPr>
        <w:t>7) 不同供应商的单位负责人为同一人或者存在控股、管理关系的不同单位，参与同一“包/标段”或者未划分“包/标段”的同一谈判项目。</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6、推荐成交候选人</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6.1谈判小组应当从质量和服务均能满足谈判文件实质性响应要求的供应商中，按照最后报价由低到高的顺序提出3名以上成交候选人，并编写评审报告。</w:t>
      </w:r>
    </w:p>
    <w:p>
      <w:pPr>
        <w:tabs>
          <w:tab w:val="left" w:pos="3544"/>
        </w:tabs>
        <w:wordWrap w:val="0"/>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7、成交</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7.1采购代理机构应当在评审结束后2个工作日内将评审报告送采购人确认；</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7.2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7.3采购代理机构自成交人确定之日起2个工作日内，在陕西省政府采购网进行结果公告，同时向成交人发出成交通知书。</w:t>
      </w:r>
    </w:p>
    <w:p>
      <w:pPr>
        <w:spacing w:line="360" w:lineRule="auto"/>
        <w:ind w:firstLine="442" w:firstLineChars="200"/>
        <w:jc w:val="left"/>
        <w:rPr>
          <w:rFonts w:hint="eastAsia" w:ascii="宋体" w:hAnsi="宋体" w:eastAsia="宋体" w:cs="宋体"/>
          <w:b/>
          <w:color w:val="auto"/>
          <w:sz w:val="22"/>
          <w:highlight w:val="none"/>
        </w:rPr>
      </w:pPr>
      <w:bookmarkStart w:id="71" w:name="_Toc502653023"/>
      <w:r>
        <w:rPr>
          <w:rFonts w:hint="eastAsia" w:ascii="宋体" w:hAnsi="宋体" w:eastAsia="宋体" w:cs="宋体"/>
          <w:b/>
          <w:color w:val="auto"/>
          <w:sz w:val="22"/>
          <w:highlight w:val="none"/>
        </w:rPr>
        <w:t>8、质疑</w:t>
      </w:r>
      <w:bookmarkEnd w:id="71"/>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8.1</w:t>
      </w:r>
      <w:bookmarkStart w:id="72" w:name="_Toc6847023"/>
      <w:bookmarkStart w:id="73" w:name="_Toc502653024"/>
      <w:r>
        <w:rPr>
          <w:rFonts w:hint="eastAsia" w:ascii="宋体" w:hAnsi="宋体" w:eastAsia="宋体" w:cs="宋体"/>
          <w:color w:val="auto"/>
          <w:sz w:val="22"/>
          <w:highlight w:val="none"/>
        </w:rPr>
        <w:t>供应商的质疑，可根据《政府采购质疑和投诉办法》及有关法规的规定，向采购人和采购代理机构书面提出，但需对质疑内容的真实性承担责任。</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1)对采购文件提出质疑的，应当在获取采购文件或者采购文件公告期限届满之日起7个工作日内提出；</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2)对采购过程提出质疑的，在各程序环节结束之日起7个工作日内提出；</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3)对成交结果提出质疑的，为成交结果公告期限届满之日起7个工作日内提出；</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供应商的质疑应当有明确的请求和必要的证明材料，须提供针对本项目的专项质疑授权书、质疑函及证明材料，质疑函按照陕西省政府采购网中规定的格式与要求书面提交，采购人或采购代理机构应在收到供应商完整书面质疑后7个工作日内，对质疑内容作出答复；</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5)供应商在法定质疑期内一次性提出针对同一采购程序环节的的质疑，不接受同一程序环节的多次质疑。</w:t>
      </w:r>
    </w:p>
    <w:p>
      <w:pPr>
        <w:spacing w:line="360" w:lineRule="auto"/>
        <w:ind w:firstLine="442" w:firstLineChars="200"/>
        <w:jc w:val="left"/>
        <w:outlineLvl w:val="1"/>
        <w:rPr>
          <w:rFonts w:hint="eastAsia" w:ascii="宋体" w:hAnsi="宋体" w:eastAsia="宋体" w:cs="宋体"/>
          <w:b/>
          <w:color w:val="auto"/>
          <w:sz w:val="22"/>
          <w:highlight w:val="none"/>
        </w:rPr>
      </w:pPr>
      <w:bookmarkStart w:id="74" w:name="_Toc10122"/>
      <w:r>
        <w:rPr>
          <w:rFonts w:hint="eastAsia" w:ascii="宋体" w:hAnsi="宋体" w:eastAsia="宋体" w:cs="宋体"/>
          <w:b/>
          <w:color w:val="auto"/>
          <w:sz w:val="22"/>
          <w:highlight w:val="none"/>
        </w:rPr>
        <w:t>七．授予合同</w:t>
      </w:r>
      <w:bookmarkEnd w:id="72"/>
      <w:bookmarkEnd w:id="73"/>
      <w:bookmarkEnd w:id="74"/>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1、成交通知书</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1.1采购代理机构向成交人发出成交通知书，成交通知书是合同的组成部分；</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1.2成交通知书发出后，采购人无正当理由不得改变成交结果，成交人无正当理由不得放弃成交或者拒绝领取成交通知书。</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2、招标代理服务费</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2.1</w:t>
      </w:r>
      <w:r>
        <w:rPr>
          <w:rFonts w:hint="eastAsia" w:ascii="宋体" w:hAnsi="宋体" w:eastAsia="宋体" w:cs="宋体"/>
          <w:b/>
          <w:color w:val="auto"/>
          <w:sz w:val="22"/>
          <w:highlight w:val="none"/>
          <w:u w:val="single"/>
        </w:rPr>
        <w:t>成交人在领取成交通知书的同时，向</w:t>
      </w:r>
      <w:r>
        <w:rPr>
          <w:rFonts w:hint="eastAsia" w:ascii="宋体" w:hAnsi="宋体" w:eastAsia="宋体" w:cs="宋体"/>
          <w:b/>
          <w:color w:val="auto"/>
          <w:sz w:val="22"/>
          <w:highlight w:val="none"/>
          <w:u w:val="single"/>
          <w:lang w:eastAsia="zh-CN"/>
        </w:rPr>
        <w:t>武汉新地工程造价咨询有限公司</w:t>
      </w:r>
      <w:r>
        <w:rPr>
          <w:rFonts w:hint="eastAsia" w:ascii="宋体" w:hAnsi="宋体" w:eastAsia="宋体" w:cs="宋体"/>
          <w:b/>
          <w:color w:val="auto"/>
          <w:sz w:val="22"/>
          <w:highlight w:val="none"/>
          <w:u w:val="single"/>
        </w:rPr>
        <w:t>交纳本项目招标代理服务费</w:t>
      </w:r>
      <w:r>
        <w:rPr>
          <w:rFonts w:hint="eastAsia" w:ascii="宋体" w:hAnsi="宋体" w:eastAsia="宋体" w:cs="宋体"/>
          <w:b/>
          <w:color w:val="auto"/>
          <w:sz w:val="22"/>
          <w:highlight w:val="none"/>
        </w:rPr>
        <w:t xml:space="preserve">； </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2.2本项目招标代理服务费采购代理机构参照国家发展计划委员会计价格[2002]1980号文服务类收费标准向成交供应商收取招标代理服务费。</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开户名称：武汉新地工程造价咨询有限公司陕西分公司</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开户行名称：西安银行尚勤路支行</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帐   号：309011580000078789</w:t>
      </w:r>
    </w:p>
    <w:p>
      <w:pPr>
        <w:spacing w:line="360" w:lineRule="auto"/>
        <w:ind w:firstLine="442" w:firstLineChars="200"/>
        <w:jc w:val="left"/>
        <w:rPr>
          <w:rFonts w:hint="eastAsia" w:ascii="宋体" w:hAnsi="宋体" w:eastAsia="宋体" w:cs="宋体"/>
          <w:b/>
          <w:color w:val="auto"/>
          <w:sz w:val="22"/>
          <w:highlight w:val="none"/>
          <w:lang w:val="en-US" w:eastAsia="zh-CN"/>
        </w:rPr>
      </w:pPr>
      <w:r>
        <w:rPr>
          <w:rFonts w:hint="eastAsia" w:ascii="宋体" w:hAnsi="宋体" w:eastAsia="宋体" w:cs="宋体"/>
          <w:b/>
          <w:color w:val="auto"/>
          <w:sz w:val="22"/>
          <w:highlight w:val="none"/>
        </w:rPr>
        <w:t>注：提交代理服务费时，请备注“xxx项目代理服务费”。</w:t>
      </w:r>
      <w:r>
        <w:rPr>
          <w:rFonts w:hint="eastAsia" w:ascii="宋体" w:hAnsi="宋体" w:eastAsia="宋体" w:cs="宋体"/>
          <w:b/>
          <w:color w:val="auto"/>
          <w:sz w:val="22"/>
          <w:highlight w:val="none"/>
          <w:lang w:val="en-US" w:eastAsia="zh-CN"/>
        </w:rPr>
        <w:t>。</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2.3 招标代理服务费可采用 电汇、银行转账或现金 的形式支付。</w:t>
      </w:r>
    </w:p>
    <w:p>
      <w:pPr>
        <w:spacing w:line="360" w:lineRule="auto"/>
        <w:ind w:firstLine="442" w:firstLineChars="2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3、签订合同</w:t>
      </w:r>
    </w:p>
    <w:p>
      <w:pPr>
        <w:spacing w:line="360" w:lineRule="auto"/>
        <w:ind w:firstLine="440" w:firstLineChars="200"/>
        <w:jc w:val="left"/>
        <w:rPr>
          <w:rFonts w:hint="eastAsia" w:ascii="宋体" w:hAnsi="宋体" w:eastAsia="宋体" w:cs="宋体"/>
          <w:color w:val="auto"/>
          <w:sz w:val="22"/>
          <w:highlight w:val="none"/>
        </w:rPr>
      </w:pPr>
      <w:bookmarkStart w:id="75" w:name="_Toc502653025"/>
      <w:bookmarkStart w:id="76" w:name="_Toc6847024"/>
      <w:r>
        <w:rPr>
          <w:rFonts w:hint="eastAsia" w:ascii="宋体" w:hAnsi="宋体" w:eastAsia="宋体" w:cs="宋体"/>
          <w:color w:val="auto"/>
          <w:sz w:val="22"/>
          <w:highlight w:val="none"/>
        </w:rPr>
        <w:t>3.1成交人应当自成交通知书发出之日起30日内，与采购人洽谈合同条款，并签订采购合同，谈判文件及成交人的响应文件均作为合同的组成部分；</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3.2采购人在授予合同时有权对谈判文件规定的货物和服务数量予以追加，追加金额不超过成交金额的10%，但不得对单价等实质性条款做任何改变。</w:t>
      </w:r>
    </w:p>
    <w:p>
      <w:pPr>
        <w:spacing w:line="360" w:lineRule="auto"/>
        <w:jc w:val="center"/>
        <w:outlineLvl w:val="1"/>
        <w:rPr>
          <w:rFonts w:hint="eastAsia" w:ascii="宋体" w:hAnsi="宋体" w:eastAsia="宋体" w:cs="宋体"/>
          <w:b/>
          <w:color w:val="auto"/>
          <w:sz w:val="22"/>
          <w:highlight w:val="none"/>
        </w:rPr>
      </w:pPr>
      <w:bookmarkStart w:id="77" w:name="_Toc21676"/>
      <w:r>
        <w:rPr>
          <w:rFonts w:hint="eastAsia" w:ascii="宋体" w:hAnsi="宋体" w:eastAsia="宋体" w:cs="宋体"/>
          <w:b/>
          <w:color w:val="auto"/>
          <w:sz w:val="22"/>
          <w:highlight w:val="none"/>
        </w:rPr>
        <w:t>八．其他</w:t>
      </w:r>
      <w:bookmarkEnd w:id="75"/>
      <w:bookmarkEnd w:id="76"/>
      <w:bookmarkEnd w:id="77"/>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成交人确定后，若成交人未按照上述“七.授予合同”中任何一项规定执行，采购人有权取消其成交资格，并按评审顺序重新确定成交人或者重新组织谈判。其谈判保证金将不予退还，并报请财政部门进行处罚，给采购人造成损失的，还应当予以赔偿，并依法承担相应法律责任。</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2、谈判后，如果发生有效供应商不足三家(陕财办采资〔2018〕26号规定的特殊情形处理除外)或所有供应商的报价均超过采购预算，采购人不能支付的情况，可决定废标或选用其它采购方式进行采购。</w:t>
      </w:r>
    </w:p>
    <w:p>
      <w:pPr>
        <w:tabs>
          <w:tab w:val="left" w:pos="3544"/>
        </w:tabs>
        <w:wordWrap w:val="0"/>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在响应文件的评审、比较、成交候选人推荐以及授予合同的过程中，供应商向采购人或谈判小组施加影响的任何行为，都将会导致其报价被拒绝；成交人确定后，采购人不对未成交供应商就评审过程以及未能成交原因做出任何解释。未成交供应商不得向谈判小组或其他相关人员索问评审过程的情况和材料。</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4、拒绝商业贿赂</w:t>
      </w:r>
    </w:p>
    <w:p>
      <w:pPr>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4.1采购人、采购代理机构、供应商和谈判小组在谈判活动中，都要签订相应的《拒绝政府采购领域商业贿赂承诺书》，并对违反承诺的行为承担全部责任；</w:t>
      </w:r>
    </w:p>
    <w:p>
      <w:pPr>
        <w:wordWrap w:val="0"/>
        <w:topLinePunct/>
        <w:spacing w:line="360" w:lineRule="auto"/>
        <w:ind w:firstLine="440" w:firstLineChars="200"/>
        <w:jc w:val="left"/>
        <w:rPr>
          <w:rFonts w:hint="eastAsia" w:ascii="宋体" w:hAnsi="宋体" w:eastAsia="宋体" w:cs="宋体"/>
          <w:b/>
          <w:color w:val="auto"/>
          <w:sz w:val="32"/>
          <w:highlight w:val="none"/>
        </w:rPr>
      </w:pPr>
      <w:r>
        <w:rPr>
          <w:rFonts w:hint="eastAsia" w:ascii="宋体" w:hAnsi="宋体" w:eastAsia="宋体" w:cs="宋体"/>
          <w:color w:val="auto"/>
          <w:sz w:val="22"/>
          <w:highlight w:val="none"/>
        </w:rPr>
        <w:t>4.2供应商必须填写《拒绝政府采购领域商业贿赂承诺书》装订于响应文件中。（格式见</w:t>
      </w:r>
      <w:r>
        <w:rPr>
          <w:rFonts w:hint="eastAsia" w:ascii="宋体" w:hAnsi="宋体" w:eastAsia="宋体" w:cs="宋体"/>
          <w:color w:val="auto"/>
          <w:sz w:val="22"/>
          <w:highlight w:val="none"/>
          <w:lang w:eastAsia="zh-CN"/>
        </w:rPr>
        <w:t>第五部分</w:t>
      </w:r>
      <w:r>
        <w:rPr>
          <w:rFonts w:hint="eastAsia" w:ascii="宋体" w:hAnsi="宋体" w:eastAsia="宋体" w:cs="宋体"/>
          <w:color w:val="auto"/>
          <w:sz w:val="22"/>
          <w:highlight w:val="none"/>
        </w:rPr>
        <w:t>）。</w:t>
      </w:r>
    </w:p>
    <w:p>
      <w:pPr>
        <w:tabs>
          <w:tab w:val="left" w:pos="3544"/>
        </w:tabs>
        <w:spacing w:line="360" w:lineRule="auto"/>
        <w:jc w:val="center"/>
        <w:outlineLvl w:val="0"/>
        <w:rPr>
          <w:rFonts w:hint="eastAsia" w:ascii="宋体" w:hAnsi="宋体" w:eastAsia="宋体" w:cs="宋体"/>
          <w:b/>
          <w:color w:val="auto"/>
          <w:sz w:val="32"/>
          <w:highlight w:val="none"/>
        </w:rPr>
        <w:sectPr>
          <w:type w:val="nextColumn"/>
          <w:pgSz w:w="11906" w:h="16838"/>
          <w:pgMar w:top="1440" w:right="1797" w:bottom="1440" w:left="1797" w:header="851" w:footer="992" w:gutter="0"/>
          <w:pgNumType w:fmt="decimal"/>
          <w:cols w:space="720" w:num="1"/>
          <w:docGrid w:linePitch="312" w:charSpace="0"/>
        </w:sectPr>
      </w:pPr>
    </w:p>
    <w:p>
      <w:pPr>
        <w:tabs>
          <w:tab w:val="left" w:pos="3544"/>
        </w:tabs>
        <w:spacing w:line="360" w:lineRule="auto"/>
        <w:jc w:val="center"/>
        <w:outlineLvl w:val="0"/>
        <w:rPr>
          <w:rFonts w:hint="eastAsia" w:ascii="宋体" w:hAnsi="宋体" w:eastAsia="宋体" w:cs="宋体"/>
          <w:b/>
          <w:color w:val="auto"/>
          <w:sz w:val="32"/>
          <w:highlight w:val="none"/>
        </w:rPr>
      </w:pPr>
      <w:bookmarkStart w:id="78" w:name="_Toc10288"/>
      <w:r>
        <w:rPr>
          <w:rFonts w:hint="eastAsia" w:ascii="宋体" w:hAnsi="宋体" w:eastAsia="宋体" w:cs="宋体"/>
          <w:b/>
          <w:color w:val="auto"/>
          <w:sz w:val="32"/>
          <w:highlight w:val="none"/>
        </w:rPr>
        <w:t xml:space="preserve">第三部分 </w:t>
      </w:r>
      <w:bookmarkEnd w:id="46"/>
      <w:r>
        <w:rPr>
          <w:rFonts w:hint="eastAsia" w:ascii="宋体" w:hAnsi="宋体" w:eastAsia="宋体" w:cs="宋体"/>
          <w:b/>
          <w:color w:val="auto"/>
          <w:sz w:val="32"/>
          <w:highlight w:val="none"/>
        </w:rPr>
        <w:t>技术要求及</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79" w:name="_Toc408505323"/>
      <w:r>
        <w:rPr>
          <w:rFonts w:hint="eastAsia" w:ascii="宋体" w:hAnsi="宋体" w:eastAsia="宋体" w:cs="宋体"/>
          <w:b/>
          <w:color w:val="auto"/>
          <w:sz w:val="32"/>
          <w:highlight w:val="none"/>
        </w:rPr>
        <w:t>商务要求</w:t>
      </w:r>
      <w:bookmarkEnd w:id="61"/>
      <w:bookmarkEnd w:id="78"/>
    </w:p>
    <w:bookmarkEnd w:id="79"/>
    <w:p>
      <w:pPr>
        <w:kinsoku w:val="0"/>
        <w:overflowPunct w:val="0"/>
        <w:autoSpaceDE w:val="0"/>
        <w:autoSpaceDN w:val="0"/>
        <w:spacing w:line="360" w:lineRule="auto"/>
        <w:outlineLvl w:val="1"/>
        <w:rPr>
          <w:rFonts w:hint="eastAsia" w:ascii="宋体" w:hAnsi="宋体" w:eastAsia="宋体" w:cs="宋体"/>
          <w:b/>
          <w:color w:val="auto"/>
          <w:sz w:val="24"/>
          <w:highlight w:val="none"/>
        </w:rPr>
      </w:pPr>
      <w:bookmarkStart w:id="80" w:name="_Toc8923"/>
      <w:bookmarkStart w:id="81" w:name="_Toc316920672"/>
      <w:bookmarkStart w:id="82" w:name="_Toc213480112"/>
      <w:bookmarkStart w:id="83" w:name="_Toc445818409"/>
      <w:bookmarkStart w:id="84" w:name="_Toc381183415"/>
      <w:bookmarkStart w:id="85" w:name="_Toc258996283"/>
      <w:bookmarkStart w:id="86" w:name="_Toc489868888"/>
      <w:bookmarkStart w:id="87" w:name="_Toc490234586"/>
      <w:bookmarkStart w:id="88" w:name="_Toc215467396"/>
      <w:bookmarkStart w:id="89" w:name="_Toc498330535"/>
      <w:bookmarkStart w:id="90" w:name="_Toc455669894"/>
      <w:bookmarkStart w:id="91" w:name="_Toc479760809"/>
      <w:bookmarkStart w:id="92" w:name="_Toc489869360"/>
      <w:bookmarkStart w:id="93" w:name="_Toc6847026"/>
      <w:bookmarkStart w:id="94" w:name="_Toc423079808"/>
      <w:bookmarkStart w:id="95" w:name="_Toc402447129"/>
      <w:bookmarkStart w:id="96" w:name="_Toc385862498"/>
      <w:bookmarkStart w:id="97" w:name="_Toc402776499"/>
      <w:bookmarkStart w:id="98" w:name="_Toc490234245"/>
      <w:bookmarkStart w:id="99" w:name="_Toc490234301"/>
      <w:bookmarkStart w:id="100" w:name="_Toc489870022"/>
      <w:bookmarkStart w:id="101" w:name="_Toc493257951"/>
      <w:bookmarkStart w:id="102" w:name="_Toc258998238"/>
      <w:bookmarkStart w:id="103" w:name="_Toc402447402"/>
      <w:bookmarkStart w:id="104" w:name="_Toc490234575"/>
      <w:bookmarkStart w:id="105" w:name="_Toc493678942"/>
      <w:bookmarkStart w:id="106" w:name="_Toc258687045"/>
      <w:bookmarkStart w:id="107" w:name="_Toc489869746"/>
      <w:bookmarkStart w:id="108" w:name="_Toc490234473"/>
      <w:bookmarkStart w:id="109" w:name="_Toc316937563"/>
      <w:bookmarkStart w:id="110" w:name="_Toc489869022"/>
      <w:bookmarkStart w:id="111" w:name="_Toc479760681"/>
      <w:bookmarkStart w:id="112" w:name="_Toc258687148"/>
      <w:r>
        <w:rPr>
          <w:rFonts w:hint="eastAsia" w:ascii="宋体" w:hAnsi="宋体" w:eastAsia="宋体" w:cs="宋体"/>
          <w:b/>
          <w:color w:val="auto"/>
          <w:sz w:val="24"/>
          <w:highlight w:val="none"/>
        </w:rPr>
        <w:t>一、技术要求</w:t>
      </w:r>
      <w:bookmarkEnd w:id="80"/>
    </w:p>
    <w:tbl>
      <w:tblPr>
        <w:tblStyle w:val="39"/>
        <w:tblW w:w="4998" w:type="pct"/>
        <w:tblInd w:w="0" w:type="dxa"/>
        <w:tblLayout w:type="autofit"/>
        <w:tblCellMar>
          <w:top w:w="0" w:type="dxa"/>
          <w:left w:w="108" w:type="dxa"/>
          <w:bottom w:w="0" w:type="dxa"/>
          <w:right w:w="108" w:type="dxa"/>
        </w:tblCellMar>
      </w:tblPr>
      <w:tblGrid>
        <w:gridCol w:w="1805"/>
        <w:gridCol w:w="1373"/>
        <w:gridCol w:w="1564"/>
        <w:gridCol w:w="1893"/>
        <w:gridCol w:w="1890"/>
      </w:tblGrid>
      <w:tr>
        <w:tblPrEx>
          <w:tblCellMar>
            <w:top w:w="0" w:type="dxa"/>
            <w:left w:w="108" w:type="dxa"/>
            <w:bottom w:w="0" w:type="dxa"/>
            <w:right w:w="108" w:type="dxa"/>
          </w:tblCellMar>
        </w:tblPrEx>
        <w:trPr>
          <w:trHeight w:val="988" w:hRule="atLeast"/>
        </w:trPr>
        <w:tc>
          <w:tcPr>
            <w:tcW w:w="1058" w:type="pct"/>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品名</w:t>
            </w:r>
          </w:p>
        </w:tc>
        <w:tc>
          <w:tcPr>
            <w:tcW w:w="805" w:type="pct"/>
            <w:vMerge w:val="restart"/>
            <w:tcBorders>
              <w:top w:val="single" w:color="auto" w:sz="8" w:space="0"/>
              <w:left w:val="single" w:color="auto" w:sz="8" w:space="0"/>
              <w:bottom w:val="single" w:color="000000" w:sz="8"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预估数量（斤）</w:t>
            </w:r>
          </w:p>
        </w:tc>
        <w:tc>
          <w:tcPr>
            <w:tcW w:w="91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最高</w:t>
            </w:r>
            <w:r>
              <w:rPr>
                <w:rFonts w:hint="eastAsia" w:ascii="宋体" w:hAnsi="宋体" w:eastAsia="宋体" w:cs="宋体"/>
                <w:b/>
                <w:bCs/>
                <w:color w:val="auto"/>
                <w:kern w:val="0"/>
                <w:sz w:val="22"/>
                <w:szCs w:val="22"/>
                <w:highlight w:val="none"/>
              </w:rPr>
              <w:t>单价</w:t>
            </w:r>
          </w:p>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（人民币元）</w:t>
            </w:r>
          </w:p>
        </w:tc>
        <w:tc>
          <w:tcPr>
            <w:tcW w:w="1110" w:type="pct"/>
            <w:tcBorders>
              <w:top w:val="single" w:color="auto" w:sz="8" w:space="0"/>
              <w:left w:val="single" w:color="auto" w:sz="8" w:space="0"/>
              <w:bottom w:val="single" w:color="auto" w:sz="4"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产地</w:t>
            </w:r>
          </w:p>
        </w:tc>
        <w:tc>
          <w:tcPr>
            <w:tcW w:w="1108" w:type="pct"/>
            <w:vMerge w:val="restart"/>
            <w:tcBorders>
              <w:top w:val="single" w:color="auto" w:sz="8" w:space="0"/>
              <w:left w:val="single" w:color="auto" w:sz="8" w:space="0"/>
              <w:bottom w:val="single" w:color="auto" w:sz="4"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备注</w:t>
            </w:r>
          </w:p>
        </w:tc>
      </w:tr>
      <w:tr>
        <w:tblPrEx>
          <w:tblCellMar>
            <w:top w:w="0" w:type="dxa"/>
            <w:left w:w="108" w:type="dxa"/>
            <w:bottom w:w="0" w:type="dxa"/>
            <w:right w:w="108" w:type="dxa"/>
          </w:tblCellMar>
        </w:tblPrEx>
        <w:trPr>
          <w:trHeight w:val="294" w:hRule="atLeast"/>
        </w:trPr>
        <w:tc>
          <w:tcPr>
            <w:tcW w:w="1058" w:type="pct"/>
            <w:tcBorders>
              <w:top w:val="nil"/>
              <w:left w:val="single" w:color="auto" w:sz="8" w:space="0"/>
              <w:bottom w:val="single" w:color="auto" w:sz="8"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本地泥鳅</w:t>
            </w:r>
          </w:p>
        </w:tc>
        <w:tc>
          <w:tcPr>
            <w:tcW w:w="805" w:type="pct"/>
            <w:vMerge w:val="restart"/>
            <w:tcBorders>
              <w:top w:val="nil"/>
              <w:left w:val="nil"/>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14,580</w:t>
            </w:r>
          </w:p>
        </w:tc>
        <w:tc>
          <w:tcPr>
            <w:tcW w:w="917" w:type="pct"/>
            <w:vMerge w:val="restart"/>
            <w:tcBorders>
              <w:top w:val="single" w:color="auto" w:sz="4" w:space="0"/>
              <w:left w:val="nil"/>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21.60</w:t>
            </w:r>
          </w:p>
        </w:tc>
        <w:tc>
          <w:tcPr>
            <w:tcW w:w="111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西安本地</w:t>
            </w:r>
          </w:p>
        </w:tc>
        <w:tc>
          <w:tcPr>
            <w:tcW w:w="110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投标单价不得超过最高单价</w:t>
            </w:r>
          </w:p>
        </w:tc>
      </w:tr>
      <w:tr>
        <w:tblPrEx>
          <w:tblCellMar>
            <w:top w:w="0" w:type="dxa"/>
            <w:left w:w="108" w:type="dxa"/>
            <w:bottom w:w="0" w:type="dxa"/>
            <w:right w:w="108" w:type="dxa"/>
          </w:tblCellMar>
        </w:tblPrEx>
        <w:trPr>
          <w:trHeight w:val="294" w:hRule="atLeast"/>
        </w:trPr>
        <w:tc>
          <w:tcPr>
            <w:tcW w:w="1058" w:type="pct"/>
            <w:tcBorders>
              <w:top w:val="nil"/>
              <w:left w:val="single" w:color="auto" w:sz="8" w:space="0"/>
              <w:bottom w:val="single" w:color="auto" w:sz="8"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东北泥鳅</w:t>
            </w:r>
          </w:p>
        </w:tc>
        <w:tc>
          <w:tcPr>
            <w:tcW w:w="805" w:type="pct"/>
            <w:vMerge w:val="continue"/>
            <w:tcBorders>
              <w:left w:val="nil"/>
              <w:bottom w:val="single" w:color="auto" w:sz="8"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917" w:type="pct"/>
            <w:vMerge w:val="continue"/>
            <w:tcBorders>
              <w:left w:val="nil"/>
              <w:bottom w:val="single" w:color="auto" w:sz="8" w:space="0"/>
              <w:right w:val="single" w:color="auto" w:sz="8"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110" w:type="pct"/>
            <w:tcBorders>
              <w:top w:val="single" w:color="auto" w:sz="4" w:space="0"/>
              <w:left w:val="nil"/>
              <w:bottom w:val="single" w:color="auto" w:sz="8"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东北地区</w:t>
            </w:r>
          </w:p>
        </w:tc>
        <w:tc>
          <w:tcPr>
            <w:tcW w:w="1108" w:type="pct"/>
            <w:vMerge w:val="continue"/>
            <w:tcBorders>
              <w:top w:val="single" w:color="auto" w:sz="4" w:space="0"/>
              <w:left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294" w:hRule="atLeast"/>
        </w:trPr>
        <w:tc>
          <w:tcPr>
            <w:tcW w:w="1058" w:type="pct"/>
            <w:tcBorders>
              <w:top w:val="nil"/>
              <w:left w:val="single" w:color="auto" w:sz="8" w:space="0"/>
              <w:bottom w:val="single" w:color="auto" w:sz="8" w:space="0"/>
              <w:right w:val="single" w:color="auto" w:sz="8" w:space="0"/>
            </w:tcBorders>
            <w:shd w:val="clear" w:color="auto" w:fill="auto"/>
            <w:noWrap w:val="0"/>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本地</w:t>
            </w:r>
            <w:r>
              <w:rPr>
                <w:rFonts w:hint="eastAsia" w:ascii="宋体" w:hAnsi="宋体" w:eastAsia="宋体" w:cs="宋体"/>
                <w:color w:val="auto"/>
                <w:kern w:val="0"/>
                <w:sz w:val="22"/>
                <w:szCs w:val="22"/>
                <w:highlight w:val="none"/>
              </w:rPr>
              <w:t>竹子</w:t>
            </w:r>
          </w:p>
        </w:tc>
        <w:tc>
          <w:tcPr>
            <w:tcW w:w="805" w:type="pct"/>
            <w:vMerge w:val="restart"/>
            <w:tcBorders>
              <w:top w:val="nil"/>
              <w:left w:val="nil"/>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238,080</w:t>
            </w:r>
          </w:p>
        </w:tc>
        <w:tc>
          <w:tcPr>
            <w:tcW w:w="917" w:type="pct"/>
            <w:vMerge w:val="restart"/>
            <w:tcBorders>
              <w:top w:val="nil"/>
              <w:left w:val="nil"/>
              <w:right w:val="single" w:color="auto" w:sz="8"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w:t>
            </w:r>
          </w:p>
        </w:tc>
        <w:tc>
          <w:tcPr>
            <w:tcW w:w="1110" w:type="pct"/>
            <w:tcBorders>
              <w:top w:val="nil"/>
              <w:left w:val="nil"/>
              <w:bottom w:val="single" w:color="auto" w:sz="8"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楼观台地区</w:t>
            </w:r>
          </w:p>
        </w:tc>
        <w:tc>
          <w:tcPr>
            <w:tcW w:w="1108" w:type="pct"/>
            <w:vMerge w:val="continue"/>
            <w:tcBorders>
              <w:left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294" w:hRule="atLeast"/>
        </w:trPr>
        <w:tc>
          <w:tcPr>
            <w:tcW w:w="1058" w:type="pct"/>
            <w:tcBorders>
              <w:top w:val="nil"/>
              <w:left w:val="single" w:color="auto" w:sz="8" w:space="0"/>
              <w:bottom w:val="single" w:color="auto" w:sz="8"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外地</w:t>
            </w:r>
            <w:r>
              <w:rPr>
                <w:rFonts w:hint="eastAsia" w:ascii="宋体" w:hAnsi="宋体" w:eastAsia="宋体" w:cs="宋体"/>
                <w:color w:val="auto"/>
                <w:kern w:val="0"/>
                <w:sz w:val="22"/>
                <w:szCs w:val="22"/>
                <w:highlight w:val="none"/>
              </w:rPr>
              <w:t>竹子</w:t>
            </w:r>
          </w:p>
        </w:tc>
        <w:tc>
          <w:tcPr>
            <w:tcW w:w="805" w:type="pct"/>
            <w:vMerge w:val="continue"/>
            <w:tcBorders>
              <w:left w:val="nil"/>
              <w:bottom w:val="single" w:color="auto" w:sz="8" w:space="0"/>
              <w:right w:val="single" w:color="auto" w:sz="8"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917" w:type="pct"/>
            <w:vMerge w:val="continue"/>
            <w:tcBorders>
              <w:left w:val="nil"/>
              <w:bottom w:val="single" w:color="auto" w:sz="8" w:space="0"/>
              <w:right w:val="single" w:color="auto" w:sz="8"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110" w:type="pct"/>
            <w:tcBorders>
              <w:top w:val="nil"/>
              <w:left w:val="nil"/>
              <w:bottom w:val="single" w:color="auto" w:sz="8"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陕南、四川地区</w:t>
            </w:r>
          </w:p>
        </w:tc>
        <w:tc>
          <w:tcPr>
            <w:tcW w:w="1108" w:type="pct"/>
            <w:vMerge w:val="continue"/>
            <w:tcBorders>
              <w:left w:val="single" w:color="auto" w:sz="4" w:space="0"/>
              <w:bottom w:val="single" w:color="auto" w:sz="8"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bl>
    <w:p>
      <w:pPr>
        <w:pStyle w:val="17"/>
        <w:spacing w:line="360" w:lineRule="auto"/>
        <w:rPr>
          <w:rFonts w:hint="eastAsia" w:ascii="宋体" w:hAnsi="宋体" w:eastAsia="宋体" w:cs="宋体"/>
          <w:color w:val="auto"/>
          <w:sz w:val="22"/>
          <w:highlight w:val="none"/>
          <w:lang w:eastAsia="zh-CN"/>
        </w:rPr>
      </w:pPr>
      <w:r>
        <w:rPr>
          <w:rFonts w:hint="eastAsia" w:ascii="宋体" w:hAnsi="宋体" w:eastAsia="宋体" w:cs="宋体"/>
          <w:b/>
          <w:bCs/>
          <w:color w:val="auto"/>
          <w:sz w:val="22"/>
          <w:szCs w:val="22"/>
          <w:highlight w:val="none"/>
          <w:lang w:val="en-US" w:eastAsia="zh-CN"/>
        </w:rPr>
        <w:t>1、泥鳅技术要求</w:t>
      </w:r>
      <w:r>
        <w:rPr>
          <w:rFonts w:hint="eastAsia" w:ascii="宋体" w:hAnsi="宋体" w:eastAsia="宋体" w:cs="宋体"/>
          <w:b/>
          <w:bCs/>
          <w:color w:val="auto"/>
          <w:highlight w:val="none"/>
          <w:lang w:val="en-US" w:eastAsia="zh-CN"/>
        </w:rPr>
        <w:t>：</w:t>
      </w:r>
      <w:r>
        <w:rPr>
          <w:rFonts w:hint="eastAsia" w:ascii="宋体" w:hAnsi="宋体" w:eastAsia="宋体" w:cs="宋体"/>
          <w:color w:val="auto"/>
          <w:sz w:val="22"/>
          <w:highlight w:val="none"/>
          <w:lang w:eastAsia="zh-CN"/>
        </w:rPr>
        <w:t>泥鳅质量必须符合朱鹮食用，鲜活、无污染、无伤病，泥鳅长度6—16公分以内，直径≤2公分，不得提供食用效果差的泥鳅品种，如黄色泥鳅、红色泥鳅和台湾泥鳅，需</w:t>
      </w:r>
      <w:r>
        <w:rPr>
          <w:rFonts w:hint="eastAsia" w:ascii="宋体" w:hAnsi="宋体" w:eastAsia="宋体" w:cs="宋体"/>
          <w:color w:val="auto"/>
          <w:sz w:val="22"/>
          <w:highlight w:val="none"/>
        </w:rPr>
        <w:t>提供无污染、不含有害物质的来自非污染水域的泥鳅且</w:t>
      </w:r>
      <w:r>
        <w:rPr>
          <w:rFonts w:hint="eastAsia" w:ascii="宋体" w:hAnsi="宋体" w:eastAsia="宋体" w:cs="宋体"/>
          <w:color w:val="auto"/>
          <w:sz w:val="22"/>
          <w:highlight w:val="none"/>
          <w:lang w:eastAsia="zh-CN"/>
        </w:rPr>
        <w:t>供应商</w:t>
      </w:r>
      <w:r>
        <w:rPr>
          <w:rFonts w:hint="eastAsia" w:ascii="宋体" w:hAnsi="宋体" w:eastAsia="宋体" w:cs="宋体"/>
          <w:color w:val="auto"/>
          <w:sz w:val="22"/>
          <w:highlight w:val="none"/>
        </w:rPr>
        <w:t>不得在泥鳅里添加不利泥鳅生存的物质。冬春季节要求送黑色野生泥鳅品种</w:t>
      </w:r>
      <w:r>
        <w:rPr>
          <w:rFonts w:hint="eastAsia" w:ascii="宋体" w:hAnsi="宋体" w:eastAsia="宋体" w:cs="宋体"/>
          <w:color w:val="auto"/>
          <w:sz w:val="22"/>
          <w:highlight w:val="none"/>
          <w:lang w:eastAsia="zh-CN"/>
        </w:rPr>
        <w:t>，提供送货上门服务。</w:t>
      </w:r>
    </w:p>
    <w:p>
      <w:pPr>
        <w:pStyle w:val="17"/>
        <w:spacing w:line="360" w:lineRule="auto"/>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highlight w:val="none"/>
          <w:lang w:val="en-US" w:eastAsia="zh-CN"/>
        </w:rPr>
        <w:t>2、竹子技术要求：</w:t>
      </w:r>
      <w:r>
        <w:rPr>
          <w:rFonts w:hint="eastAsia" w:ascii="宋体" w:hAnsi="宋体" w:eastAsia="宋体" w:cs="宋体"/>
          <w:color w:val="auto"/>
          <w:sz w:val="22"/>
          <w:highlight w:val="none"/>
          <w:lang w:val="en-US" w:eastAsia="zh-CN"/>
        </w:rPr>
        <w:t>竹子质量要求：长度不高于1.5米（竹稍以下），当日采割的无污染（包括动物疫病、污水、泥土砂石、植物藤条、锈病等）当年生新鲜竹子。不得出现光杆、干枯竹叶和中间拦截的现象。竹子产地：淡竹、阔叶箬竹等，产地楼观台地区；巴山木竹，产地陕南地区。供应商对采割的竹子，负有大熊猫食用安全责任，严格杜绝药物和生物污染</w:t>
      </w:r>
    </w:p>
    <w:p>
      <w:pPr>
        <w:wordWrap w:val="0"/>
        <w:topLinePunct/>
        <w:spacing w:line="360" w:lineRule="auto"/>
        <w:outlineLvl w:val="1"/>
        <w:rPr>
          <w:rFonts w:hint="eastAsia" w:ascii="宋体" w:hAnsi="宋体" w:eastAsia="宋体" w:cs="宋体"/>
          <w:b/>
          <w:color w:val="auto"/>
          <w:sz w:val="24"/>
          <w:highlight w:val="none"/>
        </w:rPr>
      </w:pPr>
      <w:bookmarkStart w:id="113" w:name="_Toc359"/>
      <w:r>
        <w:rPr>
          <w:rFonts w:hint="eastAsia" w:ascii="宋体" w:hAnsi="宋体" w:eastAsia="宋体" w:cs="宋体"/>
          <w:b/>
          <w:color w:val="auto"/>
          <w:sz w:val="24"/>
          <w:highlight w:val="none"/>
        </w:rPr>
        <w:t>二、商务要求</w:t>
      </w:r>
      <w:bookmarkEnd w:id="113"/>
    </w:p>
    <w:p>
      <w:pPr>
        <w:wordWrap w:val="0"/>
        <w:topLinePunct/>
        <w:spacing w:line="360" w:lineRule="auto"/>
        <w:ind w:firstLine="442" w:firstLineChars="200"/>
        <w:rPr>
          <w:rFonts w:hint="eastAsia" w:ascii="宋体" w:hAnsi="宋体" w:eastAsia="宋体" w:cs="宋体"/>
          <w:color w:val="auto"/>
          <w:sz w:val="22"/>
          <w:highlight w:val="none"/>
        </w:rPr>
      </w:pPr>
      <w:r>
        <w:rPr>
          <w:rFonts w:hint="eastAsia" w:ascii="宋体" w:hAnsi="宋体" w:cs="宋体"/>
          <w:b/>
          <w:bCs/>
          <w:color w:val="auto"/>
          <w:sz w:val="22"/>
          <w:highlight w:val="none"/>
          <w:lang w:val="en-US" w:eastAsia="zh-CN"/>
        </w:rPr>
        <w:t>1</w:t>
      </w:r>
      <w:r>
        <w:rPr>
          <w:rFonts w:hint="eastAsia" w:ascii="宋体" w:hAnsi="宋体" w:eastAsia="宋体" w:cs="宋体"/>
          <w:b/>
          <w:bCs/>
          <w:color w:val="auto"/>
          <w:sz w:val="22"/>
          <w:highlight w:val="none"/>
        </w:rPr>
        <w:t>.交货期：</w:t>
      </w:r>
      <w:r>
        <w:rPr>
          <w:rFonts w:hint="eastAsia" w:ascii="宋体" w:hAnsi="宋体" w:eastAsia="宋体" w:cs="宋体"/>
          <w:color w:val="auto"/>
          <w:sz w:val="22"/>
          <w:highlight w:val="none"/>
        </w:rPr>
        <w:t>买方提前1天向卖方发出具体采购订单，卖方在收到通知、订单时，应尽快组织</w:t>
      </w:r>
      <w:r>
        <w:rPr>
          <w:rFonts w:hint="eastAsia" w:ascii="宋体" w:hAnsi="宋体" w:eastAsia="宋体" w:cs="宋体"/>
          <w:color w:val="auto"/>
          <w:sz w:val="22"/>
          <w:highlight w:val="none"/>
          <w:lang w:eastAsia="zh-CN"/>
        </w:rPr>
        <w:t>采购</w:t>
      </w:r>
      <w:r>
        <w:rPr>
          <w:rFonts w:hint="eastAsia" w:ascii="宋体" w:hAnsi="宋体" w:eastAsia="宋体" w:cs="宋体"/>
          <w:color w:val="auto"/>
          <w:sz w:val="22"/>
          <w:highlight w:val="none"/>
        </w:rPr>
        <w:t>及供货。</w:t>
      </w:r>
    </w:p>
    <w:p>
      <w:pPr>
        <w:pStyle w:val="2"/>
        <w:spacing w:line="360" w:lineRule="auto"/>
        <w:rPr>
          <w:rFonts w:hint="eastAsia" w:ascii="宋体" w:hAnsi="宋体" w:eastAsia="宋体" w:cs="宋体"/>
          <w:color w:val="auto"/>
          <w:highlight w:val="none"/>
          <w:lang w:eastAsia="zh-CN"/>
        </w:rPr>
      </w:pPr>
      <w:r>
        <w:rPr>
          <w:rFonts w:hint="eastAsia" w:ascii="宋体" w:hAnsi="宋体" w:cs="宋体"/>
          <w:b/>
          <w:bCs/>
          <w:color w:val="auto"/>
          <w:kern w:val="2"/>
          <w:sz w:val="22"/>
          <w:szCs w:val="24"/>
          <w:highlight w:val="none"/>
          <w:lang w:val="en-US" w:eastAsia="zh-CN" w:bidi="ar-SA"/>
        </w:rPr>
        <w:t>2</w:t>
      </w:r>
      <w:r>
        <w:rPr>
          <w:rFonts w:hint="eastAsia" w:ascii="宋体" w:hAnsi="宋体" w:eastAsia="宋体" w:cs="宋体"/>
          <w:b/>
          <w:bCs/>
          <w:color w:val="auto"/>
          <w:kern w:val="2"/>
          <w:sz w:val="22"/>
          <w:szCs w:val="24"/>
          <w:highlight w:val="none"/>
          <w:lang w:val="en-US" w:eastAsia="zh-CN" w:bidi="ar-SA"/>
        </w:rPr>
        <w:t>.供货周期：</w:t>
      </w:r>
      <w:r>
        <w:rPr>
          <w:rFonts w:hint="eastAsia" w:ascii="宋体" w:hAnsi="宋体" w:eastAsia="宋体" w:cs="宋体"/>
          <w:color w:val="auto"/>
          <w:sz w:val="22"/>
          <w:szCs w:val="22"/>
          <w:highlight w:val="none"/>
        </w:rPr>
        <w:t>合同有效期</w:t>
      </w:r>
      <w:r>
        <w:rPr>
          <w:rFonts w:hint="eastAsia" w:ascii="宋体" w:hAnsi="宋体" w:eastAsia="宋体" w:cs="宋体"/>
          <w:color w:val="auto"/>
          <w:sz w:val="22"/>
          <w:szCs w:val="22"/>
          <w:highlight w:val="none"/>
          <w:lang w:eastAsia="zh-CN"/>
        </w:rPr>
        <w:t>至</w:t>
      </w:r>
      <w:r>
        <w:rPr>
          <w:rFonts w:hint="eastAsia" w:ascii="宋体" w:hAnsi="宋体" w:eastAsia="宋体" w:cs="宋体"/>
          <w:color w:val="auto"/>
          <w:sz w:val="22"/>
          <w:szCs w:val="22"/>
          <w:highlight w:val="none"/>
        </w:rPr>
        <w:t>下一</w:t>
      </w:r>
      <w:r>
        <w:rPr>
          <w:rFonts w:hint="eastAsia" w:ascii="宋体" w:hAnsi="宋体" w:eastAsia="宋体" w:cs="宋体"/>
          <w:color w:val="auto"/>
          <w:sz w:val="22"/>
          <w:szCs w:val="22"/>
          <w:highlight w:val="none"/>
          <w:lang w:eastAsia="zh-CN"/>
        </w:rPr>
        <w:t>年度该项目</w:t>
      </w:r>
      <w:r>
        <w:rPr>
          <w:rFonts w:hint="eastAsia" w:ascii="宋体" w:hAnsi="宋体" w:eastAsia="宋体" w:cs="宋体"/>
          <w:color w:val="auto"/>
          <w:sz w:val="22"/>
          <w:szCs w:val="22"/>
          <w:highlight w:val="none"/>
        </w:rPr>
        <w:t>采购结果公布时终止。</w:t>
      </w:r>
    </w:p>
    <w:p>
      <w:pPr>
        <w:wordWrap w:val="0"/>
        <w:topLinePunct/>
        <w:spacing w:line="360" w:lineRule="auto"/>
        <w:ind w:firstLine="442" w:firstLineChars="200"/>
        <w:rPr>
          <w:rFonts w:hint="eastAsia" w:ascii="宋体" w:hAnsi="宋体" w:eastAsia="宋体" w:cs="宋体"/>
          <w:b w:val="0"/>
          <w:bCs/>
          <w:color w:val="auto"/>
          <w:sz w:val="22"/>
          <w:highlight w:val="none"/>
        </w:rPr>
      </w:pPr>
      <w:r>
        <w:rPr>
          <w:rFonts w:hint="eastAsia" w:ascii="宋体" w:hAnsi="宋体" w:cs="宋体"/>
          <w:b/>
          <w:bCs/>
          <w:color w:val="auto"/>
          <w:sz w:val="22"/>
          <w:highlight w:val="none"/>
          <w:lang w:val="en-US" w:eastAsia="zh-CN"/>
        </w:rPr>
        <w:t>3</w:t>
      </w:r>
      <w:r>
        <w:rPr>
          <w:rFonts w:hint="eastAsia" w:ascii="宋体" w:hAnsi="宋体" w:eastAsia="宋体" w:cs="宋体"/>
          <w:b/>
          <w:bCs/>
          <w:color w:val="auto"/>
          <w:sz w:val="22"/>
          <w:highlight w:val="none"/>
        </w:rPr>
        <w:t>.</w:t>
      </w:r>
      <w:r>
        <w:rPr>
          <w:rFonts w:hint="eastAsia" w:ascii="宋体" w:hAnsi="宋体" w:eastAsia="宋体" w:cs="宋体"/>
          <w:b/>
          <w:bCs/>
          <w:color w:val="auto"/>
          <w:sz w:val="22"/>
          <w:highlight w:val="none"/>
          <w:lang w:eastAsia="zh-CN"/>
        </w:rPr>
        <w:t>质量保证</w:t>
      </w:r>
      <w:r>
        <w:rPr>
          <w:rFonts w:hint="eastAsia" w:ascii="宋体" w:hAnsi="宋体" w:eastAsia="宋体" w:cs="宋体"/>
          <w:b/>
          <w:bCs/>
          <w:color w:val="auto"/>
          <w:sz w:val="22"/>
          <w:highlight w:val="none"/>
        </w:rPr>
        <w:t>：</w:t>
      </w:r>
      <w:r>
        <w:rPr>
          <w:rFonts w:hint="eastAsia" w:ascii="宋体" w:hAnsi="宋体" w:eastAsia="宋体" w:cs="宋体"/>
          <w:b w:val="0"/>
          <w:bCs w:val="0"/>
          <w:color w:val="auto"/>
          <w:sz w:val="22"/>
          <w:highlight w:val="none"/>
          <w:lang w:eastAsia="zh-CN"/>
        </w:rPr>
        <w:t>所供产品鲜活、无污染，满足采购需求，供应商应</w:t>
      </w:r>
      <w:r>
        <w:rPr>
          <w:rFonts w:hint="eastAsia" w:ascii="宋体" w:hAnsi="宋体" w:eastAsia="宋体" w:cs="宋体"/>
          <w:b w:val="0"/>
          <w:bCs/>
          <w:color w:val="auto"/>
          <w:sz w:val="22"/>
          <w:highlight w:val="none"/>
        </w:rPr>
        <w:t>保证其所提供货物与本合同中所规定的品名、规格和数量完全相符且保证为质量、品目合格的产品，质量是优良的，并符合本合同中所述的相关技术规范和质量标准的要求，并向买方提供产品的合格证书。</w:t>
      </w:r>
    </w:p>
    <w:p>
      <w:pPr>
        <w:wordWrap w:val="0"/>
        <w:topLinePunct/>
        <w:spacing w:line="360" w:lineRule="auto"/>
        <w:ind w:firstLine="442" w:firstLineChars="200"/>
        <w:rPr>
          <w:rFonts w:hint="eastAsia" w:ascii="宋体" w:hAnsi="宋体" w:eastAsia="宋体" w:cs="宋体"/>
          <w:color w:val="auto"/>
          <w:sz w:val="22"/>
          <w:highlight w:val="none"/>
        </w:rPr>
      </w:pPr>
      <w:r>
        <w:rPr>
          <w:rFonts w:hint="eastAsia" w:ascii="宋体" w:hAnsi="宋体" w:cs="宋体"/>
          <w:b/>
          <w:color w:val="auto"/>
          <w:sz w:val="22"/>
          <w:highlight w:val="none"/>
          <w:lang w:val="en-US" w:eastAsia="zh-CN"/>
        </w:rPr>
        <w:t>4</w:t>
      </w:r>
      <w:r>
        <w:rPr>
          <w:rFonts w:hint="eastAsia" w:ascii="宋体" w:hAnsi="宋体" w:eastAsia="宋体" w:cs="宋体"/>
          <w:b/>
          <w:color w:val="auto"/>
          <w:sz w:val="22"/>
          <w:highlight w:val="none"/>
        </w:rPr>
        <w:t>.交货地点</w:t>
      </w:r>
      <w:r>
        <w:rPr>
          <w:rFonts w:hint="eastAsia" w:ascii="宋体" w:hAnsi="宋体" w:eastAsia="宋体" w:cs="宋体"/>
          <w:color w:val="auto"/>
          <w:sz w:val="22"/>
          <w:highlight w:val="none"/>
        </w:rPr>
        <w:t>：采购人指定地点。</w:t>
      </w:r>
    </w:p>
    <w:p>
      <w:pPr>
        <w:pStyle w:val="2"/>
        <w:spacing w:line="360" w:lineRule="auto"/>
        <w:rPr>
          <w:rFonts w:hint="eastAsia" w:ascii="宋体" w:hAnsi="宋体" w:eastAsia="宋体" w:cs="宋体"/>
          <w:b/>
          <w:color w:val="auto"/>
          <w:kern w:val="2"/>
          <w:sz w:val="22"/>
          <w:szCs w:val="24"/>
          <w:highlight w:val="none"/>
          <w:lang w:val="en-US" w:eastAsia="zh-CN" w:bidi="ar-SA"/>
        </w:rPr>
      </w:pPr>
      <w:r>
        <w:rPr>
          <w:rFonts w:hint="eastAsia" w:ascii="宋体" w:hAnsi="宋体" w:eastAsia="宋体" w:cs="宋体"/>
          <w:b/>
          <w:color w:val="auto"/>
          <w:kern w:val="2"/>
          <w:sz w:val="22"/>
          <w:szCs w:val="24"/>
          <w:highlight w:val="none"/>
          <w:lang w:val="en-US" w:eastAsia="zh-CN" w:bidi="ar-SA"/>
        </w:rPr>
        <w:t>5.验收要求：</w:t>
      </w:r>
    </w:p>
    <w:p>
      <w:pPr>
        <w:pStyle w:val="2"/>
        <w:spacing w:line="360" w:lineRule="auto"/>
        <w:rPr>
          <w:rFonts w:hint="eastAsia" w:ascii="宋体" w:hAnsi="宋体" w:cs="宋体"/>
          <w:b/>
          <w:color w:val="auto"/>
          <w:kern w:val="2"/>
          <w:sz w:val="22"/>
          <w:szCs w:val="24"/>
          <w:highlight w:val="none"/>
          <w:lang w:val="en-US" w:eastAsia="zh-CN" w:bidi="ar-SA"/>
        </w:rPr>
      </w:pPr>
      <w:r>
        <w:rPr>
          <w:rFonts w:hint="eastAsia" w:ascii="宋体" w:hAnsi="宋体" w:cs="宋体"/>
          <w:b/>
          <w:color w:val="auto"/>
          <w:kern w:val="2"/>
          <w:sz w:val="22"/>
          <w:szCs w:val="24"/>
          <w:highlight w:val="none"/>
          <w:lang w:val="en-US" w:eastAsia="zh-CN" w:bidi="ar-SA"/>
        </w:rPr>
        <w:t>5.1泥鳅验收要求：</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1</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甲方有权拒收6公分以下泥鳅，拒收人工饲养泥鳅。</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2</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拒收伤、病、死及半僵硬泥鳅，拒收红、黄颜色泥鳅及台湾泥鳅品种且不承担经济责任。</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3</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冬春季节要求送黑色野生泥鳅品种。</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4</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对乙方不按时、按量、按品种、按要求供应泥鳅保留处理权。如有伤、病、死泥鳅或半僵硬的泥鳅，经甲方捡出，按照双倍数量扣除。</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lang w:val="en-US" w:eastAsia="zh-CN"/>
        </w:rPr>
        <w:t>5</w:t>
      </w:r>
      <w:r>
        <w:rPr>
          <w:rFonts w:hint="eastAsia" w:ascii="宋体" w:hAnsi="宋体" w:eastAsia="宋体" w:cs="宋体"/>
          <w:b w:val="0"/>
          <w:bCs/>
          <w:color w:val="auto"/>
          <w:sz w:val="22"/>
          <w:highlight w:val="none"/>
          <w:lang w:eastAsia="zh-CN"/>
        </w:rPr>
        <w:t>）</w:t>
      </w:r>
      <w:r>
        <w:rPr>
          <w:rFonts w:hint="eastAsia" w:ascii="宋体" w:hAnsi="宋体" w:eastAsia="宋体" w:cs="宋体"/>
          <w:b w:val="0"/>
          <w:bCs/>
          <w:color w:val="auto"/>
          <w:sz w:val="22"/>
          <w:highlight w:val="none"/>
        </w:rPr>
        <w:t>在泥鳅收购的淡季、旺季，乙方必须按甲方要求的时间、数量及时供应，保证供应鲜活的野生泥鳅。提供送货上门服务。</w:t>
      </w:r>
    </w:p>
    <w:p>
      <w:pPr>
        <w:wordWrap w:val="0"/>
        <w:topLinePunct/>
        <w:spacing w:line="360" w:lineRule="auto"/>
        <w:ind w:firstLine="440" w:firstLineChars="200"/>
        <w:rPr>
          <w:rFonts w:hint="eastAsia" w:ascii="宋体" w:hAnsi="宋体" w:cs="宋体"/>
          <w:b/>
          <w:color w:val="auto"/>
          <w:kern w:val="2"/>
          <w:sz w:val="22"/>
          <w:szCs w:val="24"/>
          <w:highlight w:val="none"/>
          <w:lang w:val="en-US" w:eastAsia="zh-CN" w:bidi="ar-SA"/>
        </w:rPr>
      </w:pPr>
      <w:r>
        <w:rPr>
          <w:rFonts w:hint="eastAsia" w:ascii="宋体" w:hAnsi="宋体" w:eastAsia="宋体" w:cs="宋体"/>
          <w:b w:val="0"/>
          <w:bCs/>
          <w:color w:val="auto"/>
          <w:sz w:val="22"/>
          <w:highlight w:val="none"/>
        </w:rPr>
        <w:t>因此产生的一切费用，包括额外的运输费用等，将由卖方承担。如在买方通知的期限内，卖方未能进行更换或补足，则卖方应承担本框架合同第9.1款逾期交货的违约责任。</w:t>
      </w:r>
    </w:p>
    <w:p>
      <w:pPr>
        <w:pStyle w:val="2"/>
        <w:spacing w:line="360" w:lineRule="auto"/>
        <w:rPr>
          <w:rFonts w:hint="default" w:ascii="宋体" w:hAnsi="宋体" w:cs="宋体"/>
          <w:b/>
          <w:color w:val="auto"/>
          <w:kern w:val="2"/>
          <w:sz w:val="22"/>
          <w:szCs w:val="24"/>
          <w:highlight w:val="none"/>
          <w:lang w:val="en-US" w:eastAsia="zh-CN" w:bidi="ar-SA"/>
        </w:rPr>
      </w:pPr>
      <w:r>
        <w:rPr>
          <w:rFonts w:hint="eastAsia" w:ascii="宋体" w:hAnsi="宋体" w:cs="宋体"/>
          <w:b/>
          <w:color w:val="auto"/>
          <w:kern w:val="2"/>
          <w:sz w:val="22"/>
          <w:szCs w:val="24"/>
          <w:highlight w:val="none"/>
          <w:lang w:val="en-US" w:eastAsia="zh-CN" w:bidi="ar-SA"/>
        </w:rPr>
        <w:t>5.2竹子验收要求：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（1）甲方有权对质量不合格的竹子、竹笋拒收或按照验收结果扣除相应数量。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（2）竹子供货数量随季节和大熊猫个体食欲年龄有差异，最终以实际供货通知为准。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（3）乙方须按照当地林业主管部门要求，办理采割和运输等相关手续、合法操作。</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（4）乙方须按照甲方要求，保质保量做好竹子、竹笋采割及装运。</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（5）乙方对采割的竹子竹笋，负有大熊猫食用安全责任，严格杜绝药物和生物污染。</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（6）乙方确因天气、道路等不可抗拒因素影响供应的，两个工作前日告知甲方。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kern w:val="0"/>
          <w:sz w:val="22"/>
          <w:szCs w:val="24"/>
          <w:highlight w:val="none"/>
          <w:lang w:val="en-US" w:eastAsia="zh-CN" w:bidi="ar-SA"/>
        </w:rPr>
      </w:pPr>
      <w:r>
        <w:rPr>
          <w:rFonts w:hint="eastAsia" w:ascii="宋体" w:hAnsi="宋体" w:eastAsia="宋体" w:cs="宋体"/>
          <w:color w:val="auto"/>
          <w:kern w:val="0"/>
          <w:sz w:val="22"/>
          <w:szCs w:val="24"/>
          <w:highlight w:val="none"/>
          <w:lang w:val="en-US" w:eastAsia="zh-CN" w:bidi="ar-SA"/>
        </w:rPr>
        <w:t>因此产生的一切费用，包括额外的运输费用等，将由卖方承担。如在买方通知的期限内，卖方未能进行更换或补足，则卖方应承担本框架合同第9.1款逾期交货的违约责任。</w:t>
      </w:r>
    </w:p>
    <w:p>
      <w:pPr>
        <w:wordWrap w:val="0"/>
        <w:topLinePunct/>
        <w:spacing w:line="360" w:lineRule="auto"/>
        <w:ind w:firstLine="442" w:firstLineChars="200"/>
        <w:rPr>
          <w:rFonts w:hint="eastAsia" w:ascii="宋体" w:hAnsi="宋体" w:eastAsia="宋体" w:cs="宋体"/>
          <w:color w:val="auto"/>
          <w:sz w:val="22"/>
          <w:highlight w:val="none"/>
        </w:rPr>
      </w:pPr>
      <w:r>
        <w:rPr>
          <w:rFonts w:hint="eastAsia" w:ascii="宋体" w:hAnsi="宋体" w:cs="宋体"/>
          <w:b/>
          <w:color w:val="auto"/>
          <w:sz w:val="22"/>
          <w:highlight w:val="none"/>
          <w:lang w:val="en-US" w:eastAsia="zh-CN"/>
        </w:rPr>
        <w:t>6</w:t>
      </w:r>
      <w:r>
        <w:rPr>
          <w:rFonts w:hint="eastAsia" w:ascii="宋体" w:hAnsi="宋体" w:eastAsia="宋体" w:cs="宋体"/>
          <w:b/>
          <w:color w:val="auto"/>
          <w:sz w:val="22"/>
          <w:highlight w:val="none"/>
        </w:rPr>
        <w:t xml:space="preserve">.结算方式： </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.1结算单位：采购人结算，结算前成交人须开具等额发票给采购人，采购人收到发票后，按照</w:t>
      </w: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.2的付款方式结算，否则导致的付款延误，责任由成交人自行承担。</w:t>
      </w:r>
    </w:p>
    <w:p>
      <w:pPr>
        <w:wordWrap w:val="0"/>
        <w:topLinePunct/>
        <w:spacing w:line="360" w:lineRule="auto"/>
        <w:ind w:firstLine="440" w:firstLineChars="200"/>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rPr>
        <w:t>.2付款方式</w:t>
      </w:r>
      <w:r>
        <w:rPr>
          <w:rFonts w:hint="eastAsia" w:ascii="宋体" w:hAnsi="宋体" w:eastAsia="宋体" w:cs="宋体"/>
          <w:color w:val="auto"/>
          <w:sz w:val="22"/>
          <w:highlight w:val="none"/>
          <w:lang w:eastAsia="zh-CN"/>
        </w:rPr>
        <w:t>：即结算单总价的100％，由买方在收到卖方以下单据后30日内以电汇方式向卖方支付；</w:t>
      </w:r>
    </w:p>
    <w:p>
      <w:pPr>
        <w:wordWrap w:val="0"/>
        <w:topLinePunct/>
        <w:spacing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6</w:t>
      </w:r>
      <w:r>
        <w:rPr>
          <w:rFonts w:hint="eastAsia" w:ascii="宋体" w:hAnsi="宋体" w:eastAsia="宋体" w:cs="宋体"/>
          <w:color w:val="auto"/>
          <w:sz w:val="22"/>
          <w:highlight w:val="none"/>
          <w:lang w:val="en-US" w:eastAsia="zh-CN"/>
        </w:rPr>
        <w:t>.3成交供应商凭以下有效文件与各使用单位结算：</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（1）结算单总价100%的正式税务发票一份原件（标明框架协议号下的第几笔结算单号及品名）。</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（2）卖方发出具体采购订单。</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 xml:space="preserve">（3）由卖方出具的原始送货单。 </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（4）由卖方及买方代表签署的检验合格报告一份。</w:t>
      </w:r>
    </w:p>
    <w:p>
      <w:pPr>
        <w:wordWrap w:val="0"/>
        <w:topLinePunct/>
        <w:spacing w:line="360" w:lineRule="auto"/>
        <w:ind w:firstLine="440" w:firstLineChars="200"/>
        <w:rPr>
          <w:rFonts w:hint="eastAsia" w:ascii="宋体" w:hAnsi="宋体" w:eastAsia="宋体" w:cs="宋体"/>
          <w:b w:val="0"/>
          <w:bCs/>
          <w:color w:val="auto"/>
          <w:sz w:val="22"/>
          <w:highlight w:val="none"/>
        </w:rPr>
      </w:pPr>
      <w:r>
        <w:rPr>
          <w:rFonts w:hint="eastAsia" w:ascii="宋体" w:hAnsi="宋体" w:eastAsia="宋体" w:cs="宋体"/>
          <w:b w:val="0"/>
          <w:bCs/>
          <w:color w:val="auto"/>
          <w:sz w:val="22"/>
          <w:highlight w:val="none"/>
        </w:rPr>
        <w:t>（5）由买卖双方确认的结算单一份。</w:t>
      </w:r>
    </w:p>
    <w:p>
      <w:pPr>
        <w:wordWrap w:val="0"/>
        <w:topLinePunct/>
        <w:spacing w:line="360" w:lineRule="auto"/>
        <w:ind w:firstLine="480" w:firstLineChars="200"/>
        <w:rPr>
          <w:rFonts w:hint="eastAsia" w:ascii="宋体" w:hAnsi="宋体" w:eastAsia="宋体" w:cs="宋体"/>
          <w:color w:val="auto"/>
          <w:sz w:val="24"/>
          <w:highlight w:val="none"/>
        </w:rPr>
      </w:pP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本部分内容中的技术要求与商务要求，为最低采购指标及服务要求，供应商提供等于或优于最低指标的产品及服务要求，若提供的产品及服务要求低于最低指标及服务要求的，按照下列方式处理：</w:t>
      </w:r>
    </w:p>
    <w:p>
      <w:pPr>
        <w:wordWrap w:val="0"/>
        <w:topLinePunct/>
        <w:spacing w:line="360" w:lineRule="auto"/>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技术要求：技术要求不允许负偏离，若发生负偏离的视为未实质性响应谈判文件。</w:t>
      </w:r>
    </w:p>
    <w:p>
      <w:pPr>
        <w:wordWrap w:val="0"/>
        <w:topLinePunct/>
        <w:spacing w:line="360" w:lineRule="auto"/>
        <w:ind w:firstLine="440" w:firstLineChars="200"/>
        <w:rPr>
          <w:rFonts w:hint="eastAsia" w:ascii="宋体" w:hAnsi="宋体" w:eastAsia="宋体" w:cs="宋体"/>
          <w:color w:val="auto"/>
          <w:sz w:val="22"/>
          <w:highlight w:val="none"/>
        </w:rPr>
        <w:sectPr>
          <w:type w:val="nextColumn"/>
          <w:pgSz w:w="11906" w:h="16838"/>
          <w:pgMar w:top="1418" w:right="1797" w:bottom="1418" w:left="1797" w:header="851" w:footer="992" w:gutter="0"/>
          <w:pgNumType w:fmt="decimal"/>
          <w:cols w:space="720" w:num="1"/>
          <w:docGrid w:linePitch="312" w:charSpace="0"/>
        </w:sect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商务要求：商务要求不允许负偏离，若发生负偏离的视为未实质性响应谈判文件。</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tabs>
          <w:tab w:val="left" w:pos="3544"/>
        </w:tabs>
        <w:spacing w:line="360" w:lineRule="auto"/>
        <w:jc w:val="center"/>
        <w:outlineLvl w:val="0"/>
        <w:rPr>
          <w:rFonts w:hint="eastAsia" w:ascii="宋体" w:hAnsi="宋体" w:eastAsia="宋体" w:cs="宋体"/>
          <w:b/>
          <w:color w:val="auto"/>
          <w:sz w:val="30"/>
          <w:szCs w:val="30"/>
          <w:highlight w:val="none"/>
          <w:lang w:eastAsia="zh-CN"/>
        </w:rPr>
      </w:pPr>
      <w:bookmarkStart w:id="114" w:name="_Toc12169"/>
      <w:bookmarkStart w:id="115" w:name="_Toc6847028"/>
      <w:bookmarkStart w:id="116" w:name="_Toc3195121"/>
      <w:r>
        <w:rPr>
          <w:rFonts w:hint="eastAsia" w:ascii="宋体" w:hAnsi="宋体" w:eastAsia="宋体" w:cs="宋体"/>
          <w:b/>
          <w:color w:val="auto"/>
          <w:sz w:val="30"/>
          <w:szCs w:val="30"/>
          <w:highlight w:val="none"/>
        </w:rPr>
        <w:t>第四部分 合同格式</w:t>
      </w:r>
      <w:r>
        <w:rPr>
          <w:rFonts w:hint="eastAsia" w:ascii="宋体" w:hAnsi="宋体" w:eastAsia="宋体" w:cs="宋体"/>
          <w:b/>
          <w:color w:val="auto"/>
          <w:sz w:val="30"/>
          <w:szCs w:val="30"/>
          <w:highlight w:val="none"/>
          <w:lang w:eastAsia="zh-CN"/>
        </w:rPr>
        <w:t>及条款</w:t>
      </w:r>
      <w:bookmarkEnd w:id="114"/>
    </w:p>
    <w:p>
      <w:pPr>
        <w:jc w:val="center"/>
        <w:rPr>
          <w:rFonts w:hint="eastAsia" w:ascii="宋体" w:hAnsi="宋体" w:eastAsia="宋体" w:cs="宋体"/>
          <w:color w:val="auto"/>
          <w:sz w:val="22"/>
          <w:highlight w:val="none"/>
          <w:u w:val="single"/>
        </w:rPr>
      </w:pPr>
      <w:bookmarkStart w:id="117" w:name="_Toc493257953"/>
      <w:bookmarkStart w:id="118" w:name="_Toc489869362"/>
      <w:bookmarkStart w:id="119" w:name="_Toc489869024"/>
      <w:bookmarkStart w:id="120" w:name="_Toc493678944"/>
      <w:bookmarkStart w:id="121" w:name="_Toc489869748"/>
      <w:bookmarkStart w:id="122" w:name="_Toc489868890"/>
      <w:bookmarkStart w:id="123" w:name="_Toc490234588"/>
      <w:bookmarkStart w:id="124" w:name="_Toc489870024"/>
      <w:bookmarkStart w:id="125" w:name="_Toc490234475"/>
      <w:bookmarkStart w:id="126" w:name="_Toc490234303"/>
      <w:bookmarkStart w:id="127" w:name="_Toc490234247"/>
      <w:bookmarkStart w:id="128" w:name="_Toc490234577"/>
      <w:r>
        <w:rPr>
          <w:rFonts w:hint="eastAsia" w:ascii="宋体" w:hAnsi="宋体" w:eastAsia="宋体" w:cs="宋体"/>
          <w:color w:val="auto"/>
          <w:sz w:val="22"/>
          <w:highlight w:val="none"/>
          <w:u w:val="single"/>
        </w:rPr>
        <w:t>（本部分合同格式为成交后，签订采购合同时参考使用文本）</w:t>
      </w:r>
    </w:p>
    <w:p>
      <w:pPr>
        <w:rPr>
          <w:rFonts w:hint="eastAsia" w:ascii="宋体" w:hAnsi="宋体" w:eastAsia="宋体" w:cs="宋体"/>
          <w:color w:val="auto"/>
          <w:sz w:val="22"/>
          <w:highlight w:val="none"/>
        </w:rPr>
      </w:pPr>
    </w:p>
    <w:p>
      <w:pPr>
        <w:wordWrap w:val="0"/>
        <w:spacing w:line="500" w:lineRule="exact"/>
        <w:jc w:val="right"/>
        <w:rPr>
          <w:rFonts w:hint="eastAsia" w:ascii="宋体" w:hAnsi="宋体" w:eastAsia="宋体" w:cs="宋体"/>
          <w:b/>
          <w:color w:val="auto"/>
          <w:sz w:val="36"/>
          <w:szCs w:val="36"/>
          <w:highlight w:val="none"/>
        </w:rPr>
      </w:pPr>
      <w:bookmarkStart w:id="129" w:name="_Toc9965370"/>
      <w:bookmarkStart w:id="130" w:name="_Toc49422583"/>
      <w:bookmarkStart w:id="131" w:name="_Toc55916711"/>
    </w:p>
    <w:p>
      <w:pPr>
        <w:wordWrap w:val="0"/>
        <w:spacing w:line="500" w:lineRule="exact"/>
        <w:jc w:val="right"/>
        <w:rPr>
          <w:rFonts w:hint="eastAsia" w:ascii="宋体" w:hAnsi="宋体" w:eastAsia="宋体" w:cs="宋体"/>
          <w:b/>
          <w:color w:val="auto"/>
          <w:sz w:val="36"/>
          <w:szCs w:val="36"/>
          <w:highlight w:val="none"/>
        </w:rPr>
      </w:pPr>
    </w:p>
    <w:p>
      <w:pPr>
        <w:wordWrap w:val="0"/>
        <w:spacing w:line="500" w:lineRule="exact"/>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框架合同编号：【             】</w:t>
      </w:r>
    </w:p>
    <w:p>
      <w:pPr>
        <w:spacing w:line="500" w:lineRule="exact"/>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0"/>
          <w:szCs w:val="22"/>
          <w:highlight w:val="none"/>
        </w:rPr>
      </w:pPr>
    </w:p>
    <w:p>
      <w:pPr>
        <w:spacing w:line="360" w:lineRule="auto"/>
        <w:ind w:left="370" w:leftChars="200" w:hanging="10" w:firstLineChars="0"/>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秦岭大熊猫研究中心（陕西省珍稀野生动物救护基地）秦岭珍稀野生动物保护补助项目</w:t>
      </w:r>
    </w:p>
    <w:p>
      <w:pPr>
        <w:spacing w:line="360" w:lineRule="auto"/>
        <w:ind w:left="370" w:leftChars="200" w:hanging="10" w:firstLineChars="0"/>
        <w:jc w:val="center"/>
        <w:rPr>
          <w:rFonts w:hint="eastAsia" w:ascii="宋体" w:hAnsi="宋体" w:eastAsia="宋体" w:cs="宋体"/>
          <w:b/>
          <w:color w:val="auto"/>
          <w:sz w:val="44"/>
          <w:szCs w:val="44"/>
          <w:highlight w:val="none"/>
          <w:lang w:eastAsia="zh-CN"/>
        </w:rPr>
      </w:pPr>
    </w:p>
    <w:p>
      <w:pPr>
        <w:spacing w:line="360" w:lineRule="auto"/>
        <w:ind w:left="370" w:leftChars="200" w:hanging="10" w:firstLineChars="0"/>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框架合同</w:t>
      </w:r>
    </w:p>
    <w:p>
      <w:pPr>
        <w:widowControl/>
        <w:autoSpaceDE w:val="0"/>
        <w:autoSpaceDN w:val="0"/>
        <w:spacing w:line="500" w:lineRule="exact"/>
        <w:ind w:firstLine="360" w:firstLineChars="150"/>
        <w:textAlignment w:val="bottom"/>
        <w:rPr>
          <w:rFonts w:hint="eastAsia" w:ascii="宋体" w:hAnsi="宋体" w:eastAsia="宋体" w:cs="宋体"/>
          <w:color w:val="auto"/>
          <w:sz w:val="24"/>
          <w:highlight w:val="none"/>
        </w:rPr>
      </w:pPr>
    </w:p>
    <w:p>
      <w:pPr>
        <w:widowControl/>
        <w:autoSpaceDE w:val="0"/>
        <w:autoSpaceDN w:val="0"/>
        <w:spacing w:line="500" w:lineRule="exact"/>
        <w:ind w:firstLine="360" w:firstLineChars="150"/>
        <w:textAlignment w:val="bottom"/>
        <w:rPr>
          <w:rFonts w:hint="eastAsia" w:ascii="宋体" w:hAnsi="宋体" w:eastAsia="宋体" w:cs="宋体"/>
          <w:color w:val="auto"/>
          <w:sz w:val="24"/>
          <w:highlight w:val="none"/>
        </w:rPr>
      </w:pPr>
    </w:p>
    <w:p>
      <w:pPr>
        <w:widowControl/>
        <w:tabs>
          <w:tab w:val="left" w:pos="7980"/>
        </w:tabs>
        <w:autoSpaceDE w:val="0"/>
        <w:autoSpaceDN w:val="0"/>
        <w:spacing w:line="500" w:lineRule="exact"/>
        <w:ind w:firstLine="360" w:firstLineChars="15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widowControl/>
        <w:autoSpaceDE w:val="0"/>
        <w:autoSpaceDN w:val="0"/>
        <w:spacing w:line="500" w:lineRule="exact"/>
        <w:ind w:firstLine="360" w:firstLineChars="150"/>
        <w:textAlignment w:val="bottom"/>
        <w:rPr>
          <w:rFonts w:hint="eastAsia" w:ascii="宋体" w:hAnsi="宋体" w:eastAsia="宋体" w:cs="宋体"/>
          <w:color w:val="auto"/>
          <w:sz w:val="24"/>
          <w:highlight w:val="none"/>
        </w:rPr>
      </w:pPr>
    </w:p>
    <w:p>
      <w:pPr>
        <w:widowControl/>
        <w:autoSpaceDE w:val="0"/>
        <w:autoSpaceDN w:val="0"/>
        <w:spacing w:line="500" w:lineRule="exact"/>
        <w:textAlignment w:val="bottom"/>
        <w:rPr>
          <w:rFonts w:hint="eastAsia" w:ascii="宋体" w:hAnsi="宋体" w:eastAsia="宋体" w:cs="宋体"/>
          <w:b/>
          <w:color w:val="auto"/>
          <w:sz w:val="48"/>
          <w:highlight w:val="none"/>
        </w:rPr>
      </w:pPr>
    </w:p>
    <w:p>
      <w:pPr>
        <w:widowControl/>
        <w:autoSpaceDE w:val="0"/>
        <w:autoSpaceDN w:val="0"/>
        <w:spacing w:line="500" w:lineRule="exact"/>
        <w:jc w:val="center"/>
        <w:textAlignment w:val="bottom"/>
        <w:outlineLvl w:val="0"/>
        <w:rPr>
          <w:rFonts w:hint="eastAsia" w:ascii="宋体" w:hAnsi="宋体" w:eastAsia="宋体" w:cs="宋体"/>
          <w:b/>
          <w:color w:val="auto"/>
          <w:sz w:val="36"/>
          <w:highlight w:val="none"/>
        </w:rPr>
      </w:pPr>
      <w:bookmarkStart w:id="132" w:name="_Toc52262427"/>
      <w:bookmarkStart w:id="133" w:name="_Toc26502"/>
      <w:r>
        <w:rPr>
          <w:rFonts w:hint="eastAsia" w:ascii="宋体" w:hAnsi="宋体" w:eastAsia="宋体" w:cs="宋体"/>
          <w:b/>
          <w:color w:val="auto"/>
          <w:sz w:val="36"/>
          <w:highlight w:val="none"/>
          <w:lang w:eastAsia="zh-CN"/>
        </w:rPr>
        <w:t>甲方：</w:t>
      </w:r>
      <w:r>
        <w:rPr>
          <w:rFonts w:hint="eastAsia" w:ascii="宋体" w:hAnsi="宋体" w:eastAsia="宋体" w:cs="宋体"/>
          <w:b/>
          <w:color w:val="auto"/>
          <w:sz w:val="36"/>
          <w:highlight w:val="none"/>
        </w:rPr>
        <w:t>【】</w:t>
      </w:r>
      <w:bookmarkEnd w:id="132"/>
      <w:bookmarkEnd w:id="133"/>
    </w:p>
    <w:p>
      <w:pPr>
        <w:widowControl/>
        <w:autoSpaceDE w:val="0"/>
        <w:autoSpaceDN w:val="0"/>
        <w:spacing w:line="500" w:lineRule="exact"/>
        <w:jc w:val="center"/>
        <w:textAlignment w:val="bottom"/>
        <w:outlineLvl w:val="0"/>
        <w:rPr>
          <w:rFonts w:hint="eastAsia" w:ascii="宋体" w:hAnsi="宋体" w:eastAsia="宋体" w:cs="宋体"/>
          <w:b/>
          <w:color w:val="auto"/>
          <w:sz w:val="36"/>
          <w:highlight w:val="none"/>
        </w:rPr>
      </w:pPr>
      <w:bookmarkStart w:id="134" w:name="_Toc185499486"/>
      <w:bookmarkStart w:id="135" w:name="_Toc52262429"/>
      <w:bookmarkStart w:id="136" w:name="_Toc148073377"/>
      <w:bookmarkStart w:id="137" w:name="_Toc148073300"/>
      <w:bookmarkStart w:id="138" w:name="_Toc204569110"/>
      <w:bookmarkStart w:id="139" w:name="_Toc22867"/>
      <w:r>
        <w:rPr>
          <w:rFonts w:hint="eastAsia" w:ascii="宋体" w:hAnsi="宋体" w:eastAsia="宋体" w:cs="宋体"/>
          <w:b/>
          <w:color w:val="auto"/>
          <w:sz w:val="36"/>
          <w:highlight w:val="none"/>
          <w:lang w:eastAsia="zh-CN"/>
        </w:rPr>
        <w:t>乙方：</w:t>
      </w:r>
      <w:r>
        <w:rPr>
          <w:rFonts w:hint="eastAsia" w:ascii="宋体" w:hAnsi="宋体" w:eastAsia="宋体" w:cs="宋体"/>
          <w:b/>
          <w:color w:val="auto"/>
          <w:sz w:val="36"/>
          <w:highlight w:val="none"/>
        </w:rPr>
        <w:t>【】</w:t>
      </w:r>
      <w:bookmarkEnd w:id="134"/>
      <w:bookmarkEnd w:id="135"/>
      <w:bookmarkEnd w:id="136"/>
      <w:bookmarkEnd w:id="137"/>
      <w:bookmarkEnd w:id="138"/>
      <w:bookmarkEnd w:id="139"/>
    </w:p>
    <w:p>
      <w:pPr>
        <w:widowControl/>
        <w:autoSpaceDE w:val="0"/>
        <w:autoSpaceDN w:val="0"/>
        <w:spacing w:line="500" w:lineRule="exact"/>
        <w:jc w:val="center"/>
        <w:textAlignment w:val="bottom"/>
        <w:outlineLvl w:val="0"/>
        <w:rPr>
          <w:rFonts w:hint="eastAsia" w:ascii="宋体" w:hAnsi="宋体" w:eastAsia="宋体" w:cs="宋体"/>
          <w:b/>
          <w:color w:val="auto"/>
          <w:sz w:val="36"/>
          <w:highlight w:val="none"/>
        </w:rPr>
      </w:pPr>
    </w:p>
    <w:p>
      <w:pPr>
        <w:widowControl/>
        <w:autoSpaceDE w:val="0"/>
        <w:autoSpaceDN w:val="0"/>
        <w:spacing w:line="500" w:lineRule="exact"/>
        <w:jc w:val="center"/>
        <w:textAlignment w:val="bottom"/>
        <w:rPr>
          <w:rFonts w:hint="eastAsia" w:ascii="宋体" w:hAnsi="宋体" w:eastAsia="宋体" w:cs="宋体"/>
          <w:b/>
          <w:color w:val="auto"/>
          <w:sz w:val="36"/>
          <w:highlight w:val="none"/>
        </w:rPr>
      </w:pPr>
    </w:p>
    <w:p>
      <w:pPr>
        <w:pStyle w:val="23"/>
        <w:spacing w:line="500" w:lineRule="exact"/>
        <w:jc w:val="center"/>
        <w:rPr>
          <w:rFonts w:hint="eastAsia" w:ascii="宋体" w:hAnsi="宋体" w:eastAsia="宋体" w:cs="宋体"/>
          <w:color w:val="auto"/>
          <w:highlight w:val="none"/>
        </w:rPr>
      </w:pPr>
      <w:r>
        <w:rPr>
          <w:rFonts w:hint="eastAsia" w:ascii="宋体" w:hAnsi="宋体" w:eastAsia="宋体" w:cs="宋体"/>
          <w:b/>
          <w:color w:val="auto"/>
          <w:sz w:val="36"/>
          <w:highlight w:val="none"/>
        </w:rPr>
        <w:t>【</w:t>
      </w:r>
      <w:r>
        <w:rPr>
          <w:rFonts w:hint="eastAsia" w:ascii="宋体" w:hAnsi="宋体" w:eastAsia="宋体" w:cs="宋体"/>
          <w:b/>
          <w:color w:val="auto"/>
          <w:sz w:val="36"/>
          <w:highlight w:val="none"/>
          <w:lang w:eastAsia="zh-CN"/>
        </w:rPr>
        <w:t xml:space="preserve">   </w:t>
      </w:r>
      <w:r>
        <w:rPr>
          <w:rFonts w:hint="eastAsia" w:ascii="宋体" w:hAnsi="宋体" w:eastAsia="宋体" w:cs="宋体"/>
          <w:b/>
          <w:color w:val="auto"/>
          <w:sz w:val="36"/>
          <w:highlight w:val="none"/>
        </w:rPr>
        <w:t>】</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eastAsia="zh-CN"/>
        </w:rPr>
        <w:t xml:space="preserve">  </w:t>
      </w:r>
      <w:r>
        <w:rPr>
          <w:rFonts w:hint="eastAsia" w:ascii="宋体" w:hAnsi="宋体" w:eastAsia="宋体" w:cs="宋体"/>
          <w:b/>
          <w:color w:val="auto"/>
          <w:sz w:val="32"/>
          <w:highlight w:val="none"/>
        </w:rPr>
        <w:t xml:space="preserve"> 】月【 </w:t>
      </w:r>
      <w:r>
        <w:rPr>
          <w:rFonts w:hint="eastAsia" w:ascii="宋体" w:hAnsi="宋体" w:eastAsia="宋体" w:cs="宋体"/>
          <w:b/>
          <w:color w:val="auto"/>
          <w:sz w:val="32"/>
          <w:highlight w:val="none"/>
          <w:lang w:eastAsia="zh-CN"/>
        </w:rPr>
        <w:t xml:space="preserve">  </w:t>
      </w:r>
      <w:r>
        <w:rPr>
          <w:rFonts w:hint="eastAsia" w:ascii="宋体" w:hAnsi="宋体" w:eastAsia="宋体" w:cs="宋体"/>
          <w:b/>
          <w:color w:val="auto"/>
          <w:sz w:val="32"/>
          <w:highlight w:val="none"/>
        </w:rPr>
        <w:t>】于</w:t>
      </w:r>
      <w:r>
        <w:rPr>
          <w:rFonts w:hint="eastAsia" w:ascii="宋体" w:hAnsi="宋体" w:eastAsia="宋体" w:cs="宋体"/>
          <w:b/>
          <w:color w:val="auto"/>
          <w:sz w:val="36"/>
          <w:highlight w:val="none"/>
        </w:rPr>
        <w:t>【西安】</w:t>
      </w:r>
    </w:p>
    <w:p>
      <w:pPr>
        <w:spacing w:line="500" w:lineRule="exact"/>
        <w:rPr>
          <w:rFonts w:hint="eastAsia" w:ascii="宋体" w:hAnsi="宋体" w:eastAsia="宋体" w:cs="宋体"/>
          <w:color w:val="auto"/>
          <w:sz w:val="44"/>
          <w:highlight w:val="none"/>
        </w:rPr>
      </w:pPr>
    </w:p>
    <w:p>
      <w:pPr>
        <w:ind w:firstLine="358"/>
        <w:jc w:val="center"/>
        <w:rPr>
          <w:rFonts w:hint="eastAsia" w:ascii="宋体" w:hAnsi="宋体" w:eastAsia="宋体" w:cs="宋体"/>
          <w:color w:val="auto"/>
          <w:sz w:val="48"/>
          <w:highlight w:val="none"/>
        </w:rPr>
      </w:pPr>
    </w:p>
    <w:p>
      <w:pPr>
        <w:ind w:firstLine="358"/>
        <w:jc w:val="center"/>
        <w:rPr>
          <w:rFonts w:hint="eastAsia" w:ascii="宋体" w:hAnsi="宋体" w:eastAsia="宋体" w:cs="宋体"/>
          <w:color w:val="auto"/>
          <w:sz w:val="48"/>
          <w:highlight w:val="none"/>
        </w:rPr>
      </w:pPr>
    </w:p>
    <w:p>
      <w:pPr>
        <w:ind w:firstLine="358"/>
        <w:rPr>
          <w:rFonts w:hint="eastAsia" w:ascii="宋体" w:hAnsi="宋体" w:eastAsia="宋体" w:cs="宋体"/>
          <w:b/>
          <w:color w:val="auto"/>
          <w:sz w:val="36"/>
          <w:highlight w:val="none"/>
        </w:rPr>
      </w:pPr>
      <w:r>
        <w:rPr>
          <w:rFonts w:hint="eastAsia" w:ascii="宋体" w:hAnsi="宋体" w:eastAsia="宋体" w:cs="宋体"/>
          <w:color w:val="auto"/>
          <w:sz w:val="48"/>
          <w:highlight w:val="none"/>
        </w:rPr>
        <w:br w:type="page"/>
      </w:r>
    </w:p>
    <w:p>
      <w:pPr>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目　　录</w:t>
      </w:r>
    </w:p>
    <w:p>
      <w:pPr>
        <w:spacing w:line="360" w:lineRule="auto"/>
        <w:rPr>
          <w:rFonts w:hint="eastAsia" w:ascii="宋体" w:hAnsi="宋体" w:eastAsia="宋体" w:cs="宋体"/>
          <w:b/>
          <w:color w:val="auto"/>
          <w:szCs w:val="21"/>
          <w:highlight w:val="none"/>
        </w:rPr>
      </w:pP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Fonts w:hint="eastAsia" w:ascii="宋体" w:hAnsi="宋体" w:eastAsia="宋体" w:cs="宋体"/>
          <w:b w:val="0"/>
          <w:caps w:val="0"/>
          <w:color w:val="auto"/>
          <w:szCs w:val="21"/>
          <w:highlight w:val="none"/>
        </w:rPr>
        <w:fldChar w:fldCharType="begin"/>
      </w:r>
      <w:r>
        <w:rPr>
          <w:rFonts w:hint="eastAsia" w:ascii="宋体" w:hAnsi="宋体" w:eastAsia="宋体" w:cs="宋体"/>
          <w:b w:val="0"/>
          <w:caps w:val="0"/>
          <w:color w:val="auto"/>
          <w:szCs w:val="21"/>
          <w:highlight w:val="none"/>
        </w:rPr>
        <w:instrText xml:space="preserve"> TOC \o "1-1" \h \z \u </w:instrText>
      </w:r>
      <w:r>
        <w:rPr>
          <w:rFonts w:hint="eastAsia" w:ascii="宋体" w:hAnsi="宋体" w:eastAsia="宋体" w:cs="宋体"/>
          <w:b w:val="0"/>
          <w:caps w:val="0"/>
          <w:color w:val="auto"/>
          <w:szCs w:val="21"/>
          <w:highlight w:val="none"/>
        </w:rPr>
        <w:fldChar w:fldCharType="separate"/>
      </w: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"_Toc52262443"</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▪第一条　框架合同当事人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"_Toc52262444"</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第二条　框架合同有效期限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"_Toc52262445"</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第三条　框架合同标的及价格</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"_Toc52262446"</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第四条　付款方式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"_Toc52262447"</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第五条　供货通知的确认和效力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"_Toc52262448"</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第六条　运输与包装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"_Toc52262449"</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第七条　交付、开箱检验及验收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"_Toc52262450"</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第八条　承诺与保证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"_Toc52262451"</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第九条　违约责任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"_Toc52262452"</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第十条　不可抗力</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"_Toc52262453"</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第十一条　通知与送达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"_Toc52262454"</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第十二条　法律适用和争议解决</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28"/>
        <w:tabs>
          <w:tab w:val="right" w:leader="dot" w:pos="9060"/>
        </w:tabs>
        <w:spacing w:line="360" w:lineRule="auto"/>
        <w:rPr>
          <w:rFonts w:hint="eastAsia" w:ascii="宋体" w:hAnsi="宋体" w:eastAsia="宋体" w:cs="宋体"/>
          <w:b w:val="0"/>
          <w:bCs w:val="0"/>
          <w:caps w:val="0"/>
          <w:color w:val="auto"/>
          <w:szCs w:val="22"/>
          <w:highlight w:val="none"/>
        </w:rPr>
      </w:pPr>
      <w:r>
        <w:rPr>
          <w:rStyle w:val="46"/>
          <w:rFonts w:hint="eastAsia" w:ascii="宋体" w:hAnsi="宋体" w:eastAsia="宋体" w:cs="宋体"/>
          <w:color w:val="auto"/>
          <w:highlight w:val="none"/>
        </w:rPr>
        <w:fldChar w:fldCharType="begin"/>
      </w:r>
      <w:r>
        <w:rPr>
          <w:rStyle w:val="46"/>
          <w:rFonts w:hint="eastAsia" w:ascii="宋体" w:hAnsi="宋体" w:eastAsia="宋体" w:cs="宋体"/>
          <w:color w:val="auto"/>
          <w:highlight w:val="none"/>
        </w:rPr>
        <w:instrText xml:space="preserve"> </w:instrText>
      </w:r>
      <w:r>
        <w:rPr>
          <w:rFonts w:hint="eastAsia" w:ascii="宋体" w:hAnsi="宋体" w:eastAsia="宋体" w:cs="宋体"/>
          <w:color w:val="auto"/>
          <w:highlight w:val="none"/>
        </w:rPr>
        <w:instrText xml:space="preserve">HYPERLINK \l "_Toc52262455"</w:instrText>
      </w:r>
      <w:r>
        <w:rPr>
          <w:rStyle w:val="46"/>
          <w:rFonts w:hint="eastAsia" w:ascii="宋体" w:hAnsi="宋体" w:eastAsia="宋体" w:cs="宋体"/>
          <w:color w:val="auto"/>
          <w:highlight w:val="none"/>
        </w:rPr>
        <w:instrText xml:space="preserve"> </w:instrText>
      </w:r>
      <w:r>
        <w:rPr>
          <w:rStyle w:val="46"/>
          <w:rFonts w:hint="eastAsia" w:ascii="宋体" w:hAnsi="宋体" w:eastAsia="宋体" w:cs="宋体"/>
          <w:color w:val="auto"/>
          <w:highlight w:val="none"/>
        </w:rPr>
        <w:fldChar w:fldCharType="separate"/>
      </w:r>
      <w:r>
        <w:rPr>
          <w:rStyle w:val="46"/>
          <w:rFonts w:hint="eastAsia" w:ascii="宋体" w:hAnsi="宋体" w:eastAsia="宋体" w:cs="宋体"/>
          <w:color w:val="auto"/>
          <w:highlight w:val="none"/>
        </w:rPr>
        <w:t>第十三条　框架合同生效、终止及其他</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_Toc52262455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Style w:val="46"/>
          <w:rFonts w:hint="eastAsia" w:ascii="宋体" w:hAnsi="宋体" w:eastAsia="宋体" w:cs="宋体"/>
          <w:color w:val="auto"/>
          <w:highlight w:val="none"/>
        </w:rPr>
        <w:fldChar w:fldCharType="end"/>
      </w:r>
    </w:p>
    <w:p>
      <w:pPr>
        <w:pStyle w:val="3"/>
        <w:spacing w:line="360" w:lineRule="auto"/>
        <w:rPr>
          <w:rFonts w:hint="eastAsia" w:ascii="宋体" w:hAnsi="宋体" w:eastAsia="宋体" w:cs="宋体"/>
          <w:b w:val="0"/>
          <w:color w:val="auto"/>
          <w:sz w:val="22"/>
          <w:szCs w:val="22"/>
          <w:highlight w:val="none"/>
        </w:rPr>
      </w:pPr>
      <w:bookmarkStart w:id="140" w:name="_Toc21453"/>
      <w:r>
        <w:rPr>
          <w:rFonts w:hint="eastAsia" w:ascii="宋体" w:hAnsi="宋体" w:eastAsia="宋体" w:cs="宋体"/>
          <w:b w:val="0"/>
          <w:caps/>
          <w:color w:val="auto"/>
          <w:kern w:val="2"/>
          <w:sz w:val="21"/>
          <w:szCs w:val="21"/>
          <w:highlight w:val="none"/>
          <w:lang w:val="en-US" w:eastAsia="zh-CN"/>
        </w:rPr>
        <w:fldChar w:fldCharType="end"/>
      </w:r>
      <w:r>
        <w:rPr>
          <w:rFonts w:hint="eastAsia" w:ascii="宋体" w:hAnsi="宋体" w:eastAsia="宋体" w:cs="宋体"/>
          <w:b w:val="0"/>
          <w:color w:val="auto"/>
          <w:sz w:val="36"/>
          <w:highlight w:val="none"/>
        </w:rPr>
        <w:br w:type="page"/>
      </w:r>
      <w:bookmarkStart w:id="141" w:name="_Toc52262443"/>
      <w:bookmarkStart w:id="142" w:name="_Toc68613768"/>
      <w:bookmarkStart w:id="143" w:name="_Toc148073378"/>
      <w:bookmarkStart w:id="144" w:name="_Toc185499487"/>
      <w:bookmarkStart w:id="145" w:name="_Toc148073301"/>
      <w:bookmarkStart w:id="146" w:name="_Toc111947937"/>
      <w:r>
        <w:rPr>
          <w:rFonts w:hint="eastAsia" w:ascii="宋体" w:hAnsi="宋体" w:eastAsia="宋体" w:cs="宋体"/>
          <w:color w:val="auto"/>
          <w:sz w:val="22"/>
          <w:szCs w:val="22"/>
          <w:highlight w:val="none"/>
        </w:rPr>
        <w:t>▪第一条　框架合同当事人</w:t>
      </w:r>
      <w:bookmarkEnd w:id="140"/>
      <w:bookmarkEnd w:id="141"/>
      <w:bookmarkEnd w:id="142"/>
      <w:bookmarkEnd w:id="143"/>
      <w:bookmarkEnd w:id="144"/>
      <w:bookmarkEnd w:id="145"/>
      <w:bookmarkEnd w:id="146"/>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本框架合同由下列当事人于【   】年【   】月【   】日在【西安】签订。</w:t>
      </w:r>
    </w:p>
    <w:p>
      <w:pPr>
        <w:spacing w:line="360" w:lineRule="auto"/>
        <w:ind w:firstLine="420"/>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买    方</w:t>
      </w:r>
      <w:r>
        <w:rPr>
          <w:rFonts w:hint="eastAsia" w:ascii="宋体" w:hAnsi="宋体" w:eastAsia="宋体" w:cs="宋体"/>
          <w:color w:val="auto"/>
          <w:sz w:val="22"/>
          <w:szCs w:val="22"/>
          <w:highlight w:val="none"/>
        </w:rPr>
        <w:t>：</w:t>
      </w:r>
    </w:p>
    <w:p>
      <w:pPr>
        <w:tabs>
          <w:tab w:val="left" w:pos="7350"/>
        </w:tabs>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法定地址：</w:t>
      </w:r>
      <w:r>
        <w:rPr>
          <w:rFonts w:hint="eastAsia" w:ascii="宋体" w:hAnsi="宋体" w:eastAsia="宋体" w:cs="宋体"/>
          <w:color w:val="auto"/>
          <w:sz w:val="22"/>
          <w:szCs w:val="22"/>
          <w:highlight w:val="none"/>
        </w:rPr>
        <w:tab/>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spacing w:line="360" w:lineRule="auto"/>
        <w:rPr>
          <w:rFonts w:hint="eastAsia" w:ascii="宋体" w:hAnsi="宋体" w:eastAsia="宋体" w:cs="宋体"/>
          <w:color w:val="auto"/>
          <w:sz w:val="22"/>
          <w:szCs w:val="22"/>
          <w:highlight w:val="none"/>
        </w:rPr>
      </w:pPr>
    </w:p>
    <w:p>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卖    方：</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法定地址： </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 </w:t>
      </w:r>
    </w:p>
    <w:p>
      <w:pPr>
        <w:spacing w:line="360" w:lineRule="auto"/>
        <w:rPr>
          <w:rFonts w:hint="eastAsia" w:ascii="宋体" w:hAnsi="宋体" w:eastAsia="宋体" w:cs="宋体"/>
          <w:color w:val="auto"/>
          <w:sz w:val="22"/>
          <w:szCs w:val="22"/>
          <w:highlight w:val="none"/>
        </w:rPr>
      </w:pPr>
    </w:p>
    <w:p>
      <w:pPr>
        <w:pStyle w:val="23"/>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1.2鉴于</w:t>
      </w:r>
      <w:r>
        <w:rPr>
          <w:rFonts w:hint="eastAsia" w:ascii="宋体" w:hAnsi="宋体" w:eastAsia="宋体" w:cs="宋体"/>
          <w:color w:val="auto"/>
          <w:sz w:val="22"/>
          <w:szCs w:val="22"/>
          <w:highlight w:val="none"/>
        </w:rPr>
        <w:t>：</w:t>
      </w:r>
    </w:p>
    <w:p>
      <w:pPr>
        <w:pStyle w:val="23"/>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1.2.1</w:t>
      </w:r>
      <w:r>
        <w:rPr>
          <w:rFonts w:hint="eastAsia" w:ascii="宋体" w:hAnsi="宋体" w:eastAsia="宋体" w:cs="宋体"/>
          <w:color w:val="auto"/>
          <w:sz w:val="22"/>
          <w:szCs w:val="22"/>
          <w:highlight w:val="none"/>
        </w:rPr>
        <w:t>买方：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rPr>
        <w:t>一家依据中华人民共和国“中国”法律成立并在中国【</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】合法注册的法人单位，具有签署本框架合同的合法主体资格，且在签署本框架合同时无任何法律障碍和重大事件影响买方继续正常存续和履行本框架合同的能力；</w:t>
      </w:r>
    </w:p>
    <w:p>
      <w:pPr>
        <w:pStyle w:val="23"/>
        <w:spacing w:line="360" w:lineRule="auto"/>
        <w:ind w:left="360"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1.2.2卖方：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lang w:eastAsia="zh-CN"/>
        </w:rPr>
        <w:t>】是</w:t>
      </w:r>
      <w:r>
        <w:rPr>
          <w:rFonts w:hint="eastAsia" w:ascii="宋体" w:hAnsi="宋体" w:eastAsia="宋体" w:cs="宋体"/>
          <w:color w:val="auto"/>
          <w:sz w:val="22"/>
          <w:szCs w:val="22"/>
          <w:highlight w:val="none"/>
        </w:rPr>
        <w:t xml:space="preserve">一家依据中国法律成立并在中国【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】合法注册、经营及有效存续的公司，具有签署本框架合同的合法主体资格，且在签署本框架合同时无任何法律障碍和重大事件影响卖方继续正常存续和履行本框架合同的能力；</w:t>
      </w:r>
    </w:p>
    <w:p>
      <w:pPr>
        <w:pStyle w:val="23"/>
        <w:spacing w:line="360" w:lineRule="auto"/>
        <w:ind w:left="360" w:hanging="330" w:hanging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卖方拥有合法销售本框架合同标的物的全部政府许可、生产和/或使用许可和/或授权，对其所销售的标的物拥有完全的排他的所有权和/或知识产权。卖方对本框架合同标的物的销售不会损害任何第三方的合法权益和社会公共利益。</w:t>
      </w:r>
    </w:p>
    <w:p>
      <w:pPr>
        <w:pStyle w:val="23"/>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b/>
          <w:color w:val="auto"/>
          <w:sz w:val="22"/>
          <w:szCs w:val="22"/>
          <w:highlight w:val="none"/>
          <w:lang w:eastAsia="zh-CN"/>
        </w:rPr>
        <w:t>4</w:t>
      </w:r>
      <w:r>
        <w:rPr>
          <w:rFonts w:hint="eastAsia" w:ascii="宋体" w:hAnsi="宋体" w:eastAsia="宋体" w:cs="宋体"/>
          <w:color w:val="auto"/>
          <w:sz w:val="22"/>
          <w:szCs w:val="22"/>
          <w:highlight w:val="none"/>
        </w:rPr>
        <w:t>买方拟购买卖方供应的本框架合同标的物，卖方予以同意，并承诺在框架标的内按照买方订单方式的合同要约，满足买方的采购需求。</w:t>
      </w:r>
    </w:p>
    <w:p>
      <w:pPr>
        <w:pStyle w:val="23"/>
        <w:spacing w:line="360" w:lineRule="auto"/>
        <w:ind w:left="359" w:hanging="329" w:hangingChars="149"/>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b/>
          <w:color w:val="auto"/>
          <w:sz w:val="22"/>
          <w:szCs w:val="22"/>
          <w:highlight w:val="none"/>
          <w:lang w:eastAsia="zh-CN"/>
        </w:rPr>
        <w:t>5</w:t>
      </w:r>
      <w:r>
        <w:rPr>
          <w:rFonts w:hint="eastAsia" w:ascii="宋体" w:hAnsi="宋体" w:eastAsia="宋体" w:cs="宋体"/>
          <w:color w:val="auto"/>
          <w:sz w:val="22"/>
          <w:szCs w:val="22"/>
          <w:highlight w:val="none"/>
        </w:rPr>
        <w:t>双方约定实行订单结算，以每笔双方执行的有效订单作为一个结算账目。</w:t>
      </w:r>
    </w:p>
    <w:p>
      <w:pPr>
        <w:pStyle w:val="23"/>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w:t>
      </w:r>
      <w:r>
        <w:rPr>
          <w:rFonts w:hint="eastAsia" w:ascii="宋体" w:hAnsi="宋体" w:eastAsia="宋体" w:cs="宋体"/>
          <w:color w:val="auto"/>
          <w:sz w:val="22"/>
          <w:szCs w:val="22"/>
          <w:highlight w:val="none"/>
        </w:rPr>
        <w:t>为此，本框架合同各方当事人本着平等互惠、协商一致的原则，授权各自的代表按照下述条款签署本框架合同。</w:t>
      </w:r>
    </w:p>
    <w:p>
      <w:pPr>
        <w:pStyle w:val="3"/>
        <w:spacing w:line="360" w:lineRule="auto"/>
        <w:rPr>
          <w:rFonts w:hint="eastAsia" w:ascii="宋体" w:hAnsi="宋体" w:eastAsia="宋体" w:cs="宋体"/>
          <w:color w:val="auto"/>
          <w:sz w:val="22"/>
          <w:szCs w:val="22"/>
          <w:highlight w:val="none"/>
        </w:rPr>
      </w:pPr>
      <w:bookmarkStart w:id="147" w:name="_Toc52262444"/>
      <w:bookmarkStart w:id="148" w:name="_Toc23856"/>
      <w:bookmarkStart w:id="149" w:name="_Toc185499488"/>
      <w:bookmarkStart w:id="150" w:name="_Toc68613769"/>
      <w:bookmarkStart w:id="151" w:name="_Toc148073379"/>
      <w:r>
        <w:rPr>
          <w:rFonts w:hint="eastAsia" w:ascii="宋体" w:hAnsi="宋体" w:eastAsia="宋体" w:cs="宋体"/>
          <w:color w:val="auto"/>
          <w:sz w:val="22"/>
          <w:szCs w:val="22"/>
          <w:highlight w:val="none"/>
        </w:rPr>
        <w:t>第二条　框架合同有效期限</w:t>
      </w:r>
      <w:bookmarkEnd w:id="147"/>
      <w:bookmarkEnd w:id="148"/>
    </w:p>
    <w:p>
      <w:pPr>
        <w:pStyle w:val="23"/>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 xml:space="preserve"> </w:t>
      </w:r>
      <w:r>
        <w:rPr>
          <w:rFonts w:hint="eastAsia" w:ascii="宋体" w:hAnsi="宋体" w:eastAsia="宋体" w:cs="宋体"/>
          <w:color w:val="auto"/>
          <w:sz w:val="22"/>
          <w:szCs w:val="22"/>
          <w:highlight w:val="none"/>
        </w:rPr>
        <w:t>合同有效期至框架合同预估合同金额到达或</w:t>
      </w:r>
      <w:r>
        <w:rPr>
          <w:rFonts w:hint="eastAsia" w:ascii="宋体" w:hAnsi="宋体" w:eastAsia="宋体" w:cs="宋体"/>
          <w:color w:val="auto"/>
          <w:sz w:val="22"/>
          <w:szCs w:val="22"/>
          <w:highlight w:val="none"/>
          <w:lang w:eastAsia="zh-CN"/>
        </w:rPr>
        <w:t>秦岭大熊猫研究中心（陕西省珍稀野生动物救护基地）</w:t>
      </w:r>
      <w:r>
        <w:rPr>
          <w:rFonts w:hint="eastAsia" w:ascii="宋体" w:hAnsi="宋体" w:eastAsia="宋体" w:cs="宋体"/>
          <w:color w:val="auto"/>
          <w:sz w:val="22"/>
          <w:szCs w:val="22"/>
          <w:highlight w:val="none"/>
        </w:rPr>
        <w:t>下一</w:t>
      </w:r>
      <w:r>
        <w:rPr>
          <w:rFonts w:hint="eastAsia" w:ascii="宋体" w:hAnsi="宋体" w:eastAsia="宋体" w:cs="宋体"/>
          <w:color w:val="auto"/>
          <w:sz w:val="22"/>
          <w:szCs w:val="22"/>
          <w:highlight w:val="none"/>
          <w:lang w:eastAsia="zh-CN"/>
        </w:rPr>
        <w:t>年度该项目</w:t>
      </w:r>
      <w:r>
        <w:rPr>
          <w:rFonts w:hint="eastAsia" w:ascii="宋体" w:hAnsi="宋体" w:eastAsia="宋体" w:cs="宋体"/>
          <w:color w:val="auto"/>
          <w:sz w:val="22"/>
          <w:szCs w:val="22"/>
          <w:highlight w:val="none"/>
        </w:rPr>
        <w:t>采购结果公布时终止。</w:t>
      </w:r>
      <w:bookmarkEnd w:id="149"/>
    </w:p>
    <w:p>
      <w:pPr>
        <w:pStyle w:val="3"/>
        <w:spacing w:line="360" w:lineRule="auto"/>
        <w:rPr>
          <w:rFonts w:hint="eastAsia" w:ascii="宋体" w:hAnsi="宋体" w:eastAsia="宋体" w:cs="宋体"/>
          <w:color w:val="auto"/>
          <w:sz w:val="22"/>
          <w:szCs w:val="22"/>
          <w:highlight w:val="none"/>
        </w:rPr>
      </w:pPr>
      <w:bookmarkStart w:id="152" w:name="_Toc185499489"/>
      <w:bookmarkStart w:id="153" w:name="_Toc52262445"/>
      <w:bookmarkStart w:id="154" w:name="_Toc23873"/>
      <w:r>
        <w:rPr>
          <w:rFonts w:hint="eastAsia" w:ascii="宋体" w:hAnsi="宋体" w:eastAsia="宋体" w:cs="宋体"/>
          <w:color w:val="auto"/>
          <w:sz w:val="22"/>
          <w:szCs w:val="22"/>
          <w:highlight w:val="none"/>
        </w:rPr>
        <w:t>第三条　框架合同标的及价</w:t>
      </w:r>
      <w:bookmarkEnd w:id="150"/>
      <w:r>
        <w:rPr>
          <w:rFonts w:hint="eastAsia" w:ascii="宋体" w:hAnsi="宋体" w:eastAsia="宋体" w:cs="宋体"/>
          <w:color w:val="auto"/>
          <w:sz w:val="22"/>
          <w:szCs w:val="22"/>
          <w:highlight w:val="none"/>
        </w:rPr>
        <w:t>格</w:t>
      </w:r>
      <w:bookmarkEnd w:id="151"/>
      <w:bookmarkEnd w:id="152"/>
      <w:bookmarkEnd w:id="153"/>
      <w:bookmarkEnd w:id="154"/>
    </w:p>
    <w:p>
      <w:pPr>
        <w:pStyle w:val="23"/>
        <w:adjustRightInd/>
        <w:spacing w:line="360" w:lineRule="auto"/>
        <w:ind w:left="482" w:hanging="442" w:hanging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rPr>
        <w:t>3.1</w:t>
      </w:r>
      <w:r>
        <w:rPr>
          <w:rFonts w:hint="eastAsia" w:ascii="宋体" w:hAnsi="宋体" w:eastAsia="宋体" w:cs="宋体"/>
          <w:color w:val="auto"/>
          <w:sz w:val="22"/>
          <w:szCs w:val="22"/>
          <w:highlight w:val="none"/>
          <w:lang w:eastAsia="zh-CN"/>
        </w:rPr>
        <w:t>货物</w:t>
      </w:r>
      <w:r>
        <w:rPr>
          <w:rFonts w:hint="eastAsia" w:ascii="宋体" w:hAnsi="宋体" w:eastAsia="宋体" w:cs="宋体"/>
          <w:color w:val="auto"/>
          <w:sz w:val="22"/>
          <w:szCs w:val="22"/>
          <w:highlight w:val="none"/>
        </w:rPr>
        <w:t>价格</w:t>
      </w:r>
    </w:p>
    <w:tbl>
      <w:tblPr>
        <w:tblStyle w:val="39"/>
        <w:tblW w:w="5000" w:type="pct"/>
        <w:tblInd w:w="0" w:type="dxa"/>
        <w:tblLayout w:type="autofit"/>
        <w:tblCellMar>
          <w:top w:w="0" w:type="dxa"/>
          <w:left w:w="108" w:type="dxa"/>
          <w:bottom w:w="0" w:type="dxa"/>
          <w:right w:w="108" w:type="dxa"/>
        </w:tblCellMar>
      </w:tblPr>
      <w:tblGrid>
        <w:gridCol w:w="1844"/>
        <w:gridCol w:w="1864"/>
        <w:gridCol w:w="2381"/>
        <w:gridCol w:w="2424"/>
        <w:gridCol w:w="15"/>
      </w:tblGrid>
      <w:tr>
        <w:tblPrEx>
          <w:tblCellMar>
            <w:top w:w="0" w:type="dxa"/>
            <w:left w:w="108" w:type="dxa"/>
            <w:bottom w:w="0" w:type="dxa"/>
            <w:right w:w="108" w:type="dxa"/>
          </w:tblCellMar>
        </w:tblPrEx>
        <w:trPr>
          <w:gridAfter w:val="1"/>
          <w:wAfter w:w="9" w:type="pct"/>
          <w:trHeight w:val="525" w:hRule="atLeast"/>
        </w:trPr>
        <w:tc>
          <w:tcPr>
            <w:tcW w:w="108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品名</w:t>
            </w:r>
          </w:p>
        </w:tc>
        <w:tc>
          <w:tcPr>
            <w:tcW w:w="1093"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预估数量（斤）</w:t>
            </w: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单价</w:t>
            </w:r>
          </w:p>
        </w:tc>
        <w:tc>
          <w:tcPr>
            <w:tcW w:w="142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含税价格（人民币元）</w:t>
            </w:r>
          </w:p>
        </w:tc>
      </w:tr>
      <w:tr>
        <w:tblPrEx>
          <w:tblCellMar>
            <w:top w:w="0" w:type="dxa"/>
            <w:left w:w="108" w:type="dxa"/>
            <w:bottom w:w="0" w:type="dxa"/>
            <w:right w:w="108" w:type="dxa"/>
          </w:tblCellMar>
        </w:tblPrEx>
        <w:trPr>
          <w:gridAfter w:val="1"/>
          <w:wAfter w:w="9" w:type="pct"/>
          <w:trHeight w:val="541" w:hRule="atLeast"/>
        </w:trPr>
        <w:tc>
          <w:tcPr>
            <w:tcW w:w="108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b/>
                <w:bCs/>
                <w:color w:val="auto"/>
                <w:kern w:val="0"/>
                <w:sz w:val="22"/>
                <w:szCs w:val="22"/>
                <w:highlight w:val="none"/>
              </w:rPr>
            </w:pPr>
          </w:p>
        </w:tc>
        <w:tc>
          <w:tcPr>
            <w:tcW w:w="1093"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b/>
                <w:bCs/>
                <w:color w:val="auto"/>
                <w:kern w:val="0"/>
                <w:sz w:val="22"/>
                <w:szCs w:val="22"/>
                <w:highlight w:val="none"/>
              </w:rPr>
            </w:pP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（人民币元）</w:t>
            </w:r>
          </w:p>
        </w:tc>
        <w:tc>
          <w:tcPr>
            <w:tcW w:w="1421"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b/>
                <w:bCs/>
                <w:color w:val="auto"/>
                <w:kern w:val="0"/>
                <w:sz w:val="22"/>
                <w:szCs w:val="22"/>
                <w:highlight w:val="none"/>
              </w:rPr>
            </w:pPr>
          </w:p>
        </w:tc>
      </w:tr>
      <w:tr>
        <w:tblPrEx>
          <w:tblCellMar>
            <w:top w:w="0" w:type="dxa"/>
            <w:left w:w="108" w:type="dxa"/>
            <w:bottom w:w="0" w:type="dxa"/>
            <w:right w:w="108" w:type="dxa"/>
          </w:tblCellMar>
        </w:tblPrEx>
        <w:trPr>
          <w:gridAfter w:val="1"/>
          <w:wAfter w:w="9" w:type="pct"/>
          <w:trHeight w:val="294" w:hRule="atLeast"/>
        </w:trPr>
        <w:tc>
          <w:tcPr>
            <w:tcW w:w="1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gridAfter w:val="1"/>
          <w:wAfter w:w="9" w:type="pct"/>
          <w:trHeight w:val="294" w:hRule="atLeast"/>
        </w:trPr>
        <w:tc>
          <w:tcPr>
            <w:tcW w:w="1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09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c>
          <w:tcPr>
            <w:tcW w:w="139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宋体" w:hAnsi="宋体" w:eastAsia="宋体" w:cs="宋体"/>
                <w:color w:val="auto"/>
                <w:sz w:val="22"/>
                <w:szCs w:val="22"/>
                <w:highlight w:val="none"/>
              </w:rPr>
            </w:pPr>
          </w:p>
        </w:tc>
        <w:tc>
          <w:tcPr>
            <w:tcW w:w="142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eastAsia="宋体" w:cs="宋体"/>
                <w:color w:val="auto"/>
                <w:kern w:val="0"/>
                <w:sz w:val="22"/>
                <w:szCs w:val="22"/>
                <w:highlight w:val="none"/>
              </w:rPr>
            </w:pPr>
          </w:p>
        </w:tc>
      </w:tr>
      <w:tr>
        <w:tblPrEx>
          <w:tblCellMar>
            <w:top w:w="0" w:type="dxa"/>
            <w:left w:w="108" w:type="dxa"/>
            <w:bottom w:w="0" w:type="dxa"/>
            <w:right w:w="108" w:type="dxa"/>
          </w:tblCellMar>
        </w:tblPrEx>
        <w:trPr>
          <w:trHeight w:val="479" w:hRule="atLeast"/>
        </w:trPr>
        <w:tc>
          <w:tcPr>
            <w:tcW w:w="10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预估合同总价</w:t>
            </w:r>
          </w:p>
        </w:tc>
        <w:tc>
          <w:tcPr>
            <w:tcW w:w="248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（大写）</w:t>
            </w:r>
          </w:p>
        </w:tc>
        <w:tc>
          <w:tcPr>
            <w:tcW w:w="1432"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both"/>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（小写）</w:t>
            </w:r>
          </w:p>
        </w:tc>
      </w:tr>
    </w:tbl>
    <w:p>
      <w:pPr>
        <w:pStyle w:val="23"/>
        <w:adjustRightInd/>
        <w:spacing w:line="360" w:lineRule="auto"/>
        <w:ind w:left="482" w:hanging="442" w:hanging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color w:val="auto"/>
          <w:sz w:val="22"/>
          <w:szCs w:val="22"/>
          <w:highlight w:val="none"/>
          <w:lang w:eastAsia="zh-CN"/>
        </w:rPr>
        <w:t>2</w:t>
      </w:r>
      <w:r>
        <w:rPr>
          <w:rFonts w:hint="eastAsia" w:ascii="宋体" w:hAnsi="宋体" w:eastAsia="宋体" w:cs="宋体"/>
          <w:color w:val="auto"/>
          <w:sz w:val="22"/>
          <w:szCs w:val="22"/>
          <w:highlight w:val="none"/>
        </w:rPr>
        <w:t>买方不承诺全部采购预估采购清单中的</w:t>
      </w:r>
      <w:r>
        <w:rPr>
          <w:rFonts w:hint="eastAsia" w:ascii="宋体" w:hAnsi="宋体" w:eastAsia="宋体" w:cs="宋体"/>
          <w:color w:val="auto"/>
          <w:sz w:val="22"/>
          <w:szCs w:val="22"/>
          <w:highlight w:val="none"/>
          <w:lang w:eastAsia="zh-CN"/>
        </w:rPr>
        <w:t>品名</w:t>
      </w:r>
      <w:r>
        <w:rPr>
          <w:rFonts w:hint="eastAsia" w:ascii="宋体" w:hAnsi="宋体" w:eastAsia="宋体" w:cs="宋体"/>
          <w:color w:val="auto"/>
          <w:sz w:val="22"/>
          <w:szCs w:val="22"/>
          <w:highlight w:val="none"/>
        </w:rPr>
        <w:t>和数量，采购量最终以框架合同有效期限内买方实际的供货需求数量来确定。实际结算价按照实际采购数量</w:t>
      </w:r>
      <w:r>
        <w:rPr>
          <w:rFonts w:hint="eastAsia" w:ascii="宋体" w:hAnsi="宋体" w:eastAsia="宋体" w:cs="宋体"/>
          <w:color w:val="auto"/>
          <w:sz w:val="22"/>
          <w:szCs w:val="22"/>
          <w:highlight w:val="none"/>
          <w:lang w:eastAsia="zh-CN"/>
        </w:rPr>
        <w:t>、品名</w:t>
      </w:r>
      <w:r>
        <w:rPr>
          <w:rFonts w:hint="eastAsia" w:ascii="宋体" w:hAnsi="宋体" w:eastAsia="宋体" w:cs="宋体"/>
          <w:color w:val="auto"/>
          <w:sz w:val="22"/>
          <w:szCs w:val="22"/>
          <w:highlight w:val="none"/>
        </w:rPr>
        <w:t>对应的价格确定。在框架总量内按买方需求分批次采购，按批次进行订单结算。</w:t>
      </w:r>
    </w:p>
    <w:p>
      <w:pPr>
        <w:pStyle w:val="23"/>
        <w:adjustRightInd/>
        <w:spacing w:line="360" w:lineRule="auto"/>
        <w:ind w:left="482" w:hanging="442" w:hanging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3.4</w:t>
      </w:r>
      <w:r>
        <w:rPr>
          <w:rFonts w:hint="eastAsia" w:ascii="宋体" w:hAnsi="宋体" w:eastAsia="宋体" w:cs="宋体"/>
          <w:color w:val="auto"/>
          <w:sz w:val="22"/>
          <w:szCs w:val="22"/>
          <w:highlight w:val="none"/>
        </w:rPr>
        <w:t xml:space="preserve"> 上述框架合同预估采购总量是依据</w:t>
      </w:r>
      <w:r>
        <w:rPr>
          <w:rFonts w:hint="eastAsia" w:ascii="宋体" w:hAnsi="宋体" w:eastAsia="宋体" w:cs="宋体"/>
          <w:color w:val="auto"/>
          <w:sz w:val="22"/>
          <w:szCs w:val="22"/>
          <w:highlight w:val="none"/>
          <w:lang w:eastAsia="zh-CN"/>
        </w:rPr>
        <w:t>秦岭大熊猫研究中心（陕西省珍稀野生动物救护基地）秦岭珍稀野生动物保护补助项目</w:t>
      </w:r>
      <w:r>
        <w:rPr>
          <w:rFonts w:hint="eastAsia" w:ascii="宋体" w:hAnsi="宋体" w:eastAsia="宋体" w:cs="宋体"/>
          <w:color w:val="auto"/>
          <w:sz w:val="22"/>
          <w:szCs w:val="22"/>
          <w:highlight w:val="none"/>
        </w:rPr>
        <w:t>按较高配置预估的采购规模清单，据此计算出的预估总价为预估总价。</w:t>
      </w:r>
    </w:p>
    <w:p>
      <w:pPr>
        <w:pStyle w:val="23"/>
        <w:adjustRightInd/>
        <w:spacing w:line="360" w:lineRule="auto"/>
        <w:ind w:left="470" w:hanging="47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3.5</w:t>
      </w:r>
      <w:r>
        <w:rPr>
          <w:rFonts w:hint="eastAsia" w:ascii="宋体" w:hAnsi="宋体" w:eastAsia="宋体" w:cs="宋体"/>
          <w:color w:val="auto"/>
          <w:sz w:val="22"/>
          <w:szCs w:val="22"/>
          <w:highlight w:val="none"/>
        </w:rPr>
        <w:t>上述产品</w:t>
      </w:r>
      <w:r>
        <w:rPr>
          <w:rFonts w:hint="eastAsia" w:ascii="宋体" w:hAnsi="宋体" w:eastAsia="宋体" w:cs="宋体"/>
          <w:color w:val="auto"/>
          <w:sz w:val="22"/>
          <w:szCs w:val="22"/>
          <w:highlight w:val="none"/>
          <w:lang w:eastAsia="zh-CN"/>
        </w:rPr>
        <w:t>供应</w:t>
      </w:r>
      <w:r>
        <w:rPr>
          <w:rFonts w:hint="eastAsia" w:ascii="宋体" w:hAnsi="宋体" w:eastAsia="宋体" w:cs="宋体"/>
          <w:color w:val="auto"/>
          <w:sz w:val="22"/>
          <w:szCs w:val="22"/>
          <w:highlight w:val="none"/>
        </w:rPr>
        <w:t>商为【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】，产地为：【</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】，以下亦称“货物”</w:t>
      </w:r>
      <w:r>
        <w:rPr>
          <w:rFonts w:hint="eastAsia" w:ascii="宋体" w:hAnsi="宋体" w:eastAsia="宋体" w:cs="宋体"/>
          <w:color w:val="auto"/>
          <w:sz w:val="22"/>
          <w:szCs w:val="22"/>
          <w:highlight w:val="none"/>
          <w:lang w:eastAsia="zh-CN"/>
        </w:rPr>
        <w:t>。</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3.6</w:t>
      </w:r>
      <w:r>
        <w:rPr>
          <w:rFonts w:hint="eastAsia" w:ascii="宋体" w:hAnsi="宋体" w:eastAsia="宋体" w:cs="宋体"/>
          <w:color w:val="auto"/>
          <w:sz w:val="22"/>
          <w:szCs w:val="22"/>
          <w:highlight w:val="none"/>
        </w:rPr>
        <w:t>上述货物双方同意按</w:t>
      </w:r>
      <w:r>
        <w:rPr>
          <w:rFonts w:hint="eastAsia" w:ascii="宋体" w:hAnsi="宋体" w:eastAsia="宋体" w:cs="宋体"/>
          <w:color w:val="auto"/>
          <w:sz w:val="22"/>
          <w:szCs w:val="22"/>
          <w:highlight w:val="none"/>
          <w:lang w:eastAsia="zh-CN"/>
        </w:rPr>
        <w:t>秦岭大熊猫研究中心（陕西省珍稀野生动物救护基地）秦岭珍稀野生动物保护补助项目</w:t>
      </w:r>
      <w:r>
        <w:rPr>
          <w:rFonts w:hint="eastAsia" w:ascii="宋体" w:hAnsi="宋体" w:eastAsia="宋体" w:cs="宋体"/>
          <w:color w:val="auto"/>
          <w:sz w:val="22"/>
          <w:szCs w:val="22"/>
          <w:highlight w:val="none"/>
        </w:rPr>
        <w:t>招投标所约定标准执行。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3.7</w:t>
      </w:r>
      <w:r>
        <w:rPr>
          <w:rFonts w:hint="eastAsia" w:ascii="宋体" w:hAnsi="宋体" w:eastAsia="宋体" w:cs="宋体"/>
          <w:color w:val="auto"/>
          <w:sz w:val="22"/>
          <w:szCs w:val="22"/>
          <w:highlight w:val="none"/>
        </w:rPr>
        <w:t>有关技术和质量标准，双方同意按</w:t>
      </w:r>
      <w:r>
        <w:rPr>
          <w:rFonts w:hint="eastAsia" w:ascii="宋体" w:hAnsi="宋体" w:eastAsia="宋体" w:cs="宋体"/>
          <w:color w:val="auto"/>
          <w:sz w:val="22"/>
          <w:szCs w:val="22"/>
          <w:highlight w:val="none"/>
          <w:lang w:eastAsia="zh-CN"/>
        </w:rPr>
        <w:t>秦岭大熊猫研究中心（陕西省珍稀野生动物救护基地）秦岭珍稀野生动物保护补助项目</w:t>
      </w:r>
      <w:r>
        <w:rPr>
          <w:rFonts w:hint="eastAsia" w:ascii="宋体" w:hAnsi="宋体" w:eastAsia="宋体" w:cs="宋体"/>
          <w:color w:val="auto"/>
          <w:sz w:val="22"/>
          <w:szCs w:val="22"/>
          <w:highlight w:val="none"/>
        </w:rPr>
        <w:t>招投标所约定的标准执行。</w:t>
      </w:r>
    </w:p>
    <w:p>
      <w:pPr>
        <w:pStyle w:val="3"/>
        <w:spacing w:line="360" w:lineRule="auto"/>
        <w:rPr>
          <w:rFonts w:hint="eastAsia" w:ascii="宋体" w:hAnsi="宋体" w:eastAsia="宋体" w:cs="宋体"/>
          <w:color w:val="auto"/>
          <w:sz w:val="22"/>
          <w:szCs w:val="22"/>
          <w:highlight w:val="none"/>
        </w:rPr>
      </w:pPr>
      <w:bookmarkStart w:id="155" w:name="_Toc148073302"/>
      <w:bookmarkStart w:id="156" w:name="_Toc111947938"/>
      <w:bookmarkStart w:id="157" w:name="_Toc148073380"/>
      <w:bookmarkStart w:id="158" w:name="_Toc185499490"/>
      <w:bookmarkStart w:id="159" w:name="_Toc52262446"/>
      <w:bookmarkStart w:id="160" w:name="_Toc13391"/>
      <w:r>
        <w:rPr>
          <w:rFonts w:hint="eastAsia" w:ascii="宋体" w:hAnsi="宋体" w:eastAsia="宋体" w:cs="宋体"/>
          <w:color w:val="auto"/>
          <w:sz w:val="22"/>
          <w:szCs w:val="22"/>
          <w:highlight w:val="none"/>
        </w:rPr>
        <w:t>第四条　付款方式</w:t>
      </w:r>
      <w:bookmarkEnd w:id="155"/>
      <w:bookmarkEnd w:id="156"/>
      <w:bookmarkEnd w:id="157"/>
      <w:bookmarkEnd w:id="158"/>
      <w:bookmarkEnd w:id="159"/>
      <w:bookmarkEnd w:id="160"/>
    </w:p>
    <w:p>
      <w:pPr>
        <w:widowControl/>
        <w:autoSpaceDE w:val="0"/>
        <w:autoSpaceDN w:val="0"/>
        <w:spacing w:line="360" w:lineRule="auto"/>
        <w:ind w:left="540" w:hanging="495" w:hangingChars="224"/>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4.1</w:t>
      </w:r>
      <w:r>
        <w:rPr>
          <w:rFonts w:hint="eastAsia" w:ascii="宋体" w:hAnsi="宋体" w:eastAsia="宋体" w:cs="宋体"/>
          <w:color w:val="auto"/>
          <w:sz w:val="22"/>
          <w:szCs w:val="22"/>
          <w:highlight w:val="none"/>
        </w:rPr>
        <w:t>在框架总量内按需分批次采购，按批次进行订单结算。卖方依据双方生效执行的供应链订单制作结算单，通过结算单由买方向卖方按如下方式及比例支付：</w:t>
      </w:r>
    </w:p>
    <w:p>
      <w:pPr>
        <w:widowControl/>
        <w:autoSpaceDE w:val="0"/>
        <w:autoSpaceDN w:val="0"/>
        <w:spacing w:line="360" w:lineRule="auto"/>
        <w:ind w:left="540" w:hanging="495" w:hangingChars="224"/>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4.1.1</w:t>
      </w:r>
      <w:r>
        <w:rPr>
          <w:rFonts w:hint="eastAsia" w:ascii="宋体" w:hAnsi="宋体" w:eastAsia="宋体" w:cs="宋体"/>
          <w:color w:val="auto"/>
          <w:sz w:val="22"/>
          <w:szCs w:val="22"/>
          <w:highlight w:val="none"/>
        </w:rPr>
        <w:t>付款：即结算单总价的</w:t>
      </w:r>
      <w:r>
        <w:rPr>
          <w:rFonts w:hint="eastAsia" w:ascii="宋体" w:hAnsi="宋体" w:eastAsia="宋体" w:cs="宋体"/>
          <w:b/>
          <w:color w:val="auto"/>
          <w:sz w:val="22"/>
          <w:szCs w:val="22"/>
          <w:highlight w:val="none"/>
        </w:rPr>
        <w:t>100％</w:t>
      </w:r>
      <w:r>
        <w:rPr>
          <w:rFonts w:hint="eastAsia" w:ascii="宋体" w:hAnsi="宋体" w:eastAsia="宋体" w:cs="宋体"/>
          <w:color w:val="auto"/>
          <w:sz w:val="22"/>
          <w:szCs w:val="22"/>
          <w:highlight w:val="none"/>
        </w:rPr>
        <w:t>，由买方在收到卖方以下单据后30日内以电汇方式向卖方支付：</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（1）结算单总价100%的正式税务发票一份原件（标明框架协议号下的第几笔结算单号及品名）。</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（2）卖方发出具体采购订单。</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（3）由卖方出具的原始送货单。 </w:t>
      </w:r>
    </w:p>
    <w:p>
      <w:pPr>
        <w:widowControl/>
        <w:autoSpaceDE w:val="0"/>
        <w:autoSpaceDN w:val="0"/>
        <w:spacing w:line="360" w:lineRule="auto"/>
        <w:ind w:left="538" w:hanging="492" w:hangingChars="224"/>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（4）由卖方及买方代表签署的检验合格报告一份。</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（5）由买卖双方确认的结算单一份。</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4.2 </w:t>
      </w:r>
      <w:r>
        <w:rPr>
          <w:rFonts w:hint="eastAsia" w:ascii="宋体" w:hAnsi="宋体" w:eastAsia="宋体" w:cs="宋体"/>
          <w:color w:val="auto"/>
          <w:sz w:val="22"/>
          <w:szCs w:val="22"/>
          <w:highlight w:val="none"/>
        </w:rPr>
        <w:t>买卖双方各自承担因执行框架合同所发生的银行费用及各项税费。</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4.3．1</w:t>
      </w:r>
      <w:r>
        <w:rPr>
          <w:rFonts w:hint="eastAsia" w:ascii="宋体" w:hAnsi="宋体" w:eastAsia="宋体" w:cs="宋体"/>
          <w:color w:val="auto"/>
          <w:sz w:val="22"/>
          <w:szCs w:val="22"/>
          <w:highlight w:val="none"/>
        </w:rPr>
        <w:t>卖方在买方支付合同款项时，应按各期付款数额以及买方的要求向买方开具符合国家法律法规和标准的增值税发票。卖方承诺其开具发票的形式与内容均合法、有效、完整、准确，不开具或开具不合格的，买方有权迟延支付应付款项直至卖方开具合格票据之日且不承担任何违约责任，且卖方的各项合同义务仍应按合同约定履行。</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4.3．2</w:t>
      </w:r>
      <w:r>
        <w:rPr>
          <w:rFonts w:hint="eastAsia" w:ascii="宋体" w:hAnsi="宋体" w:eastAsia="宋体" w:cs="宋体"/>
          <w:color w:val="auto"/>
          <w:sz w:val="22"/>
          <w:szCs w:val="22"/>
          <w:highlight w:val="none"/>
        </w:rPr>
        <w:t>对于应开具增值税专用发票等抵扣凭证的，卖方</w:t>
      </w:r>
      <w:r>
        <w:rPr>
          <w:rFonts w:hint="eastAsia" w:ascii="宋体" w:hAnsi="宋体" w:eastAsia="宋体" w:cs="宋体"/>
          <w:color w:val="auto"/>
          <w:kern w:val="0"/>
          <w:sz w:val="22"/>
          <w:szCs w:val="22"/>
          <w:highlight w:val="none"/>
        </w:rPr>
        <w:t>应按照买方要求开具发票，并须在开具发票之日起【10】个工作日内将发票送达至买方，买方签收发票的日期为发票的送达日期。卖方开具的增值税专用发票不合格的，应在接到买方要求后的【10】个工作日内重新开具合格的增值税专用发票并送达至买方，卖方自行承担相关费用。</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4.4 </w:t>
      </w:r>
      <w:r>
        <w:rPr>
          <w:rFonts w:hint="eastAsia" w:ascii="宋体" w:hAnsi="宋体" w:eastAsia="宋体" w:cs="宋体"/>
          <w:color w:val="auto"/>
          <w:sz w:val="22"/>
          <w:szCs w:val="22"/>
          <w:highlight w:val="none"/>
        </w:rPr>
        <w:t>如果卖方有赔偿和/或支付违约金的责任，则买方有权从最近一笔付款中扣除相应金额。如果最近一笔付款不足以抵扣违约金的，则可从下一笔付款中继续扣除。</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4.5 </w:t>
      </w:r>
      <w:r>
        <w:rPr>
          <w:rFonts w:hint="eastAsia" w:ascii="宋体" w:hAnsi="宋体" w:eastAsia="宋体" w:cs="宋体"/>
          <w:color w:val="auto"/>
          <w:sz w:val="22"/>
          <w:szCs w:val="22"/>
          <w:highlight w:val="none"/>
        </w:rPr>
        <w:t>由于卖方未足额缴纳应缴税款和开具发票不真实、不合格而引起的一切责任（包括商业责任和法律责任）和损失，由卖方承担。</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4.6</w:t>
      </w:r>
      <w:r>
        <w:rPr>
          <w:rFonts w:hint="eastAsia" w:ascii="宋体" w:hAnsi="宋体" w:eastAsia="宋体" w:cs="宋体"/>
          <w:color w:val="auto"/>
          <w:sz w:val="22"/>
          <w:szCs w:val="22"/>
          <w:highlight w:val="none"/>
        </w:rPr>
        <w:t>双方结算相关信息如下：</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买方名称：【</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户名：【】            </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帐号：【】</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pPr>
        <w:widowControl/>
        <w:autoSpaceDE w:val="0"/>
        <w:autoSpaceDN w:val="0"/>
        <w:spacing w:line="360" w:lineRule="auto"/>
        <w:ind w:left="780"/>
        <w:textAlignment w:val="bottom"/>
        <w:rPr>
          <w:rFonts w:hint="eastAsia" w:ascii="宋体" w:hAnsi="宋体" w:eastAsia="宋体" w:cs="宋体"/>
          <w:color w:val="auto"/>
          <w:sz w:val="22"/>
          <w:szCs w:val="22"/>
          <w:highlight w:val="none"/>
        </w:rPr>
      </w:pP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卖方名称：【】</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户名：【】</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帐号：【】</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widowControl/>
        <w:autoSpaceDE w:val="0"/>
        <w:autoSpaceDN w:val="0"/>
        <w:spacing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任何一方如需改变上述账户，应提前十（10）日以书面通知另一方。如一方未按本合同规定通知而使另一方遭受损失的，应予以赔偿。</w:t>
      </w:r>
    </w:p>
    <w:p>
      <w:pPr>
        <w:pStyle w:val="3"/>
        <w:spacing w:line="360" w:lineRule="auto"/>
        <w:rPr>
          <w:rFonts w:hint="eastAsia" w:ascii="宋体" w:hAnsi="宋体" w:eastAsia="宋体" w:cs="宋体"/>
          <w:color w:val="auto"/>
          <w:sz w:val="22"/>
          <w:szCs w:val="22"/>
          <w:highlight w:val="none"/>
        </w:rPr>
      </w:pPr>
      <w:bookmarkStart w:id="161" w:name="_Toc185499491"/>
      <w:bookmarkStart w:id="162" w:name="_Toc52262447"/>
      <w:bookmarkStart w:id="163" w:name="_Toc26003"/>
      <w:bookmarkStart w:id="164" w:name="_Toc148073303"/>
      <w:bookmarkStart w:id="165" w:name="_Toc111947939"/>
      <w:bookmarkStart w:id="166" w:name="_Toc148073381"/>
      <w:r>
        <w:rPr>
          <w:rFonts w:hint="eastAsia" w:ascii="宋体" w:hAnsi="宋体" w:eastAsia="宋体" w:cs="宋体"/>
          <w:color w:val="auto"/>
          <w:sz w:val="22"/>
          <w:szCs w:val="22"/>
          <w:highlight w:val="none"/>
        </w:rPr>
        <w:t>第五条　供货通知的确认和效力</w:t>
      </w:r>
      <w:bookmarkEnd w:id="161"/>
      <w:bookmarkEnd w:id="162"/>
      <w:bookmarkEnd w:id="163"/>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5.1</w:t>
      </w:r>
      <w:r>
        <w:rPr>
          <w:rFonts w:hint="eastAsia" w:ascii="宋体" w:hAnsi="宋体" w:eastAsia="宋体" w:cs="宋体"/>
          <w:color w:val="auto"/>
          <w:sz w:val="22"/>
          <w:szCs w:val="22"/>
          <w:highlight w:val="none"/>
        </w:rPr>
        <w:t>买方提前1天向卖方发出具体采购订单，该订单视为要约。卖方接受买方发送的订单的全部内容和条件，视为卖方的承诺。如果卖方对买方发送的订单拒绝或部分拒绝则该订单不生效。</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5.2</w:t>
      </w:r>
      <w:r>
        <w:rPr>
          <w:rFonts w:hint="eastAsia" w:ascii="宋体" w:hAnsi="宋体" w:eastAsia="宋体" w:cs="宋体"/>
          <w:color w:val="auto"/>
          <w:sz w:val="22"/>
          <w:szCs w:val="22"/>
          <w:highlight w:val="none"/>
        </w:rPr>
        <w:t>双方生效执行的订单是本框架合同的一部分，是采购价格的结算依据，与本框架合同有同等的法律效力。</w:t>
      </w:r>
    </w:p>
    <w:bookmarkEnd w:id="164"/>
    <w:bookmarkEnd w:id="165"/>
    <w:bookmarkEnd w:id="166"/>
    <w:p>
      <w:pPr>
        <w:pStyle w:val="3"/>
        <w:spacing w:line="360" w:lineRule="auto"/>
        <w:rPr>
          <w:rFonts w:hint="eastAsia" w:ascii="宋体" w:hAnsi="宋体" w:eastAsia="宋体" w:cs="宋体"/>
          <w:color w:val="auto"/>
          <w:sz w:val="22"/>
          <w:szCs w:val="22"/>
          <w:highlight w:val="none"/>
        </w:rPr>
      </w:pPr>
      <w:bookmarkStart w:id="167" w:name="_Toc185499492"/>
      <w:bookmarkStart w:id="168" w:name="_Toc52262448"/>
      <w:bookmarkStart w:id="169" w:name="_Toc14832"/>
      <w:bookmarkStart w:id="170" w:name="_Toc130888366"/>
      <w:bookmarkStart w:id="171" w:name="_Toc111947941"/>
      <w:bookmarkStart w:id="172" w:name="_Toc130805475"/>
      <w:bookmarkStart w:id="173" w:name="_Toc68613775"/>
      <w:bookmarkStart w:id="174" w:name="_Toc111947942"/>
      <w:bookmarkStart w:id="175" w:name="_Toc148073383"/>
      <w:bookmarkStart w:id="176" w:name="_Toc185499494"/>
      <w:bookmarkStart w:id="177" w:name="_Toc148073305"/>
      <w:r>
        <w:rPr>
          <w:rFonts w:hint="eastAsia" w:ascii="宋体" w:hAnsi="宋体" w:eastAsia="宋体" w:cs="宋体"/>
          <w:color w:val="auto"/>
          <w:sz w:val="22"/>
          <w:szCs w:val="22"/>
          <w:highlight w:val="none"/>
        </w:rPr>
        <w:t>第六条　运输与包装</w:t>
      </w:r>
      <w:bookmarkEnd w:id="167"/>
      <w:bookmarkEnd w:id="168"/>
      <w:bookmarkEnd w:id="169"/>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6.1 </w:t>
      </w:r>
      <w:bookmarkStart w:id="178" w:name="_Toc111947940"/>
      <w:r>
        <w:rPr>
          <w:rFonts w:hint="eastAsia" w:ascii="宋体" w:hAnsi="宋体" w:eastAsia="宋体" w:cs="宋体"/>
          <w:color w:val="auto"/>
          <w:sz w:val="22"/>
          <w:szCs w:val="22"/>
          <w:highlight w:val="none"/>
        </w:rPr>
        <w:t>将货物运送至买方指定交货地点并交付给买方指定收货人之前的货物运输由卖方负责，相关的运输费用、保险、保管、货物灭失及毁损的风险亦由卖方承担。</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6.2 </w:t>
      </w:r>
      <w:r>
        <w:rPr>
          <w:rFonts w:hint="eastAsia" w:ascii="宋体" w:hAnsi="宋体" w:eastAsia="宋体" w:cs="宋体"/>
          <w:color w:val="auto"/>
          <w:sz w:val="22"/>
          <w:szCs w:val="22"/>
          <w:highlight w:val="none"/>
        </w:rPr>
        <w:t>卖方应根据货物特点进行坚固包装使其防水、防潮、防腐、防锈、防震等，并在正常情况下适于水运、空运和长途内陆运输及反复装卸和搬运的要求。专用、特殊安装工具材料和易磨损部件应进行适当的包装并采取特别保护措施。包装费用由卖方承担。卖方需在每一包装箱/物表面显著位置以显著方式标明合同号、箱号、收货人、目的地、内件品名、尺寸规格、数量、重量等内容。并对每一包装箱内货物附以标签，标明其在安装图纸中的编号。另外卖方应根据货物的特点及其对装卸操作的要求在包装箱显著位置以英文或中文标明“保持干燥”，“小心轻放”，“此面向上”等国际惯用图示。</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6.3 </w:t>
      </w:r>
      <w:r>
        <w:rPr>
          <w:rFonts w:hint="eastAsia" w:ascii="宋体" w:hAnsi="宋体" w:eastAsia="宋体" w:cs="宋体"/>
          <w:color w:val="auto"/>
          <w:sz w:val="22"/>
          <w:szCs w:val="22"/>
          <w:highlight w:val="none"/>
        </w:rPr>
        <w:t>对因运输和包装不当产生的货物灭失与损毁的责任，均由卖方承担。</w:t>
      </w:r>
    </w:p>
    <w:p>
      <w:pPr>
        <w:pStyle w:val="3"/>
        <w:spacing w:line="360" w:lineRule="auto"/>
        <w:rPr>
          <w:rFonts w:hint="eastAsia" w:ascii="宋体" w:hAnsi="宋体" w:eastAsia="宋体" w:cs="宋体"/>
          <w:color w:val="auto"/>
          <w:sz w:val="22"/>
          <w:szCs w:val="22"/>
          <w:highlight w:val="none"/>
        </w:rPr>
      </w:pPr>
      <w:bookmarkStart w:id="179" w:name="_Toc148073304"/>
      <w:bookmarkStart w:id="180" w:name="_Toc185499493"/>
      <w:bookmarkStart w:id="181" w:name="_Toc52262449"/>
      <w:bookmarkStart w:id="182" w:name="_Toc148073382"/>
      <w:bookmarkStart w:id="183" w:name="_Toc8710"/>
      <w:r>
        <w:rPr>
          <w:rFonts w:hint="eastAsia" w:ascii="宋体" w:hAnsi="宋体" w:eastAsia="宋体" w:cs="宋体"/>
          <w:color w:val="auto"/>
          <w:sz w:val="22"/>
          <w:szCs w:val="22"/>
          <w:highlight w:val="none"/>
        </w:rPr>
        <w:t>第七条　交付、开箱检验及验收</w:t>
      </w:r>
      <w:bookmarkEnd w:id="178"/>
      <w:bookmarkEnd w:id="179"/>
      <w:bookmarkEnd w:id="180"/>
      <w:bookmarkEnd w:id="181"/>
      <w:bookmarkEnd w:id="182"/>
      <w:bookmarkEnd w:id="183"/>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7.1</w:t>
      </w:r>
      <w:r>
        <w:rPr>
          <w:rFonts w:hint="eastAsia" w:ascii="宋体" w:hAnsi="宋体" w:eastAsia="宋体" w:cs="宋体"/>
          <w:color w:val="auto"/>
          <w:sz w:val="22"/>
          <w:szCs w:val="22"/>
          <w:highlight w:val="none"/>
        </w:rPr>
        <w:t>卖方在收到通知、订单时，应尽快组织生产及供货。</w:t>
      </w:r>
    </w:p>
    <w:p>
      <w:pPr>
        <w:spacing w:line="360" w:lineRule="auto"/>
        <w:ind w:left="497" w:leftChars="1" w:hanging="495" w:hangingChars="224"/>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7.2</w:t>
      </w:r>
      <w:r>
        <w:rPr>
          <w:rFonts w:hint="eastAsia" w:ascii="宋体" w:hAnsi="宋体" w:eastAsia="宋体" w:cs="宋体"/>
          <w:color w:val="auto"/>
          <w:sz w:val="22"/>
          <w:szCs w:val="22"/>
          <w:highlight w:val="none"/>
        </w:rPr>
        <w:t>卖方按双方生效的通知、订单执行供货，按到货时间要求和订单的交货信息按时交付。</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7.3 </w:t>
      </w:r>
      <w:r>
        <w:rPr>
          <w:rFonts w:hint="eastAsia" w:ascii="宋体" w:hAnsi="宋体" w:eastAsia="宋体" w:cs="宋体"/>
          <w:color w:val="auto"/>
          <w:sz w:val="22"/>
          <w:szCs w:val="22"/>
          <w:highlight w:val="none"/>
        </w:rPr>
        <w:t>货物出场前买方有权进行出场检验，卖方应向买方提交货物出场合格证书。</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7.5</w:t>
      </w:r>
      <w:r>
        <w:rPr>
          <w:rFonts w:hint="eastAsia" w:ascii="宋体" w:hAnsi="宋体" w:eastAsia="宋体" w:cs="宋体"/>
          <w:color w:val="auto"/>
          <w:sz w:val="22"/>
          <w:szCs w:val="22"/>
          <w:highlight w:val="none"/>
        </w:rPr>
        <w:t xml:space="preserve">货物到货后，买方和/或买方指定承运人按到货单与包装上注明的信息进行核对，对货物的包装、数量等有无损害或偏差进行检查。 </w:t>
      </w:r>
    </w:p>
    <w:p>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7.6</w:t>
      </w:r>
      <w:r>
        <w:rPr>
          <w:rFonts w:hint="eastAsia" w:ascii="宋体" w:hAnsi="宋体" w:eastAsia="宋体" w:cs="宋体"/>
          <w:color w:val="auto"/>
          <w:sz w:val="22"/>
          <w:szCs w:val="22"/>
          <w:highlight w:val="none"/>
        </w:rPr>
        <w:t>对检验中发现货物质量、品名或与框架合同规定有不符之处的，即为检验不合格。</w:t>
      </w:r>
    </w:p>
    <w:p>
      <w:pPr>
        <w:spacing w:line="360" w:lineRule="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7.6.1</w:t>
      </w:r>
      <w:r>
        <w:rPr>
          <w:rFonts w:hint="eastAsia" w:ascii="宋体" w:hAnsi="宋体" w:cs="宋体"/>
          <w:b/>
          <w:bCs/>
          <w:color w:val="auto"/>
          <w:sz w:val="22"/>
          <w:szCs w:val="22"/>
          <w:highlight w:val="none"/>
          <w:lang w:eastAsia="zh-CN"/>
        </w:rPr>
        <w:t>泥鳅：</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1</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甲方有权拒收6公分以下泥鳅，拒收人工饲养泥鳅。</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2</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拒收伤、病、死及半僵硬泥鳅，拒收红、黄颜色泥鳅及台湾泥鳅品种且不承担经济责任。</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3</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冬春季节要求送黑色野生泥鳅品种。</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4</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对乙方不按时、按量、按品种、按要求供应泥鳅保留处理权。如有伤、病、死泥鳅或半僵硬的泥鳅，经甲方捡出，按照双倍数量扣除。</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5</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在泥鳅收购的淡季、旺季，乙方必须按甲方要求的时间、数量及时供应，保证供应鲜活的野生泥鳅。提供送货上门服务。</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6</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乙方提供的泥鳅质量必须符合朱鹮食用，泥鳅长度6—16公分以内，直径≤2公分，不得提供食用效果差的泥鳅品种，如黄色泥鳅、红色泥鳅和台湾泥鳅。</w:t>
      </w:r>
    </w:p>
    <w:p>
      <w:pPr>
        <w:spacing w:line="360" w:lineRule="auto"/>
        <w:rPr>
          <w:rFonts w:hint="eastAsia" w:ascii="宋体" w:hAnsi="宋体" w:eastAsia="宋体" w:cs="宋体"/>
          <w:color w:val="auto"/>
          <w:sz w:val="22"/>
          <w:szCs w:val="22"/>
          <w:highlight w:val="none"/>
        </w:rPr>
      </w:pP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7</w:t>
      </w:r>
      <w:r>
        <w:rPr>
          <w:rFonts w:hint="eastAsia" w:ascii="宋体" w:hAnsi="宋体" w:cs="宋体"/>
          <w:b/>
          <w:color w:val="auto"/>
          <w:sz w:val="22"/>
          <w:szCs w:val="22"/>
          <w:highlight w:val="none"/>
          <w:lang w:eastAsia="zh-CN"/>
        </w:rPr>
        <w:t>）</w:t>
      </w:r>
      <w:r>
        <w:rPr>
          <w:rFonts w:hint="eastAsia" w:ascii="宋体" w:hAnsi="宋体" w:eastAsia="宋体" w:cs="宋体"/>
          <w:color w:val="auto"/>
          <w:sz w:val="22"/>
          <w:szCs w:val="22"/>
          <w:highlight w:val="none"/>
        </w:rPr>
        <w:t>乙方须提供无污染、不含有害物质的来自非污染水域的泥鳅且乙方不得在泥鳅里添加不利泥鳅生存的物质。</w:t>
      </w:r>
    </w:p>
    <w:p>
      <w:pPr>
        <w:spacing w:line="360" w:lineRule="auto"/>
        <w:rPr>
          <w:rFonts w:hint="eastAsia" w:ascii="宋体" w:hAnsi="宋体" w:eastAsia="宋体" w:cs="宋体"/>
          <w:b/>
          <w:bCs/>
          <w:color w:val="auto"/>
          <w:sz w:val="22"/>
          <w:szCs w:val="22"/>
          <w:highlight w:val="none"/>
          <w:lang w:eastAsia="zh-CN"/>
        </w:rPr>
      </w:pPr>
      <w:r>
        <w:rPr>
          <w:rFonts w:hint="eastAsia" w:ascii="宋体" w:hAnsi="宋体" w:cs="宋体"/>
          <w:b/>
          <w:bCs/>
          <w:color w:val="auto"/>
          <w:sz w:val="22"/>
          <w:szCs w:val="22"/>
          <w:highlight w:val="none"/>
          <w:lang w:val="en-US" w:eastAsia="zh-CN"/>
        </w:rPr>
        <w:t>7.6.2</w:t>
      </w:r>
      <w:r>
        <w:rPr>
          <w:rFonts w:hint="eastAsia" w:ascii="宋体" w:hAnsi="宋体" w:cs="宋体"/>
          <w:b/>
          <w:bCs/>
          <w:color w:val="auto"/>
          <w:sz w:val="22"/>
          <w:szCs w:val="22"/>
          <w:highlight w:val="none"/>
          <w:lang w:eastAsia="zh-CN"/>
        </w:rPr>
        <w:t>竹子：</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（1）竹子质量要求：长度不高于1.5米（竹稍以下），当日采割的无污染（包括动物疫病、污水、泥土砂石、植物藤条、锈病等）当年生新鲜竹子。不得出现光杆、干枯竹叶和中间拦截的现象。</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（2）竹子产地：淡竹、阔叶箬竹等，产地楼观台地区；巴山木竹，产地陕南地区。</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（3）甲方有权对质量不合格的竹子拒收或按照验收结果扣除相应数量。</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（4）竹子供货数量随季节和大熊猫个体食欲年龄有差异，最终以实际供货通知为准。</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（5）乙方须按照当地林业主管部门要求，办理采割和运输等相关手续、合法操作。</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（6）乙方须按照甲方要求，保质保量做好竹子采割及装运。</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（7）乙方对采割的竹子，负有大熊猫食用安全责任，严格杜绝药物和生物污染。</w:t>
      </w:r>
    </w:p>
    <w:p>
      <w:pPr>
        <w:pStyle w:val="2"/>
        <w:spacing w:line="360" w:lineRule="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（8）乙方确因天气、道路等不可抗拒因素影响供应的，两个工作前日告知甲方。</w:t>
      </w:r>
    </w:p>
    <w:p>
      <w:pPr>
        <w:spacing w:line="360" w:lineRule="auto"/>
        <w:ind w:left="180" w:leftChars="100"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因此产生的一切费用，包括额外的运输费用等，将由卖方承担。如在买方通知的期限内，卖方未能进行更换或补足，则卖方应承担本框架合同第9.1款逾期交货的违约责任。</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7.7</w:t>
      </w:r>
      <w:r>
        <w:rPr>
          <w:rFonts w:hint="eastAsia" w:ascii="宋体" w:hAnsi="宋体" w:eastAsia="宋体" w:cs="宋体"/>
          <w:color w:val="auto"/>
          <w:sz w:val="22"/>
          <w:szCs w:val="22"/>
          <w:highlight w:val="none"/>
        </w:rPr>
        <w:t>买方和/或买方指定承运人签署上述货物检验合格报告的日期视为卖方正式交付货物的日期，此后有关保管、保险、灭失与毁损的风险由买方承担，货物所有权亦同时转移给买方。</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7.8</w:t>
      </w:r>
      <w:r>
        <w:rPr>
          <w:rFonts w:hint="eastAsia" w:ascii="宋体" w:hAnsi="宋体" w:eastAsia="宋体" w:cs="宋体"/>
          <w:color w:val="auto"/>
          <w:sz w:val="22"/>
          <w:szCs w:val="22"/>
          <w:highlight w:val="none"/>
        </w:rPr>
        <w:t>检验合格的结果仅视为货物在外观、数量、型号、规格上完好无缺失的证明及卖方履行其义务的必要证据，检验合格证书的签署不使买方丧失因质量问题而向卖方索赔和求偿的权利，同时不解除卖方对于货物质量缺陷或瑕疵负有的相应担保责任。</w:t>
      </w:r>
    </w:p>
    <w:bookmarkEnd w:id="170"/>
    <w:bookmarkEnd w:id="171"/>
    <w:bookmarkEnd w:id="172"/>
    <w:p>
      <w:pPr>
        <w:pStyle w:val="3"/>
        <w:spacing w:line="360" w:lineRule="auto"/>
        <w:ind w:left="540" w:hanging="495" w:hangingChars="224"/>
        <w:rPr>
          <w:rFonts w:hint="eastAsia" w:ascii="宋体" w:hAnsi="宋体" w:eastAsia="宋体" w:cs="宋体"/>
          <w:color w:val="auto"/>
          <w:sz w:val="22"/>
          <w:szCs w:val="22"/>
          <w:highlight w:val="none"/>
        </w:rPr>
      </w:pPr>
      <w:bookmarkStart w:id="184" w:name="_Toc52262450"/>
      <w:bookmarkStart w:id="185" w:name="_Toc8494"/>
      <w:r>
        <w:rPr>
          <w:rFonts w:hint="eastAsia" w:ascii="宋体" w:hAnsi="宋体" w:eastAsia="宋体" w:cs="宋体"/>
          <w:color w:val="auto"/>
          <w:sz w:val="22"/>
          <w:szCs w:val="22"/>
          <w:highlight w:val="none"/>
        </w:rPr>
        <w:t>第</w:t>
      </w:r>
      <w:r>
        <w:rPr>
          <w:rFonts w:hint="eastAsia" w:ascii="宋体" w:hAnsi="宋体" w:eastAsia="宋体" w:cs="宋体"/>
          <w:color w:val="auto"/>
          <w:sz w:val="22"/>
          <w:szCs w:val="22"/>
          <w:highlight w:val="none"/>
          <w:lang w:eastAsia="zh-CN"/>
        </w:rPr>
        <w:t>八</w:t>
      </w:r>
      <w:r>
        <w:rPr>
          <w:rFonts w:hint="eastAsia" w:ascii="宋体" w:hAnsi="宋体" w:eastAsia="宋体" w:cs="宋体"/>
          <w:color w:val="auto"/>
          <w:sz w:val="22"/>
          <w:szCs w:val="22"/>
          <w:highlight w:val="none"/>
        </w:rPr>
        <w:t>条　承诺与保证</w:t>
      </w:r>
      <w:bookmarkEnd w:id="173"/>
      <w:bookmarkEnd w:id="174"/>
      <w:bookmarkEnd w:id="175"/>
      <w:bookmarkEnd w:id="176"/>
      <w:bookmarkEnd w:id="177"/>
      <w:bookmarkEnd w:id="184"/>
      <w:bookmarkEnd w:id="185"/>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w:t>
      </w:r>
      <w:r>
        <w:rPr>
          <w:rFonts w:hint="eastAsia" w:ascii="宋体" w:hAnsi="宋体" w:eastAsia="宋体" w:cs="宋体"/>
          <w:color w:val="auto"/>
          <w:sz w:val="22"/>
          <w:szCs w:val="22"/>
          <w:highlight w:val="none"/>
        </w:rPr>
        <w:t xml:space="preserve"> 卖方保证其所提供货物与本合同中所规定的品名、规格和数量完全相符且保证为质量、品目合格的产品，质量是优良的，并符合本合同中所述的相关技术规范和质量标准的要求，并向买方提供产品的合格证书。</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8.2</w:t>
      </w:r>
      <w:r>
        <w:rPr>
          <w:rFonts w:hint="eastAsia" w:ascii="宋体" w:hAnsi="宋体" w:eastAsia="宋体" w:cs="宋体"/>
          <w:color w:val="auto"/>
          <w:sz w:val="22"/>
          <w:szCs w:val="22"/>
          <w:highlight w:val="none"/>
        </w:rPr>
        <w:t xml:space="preserve">  卖方保证对其销售的货物拥有完全的所有权/处置权或取得相关授权，无任何商标权或其他知识产权方面的权利限制或瑕疵。因此给买方造成的直接损失，卖方应承担全部赔偿责任。</w:t>
      </w:r>
    </w:p>
    <w:p>
      <w:pPr>
        <w:pStyle w:val="3"/>
        <w:spacing w:line="360" w:lineRule="auto"/>
        <w:ind w:left="540" w:hanging="495" w:hangingChars="224"/>
        <w:rPr>
          <w:rFonts w:hint="eastAsia" w:ascii="宋体" w:hAnsi="宋体" w:eastAsia="宋体" w:cs="宋体"/>
          <w:color w:val="auto"/>
          <w:kern w:val="2"/>
          <w:sz w:val="22"/>
          <w:szCs w:val="22"/>
          <w:highlight w:val="none"/>
        </w:rPr>
      </w:pPr>
      <w:bookmarkStart w:id="186" w:name="_Toc111947944"/>
      <w:bookmarkStart w:id="187" w:name="_Toc148073307"/>
      <w:bookmarkStart w:id="188" w:name="_Toc68613777"/>
      <w:bookmarkStart w:id="189" w:name="_Toc52262451"/>
      <w:bookmarkStart w:id="190" w:name="_Toc185499496"/>
      <w:bookmarkStart w:id="191" w:name="_Toc148073385"/>
      <w:bookmarkStart w:id="192" w:name="_Toc2220"/>
      <w:r>
        <w:rPr>
          <w:rFonts w:hint="eastAsia" w:ascii="宋体" w:hAnsi="宋体" w:eastAsia="宋体" w:cs="宋体"/>
          <w:color w:val="auto"/>
          <w:kern w:val="2"/>
          <w:sz w:val="22"/>
          <w:szCs w:val="22"/>
          <w:highlight w:val="none"/>
        </w:rPr>
        <w:t>第</w:t>
      </w:r>
      <w:r>
        <w:rPr>
          <w:rFonts w:hint="eastAsia" w:ascii="宋体" w:hAnsi="宋体" w:eastAsia="宋体" w:cs="宋体"/>
          <w:color w:val="auto"/>
          <w:kern w:val="2"/>
          <w:sz w:val="22"/>
          <w:szCs w:val="22"/>
          <w:highlight w:val="none"/>
          <w:lang w:eastAsia="zh-CN"/>
        </w:rPr>
        <w:t>九</w:t>
      </w:r>
      <w:r>
        <w:rPr>
          <w:rFonts w:hint="eastAsia" w:ascii="宋体" w:hAnsi="宋体" w:eastAsia="宋体" w:cs="宋体"/>
          <w:color w:val="auto"/>
          <w:kern w:val="2"/>
          <w:sz w:val="22"/>
          <w:szCs w:val="22"/>
          <w:highlight w:val="none"/>
        </w:rPr>
        <w:t>条　违约责任</w:t>
      </w:r>
      <w:bookmarkEnd w:id="186"/>
      <w:bookmarkEnd w:id="187"/>
      <w:bookmarkEnd w:id="188"/>
      <w:bookmarkEnd w:id="189"/>
      <w:bookmarkEnd w:id="190"/>
      <w:bookmarkEnd w:id="191"/>
      <w:bookmarkEnd w:id="192"/>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w:t>
      </w:r>
      <w:r>
        <w:rPr>
          <w:rFonts w:hint="eastAsia" w:ascii="宋体" w:hAnsi="宋体" w:eastAsia="宋体" w:cs="宋体"/>
          <w:color w:val="auto"/>
          <w:sz w:val="22"/>
          <w:szCs w:val="22"/>
          <w:highlight w:val="none"/>
        </w:rPr>
        <w:t>因卖方原因逾期交货的，卖方应以如下方式向买方支付逾期违约金：</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9.1.1</w:t>
      </w:r>
      <w:r>
        <w:rPr>
          <w:rFonts w:hint="eastAsia" w:ascii="宋体" w:hAnsi="宋体" w:eastAsia="宋体" w:cs="宋体"/>
          <w:color w:val="auto"/>
          <w:sz w:val="22"/>
          <w:szCs w:val="22"/>
          <w:highlight w:val="none"/>
        </w:rPr>
        <w:t>从迟交货第一天起每天支付本次双方生效执行的订单货物总价0.5％，(百分之零点五)的违约金。</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9.1.2</w:t>
      </w:r>
      <w:r>
        <w:rPr>
          <w:rFonts w:hint="eastAsia" w:ascii="宋体" w:hAnsi="宋体" w:eastAsia="宋体" w:cs="宋体"/>
          <w:color w:val="auto"/>
          <w:sz w:val="22"/>
          <w:szCs w:val="22"/>
          <w:highlight w:val="none"/>
        </w:rPr>
        <w:t>上述逾期违约金的支付不影响卖方交货义务的履行，且本次双方生效执行的订单要求货物到货的时间不因卖方迟延交货作任何调整；</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9.1.3</w:t>
      </w:r>
      <w:r>
        <w:rPr>
          <w:rFonts w:hint="eastAsia" w:ascii="宋体" w:hAnsi="宋体" w:eastAsia="宋体" w:cs="宋体"/>
          <w:color w:val="auto"/>
          <w:sz w:val="22"/>
          <w:szCs w:val="22"/>
          <w:highlight w:val="none"/>
        </w:rPr>
        <w:t>逾期交货超过5天的，买方有权单方解除双方生效执行的订单和框架合同。卖方应向买方支付本次双方生效执行的订单总价20%的违约金。违约金不足以弥补买方的全部损失的，卖方还应予以赔偿。</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9.2.1</w:t>
      </w:r>
      <w:r>
        <w:rPr>
          <w:rFonts w:hint="eastAsia" w:ascii="宋体" w:hAnsi="宋体" w:eastAsia="宋体" w:cs="宋体"/>
          <w:color w:val="auto"/>
          <w:sz w:val="22"/>
          <w:szCs w:val="22"/>
          <w:highlight w:val="none"/>
        </w:rPr>
        <w:t>买方依据上述9.1条款解除本框架合同后，卖方在承担相应违约责任同时，应在买方解除框架合同的书面通知送达之日起10日内全额退还买方已支付的款额及相应的利息，计息时间从买方支付日期开始到卖方退还日期为止，利率以归还上述款额时中国人民银行公布的同期存款利率为准。逾期退还的，按日需支付应退款额万分之五的违约金。买方应把已收货物退还给卖方，相关拆卸、搬运、运输和投保费用均由卖方负责，买方不承担此间发生的毁损、灭失的风险责任。</w:t>
      </w:r>
    </w:p>
    <w:p>
      <w:pPr>
        <w:spacing w:line="360" w:lineRule="auto"/>
        <w:ind w:left="542" w:hanging="497" w:hangingChars="22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9.2.2</w:t>
      </w:r>
      <w:r>
        <w:rPr>
          <w:rFonts w:hint="eastAsia" w:ascii="宋体" w:hAnsi="宋体" w:eastAsia="宋体" w:cs="宋体"/>
          <w:color w:val="auto"/>
          <w:sz w:val="22"/>
          <w:szCs w:val="22"/>
          <w:highlight w:val="none"/>
        </w:rPr>
        <w:t>卖方未按本合同约定开具、送达增值税发票的，应按买方要求采取重新开具发票等补救措施，同时，买方有权要求卖方支付当次订单总价【5】%的违约金，违约金不足以弥补买方损失的，卖方还应予以赔偿；情节严重的，包括不限于出现卖方未按合同约定开具、送达发票次数达【3】次的、卖方违约给买方造成严重损失的、卖方违约致使合同无法继续履行等情况，买方可终止合同，卖方应赔偿买方因此遭受的全部损失，卖方在买方终止合同之日起两年内不得参加买方及其关联单位相同产品的采购活动。</w:t>
      </w:r>
    </w:p>
    <w:p>
      <w:pPr>
        <w:spacing w:line="360" w:lineRule="auto"/>
        <w:ind w:left="482" w:hanging="442" w:hanging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9.2.3</w:t>
      </w:r>
      <w:r>
        <w:rPr>
          <w:rFonts w:hint="eastAsia" w:ascii="宋体" w:hAnsi="宋体" w:eastAsia="宋体" w:cs="宋体"/>
          <w:color w:val="auto"/>
          <w:sz w:val="22"/>
          <w:szCs w:val="22"/>
          <w:highlight w:val="none"/>
        </w:rPr>
        <w:t>卖方违反国家法律、法规、规章、政策等规定开具、提供发票的，卖方应自行承担相应法律责任，并承担如下违约责任：</w:t>
      </w:r>
    </w:p>
    <w:p>
      <w:pPr>
        <w:spacing w:line="360" w:lineRule="auto"/>
        <w:ind w:left="360" w:leftChars="200" w:firstLine="110" w:firstLineChar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1、卖方应按买方要求采取重新开具发票等补救措施；</w:t>
      </w:r>
    </w:p>
    <w:p>
      <w:pPr>
        <w:spacing w:line="360" w:lineRule="auto"/>
        <w:ind w:left="450" w:left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2、卖方应向买方支付当次订单总价【5】% 的违约金，违约金不足以弥补买方损失的，卖方还应予以赔偿；</w:t>
      </w:r>
    </w:p>
    <w:p>
      <w:pPr>
        <w:spacing w:line="360" w:lineRule="auto"/>
        <w:ind w:firstLine="519" w:firstLineChars="23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3、卖方已经提交履约保证金的，买方将不予退还。</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9.3 </w:t>
      </w:r>
      <w:r>
        <w:rPr>
          <w:rFonts w:hint="eastAsia" w:ascii="宋体" w:hAnsi="宋体" w:eastAsia="宋体" w:cs="宋体"/>
          <w:color w:val="auto"/>
          <w:sz w:val="22"/>
          <w:szCs w:val="22"/>
          <w:highlight w:val="none"/>
        </w:rPr>
        <w:t>卖方违反保密约定，故意、过错或过失泄密的，除应立即采取措施停止泄密行为， 减小泄密造成的损失外，还应向买方支付框架合同总价5%的违约金。上述违约金不足以弥补买方所受损失的，泄密方还应予以赔偿。同时，买方还有权根据泄密造成损失的大小，单方解除本框架合同。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9.4</w:t>
      </w:r>
      <w:r>
        <w:rPr>
          <w:rFonts w:hint="eastAsia" w:ascii="宋体" w:hAnsi="宋体" w:eastAsia="宋体" w:cs="宋体"/>
          <w:color w:val="auto"/>
          <w:sz w:val="22"/>
          <w:szCs w:val="22"/>
          <w:highlight w:val="none"/>
        </w:rPr>
        <w:t>卖方所交货物种类、规格、数量、质量不符合本框架合同技术规范规定或供应产品所用材料与投标样品不一致或质量低于投标样品的属违约行为。一经发现证实，卖方需在30天内向买方交纳合同预估总价20%的违约金，并赔偿买方因此产生的一切损失，买方有权解除和卖方的合作协议与框架合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9.5</w:t>
      </w:r>
      <w:r>
        <w:rPr>
          <w:rFonts w:hint="eastAsia" w:ascii="宋体" w:hAnsi="宋体" w:eastAsia="宋体" w:cs="宋体"/>
          <w:color w:val="auto"/>
          <w:sz w:val="22"/>
          <w:szCs w:val="22"/>
          <w:highlight w:val="none"/>
        </w:rPr>
        <w:t>本框架合同所称之损失包括实际损失和框架合同履行后可以获得的利益、诉讼或仲裁费以及合理的调查费、律师费等相关法律费用。</w:t>
      </w:r>
    </w:p>
    <w:p>
      <w:pPr>
        <w:pStyle w:val="3"/>
        <w:spacing w:line="360" w:lineRule="auto"/>
        <w:ind w:left="540" w:hanging="495" w:hangingChars="224"/>
        <w:rPr>
          <w:rFonts w:hint="eastAsia" w:ascii="宋体" w:hAnsi="宋体" w:eastAsia="宋体" w:cs="宋体"/>
          <w:b w:val="0"/>
          <w:bCs w:val="0"/>
          <w:color w:val="auto"/>
          <w:kern w:val="2"/>
          <w:sz w:val="22"/>
          <w:szCs w:val="22"/>
          <w:highlight w:val="none"/>
        </w:rPr>
      </w:pPr>
      <w:bookmarkStart w:id="193" w:name="_Toc111947945"/>
      <w:bookmarkStart w:id="194" w:name="_Toc185499497"/>
      <w:bookmarkStart w:id="195" w:name="_Toc52262452"/>
      <w:bookmarkStart w:id="196" w:name="_Toc68613778"/>
      <w:bookmarkStart w:id="197" w:name="_Toc148073308"/>
      <w:bookmarkStart w:id="198" w:name="_Toc148073386"/>
      <w:bookmarkStart w:id="199" w:name="_Toc16835"/>
      <w:r>
        <w:rPr>
          <w:rFonts w:hint="eastAsia" w:ascii="宋体" w:hAnsi="宋体" w:eastAsia="宋体" w:cs="宋体"/>
          <w:color w:val="auto"/>
          <w:sz w:val="22"/>
          <w:szCs w:val="22"/>
          <w:highlight w:val="none"/>
        </w:rPr>
        <w:t>第十</w:t>
      </w:r>
      <w:r>
        <w:rPr>
          <w:rFonts w:hint="eastAsia" w:ascii="宋体" w:hAnsi="宋体" w:eastAsia="宋体" w:cs="宋体"/>
          <w:color w:val="auto"/>
          <w:kern w:val="2"/>
          <w:sz w:val="22"/>
          <w:szCs w:val="22"/>
          <w:highlight w:val="none"/>
        </w:rPr>
        <w:t>条　不可抗力</w:t>
      </w:r>
      <w:bookmarkEnd w:id="193"/>
      <w:bookmarkEnd w:id="194"/>
      <w:bookmarkEnd w:id="195"/>
      <w:bookmarkEnd w:id="196"/>
      <w:bookmarkEnd w:id="197"/>
      <w:bookmarkEnd w:id="198"/>
      <w:bookmarkEnd w:id="199"/>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10.1</w:t>
      </w:r>
      <w:r>
        <w:rPr>
          <w:rFonts w:hint="eastAsia" w:ascii="宋体" w:hAnsi="宋体" w:eastAsia="宋体" w:cs="宋体"/>
          <w:color w:val="auto"/>
          <w:sz w:val="22"/>
          <w:szCs w:val="22"/>
          <w:highlight w:val="none"/>
        </w:rPr>
        <w:t>本框架合同所指不可抗力，是指不能预见、不能避免并不能克服的客观情况。</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w:t>
      </w:r>
      <w:r>
        <w:rPr>
          <w:rFonts w:hint="eastAsia" w:ascii="宋体" w:hAnsi="宋体" w:eastAsia="宋体" w:cs="宋体"/>
          <w:color w:val="auto"/>
          <w:sz w:val="22"/>
          <w:szCs w:val="22"/>
          <w:highlight w:val="none"/>
        </w:rPr>
        <w:t>由于不可抗力事件，致使一方在履行其在本框架合同项下的义务过程中遇到障碍或延误，不能按约定的条款全部或部分履行其义务的，遇到不可抗力事件的一方（“受阻方”），只要满足下列所有条件，不应视为违反本框架合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10.2.1</w:t>
      </w:r>
      <w:r>
        <w:rPr>
          <w:rFonts w:hint="eastAsia" w:ascii="宋体" w:hAnsi="宋体" w:eastAsia="宋体" w:cs="宋体"/>
          <w:color w:val="auto"/>
          <w:sz w:val="22"/>
          <w:szCs w:val="22"/>
          <w:highlight w:val="none"/>
        </w:rPr>
        <w:t>受阻方不能全部或部分履行其义务，是由于不可抗力事件直接造成的，且在不可抗力发生前受阻方不存在迟延履行相关义务的情形；</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10.2.2</w:t>
      </w:r>
      <w:r>
        <w:rPr>
          <w:rFonts w:hint="eastAsia" w:ascii="宋体" w:hAnsi="宋体" w:eastAsia="宋体" w:cs="宋体"/>
          <w:color w:val="auto"/>
          <w:sz w:val="22"/>
          <w:szCs w:val="22"/>
          <w:highlight w:val="none"/>
        </w:rPr>
        <w:t>受阻方已尽最大努力履行其义务并减少由于不可抗力事件给另一方造成的损失；</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10.2.3</w:t>
      </w:r>
      <w:r>
        <w:rPr>
          <w:rFonts w:hint="eastAsia" w:ascii="宋体" w:hAnsi="宋体" w:eastAsia="宋体" w:cs="宋体"/>
          <w:color w:val="auto"/>
          <w:sz w:val="22"/>
          <w:szCs w:val="22"/>
          <w:highlight w:val="none"/>
        </w:rPr>
        <w:t>不可抗力事件发生，受阻方已立即通知了对方，并在不可抗力事件发生后的十五天内提供有关该事件的公证文书和书面说明，书面说明中应包括对延迟履行或部分履行本框架合同的原因说明。</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10.3 </w:t>
      </w:r>
      <w:r>
        <w:rPr>
          <w:rFonts w:hint="eastAsia" w:ascii="宋体" w:hAnsi="宋体" w:eastAsia="宋体" w:cs="宋体"/>
          <w:color w:val="auto"/>
          <w:sz w:val="22"/>
          <w:szCs w:val="22"/>
          <w:highlight w:val="none"/>
        </w:rPr>
        <w:t>不可抗力事件终止或被排除后，受阻方应继续履行本框架合同，并应尽快通知另一方。受阻方应可延长履行义务的时间，延长期应相当于不可抗力事件实际造成延误的时间。</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10.4 </w:t>
      </w:r>
      <w:r>
        <w:rPr>
          <w:rFonts w:hint="eastAsia" w:ascii="宋体" w:hAnsi="宋体" w:eastAsia="宋体" w:cs="宋体"/>
          <w:color w:val="auto"/>
          <w:sz w:val="22"/>
          <w:szCs w:val="22"/>
          <w:highlight w:val="none"/>
        </w:rPr>
        <w:t>如果不可抗力事件的影响持续达三十（30）日或以上时，双方应根据该事件对本框架合同履行的影响程度协商对本框架合同的修改或终止。如在一方发出协商书面通知之日起十（10）日内双方无法就此达成一致，任何一方均有权解除本框架合同而无需承担违约责任。</w:t>
      </w:r>
    </w:p>
    <w:p>
      <w:pPr>
        <w:pStyle w:val="3"/>
        <w:spacing w:line="360" w:lineRule="auto"/>
        <w:rPr>
          <w:rFonts w:hint="eastAsia" w:ascii="宋体" w:hAnsi="宋体" w:eastAsia="宋体" w:cs="宋体"/>
          <w:color w:val="auto"/>
          <w:sz w:val="22"/>
          <w:szCs w:val="22"/>
          <w:highlight w:val="none"/>
        </w:rPr>
      </w:pPr>
      <w:bookmarkStart w:id="200" w:name="_Toc148073387"/>
      <w:bookmarkStart w:id="201" w:name="_Toc185499498"/>
      <w:bookmarkStart w:id="202" w:name="_Toc111947946"/>
      <w:bookmarkStart w:id="203" w:name="_Toc49001500"/>
      <w:bookmarkStart w:id="204" w:name="_Toc49080816"/>
      <w:bookmarkStart w:id="205" w:name="_Toc148073309"/>
      <w:bookmarkStart w:id="206" w:name="_Toc52262453"/>
      <w:bookmarkStart w:id="207" w:name="_Toc68613779"/>
      <w:bookmarkStart w:id="208" w:name="_Toc11385"/>
      <w:r>
        <w:rPr>
          <w:rFonts w:hint="eastAsia" w:ascii="宋体" w:hAnsi="宋体" w:eastAsia="宋体" w:cs="宋体"/>
          <w:color w:val="auto"/>
          <w:sz w:val="22"/>
          <w:szCs w:val="22"/>
          <w:highlight w:val="none"/>
        </w:rPr>
        <w:t>第十</w:t>
      </w: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条</w:t>
      </w:r>
      <w:r>
        <w:rPr>
          <w:rFonts w:hint="eastAsia" w:ascii="宋体" w:hAnsi="宋体" w:eastAsia="宋体" w:cs="宋体"/>
          <w:color w:val="auto"/>
          <w:kern w:val="2"/>
          <w:sz w:val="22"/>
          <w:szCs w:val="22"/>
          <w:highlight w:val="none"/>
        </w:rPr>
        <w:t>　</w:t>
      </w:r>
      <w:r>
        <w:rPr>
          <w:rFonts w:hint="eastAsia" w:ascii="宋体" w:hAnsi="宋体" w:eastAsia="宋体" w:cs="宋体"/>
          <w:color w:val="auto"/>
          <w:sz w:val="22"/>
          <w:szCs w:val="22"/>
          <w:highlight w:val="none"/>
        </w:rPr>
        <w:t>通知与送达</w:t>
      </w:r>
      <w:bookmarkEnd w:id="200"/>
      <w:bookmarkEnd w:id="201"/>
      <w:bookmarkEnd w:id="202"/>
      <w:bookmarkEnd w:id="203"/>
      <w:bookmarkEnd w:id="204"/>
      <w:bookmarkEnd w:id="205"/>
      <w:bookmarkEnd w:id="206"/>
      <w:bookmarkEnd w:id="207"/>
      <w:bookmarkEnd w:id="208"/>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11.1</w:t>
      </w:r>
      <w:r>
        <w:rPr>
          <w:rFonts w:hint="eastAsia" w:ascii="宋体" w:hAnsi="宋体" w:eastAsia="宋体" w:cs="宋体"/>
          <w:color w:val="auto"/>
          <w:sz w:val="22"/>
          <w:szCs w:val="22"/>
          <w:highlight w:val="none"/>
        </w:rPr>
        <w:t>根据本框架合同需要发出的全部通知，均须采取书面形式，上述书面通知均须标明框架合同各方为收件人。</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11.2</w:t>
      </w:r>
      <w:r>
        <w:rPr>
          <w:rFonts w:hint="eastAsia" w:ascii="宋体" w:hAnsi="宋体" w:eastAsia="宋体" w:cs="宋体"/>
          <w:color w:val="auto"/>
          <w:sz w:val="22"/>
          <w:szCs w:val="22"/>
          <w:highlight w:val="none"/>
        </w:rPr>
        <w:t>上述书面通知按本框架合同每一条所列的地址发出，并按本框架合同第11.3条款规定时间视为已经送达。如任何一方的地址有变更时，须在变更前十日以书面形式通知对方。因迟延通知而造成的损失，由过错方承担责任。</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w:t>
      </w:r>
      <w:r>
        <w:rPr>
          <w:rFonts w:hint="eastAsia" w:ascii="宋体" w:hAnsi="宋体" w:eastAsia="宋体" w:cs="宋体"/>
          <w:color w:val="auto"/>
          <w:sz w:val="22"/>
          <w:szCs w:val="22"/>
          <w:highlight w:val="none"/>
        </w:rPr>
        <w:t>双方将按如下规定确定通知被视为正式送达的日期：</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11.3.1</w:t>
      </w:r>
      <w:r>
        <w:rPr>
          <w:rFonts w:hint="eastAsia" w:ascii="宋体" w:hAnsi="宋体" w:eastAsia="宋体" w:cs="宋体"/>
          <w:color w:val="auto"/>
          <w:sz w:val="22"/>
          <w:szCs w:val="22"/>
          <w:highlight w:val="none"/>
        </w:rPr>
        <w:t>以专人递送的，接收人签收之日视为送达；</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11.3.2</w:t>
      </w:r>
      <w:r>
        <w:rPr>
          <w:rFonts w:hint="eastAsia" w:ascii="宋体" w:hAnsi="宋体" w:eastAsia="宋体" w:cs="宋体"/>
          <w:color w:val="auto"/>
          <w:sz w:val="22"/>
          <w:szCs w:val="22"/>
          <w:highlight w:val="none"/>
        </w:rPr>
        <w:t>以传真方式发出的，以发件方发送后打印出的发送确认单所示时间视为送达；</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11.3.3</w:t>
      </w:r>
      <w:r>
        <w:rPr>
          <w:rFonts w:hint="eastAsia" w:ascii="宋体" w:hAnsi="宋体" w:eastAsia="宋体" w:cs="宋体"/>
          <w:color w:val="auto"/>
          <w:sz w:val="22"/>
          <w:szCs w:val="22"/>
          <w:highlight w:val="none"/>
        </w:rPr>
        <w:t>以特快专递形式发出的，发往本市内的，发出后第【2】日视为送达。发往国内其他地区的，发出后第【5】日视为送达。</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11.3.4</w:t>
      </w:r>
      <w:r>
        <w:rPr>
          <w:rFonts w:hint="eastAsia" w:ascii="宋体" w:hAnsi="宋体" w:eastAsia="宋体" w:cs="宋体"/>
          <w:color w:val="auto"/>
          <w:sz w:val="22"/>
          <w:szCs w:val="22"/>
          <w:highlight w:val="none"/>
        </w:rPr>
        <w:t>以挂号方式发出的，发往本市内的，邮寄后第【5】日视为送达。发往国内其他地区的，邮寄后第【8】日视为送达。</w:t>
      </w: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如致买方：</w:t>
      </w: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p>
      <w:pPr>
        <w:spacing w:line="360" w:lineRule="auto"/>
        <w:ind w:left="616" w:leftChars="342"/>
        <w:rPr>
          <w:rFonts w:hint="eastAsia" w:ascii="宋体" w:hAnsi="宋体" w:eastAsia="宋体" w:cs="宋体"/>
          <w:color w:val="auto"/>
          <w:sz w:val="22"/>
          <w:szCs w:val="22"/>
          <w:highlight w:val="none"/>
        </w:rPr>
      </w:pPr>
    </w:p>
    <w:p>
      <w:pPr>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如致卖方：</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卖 方： </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法定地址：</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p>
      <w:pPr>
        <w:snapToGrid w:val="0"/>
        <w:spacing w:line="360" w:lineRule="auto"/>
        <w:ind w:left="616" w:left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  编：</w:t>
      </w:r>
    </w:p>
    <w:p>
      <w:pPr>
        <w:spacing w:line="360" w:lineRule="auto"/>
        <w:ind w:left="616" w:leftChars="342"/>
        <w:rPr>
          <w:rFonts w:hint="eastAsia" w:ascii="宋体" w:hAnsi="宋体" w:eastAsia="宋体" w:cs="宋体"/>
          <w:color w:val="auto"/>
          <w:sz w:val="22"/>
          <w:szCs w:val="22"/>
          <w:highlight w:val="none"/>
        </w:rPr>
      </w:pPr>
    </w:p>
    <w:p>
      <w:pPr>
        <w:pStyle w:val="3"/>
        <w:spacing w:line="360" w:lineRule="auto"/>
        <w:ind w:left="723" w:hanging="663" w:hangingChars="300"/>
        <w:rPr>
          <w:rFonts w:hint="eastAsia" w:ascii="宋体" w:hAnsi="宋体" w:eastAsia="宋体" w:cs="宋体"/>
          <w:color w:val="auto"/>
          <w:sz w:val="22"/>
          <w:szCs w:val="22"/>
          <w:highlight w:val="none"/>
        </w:rPr>
      </w:pPr>
      <w:bookmarkStart w:id="209" w:name="_Toc111947947"/>
      <w:bookmarkStart w:id="210" w:name="_Toc49080817"/>
      <w:bookmarkStart w:id="211" w:name="_Toc148073388"/>
      <w:bookmarkStart w:id="212" w:name="_Toc185499499"/>
      <w:bookmarkStart w:id="213" w:name="_Toc49001501"/>
      <w:bookmarkStart w:id="214" w:name="_Toc148073310"/>
      <w:bookmarkStart w:id="215" w:name="_Toc68613780"/>
      <w:bookmarkStart w:id="216" w:name="_Toc52262454"/>
      <w:bookmarkStart w:id="217" w:name="_Toc15445"/>
      <w:r>
        <w:rPr>
          <w:rFonts w:hint="eastAsia" w:ascii="宋体" w:hAnsi="宋体" w:eastAsia="宋体" w:cs="宋体"/>
          <w:color w:val="auto"/>
          <w:sz w:val="22"/>
          <w:szCs w:val="22"/>
          <w:highlight w:val="none"/>
        </w:rPr>
        <w:t>第十</w:t>
      </w: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rPr>
        <w:t>条</w:t>
      </w:r>
      <w:r>
        <w:rPr>
          <w:rFonts w:hint="eastAsia" w:ascii="宋体" w:hAnsi="宋体" w:eastAsia="宋体" w:cs="宋体"/>
          <w:color w:val="auto"/>
          <w:kern w:val="2"/>
          <w:sz w:val="22"/>
          <w:szCs w:val="22"/>
          <w:highlight w:val="none"/>
        </w:rPr>
        <w:t>　</w:t>
      </w:r>
      <w:r>
        <w:rPr>
          <w:rFonts w:hint="eastAsia" w:ascii="宋体" w:hAnsi="宋体" w:eastAsia="宋体" w:cs="宋体"/>
          <w:color w:val="auto"/>
          <w:sz w:val="22"/>
          <w:szCs w:val="22"/>
          <w:highlight w:val="none"/>
        </w:rPr>
        <w:t>法律适用和争议解决</w:t>
      </w:r>
      <w:bookmarkEnd w:id="209"/>
      <w:bookmarkEnd w:id="210"/>
      <w:bookmarkEnd w:id="211"/>
      <w:bookmarkEnd w:id="212"/>
      <w:bookmarkEnd w:id="213"/>
      <w:bookmarkEnd w:id="214"/>
      <w:bookmarkEnd w:id="215"/>
      <w:bookmarkEnd w:id="216"/>
      <w:bookmarkEnd w:id="217"/>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12.1</w:t>
      </w:r>
      <w:r>
        <w:rPr>
          <w:rFonts w:hint="eastAsia" w:ascii="宋体" w:hAnsi="宋体" w:eastAsia="宋体" w:cs="宋体"/>
          <w:color w:val="auto"/>
          <w:sz w:val="22"/>
          <w:szCs w:val="22"/>
          <w:highlight w:val="none"/>
        </w:rPr>
        <w:t>本框架合同的成立、有效性、解释、履行、签署、修订和终止以及争议的解决均应适用中华人民共和国法律。</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12.2</w:t>
      </w:r>
      <w:r>
        <w:rPr>
          <w:rFonts w:hint="eastAsia" w:ascii="宋体" w:hAnsi="宋体" w:eastAsia="宋体" w:cs="宋体"/>
          <w:color w:val="auto"/>
          <w:sz w:val="22"/>
          <w:szCs w:val="22"/>
          <w:highlight w:val="none"/>
        </w:rPr>
        <w:t>如果任何争议或权利要求起因于本框架合同或与本框架合同有关或与本框架合同的解释、违约、终止或效力有关，都应由双方通过友好协商解决。协商应在一方向另一方送达关于协商的书面要求后立即开始。</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12.3</w:t>
      </w:r>
      <w:r>
        <w:rPr>
          <w:rFonts w:hint="eastAsia" w:ascii="宋体" w:hAnsi="宋体" w:eastAsia="宋体" w:cs="宋体"/>
          <w:color w:val="auto"/>
          <w:sz w:val="22"/>
          <w:szCs w:val="22"/>
          <w:highlight w:val="none"/>
        </w:rPr>
        <w:t>如果在一方提出协商要求后的十天内，双方通过协商不能解决争议，则各方同意按下列方式解决：</w:t>
      </w:r>
    </w:p>
    <w:p>
      <w:pPr>
        <w:spacing w:line="360" w:lineRule="auto"/>
        <w:ind w:left="308" w:leftChars="171"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将该争议提交至【西安仲裁委员会】。该会依据其现行有效的仲裁规则在【西安市】进行仲裁。</w:t>
      </w:r>
    </w:p>
    <w:p>
      <w:pPr>
        <w:spacing w:line="360" w:lineRule="auto"/>
        <w:ind w:left="308" w:leftChars="171"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框架合同项下的任何仲裁裁决是终局的，并对双方具有约束力，并可在任何有管辖权的法院或其他有权机构强制执行。除非仲裁裁决有不同规定，败诉方应支付双方因仲裁所发生的一切法律费用，包括但不限于律师费。</w:t>
      </w:r>
      <w:r>
        <w:rPr>
          <w:rFonts w:hint="eastAsia" w:ascii="宋体" w:hAnsi="宋体" w:eastAsia="宋体" w:cs="宋体"/>
          <w:color w:val="auto"/>
          <w:sz w:val="22"/>
          <w:szCs w:val="22"/>
          <w:highlight w:val="none"/>
        </w:rPr>
        <w:tab/>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12.4</w:t>
      </w:r>
      <w:r>
        <w:rPr>
          <w:rFonts w:hint="eastAsia" w:ascii="宋体" w:hAnsi="宋体" w:eastAsia="宋体" w:cs="宋体"/>
          <w:color w:val="auto"/>
          <w:sz w:val="22"/>
          <w:szCs w:val="22"/>
          <w:highlight w:val="none"/>
        </w:rPr>
        <w:t>仲裁进行过程中，除双方有争议的部分外，本框架合同其他部分仍然有效，各方应继续履行。</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12.5</w:t>
      </w:r>
      <w:r>
        <w:rPr>
          <w:rFonts w:hint="eastAsia" w:ascii="宋体" w:hAnsi="宋体" w:eastAsia="宋体" w:cs="宋体"/>
          <w:color w:val="auto"/>
          <w:sz w:val="22"/>
          <w:szCs w:val="22"/>
          <w:highlight w:val="none"/>
        </w:rPr>
        <w:t>每一方同意使用本框架合同通知与送达条款规定的方式送达与仲裁或强制执行仲裁裁决有关的传票、通知或其他文件。本框架合同通知与送达条款中的任何规定均不应影响一方以法律允许的其他方式送达上述传票、通知或其他文件的权利。</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12.6</w:t>
      </w:r>
      <w:r>
        <w:rPr>
          <w:rFonts w:hint="eastAsia" w:ascii="宋体" w:hAnsi="宋体" w:eastAsia="宋体" w:cs="宋体"/>
          <w:color w:val="auto"/>
          <w:sz w:val="22"/>
          <w:szCs w:val="22"/>
          <w:highlight w:val="none"/>
        </w:rPr>
        <w:t>本框架合同全部或部分无效的，本条依然有效。</w:t>
      </w:r>
    </w:p>
    <w:p>
      <w:pPr>
        <w:pStyle w:val="3"/>
        <w:spacing w:line="360" w:lineRule="auto"/>
        <w:ind w:left="723" w:hanging="663" w:hangingChars="300"/>
        <w:rPr>
          <w:rFonts w:hint="eastAsia" w:ascii="宋体" w:hAnsi="宋体" w:eastAsia="宋体" w:cs="宋体"/>
          <w:color w:val="auto"/>
          <w:sz w:val="22"/>
          <w:szCs w:val="22"/>
          <w:highlight w:val="none"/>
        </w:rPr>
      </w:pPr>
      <w:bookmarkStart w:id="218" w:name="_Toc111947948"/>
      <w:bookmarkStart w:id="219" w:name="_Toc148073311"/>
      <w:bookmarkStart w:id="220" w:name="_Toc49001502"/>
      <w:bookmarkStart w:id="221" w:name="_Toc68613781"/>
      <w:bookmarkStart w:id="222" w:name="_Toc49080818"/>
      <w:bookmarkStart w:id="223" w:name="_Toc185499500"/>
      <w:bookmarkStart w:id="224" w:name="_Toc148073389"/>
      <w:bookmarkStart w:id="225" w:name="_Toc52262455"/>
      <w:bookmarkStart w:id="226" w:name="_Toc9977"/>
      <w:r>
        <w:rPr>
          <w:rFonts w:hint="eastAsia" w:ascii="宋体" w:hAnsi="宋体" w:eastAsia="宋体" w:cs="宋体"/>
          <w:color w:val="auto"/>
          <w:sz w:val="22"/>
          <w:szCs w:val="22"/>
          <w:highlight w:val="none"/>
        </w:rPr>
        <w:t>第十</w:t>
      </w: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条</w:t>
      </w:r>
      <w:r>
        <w:rPr>
          <w:rFonts w:hint="eastAsia" w:ascii="宋体" w:hAnsi="宋体" w:eastAsia="宋体" w:cs="宋体"/>
          <w:color w:val="auto"/>
          <w:kern w:val="2"/>
          <w:sz w:val="22"/>
          <w:szCs w:val="22"/>
          <w:highlight w:val="none"/>
        </w:rPr>
        <w:t>　</w:t>
      </w:r>
      <w:r>
        <w:rPr>
          <w:rFonts w:hint="eastAsia" w:ascii="宋体" w:hAnsi="宋体" w:eastAsia="宋体" w:cs="宋体"/>
          <w:color w:val="auto"/>
          <w:sz w:val="22"/>
          <w:szCs w:val="22"/>
          <w:highlight w:val="none"/>
        </w:rPr>
        <w:t>框架合同生效、终止及其他</w:t>
      </w:r>
      <w:bookmarkEnd w:id="218"/>
      <w:bookmarkEnd w:id="219"/>
      <w:bookmarkEnd w:id="220"/>
      <w:bookmarkEnd w:id="221"/>
      <w:bookmarkEnd w:id="222"/>
      <w:bookmarkEnd w:id="223"/>
      <w:bookmarkEnd w:id="224"/>
      <w:bookmarkEnd w:id="225"/>
      <w:bookmarkEnd w:id="226"/>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w:t>
      </w:r>
      <w:r>
        <w:rPr>
          <w:rFonts w:hint="eastAsia" w:ascii="宋体" w:hAnsi="宋体" w:eastAsia="宋体" w:cs="宋体"/>
          <w:color w:val="auto"/>
          <w:sz w:val="22"/>
          <w:szCs w:val="22"/>
          <w:highlight w:val="none"/>
        </w:rPr>
        <w:t>新闻发布及公告。除非法律规定或任何主管机关要求，或经由另一方书面同意（不应无理拒绝或拖延同意），任何一方不应对本框架合同或任何相关事项予以发布或公告。</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13.2</w:t>
      </w:r>
      <w:r>
        <w:rPr>
          <w:rFonts w:hint="eastAsia" w:ascii="宋体" w:hAnsi="宋体" w:eastAsia="宋体" w:cs="宋体"/>
          <w:color w:val="auto"/>
          <w:sz w:val="22"/>
          <w:szCs w:val="22"/>
          <w:highlight w:val="none"/>
        </w:rPr>
        <w:t>第三方不受益。除各方及其各自的继任人和允许的受让人以外，本框架合同不应向任何个人或实体赋予权利或救济。</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13.3</w:t>
      </w:r>
      <w:r>
        <w:rPr>
          <w:rFonts w:hint="eastAsia" w:ascii="宋体" w:hAnsi="宋体" w:eastAsia="宋体" w:cs="宋体"/>
          <w:color w:val="auto"/>
          <w:sz w:val="22"/>
          <w:szCs w:val="22"/>
          <w:highlight w:val="none"/>
        </w:rPr>
        <w:t>整体框架合同。本框架合同及其附件构成各方就本框架合同标的达成的完整协议，取代以前各方就本框架合同标的所达成的所有口头或书面的协议、协商、意向书以及其他协议和文件。</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13.4</w:t>
      </w:r>
      <w:r>
        <w:rPr>
          <w:rFonts w:hint="eastAsia" w:ascii="宋体" w:hAnsi="宋体" w:eastAsia="宋体" w:cs="宋体"/>
          <w:color w:val="auto"/>
          <w:sz w:val="22"/>
          <w:szCs w:val="22"/>
          <w:highlight w:val="none"/>
        </w:rPr>
        <w:t>转让。未经框架合同另一方书面同意，一方不得转让本框架合同项下任何权利义务。</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13.5</w:t>
      </w:r>
      <w:r>
        <w:rPr>
          <w:rFonts w:hint="eastAsia" w:ascii="宋体" w:hAnsi="宋体" w:eastAsia="宋体" w:cs="宋体"/>
          <w:color w:val="auto"/>
          <w:sz w:val="22"/>
          <w:szCs w:val="22"/>
          <w:highlight w:val="none"/>
        </w:rPr>
        <w:t>语言和文本。本框架合同以中文签署，一式四份，买方二份，卖方二份，具有相同法律效力。框架合同中手写体与印刷体具有同等法律效力。</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13.6</w:t>
      </w:r>
      <w:r>
        <w:rPr>
          <w:rFonts w:hint="eastAsia" w:ascii="宋体" w:hAnsi="宋体" w:eastAsia="宋体" w:cs="宋体"/>
          <w:color w:val="auto"/>
          <w:sz w:val="22"/>
          <w:szCs w:val="22"/>
          <w:highlight w:val="none"/>
        </w:rPr>
        <w:t>标题。本框架合同中加入的各章、条、款、项的标题仅为方便阅读而设，不应对本框架合同的含义或解释有任何影响。</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13.7</w:t>
      </w:r>
      <w:r>
        <w:rPr>
          <w:rFonts w:hint="eastAsia" w:ascii="宋体" w:hAnsi="宋体" w:eastAsia="宋体" w:cs="宋体"/>
          <w:color w:val="auto"/>
          <w:sz w:val="22"/>
          <w:szCs w:val="22"/>
          <w:highlight w:val="none"/>
        </w:rPr>
        <w:t>弃权。一方未强制执行本框架合同的一条或若干条款，或未行使其在本框架合同项下的任何选择权或其他权利，或任何时候未要求另一方履行其在本框架合同中的任何义务，均不应被理解为该方放弃上述有关条款，或者以任何方式影响本框架合同的有效性或该方强制执行本框架合同各项条款的权利，也不应阻止该方在任何时候采取其原本有权采取的其他任何行动。</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13.8</w:t>
      </w:r>
      <w:r>
        <w:rPr>
          <w:rFonts w:hint="eastAsia" w:ascii="宋体" w:hAnsi="宋体" w:eastAsia="宋体" w:cs="宋体"/>
          <w:color w:val="auto"/>
          <w:sz w:val="22"/>
          <w:szCs w:val="22"/>
          <w:highlight w:val="none"/>
        </w:rPr>
        <w:t>可分割性。本框架合同的任何条款或规定，如被有权机构判定为无效或不可执行，不应影响本框架合同其他条款或规定的效力或可执行性，也不应影响该条款或规定在其他情形下的效力或可执行性。</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13.9</w:t>
      </w:r>
      <w:r>
        <w:rPr>
          <w:rFonts w:hint="eastAsia" w:ascii="宋体" w:hAnsi="宋体" w:eastAsia="宋体" w:cs="宋体"/>
          <w:color w:val="auto"/>
          <w:sz w:val="22"/>
          <w:szCs w:val="22"/>
          <w:highlight w:val="none"/>
        </w:rPr>
        <w:t>费用。本框架合同各方应各自承担其自身与本框架合同及本框架合同项下的交易有关的所有开支和费用（包括法律费用），本框架合同另有规定的除外。</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13.10</w:t>
      </w:r>
      <w:r>
        <w:rPr>
          <w:rFonts w:hint="eastAsia" w:ascii="宋体" w:hAnsi="宋体" w:eastAsia="宋体" w:cs="宋体"/>
          <w:color w:val="auto"/>
          <w:sz w:val="22"/>
          <w:szCs w:val="22"/>
          <w:highlight w:val="none"/>
        </w:rPr>
        <w:t>无中间代理。双方确认，没有任何代理人、中间人或中介人直接或间接就本框架合同或本框架合同拟定的交易为任何一方行事，并且没有任何人基于任何一方做出的或代表任何一方做出的框架合同、安排而有权收取与本交易有关的任何代理费、中介费、中间人佣金或类似的佣金。</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13.11</w:t>
      </w:r>
      <w:r>
        <w:rPr>
          <w:rFonts w:hint="eastAsia" w:ascii="宋体" w:hAnsi="宋体" w:eastAsia="宋体" w:cs="宋体"/>
          <w:color w:val="auto"/>
          <w:sz w:val="22"/>
          <w:szCs w:val="22"/>
          <w:highlight w:val="none"/>
        </w:rPr>
        <w:t>框架合同修改和补充。本框架合同未尽事宜，应由双方友好协商解决。如需对本框架合同及其附件作任何修改或补充，须由双方以书面做出方为有效。修改或补充文件与本框架合同有不一致的，以修改或补充文件为准。</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13.12</w:t>
      </w:r>
      <w:r>
        <w:rPr>
          <w:rFonts w:hint="eastAsia" w:ascii="宋体" w:hAnsi="宋体" w:eastAsia="宋体" w:cs="宋体"/>
          <w:color w:val="auto"/>
          <w:sz w:val="22"/>
          <w:szCs w:val="22"/>
          <w:highlight w:val="none"/>
        </w:rPr>
        <w:t>签署授权。本框架合同签署前，双方将分别向对方提供其授权本框架合同签署人代表其签署本框架合同的授权文件。</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13.13</w:t>
      </w:r>
      <w:r>
        <w:rPr>
          <w:rFonts w:hint="eastAsia" w:ascii="宋体" w:hAnsi="宋体" w:eastAsia="宋体" w:cs="宋体"/>
          <w:color w:val="auto"/>
          <w:sz w:val="22"/>
          <w:szCs w:val="22"/>
          <w:highlight w:val="none"/>
        </w:rPr>
        <w:t>框架合同效力。框架合同将保持其效力直至各方已完全履行框架合同项下的所有义务并且各方之间的所有付款和索赔已结清。</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13.14</w:t>
      </w:r>
      <w:r>
        <w:rPr>
          <w:rFonts w:hint="eastAsia" w:ascii="宋体" w:hAnsi="宋体" w:eastAsia="宋体" w:cs="宋体"/>
          <w:color w:val="auto"/>
          <w:sz w:val="22"/>
          <w:szCs w:val="22"/>
          <w:highlight w:val="none"/>
        </w:rPr>
        <w:t>有效执行的订单及结算单。在本合同效力范围内相关合同标的物的有效执行的订单及结算单，作为本合同的结算依据，与本合同正文具有同等法律效力。</w:t>
      </w:r>
    </w:p>
    <w:p>
      <w:pPr>
        <w:spacing w:line="360" w:lineRule="auto"/>
        <w:ind w:left="361" w:hanging="331" w:hangingChars="1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13.15</w:t>
      </w:r>
      <w:r>
        <w:rPr>
          <w:rFonts w:hint="eastAsia" w:ascii="宋体" w:hAnsi="宋体" w:eastAsia="宋体" w:cs="宋体"/>
          <w:color w:val="auto"/>
          <w:sz w:val="22"/>
          <w:szCs w:val="22"/>
          <w:highlight w:val="none"/>
        </w:rPr>
        <w:t>框架合同附件。框架合同附件为本框架合同的组成部分，与本框架合同正文具有同等法律效力。若框架合同附件与框架合同正文有任何冲突，以框架合同正文为准。</w:t>
      </w:r>
    </w:p>
    <w:p>
      <w:pPr>
        <w:pStyle w:val="35"/>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本框架合同已由双方授权代表签字并加盖公司印章，自双方签署之日起生效；如双方签署日期不一致，自较迟的签署日起生效。</w:t>
      </w:r>
    </w:p>
    <w:p>
      <w:pPr>
        <w:autoSpaceDE w:val="0"/>
        <w:autoSpaceDN w:val="0"/>
        <w:adjustRightInd w:val="0"/>
        <w:spacing w:after="156" w:afterLines="50" w:line="360" w:lineRule="auto"/>
        <w:jc w:val="lef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br w:type="page"/>
      </w:r>
      <w:r>
        <w:rPr>
          <w:rFonts w:hint="eastAsia" w:ascii="宋体" w:hAnsi="宋体" w:eastAsia="宋体" w:cs="宋体"/>
          <w:b/>
          <w:bCs/>
          <w:color w:val="auto"/>
          <w:kern w:val="0"/>
          <w:sz w:val="22"/>
          <w:szCs w:val="22"/>
          <w:highlight w:val="none"/>
          <w:lang w:val="zh-CN"/>
        </w:rPr>
        <w:t>【签字页】</w:t>
      </w:r>
    </w:p>
    <w:p>
      <w:pPr>
        <w:spacing w:line="360" w:lineRule="auto"/>
        <w:rPr>
          <w:rFonts w:hint="eastAsia" w:ascii="宋体" w:hAnsi="宋体" w:eastAsia="宋体" w:cs="宋体"/>
          <w:b/>
          <w:color w:val="auto"/>
          <w:sz w:val="22"/>
          <w:szCs w:val="22"/>
          <w:highlight w:val="none"/>
        </w:rPr>
      </w:pPr>
      <w:r>
        <w:rPr>
          <w:rFonts w:hint="eastAsia" w:ascii="宋体" w:hAnsi="宋体" w:eastAsia="宋体" w:cs="宋体"/>
          <w:b/>
          <w:bCs/>
          <w:color w:val="auto"/>
          <w:kern w:val="0"/>
          <w:sz w:val="22"/>
          <w:szCs w:val="22"/>
          <w:highlight w:val="none"/>
          <w:lang w:val="zh-CN"/>
        </w:rPr>
        <w:t>框架合同名称:【</w:t>
      </w:r>
      <w:r>
        <w:rPr>
          <w:rFonts w:hint="eastAsia" w:ascii="宋体" w:hAnsi="宋体" w:eastAsia="宋体" w:cs="宋体"/>
          <w:b/>
          <w:bCs/>
          <w:color w:val="auto"/>
          <w:kern w:val="0"/>
          <w:sz w:val="22"/>
          <w:szCs w:val="22"/>
          <w:highlight w:val="none"/>
          <w:lang w:val="zh-CN" w:eastAsia="zh-CN"/>
        </w:rPr>
        <w:t>秦岭大熊猫研究中心（陕西省珍稀野生动物救护基地）秦岭珍稀野生动物保护补助项目</w:t>
      </w:r>
      <w:r>
        <w:rPr>
          <w:rFonts w:hint="eastAsia" w:ascii="宋体" w:hAnsi="宋体" w:eastAsia="宋体" w:cs="宋体"/>
          <w:b/>
          <w:bCs/>
          <w:color w:val="auto"/>
          <w:kern w:val="0"/>
          <w:sz w:val="22"/>
          <w:szCs w:val="22"/>
          <w:highlight w:val="none"/>
          <w:lang w:val="zh-CN"/>
        </w:rPr>
        <w:t>框架合同】</w:t>
      </w:r>
    </w:p>
    <w:p>
      <w:pPr>
        <w:autoSpaceDE w:val="0"/>
        <w:autoSpaceDN w:val="0"/>
        <w:adjustRightInd w:val="0"/>
        <w:spacing w:line="480" w:lineRule="exact"/>
        <w:ind w:firstLine="110" w:firstLineChars="50"/>
        <w:jc w:val="left"/>
        <w:rPr>
          <w:rFonts w:hint="eastAsia" w:ascii="宋体" w:hAnsi="宋体" w:eastAsia="宋体" w:cs="宋体"/>
          <w:b/>
          <w:bCs/>
          <w:color w:val="auto"/>
          <w:kern w:val="0"/>
          <w:sz w:val="22"/>
          <w:szCs w:val="22"/>
          <w:highlight w:val="none"/>
          <w:lang w:val="zh-CN"/>
        </w:rPr>
      </w:pPr>
    </w:p>
    <w:p>
      <w:pPr>
        <w:autoSpaceDE w:val="0"/>
        <w:autoSpaceDN w:val="0"/>
        <w:adjustRightInd w:val="0"/>
        <w:spacing w:line="480" w:lineRule="exact"/>
        <w:jc w:val="left"/>
        <w:rPr>
          <w:rFonts w:hint="eastAsia" w:ascii="宋体" w:hAnsi="宋体" w:eastAsia="宋体" w:cs="宋体"/>
          <w:b/>
          <w:bCs/>
          <w:color w:val="auto"/>
          <w:kern w:val="0"/>
          <w:sz w:val="22"/>
          <w:szCs w:val="22"/>
          <w:highlight w:val="none"/>
          <w:lang w:val="zh-CN"/>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b/>
          <w:bCs/>
          <w:color w:val="auto"/>
          <w:kern w:val="0"/>
          <w:sz w:val="22"/>
          <w:szCs w:val="22"/>
          <w:highlight w:val="none"/>
          <w:lang w:val="zh-CN"/>
        </w:rPr>
        <w:t>买方：</w:t>
      </w:r>
      <w:r>
        <w:rPr>
          <w:rFonts w:hint="eastAsia" w:ascii="宋体" w:hAnsi="宋体" w:eastAsia="宋体" w:cs="宋体"/>
          <w:snapToGrid w:val="0"/>
          <w:color w:val="auto"/>
          <w:spacing w:val="24"/>
          <w:kern w:val="0"/>
          <w:sz w:val="22"/>
          <w:szCs w:val="22"/>
          <w:highlight w:val="none"/>
        </w:rPr>
        <w:t>（盖章）</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u w:val="single"/>
        </w:rPr>
      </w:pPr>
      <w:r>
        <w:rPr>
          <w:rFonts w:hint="eastAsia" w:ascii="宋体" w:hAnsi="宋体" w:eastAsia="宋体" w:cs="宋体"/>
          <w:snapToGrid w:val="0"/>
          <w:color w:val="auto"/>
          <w:spacing w:val="24"/>
          <w:kern w:val="0"/>
          <w:sz w:val="22"/>
          <w:szCs w:val="22"/>
          <w:highlight w:val="none"/>
        </w:rPr>
        <w:t xml:space="preserve">签字：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 xml:space="preserve">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 xml:space="preserve">日期：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b/>
          <w:bCs/>
          <w:color w:val="auto"/>
          <w:kern w:val="0"/>
          <w:sz w:val="22"/>
          <w:szCs w:val="22"/>
          <w:highlight w:val="none"/>
          <w:lang w:val="zh-CN"/>
        </w:rPr>
        <w:t>卖方：</w:t>
      </w:r>
      <w:r>
        <w:rPr>
          <w:rFonts w:hint="eastAsia" w:ascii="宋体" w:hAnsi="宋体" w:eastAsia="宋体" w:cs="宋体"/>
          <w:snapToGrid w:val="0"/>
          <w:color w:val="auto"/>
          <w:spacing w:val="24"/>
          <w:kern w:val="0"/>
          <w:sz w:val="22"/>
          <w:szCs w:val="22"/>
          <w:highlight w:val="none"/>
        </w:rPr>
        <w:t>（盖章）</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u w:val="single"/>
        </w:rPr>
      </w:pPr>
      <w:r>
        <w:rPr>
          <w:rFonts w:hint="eastAsia" w:ascii="宋体" w:hAnsi="宋体" w:eastAsia="宋体" w:cs="宋体"/>
          <w:snapToGrid w:val="0"/>
          <w:color w:val="auto"/>
          <w:spacing w:val="24"/>
          <w:kern w:val="0"/>
          <w:sz w:val="22"/>
          <w:szCs w:val="22"/>
          <w:highlight w:val="none"/>
        </w:rPr>
        <w:t xml:space="preserve">签字：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 xml:space="preserve">      </w:t>
      </w:r>
    </w:p>
    <w:p>
      <w:pPr>
        <w:autoSpaceDE w:val="0"/>
        <w:autoSpaceDN w:val="0"/>
        <w:adjustRightInd w:val="0"/>
        <w:spacing w:line="480" w:lineRule="exact"/>
        <w:jc w:val="left"/>
        <w:rPr>
          <w:rFonts w:hint="eastAsia" w:ascii="宋体" w:hAnsi="宋体" w:eastAsia="宋体" w:cs="宋体"/>
          <w:snapToGrid w:val="0"/>
          <w:color w:val="auto"/>
          <w:spacing w:val="24"/>
          <w:kern w:val="0"/>
          <w:sz w:val="22"/>
          <w:szCs w:val="22"/>
          <w:highlight w:val="none"/>
        </w:rPr>
      </w:pPr>
      <w:r>
        <w:rPr>
          <w:rFonts w:hint="eastAsia" w:ascii="宋体" w:hAnsi="宋体" w:eastAsia="宋体" w:cs="宋体"/>
          <w:snapToGrid w:val="0"/>
          <w:color w:val="auto"/>
          <w:spacing w:val="24"/>
          <w:kern w:val="0"/>
          <w:sz w:val="22"/>
          <w:szCs w:val="22"/>
          <w:highlight w:val="none"/>
        </w:rPr>
        <w:t>日期：</w:t>
      </w:r>
    </w:p>
    <w:p>
      <w:pPr>
        <w:autoSpaceDE w:val="0"/>
        <w:autoSpaceDN w:val="0"/>
        <w:adjustRightInd w:val="0"/>
        <w:spacing w:line="480" w:lineRule="exact"/>
        <w:jc w:val="left"/>
        <w:rPr>
          <w:rFonts w:hint="eastAsia" w:ascii="宋体" w:hAnsi="宋体" w:eastAsia="宋体" w:cs="宋体"/>
          <w:color w:val="auto"/>
          <w:sz w:val="22"/>
          <w:szCs w:val="22"/>
          <w:highlight w:val="none"/>
        </w:rPr>
      </w:pPr>
    </w:p>
    <w:p>
      <w:pPr>
        <w:autoSpaceDE w:val="0"/>
        <w:autoSpaceDN w:val="0"/>
        <w:adjustRightInd w:val="0"/>
        <w:spacing w:line="480" w:lineRule="exact"/>
        <w:jc w:val="left"/>
        <w:rPr>
          <w:rFonts w:hint="eastAsia" w:ascii="宋体" w:hAnsi="宋体" w:eastAsia="宋体" w:cs="宋体"/>
          <w:color w:val="auto"/>
          <w:sz w:val="22"/>
          <w:szCs w:val="22"/>
          <w:highlight w:val="none"/>
        </w:rPr>
      </w:pPr>
    </w:p>
    <w:p>
      <w:pPr>
        <w:autoSpaceDE w:val="0"/>
        <w:autoSpaceDN w:val="0"/>
        <w:adjustRightInd w:val="0"/>
        <w:spacing w:line="480" w:lineRule="exact"/>
        <w:jc w:val="left"/>
        <w:rPr>
          <w:rFonts w:hint="eastAsia" w:ascii="宋体" w:hAnsi="宋体" w:eastAsia="宋体" w:cs="宋体"/>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p>
    <w:p>
      <w:pPr>
        <w:spacing w:line="360"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附件一：</w:t>
      </w:r>
    </w:p>
    <w:p>
      <w:pPr>
        <w:spacing w:line="48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廉政协议</w:t>
      </w:r>
    </w:p>
    <w:p>
      <w:pPr>
        <w:spacing w:line="48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买卖双方保证在签定合同的过程中严格执行以下条款，如有违反将按违约行为处理：</w:t>
      </w:r>
    </w:p>
    <w:p>
      <w:pPr>
        <w:spacing w:line="48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1、卖方不得以任何不正当手段（如向买方领导或经办人行贿、给回扣、提供免费旅游或其他消费娱乐等）谋求买方同意签定合同。如发现有上述行为事实，买方有权终止合同或按合同总价15%以内拒付余款。</w:t>
      </w:r>
    </w:p>
    <w:p>
      <w:pPr>
        <w:spacing w:line="480" w:lineRule="auto"/>
        <w:ind w:firstLine="6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买方领导或经办人不得以任何借口要求卖方为个人提供金钱、物品、免费旅游或其他消费娱乐等不正当利益。如发现有上述行为事实，卖方应向买方纪检监察部门如实举报，纪检监察部门应依纪依法予以追究查处，并向本单位领导汇报，以便采取措施，维护卖方正当的市场销售权益。</w:t>
      </w:r>
    </w:p>
    <w:p>
      <w:pPr>
        <w:spacing w:line="480" w:lineRule="auto"/>
        <w:ind w:firstLine="600"/>
        <w:rPr>
          <w:rFonts w:hint="eastAsia" w:ascii="宋体" w:hAnsi="宋体" w:eastAsia="宋体" w:cs="宋体"/>
          <w:color w:val="auto"/>
          <w:sz w:val="22"/>
          <w:szCs w:val="22"/>
          <w:highlight w:val="none"/>
        </w:rPr>
      </w:pP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买方：            卖方：</w:t>
      </w:r>
    </w:p>
    <w:p>
      <w:pPr>
        <w:adjustRightInd w:val="0"/>
        <w:snapToGrid w:val="0"/>
        <w:spacing w:line="48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授权代理人：                       授权代理人：</w:t>
      </w:r>
    </w:p>
    <w:p>
      <w:pPr>
        <w:spacing w:line="480" w:lineRule="auto"/>
        <w:ind w:firstLine="600"/>
        <w:rPr>
          <w:rFonts w:hint="eastAsia" w:ascii="宋体" w:hAnsi="宋体" w:eastAsia="宋体" w:cs="宋体"/>
          <w:color w:val="auto"/>
          <w:sz w:val="22"/>
          <w:szCs w:val="22"/>
          <w:highlight w:val="none"/>
        </w:rPr>
      </w:pPr>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年  月    日                  202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年   月  日</w:t>
      </w:r>
    </w:p>
    <w:p>
      <w:pPr>
        <w:spacing w:line="480" w:lineRule="auto"/>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highlight w:val="none"/>
        </w:rPr>
      </w:pPr>
    </w:p>
    <w:p>
      <w:pPr>
        <w:rPr>
          <w:rFonts w:hint="eastAsia" w:ascii="宋体" w:hAnsi="宋体" w:eastAsia="宋体" w:cs="宋体"/>
          <w:b/>
          <w:color w:val="auto"/>
          <w:sz w:val="36"/>
          <w:szCs w:val="36"/>
          <w:highlight w:val="none"/>
        </w:rPr>
      </w:pPr>
    </w:p>
    <w:bookmarkEnd w:id="129"/>
    <w:bookmarkEnd w:id="130"/>
    <w:bookmarkEnd w:id="131"/>
    <w:p>
      <w:pPr>
        <w:ind w:firstLine="440" w:firstLineChars="200"/>
        <w:jc w:val="left"/>
        <w:rPr>
          <w:rFonts w:hint="eastAsia" w:ascii="宋体" w:hAnsi="宋体" w:eastAsia="宋体" w:cs="宋体"/>
          <w:color w:val="auto"/>
          <w:sz w:val="22"/>
          <w:highlight w:val="none"/>
        </w:rPr>
      </w:pPr>
    </w:p>
    <w:p>
      <w:pPr>
        <w:tabs>
          <w:tab w:val="left" w:pos="3544"/>
        </w:tabs>
        <w:jc w:val="left"/>
        <w:outlineLvl w:val="0"/>
        <w:rPr>
          <w:rFonts w:hint="eastAsia" w:ascii="宋体" w:hAnsi="宋体" w:eastAsia="宋体" w:cs="宋体"/>
          <w:b/>
          <w:color w:val="auto"/>
          <w:sz w:val="32"/>
          <w:szCs w:val="30"/>
          <w:highlight w:val="none"/>
        </w:rPr>
        <w:sectPr>
          <w:type w:val="nextColumn"/>
          <w:pgSz w:w="11906" w:h="16838"/>
          <w:pgMar w:top="1418" w:right="1797" w:bottom="1418" w:left="1797" w:header="851" w:footer="992" w:gutter="0"/>
          <w:pgNumType w:fmt="decimal"/>
          <w:cols w:space="720" w:num="1"/>
          <w:docGrid w:linePitch="312" w:charSpace="0"/>
        </w:sectPr>
      </w:pPr>
      <w:r>
        <w:rPr>
          <w:rFonts w:hint="eastAsia" w:ascii="宋体" w:hAnsi="宋体" w:eastAsia="宋体" w:cs="宋体"/>
          <w:b/>
          <w:color w:val="auto"/>
          <w:sz w:val="32"/>
          <w:szCs w:val="30"/>
          <w:highlight w:val="none"/>
        </w:rPr>
        <w:t xml:space="preserve"> </w:t>
      </w:r>
    </w:p>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Pr>
        <w:jc w:val="center"/>
        <w:outlineLvl w:val="0"/>
        <w:rPr>
          <w:rFonts w:hint="eastAsia" w:ascii="宋体" w:hAnsi="宋体" w:eastAsia="宋体" w:cs="宋体"/>
          <w:b/>
          <w:color w:val="auto"/>
          <w:sz w:val="36"/>
          <w:szCs w:val="36"/>
          <w:highlight w:val="none"/>
        </w:rPr>
      </w:pPr>
      <w:bookmarkStart w:id="227" w:name="_Toc14801"/>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eastAsia="zh-CN"/>
        </w:rPr>
        <w:t>五</w:t>
      </w:r>
      <w:r>
        <w:rPr>
          <w:rFonts w:hint="eastAsia" w:ascii="宋体" w:hAnsi="宋体" w:eastAsia="宋体" w:cs="宋体"/>
          <w:b/>
          <w:color w:val="auto"/>
          <w:sz w:val="36"/>
          <w:szCs w:val="36"/>
          <w:highlight w:val="none"/>
        </w:rPr>
        <w:t>部分 响应文件格式</w:t>
      </w:r>
      <w:bookmarkEnd w:id="227"/>
    </w:p>
    <w:p>
      <w:pPr>
        <w:jc w:val="left"/>
        <w:rPr>
          <w:rFonts w:hint="eastAsia" w:ascii="宋体" w:hAnsi="宋体" w:eastAsia="宋体" w:cs="宋体"/>
          <w:b/>
          <w:color w:val="auto"/>
          <w:sz w:val="36"/>
          <w:szCs w:val="36"/>
          <w:highlight w:val="none"/>
        </w:rPr>
      </w:pPr>
    </w:p>
    <w:p>
      <w:pPr>
        <w:wordWrap w:val="0"/>
        <w:topLinePunct/>
        <w:snapToGrid w:val="0"/>
        <w:spacing w:line="360" w:lineRule="atLeast"/>
        <w:ind w:left="420" w:hanging="420"/>
        <w:contextualSpacing/>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wordWrap w:val="0"/>
        <w:topLinePunct/>
        <w:snapToGrid w:val="0"/>
        <w:spacing w:line="360" w:lineRule="atLeast"/>
        <w:ind w:left="420" w:hanging="420"/>
        <w:contextualSpacing/>
        <w:jc w:val="left"/>
        <w:rPr>
          <w:rFonts w:hint="eastAsia" w:ascii="宋体" w:hAnsi="宋体" w:eastAsia="宋体" w:cs="宋体"/>
          <w:color w:val="auto"/>
          <w:szCs w:val="21"/>
          <w:highlight w:val="none"/>
        </w:rPr>
      </w:pPr>
    </w:p>
    <w:p>
      <w:pPr>
        <w:wordWrap w:val="0"/>
        <w:topLinePunct/>
        <w:snapToGrid w:val="0"/>
        <w:spacing w:line="360" w:lineRule="atLeast"/>
        <w:ind w:left="420" w:hanging="420"/>
        <w:contextualSpacing/>
        <w:jc w:val="left"/>
        <w:rPr>
          <w:rFonts w:hint="eastAsia" w:ascii="宋体" w:hAnsi="宋体" w:eastAsia="宋体" w:cs="宋体"/>
          <w:color w:val="auto"/>
          <w:szCs w:val="21"/>
          <w:highlight w:val="none"/>
        </w:rPr>
      </w:pPr>
    </w:p>
    <w:p>
      <w:pPr>
        <w:topLinePunct/>
        <w:snapToGrid w:val="0"/>
        <w:spacing w:line="360" w:lineRule="atLeast"/>
        <w:ind w:left="964" w:hanging="964"/>
        <w:contextualSpacing/>
        <w:jc w:val="center"/>
        <w:rPr>
          <w:rFonts w:hint="eastAsia" w:ascii="宋体" w:hAnsi="宋体" w:eastAsia="宋体" w:cs="宋体"/>
          <w:b/>
          <w:color w:val="auto"/>
          <w:sz w:val="48"/>
          <w:szCs w:val="48"/>
          <w:highlight w:val="none"/>
        </w:rPr>
      </w:pPr>
      <w:r>
        <w:rPr>
          <w:rFonts w:hint="eastAsia" w:ascii="宋体" w:hAnsi="宋体" w:eastAsia="宋体" w:cs="宋体"/>
          <w:b/>
          <w:color w:val="auto"/>
          <w:sz w:val="44"/>
          <w:szCs w:val="48"/>
          <w:highlight w:val="none"/>
        </w:rPr>
        <w:t>项目名称</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b/>
          <w:color w:val="auto"/>
          <w:sz w:val="44"/>
          <w:szCs w:val="52"/>
          <w:highlight w:val="none"/>
        </w:rPr>
      </w:pPr>
      <w:r>
        <w:rPr>
          <w:rFonts w:hint="eastAsia" w:ascii="宋体" w:hAnsi="宋体" w:eastAsia="宋体" w:cs="宋体"/>
          <w:b/>
          <w:color w:val="auto"/>
          <w:sz w:val="44"/>
          <w:szCs w:val="52"/>
          <w:highlight w:val="none"/>
        </w:rPr>
        <w:t>项目编号</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ordWrap w:val="0"/>
        <w:topLinePunct/>
        <w:snapToGrid w:val="0"/>
        <w:spacing w:line="360" w:lineRule="atLeast"/>
        <w:ind w:left="1446" w:hanging="1446"/>
        <w:contextualSpacing/>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响应文件</w:t>
      </w: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contextualSpacing/>
        <w:jc w:val="center"/>
        <w:rPr>
          <w:rFonts w:hint="eastAsia" w:ascii="宋体" w:hAnsi="宋体" w:eastAsia="宋体" w:cs="宋体"/>
          <w:color w:val="auto"/>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left="480" w:hanging="480"/>
        <w:contextualSpacing/>
        <w:jc w:val="center"/>
        <w:rPr>
          <w:rFonts w:hint="eastAsia" w:ascii="宋体" w:hAnsi="宋体" w:eastAsia="宋体" w:cs="宋体"/>
          <w:color w:val="auto"/>
          <w:sz w:val="24"/>
          <w:highlight w:val="none"/>
        </w:rPr>
      </w:pPr>
    </w:p>
    <w:p>
      <w:pPr>
        <w:wordWrap w:val="0"/>
        <w:topLinePunct/>
        <w:snapToGrid w:val="0"/>
        <w:spacing w:line="360" w:lineRule="atLeast"/>
        <w:ind w:firstLine="2240" w:firstLineChars="800"/>
        <w:contextualSpacing/>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供 应 商：</w:t>
      </w:r>
      <w:r>
        <w:rPr>
          <w:rFonts w:hint="eastAsia" w:ascii="宋体" w:hAnsi="宋体" w:eastAsia="宋体" w:cs="宋体"/>
          <w:color w:val="auto"/>
          <w:sz w:val="28"/>
          <w:szCs w:val="28"/>
          <w:highlight w:val="none"/>
          <w:u w:val="single"/>
        </w:rPr>
        <w:t xml:space="preserve"> （加盖单位公章）</w:t>
      </w:r>
    </w:p>
    <w:p>
      <w:pPr>
        <w:wordWrap w:val="0"/>
        <w:topLinePunct/>
        <w:snapToGrid w:val="0"/>
        <w:spacing w:line="360" w:lineRule="atLeast"/>
        <w:ind w:firstLine="2240" w:firstLineChars="800"/>
        <w:contextualSpacing/>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时    间：</w:t>
      </w:r>
      <w:r>
        <w:rPr>
          <w:rFonts w:hint="eastAsia" w:ascii="宋体" w:hAnsi="宋体" w:eastAsia="宋体" w:cs="宋体"/>
          <w:color w:val="auto"/>
          <w:sz w:val="28"/>
          <w:szCs w:val="28"/>
          <w:highlight w:val="none"/>
          <w:u w:val="single"/>
        </w:rPr>
        <w:t xml:space="preserve">                 </w:t>
      </w:r>
    </w:p>
    <w:p>
      <w:pPr>
        <w:wordWrap w:val="0"/>
        <w:topLinePunct/>
        <w:snapToGrid w:val="0"/>
        <w:spacing w:line="360" w:lineRule="atLeast"/>
        <w:contextualSpacing/>
        <w:jc w:val="center"/>
        <w:rPr>
          <w:rFonts w:hint="eastAsia" w:ascii="宋体" w:hAnsi="宋体" w:eastAsia="宋体" w:cs="宋体"/>
          <w:color w:val="auto"/>
          <w:sz w:val="28"/>
          <w:szCs w:val="28"/>
          <w:highlight w:val="none"/>
          <w:u w:val="single"/>
        </w:rPr>
        <w:sectPr>
          <w:type w:val="nextColumn"/>
          <w:pgSz w:w="11906" w:h="16838"/>
          <w:pgMar w:top="1418" w:right="1797" w:bottom="1418" w:left="1797" w:header="851" w:footer="992" w:gutter="0"/>
          <w:pgNumType w:fmt="decimal"/>
          <w:cols w:space="720" w:num="1"/>
          <w:docGrid w:linePitch="312" w:charSpace="0"/>
        </w:sectPr>
      </w:pPr>
    </w:p>
    <w:p>
      <w:pPr>
        <w:rPr>
          <w:rFonts w:hint="eastAsia" w:ascii="宋体" w:hAnsi="宋体" w:eastAsia="宋体" w:cs="宋体"/>
          <w:color w:val="auto"/>
          <w:highlight w:val="none"/>
        </w:rPr>
      </w:pPr>
    </w:p>
    <w:p>
      <w:pPr>
        <w:topLinePunct/>
        <w:snapToGrid w:val="0"/>
        <w:spacing w:line="360" w:lineRule="auto"/>
        <w:contextualSpacing/>
        <w:jc w:val="center"/>
        <w:rPr>
          <w:rFonts w:hint="eastAsia" w:ascii="宋体" w:hAnsi="宋体" w:eastAsia="宋体" w:cs="宋体"/>
          <w:b/>
          <w:bCs/>
          <w:color w:val="auto"/>
          <w:sz w:val="40"/>
          <w:highlight w:val="none"/>
        </w:rPr>
      </w:pPr>
      <w:r>
        <w:rPr>
          <w:rFonts w:hint="eastAsia" w:ascii="宋体" w:hAnsi="宋体" w:eastAsia="宋体" w:cs="宋体"/>
          <w:b/>
          <w:bCs/>
          <w:color w:val="auto"/>
          <w:sz w:val="40"/>
          <w:highlight w:val="none"/>
        </w:rPr>
        <w:t>目  录</w:t>
      </w:r>
    </w:p>
    <w:p>
      <w:pPr>
        <w:topLinePunct/>
        <w:snapToGrid w:val="0"/>
        <w:spacing w:line="360" w:lineRule="auto"/>
        <w:contextualSpacing/>
        <w:jc w:val="left"/>
        <w:rPr>
          <w:rFonts w:hint="eastAsia" w:ascii="宋体" w:hAnsi="宋体" w:eastAsia="宋体" w:cs="宋体"/>
          <w:bCs/>
          <w:color w:val="auto"/>
          <w:sz w:val="24"/>
          <w:highlight w:val="none"/>
        </w:rPr>
      </w:pPr>
    </w:p>
    <w:p>
      <w:pPr>
        <w:spacing w:line="360" w:lineRule="auto"/>
        <w:jc w:val="left"/>
        <w:rPr>
          <w:rFonts w:hint="eastAsia" w:ascii="宋体" w:hAnsi="宋体" w:eastAsia="宋体" w:cs="宋体"/>
          <w:b/>
          <w:color w:val="auto"/>
          <w:sz w:val="32"/>
          <w:szCs w:val="21"/>
          <w:highlight w:val="none"/>
        </w:rPr>
      </w:pPr>
    </w:p>
    <w:p>
      <w:pPr>
        <w:spacing w:line="360" w:lineRule="auto"/>
        <w:jc w:val="left"/>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注：1、响应文件</w:t>
      </w:r>
      <w:r>
        <w:rPr>
          <w:rFonts w:hint="eastAsia" w:ascii="宋体" w:hAnsi="宋体" w:eastAsia="宋体" w:cs="宋体"/>
          <w:b/>
          <w:color w:val="auto"/>
          <w:sz w:val="32"/>
          <w:szCs w:val="21"/>
          <w:highlight w:val="none"/>
          <w:lang w:eastAsia="zh-CN"/>
        </w:rPr>
        <w:t>需</w:t>
      </w:r>
      <w:r>
        <w:rPr>
          <w:rFonts w:hint="eastAsia" w:ascii="宋体" w:hAnsi="宋体" w:eastAsia="宋体" w:cs="宋体"/>
          <w:b/>
          <w:color w:val="auto"/>
          <w:sz w:val="32"/>
          <w:szCs w:val="21"/>
          <w:highlight w:val="none"/>
        </w:rPr>
        <w:t>编制目录；</w:t>
      </w:r>
    </w:p>
    <w:p>
      <w:pPr>
        <w:spacing w:line="360" w:lineRule="auto"/>
        <w:ind w:firstLine="643" w:firstLineChars="200"/>
        <w:jc w:val="left"/>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2、各供应商应根据响应文件编制情况，详细添加2级及以上目录且页码索引清晰。</w:t>
      </w:r>
    </w:p>
    <w:p>
      <w:pPr>
        <w:spacing w:line="360" w:lineRule="auto"/>
        <w:jc w:val="left"/>
        <w:rPr>
          <w:rFonts w:hint="eastAsia" w:ascii="宋体" w:hAnsi="宋体" w:eastAsia="宋体" w:cs="宋体"/>
          <w:b/>
          <w:color w:val="auto"/>
          <w:sz w:val="32"/>
          <w:szCs w:val="21"/>
          <w:highlight w:val="none"/>
        </w:rPr>
      </w:pPr>
    </w:p>
    <w:p>
      <w:pPr>
        <w:spacing w:line="360" w:lineRule="auto"/>
        <w:jc w:val="left"/>
        <w:rPr>
          <w:rFonts w:hint="eastAsia" w:ascii="宋体" w:hAnsi="宋体" w:eastAsia="宋体" w:cs="宋体"/>
          <w:b/>
          <w:color w:val="auto"/>
          <w:sz w:val="32"/>
          <w:szCs w:val="21"/>
          <w:highlight w:val="none"/>
        </w:rPr>
      </w:pPr>
    </w:p>
    <w:p>
      <w:pPr>
        <w:spacing w:line="360" w:lineRule="auto"/>
        <w:jc w:val="left"/>
        <w:rPr>
          <w:rFonts w:hint="eastAsia" w:ascii="宋体" w:hAnsi="宋体" w:eastAsia="宋体" w:cs="宋体"/>
          <w:b/>
          <w:color w:val="auto"/>
          <w:sz w:val="32"/>
          <w:szCs w:val="21"/>
          <w:highlight w:val="none"/>
        </w:rPr>
        <w:sectPr>
          <w:type w:val="nextColumn"/>
          <w:pgSz w:w="11906" w:h="16838"/>
          <w:pgMar w:top="1418" w:right="1797" w:bottom="1418" w:left="1797" w:header="851" w:footer="992" w:gutter="0"/>
          <w:pgNumType w:fmt="decimal"/>
          <w:cols w:space="720" w:num="1"/>
          <w:docGrid w:linePitch="312" w:charSpace="0"/>
        </w:sectPr>
      </w:pPr>
    </w:p>
    <w:p>
      <w:pPr>
        <w:spacing w:line="360" w:lineRule="auto"/>
        <w:jc w:val="left"/>
        <w:rPr>
          <w:rFonts w:hint="eastAsia" w:ascii="宋体" w:hAnsi="宋体" w:eastAsia="宋体" w:cs="宋体"/>
          <w:color w:val="auto"/>
          <w:sz w:val="32"/>
          <w:szCs w:val="21"/>
          <w:highlight w:val="none"/>
        </w:rPr>
      </w:pPr>
      <w:r>
        <w:rPr>
          <w:rFonts w:hint="eastAsia" w:ascii="宋体" w:hAnsi="宋体" w:eastAsia="宋体" w:cs="宋体"/>
          <w:b/>
          <w:color w:val="auto"/>
          <w:sz w:val="32"/>
          <w:szCs w:val="21"/>
          <w:highlight w:val="none"/>
        </w:rPr>
        <w:t>1.</w:t>
      </w:r>
      <w:r>
        <w:rPr>
          <w:rFonts w:hint="eastAsia" w:ascii="宋体" w:hAnsi="宋体" w:eastAsia="宋体" w:cs="宋体"/>
          <w:b/>
          <w:bCs/>
          <w:color w:val="auto"/>
          <w:sz w:val="28"/>
          <w:szCs w:val="28"/>
          <w:highlight w:val="none"/>
        </w:rPr>
        <w:t>响应函（格式）</w:t>
      </w:r>
    </w:p>
    <w:p>
      <w:pPr>
        <w:spacing w:line="440" w:lineRule="exact"/>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响 应 函</w:t>
      </w:r>
    </w:p>
    <w:p>
      <w:pPr>
        <w:rPr>
          <w:rFonts w:hint="eastAsia" w:ascii="宋体" w:hAnsi="宋体" w:eastAsia="宋体" w:cs="宋体"/>
          <w:color w:val="auto"/>
          <w:highlight w:val="none"/>
        </w:rPr>
      </w:pPr>
    </w:p>
    <w:p>
      <w:pPr>
        <w:spacing w:line="360" w:lineRule="auto"/>
        <w:jc w:val="left"/>
        <w:rPr>
          <w:rFonts w:hint="eastAsia" w:ascii="宋体" w:hAnsi="宋体" w:eastAsia="宋体" w:cs="宋体"/>
          <w:b/>
          <w:bCs/>
          <w:color w:val="auto"/>
          <w:kern w:val="0"/>
          <w:sz w:val="24"/>
          <w:highlight w:val="none"/>
          <w:lang w:eastAsia="zh-CN"/>
        </w:rPr>
      </w:pPr>
      <w:r>
        <w:rPr>
          <w:rFonts w:hint="eastAsia" w:ascii="宋体" w:hAnsi="宋体" w:eastAsia="宋体" w:cs="宋体"/>
          <w:b/>
          <w:color w:val="auto"/>
          <w:sz w:val="24"/>
          <w:highlight w:val="none"/>
        </w:rPr>
        <w:t>致</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eastAsia="zh-CN"/>
        </w:rPr>
        <w:t>武汉新地工程造价咨询有限公司</w:t>
      </w:r>
    </w:p>
    <w:p>
      <w:pPr>
        <w:spacing w:line="360" w:lineRule="auto"/>
        <w:ind w:firstLine="437"/>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根据贵方为</w:t>
      </w:r>
      <w:r>
        <w:rPr>
          <w:rFonts w:hint="eastAsia" w:ascii="宋体" w:hAnsi="宋体" w:eastAsia="宋体" w:cs="宋体"/>
          <w:bCs/>
          <w:color w:val="auto"/>
          <w:kern w:val="0"/>
          <w:sz w:val="24"/>
          <w:highlight w:val="none"/>
          <w:u w:val="single"/>
        </w:rPr>
        <w:t xml:space="preserve"> 项目名称（项目编号）</w:t>
      </w:r>
      <w:r>
        <w:rPr>
          <w:rFonts w:hint="eastAsia" w:ascii="宋体" w:hAnsi="宋体" w:eastAsia="宋体" w:cs="宋体"/>
          <w:bCs/>
          <w:color w:val="auto"/>
          <w:kern w:val="0"/>
          <w:sz w:val="24"/>
          <w:highlight w:val="none"/>
        </w:rPr>
        <w:t>的竞争性谈判公告，签字代表</w:t>
      </w:r>
      <w:r>
        <w:rPr>
          <w:rFonts w:hint="eastAsia" w:ascii="宋体" w:hAnsi="宋体" w:eastAsia="宋体" w:cs="宋体"/>
          <w:bCs/>
          <w:color w:val="auto"/>
          <w:kern w:val="0"/>
          <w:sz w:val="24"/>
          <w:highlight w:val="none"/>
          <w:u w:val="single"/>
        </w:rPr>
        <w:t xml:space="preserve">  （姓名、职务） </w:t>
      </w:r>
      <w:r>
        <w:rPr>
          <w:rFonts w:hint="eastAsia" w:ascii="宋体" w:hAnsi="宋体" w:eastAsia="宋体" w:cs="宋体"/>
          <w:bCs/>
          <w:color w:val="auto"/>
          <w:kern w:val="0"/>
          <w:sz w:val="24"/>
          <w:highlight w:val="none"/>
        </w:rPr>
        <w:t xml:space="preserve"> 经正式授权并代表供应商</w:t>
      </w:r>
      <w:r>
        <w:rPr>
          <w:rFonts w:hint="eastAsia" w:ascii="宋体" w:hAnsi="宋体" w:eastAsia="宋体" w:cs="宋体"/>
          <w:bCs/>
          <w:color w:val="auto"/>
          <w:kern w:val="0"/>
          <w:sz w:val="24"/>
          <w:highlight w:val="none"/>
          <w:u w:val="single"/>
        </w:rPr>
        <w:t xml:space="preserve"> （供应商名称、地址）  </w:t>
      </w:r>
      <w:r>
        <w:rPr>
          <w:rFonts w:hint="eastAsia" w:ascii="宋体" w:hAnsi="宋体" w:eastAsia="宋体" w:cs="宋体"/>
          <w:bCs/>
          <w:color w:val="auto"/>
          <w:kern w:val="0"/>
          <w:sz w:val="24"/>
          <w:highlight w:val="none"/>
        </w:rPr>
        <w:t>，提交下述本项目响应文件正本</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份、副本</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份及电子文件</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份。</w:t>
      </w:r>
    </w:p>
    <w:p>
      <w:pPr>
        <w:rPr>
          <w:rFonts w:hint="eastAsia" w:ascii="宋体" w:hAnsi="宋体" w:eastAsia="宋体" w:cs="宋体"/>
          <w:color w:val="auto"/>
          <w:highlight w:val="none"/>
        </w:rPr>
      </w:pPr>
    </w:p>
    <w:p>
      <w:pPr>
        <w:spacing w:line="360" w:lineRule="auto"/>
        <w:ind w:left="364" w:leftChars="202"/>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1.响应函</w:t>
      </w:r>
    </w:p>
    <w:p>
      <w:pPr>
        <w:spacing w:line="360" w:lineRule="auto"/>
        <w:ind w:left="364" w:leftChars="202"/>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2.响应报价表</w:t>
      </w:r>
    </w:p>
    <w:p>
      <w:pPr>
        <w:spacing w:line="360" w:lineRule="auto"/>
        <w:ind w:left="364" w:leftChars="202"/>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3.资格证明文件</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4.货物说明一览表</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5.技术及商务响应偏离表</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6.技术证明及方案说明</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7.履约能力及售后承诺</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8.供应商认为有必要的其它说明（如有）</w:t>
      </w:r>
    </w:p>
    <w:p>
      <w:pPr>
        <w:spacing w:line="360" w:lineRule="auto"/>
        <w:ind w:left="360" w:left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9.供应商拒绝政府采购领域商业贿赂承诺书</w:t>
      </w:r>
    </w:p>
    <w:p>
      <w:pPr>
        <w:rPr>
          <w:rFonts w:hint="eastAsia" w:ascii="宋体" w:hAnsi="宋体" w:eastAsia="宋体" w:cs="宋体"/>
          <w:color w:val="auto"/>
          <w:highlight w:val="none"/>
        </w:rPr>
      </w:pP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在此，签字代表宣布同意如下：</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1.我方将按采购文件的规定履行合同责任和义务；</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2.我方已详细审查全部采购文件，我们完全理解并同意放弃对这方面有不明及误解的权力；</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3.本谈判有效期为自响应文件递交截止时间起</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天（若成交，响应文件有效期延长至合同期结束）；</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4.若我方获成交，我方保证按采购文件规定向贵方支付谈判代理服务费；</w:t>
      </w:r>
    </w:p>
    <w:p>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5.我方完全理解并同意贵方在采购文件中规定的有关不退还谈判保证金和拒绝谈判的条款；</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6.我方同意提供按照贵方可能要求的与其谈判有关的一切数据或资料，完全理解最低报价不是成交唯一依据；</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7.我方参与本次谈判活动所提供的所有声明、承诺、材料及与本次谈判有关的资料等均真实有效，若为虚假应标资料，愿承担所有法律责任；</w:t>
      </w:r>
    </w:p>
    <w:p>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8.与本次谈判有关的一切正式往来信函请寄：</w:t>
      </w:r>
    </w:p>
    <w:p>
      <w:pPr>
        <w:rPr>
          <w:rFonts w:hint="eastAsia" w:ascii="宋体" w:hAnsi="宋体" w:eastAsia="宋体" w:cs="宋体"/>
          <w:color w:val="auto"/>
          <w:highlight w:val="none"/>
        </w:rPr>
      </w:pPr>
    </w:p>
    <w:p>
      <w:pPr>
        <w:wordWrap w:val="0"/>
        <w:topLinePunct/>
        <w:spacing w:line="440" w:lineRule="exact"/>
        <w:ind w:firstLine="240" w:firstLineChars="100"/>
        <w:jc w:val="left"/>
        <w:rPr>
          <w:rFonts w:hint="eastAsia" w:ascii="宋体" w:hAnsi="宋体" w:eastAsia="宋体" w:cs="宋体"/>
          <w:bCs/>
          <w:color w:val="auto"/>
          <w:kern w:val="0"/>
          <w:sz w:val="24"/>
          <w:highlight w:val="none"/>
          <w:u w:val="single"/>
        </w:rPr>
      </w:pPr>
      <w:r>
        <w:rPr>
          <w:rFonts w:hint="eastAsia" w:ascii="宋体" w:hAnsi="宋体" w:eastAsia="宋体" w:cs="宋体"/>
          <w:bCs/>
          <w:color w:val="auto"/>
          <w:kern w:val="0"/>
          <w:sz w:val="24"/>
          <w:highlight w:val="none"/>
        </w:rPr>
        <w:t>供  应   商：</w:t>
      </w:r>
      <w:r>
        <w:rPr>
          <w:rFonts w:hint="eastAsia" w:ascii="宋体" w:hAnsi="宋体" w:eastAsia="宋体" w:cs="宋体"/>
          <w:bCs/>
          <w:color w:val="auto"/>
          <w:kern w:val="0"/>
          <w:sz w:val="24"/>
          <w:highlight w:val="none"/>
          <w:u w:val="single"/>
        </w:rPr>
        <w:t xml:space="preserve">        （加盖公章）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详 细 地 址：</w:t>
      </w:r>
      <w:r>
        <w:rPr>
          <w:rFonts w:hint="eastAsia" w:ascii="宋体" w:hAnsi="宋体" w:eastAsia="宋体" w:cs="宋体"/>
          <w:bCs/>
          <w:color w:val="auto"/>
          <w:kern w:val="0"/>
          <w:sz w:val="24"/>
          <w:highlight w:val="none"/>
          <w:u w:val="single"/>
        </w:rPr>
        <w:t xml:space="preserve">                                </w:t>
      </w:r>
    </w:p>
    <w:p>
      <w:pPr>
        <w:numPr>
          <w:ilvl w:val="1"/>
          <w:numId w:val="0"/>
        </w:numPr>
        <w:tabs>
          <w:tab w:val="left" w:pos="360"/>
        </w:tabs>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邮 政 编 码：</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座 机 电 话：</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传       真：</w:t>
      </w:r>
      <w:r>
        <w:rPr>
          <w:rFonts w:hint="eastAsia" w:ascii="宋体" w:hAnsi="宋体" w:eastAsia="宋体" w:cs="宋体"/>
          <w:bCs/>
          <w:color w:val="auto"/>
          <w:kern w:val="0"/>
          <w:sz w:val="24"/>
          <w:highlight w:val="none"/>
          <w:u w:val="single"/>
        </w:rPr>
        <w:t xml:space="preserve">                                </w:t>
      </w:r>
    </w:p>
    <w:p>
      <w:pPr>
        <w:numPr>
          <w:ilvl w:val="1"/>
          <w:numId w:val="0"/>
        </w:numPr>
        <w:tabs>
          <w:tab w:val="left" w:pos="360"/>
        </w:tabs>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电子邮件地址：</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开  户 银 行：</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帐        号：</w:t>
      </w:r>
      <w:r>
        <w:rPr>
          <w:rFonts w:hint="eastAsia" w:ascii="宋体" w:hAnsi="宋体" w:eastAsia="宋体" w:cs="宋体"/>
          <w:bCs/>
          <w:color w:val="auto"/>
          <w:kern w:val="0"/>
          <w:sz w:val="24"/>
          <w:highlight w:val="none"/>
          <w:u w:val="single"/>
        </w:rPr>
        <w:t xml:space="preserve">                               </w:t>
      </w:r>
    </w:p>
    <w:p>
      <w:pPr>
        <w:wordWrap w:val="0"/>
        <w:topLinePunct/>
        <w:spacing w:line="440" w:lineRule="exact"/>
        <w:jc w:val="left"/>
        <w:rPr>
          <w:rFonts w:hint="eastAsia" w:ascii="宋体" w:hAnsi="宋体" w:eastAsia="宋体" w:cs="宋体"/>
          <w:bCs/>
          <w:color w:val="auto"/>
          <w:kern w:val="0"/>
          <w:sz w:val="24"/>
          <w:highlight w:val="none"/>
        </w:rPr>
      </w:pPr>
    </w:p>
    <w:p>
      <w:pPr>
        <w:wordWrap w:val="0"/>
        <w:topLinePunct/>
        <w:spacing w:line="440" w:lineRule="exact"/>
        <w:jc w:val="left"/>
        <w:rPr>
          <w:rFonts w:hint="eastAsia" w:ascii="宋体" w:hAnsi="宋体" w:eastAsia="宋体" w:cs="宋体"/>
          <w:bCs/>
          <w:color w:val="auto"/>
          <w:kern w:val="0"/>
          <w:sz w:val="24"/>
          <w:highlight w:val="none"/>
        </w:rPr>
      </w:pP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法定代表人/授权代表签字：</w:t>
      </w:r>
      <w:r>
        <w:rPr>
          <w:rFonts w:hint="eastAsia" w:ascii="宋体" w:hAnsi="宋体" w:eastAsia="宋体" w:cs="宋体"/>
          <w:bCs/>
          <w:color w:val="auto"/>
          <w:kern w:val="0"/>
          <w:sz w:val="24"/>
          <w:highlight w:val="none"/>
          <w:u w:val="single"/>
        </w:rPr>
        <w:t xml:space="preserve">                    </w:t>
      </w:r>
    </w:p>
    <w:p>
      <w:pPr>
        <w:wordWrap w:val="0"/>
        <w:topLinePunct/>
        <w:spacing w:line="440" w:lineRule="exact"/>
        <w:ind w:left="565" w:leftChars="114" w:hanging="360" w:hangingChars="15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座 机 电 话：</w:t>
      </w:r>
      <w:r>
        <w:rPr>
          <w:rFonts w:hint="eastAsia" w:ascii="宋体" w:hAnsi="宋体" w:eastAsia="宋体" w:cs="宋体"/>
          <w:bCs/>
          <w:color w:val="auto"/>
          <w:kern w:val="0"/>
          <w:sz w:val="24"/>
          <w:highlight w:val="none"/>
          <w:u w:val="single"/>
        </w:rPr>
        <w:t xml:space="preserve">                                </w:t>
      </w:r>
    </w:p>
    <w:p>
      <w:pPr>
        <w:wordWrap w:val="0"/>
        <w:topLinePunct/>
        <w:spacing w:line="440" w:lineRule="exact"/>
        <w:ind w:left="565" w:leftChars="114" w:hanging="360" w:hangingChars="15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传       真：</w:t>
      </w:r>
      <w:r>
        <w:rPr>
          <w:rFonts w:hint="eastAsia" w:ascii="宋体" w:hAnsi="宋体" w:eastAsia="宋体" w:cs="宋体"/>
          <w:bCs/>
          <w:color w:val="auto"/>
          <w:kern w:val="0"/>
          <w:sz w:val="24"/>
          <w:highlight w:val="none"/>
          <w:u w:val="single"/>
        </w:rPr>
        <w:t xml:space="preserve">                                </w:t>
      </w:r>
    </w:p>
    <w:p>
      <w:pPr>
        <w:wordWrap w:val="0"/>
        <w:topLinePunct/>
        <w:spacing w:line="440" w:lineRule="exact"/>
        <w:ind w:firstLine="240" w:firstLineChars="1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手 机 电 话：</w:t>
      </w:r>
      <w:r>
        <w:rPr>
          <w:rFonts w:hint="eastAsia" w:ascii="宋体" w:hAnsi="宋体" w:eastAsia="宋体" w:cs="宋体"/>
          <w:bCs/>
          <w:color w:val="auto"/>
          <w:kern w:val="0"/>
          <w:sz w:val="24"/>
          <w:highlight w:val="none"/>
          <w:u w:val="single"/>
        </w:rPr>
        <w:t xml:space="preserve">                                </w:t>
      </w:r>
    </w:p>
    <w:p>
      <w:pPr>
        <w:wordWrap w:val="0"/>
        <w:topLinePunct/>
        <w:spacing w:line="440" w:lineRule="exact"/>
        <w:jc w:val="left"/>
        <w:rPr>
          <w:rFonts w:hint="eastAsia" w:ascii="宋体" w:hAnsi="宋体" w:eastAsia="宋体" w:cs="宋体"/>
          <w:bCs/>
          <w:color w:val="auto"/>
          <w:kern w:val="0"/>
          <w:sz w:val="24"/>
          <w:highlight w:val="none"/>
        </w:rPr>
      </w:pPr>
    </w:p>
    <w:p>
      <w:pPr>
        <w:spacing w:line="440" w:lineRule="exact"/>
        <w:jc w:val="left"/>
        <w:rPr>
          <w:rFonts w:hint="eastAsia" w:ascii="宋体" w:hAnsi="宋体" w:eastAsia="宋体" w:cs="宋体"/>
          <w:bCs/>
          <w:color w:val="auto"/>
          <w:kern w:val="0"/>
          <w:sz w:val="24"/>
          <w:highlight w:val="none"/>
        </w:rPr>
      </w:pPr>
    </w:p>
    <w:p>
      <w:pPr>
        <w:tabs>
          <w:tab w:val="left" w:pos="6379"/>
          <w:tab w:val="left" w:pos="7230"/>
        </w:tabs>
        <w:spacing w:line="44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年    月    日</w:t>
      </w:r>
    </w:p>
    <w:p>
      <w:pPr>
        <w:tabs>
          <w:tab w:val="left" w:pos="3544"/>
        </w:tabs>
        <w:spacing w:line="360" w:lineRule="atLeast"/>
        <w:rPr>
          <w:rFonts w:hint="eastAsia" w:ascii="宋体" w:hAnsi="宋体" w:eastAsia="宋体" w:cs="宋体"/>
          <w:color w:val="auto"/>
          <w:sz w:val="24"/>
          <w:highlight w:val="none"/>
        </w:rPr>
      </w:pPr>
    </w:p>
    <w:p>
      <w:pPr>
        <w:tabs>
          <w:tab w:val="left" w:pos="3544"/>
        </w:tabs>
        <w:spacing w:line="360" w:lineRule="atLeast"/>
        <w:rPr>
          <w:rFonts w:hint="eastAsia" w:ascii="宋体" w:hAnsi="宋体" w:eastAsia="宋体" w:cs="宋体"/>
          <w:color w:val="auto"/>
          <w:sz w:val="24"/>
          <w:highlight w:val="none"/>
        </w:rPr>
        <w:sectPr>
          <w:type w:val="nextColumn"/>
          <w:pgSz w:w="11906" w:h="16838"/>
          <w:pgMar w:top="1418" w:right="1797" w:bottom="1418" w:left="1797" w:header="851" w:footer="992" w:gutter="0"/>
          <w:pgNumType w:fmt="decimal"/>
          <w:cols w:space="720" w:num="1"/>
          <w:docGrid w:linePitch="312" w:charSpace="0"/>
        </w:sectPr>
      </w:pPr>
    </w:p>
    <w:p>
      <w:pPr>
        <w:tabs>
          <w:tab w:val="left" w:pos="3544"/>
        </w:tabs>
        <w:spacing w:line="360" w:lineRule="atLeast"/>
        <w:jc w:val="center"/>
        <w:rPr>
          <w:rFonts w:hint="eastAsia" w:ascii="宋体" w:hAnsi="宋体" w:eastAsia="宋体" w:cs="宋体"/>
          <w:b/>
          <w:color w:val="auto"/>
          <w:sz w:val="36"/>
          <w:szCs w:val="44"/>
          <w:highlight w:val="none"/>
        </w:rPr>
      </w:pPr>
      <w:r>
        <w:rPr>
          <w:rFonts w:hint="eastAsia" w:ascii="宋体" w:hAnsi="宋体" w:eastAsia="宋体" w:cs="宋体"/>
          <w:b/>
          <w:color w:val="auto"/>
          <w:sz w:val="36"/>
          <w:szCs w:val="44"/>
          <w:highlight w:val="none"/>
        </w:rPr>
        <w:t>2.响应报价表</w:t>
      </w:r>
    </w:p>
    <w:p>
      <w:pPr>
        <w:tabs>
          <w:tab w:val="left" w:pos="3544"/>
        </w:tabs>
        <w:rPr>
          <w:rFonts w:hint="eastAsia" w:ascii="宋体" w:hAnsi="宋体" w:eastAsia="宋体" w:cs="宋体"/>
          <w:b/>
          <w:bCs/>
          <w:color w:val="auto"/>
          <w:sz w:val="24"/>
          <w:highlight w:val="none"/>
        </w:rPr>
      </w:pPr>
      <w:bookmarkStart w:id="228" w:name="_Toc489869026"/>
      <w:bookmarkStart w:id="229" w:name="_Toc489868892"/>
      <w:bookmarkStart w:id="230" w:name="_Toc489870026"/>
      <w:bookmarkStart w:id="231" w:name="_Toc489869750"/>
      <w:bookmarkStart w:id="232" w:name="_Toc489869364"/>
      <w:r>
        <w:rPr>
          <w:rFonts w:hint="eastAsia" w:ascii="宋体" w:hAnsi="宋体" w:eastAsia="宋体" w:cs="宋体"/>
          <w:b/>
          <w:color w:val="auto"/>
          <w:sz w:val="24"/>
          <w:highlight w:val="none"/>
        </w:rPr>
        <w:t>2.1</w:t>
      </w:r>
      <w:r>
        <w:rPr>
          <w:rFonts w:hint="eastAsia" w:ascii="宋体" w:hAnsi="宋体" w:eastAsia="宋体" w:cs="宋体"/>
          <w:b/>
          <w:bCs/>
          <w:color w:val="auto"/>
          <w:sz w:val="24"/>
          <w:highlight w:val="none"/>
        </w:rPr>
        <w:t>报价一览表</w:t>
      </w:r>
      <w:bookmarkEnd w:id="228"/>
      <w:bookmarkEnd w:id="229"/>
      <w:bookmarkEnd w:id="230"/>
      <w:bookmarkEnd w:id="231"/>
      <w:bookmarkEnd w:id="232"/>
    </w:p>
    <w:p>
      <w:pPr>
        <w:pStyle w:val="89"/>
        <w:ind w:firstLine="560"/>
        <w:rPr>
          <w:rFonts w:hint="eastAsia" w:ascii="宋体" w:hAnsi="宋体" w:eastAsia="宋体" w:cs="宋体"/>
          <w:color w:val="auto"/>
          <w:highlight w:val="none"/>
        </w:rPr>
      </w:pP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3"/>
        <w:gridCol w:w="2822"/>
        <w:gridCol w:w="192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2479"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响应报价（元）</w:t>
            </w:r>
          </w:p>
        </w:tc>
        <w:tc>
          <w:tcPr>
            <w:tcW w:w="1064"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交货期</w:t>
            </w:r>
          </w:p>
        </w:tc>
        <w:tc>
          <w:tcPr>
            <w:tcW w:w="727" w:type="pct"/>
            <w:vAlign w:val="center"/>
          </w:tcPr>
          <w:p>
            <w:pPr>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服务周期</w:t>
            </w:r>
          </w:p>
        </w:tc>
        <w:tc>
          <w:tcPr>
            <w:tcW w:w="727" w:type="pct"/>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2479" w:type="pct"/>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64" w:type="pct"/>
            <w:vMerge w:val="restart"/>
            <w:vAlign w:val="center"/>
          </w:tcPr>
          <w:p>
            <w:pPr>
              <w:jc w:val="center"/>
              <w:rPr>
                <w:rFonts w:hint="eastAsia" w:ascii="宋体" w:hAnsi="宋体" w:eastAsia="宋体" w:cs="宋体"/>
                <w:color w:val="auto"/>
                <w:sz w:val="24"/>
                <w:highlight w:val="none"/>
              </w:rPr>
            </w:pPr>
          </w:p>
        </w:tc>
        <w:tc>
          <w:tcPr>
            <w:tcW w:w="727" w:type="pct"/>
            <w:vMerge w:val="restart"/>
            <w:vAlign w:val="center"/>
          </w:tcPr>
          <w:p>
            <w:pPr>
              <w:jc w:val="center"/>
              <w:rPr>
                <w:rFonts w:hint="eastAsia" w:ascii="宋体" w:hAnsi="宋体" w:eastAsia="宋体" w:cs="宋体"/>
                <w:color w:val="auto"/>
                <w:sz w:val="24"/>
                <w:highlight w:val="none"/>
              </w:rPr>
            </w:pPr>
          </w:p>
        </w:tc>
        <w:tc>
          <w:tcPr>
            <w:tcW w:w="727" w:type="pct"/>
            <w:vMerge w:val="restart"/>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2479" w:type="pct"/>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（报价大写）：</w:t>
            </w:r>
          </w:p>
        </w:tc>
        <w:tc>
          <w:tcPr>
            <w:tcW w:w="1064" w:type="pct"/>
            <w:vMerge w:val="continue"/>
            <w:vAlign w:val="center"/>
          </w:tcPr>
          <w:p>
            <w:pPr>
              <w:jc w:val="left"/>
              <w:rPr>
                <w:rFonts w:hint="eastAsia" w:ascii="宋体" w:hAnsi="宋体" w:eastAsia="宋体" w:cs="宋体"/>
                <w:color w:val="auto"/>
                <w:sz w:val="24"/>
                <w:highlight w:val="none"/>
              </w:rPr>
            </w:pPr>
          </w:p>
        </w:tc>
        <w:tc>
          <w:tcPr>
            <w:tcW w:w="727" w:type="pct"/>
            <w:vMerge w:val="continue"/>
            <w:vAlign w:val="center"/>
          </w:tcPr>
          <w:p>
            <w:pPr>
              <w:jc w:val="left"/>
              <w:rPr>
                <w:rFonts w:hint="eastAsia" w:ascii="宋体" w:hAnsi="宋体" w:eastAsia="宋体" w:cs="宋体"/>
                <w:color w:val="auto"/>
                <w:sz w:val="24"/>
                <w:highlight w:val="none"/>
              </w:rPr>
            </w:pPr>
          </w:p>
        </w:tc>
        <w:tc>
          <w:tcPr>
            <w:tcW w:w="727" w:type="pct"/>
            <w:vMerge w:val="continue"/>
            <w:vAlign w:val="center"/>
          </w:tcPr>
          <w:p>
            <w:pPr>
              <w:jc w:val="left"/>
              <w:rPr>
                <w:rFonts w:hint="eastAsia" w:ascii="宋体" w:hAnsi="宋体" w:eastAsia="宋体" w:cs="宋体"/>
                <w:color w:val="auto"/>
                <w:sz w:val="24"/>
                <w:highlight w:val="none"/>
              </w:rPr>
            </w:pPr>
          </w:p>
        </w:tc>
      </w:tr>
    </w:tbl>
    <w:p>
      <w:pPr>
        <w:tabs>
          <w:tab w:val="left" w:pos="3544"/>
        </w:tabs>
        <w:spacing w:after="120" w:afterLines="50" w:line="240" w:lineRule="exact"/>
        <w:jc w:val="left"/>
        <w:rPr>
          <w:rFonts w:hint="eastAsia" w:ascii="宋体" w:hAnsi="宋体" w:eastAsia="宋体" w:cs="宋体"/>
          <w:color w:val="auto"/>
          <w:sz w:val="24"/>
          <w:highlight w:val="none"/>
        </w:rPr>
      </w:pPr>
    </w:p>
    <w:p>
      <w:pPr>
        <w:jc w:val="left"/>
        <w:rPr>
          <w:rFonts w:hint="eastAsia" w:ascii="宋体" w:hAnsi="宋体" w:eastAsia="宋体" w:cs="宋体"/>
          <w:color w:val="auto"/>
          <w:szCs w:val="21"/>
          <w:highlight w:val="none"/>
        </w:rPr>
      </w:pPr>
      <w:r>
        <w:rPr>
          <w:rFonts w:hint="eastAsia" w:ascii="宋体" w:hAnsi="宋体" w:eastAsia="宋体" w:cs="宋体"/>
          <w:b/>
          <w:iCs/>
          <w:color w:val="auto"/>
          <w:highlight w:val="none"/>
        </w:rPr>
        <w:t>注：</w:t>
      </w:r>
      <w:r>
        <w:rPr>
          <w:rFonts w:hint="eastAsia" w:ascii="宋体" w:hAnsi="宋体" w:eastAsia="宋体" w:cs="宋体"/>
          <w:iCs/>
          <w:color w:val="auto"/>
          <w:szCs w:val="21"/>
          <w:highlight w:val="none"/>
        </w:rPr>
        <w:t>1.</w:t>
      </w:r>
      <w:r>
        <w:rPr>
          <w:rFonts w:hint="eastAsia" w:ascii="宋体" w:hAnsi="宋体" w:eastAsia="宋体" w:cs="宋体"/>
          <w:color w:val="auto"/>
          <w:szCs w:val="21"/>
          <w:highlight w:val="none"/>
        </w:rPr>
        <w:t xml:space="preserve">供应商须按要求填写，不得随意更改本表格式； </w:t>
      </w:r>
    </w:p>
    <w:p>
      <w:pPr>
        <w:ind w:firstLine="360" w:firstLineChars="200"/>
        <w:jc w:val="lef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iCs/>
          <w:color w:val="auto"/>
          <w:szCs w:val="21"/>
          <w:highlight w:val="none"/>
        </w:rPr>
        <w:t>须单独密封一份随响应文件一同提交。同时应保证响应文件的正、副本中仍有此表且一致；</w:t>
      </w:r>
    </w:p>
    <w:p>
      <w:pPr>
        <w:spacing w:line="276" w:lineRule="auto"/>
        <w:jc w:val="left"/>
        <w:rPr>
          <w:rFonts w:hint="eastAsia" w:ascii="宋体" w:hAnsi="宋体" w:eastAsia="宋体" w:cs="宋体"/>
          <w:color w:val="auto"/>
          <w:sz w:val="24"/>
          <w:szCs w:val="21"/>
          <w:highlight w:val="none"/>
        </w:rPr>
      </w:pPr>
    </w:p>
    <w:p>
      <w:pPr>
        <w:tabs>
          <w:tab w:val="left" w:pos="3544"/>
        </w:tabs>
        <w:spacing w:line="440" w:lineRule="exact"/>
        <w:ind w:right="960" w:firstLine="9600" w:firstLineChars="40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w:t>
      </w:r>
      <w:r>
        <w:rPr>
          <w:rFonts w:hint="eastAsia" w:ascii="宋体" w:hAnsi="宋体" w:eastAsia="宋体" w:cs="宋体"/>
          <w:color w:val="auto"/>
          <w:sz w:val="24"/>
          <w:szCs w:val="21"/>
          <w:highlight w:val="none"/>
          <w:u w:val="single"/>
        </w:rPr>
        <w:t>（加盖公章）</w:t>
      </w:r>
    </w:p>
    <w:p>
      <w:pPr>
        <w:tabs>
          <w:tab w:val="left" w:pos="3544"/>
        </w:tabs>
        <w:spacing w:line="360" w:lineRule="atLeast"/>
        <w:ind w:right="960" w:firstLine="4320" w:firstLineChars="18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法定代表人/授权代表签字： </w:t>
      </w:r>
    </w:p>
    <w:p>
      <w:pPr>
        <w:tabs>
          <w:tab w:val="left" w:pos="3544"/>
        </w:tabs>
        <w:spacing w:line="360" w:lineRule="atLeast"/>
        <w:ind w:right="960" w:firstLine="9600" w:firstLineChars="4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tabs>
          <w:tab w:val="left" w:pos="3544"/>
        </w:tabs>
        <w:spacing w:line="360" w:lineRule="atLeas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2.2分项报价表</w:t>
      </w:r>
      <w:r>
        <w:rPr>
          <w:rFonts w:hint="eastAsia" w:ascii="宋体" w:hAnsi="宋体" w:eastAsia="宋体" w:cs="宋体"/>
          <w:color w:val="auto"/>
          <w:sz w:val="24"/>
          <w:highlight w:val="none"/>
        </w:rPr>
        <w:t>（格式）</w:t>
      </w:r>
    </w:p>
    <w:p>
      <w:pPr>
        <w:spacing w:line="360" w:lineRule="auto"/>
        <w:ind w:left="643" w:hanging="643"/>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分项报价表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530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319"/>
        <w:gridCol w:w="657"/>
        <w:gridCol w:w="973"/>
        <w:gridCol w:w="1477"/>
        <w:gridCol w:w="2152"/>
        <w:gridCol w:w="1560"/>
        <w:gridCol w:w="42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15"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品名</w:t>
            </w:r>
          </w:p>
        </w:tc>
        <w:tc>
          <w:tcPr>
            <w:tcW w:w="573" w:type="pct"/>
            <w:gridSpan w:val="2"/>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lang w:eastAsia="zh-CN"/>
              </w:rPr>
              <w:t>投标</w:t>
            </w:r>
            <w:r>
              <w:rPr>
                <w:rFonts w:hint="eastAsia" w:ascii="宋体" w:hAnsi="宋体" w:eastAsia="宋体" w:cs="宋体"/>
                <w:b/>
                <w:color w:val="auto"/>
                <w:sz w:val="24"/>
                <w:highlight w:val="none"/>
              </w:rPr>
              <w:t>单价</w:t>
            </w:r>
          </w:p>
        </w:tc>
        <w:tc>
          <w:tcPr>
            <w:tcW w:w="519"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规格</w:t>
            </w:r>
          </w:p>
        </w:tc>
        <w:tc>
          <w:tcPr>
            <w:tcW w:w="756" w:type="pct"/>
            <w:vAlign w:val="center"/>
          </w:tcPr>
          <w:p>
            <w:pPr>
              <w:spacing w:line="440" w:lineRule="exact"/>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最高单价（元/斤）</w:t>
            </w:r>
          </w:p>
        </w:tc>
        <w:tc>
          <w:tcPr>
            <w:tcW w:w="548"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预估</w:t>
            </w:r>
            <w:r>
              <w:rPr>
                <w:rFonts w:hint="eastAsia" w:ascii="宋体" w:hAnsi="宋体" w:eastAsia="宋体" w:cs="宋体"/>
                <w:b/>
                <w:color w:val="auto"/>
                <w:sz w:val="24"/>
                <w:highlight w:val="none"/>
                <w:lang w:val="en-US" w:eastAsia="zh-CN"/>
              </w:rPr>
              <w:t>数量</w:t>
            </w:r>
          </w:p>
        </w:tc>
        <w:tc>
          <w:tcPr>
            <w:tcW w:w="1502"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15"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本地泥鳅</w:t>
            </w:r>
          </w:p>
        </w:tc>
        <w:tc>
          <w:tcPr>
            <w:tcW w:w="573"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Merge w:val="restar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21.60</w:t>
            </w: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2" w:type="pct"/>
            <w:vMerge w:val="restart"/>
          </w:tcPr>
          <w:p>
            <w:pPr>
              <w:spacing w:line="440" w:lineRule="exact"/>
              <w:jc w:val="center"/>
              <w:rPr>
                <w:rFonts w:hint="eastAsia" w:ascii="宋体" w:hAnsi="宋体" w:eastAsia="宋体" w:cs="宋体"/>
                <w:color w:val="auto"/>
                <w:sz w:val="24"/>
                <w:highlight w:val="none"/>
              </w:rPr>
            </w:pPr>
            <w:r>
              <w:rPr>
                <w:rFonts w:hint="eastAsia"/>
                <w:color w:val="auto"/>
                <w:highlight w:val="none"/>
              </w:rPr>
              <w:t>买方不承诺全部采购预估采购清单中的</w:t>
            </w:r>
            <w:r>
              <w:rPr>
                <w:rFonts w:hint="eastAsia"/>
                <w:color w:val="auto"/>
                <w:highlight w:val="none"/>
                <w:lang w:eastAsia="zh-CN"/>
              </w:rPr>
              <w:t>品名</w:t>
            </w:r>
            <w:r>
              <w:rPr>
                <w:rFonts w:hint="eastAsia"/>
                <w:color w:val="auto"/>
                <w:highlight w:val="none"/>
              </w:rPr>
              <w:t>和数量，采购量最终以框架合同有效期限内买方实际的供货需求数量来确定。实际结算价按照实际采购数量</w:t>
            </w:r>
            <w:r>
              <w:rPr>
                <w:rFonts w:hint="eastAsia"/>
                <w:color w:val="auto"/>
                <w:highlight w:val="none"/>
                <w:lang w:eastAsia="zh-CN"/>
              </w:rPr>
              <w:t>、品名</w:t>
            </w:r>
            <w:r>
              <w:rPr>
                <w:rFonts w:hint="eastAsia"/>
                <w:color w:val="auto"/>
                <w:highlight w:val="none"/>
              </w:rPr>
              <w:t>对应的价格确定。在框架总量内按买方需求分批次采购，按批次进行订单结算。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15"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外地泥鳅</w:t>
            </w:r>
          </w:p>
        </w:tc>
        <w:tc>
          <w:tcPr>
            <w:tcW w:w="573"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Merge w:val="continue"/>
            <w:vAlign w:val="center"/>
          </w:tcPr>
          <w:p>
            <w:pPr>
              <w:spacing w:line="440" w:lineRule="exact"/>
              <w:jc w:val="center"/>
              <w:rPr>
                <w:rFonts w:hint="eastAsia" w:ascii="宋体" w:hAnsi="宋体" w:eastAsia="宋体" w:cs="宋体"/>
                <w:color w:val="auto"/>
                <w:sz w:val="24"/>
                <w:highlight w:val="none"/>
              </w:rPr>
            </w:pP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2" w:type="pct"/>
            <w:vMerge w:val="continue"/>
          </w:tcPr>
          <w:p>
            <w:pPr>
              <w:spacing w:line="44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15"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本地竹子</w:t>
            </w:r>
          </w:p>
        </w:tc>
        <w:tc>
          <w:tcPr>
            <w:tcW w:w="573"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Merge w:val="restart"/>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2"/>
                <w:szCs w:val="22"/>
                <w:highlight w:val="none"/>
              </w:rPr>
              <w:t>1.26</w:t>
            </w: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2" w:type="pct"/>
            <w:vMerge w:val="continue"/>
          </w:tcPr>
          <w:p>
            <w:pPr>
              <w:spacing w:line="44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815" w:type="pct"/>
            <w:tcMar>
              <w:left w:w="57" w:type="dxa"/>
              <w:right w:w="57" w:type="dxa"/>
            </w:tcMar>
            <w:vAlign w:val="center"/>
          </w:tcPr>
          <w:p>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外地竹子</w:t>
            </w:r>
          </w:p>
        </w:tc>
        <w:tc>
          <w:tcPr>
            <w:tcW w:w="573" w:type="pct"/>
            <w:gridSpan w:val="2"/>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519" w:type="pct"/>
            <w:tcMar>
              <w:left w:w="57" w:type="dxa"/>
              <w:right w:w="57" w:type="dxa"/>
            </w:tcMar>
            <w:vAlign w:val="center"/>
          </w:tcPr>
          <w:p>
            <w:pPr>
              <w:spacing w:line="440" w:lineRule="exact"/>
              <w:jc w:val="center"/>
              <w:rPr>
                <w:rFonts w:hint="eastAsia" w:ascii="宋体" w:hAnsi="宋体" w:eastAsia="宋体" w:cs="宋体"/>
                <w:color w:val="auto"/>
                <w:sz w:val="24"/>
                <w:highlight w:val="none"/>
              </w:rPr>
            </w:pPr>
          </w:p>
        </w:tc>
        <w:tc>
          <w:tcPr>
            <w:tcW w:w="756" w:type="pct"/>
            <w:vMerge w:val="continue"/>
            <w:vAlign w:val="center"/>
          </w:tcPr>
          <w:p>
            <w:pPr>
              <w:spacing w:line="440" w:lineRule="exact"/>
              <w:jc w:val="center"/>
              <w:rPr>
                <w:rFonts w:hint="eastAsia" w:ascii="宋体" w:hAnsi="宋体" w:eastAsia="宋体" w:cs="宋体"/>
                <w:color w:val="auto"/>
                <w:sz w:val="24"/>
                <w:highlight w:val="none"/>
              </w:rPr>
            </w:pPr>
          </w:p>
        </w:tc>
        <w:tc>
          <w:tcPr>
            <w:tcW w:w="548" w:type="pct"/>
            <w:vAlign w:val="center"/>
          </w:tcPr>
          <w:p>
            <w:pPr>
              <w:spacing w:line="440" w:lineRule="exact"/>
              <w:jc w:val="center"/>
              <w:rPr>
                <w:rFonts w:hint="eastAsia" w:ascii="宋体" w:hAnsi="宋体" w:eastAsia="宋体" w:cs="宋体"/>
                <w:color w:val="auto"/>
                <w:sz w:val="24"/>
                <w:highlight w:val="none"/>
              </w:rPr>
            </w:pPr>
          </w:p>
        </w:tc>
        <w:tc>
          <w:tcPr>
            <w:tcW w:w="1502" w:type="pct"/>
            <w:vMerge w:val="continue"/>
          </w:tcPr>
          <w:p>
            <w:pPr>
              <w:spacing w:line="440" w:lineRule="exact"/>
              <w:jc w:val="center"/>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85" w:type="pct"/>
            <w:tcMar>
              <w:left w:w="57"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 计</w:t>
            </w:r>
          </w:p>
        </w:tc>
        <w:tc>
          <w:tcPr>
            <w:tcW w:w="1046" w:type="pct"/>
            <w:gridSpan w:val="2"/>
            <w:vAlign w:val="center"/>
          </w:tcPr>
          <w:p>
            <w:pPr>
              <w:spacing w:line="440" w:lineRule="exact"/>
              <w:rPr>
                <w:rFonts w:hint="eastAsia" w:ascii="宋体" w:hAnsi="宋体" w:eastAsia="宋体" w:cs="宋体"/>
                <w:color w:val="auto"/>
                <w:sz w:val="24"/>
                <w:highlight w:val="none"/>
              </w:rPr>
            </w:pPr>
          </w:p>
        </w:tc>
        <w:tc>
          <w:tcPr>
            <w:tcW w:w="3668" w:type="pct"/>
            <w:gridSpan w:val="5"/>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大写（￥小写）</w:t>
            </w:r>
          </w:p>
        </w:tc>
      </w:tr>
    </w:tbl>
    <w:p>
      <w:pPr>
        <w:kinsoku w:val="0"/>
        <w:spacing w:line="276" w:lineRule="auto"/>
        <w:ind w:left="420" w:hanging="420"/>
        <w:jc w:val="left"/>
        <w:rPr>
          <w:rFonts w:hint="eastAsia" w:ascii="宋体" w:hAnsi="宋体" w:eastAsia="宋体" w:cs="宋体"/>
          <w:b/>
          <w:color w:val="auto"/>
          <w:szCs w:val="21"/>
          <w:highlight w:val="none"/>
        </w:rPr>
      </w:pPr>
    </w:p>
    <w:p>
      <w:pPr>
        <w:kinsoku w:val="0"/>
        <w:spacing w:line="360" w:lineRule="auto"/>
        <w:ind w:left="420" w:hanging="42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注：1.如果不提供分项报价将视为未实质性响应采购文件；</w:t>
      </w:r>
    </w:p>
    <w:p>
      <w:pPr>
        <w:kinsoku w:val="0"/>
        <w:spacing w:line="360" w:lineRule="auto"/>
        <w:ind w:left="360" w:left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2.分项报价表列出产品报价明细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价格需包含</w:t>
      </w:r>
      <w:r>
        <w:rPr>
          <w:rFonts w:hint="eastAsia" w:ascii="宋体" w:hAnsi="宋体" w:eastAsia="宋体" w:cs="宋体"/>
          <w:color w:val="auto"/>
          <w:sz w:val="21"/>
          <w:szCs w:val="21"/>
          <w:highlight w:val="none"/>
        </w:rPr>
        <w:t>配送、</w:t>
      </w:r>
      <w:r>
        <w:rPr>
          <w:rFonts w:hint="eastAsia" w:ascii="宋体" w:hAnsi="宋体" w:eastAsia="宋体" w:cs="宋体"/>
          <w:color w:val="auto"/>
          <w:sz w:val="21"/>
          <w:szCs w:val="21"/>
          <w:highlight w:val="none"/>
          <w:lang w:val="en-US" w:eastAsia="zh-CN"/>
        </w:rPr>
        <w:t>运输</w:t>
      </w:r>
      <w:r>
        <w:rPr>
          <w:rFonts w:hint="eastAsia" w:ascii="宋体" w:hAnsi="宋体" w:eastAsia="宋体" w:cs="宋体"/>
          <w:color w:val="auto"/>
          <w:sz w:val="21"/>
          <w:szCs w:val="21"/>
          <w:highlight w:val="none"/>
        </w:rPr>
        <w:t>、售后</w:t>
      </w:r>
      <w:r>
        <w:rPr>
          <w:rFonts w:hint="eastAsia" w:ascii="宋体" w:hAnsi="宋体" w:eastAsia="宋体" w:cs="宋体"/>
          <w:color w:val="auto"/>
          <w:sz w:val="21"/>
          <w:szCs w:val="21"/>
          <w:highlight w:val="none"/>
          <w:lang w:val="en-US" w:eastAsia="zh-CN"/>
        </w:rPr>
        <w:t>等费用，此费用在此表中不再单列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，总价合计应与响应报价表一致。</w:t>
      </w:r>
    </w:p>
    <w:p>
      <w:pPr>
        <w:kinsoku w:val="0"/>
        <w:spacing w:line="276" w:lineRule="auto"/>
        <w:ind w:left="360" w:leftChars="200"/>
        <w:jc w:val="left"/>
        <w:rPr>
          <w:rFonts w:hint="eastAsia" w:ascii="宋体" w:hAnsi="宋体" w:eastAsia="宋体" w:cs="宋体"/>
          <w:color w:val="auto"/>
          <w:szCs w:val="21"/>
          <w:highlight w:val="none"/>
        </w:rPr>
      </w:pPr>
    </w:p>
    <w:p>
      <w:pPr>
        <w:tabs>
          <w:tab w:val="left" w:pos="3544"/>
        </w:tabs>
        <w:spacing w:line="440" w:lineRule="exact"/>
        <w:ind w:right="960" w:firstLine="9600" w:firstLineChars="4000"/>
        <w:rPr>
          <w:rFonts w:hint="eastAsia" w:ascii="宋体" w:hAnsi="宋体" w:eastAsia="宋体" w:cs="宋体"/>
          <w:color w:val="auto"/>
          <w:sz w:val="24"/>
          <w:szCs w:val="21"/>
          <w:highlight w:val="none"/>
        </w:rPr>
      </w:pPr>
      <w:bookmarkStart w:id="235" w:name="_GoBack"/>
      <w:bookmarkEnd w:id="235"/>
      <w:r>
        <w:rPr>
          <w:rFonts w:hint="eastAsia" w:ascii="宋体" w:hAnsi="宋体" w:eastAsia="宋体" w:cs="宋体"/>
          <w:color w:val="auto"/>
          <w:sz w:val="24"/>
          <w:szCs w:val="21"/>
          <w:highlight w:val="none"/>
        </w:rPr>
        <w:t>供应商：</w:t>
      </w:r>
      <w:r>
        <w:rPr>
          <w:rFonts w:hint="eastAsia" w:ascii="宋体" w:hAnsi="宋体" w:eastAsia="宋体" w:cs="宋体"/>
          <w:color w:val="auto"/>
          <w:sz w:val="24"/>
          <w:szCs w:val="21"/>
          <w:highlight w:val="none"/>
          <w:u w:val="single"/>
        </w:rPr>
        <w:t>（加盖公章）</w:t>
      </w:r>
    </w:p>
    <w:p>
      <w:pPr>
        <w:tabs>
          <w:tab w:val="left" w:pos="3544"/>
        </w:tabs>
        <w:spacing w:line="360" w:lineRule="atLeast"/>
        <w:ind w:right="960" w:firstLine="4320" w:firstLineChars="18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法定代表人/授权代表签字：</w:t>
      </w:r>
    </w:p>
    <w:p>
      <w:pPr>
        <w:tabs>
          <w:tab w:val="left" w:pos="3544"/>
        </w:tabs>
        <w:spacing w:line="360" w:lineRule="atLeast"/>
        <w:ind w:right="960" w:firstLine="9600" w:firstLineChars="4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pPr>
        <w:kinsoku w:val="0"/>
        <w:spacing w:line="276" w:lineRule="auto"/>
        <w:ind w:left="360" w:leftChars="200"/>
        <w:jc w:val="left"/>
        <w:rPr>
          <w:rFonts w:hint="eastAsia" w:ascii="宋体" w:hAnsi="宋体" w:eastAsia="宋体" w:cs="宋体"/>
          <w:color w:val="auto"/>
          <w:szCs w:val="21"/>
          <w:highlight w:val="none"/>
        </w:rPr>
        <w:sectPr>
          <w:type w:val="nextColumn"/>
          <w:pgSz w:w="16838" w:h="11906" w:orient="landscape"/>
          <w:pgMar w:top="1418" w:right="1797" w:bottom="1418" w:left="1797" w:header="851" w:footer="992" w:gutter="0"/>
          <w:pgNumType w:fmt="decimal"/>
          <w:cols w:space="720" w:num="1"/>
          <w:docGrid w:linePitch="312" w:charSpace="0"/>
        </w:sectPr>
      </w:pPr>
    </w:p>
    <w:p>
      <w:pPr>
        <w:pStyle w:val="21"/>
        <w:spacing w:before="120"/>
        <w:jc w:val="left"/>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3、资格文件</w:t>
      </w:r>
    </w:p>
    <w:p>
      <w:pPr>
        <w:rPr>
          <w:rFonts w:hint="eastAsia" w:ascii="宋体" w:hAnsi="宋体" w:eastAsia="宋体" w:cs="宋体"/>
          <w:color w:val="auto"/>
          <w:highlight w:val="none"/>
        </w:rPr>
      </w:pPr>
    </w:p>
    <w:p>
      <w:pPr>
        <w:spacing w:line="360" w:lineRule="auto"/>
        <w:ind w:firstLine="442" w:firstLineChars="200"/>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满足《中华人民共和国政府采购法》第二十二条规定</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供应商参加政府采购活动应当具备下列条件：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1）具有独立承担民事责任的能力；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2）具有良好的商业信誉和健全的财务会计制度；</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3）具有履行合同所必需的设备和专业技术能力；</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4）有依法缴纳税收和社会保障资金的良好记录；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5）参加政府采购活动前三年内，在经营活动中没有重大违法记录；</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szCs w:val="28"/>
          <w:highlight w:val="none"/>
        </w:rPr>
      </w:pPr>
      <w:r>
        <w:rPr>
          <w:rFonts w:hint="eastAsia" w:ascii="宋体" w:hAnsi="宋体" w:eastAsia="宋体" w:cs="宋体"/>
          <w:color w:val="auto"/>
          <w:sz w:val="22"/>
          <w:highlight w:val="none"/>
        </w:rPr>
        <w:t>6）法律、行政法规规定的其他条件。</w:t>
      </w:r>
    </w:p>
    <w:p>
      <w:pPr>
        <w:rPr>
          <w:rFonts w:hint="eastAsia" w:ascii="宋体" w:hAnsi="宋体" w:eastAsia="宋体" w:cs="宋体"/>
          <w:color w:val="auto"/>
          <w:highlight w:val="none"/>
        </w:rPr>
      </w:pPr>
    </w:p>
    <w:p>
      <w:pPr>
        <w:spacing w:line="360" w:lineRule="auto"/>
        <w:ind w:firstLine="442" w:firstLineChars="200"/>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特定资格条件</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1）营业执照等主体资格证明文件：提供有效存续的企业营业执照（副本）/事业单位法人证书/专业服务机构执业许可证/民办非企业单位登记证书； </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2）法定代表人参加投标的，须提供本人身份证复印件（附在资格证明文件中）；法定代表人授权他人参加投标的，须提供法定代表人授权委托书（按格式填写，提供原件）。招标文件中凡是需要法定代表人盖章之处，非法人单位的负责人均参照执行；</w:t>
      </w:r>
    </w:p>
    <w:p>
      <w:pPr>
        <w:tabs>
          <w:tab w:val="left" w:pos="3544"/>
        </w:tabs>
        <w:wordWrap w:val="0"/>
        <w:topLinePunct/>
        <w:snapToGrid w:val="0"/>
        <w:spacing w:line="360" w:lineRule="auto"/>
        <w:ind w:firstLine="440" w:firstLineChars="200"/>
        <w:contextualSpacing/>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3）未被列入“信用中国”及“中国政府采购网”失信行为记录；</w:t>
      </w:r>
    </w:p>
    <w:p>
      <w:pPr>
        <w:pStyle w:val="2"/>
        <w:rPr>
          <w:rFonts w:hint="eastAsia" w:ascii="宋体" w:hAnsi="宋体" w:eastAsia="宋体" w:cs="宋体"/>
          <w:color w:val="auto"/>
          <w:highlight w:val="none"/>
          <w:lang w:val="en-US" w:eastAsia="zh-CN"/>
        </w:rPr>
      </w:pPr>
      <w:r>
        <w:rPr>
          <w:rFonts w:hint="eastAsia" w:ascii="宋体" w:hAnsi="宋体" w:eastAsia="宋体" w:cs="宋体"/>
          <w:color w:val="auto"/>
          <w:sz w:val="22"/>
          <w:highlight w:val="none"/>
          <w:lang w:val="en-US" w:eastAsia="zh-CN"/>
        </w:rPr>
        <w:t>4）提供中小微企业声明函</w:t>
      </w:r>
      <w:r>
        <w:rPr>
          <w:rFonts w:hint="eastAsia" w:ascii="宋体" w:hAnsi="宋体" w:cs="宋体"/>
          <w:color w:val="auto"/>
          <w:sz w:val="22"/>
          <w:highlight w:val="none"/>
          <w:lang w:val="en-US" w:eastAsia="zh-CN"/>
        </w:rPr>
        <w:t>。</w:t>
      </w:r>
    </w:p>
    <w:p>
      <w:pPr>
        <w:rPr>
          <w:rFonts w:hint="eastAsia" w:ascii="宋体" w:hAnsi="宋体" w:eastAsia="宋体" w:cs="宋体"/>
          <w:color w:val="auto"/>
          <w:highlight w:val="none"/>
        </w:rPr>
      </w:pPr>
    </w:p>
    <w:p>
      <w:pPr>
        <w:spacing w:line="360" w:lineRule="auto"/>
        <w:ind w:firstLine="442" w:firstLineChars="200"/>
        <w:rPr>
          <w:rFonts w:hint="eastAsia" w:ascii="宋体" w:hAnsi="宋体" w:eastAsia="宋体" w:cs="宋体"/>
          <w:b/>
          <w:color w:val="auto"/>
          <w:sz w:val="22"/>
          <w:szCs w:val="28"/>
          <w:highlight w:val="none"/>
        </w:rPr>
      </w:pPr>
      <w:r>
        <w:rPr>
          <w:rFonts w:hint="eastAsia" w:ascii="宋体" w:hAnsi="宋体" w:eastAsia="宋体" w:cs="宋体"/>
          <w:b/>
          <w:color w:val="auto"/>
          <w:sz w:val="22"/>
          <w:szCs w:val="28"/>
          <w:highlight w:val="none"/>
        </w:rPr>
        <w:t>关于资格条件的说明：</w:t>
      </w:r>
    </w:p>
    <w:p>
      <w:pPr>
        <w:numPr>
          <w:ilvl w:val="0"/>
          <w:numId w:val="1"/>
        </w:numPr>
        <w:spacing w:line="360" w:lineRule="auto"/>
        <w:ind w:firstLine="442" w:firstLineChars="200"/>
        <w:rPr>
          <w:rFonts w:hint="eastAsia" w:ascii="宋体" w:hAnsi="宋体" w:eastAsia="宋体" w:cs="宋体"/>
          <w:color w:val="auto"/>
          <w:highlight w:val="none"/>
        </w:rPr>
      </w:pPr>
      <w:r>
        <w:rPr>
          <w:rFonts w:hint="eastAsia" w:ascii="宋体" w:hAnsi="宋体" w:eastAsia="宋体" w:cs="宋体"/>
          <w:b/>
          <w:bCs/>
          <w:color w:val="auto"/>
          <w:sz w:val="22"/>
          <w:szCs w:val="28"/>
          <w:highlight w:val="none"/>
          <w:u w:val="double"/>
        </w:rPr>
        <w:t>“第二十二条规定”的6项内容，供应商自行提供相关承诺或者提供相关证明材料</w:t>
      </w:r>
      <w:r>
        <w:rPr>
          <w:rFonts w:hint="eastAsia" w:ascii="宋体" w:hAnsi="宋体" w:eastAsia="宋体" w:cs="宋体"/>
          <w:b/>
          <w:bCs/>
          <w:color w:val="auto"/>
          <w:sz w:val="22"/>
          <w:szCs w:val="28"/>
          <w:highlight w:val="none"/>
          <w:u w:val="double"/>
          <w:lang w:eastAsia="zh-CN"/>
        </w:rPr>
        <w:t>（不限于承诺函、审计报告、资信证明、社保缴费单、银行转账凭证、纳税凭证、缴税记录等能证明满足《中华人民共和国政府采购法》第二十二条6项内容规定的材料），格式自拟，不可缺少，否则投标无效；</w:t>
      </w:r>
    </w:p>
    <w:p>
      <w:pPr>
        <w:spacing w:line="360" w:lineRule="auto"/>
        <w:ind w:firstLine="442" w:firstLineChars="200"/>
        <w:rPr>
          <w:rFonts w:hint="eastAsia" w:ascii="宋体" w:hAnsi="宋体" w:eastAsia="宋体" w:cs="宋体"/>
          <w:b/>
          <w:bCs/>
          <w:color w:val="auto"/>
          <w:sz w:val="22"/>
          <w:szCs w:val="28"/>
          <w:highlight w:val="none"/>
          <w:u w:val="double"/>
        </w:rPr>
      </w:pPr>
      <w:r>
        <w:rPr>
          <w:rFonts w:hint="eastAsia" w:ascii="宋体" w:hAnsi="宋体" w:eastAsia="宋体" w:cs="宋体"/>
          <w:b/>
          <w:bCs/>
          <w:color w:val="auto"/>
          <w:sz w:val="22"/>
          <w:szCs w:val="28"/>
          <w:highlight w:val="none"/>
          <w:u w:val="double"/>
        </w:rPr>
        <w:t>2、特定资格条件第2）、3）项按照下文3.1已明确的格式及要求制作，其余项格式自拟，但不可缺少，否则投标无效；</w:t>
      </w:r>
    </w:p>
    <w:p>
      <w:pPr>
        <w:spacing w:line="360" w:lineRule="auto"/>
        <w:ind w:firstLine="442" w:firstLineChars="200"/>
        <w:rPr>
          <w:rFonts w:hint="eastAsia" w:ascii="宋体" w:hAnsi="宋体" w:eastAsia="宋体" w:cs="宋体"/>
          <w:b/>
          <w:bCs/>
          <w:color w:val="auto"/>
          <w:highlight w:val="none"/>
          <w:u w:val="double"/>
        </w:rPr>
      </w:pPr>
      <w:r>
        <w:rPr>
          <w:rFonts w:hint="eastAsia" w:ascii="宋体" w:hAnsi="宋体" w:eastAsia="宋体" w:cs="宋体"/>
          <w:b/>
          <w:bCs/>
          <w:color w:val="auto"/>
          <w:sz w:val="22"/>
          <w:szCs w:val="28"/>
          <w:highlight w:val="none"/>
          <w:u w:val="double"/>
        </w:rPr>
        <w:t>3、供应商应保证所递交的响应文件中“资格条件”（原件或复印件）的完整、有效，因无法辨别、不完整或不符合采购文件要求等引起的谈判无效，责任供应商自行承担。</w:t>
      </w:r>
    </w:p>
    <w:p>
      <w:pPr>
        <w:spacing w:line="360" w:lineRule="auto"/>
        <w:ind w:left="562" w:hanging="562"/>
        <w:jc w:val="left"/>
        <w:rPr>
          <w:rFonts w:hint="eastAsia" w:ascii="宋体" w:hAnsi="宋体" w:eastAsia="宋体" w:cs="宋体"/>
          <w:b/>
          <w:bCs/>
          <w:color w:val="auto"/>
          <w:sz w:val="28"/>
          <w:szCs w:val="28"/>
          <w:highlight w:val="none"/>
          <w:u w:val="double"/>
        </w:rPr>
        <w:sectPr>
          <w:type w:val="nextColumn"/>
          <w:pgSz w:w="11906" w:h="16838"/>
          <w:pgMar w:top="1418" w:right="1797" w:bottom="1418" w:left="1797" w:header="851" w:footer="992" w:gutter="0"/>
          <w:pgNumType w:fmt="decimal"/>
          <w:cols w:space="720" w:num="1"/>
          <w:docGrid w:linePitch="312" w:charSpace="0"/>
        </w:sectPr>
      </w:pPr>
    </w:p>
    <w:p>
      <w:pPr>
        <w:spacing w:line="360" w:lineRule="auto"/>
        <w:ind w:left="562" w:hanging="562"/>
        <w:jc w:val="left"/>
        <w:rPr>
          <w:rFonts w:hint="eastAsia" w:ascii="宋体" w:hAnsi="宋体" w:eastAsia="宋体" w:cs="宋体"/>
          <w:bCs/>
          <w:color w:val="auto"/>
          <w:sz w:val="24"/>
          <w:szCs w:val="28"/>
          <w:highlight w:val="none"/>
        </w:rPr>
      </w:pPr>
      <w:r>
        <w:rPr>
          <w:rFonts w:hint="eastAsia" w:ascii="宋体" w:hAnsi="宋体" w:eastAsia="宋体" w:cs="宋体"/>
          <w:b/>
          <w:bCs/>
          <w:color w:val="auto"/>
          <w:sz w:val="24"/>
          <w:szCs w:val="28"/>
          <w:highlight w:val="none"/>
        </w:rPr>
        <w:t>3.1特定资格条件第2）、3）项格式及要求</w:t>
      </w:r>
    </w:p>
    <w:p>
      <w:pPr>
        <w:wordWrap w:val="0"/>
        <w:topLinePunct/>
        <w:spacing w:line="360" w:lineRule="auto"/>
        <w:ind w:left="562" w:hanging="562"/>
        <w:jc w:val="left"/>
        <w:rPr>
          <w:rFonts w:hint="eastAsia" w:ascii="宋体" w:hAnsi="宋体" w:eastAsia="宋体" w:cs="宋体"/>
          <w:color w:val="auto"/>
          <w:sz w:val="28"/>
          <w:szCs w:val="21"/>
          <w:highlight w:val="none"/>
          <w:u w:val="single"/>
        </w:rPr>
      </w:pPr>
      <w:r>
        <w:rPr>
          <w:rFonts w:hint="eastAsia" w:ascii="宋体" w:hAnsi="宋体" w:eastAsia="宋体" w:cs="宋体"/>
          <w:b/>
          <w:bCs/>
          <w:color w:val="auto"/>
          <w:sz w:val="24"/>
          <w:szCs w:val="28"/>
          <w:highlight w:val="none"/>
        </w:rPr>
        <w:t>3.1.1法定代表人证明</w:t>
      </w:r>
      <w:r>
        <w:rPr>
          <w:rFonts w:hint="eastAsia" w:ascii="宋体" w:hAnsi="宋体" w:eastAsia="宋体" w:cs="宋体"/>
          <w:bCs/>
          <w:color w:val="auto"/>
          <w:sz w:val="24"/>
          <w:szCs w:val="28"/>
          <w:highlight w:val="none"/>
        </w:rPr>
        <w:t>（格式）</w:t>
      </w:r>
    </w:p>
    <w:p>
      <w:pPr>
        <w:wordWrap w:val="0"/>
        <w:topLinePunct/>
        <w:spacing w:line="360" w:lineRule="auto"/>
        <w:ind w:left="482"/>
        <w:jc w:val="left"/>
        <w:rPr>
          <w:rFonts w:hint="eastAsia" w:ascii="宋体" w:hAnsi="宋体" w:eastAsia="宋体" w:cs="宋体"/>
          <w:b/>
          <w:color w:val="auto"/>
          <w:sz w:val="24"/>
          <w:szCs w:val="21"/>
          <w:highlight w:val="none"/>
        </w:rPr>
      </w:pPr>
    </w:p>
    <w:p>
      <w:pPr>
        <w:wordWrap w:val="0"/>
        <w:topLinePunct/>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法定代表人证明</w:t>
      </w:r>
    </w:p>
    <w:p>
      <w:pPr>
        <w:wordWrap w:val="0"/>
        <w:topLinePunct/>
        <w:spacing w:line="360" w:lineRule="auto"/>
        <w:ind w:left="480" w:hanging="480"/>
        <w:jc w:val="left"/>
        <w:rPr>
          <w:rFonts w:hint="eastAsia" w:ascii="宋体" w:hAnsi="宋体" w:eastAsia="宋体" w:cs="宋体"/>
          <w:bCs/>
          <w:color w:val="auto"/>
          <w:sz w:val="22"/>
          <w:highlight w:val="none"/>
          <w:u w:val="single"/>
        </w:rPr>
      </w:pPr>
    </w:p>
    <w:p>
      <w:pPr>
        <w:wordWrap w:val="0"/>
        <w:topLinePunct/>
        <w:spacing w:line="360" w:lineRule="auto"/>
        <w:ind w:firstLine="44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u w:val="single"/>
        </w:rPr>
        <w:t xml:space="preserve"> （姓名） </w:t>
      </w:r>
      <w:r>
        <w:rPr>
          <w:rFonts w:hint="eastAsia" w:ascii="宋体" w:hAnsi="宋体" w:eastAsia="宋体" w:cs="宋体"/>
          <w:bCs/>
          <w:color w:val="auto"/>
          <w:sz w:val="22"/>
          <w:highlight w:val="none"/>
        </w:rPr>
        <w:t>现任我单位</w:t>
      </w:r>
      <w:r>
        <w:rPr>
          <w:rFonts w:hint="eastAsia" w:ascii="宋体" w:hAnsi="宋体" w:eastAsia="宋体" w:cs="宋体"/>
          <w:bCs/>
          <w:color w:val="auto"/>
          <w:sz w:val="22"/>
          <w:highlight w:val="none"/>
          <w:u w:val="single"/>
        </w:rPr>
        <w:t xml:space="preserve">                  </w:t>
      </w:r>
      <w:r>
        <w:rPr>
          <w:rFonts w:hint="eastAsia" w:ascii="宋体" w:hAnsi="宋体" w:eastAsia="宋体" w:cs="宋体"/>
          <w:bCs/>
          <w:color w:val="auto"/>
          <w:sz w:val="22"/>
          <w:highlight w:val="none"/>
        </w:rPr>
        <w:t xml:space="preserve"> 职务，为法定代表人，特此证明。</w:t>
      </w:r>
    </w:p>
    <w:p>
      <w:pPr>
        <w:wordWrap w:val="0"/>
        <w:topLinePunct/>
        <w:spacing w:line="360" w:lineRule="auto"/>
        <w:ind w:left="480" w:hanging="48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本说明书自响应文件递交截止时间起计算，有效期</w:t>
      </w:r>
      <w:r>
        <w:rPr>
          <w:rFonts w:hint="eastAsia" w:ascii="宋体" w:hAnsi="宋体" w:eastAsia="宋体" w:cs="宋体"/>
          <w:bCs/>
          <w:color w:val="auto"/>
          <w:sz w:val="22"/>
          <w:highlight w:val="none"/>
          <w:u w:val="single"/>
        </w:rPr>
        <w:t xml:space="preserve">       </w:t>
      </w:r>
      <w:r>
        <w:rPr>
          <w:rFonts w:hint="eastAsia" w:ascii="宋体" w:hAnsi="宋体" w:eastAsia="宋体" w:cs="宋体"/>
          <w:bCs/>
          <w:color w:val="auto"/>
          <w:sz w:val="22"/>
          <w:highlight w:val="none"/>
        </w:rPr>
        <w:t>天。</w:t>
      </w:r>
    </w:p>
    <w:p>
      <w:pPr>
        <w:wordWrap w:val="0"/>
        <w:topLinePunct/>
        <w:spacing w:line="360" w:lineRule="auto"/>
        <w:ind w:left="480" w:hanging="480"/>
        <w:jc w:val="left"/>
        <w:rPr>
          <w:rFonts w:hint="eastAsia" w:ascii="宋体" w:hAnsi="宋体" w:eastAsia="宋体" w:cs="宋体"/>
          <w:bCs/>
          <w:color w:val="auto"/>
          <w:sz w:val="22"/>
          <w:highlight w:val="none"/>
        </w:rPr>
      </w:pPr>
      <w:r>
        <w:rPr>
          <w:rFonts w:hint="eastAsia" w:ascii="宋体" w:hAnsi="宋体" w:eastAsia="宋体" w:cs="宋体"/>
          <w:color w:val="auto"/>
          <w:sz w:val="24"/>
          <w:highlight w:val="none"/>
        </w:rPr>
        <w:t>响应文件递交截止时间：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pPr>
        <w:wordWrap w:val="0"/>
        <w:topLinePunct/>
        <w:spacing w:line="360" w:lineRule="auto"/>
        <w:ind w:left="480" w:hanging="480"/>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附：</w:t>
      </w:r>
    </w:p>
    <w:p>
      <w:pPr>
        <w:wordWrap w:val="0"/>
        <w:topLinePunct/>
        <w:spacing w:line="360" w:lineRule="auto"/>
        <w:ind w:left="480" w:hanging="480"/>
        <w:jc w:val="left"/>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法定代表人性别：</w:t>
      </w:r>
      <w:r>
        <w:rPr>
          <w:rFonts w:hint="eastAsia" w:ascii="宋体" w:hAnsi="宋体" w:eastAsia="宋体" w:cs="宋体"/>
          <w:bCs/>
          <w:color w:val="auto"/>
          <w:sz w:val="22"/>
          <w:highlight w:val="none"/>
          <w:u w:val="single"/>
        </w:rPr>
        <w:t xml:space="preserve">         </w:t>
      </w:r>
      <w:r>
        <w:rPr>
          <w:rFonts w:hint="eastAsia" w:ascii="宋体" w:hAnsi="宋体" w:eastAsia="宋体" w:cs="宋体"/>
          <w:bCs/>
          <w:color w:val="auto"/>
          <w:sz w:val="22"/>
          <w:highlight w:val="none"/>
        </w:rPr>
        <w:t xml:space="preserve">     年龄：</w:t>
      </w:r>
      <w:r>
        <w:rPr>
          <w:rFonts w:hint="eastAsia" w:ascii="宋体" w:hAnsi="宋体" w:eastAsia="宋体" w:cs="宋体"/>
          <w:bCs/>
          <w:color w:val="auto"/>
          <w:sz w:val="22"/>
          <w:highlight w:val="none"/>
          <w:u w:val="single"/>
        </w:rPr>
        <w:t xml:space="preserve">     </w:t>
      </w:r>
    </w:p>
    <w:p>
      <w:pPr>
        <w:wordWrap w:val="0"/>
        <w:topLinePunct/>
        <w:spacing w:line="360" w:lineRule="auto"/>
        <w:ind w:left="506" w:hanging="505" w:hangingChars="230"/>
        <w:jc w:val="left"/>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身份证号码：</w:t>
      </w:r>
      <w:r>
        <w:rPr>
          <w:rFonts w:hint="eastAsia" w:ascii="宋体" w:hAnsi="宋体" w:eastAsia="宋体" w:cs="宋体"/>
          <w:bCs/>
          <w:color w:val="auto"/>
          <w:sz w:val="22"/>
          <w:highlight w:val="none"/>
          <w:u w:val="single"/>
        </w:rPr>
        <w:t xml:space="preserve">                             </w:t>
      </w:r>
    </w:p>
    <w:p>
      <w:pPr>
        <w:tabs>
          <w:tab w:val="left" w:pos="3544"/>
        </w:tabs>
        <w:wordWrap w:val="0"/>
        <w:topLinePunct/>
        <w:spacing w:line="360" w:lineRule="auto"/>
        <w:ind w:left="506" w:hanging="505" w:hangingChars="230"/>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法定代表人住址：</w:t>
      </w:r>
      <w:r>
        <w:rPr>
          <w:rFonts w:hint="eastAsia" w:ascii="宋体" w:hAnsi="宋体" w:eastAsia="宋体" w:cs="宋体"/>
          <w:bCs/>
          <w:color w:val="auto"/>
          <w:sz w:val="22"/>
          <w:highlight w:val="none"/>
          <w:u w:val="single"/>
        </w:rPr>
        <w:t xml:space="preserve">                         </w:t>
      </w:r>
    </w:p>
    <w:p>
      <w:pPr>
        <w:tabs>
          <w:tab w:val="left" w:pos="3544"/>
        </w:tabs>
        <w:wordWrap w:val="0"/>
        <w:topLinePunct/>
        <w:spacing w:line="360" w:lineRule="auto"/>
        <w:ind w:left="506" w:hanging="505" w:hangingChars="230"/>
        <w:rPr>
          <w:rFonts w:hint="eastAsia" w:ascii="宋体" w:hAnsi="宋体" w:eastAsia="宋体" w:cs="宋体"/>
          <w:bCs/>
          <w:color w:val="auto"/>
          <w:sz w:val="22"/>
          <w:highlight w:val="none"/>
          <w:u w:val="single"/>
        </w:rPr>
      </w:pPr>
      <w:r>
        <w:rPr>
          <w:rFonts w:hint="eastAsia" w:ascii="宋体" w:hAnsi="宋体" w:eastAsia="宋体" w:cs="宋体"/>
          <w:bCs/>
          <w:color w:val="auto"/>
          <w:sz w:val="22"/>
          <w:highlight w:val="none"/>
        </w:rPr>
        <w:t>座机电话：</w:t>
      </w:r>
      <w:r>
        <w:rPr>
          <w:rFonts w:hint="eastAsia" w:ascii="宋体" w:hAnsi="宋体" w:eastAsia="宋体" w:cs="宋体"/>
          <w:bCs/>
          <w:color w:val="auto"/>
          <w:sz w:val="22"/>
          <w:highlight w:val="none"/>
          <w:u w:val="single"/>
        </w:rPr>
        <w:t xml:space="preserve">                               </w:t>
      </w:r>
    </w:p>
    <w:p>
      <w:pPr>
        <w:tabs>
          <w:tab w:val="left" w:pos="3544"/>
        </w:tabs>
        <w:wordWrap w:val="0"/>
        <w:topLinePunct/>
        <w:spacing w:line="360" w:lineRule="auto"/>
        <w:ind w:left="506" w:hanging="505" w:hangingChars="23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手机电话：</w:t>
      </w:r>
      <w:r>
        <w:rPr>
          <w:rFonts w:hint="eastAsia" w:ascii="宋体" w:hAnsi="宋体" w:eastAsia="宋体" w:cs="宋体"/>
          <w:bCs/>
          <w:color w:val="auto"/>
          <w:sz w:val="22"/>
          <w:highlight w:val="none"/>
          <w:u w:val="single"/>
        </w:rPr>
        <w:t xml:space="preserve">                               </w:t>
      </w:r>
    </w:p>
    <w:p>
      <w:pPr>
        <w:wordWrap w:val="0"/>
        <w:topLinePunct/>
        <w:rPr>
          <w:rFonts w:hint="eastAsia" w:ascii="宋体" w:hAnsi="宋体" w:eastAsia="宋体" w:cs="宋体"/>
          <w:color w:val="auto"/>
          <w:sz w:val="22"/>
          <w:highlight w:val="none"/>
        </w:rPr>
      </w:pPr>
    </w:p>
    <w:p>
      <w:pPr>
        <w:wordWrap w:val="0"/>
        <w:topLinePunct/>
        <w:rPr>
          <w:rFonts w:hint="eastAsia" w:ascii="宋体" w:hAnsi="宋体" w:eastAsia="宋体" w:cs="宋体"/>
          <w:color w:val="auto"/>
          <w:sz w:val="22"/>
          <w:highlight w:val="none"/>
        </w:rPr>
      </w:pPr>
    </w:p>
    <w:p>
      <w:pPr>
        <w:wordWrap w:val="0"/>
        <w:topLinePunct/>
        <w:spacing w:line="360" w:lineRule="auto"/>
        <w:ind w:firstLine="440"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注：</w:t>
      </w:r>
      <w:r>
        <w:rPr>
          <w:rFonts w:hint="eastAsia" w:ascii="宋体" w:hAnsi="宋体" w:eastAsia="宋体" w:cs="宋体"/>
          <w:color w:val="auto"/>
          <w:sz w:val="22"/>
          <w:highlight w:val="none"/>
          <w:u w:val="single"/>
        </w:rPr>
        <w:t>法定代表人直接投标的无须提供法定代表人授权书，但须附法定代表人身份证正反面复印件（或扫描件）于此处并加盖公章</w:t>
      </w:r>
      <w:r>
        <w:rPr>
          <w:rFonts w:hint="eastAsia" w:ascii="宋体" w:hAnsi="宋体" w:eastAsia="宋体" w:cs="宋体"/>
          <w:color w:val="auto"/>
          <w:sz w:val="22"/>
          <w:highlight w:val="none"/>
        </w:rPr>
        <w:t xml:space="preserve">。 </w:t>
      </w:r>
    </w:p>
    <w:p>
      <w:pPr>
        <w:wordWrap w:val="0"/>
        <w:topLinePunct/>
        <w:spacing w:line="360" w:lineRule="auto"/>
        <w:jc w:val="left"/>
        <w:rPr>
          <w:rFonts w:hint="eastAsia" w:ascii="宋体" w:hAnsi="宋体" w:eastAsia="宋体" w:cs="宋体"/>
          <w:color w:val="auto"/>
          <w:sz w:val="22"/>
          <w:highlight w:val="none"/>
        </w:rPr>
      </w:pPr>
    </w:p>
    <w:p>
      <w:pPr>
        <w:wordWrap w:val="0"/>
        <w:topLinePunct/>
        <w:spacing w:line="360" w:lineRule="auto"/>
        <w:jc w:val="left"/>
        <w:rPr>
          <w:rFonts w:hint="eastAsia" w:ascii="宋体" w:hAnsi="宋体" w:eastAsia="宋体" w:cs="宋体"/>
          <w:color w:val="auto"/>
          <w:sz w:val="22"/>
          <w:highlight w:val="none"/>
        </w:rPr>
      </w:pPr>
    </w:p>
    <w:p>
      <w:pPr>
        <w:wordWrap w:val="0"/>
        <w:topLinePunct/>
        <w:rPr>
          <w:rFonts w:hint="eastAsia" w:ascii="宋体" w:hAnsi="宋体" w:eastAsia="宋体" w:cs="宋体"/>
          <w:color w:val="auto"/>
          <w:sz w:val="22"/>
          <w:highlight w:val="none"/>
        </w:rPr>
      </w:pPr>
    </w:p>
    <w:p>
      <w:pPr>
        <w:wordWrap w:val="0"/>
        <w:topLinePunct/>
        <w:rPr>
          <w:rFonts w:hint="eastAsia" w:ascii="宋体" w:hAnsi="宋体" w:eastAsia="宋体" w:cs="宋体"/>
          <w:color w:val="auto"/>
          <w:sz w:val="22"/>
          <w:highlight w:val="none"/>
        </w:rPr>
      </w:pPr>
    </w:p>
    <w:p>
      <w:pPr>
        <w:wordWrap w:val="0"/>
        <w:topLinePunct/>
        <w:spacing w:line="360" w:lineRule="auto"/>
        <w:ind w:left="3894" w:leftChars="2093" w:hanging="127" w:hangingChars="58"/>
        <w:jc w:val="lef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供应商：</w:t>
      </w:r>
      <w:r>
        <w:rPr>
          <w:rFonts w:hint="eastAsia" w:ascii="宋体" w:hAnsi="宋体" w:eastAsia="宋体" w:cs="宋体"/>
          <w:color w:val="auto"/>
          <w:sz w:val="22"/>
          <w:highlight w:val="none"/>
          <w:u w:val="single"/>
        </w:rPr>
        <w:t>（加盖公章）</w:t>
      </w:r>
    </w:p>
    <w:p>
      <w:pPr>
        <w:wordWrap w:val="0"/>
        <w:topLinePunct/>
        <w:spacing w:line="360" w:lineRule="auto"/>
        <w:ind w:left="3894" w:leftChars="2093" w:hanging="127" w:hangingChars="58"/>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地  址：</w:t>
      </w:r>
    </w:p>
    <w:p>
      <w:pPr>
        <w:tabs>
          <w:tab w:val="left" w:pos="3780"/>
        </w:tabs>
        <w:wordWrap w:val="0"/>
        <w:topLinePunct/>
        <w:spacing w:line="360" w:lineRule="auto"/>
        <w:ind w:left="3894" w:leftChars="2093" w:hanging="127" w:hangingChars="58"/>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法定代表人（签字/盖章）：</w:t>
      </w:r>
    </w:p>
    <w:p>
      <w:pPr>
        <w:tabs>
          <w:tab w:val="left" w:pos="3885"/>
        </w:tabs>
        <w:wordWrap w:val="0"/>
        <w:topLinePunct/>
        <w:spacing w:line="360" w:lineRule="auto"/>
        <w:ind w:left="3894" w:leftChars="2093" w:hanging="127" w:hangingChars="58"/>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pPr>
        <w:widowControl/>
        <w:spacing w:line="360" w:lineRule="auto"/>
        <w:jc w:val="left"/>
        <w:rPr>
          <w:rFonts w:hint="eastAsia" w:ascii="宋体" w:hAnsi="宋体" w:eastAsia="宋体" w:cs="宋体"/>
          <w:color w:val="auto"/>
          <w:sz w:val="24"/>
          <w:szCs w:val="28"/>
          <w:highlight w:val="none"/>
        </w:rPr>
        <w:sectPr>
          <w:pgSz w:w="11906" w:h="16838"/>
          <w:pgMar w:top="1440" w:right="1797" w:bottom="1440" w:left="1797" w:header="851" w:footer="992" w:gutter="0"/>
          <w:pgNumType w:fmt="decimal"/>
          <w:cols w:space="720" w:num="1"/>
        </w:sectPr>
      </w:pPr>
    </w:p>
    <w:p>
      <w:pPr>
        <w:tabs>
          <w:tab w:val="left" w:pos="3885"/>
        </w:tabs>
        <w:wordWrap w:val="0"/>
        <w:topLinePunct/>
        <w:spacing w:line="360" w:lineRule="auto"/>
        <w:ind w:left="562" w:hanging="562"/>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3.1.2</w:t>
      </w:r>
      <w:r>
        <w:rPr>
          <w:rFonts w:hint="eastAsia" w:ascii="宋体" w:hAnsi="宋体" w:eastAsia="宋体" w:cs="宋体"/>
          <w:b/>
          <w:bCs/>
          <w:color w:val="auto"/>
          <w:sz w:val="24"/>
          <w:szCs w:val="28"/>
          <w:highlight w:val="none"/>
        </w:rPr>
        <w:t>法定代表人授权书</w:t>
      </w:r>
      <w:r>
        <w:rPr>
          <w:rFonts w:hint="eastAsia" w:ascii="宋体" w:hAnsi="宋体" w:eastAsia="宋体" w:cs="宋体"/>
          <w:bCs/>
          <w:color w:val="auto"/>
          <w:sz w:val="24"/>
          <w:szCs w:val="28"/>
          <w:highlight w:val="none"/>
        </w:rPr>
        <w:t>（格式）</w:t>
      </w:r>
    </w:p>
    <w:p>
      <w:pPr>
        <w:wordWrap w:val="0"/>
        <w:topLinePunct/>
        <w:spacing w:line="360" w:lineRule="auto"/>
        <w:ind w:left="562" w:hanging="562"/>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法定代表人授权书</w:t>
      </w:r>
    </w:p>
    <w:p>
      <w:pPr>
        <w:pStyle w:val="119"/>
        <w:wordWrap w:val="0"/>
        <w:topLinePunct/>
        <w:spacing w:before="120" w:after="120" w:line="360" w:lineRule="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lang w:eastAsia="zh-CN"/>
        </w:rPr>
        <w:t>武汉新地工程造价咨询有限公司</w:t>
      </w:r>
      <w:r>
        <w:rPr>
          <w:rFonts w:hint="eastAsia" w:ascii="宋体" w:hAnsi="宋体" w:eastAsia="宋体" w:cs="宋体"/>
          <w:color w:val="auto"/>
          <w:sz w:val="22"/>
          <w:szCs w:val="22"/>
          <w:highlight w:val="none"/>
        </w:rPr>
        <w:t>：</w:t>
      </w:r>
    </w:p>
    <w:p>
      <w:pPr>
        <w:pStyle w:val="119"/>
        <w:wordWrap w:val="0"/>
        <w:topLinePunct/>
        <w:spacing w:after="120"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本授权书声明：注册于</w:t>
      </w:r>
      <w:r>
        <w:rPr>
          <w:rFonts w:hint="eastAsia" w:ascii="宋体" w:hAnsi="宋体" w:eastAsia="宋体" w:cs="宋体"/>
          <w:color w:val="auto"/>
          <w:sz w:val="22"/>
          <w:szCs w:val="22"/>
          <w:highlight w:val="none"/>
          <w:u w:val="single"/>
        </w:rPr>
        <w:t xml:space="preserve">（工商行政管理局名称）之（供应商名称） </w:t>
      </w:r>
      <w:r>
        <w:rPr>
          <w:rFonts w:hint="eastAsia" w:ascii="宋体" w:hAnsi="宋体" w:eastAsia="宋体" w:cs="宋体"/>
          <w:color w:val="auto"/>
          <w:sz w:val="22"/>
          <w:szCs w:val="22"/>
          <w:highlight w:val="none"/>
        </w:rPr>
        <w:t>的法定代表人</w:t>
      </w:r>
      <w:r>
        <w:rPr>
          <w:rFonts w:hint="eastAsia" w:ascii="宋体" w:hAnsi="宋体" w:eastAsia="宋体" w:cs="宋体"/>
          <w:color w:val="auto"/>
          <w:sz w:val="22"/>
          <w:szCs w:val="22"/>
          <w:highlight w:val="none"/>
          <w:u w:val="single"/>
        </w:rPr>
        <w:t>（姓名、性别）</w:t>
      </w:r>
      <w:r>
        <w:rPr>
          <w:rFonts w:hint="eastAsia" w:ascii="宋体" w:hAnsi="宋体" w:eastAsia="宋体" w:cs="宋体"/>
          <w:color w:val="auto"/>
          <w:sz w:val="22"/>
          <w:szCs w:val="22"/>
          <w:highlight w:val="none"/>
        </w:rPr>
        <w:t>授权本公司的</w:t>
      </w:r>
      <w:r>
        <w:rPr>
          <w:rFonts w:hint="eastAsia" w:ascii="宋体" w:hAnsi="宋体" w:eastAsia="宋体" w:cs="宋体"/>
          <w:color w:val="auto"/>
          <w:sz w:val="22"/>
          <w:szCs w:val="22"/>
          <w:highlight w:val="none"/>
          <w:u w:val="single"/>
        </w:rPr>
        <w:t>（被授权人姓名、性别）</w:t>
      </w:r>
      <w:r>
        <w:rPr>
          <w:rFonts w:hint="eastAsia" w:ascii="宋体" w:hAnsi="宋体" w:eastAsia="宋体" w:cs="宋体"/>
          <w:color w:val="auto"/>
          <w:sz w:val="22"/>
          <w:szCs w:val="22"/>
          <w:highlight w:val="none"/>
        </w:rPr>
        <w:t>为授权代表，就贵方组织的有关</w:t>
      </w:r>
      <w:r>
        <w:rPr>
          <w:rFonts w:hint="eastAsia" w:ascii="宋体" w:hAnsi="宋体" w:eastAsia="宋体" w:cs="宋体"/>
          <w:color w:val="auto"/>
          <w:sz w:val="22"/>
          <w:szCs w:val="22"/>
          <w:highlight w:val="none"/>
          <w:u w:val="single"/>
        </w:rPr>
        <w:t xml:space="preserve">  项目名称（项目编号</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包号</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的竞争性谈判事宜，签署与谈判有关的文件、资料等，本公司对授权代表签署的所有资料承担全部法律责任。</w:t>
      </w:r>
    </w:p>
    <w:p>
      <w:pPr>
        <w:pStyle w:val="119"/>
        <w:wordWrap w:val="0"/>
        <w:topLinePunct/>
        <w:spacing w:after="12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本授权书自响应文件递交截止时间起计算，有效期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w:t>
      </w:r>
    </w:p>
    <w:p>
      <w:pPr>
        <w:wordWrap w:val="0"/>
        <w:topLinePunct/>
        <w:spacing w:line="360" w:lineRule="auto"/>
        <w:ind w:left="410" w:leftChars="228"/>
        <w:jc w:val="left"/>
        <w:rPr>
          <w:rFonts w:hint="eastAsia" w:ascii="宋体" w:hAnsi="宋体" w:eastAsia="宋体" w:cs="宋体"/>
          <w:bCs/>
          <w:color w:val="auto"/>
          <w:highlight w:val="none"/>
        </w:rPr>
      </w:pPr>
      <w:r>
        <w:rPr>
          <w:rFonts w:hint="eastAsia" w:ascii="宋体" w:hAnsi="宋体" w:eastAsia="宋体" w:cs="宋体"/>
          <w:color w:val="auto"/>
          <w:sz w:val="22"/>
          <w:highlight w:val="none"/>
        </w:rPr>
        <w:t>响应文件递交截止时间：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年</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日</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时</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分</w:t>
      </w:r>
    </w:p>
    <w:p>
      <w:pPr>
        <w:rPr>
          <w:rFonts w:hint="eastAsia" w:ascii="宋体" w:hAnsi="宋体" w:eastAsia="宋体" w:cs="宋体"/>
          <w:color w:val="auto"/>
          <w:highlight w:val="none"/>
        </w:rPr>
      </w:pPr>
    </w:p>
    <w:p>
      <w:pPr>
        <w:pStyle w:val="119"/>
        <w:wordWrap w:val="0"/>
        <w:topLinePunct/>
        <w:spacing w:after="120"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u w:val="single"/>
        </w:rPr>
        <w:t xml:space="preserve">  （加盖公章）     </w:t>
      </w:r>
      <w:r>
        <w:rPr>
          <w:rFonts w:hint="eastAsia" w:ascii="宋体" w:hAnsi="宋体" w:eastAsia="宋体" w:cs="宋体"/>
          <w:color w:val="auto"/>
          <w:sz w:val="22"/>
          <w:szCs w:val="22"/>
          <w:highlight w:val="none"/>
        </w:rPr>
        <w:t xml:space="preserve">      法定代表人（签字/盖章）：</w:t>
      </w:r>
      <w:r>
        <w:rPr>
          <w:rFonts w:hint="eastAsia" w:ascii="宋体" w:hAnsi="宋体" w:eastAsia="宋体" w:cs="宋体"/>
          <w:color w:val="auto"/>
          <w:sz w:val="22"/>
          <w:szCs w:val="22"/>
          <w:highlight w:val="none"/>
          <w:u w:val="single"/>
        </w:rPr>
        <w:t xml:space="preserve">       </w:t>
      </w:r>
    </w:p>
    <w:p>
      <w:pPr>
        <w:pStyle w:val="119"/>
        <w:wordWrap w:val="0"/>
        <w:topLinePunct/>
        <w:spacing w:after="120" w:line="360" w:lineRule="auto"/>
        <w:ind w:firstLine="44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授权代表（签字/盖章）：</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u w:val="single"/>
        </w:rPr>
        <w:t xml:space="preserve">       </w:t>
      </w:r>
    </w:p>
    <w:p>
      <w:pPr>
        <w:pStyle w:val="119"/>
        <w:wordWrap w:val="0"/>
        <w:topLinePunct/>
        <w:spacing w:after="120" w:line="360" w:lineRule="auto"/>
        <w:ind w:firstLine="44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联系地址：</w:t>
      </w:r>
      <w:r>
        <w:rPr>
          <w:rFonts w:hint="eastAsia" w:ascii="宋体" w:hAnsi="宋体" w:eastAsia="宋体" w:cs="宋体"/>
          <w:color w:val="auto"/>
          <w:sz w:val="22"/>
          <w:szCs w:val="22"/>
          <w:highlight w:val="none"/>
          <w:u w:val="single"/>
        </w:rPr>
        <w:t xml:space="preserve">                                   </w:t>
      </w:r>
    </w:p>
    <w:p>
      <w:pPr>
        <w:pStyle w:val="119"/>
        <w:wordWrap w:val="0"/>
        <w:topLinePunct/>
        <w:spacing w:after="120" w:line="360" w:lineRule="auto"/>
        <w:ind w:firstLine="44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u w:val="single"/>
        </w:rPr>
        <w:t xml:space="preserve">          </w:t>
      </w:r>
    </w:p>
    <w:p>
      <w:pPr>
        <w:wordWrap w:val="0"/>
        <w:topLinePunct/>
        <w:rPr>
          <w:rFonts w:hint="eastAsia" w:ascii="宋体" w:hAnsi="宋体" w:eastAsia="宋体" w:cs="宋体"/>
          <w:color w:val="auto"/>
          <w:sz w:val="22"/>
          <w:highlight w:val="none"/>
        </w:rPr>
      </w:pPr>
    </w:p>
    <w:p>
      <w:pPr>
        <w:pStyle w:val="119"/>
        <w:topLinePunct/>
        <w:spacing w:after="120"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附法定代表人及被授权人身份证正反面复印件（或扫描件）加盖公章</w:t>
      </w:r>
    </w:p>
    <w:tbl>
      <w:tblPr>
        <w:tblStyle w:val="39"/>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5" w:hRule="atLeast"/>
          <w:jc w:val="center"/>
        </w:trPr>
        <w:tc>
          <w:tcPr>
            <w:tcW w:w="4289" w:type="dxa"/>
            <w:tcBorders>
              <w:top w:val="single" w:color="auto" w:sz="4" w:space="0"/>
              <w:left w:val="single" w:color="auto" w:sz="4" w:space="0"/>
              <w:bottom w:val="single" w:color="auto" w:sz="4" w:space="0"/>
              <w:right w:val="single" w:color="auto" w:sz="4" w:space="0"/>
            </w:tcBorders>
            <w:vAlign w:val="center"/>
          </w:tcPr>
          <w:p>
            <w:pPr>
              <w:wordWrap w:val="0"/>
              <w:topLinePunct/>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法定代表人身份证复印件（或扫描件）</w:t>
            </w:r>
          </w:p>
        </w:tc>
        <w:tc>
          <w:tcPr>
            <w:tcW w:w="4289" w:type="dxa"/>
            <w:tcBorders>
              <w:top w:val="single" w:color="auto" w:sz="4" w:space="0"/>
              <w:left w:val="single" w:color="auto" w:sz="4" w:space="0"/>
              <w:bottom w:val="single" w:color="auto" w:sz="4" w:space="0"/>
              <w:right w:val="single" w:color="auto" w:sz="4" w:space="0"/>
            </w:tcBorders>
            <w:vAlign w:val="center"/>
          </w:tcPr>
          <w:p>
            <w:pPr>
              <w:wordWrap w:val="0"/>
              <w:topLinePunct/>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被授权人身份证复印件（或扫描件）</w:t>
            </w:r>
          </w:p>
        </w:tc>
      </w:tr>
    </w:tbl>
    <w:p>
      <w:pPr>
        <w:widowControl/>
        <w:jc w:val="left"/>
        <w:rPr>
          <w:rFonts w:hint="eastAsia" w:ascii="宋体" w:hAnsi="宋体" w:eastAsia="宋体" w:cs="宋体"/>
          <w:b/>
          <w:bCs/>
          <w:color w:val="auto"/>
          <w:sz w:val="24"/>
          <w:highlight w:val="none"/>
        </w:rPr>
        <w:sectPr>
          <w:pgSz w:w="11906" w:h="16838"/>
          <w:pgMar w:top="1440" w:right="1797" w:bottom="1440" w:left="1797" w:header="851" w:footer="992" w:gutter="0"/>
          <w:pgNumType w:fmt="decimal"/>
          <w:cols w:space="720" w:num="1"/>
        </w:sectPr>
      </w:pPr>
    </w:p>
    <w:p>
      <w:pPr>
        <w:pStyle w:val="119"/>
        <w:topLinePunct/>
        <w:spacing w:after="12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3.1.3未被列入“信用中国”及“中国政府采购网”失信行为记录</w:t>
      </w:r>
      <w:r>
        <w:rPr>
          <w:rFonts w:hint="eastAsia" w:ascii="宋体" w:hAnsi="宋体" w:eastAsia="宋体" w:cs="宋体"/>
          <w:bCs/>
          <w:color w:val="auto"/>
          <w:sz w:val="24"/>
          <w:szCs w:val="24"/>
          <w:highlight w:val="none"/>
        </w:rPr>
        <w:t>（格式）</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提供未被列入“信用中国”及“中国政府采购网”失信行为记录的承诺或者提供关于相关主体信用记录查询结果并加盖公章。</w:t>
      </w:r>
    </w:p>
    <w:p>
      <w:pPr>
        <w:topLinePunct/>
        <w:spacing w:line="360" w:lineRule="auto"/>
        <w:ind w:firstLine="480" w:firstLineChars="200"/>
        <w:jc w:val="left"/>
        <w:rPr>
          <w:rFonts w:hint="eastAsia" w:ascii="宋体" w:hAnsi="宋体" w:eastAsia="宋体" w:cs="宋体"/>
          <w:color w:val="auto"/>
          <w:kern w:val="0"/>
          <w:sz w:val="24"/>
          <w:highlight w:val="none"/>
        </w:rPr>
      </w:pPr>
    </w:p>
    <w:p>
      <w:pPr>
        <w:topLinePunct/>
        <w:spacing w:line="360" w:lineRule="auto"/>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提供承诺的格式自拟，提供相关主体信用记录查询的按照下列要求执行：</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1）提供投标人主体关于“信用中国”网站（www.creditchina.gov.cn）、中国政府采购网（www.ccgp.gov.cn）的信用信息查询结果；</w:t>
      </w:r>
    </w:p>
    <w:p>
      <w:pPr>
        <w:topLinePunct/>
        <w:spacing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查询时间：获取</w:t>
      </w:r>
      <w:r>
        <w:rPr>
          <w:rFonts w:hint="eastAsia" w:ascii="宋体" w:hAnsi="宋体" w:eastAsia="宋体" w:cs="宋体"/>
          <w:color w:val="auto"/>
          <w:kern w:val="0"/>
          <w:sz w:val="24"/>
          <w:highlight w:val="none"/>
          <w:u w:val="single"/>
          <w:lang w:eastAsia="zh-CN"/>
        </w:rPr>
        <w:t>谈判</w:t>
      </w:r>
      <w:r>
        <w:rPr>
          <w:rFonts w:hint="eastAsia" w:ascii="宋体" w:hAnsi="宋体" w:eastAsia="宋体" w:cs="宋体"/>
          <w:color w:val="auto"/>
          <w:kern w:val="0"/>
          <w:sz w:val="24"/>
          <w:highlight w:val="none"/>
          <w:u w:val="single"/>
        </w:rPr>
        <w:t>文件之日至</w:t>
      </w:r>
      <w:r>
        <w:rPr>
          <w:rFonts w:hint="eastAsia" w:ascii="宋体" w:hAnsi="宋体" w:eastAsia="宋体" w:cs="宋体"/>
          <w:color w:val="auto"/>
          <w:kern w:val="0"/>
          <w:sz w:val="24"/>
          <w:highlight w:val="none"/>
          <w:u w:val="single"/>
          <w:lang w:eastAsia="zh-CN"/>
        </w:rPr>
        <w:t>谈判</w:t>
      </w:r>
      <w:r>
        <w:rPr>
          <w:rFonts w:hint="eastAsia" w:ascii="宋体" w:hAnsi="宋体" w:eastAsia="宋体" w:cs="宋体"/>
          <w:color w:val="auto"/>
          <w:kern w:val="0"/>
          <w:sz w:val="24"/>
          <w:highlight w:val="none"/>
          <w:u w:val="single"/>
        </w:rPr>
        <w:t>文件递交截止时间之间；</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3）证据留存的方式：</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“信用中国”查询后下载完整信用信息报告并加盖投标人公章，</w:t>
      </w:r>
      <w:r>
        <w:rPr>
          <w:rFonts w:hint="eastAsia" w:ascii="宋体" w:hAnsi="宋体" w:eastAsia="宋体" w:cs="宋体"/>
          <w:color w:val="auto"/>
          <w:kern w:val="0"/>
          <w:sz w:val="24"/>
          <w:highlight w:val="none"/>
        </w:rPr>
        <w:t>信用信息报告须清晰体现行政处罚信息数量及失信惩戒信息数量，若数量不为“0”，行政处罚信息/失信惩戒信息内容须清晰体现。</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“中国政府采购网”查询政府采购严重违法失信行为记录名单，查询结果界面截全图加盖投标人公章，</w:t>
      </w:r>
      <w:r>
        <w:rPr>
          <w:rFonts w:hint="eastAsia" w:ascii="宋体" w:hAnsi="宋体" w:eastAsia="宋体" w:cs="宋体"/>
          <w:color w:val="auto"/>
          <w:kern w:val="0"/>
          <w:sz w:val="24"/>
          <w:highlight w:val="none"/>
        </w:rPr>
        <w:t>截图须清晰体现是否存在违法行为记录，若存在，还应将严重违法失信行为的具体情形、处罚结果、处罚依据、处罚日期、公布日期、执法单位等清晰截图加盖公章。</w:t>
      </w:r>
    </w:p>
    <w:p>
      <w:pPr>
        <w:pStyle w:val="48"/>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供应商未列入失信行为记录的，提供承诺或者查询结果加盖公章，格式自拟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szCs w:val="24"/>
          <w:highlight w:val="none"/>
          <w:lang w:val="en-US" w:eastAsia="zh-CN"/>
        </w:rPr>
        <w:t>采购人或代理机构在谈判现场查询复核</w:t>
      </w:r>
      <w:r>
        <w:rPr>
          <w:rFonts w:hint="eastAsia" w:ascii="宋体" w:hAnsi="宋体" w:eastAsia="宋体" w:cs="宋体"/>
          <w:color w:val="auto"/>
          <w:kern w:val="0"/>
          <w:sz w:val="24"/>
          <w:highlight w:val="none"/>
        </w:rPr>
        <w:t xml:space="preserve">； </w:t>
      </w:r>
    </w:p>
    <w:p>
      <w:pPr>
        <w:topLinePunct/>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若供应商列入失信被执行人、重大税收违法案件当事人名单、政府采购严重违法失信行为记录名单，其谈判无效。</w:t>
      </w:r>
    </w:p>
    <w:p>
      <w:pPr>
        <w:pStyle w:val="48"/>
        <w:rPr>
          <w:rFonts w:hint="eastAsia" w:ascii="宋体" w:hAnsi="宋体" w:eastAsia="宋体" w:cs="宋体"/>
          <w:color w:val="auto"/>
          <w:kern w:val="0"/>
          <w:sz w:val="24"/>
          <w:szCs w:val="24"/>
          <w:highlight w:val="none"/>
        </w:rPr>
      </w:pPr>
    </w:p>
    <w:p>
      <w:pPr>
        <w:pStyle w:val="17"/>
        <w:rPr>
          <w:rFonts w:hint="eastAsia" w:ascii="宋体" w:hAnsi="宋体" w:eastAsia="宋体" w:cs="宋体"/>
          <w:color w:val="auto"/>
          <w:highlight w:val="none"/>
        </w:rPr>
      </w:pPr>
    </w:p>
    <w:p>
      <w:pPr>
        <w:pStyle w:val="17"/>
        <w:rPr>
          <w:rFonts w:hint="eastAsia" w:ascii="宋体" w:hAnsi="宋体" w:eastAsia="宋体" w:cs="宋体"/>
          <w:color w:val="auto"/>
          <w:highlight w:val="none"/>
        </w:rPr>
      </w:pPr>
    </w:p>
    <w:p>
      <w:pPr>
        <w:spacing w:beforeLines="50" w:afterLines="50"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rPr>
        <w:t>附件2：</w:t>
      </w:r>
    </w:p>
    <w:p>
      <w:pPr>
        <w:spacing w:before="100" w:beforeAutospacing="1" w:afterLines="5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 的具体情况如下：</w:t>
      </w:r>
    </w:p>
    <w:p>
      <w:pPr>
        <w:pStyle w:val="106"/>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single"/>
        </w:rPr>
      </w:pPr>
      <w:r>
        <w:rPr>
          <w:rFonts w:hint="eastAsia" w:ascii="宋体" w:hAnsi="宋体" w:eastAsia="宋体" w:cs="宋体"/>
          <w:color w:val="auto"/>
          <w:spacing w:val="6"/>
          <w:kern w:val="2"/>
          <w:sz w:val="24"/>
          <w:szCs w:val="24"/>
          <w:highlight w:val="none"/>
          <w:u w:val="single"/>
        </w:rPr>
        <w:t xml:space="preserve">1. （ 标 的 名 称 ） ， 属 于 （ 采 购 文 件 中 明 确 的 所 属 行 业 ） 行业；制造商为（企业名称），从业人员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 xml:space="preserve">人，营业收入为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万元，资产总额为 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6"/>
          <w:kern w:val="2"/>
          <w:sz w:val="24"/>
          <w:szCs w:val="24"/>
          <w:highlight w:val="none"/>
          <w:u w:val="single"/>
        </w:rPr>
        <w:t>1</w:t>
      </w:r>
      <w:r>
        <w:rPr>
          <w:rFonts w:hint="eastAsia" w:ascii="宋体" w:hAnsi="宋体" w:eastAsia="宋体" w:cs="宋体"/>
          <w:color w:val="auto"/>
          <w:spacing w:val="6"/>
          <w:kern w:val="2"/>
          <w:sz w:val="24"/>
          <w:szCs w:val="24"/>
          <w:highlight w:val="none"/>
          <w:u w:val="single"/>
        </w:rPr>
        <w:fldChar w:fldCharType="end"/>
      </w:r>
      <w:r>
        <w:rPr>
          <w:rFonts w:hint="eastAsia" w:ascii="宋体" w:hAnsi="宋体" w:eastAsia="宋体" w:cs="宋体"/>
          <w:color w:val="auto"/>
          <w:spacing w:val="6"/>
          <w:kern w:val="2"/>
          <w:sz w:val="24"/>
          <w:szCs w:val="24"/>
          <w:highlight w:val="none"/>
          <w:u w:val="single"/>
        </w:rPr>
        <w:t>，属于（中型企业、小型企业、微型企业）；</w:t>
      </w:r>
    </w:p>
    <w:p>
      <w:pPr>
        <w:pStyle w:val="106"/>
        <w:tabs>
          <w:tab w:val="left" w:pos="1165"/>
          <w:tab w:val="left" w:pos="1183"/>
          <w:tab w:val="left" w:pos="4362"/>
          <w:tab w:val="left" w:pos="6577"/>
        </w:tabs>
        <w:spacing w:line="360" w:lineRule="auto"/>
        <w:ind w:firstLine="444"/>
        <w:jc w:val="left"/>
        <w:rPr>
          <w:rFonts w:hint="eastAsia" w:ascii="宋体" w:hAnsi="宋体" w:eastAsia="宋体" w:cs="宋体"/>
          <w:color w:val="auto"/>
          <w:spacing w:val="6"/>
          <w:kern w:val="2"/>
          <w:sz w:val="24"/>
          <w:szCs w:val="24"/>
          <w:highlight w:val="none"/>
          <w:u w:val="single"/>
        </w:rPr>
      </w:pPr>
      <w:r>
        <w:rPr>
          <w:rFonts w:hint="eastAsia" w:ascii="宋体" w:hAnsi="宋体" w:eastAsia="宋体" w:cs="宋体"/>
          <w:color w:val="auto"/>
          <w:spacing w:val="6"/>
          <w:kern w:val="2"/>
          <w:sz w:val="24"/>
          <w:szCs w:val="24"/>
          <w:highlight w:val="none"/>
          <w:u w:val="single"/>
        </w:rPr>
        <w:t xml:space="preserve">2.（ 标 的 名 称 ） ， 属 于 （ 采 购 文 件 中 明 确 的 所 属 行 业 ） 行业；制造商为（企业名称），从业人员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 xml:space="preserve">人，营业收入为 </w:t>
      </w:r>
      <w:r>
        <w:rPr>
          <w:rFonts w:hint="eastAsia" w:ascii="宋体" w:hAnsi="宋体" w:eastAsia="宋体" w:cs="宋体"/>
          <w:color w:val="auto"/>
          <w:spacing w:val="6"/>
          <w:kern w:val="2"/>
          <w:sz w:val="24"/>
          <w:szCs w:val="24"/>
          <w:highlight w:val="none"/>
          <w:u w:val="single"/>
        </w:rPr>
        <w:tab/>
      </w:r>
      <w:r>
        <w:rPr>
          <w:rFonts w:hint="eastAsia" w:ascii="宋体" w:hAnsi="宋体" w:eastAsia="宋体" w:cs="宋体"/>
          <w:color w:val="auto"/>
          <w:spacing w:val="6"/>
          <w:kern w:val="2"/>
          <w:sz w:val="24"/>
          <w:szCs w:val="24"/>
          <w:highlight w:val="none"/>
          <w:u w:val="single"/>
        </w:rPr>
        <w:t>万元，资产总额为 万元，属于（中型企业、小型企业、微型企业）；</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pStyle w:val="17"/>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pStyle w:val="17"/>
        <w:spacing w:before="35" w:line="360" w:lineRule="auto"/>
        <w:ind w:left="4060" w:right="2166"/>
        <w:rPr>
          <w:rFonts w:hint="eastAsia" w:ascii="宋体" w:hAnsi="宋体" w:eastAsia="宋体" w:cs="宋体"/>
          <w:color w:val="auto"/>
          <w:spacing w:val="6"/>
          <w:sz w:val="24"/>
          <w:szCs w:val="24"/>
          <w:highlight w:val="none"/>
        </w:rPr>
      </w:pPr>
    </w:p>
    <w:p>
      <w:pPr>
        <w:pStyle w:val="17"/>
        <w:spacing w:before="35" w:line="360"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pStyle w:val="17"/>
        <w:spacing w:before="35" w:line="360"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本项目所属行业：农、林、牧、渔业</w:t>
      </w:r>
    </w:p>
    <w:p>
      <w:pPr>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br w:type="page"/>
      </w:r>
    </w:p>
    <w:p>
      <w:pPr>
        <w:spacing w:before="100" w:beforeAutospacing="1" w:afterLines="50" w:line="360" w:lineRule="auto"/>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附件3（如</w:t>
      </w:r>
      <w:r>
        <w:rPr>
          <w:rFonts w:hint="eastAsia" w:ascii="宋体" w:hAnsi="宋体" w:cs="宋体"/>
          <w:b/>
          <w:bCs/>
          <w:color w:val="auto"/>
          <w:spacing w:val="6"/>
          <w:sz w:val="24"/>
          <w:szCs w:val="24"/>
          <w:highlight w:val="none"/>
          <w:lang w:eastAsia="zh-CN"/>
        </w:rPr>
        <w:t>是</w:t>
      </w:r>
      <w:r>
        <w:rPr>
          <w:rFonts w:hint="eastAsia" w:ascii="宋体" w:hAnsi="宋体" w:eastAsia="宋体" w:cs="宋体"/>
          <w:b/>
          <w:bCs/>
          <w:color w:val="auto"/>
          <w:spacing w:val="6"/>
          <w:sz w:val="24"/>
          <w:szCs w:val="24"/>
          <w:highlight w:val="none"/>
        </w:rPr>
        <w:t>）：</w:t>
      </w:r>
    </w:p>
    <w:p>
      <w:pPr>
        <w:spacing w:line="360" w:lineRule="auto"/>
        <w:jc w:val="center"/>
        <w:rPr>
          <w:rFonts w:hint="eastAsia" w:ascii="宋体" w:hAnsi="宋体" w:eastAsia="宋体" w:cs="宋体"/>
          <w:b/>
          <w:color w:val="auto"/>
          <w:spacing w:val="6"/>
          <w:sz w:val="24"/>
          <w:szCs w:val="24"/>
          <w:highlight w:val="none"/>
        </w:rPr>
      </w:pPr>
      <w:bookmarkStart w:id="233" w:name="OLE_LINK14"/>
      <w:bookmarkStart w:id="234" w:name="OLE_LINK13"/>
      <w:r>
        <w:rPr>
          <w:rFonts w:hint="eastAsia" w:ascii="宋体" w:hAnsi="宋体" w:eastAsia="宋体" w:cs="宋体"/>
          <w:b/>
          <w:color w:val="auto"/>
          <w:spacing w:val="6"/>
          <w:sz w:val="24"/>
          <w:szCs w:val="24"/>
          <w:highlight w:val="none"/>
        </w:rPr>
        <w:t>残疾人福利性单位声明函</w:t>
      </w:r>
    </w:p>
    <w:bookmarkEnd w:id="233"/>
    <w:bookmarkEnd w:id="234"/>
    <w:p>
      <w:pPr>
        <w:spacing w:line="360" w:lineRule="auto"/>
        <w:rPr>
          <w:rFonts w:hint="eastAsia" w:ascii="宋体" w:hAnsi="宋体" w:eastAsia="宋体" w:cs="宋体"/>
          <w:b/>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spacing w:line="360" w:lineRule="auto"/>
        <w:ind w:firstLine="504" w:firstLineChars="200"/>
        <w:rPr>
          <w:rFonts w:hint="eastAsia" w:ascii="宋体" w:hAnsi="宋体" w:eastAsia="宋体" w:cs="宋体"/>
          <w:color w:val="auto"/>
          <w:spacing w:val="6"/>
          <w:sz w:val="24"/>
          <w:szCs w:val="24"/>
          <w:highlight w:val="none"/>
        </w:rPr>
      </w:pPr>
    </w:p>
    <w:p>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4．货物一览表</w:t>
      </w:r>
      <w:r>
        <w:rPr>
          <w:rFonts w:hint="eastAsia" w:ascii="宋体" w:hAnsi="宋体" w:eastAsia="宋体" w:cs="宋体"/>
          <w:color w:val="auto"/>
          <w:sz w:val="24"/>
          <w:highlight w:val="none"/>
        </w:rPr>
        <w:t>（格式）</w:t>
      </w:r>
    </w:p>
    <w:p>
      <w:pPr>
        <w:spacing w:line="360" w:lineRule="auto"/>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4.1货物一览表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bCs/>
          <w:color w:val="auto"/>
          <w:kern w:val="0"/>
          <w:sz w:val="24"/>
          <w:highlight w:val="none"/>
          <w:u w:val="single"/>
        </w:rPr>
      </w:pPr>
      <w:r>
        <w:rPr>
          <w:rFonts w:hint="eastAsia" w:ascii="宋体" w:hAnsi="宋体" w:eastAsia="宋体" w:cs="宋体"/>
          <w:color w:val="auto"/>
          <w:sz w:val="24"/>
          <w:highlight w:val="none"/>
        </w:rPr>
        <w:t>供 应 商：</w:t>
      </w:r>
    </w:p>
    <w:tbl>
      <w:tblPr>
        <w:tblStyle w:val="3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08"/>
        <w:gridCol w:w="2122"/>
        <w:gridCol w:w="1363"/>
        <w:gridCol w:w="955"/>
        <w:gridCol w:w="819"/>
        <w:gridCol w:w="2352"/>
        <w:gridCol w:w="9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1155"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货物名称</w:t>
            </w: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品种</w:t>
            </w:r>
          </w:p>
        </w:tc>
        <w:tc>
          <w:tcPr>
            <w:tcW w:w="520"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生产</w:t>
            </w:r>
            <w:r>
              <w:rPr>
                <w:rFonts w:hint="eastAsia" w:ascii="宋体" w:hAnsi="宋体" w:eastAsia="宋体" w:cs="宋体"/>
                <w:b/>
                <w:color w:val="auto"/>
                <w:sz w:val="24"/>
                <w:highlight w:val="none"/>
              </w:rPr>
              <w:t>商</w:t>
            </w: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 地</w:t>
            </w:r>
          </w:p>
        </w:tc>
        <w:tc>
          <w:tcPr>
            <w:tcW w:w="1280"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规格参数</w:t>
            </w:r>
          </w:p>
        </w:tc>
        <w:tc>
          <w:tcPr>
            <w:tcW w:w="523" w:type="pct"/>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vAlign w:val="center"/>
          </w:tcPr>
          <w:p>
            <w:pPr>
              <w:spacing w:line="440" w:lineRule="exact"/>
              <w:jc w:val="center"/>
              <w:rPr>
                <w:rFonts w:hint="eastAsia" w:ascii="宋体" w:hAnsi="宋体" w:eastAsia="宋体" w:cs="宋体"/>
                <w:color w:val="auto"/>
                <w:sz w:val="24"/>
                <w:highlight w:val="none"/>
              </w:rPr>
            </w:pPr>
          </w:p>
        </w:tc>
        <w:tc>
          <w:tcPr>
            <w:tcW w:w="1155" w:type="pct"/>
            <w:vAlign w:val="center"/>
          </w:tcPr>
          <w:p>
            <w:pPr>
              <w:spacing w:line="440" w:lineRule="exact"/>
              <w:jc w:val="center"/>
              <w:rPr>
                <w:rFonts w:hint="eastAsia" w:ascii="宋体" w:hAnsi="宋体" w:eastAsia="宋体" w:cs="宋体"/>
                <w:color w:val="auto"/>
                <w:sz w:val="24"/>
                <w:highlight w:val="none"/>
              </w:rPr>
            </w:pPr>
          </w:p>
        </w:tc>
        <w:tc>
          <w:tcPr>
            <w:tcW w:w="742"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520" w:type="pct"/>
            <w:vAlign w:val="center"/>
          </w:tcPr>
          <w:p>
            <w:pPr>
              <w:spacing w:line="440" w:lineRule="exact"/>
              <w:jc w:val="center"/>
              <w:rPr>
                <w:rFonts w:hint="eastAsia" w:ascii="宋体" w:hAnsi="宋体" w:eastAsia="宋体" w:cs="宋体"/>
                <w:color w:val="auto"/>
                <w:sz w:val="24"/>
                <w:highlight w:val="none"/>
                <w:u w:val="single"/>
              </w:rPr>
            </w:pPr>
          </w:p>
        </w:tc>
        <w:tc>
          <w:tcPr>
            <w:tcW w:w="446" w:type="pct"/>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p>
        </w:tc>
        <w:tc>
          <w:tcPr>
            <w:tcW w:w="1280" w:type="pct"/>
            <w:vAlign w:val="center"/>
          </w:tcPr>
          <w:p>
            <w:pPr>
              <w:spacing w:line="440" w:lineRule="exact"/>
              <w:jc w:val="center"/>
              <w:rPr>
                <w:rFonts w:hint="eastAsia" w:ascii="宋体" w:hAnsi="宋体" w:eastAsia="宋体" w:cs="宋体"/>
                <w:color w:val="auto"/>
                <w:sz w:val="24"/>
                <w:highlight w:val="none"/>
                <w:u w:val="single"/>
              </w:rPr>
            </w:pPr>
          </w:p>
        </w:tc>
        <w:tc>
          <w:tcPr>
            <w:tcW w:w="523" w:type="pct"/>
            <w:vAlign w:val="center"/>
          </w:tcPr>
          <w:p>
            <w:pPr>
              <w:spacing w:line="440" w:lineRule="exact"/>
              <w:jc w:val="center"/>
              <w:rPr>
                <w:rFonts w:hint="eastAsia" w:ascii="宋体" w:hAnsi="宋体" w:eastAsia="宋体" w:cs="宋体"/>
                <w:color w:val="auto"/>
                <w:sz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331"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155"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742" w:type="pct"/>
            <w:tcBorders>
              <w:top w:val="single" w:color="auto" w:sz="4" w:space="0"/>
            </w:tcBorders>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520"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446" w:type="pct"/>
            <w:tcBorders>
              <w:top w:val="single" w:color="auto" w:sz="4" w:space="0"/>
            </w:tcBorders>
            <w:tcMar>
              <w:top w:w="28" w:type="dxa"/>
              <w:left w:w="57" w:type="dxa"/>
              <w:bottom w:w="28" w:type="dxa"/>
              <w:right w:w="57" w:type="dxa"/>
            </w:tcMar>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1280"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p>
        </w:tc>
        <w:tc>
          <w:tcPr>
            <w:tcW w:w="523" w:type="pct"/>
            <w:tcBorders>
              <w:top w:val="single" w:color="auto" w:sz="4" w:space="0"/>
            </w:tcBorders>
            <w:vAlign w:val="center"/>
          </w:tcPr>
          <w:p>
            <w:pPr>
              <w:spacing w:line="440" w:lineRule="exact"/>
              <w:jc w:val="center"/>
              <w:rPr>
                <w:rFonts w:hint="eastAsia" w:ascii="宋体" w:hAnsi="宋体" w:eastAsia="宋体" w:cs="宋体"/>
                <w:color w:val="auto"/>
                <w:sz w:val="24"/>
                <w:highlight w:val="none"/>
                <w:u w:val="single"/>
              </w:rPr>
            </w:pPr>
          </w:p>
        </w:tc>
      </w:tr>
    </w:tbl>
    <w:p>
      <w:pPr>
        <w:spacing w:line="276" w:lineRule="auto"/>
        <w:ind w:firstLine="442" w:firstLineChars="200"/>
        <w:rPr>
          <w:rFonts w:hint="eastAsia" w:ascii="宋体" w:hAnsi="宋体" w:eastAsia="宋体" w:cs="宋体"/>
          <w:b/>
          <w:color w:val="auto"/>
          <w:sz w:val="22"/>
          <w:highlight w:val="none"/>
        </w:rPr>
      </w:pPr>
    </w:p>
    <w:p>
      <w:pPr>
        <w:spacing w:line="276" w:lineRule="auto"/>
        <w:ind w:firstLine="442" w:firstLineChars="200"/>
        <w:rPr>
          <w:rFonts w:hint="eastAsia" w:ascii="宋体" w:hAnsi="宋体" w:eastAsia="宋体" w:cs="宋体"/>
          <w:color w:val="auto"/>
          <w:sz w:val="22"/>
          <w:highlight w:val="none"/>
        </w:rPr>
      </w:pPr>
      <w:r>
        <w:rPr>
          <w:rFonts w:hint="eastAsia" w:ascii="宋体" w:hAnsi="宋体" w:eastAsia="宋体" w:cs="宋体"/>
          <w:b/>
          <w:color w:val="auto"/>
          <w:sz w:val="22"/>
          <w:highlight w:val="none"/>
        </w:rPr>
        <w:t>注：</w:t>
      </w:r>
      <w:r>
        <w:rPr>
          <w:rFonts w:hint="eastAsia" w:ascii="宋体" w:hAnsi="宋体" w:eastAsia="宋体" w:cs="宋体"/>
          <w:color w:val="auto"/>
          <w:sz w:val="22"/>
          <w:highlight w:val="none"/>
        </w:rPr>
        <w:t>1.本表货物清单为所投产品设备清单，供应商须如实填写；</w:t>
      </w:r>
    </w:p>
    <w:p>
      <w:pPr>
        <w:spacing w:line="276" w:lineRule="auto"/>
        <w:ind w:firstLine="883" w:firstLineChars="4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2.如果不提供</w:t>
      </w:r>
      <w:r>
        <w:rPr>
          <w:rFonts w:hint="eastAsia" w:ascii="宋体" w:hAnsi="宋体" w:eastAsia="宋体" w:cs="宋体"/>
          <w:b/>
          <w:color w:val="auto"/>
          <w:sz w:val="22"/>
          <w:highlight w:val="none"/>
          <w:lang w:eastAsia="zh-CN"/>
        </w:rPr>
        <w:t>本表</w:t>
      </w:r>
      <w:r>
        <w:rPr>
          <w:rFonts w:hint="eastAsia" w:ascii="宋体" w:hAnsi="宋体" w:eastAsia="宋体" w:cs="宋体"/>
          <w:b/>
          <w:color w:val="auto"/>
          <w:sz w:val="22"/>
          <w:highlight w:val="none"/>
        </w:rPr>
        <w:t>将视为未实质性响应谈判文件。</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（加盖公章）</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kern w:val="0"/>
          <w:sz w:val="24"/>
          <w:highlight w:val="none"/>
        </w:rPr>
        <w:t>法定代表人/授权代表签字</w:t>
      </w:r>
      <w:r>
        <w:rPr>
          <w:rFonts w:hint="eastAsia" w:ascii="宋体" w:hAnsi="宋体" w:eastAsia="宋体" w:cs="宋体"/>
          <w:color w:val="auto"/>
          <w:sz w:val="24"/>
          <w:highlight w:val="none"/>
        </w:rPr>
        <w:t>：</w:t>
      </w:r>
    </w:p>
    <w:p>
      <w:pPr>
        <w:spacing w:line="360" w:lineRule="auto"/>
        <w:ind w:firstLine="5280" w:firstLineChars="2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360" w:lineRule="auto"/>
        <w:jc w:val="right"/>
        <w:rPr>
          <w:rFonts w:hint="eastAsia" w:ascii="宋体" w:hAnsi="宋体" w:eastAsia="宋体" w:cs="宋体"/>
          <w:color w:val="auto"/>
          <w:kern w:val="0"/>
          <w:sz w:val="24"/>
          <w:highlight w:val="none"/>
        </w:rPr>
        <w:sectPr>
          <w:headerReference r:id="rId8" w:type="default"/>
          <w:type w:val="nextColumn"/>
          <w:pgSz w:w="11906" w:h="16838"/>
          <w:pgMar w:top="1797" w:right="1418" w:bottom="1797" w:left="1418" w:header="851" w:footer="992" w:gutter="0"/>
          <w:pgNumType w:fmt="decimal"/>
          <w:cols w:space="425" w:num="1"/>
          <w:docGrid w:linePitch="312" w:charSpace="0"/>
        </w:sectPr>
      </w:pPr>
    </w:p>
    <w:p>
      <w:pPr>
        <w:tabs>
          <w:tab w:val="left" w:pos="3544"/>
        </w:tabs>
        <w:spacing w:line="360" w:lineRule="atLeast"/>
        <w:jc w:val="left"/>
        <w:rPr>
          <w:rFonts w:hint="eastAsia" w:ascii="宋体" w:hAnsi="宋体" w:eastAsia="宋体" w:cs="宋体"/>
          <w:b/>
          <w:bCs/>
          <w:color w:val="auto"/>
          <w:sz w:val="28"/>
          <w:szCs w:val="32"/>
          <w:highlight w:val="none"/>
        </w:rPr>
      </w:pPr>
      <w:r>
        <w:rPr>
          <w:rFonts w:hint="eastAsia" w:ascii="宋体" w:hAnsi="宋体" w:eastAsia="宋体" w:cs="宋体"/>
          <w:b/>
          <w:color w:val="auto"/>
          <w:sz w:val="28"/>
          <w:szCs w:val="32"/>
          <w:highlight w:val="none"/>
        </w:rPr>
        <w:t>5.</w:t>
      </w:r>
      <w:r>
        <w:rPr>
          <w:rFonts w:hint="eastAsia" w:ascii="宋体" w:hAnsi="宋体" w:eastAsia="宋体" w:cs="宋体"/>
          <w:b/>
          <w:bCs/>
          <w:color w:val="auto"/>
          <w:sz w:val="28"/>
          <w:szCs w:val="32"/>
          <w:highlight w:val="none"/>
        </w:rPr>
        <w:t>响应偏离表</w:t>
      </w:r>
    </w:p>
    <w:p>
      <w:pPr>
        <w:spacing w:before="120" w:beforeLines="50" w:after="120" w:afterLines="50"/>
        <w:jc w:val="left"/>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5.1 技术响应偏离表</w:t>
      </w:r>
    </w:p>
    <w:p>
      <w:pPr>
        <w:spacing w:before="120" w:beforeLines="50" w:after="120" w:afterLines="5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技术响应偏离表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83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68"/>
        <w:gridCol w:w="2479"/>
        <w:gridCol w:w="2479"/>
        <w:gridCol w:w="1240"/>
        <w:gridCol w:w="12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采购文件需求</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响应文件情况</w:t>
            </w:r>
          </w:p>
        </w:tc>
        <w:tc>
          <w:tcPr>
            <w:tcW w:w="1240"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偏离度</w:t>
            </w:r>
          </w:p>
        </w:tc>
        <w:tc>
          <w:tcPr>
            <w:tcW w:w="1226"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rPr>
          <w:rFonts w:hint="eastAsia" w:ascii="宋体" w:hAnsi="宋体" w:eastAsia="宋体" w:cs="宋体"/>
          <w:b/>
          <w:color w:val="auto"/>
          <w:szCs w:val="21"/>
          <w:highlight w:val="none"/>
        </w:rPr>
      </w:pPr>
    </w:p>
    <w:p>
      <w:pPr>
        <w:rPr>
          <w:rFonts w:hint="eastAsia" w:ascii="宋体" w:hAnsi="宋体" w:eastAsia="宋体" w:cs="宋体"/>
          <w:color w:val="auto"/>
          <w:sz w:val="22"/>
          <w:szCs w:val="21"/>
          <w:highlight w:val="none"/>
        </w:rPr>
      </w:pPr>
      <w:r>
        <w:rPr>
          <w:rFonts w:hint="eastAsia" w:ascii="宋体" w:hAnsi="宋体" w:eastAsia="宋体" w:cs="宋体"/>
          <w:b/>
          <w:color w:val="auto"/>
          <w:sz w:val="22"/>
          <w:szCs w:val="21"/>
          <w:highlight w:val="none"/>
        </w:rPr>
        <w:t>注：</w:t>
      </w:r>
      <w:r>
        <w:rPr>
          <w:rFonts w:hint="eastAsia" w:ascii="宋体" w:hAnsi="宋体" w:eastAsia="宋体" w:cs="宋体"/>
          <w:color w:val="auto"/>
          <w:sz w:val="22"/>
          <w:szCs w:val="21"/>
          <w:highlight w:val="none"/>
        </w:rPr>
        <w:t>1.采购文件需求：指在采购文件中第三部分 技术要求；</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2.响应文件情况：指在响应文件中对采购文件第三部分 技术要求的响应内容；</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3.偏离度：根据响应情况如实填写“无偏离/负偏离/优于”（</w:t>
      </w:r>
      <w:r>
        <w:rPr>
          <w:rFonts w:hint="eastAsia" w:ascii="宋体" w:hAnsi="宋体" w:eastAsia="宋体" w:cs="宋体"/>
          <w:b/>
          <w:color w:val="auto"/>
          <w:sz w:val="22"/>
          <w:szCs w:val="21"/>
          <w:highlight w:val="none"/>
          <w:u w:val="single"/>
        </w:rPr>
        <w:t>优于的后附证明材料，并在说明栏中注明证明材料所在的具体页码，否则视为虚假响应;无偏离</w:t>
      </w:r>
      <w:r>
        <w:rPr>
          <w:rFonts w:hint="eastAsia" w:ascii="宋体" w:hAnsi="宋体" w:eastAsia="宋体" w:cs="宋体"/>
          <w:b/>
          <w:color w:val="auto"/>
          <w:sz w:val="22"/>
          <w:szCs w:val="21"/>
          <w:highlight w:val="none"/>
          <w:u w:val="single"/>
          <w:lang w:eastAsia="zh-CN"/>
        </w:rPr>
        <w:t>的</w:t>
      </w:r>
      <w:r>
        <w:rPr>
          <w:rFonts w:hint="eastAsia" w:ascii="宋体" w:hAnsi="宋体" w:eastAsia="宋体" w:cs="宋体"/>
          <w:b/>
          <w:color w:val="auto"/>
          <w:sz w:val="22"/>
          <w:szCs w:val="21"/>
          <w:highlight w:val="none"/>
          <w:u w:val="single"/>
        </w:rPr>
        <w:t>说明栏填“无”或者不填写</w:t>
      </w:r>
      <w:r>
        <w:rPr>
          <w:rFonts w:hint="eastAsia" w:ascii="宋体" w:hAnsi="宋体" w:eastAsia="宋体" w:cs="宋体"/>
          <w:b/>
          <w:color w:val="auto"/>
          <w:sz w:val="22"/>
          <w:szCs w:val="21"/>
          <w:highlight w:val="none"/>
          <w:u w:val="single"/>
          <w:lang w:eastAsia="zh-CN"/>
        </w:rPr>
        <w:t>，出现</w:t>
      </w:r>
      <w:r>
        <w:rPr>
          <w:rFonts w:hint="eastAsia" w:ascii="宋体" w:hAnsi="宋体" w:eastAsia="宋体" w:cs="宋体"/>
          <w:b/>
          <w:color w:val="auto"/>
          <w:sz w:val="22"/>
          <w:szCs w:val="21"/>
          <w:highlight w:val="none"/>
          <w:u w:val="single"/>
        </w:rPr>
        <w:t>负偏离的</w:t>
      </w:r>
      <w:r>
        <w:rPr>
          <w:rFonts w:hint="eastAsia" w:ascii="宋体" w:hAnsi="宋体" w:eastAsia="宋体" w:cs="宋体"/>
          <w:b/>
          <w:color w:val="auto"/>
          <w:sz w:val="22"/>
          <w:szCs w:val="21"/>
          <w:highlight w:val="none"/>
          <w:u w:val="single"/>
          <w:lang w:eastAsia="zh-CN"/>
        </w:rPr>
        <w:t>按无效文件处理</w:t>
      </w:r>
      <w:r>
        <w:rPr>
          <w:rFonts w:hint="eastAsia" w:ascii="宋体" w:hAnsi="宋体" w:eastAsia="宋体" w:cs="宋体"/>
          <w:color w:val="auto"/>
          <w:sz w:val="22"/>
          <w:szCs w:val="21"/>
          <w:highlight w:val="none"/>
        </w:rPr>
        <w:t>）。</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r>
        <w:rPr>
          <w:rFonts w:hint="eastAsia" w:ascii="宋体" w:hAnsi="宋体" w:eastAsia="宋体" w:cs="宋体"/>
          <w:color w:val="auto"/>
          <w:sz w:val="22"/>
          <w:szCs w:val="21"/>
          <w:highlight w:val="none"/>
          <w:lang w:eastAsia="zh-CN"/>
        </w:rPr>
        <w:t>全部响应采购文件技术</w:t>
      </w:r>
      <w:r>
        <w:rPr>
          <w:rFonts w:hint="eastAsia" w:ascii="宋体" w:hAnsi="宋体" w:eastAsia="宋体" w:cs="宋体"/>
          <w:color w:val="auto"/>
          <w:sz w:val="22"/>
          <w:szCs w:val="21"/>
          <w:highlight w:val="none"/>
        </w:rPr>
        <w:t>要求</w:t>
      </w:r>
      <w:r>
        <w:rPr>
          <w:rFonts w:hint="eastAsia" w:ascii="宋体" w:hAnsi="宋体" w:eastAsia="宋体" w:cs="宋体"/>
          <w:color w:val="auto"/>
          <w:sz w:val="22"/>
          <w:szCs w:val="21"/>
          <w:highlight w:val="none"/>
          <w:lang w:eastAsia="zh-CN"/>
        </w:rPr>
        <w:t>本表可不填写只需签署盖章</w:t>
      </w:r>
      <w:r>
        <w:rPr>
          <w:rFonts w:hint="eastAsia" w:ascii="宋体" w:hAnsi="宋体" w:eastAsia="宋体" w:cs="宋体"/>
          <w:color w:val="auto"/>
          <w:sz w:val="22"/>
          <w:szCs w:val="21"/>
          <w:highlight w:val="none"/>
        </w:rPr>
        <w:t>。</w:t>
      </w:r>
    </w:p>
    <w:p>
      <w:pPr>
        <w:ind w:firstLine="360" w:firstLineChars="200"/>
        <w:rPr>
          <w:rFonts w:hint="eastAsia" w:ascii="宋体" w:hAnsi="宋体" w:eastAsia="宋体" w:cs="宋体"/>
          <w:color w:val="auto"/>
          <w:szCs w:val="21"/>
          <w:highlight w:val="none"/>
        </w:rPr>
      </w:pPr>
    </w:p>
    <w:p>
      <w:pPr>
        <w:pStyle w:val="21"/>
        <w:tabs>
          <w:tab w:val="left" w:pos="3544"/>
        </w:tabs>
        <w:ind w:firstLine="4320" w:firstLineChars="1800"/>
        <w:rPr>
          <w:rFonts w:hint="eastAsia" w:ascii="宋体" w:hAnsi="宋体" w:eastAsia="宋体" w:cs="宋体"/>
          <w:color w:val="auto"/>
          <w:sz w:val="24"/>
          <w:szCs w:val="24"/>
          <w:highlight w:val="none"/>
        </w:rPr>
      </w:pP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（加盖公章）</w:t>
      </w:r>
    </w:p>
    <w:p>
      <w:pPr>
        <w:pStyle w:val="21"/>
        <w:tabs>
          <w:tab w:val="left" w:pos="3544"/>
        </w:tabs>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w:t>
      </w: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wordWrap w:val="0"/>
        <w:topLinePunct/>
        <w:snapToGrid w:val="0"/>
        <w:spacing w:line="360" w:lineRule="auto"/>
        <w:ind w:firstLine="482" w:firstLineChars="200"/>
        <w:contextualSpacing/>
        <w:jc w:val="left"/>
        <w:rPr>
          <w:rFonts w:hint="eastAsia" w:ascii="宋体" w:hAnsi="宋体" w:eastAsia="宋体" w:cs="宋体"/>
          <w:b/>
          <w:bCs/>
          <w:color w:val="auto"/>
          <w:sz w:val="24"/>
          <w:highlight w:val="none"/>
        </w:rPr>
        <w:sectPr>
          <w:type w:val="nextColumn"/>
          <w:pgSz w:w="11906" w:h="16838"/>
          <w:pgMar w:top="1440" w:right="1797" w:bottom="1440" w:left="1797" w:header="851" w:footer="992" w:gutter="0"/>
          <w:pgNumType w:fmt="decimal"/>
          <w:cols w:space="425" w:num="1"/>
          <w:docGrid w:linePitch="312" w:charSpace="0"/>
        </w:sectPr>
      </w:pPr>
    </w:p>
    <w:p>
      <w:pPr>
        <w:spacing w:before="120" w:beforeLines="50" w:after="120" w:afterLines="50"/>
        <w:jc w:val="left"/>
        <w:rPr>
          <w:rFonts w:hint="eastAsia" w:ascii="宋体" w:hAnsi="宋体" w:eastAsia="宋体" w:cs="宋体"/>
          <w:b/>
          <w:bCs/>
          <w:color w:val="auto"/>
          <w:sz w:val="24"/>
          <w:szCs w:val="36"/>
          <w:highlight w:val="none"/>
        </w:rPr>
      </w:pPr>
      <w:r>
        <w:rPr>
          <w:rFonts w:hint="eastAsia" w:ascii="宋体" w:hAnsi="宋体" w:eastAsia="宋体" w:cs="宋体"/>
          <w:b/>
          <w:bCs/>
          <w:color w:val="auto"/>
          <w:sz w:val="24"/>
          <w:szCs w:val="36"/>
          <w:highlight w:val="none"/>
        </w:rPr>
        <w:t xml:space="preserve">5.2 </w:t>
      </w:r>
      <w:r>
        <w:rPr>
          <w:rFonts w:hint="eastAsia" w:ascii="宋体" w:hAnsi="宋体" w:eastAsia="宋体" w:cs="宋体"/>
          <w:b/>
          <w:bCs/>
          <w:color w:val="auto"/>
          <w:sz w:val="24"/>
          <w:szCs w:val="36"/>
          <w:highlight w:val="none"/>
          <w:lang w:eastAsia="zh-CN"/>
        </w:rPr>
        <w:t>合同及</w:t>
      </w:r>
      <w:r>
        <w:rPr>
          <w:rFonts w:hint="eastAsia" w:ascii="宋体" w:hAnsi="宋体" w:eastAsia="宋体" w:cs="宋体"/>
          <w:b/>
          <w:bCs/>
          <w:color w:val="auto"/>
          <w:sz w:val="24"/>
          <w:szCs w:val="36"/>
          <w:highlight w:val="none"/>
        </w:rPr>
        <w:t>商务</w:t>
      </w:r>
      <w:r>
        <w:rPr>
          <w:rFonts w:hint="eastAsia" w:ascii="宋体" w:hAnsi="宋体" w:eastAsia="宋体" w:cs="宋体"/>
          <w:b/>
          <w:bCs/>
          <w:color w:val="auto"/>
          <w:sz w:val="24"/>
          <w:szCs w:val="36"/>
          <w:highlight w:val="none"/>
          <w:lang w:eastAsia="zh-CN"/>
        </w:rPr>
        <w:t>要求</w:t>
      </w:r>
      <w:r>
        <w:rPr>
          <w:rFonts w:hint="eastAsia" w:ascii="宋体" w:hAnsi="宋体" w:eastAsia="宋体" w:cs="宋体"/>
          <w:b/>
          <w:bCs/>
          <w:color w:val="auto"/>
          <w:sz w:val="24"/>
          <w:szCs w:val="36"/>
          <w:highlight w:val="none"/>
        </w:rPr>
        <w:t>响应偏离表</w:t>
      </w:r>
    </w:p>
    <w:p>
      <w:pPr>
        <w:rPr>
          <w:rFonts w:hint="eastAsia" w:ascii="宋体" w:hAnsi="宋体" w:eastAsia="宋体" w:cs="宋体"/>
          <w:color w:val="auto"/>
          <w:highlight w:val="none"/>
        </w:rPr>
      </w:pPr>
    </w:p>
    <w:p>
      <w:pPr>
        <w:spacing w:before="120" w:beforeLines="50" w:after="120" w:afterLines="5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合同及</w:t>
      </w:r>
      <w:r>
        <w:rPr>
          <w:rFonts w:hint="eastAsia" w:ascii="宋体" w:hAnsi="宋体" w:eastAsia="宋体" w:cs="宋体"/>
          <w:b/>
          <w:bCs/>
          <w:color w:val="auto"/>
          <w:sz w:val="36"/>
          <w:szCs w:val="36"/>
          <w:highlight w:val="none"/>
        </w:rPr>
        <w:t>商务</w:t>
      </w:r>
      <w:r>
        <w:rPr>
          <w:rFonts w:hint="eastAsia" w:ascii="宋体" w:hAnsi="宋体" w:eastAsia="宋体" w:cs="宋体"/>
          <w:b/>
          <w:bCs/>
          <w:color w:val="auto"/>
          <w:sz w:val="36"/>
          <w:szCs w:val="36"/>
          <w:highlight w:val="none"/>
          <w:lang w:eastAsia="zh-CN"/>
        </w:rPr>
        <w:t>要求</w:t>
      </w:r>
      <w:r>
        <w:rPr>
          <w:rFonts w:hint="eastAsia" w:ascii="宋体" w:hAnsi="宋体" w:eastAsia="宋体" w:cs="宋体"/>
          <w:b/>
          <w:bCs/>
          <w:color w:val="auto"/>
          <w:sz w:val="36"/>
          <w:szCs w:val="36"/>
          <w:highlight w:val="none"/>
        </w:rPr>
        <w:t>响应偏离表</w:t>
      </w:r>
    </w:p>
    <w:p>
      <w:pPr>
        <w:pStyle w:val="17"/>
        <w:spacing w:line="24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项目编号：</w:t>
      </w:r>
    </w:p>
    <w:p>
      <w:pPr>
        <w:tabs>
          <w:tab w:val="left" w:pos="3544"/>
        </w:tabs>
        <w:spacing w:after="120" w:afterLines="5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p>
    <w:tbl>
      <w:tblPr>
        <w:tblStyle w:val="39"/>
        <w:tblW w:w="83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68"/>
        <w:gridCol w:w="2479"/>
        <w:gridCol w:w="2479"/>
        <w:gridCol w:w="1240"/>
        <w:gridCol w:w="122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采购文件需求</w:t>
            </w:r>
          </w:p>
        </w:tc>
        <w:tc>
          <w:tcPr>
            <w:tcW w:w="2479"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响应文件情况</w:t>
            </w:r>
          </w:p>
        </w:tc>
        <w:tc>
          <w:tcPr>
            <w:tcW w:w="1240"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偏离度</w:t>
            </w:r>
          </w:p>
        </w:tc>
        <w:tc>
          <w:tcPr>
            <w:tcW w:w="1226" w:type="dxa"/>
            <w:tcMar>
              <w:top w:w="57" w:type="dxa"/>
              <w:left w:w="57" w:type="dxa"/>
              <w:bottom w:w="57" w:type="dxa"/>
              <w:right w:w="57" w:type="dxa"/>
            </w:tcMar>
            <w:vAlign w:val="center"/>
          </w:tcPr>
          <w:p>
            <w:pPr>
              <w:adjustRightInd w:val="0"/>
              <w:snapToGrid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57" w:type="dxa"/>
            <w:bottom w:w="28" w:type="dxa"/>
            <w:right w:w="57" w:type="dxa"/>
          </w:tblCellMar>
        </w:tblPrEx>
        <w:trPr>
          <w:trHeight w:val="20" w:hRule="atLeast"/>
          <w:jc w:val="center"/>
        </w:trPr>
        <w:tc>
          <w:tcPr>
            <w:tcW w:w="968"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479"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40"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26" w:type="dxa"/>
            <w:tcMar>
              <w:top w:w="57" w:type="dxa"/>
              <w:left w:w="57" w:type="dxa"/>
              <w:bottom w:w="57" w:type="dxa"/>
              <w:right w:w="57" w:type="dxa"/>
            </w:tcMar>
            <w:vAlign w:val="center"/>
          </w:tcPr>
          <w:p>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rPr>
          <w:rFonts w:hint="eastAsia" w:ascii="宋体" w:hAnsi="宋体" w:eastAsia="宋体" w:cs="宋体"/>
          <w:b/>
          <w:color w:val="auto"/>
          <w:szCs w:val="21"/>
          <w:highlight w:val="none"/>
        </w:rPr>
      </w:pPr>
    </w:p>
    <w:p>
      <w:pPr>
        <w:rPr>
          <w:rFonts w:hint="eastAsia" w:ascii="宋体" w:hAnsi="宋体" w:eastAsia="宋体" w:cs="宋体"/>
          <w:color w:val="auto"/>
          <w:sz w:val="22"/>
          <w:szCs w:val="21"/>
          <w:highlight w:val="none"/>
        </w:rPr>
      </w:pPr>
      <w:r>
        <w:rPr>
          <w:rFonts w:hint="eastAsia" w:ascii="宋体" w:hAnsi="宋体" w:eastAsia="宋体" w:cs="宋体"/>
          <w:b/>
          <w:color w:val="auto"/>
          <w:sz w:val="22"/>
          <w:szCs w:val="21"/>
          <w:highlight w:val="none"/>
        </w:rPr>
        <w:t>注：</w:t>
      </w:r>
      <w:r>
        <w:rPr>
          <w:rFonts w:hint="eastAsia" w:ascii="宋体" w:hAnsi="宋体" w:eastAsia="宋体" w:cs="宋体"/>
          <w:color w:val="auto"/>
          <w:sz w:val="22"/>
          <w:szCs w:val="21"/>
          <w:highlight w:val="none"/>
        </w:rPr>
        <w:t>1.采购文件需求：指在采购文件中第三部分 商务要求；</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2.响应文件情况：指在响应文件中对采购文件第三部分 商务要求的响应内容；</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3.偏离度：根据响应情况如实填写“无偏离/负偏离/优于”（</w:t>
      </w:r>
      <w:r>
        <w:rPr>
          <w:rFonts w:hint="eastAsia" w:ascii="宋体" w:hAnsi="宋体" w:eastAsia="宋体" w:cs="宋体"/>
          <w:b/>
          <w:color w:val="auto"/>
          <w:sz w:val="22"/>
          <w:szCs w:val="21"/>
          <w:highlight w:val="none"/>
          <w:u w:val="single"/>
        </w:rPr>
        <w:t>优于的后附证明材料，并在说明栏中注明证明材料所在的具体页码，否则视为</w:t>
      </w:r>
      <w:r>
        <w:rPr>
          <w:rFonts w:hint="eastAsia" w:ascii="宋体" w:hAnsi="宋体" w:eastAsia="宋体" w:cs="宋体"/>
          <w:b/>
          <w:color w:val="auto"/>
          <w:sz w:val="22"/>
          <w:szCs w:val="21"/>
          <w:highlight w:val="none"/>
          <w:u w:val="single"/>
          <w:lang w:eastAsia="zh-CN"/>
        </w:rPr>
        <w:t>“无偏离”</w:t>
      </w:r>
      <w:r>
        <w:rPr>
          <w:rFonts w:hint="eastAsia" w:ascii="宋体" w:hAnsi="宋体" w:eastAsia="宋体" w:cs="宋体"/>
          <w:b/>
          <w:color w:val="auto"/>
          <w:sz w:val="22"/>
          <w:szCs w:val="21"/>
          <w:highlight w:val="none"/>
          <w:u w:val="single"/>
        </w:rPr>
        <w:t>;无偏离</w:t>
      </w:r>
      <w:r>
        <w:rPr>
          <w:rFonts w:hint="eastAsia" w:ascii="宋体" w:hAnsi="宋体" w:eastAsia="宋体" w:cs="宋体"/>
          <w:b/>
          <w:color w:val="auto"/>
          <w:sz w:val="22"/>
          <w:szCs w:val="21"/>
          <w:highlight w:val="none"/>
          <w:u w:val="single"/>
          <w:lang w:eastAsia="zh-CN"/>
        </w:rPr>
        <w:t>的</w:t>
      </w:r>
      <w:r>
        <w:rPr>
          <w:rFonts w:hint="eastAsia" w:ascii="宋体" w:hAnsi="宋体" w:eastAsia="宋体" w:cs="宋体"/>
          <w:b/>
          <w:color w:val="auto"/>
          <w:sz w:val="22"/>
          <w:szCs w:val="21"/>
          <w:highlight w:val="none"/>
          <w:u w:val="single"/>
        </w:rPr>
        <w:t>说明栏填“无”或者不填写</w:t>
      </w:r>
      <w:r>
        <w:rPr>
          <w:rFonts w:hint="eastAsia" w:ascii="宋体" w:hAnsi="宋体" w:eastAsia="宋体" w:cs="宋体"/>
          <w:b/>
          <w:color w:val="auto"/>
          <w:sz w:val="22"/>
          <w:szCs w:val="21"/>
          <w:highlight w:val="none"/>
          <w:u w:val="single"/>
          <w:lang w:eastAsia="zh-CN"/>
        </w:rPr>
        <w:t>，出现</w:t>
      </w:r>
      <w:r>
        <w:rPr>
          <w:rFonts w:hint="eastAsia" w:ascii="宋体" w:hAnsi="宋体" w:eastAsia="宋体" w:cs="宋体"/>
          <w:b/>
          <w:color w:val="auto"/>
          <w:sz w:val="22"/>
          <w:szCs w:val="21"/>
          <w:highlight w:val="none"/>
          <w:u w:val="single"/>
        </w:rPr>
        <w:t>负偏离</w:t>
      </w:r>
      <w:r>
        <w:rPr>
          <w:rFonts w:hint="eastAsia" w:ascii="宋体" w:hAnsi="宋体" w:eastAsia="宋体" w:cs="宋体"/>
          <w:b/>
          <w:color w:val="auto"/>
          <w:sz w:val="22"/>
          <w:szCs w:val="21"/>
          <w:highlight w:val="none"/>
          <w:u w:val="single"/>
          <w:lang w:eastAsia="zh-CN"/>
        </w:rPr>
        <w:t>按无效文件处理</w:t>
      </w:r>
      <w:r>
        <w:rPr>
          <w:rFonts w:hint="eastAsia" w:ascii="宋体" w:hAnsi="宋体" w:eastAsia="宋体" w:cs="宋体"/>
          <w:color w:val="auto"/>
          <w:sz w:val="22"/>
          <w:szCs w:val="21"/>
          <w:highlight w:val="none"/>
        </w:rPr>
        <w:t>）。</w:t>
      </w:r>
    </w:p>
    <w:p>
      <w:pPr>
        <w:ind w:firstLine="440" w:firstLineChars="20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r>
        <w:rPr>
          <w:rFonts w:hint="eastAsia" w:ascii="宋体" w:hAnsi="宋体" w:eastAsia="宋体" w:cs="宋体"/>
          <w:color w:val="auto"/>
          <w:sz w:val="22"/>
          <w:szCs w:val="21"/>
          <w:highlight w:val="none"/>
          <w:lang w:eastAsia="zh-CN"/>
        </w:rPr>
        <w:t>全部响应采购文件商务</w:t>
      </w:r>
      <w:r>
        <w:rPr>
          <w:rFonts w:hint="eastAsia" w:ascii="宋体" w:hAnsi="宋体" w:eastAsia="宋体" w:cs="宋体"/>
          <w:color w:val="auto"/>
          <w:sz w:val="22"/>
          <w:szCs w:val="21"/>
          <w:highlight w:val="none"/>
        </w:rPr>
        <w:t>要求</w:t>
      </w:r>
      <w:r>
        <w:rPr>
          <w:rFonts w:hint="eastAsia" w:ascii="宋体" w:hAnsi="宋体" w:eastAsia="宋体" w:cs="宋体"/>
          <w:color w:val="auto"/>
          <w:sz w:val="22"/>
          <w:szCs w:val="21"/>
          <w:highlight w:val="none"/>
          <w:lang w:eastAsia="zh-CN"/>
        </w:rPr>
        <w:t>本表可不填写只需签署盖章</w:t>
      </w:r>
      <w:r>
        <w:rPr>
          <w:rFonts w:hint="eastAsia" w:ascii="宋体" w:hAnsi="宋体" w:eastAsia="宋体" w:cs="宋体"/>
          <w:color w:val="auto"/>
          <w:sz w:val="22"/>
          <w:szCs w:val="21"/>
          <w:highlight w:val="none"/>
        </w:rPr>
        <w:t>。</w:t>
      </w:r>
    </w:p>
    <w:p>
      <w:pPr>
        <w:pStyle w:val="21"/>
        <w:tabs>
          <w:tab w:val="left" w:pos="3544"/>
        </w:tabs>
        <w:rPr>
          <w:rFonts w:hint="eastAsia" w:ascii="宋体" w:hAnsi="宋体" w:eastAsia="宋体" w:cs="宋体"/>
          <w:color w:val="auto"/>
          <w:sz w:val="24"/>
          <w:szCs w:val="24"/>
          <w:highlight w:val="none"/>
        </w:rPr>
      </w:pPr>
    </w:p>
    <w:p>
      <w:pPr>
        <w:pStyle w:val="21"/>
        <w:tabs>
          <w:tab w:val="left" w:pos="3544"/>
        </w:tabs>
        <w:rPr>
          <w:rFonts w:hint="eastAsia" w:ascii="宋体" w:hAnsi="宋体" w:eastAsia="宋体" w:cs="宋体"/>
          <w:color w:val="auto"/>
          <w:sz w:val="24"/>
          <w:szCs w:val="24"/>
          <w:highlight w:val="none"/>
        </w:rPr>
      </w:pP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（加盖公章）</w:t>
      </w:r>
    </w:p>
    <w:p>
      <w:pPr>
        <w:pStyle w:val="21"/>
        <w:tabs>
          <w:tab w:val="left" w:pos="3544"/>
        </w:tabs>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法定代表人/授权代表签字：</w:t>
      </w:r>
    </w:p>
    <w:p>
      <w:pPr>
        <w:pStyle w:val="21"/>
        <w:tabs>
          <w:tab w:val="left" w:pos="3544"/>
        </w:tabs>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tabs>
          <w:tab w:val="left" w:pos="3544"/>
        </w:tabs>
        <w:spacing w:line="360" w:lineRule="atLeast"/>
        <w:rPr>
          <w:rFonts w:hint="eastAsia" w:ascii="宋体" w:hAnsi="宋体" w:eastAsia="宋体" w:cs="宋体"/>
          <w:b/>
          <w:color w:val="auto"/>
          <w:sz w:val="28"/>
          <w:szCs w:val="32"/>
          <w:highlight w:val="none"/>
        </w:rPr>
        <w:sectPr>
          <w:type w:val="nextColumn"/>
          <w:pgSz w:w="11906" w:h="16838"/>
          <w:pgMar w:top="1418" w:right="1797" w:bottom="1418" w:left="1797" w:header="851" w:footer="992" w:gutter="0"/>
          <w:pgNumType w:fmt="decimal"/>
          <w:cols w:space="720" w:num="1"/>
          <w:docGrid w:linePitch="312" w:charSpace="0"/>
        </w:sectPr>
      </w:pPr>
    </w:p>
    <w:p>
      <w:pPr>
        <w:tabs>
          <w:tab w:val="left" w:pos="3544"/>
        </w:tabs>
        <w:spacing w:line="360" w:lineRule="atLeast"/>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6.技术证明及方案说明</w:t>
      </w:r>
    </w:p>
    <w:p>
      <w:pPr>
        <w:pStyle w:val="21"/>
        <w:wordWrap w:val="0"/>
        <w:topLinePunct/>
        <w:snapToGrid w:val="0"/>
        <w:spacing w:line="5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由供应商根据采购内容自主编写；</w:t>
      </w:r>
    </w:p>
    <w:p>
      <w:pPr>
        <w:pStyle w:val="21"/>
        <w:tabs>
          <w:tab w:val="left" w:pos="3544"/>
        </w:tabs>
        <w:spacing w:line="500" w:lineRule="exact"/>
        <w:rPr>
          <w:rFonts w:hint="eastAsia" w:ascii="宋体" w:hAnsi="宋体" w:eastAsia="宋体" w:cs="宋体"/>
          <w:b/>
          <w:bCs/>
          <w:color w:val="auto"/>
          <w:sz w:val="32"/>
          <w:szCs w:val="30"/>
          <w:highlight w:val="none"/>
        </w:rPr>
      </w:pPr>
    </w:p>
    <w:p>
      <w:pPr>
        <w:pStyle w:val="21"/>
        <w:tabs>
          <w:tab w:val="left" w:pos="3544"/>
        </w:tabs>
        <w:spacing w:line="500" w:lineRule="exact"/>
        <w:rPr>
          <w:rFonts w:hint="eastAsia" w:ascii="宋体" w:hAnsi="宋体" w:eastAsia="宋体" w:cs="宋体"/>
          <w:b/>
          <w:bCs/>
          <w:color w:val="auto"/>
          <w:sz w:val="32"/>
          <w:szCs w:val="30"/>
          <w:highlight w:val="none"/>
        </w:rPr>
      </w:pPr>
    </w:p>
    <w:p>
      <w:pPr>
        <w:wordWrap w:val="0"/>
        <w:topLinePunct/>
        <w:snapToGrid w:val="0"/>
        <w:spacing w:line="360" w:lineRule="auto"/>
        <w:jc w:val="left"/>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7.履约能力及售后服务</w:t>
      </w:r>
    </w:p>
    <w:p>
      <w:pPr>
        <w:wordWrap w:val="0"/>
        <w:topLinePunct/>
        <w:snapToGrid w:val="0"/>
        <w:spacing w:line="360" w:lineRule="auto"/>
        <w:ind w:firstLine="495"/>
        <w:jc w:val="left"/>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供应商根据采购内容，结合自身情况自主编写，提供相关资料/证明文件，评标时作为评审依据：</w:t>
      </w:r>
    </w:p>
    <w:p>
      <w:pPr>
        <w:wordWrap w:val="0"/>
        <w:topLinePun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可</w:t>
      </w:r>
      <w:r>
        <w:rPr>
          <w:rFonts w:hint="eastAsia" w:ascii="宋体" w:hAnsi="宋体" w:eastAsia="宋体" w:cs="宋体"/>
          <w:color w:val="auto"/>
          <w:sz w:val="22"/>
          <w:highlight w:val="none"/>
          <w:lang w:eastAsia="zh-CN"/>
        </w:rPr>
        <w:t>参考</w:t>
      </w:r>
      <w:r>
        <w:rPr>
          <w:rFonts w:hint="eastAsia" w:ascii="宋体" w:hAnsi="宋体" w:eastAsia="宋体" w:cs="宋体"/>
          <w:color w:val="auto"/>
          <w:sz w:val="22"/>
          <w:highlight w:val="none"/>
        </w:rPr>
        <w:t>提供如下列内容等</w:t>
      </w: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t>7.1企业实力证明材料</w:t>
      </w:r>
    </w:p>
    <w:p>
      <w:pPr>
        <w:pStyle w:val="21"/>
        <w:topLinePunct/>
        <w:snapToGrid w:val="0"/>
        <w:spacing w:line="360" w:lineRule="auto"/>
        <w:ind w:left="-103" w:leftChars="-57" w:firstLine="770" w:firstLineChars="35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供应商根据自身情况与采购需求，提供相应证明材料</w:t>
      </w:r>
    </w:p>
    <w:p>
      <w:pPr>
        <w:spacing w:line="360" w:lineRule="auto"/>
        <w:rPr>
          <w:rFonts w:hint="eastAsia" w:ascii="宋体" w:hAnsi="宋体" w:eastAsia="宋体" w:cs="宋体"/>
          <w:color w:val="auto"/>
          <w:highlight w:val="none"/>
        </w:rPr>
      </w:pP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 质量保证承诺及方案</w:t>
      </w:r>
    </w:p>
    <w:p>
      <w:pPr>
        <w:pStyle w:val="21"/>
        <w:topLinePunct/>
        <w:snapToGrid w:val="0"/>
        <w:spacing w:line="360" w:lineRule="auto"/>
        <w:ind w:left="-103" w:leftChars="-57" w:firstLine="770" w:firstLineChars="35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供应商根据采购内容自主提供</w:t>
      </w:r>
    </w:p>
    <w:p>
      <w:pPr>
        <w:spacing w:line="360" w:lineRule="auto"/>
        <w:rPr>
          <w:rFonts w:hint="eastAsia" w:ascii="宋体" w:hAnsi="宋体" w:eastAsia="宋体" w:cs="宋体"/>
          <w:color w:val="auto"/>
          <w:highlight w:val="none"/>
        </w:rPr>
      </w:pP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7.3售后服务承诺及方案</w:t>
      </w:r>
    </w:p>
    <w:p>
      <w:pPr>
        <w:pStyle w:val="21"/>
        <w:topLinePunct/>
        <w:snapToGrid w:val="0"/>
        <w:spacing w:line="360" w:lineRule="auto"/>
        <w:ind w:left="-103" w:leftChars="-57" w:firstLine="770" w:firstLineChars="35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供应商根据采购内容自主提供</w:t>
      </w:r>
    </w:p>
    <w:p>
      <w:pPr>
        <w:spacing w:line="360" w:lineRule="auto"/>
        <w:rPr>
          <w:rFonts w:hint="eastAsia" w:ascii="宋体" w:hAnsi="宋体" w:eastAsia="宋体" w:cs="宋体"/>
          <w:color w:val="auto"/>
          <w:highlight w:val="none"/>
        </w:rPr>
      </w:pPr>
    </w:p>
    <w:p>
      <w:pPr>
        <w:pStyle w:val="21"/>
        <w:topLinePunct/>
        <w:snapToGrid w:val="0"/>
        <w:spacing w:line="360" w:lineRule="auto"/>
        <w:ind w:left="-103" w:leftChars="-57" w:firstLine="602" w:firstLineChars="250"/>
        <w:contextualSpacing/>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7.4同类项目业绩/案例（如有）</w:t>
      </w:r>
    </w:p>
    <w:p>
      <w:pPr>
        <w:pStyle w:val="21"/>
        <w:topLinePunct/>
        <w:snapToGrid w:val="0"/>
        <w:spacing w:line="360" w:lineRule="auto"/>
        <w:ind w:left="-103" w:leftChars="-57" w:firstLine="770" w:firstLineChars="350"/>
        <w:contextualSpacing/>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列明合同清单，并附合同复印件/扫描件 加盖公章</w:t>
      </w:r>
    </w:p>
    <w:p>
      <w:pPr>
        <w:pStyle w:val="21"/>
        <w:topLinePunct/>
        <w:snapToGrid w:val="0"/>
        <w:spacing w:line="360" w:lineRule="auto"/>
        <w:ind w:left="-103" w:leftChars="-57" w:firstLine="550" w:firstLineChars="250"/>
        <w:contextualSpacing/>
        <w:jc w:val="left"/>
        <w:rPr>
          <w:rFonts w:hint="eastAsia" w:ascii="宋体" w:hAnsi="宋体" w:eastAsia="宋体" w:cs="宋体"/>
          <w:bCs/>
          <w:color w:val="auto"/>
          <w:sz w:val="22"/>
          <w:szCs w:val="22"/>
          <w:highlight w:val="none"/>
        </w:rPr>
      </w:pPr>
    </w:p>
    <w:p>
      <w:pPr>
        <w:pStyle w:val="21"/>
        <w:topLinePunct/>
        <w:snapToGrid w:val="0"/>
        <w:spacing w:line="360" w:lineRule="auto"/>
        <w:ind w:firstLine="220" w:firstLineChars="100"/>
        <w:contextualSpacing/>
        <w:jc w:val="left"/>
        <w:rPr>
          <w:rFonts w:hint="eastAsia" w:ascii="宋体" w:hAnsi="宋体" w:eastAsia="宋体" w:cs="宋体"/>
          <w:b/>
          <w:bCs/>
          <w:color w:val="auto"/>
          <w:sz w:val="24"/>
          <w:szCs w:val="24"/>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z w:val="24"/>
          <w:szCs w:val="24"/>
          <w:highlight w:val="none"/>
        </w:rPr>
        <w:t xml:space="preserve"> 7.5供应商认为其它有关的能力证明材料（如有） </w:t>
      </w:r>
    </w:p>
    <w:p>
      <w:pPr>
        <w:pStyle w:val="21"/>
        <w:wordWrap w:val="0"/>
        <w:topLinePunct/>
        <w:snapToGrid w:val="0"/>
        <w:spacing w:line="360" w:lineRule="auto"/>
        <w:ind w:left="-103" w:leftChars="-57" w:firstLine="600" w:firstLineChars="250"/>
        <w:contextualSpacing/>
        <w:jc w:val="left"/>
        <w:rPr>
          <w:rFonts w:hint="eastAsia" w:ascii="宋体" w:hAnsi="宋体" w:eastAsia="宋体" w:cs="宋体"/>
          <w:color w:val="auto"/>
          <w:sz w:val="24"/>
          <w:szCs w:val="24"/>
          <w:highlight w:val="none"/>
        </w:rPr>
      </w:pPr>
    </w:p>
    <w:p>
      <w:pPr>
        <w:wordWrap w:val="0"/>
        <w:topLinePunct/>
        <w:snapToGrid w:val="0"/>
        <w:spacing w:line="360" w:lineRule="auto"/>
        <w:ind w:left="482"/>
        <w:contextualSpacing/>
        <w:jc w:val="left"/>
        <w:rPr>
          <w:rFonts w:hint="eastAsia" w:ascii="宋体" w:hAnsi="宋体" w:eastAsia="宋体" w:cs="宋体"/>
          <w:b/>
          <w:bCs/>
          <w:color w:val="auto"/>
          <w:sz w:val="24"/>
          <w:highlight w:val="none"/>
        </w:rPr>
      </w:pPr>
    </w:p>
    <w:p>
      <w:pPr>
        <w:wordWrap w:val="0"/>
        <w:topLinePunct/>
        <w:snapToGrid w:val="0"/>
        <w:spacing w:line="360" w:lineRule="auto"/>
        <w:contextualSpacing/>
        <w:jc w:val="left"/>
        <w:rPr>
          <w:rFonts w:hint="eastAsia" w:ascii="宋体" w:hAnsi="宋体" w:eastAsia="宋体" w:cs="宋体"/>
          <w:bCs/>
          <w:color w:val="auto"/>
          <w:sz w:val="28"/>
          <w:highlight w:val="none"/>
        </w:rPr>
      </w:pPr>
      <w:r>
        <w:rPr>
          <w:rFonts w:hint="eastAsia" w:ascii="宋体" w:hAnsi="宋体" w:eastAsia="宋体" w:cs="宋体"/>
          <w:b/>
          <w:bCs/>
          <w:color w:val="auto"/>
          <w:sz w:val="28"/>
          <w:highlight w:val="none"/>
        </w:rPr>
        <w:t>8.供应商认为有必要的其它说明</w:t>
      </w:r>
      <w:r>
        <w:rPr>
          <w:rFonts w:hint="eastAsia" w:ascii="宋体" w:hAnsi="宋体" w:eastAsia="宋体" w:cs="宋体"/>
          <w:bCs/>
          <w:color w:val="auto"/>
          <w:sz w:val="28"/>
          <w:highlight w:val="none"/>
        </w:rPr>
        <w:t>（如有）</w:t>
      </w:r>
    </w:p>
    <w:p>
      <w:pPr>
        <w:wordWrap w:val="0"/>
        <w:topLinePunct/>
        <w:snapToGrid w:val="0"/>
        <w:spacing w:line="360" w:lineRule="auto"/>
        <w:ind w:firstLine="440" w:firstLineChars="200"/>
        <w:contextualSpacing/>
        <w:jc w:val="left"/>
        <w:rPr>
          <w:rFonts w:hint="eastAsia" w:ascii="宋体" w:hAnsi="宋体" w:eastAsia="宋体" w:cs="宋体"/>
          <w:bCs/>
          <w:color w:val="auto"/>
          <w:sz w:val="28"/>
          <w:highlight w:val="none"/>
        </w:rPr>
      </w:pPr>
      <w:r>
        <w:rPr>
          <w:rFonts w:hint="eastAsia" w:ascii="宋体" w:hAnsi="宋体" w:eastAsia="宋体" w:cs="宋体"/>
          <w:bCs/>
          <w:color w:val="auto"/>
          <w:sz w:val="22"/>
          <w:highlight w:val="none"/>
        </w:rPr>
        <w:t>供应商认为需要落实的政府采购政策的声明函/证明材料等，声明函/证明材料须按照国家相关政策法规规定的格式及要求提供。</w:t>
      </w:r>
    </w:p>
    <w:p>
      <w:pPr>
        <w:wordWrap w:val="0"/>
        <w:topLinePunct/>
        <w:snapToGrid w:val="0"/>
        <w:spacing w:line="360" w:lineRule="auto"/>
        <w:contextualSpacing/>
        <w:jc w:val="left"/>
        <w:rPr>
          <w:rFonts w:hint="eastAsia" w:ascii="宋体" w:hAnsi="宋体" w:eastAsia="宋体" w:cs="宋体"/>
          <w:b/>
          <w:bCs/>
          <w:color w:val="auto"/>
          <w:sz w:val="28"/>
          <w:highlight w:val="none"/>
        </w:rPr>
        <w:sectPr>
          <w:type w:val="nextColumn"/>
          <w:pgSz w:w="11906" w:h="16838"/>
          <w:pgMar w:top="1418" w:right="1797" w:bottom="1418" w:left="1797" w:header="851" w:footer="992" w:gutter="0"/>
          <w:pgNumType w:fmt="decimal"/>
          <w:cols w:space="720" w:num="1"/>
          <w:docGrid w:linePitch="312" w:charSpace="0"/>
        </w:sectPr>
      </w:pPr>
    </w:p>
    <w:p>
      <w:pPr>
        <w:pStyle w:val="21"/>
        <w:tabs>
          <w:tab w:val="left" w:pos="3544"/>
        </w:tabs>
        <w:rPr>
          <w:rFonts w:hint="eastAsia" w:ascii="宋体" w:hAnsi="宋体" w:eastAsia="宋体" w:cs="宋体"/>
          <w:b/>
          <w:color w:val="auto"/>
          <w:sz w:val="28"/>
          <w:szCs w:val="24"/>
          <w:highlight w:val="none"/>
        </w:rPr>
      </w:pPr>
      <w:r>
        <w:rPr>
          <w:rFonts w:hint="eastAsia" w:ascii="宋体" w:hAnsi="宋体" w:eastAsia="宋体" w:cs="宋体"/>
          <w:b/>
          <w:color w:val="auto"/>
          <w:sz w:val="28"/>
          <w:szCs w:val="28"/>
          <w:highlight w:val="none"/>
        </w:rPr>
        <w:t>9.</w:t>
      </w:r>
      <w:r>
        <w:rPr>
          <w:rFonts w:hint="eastAsia" w:ascii="宋体" w:hAnsi="宋体" w:eastAsia="宋体" w:cs="宋体"/>
          <w:b/>
          <w:color w:val="auto"/>
          <w:sz w:val="28"/>
          <w:szCs w:val="24"/>
          <w:highlight w:val="none"/>
        </w:rPr>
        <w:t>供应商拒绝政府采购领域商业贿赂承诺书</w:t>
      </w:r>
    </w:p>
    <w:p>
      <w:pPr>
        <w:rPr>
          <w:rFonts w:hint="eastAsia" w:ascii="宋体" w:hAnsi="宋体" w:eastAsia="宋体" w:cs="宋体"/>
          <w:color w:val="auto"/>
          <w:highlight w:val="none"/>
        </w:rPr>
      </w:pPr>
    </w:p>
    <w:p>
      <w:pPr>
        <w:pStyle w:val="21"/>
        <w:tabs>
          <w:tab w:val="left" w:pos="3544"/>
        </w:tabs>
        <w:jc w:val="cente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陕西省政府采购供应商拒绝政府采购领域商业贿赂承诺书</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为响应党中央、国务院关于治理政府采购领域商业贿赂行为的号召，我公司在此庄严承诺：</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1、在参与政府采购活动中遵纪守法、诚信经营、公平竞标。</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2、不向政府采购人、采购代理机构和政府采购评审专家进行任何形式的商业贿赂以谋取交易机会。</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3、不向政府采购代理机构和采购人提供虚假资质文件或采用虚假应标方式参与政府采购市场竞争并谋取成交。</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4、不采取“围标、陪标”等商业欺诈手段获得政府采购订单。</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5、不采取不正当手段诋毁、排挤其他供应商。</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6、不在提供商品和服务时“偷梁换柱、以次充好”损害采购人的合法权益。</w:t>
      </w:r>
    </w:p>
    <w:p>
      <w:pPr>
        <w:tabs>
          <w:tab w:val="left" w:pos="3544"/>
        </w:tabs>
        <w:spacing w:line="360" w:lineRule="auto"/>
        <w:ind w:left="205"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7、不与采购人、采购代理机构政府采购评审专家或其它供应商恶意串通，进行质疑和投诉，维护政府采购市场秩序。</w:t>
      </w:r>
    </w:p>
    <w:p>
      <w:pPr>
        <w:tabs>
          <w:tab w:val="left" w:pos="3544"/>
        </w:tabs>
        <w:spacing w:line="360" w:lineRule="auto"/>
        <w:ind w:left="205" w:leftChars="114" w:firstLine="240" w:firstLineChars="1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8、尊重和接受政府采购监督管理部门的监督和要求，承担因违约行为给采购人造成的损失。</w:t>
      </w:r>
    </w:p>
    <w:p>
      <w:pPr>
        <w:tabs>
          <w:tab w:val="left" w:pos="3544"/>
        </w:tabs>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9、不发生其它有悖于政府采购公开、公平、公正和诚信原则的行为。</w:t>
      </w:r>
    </w:p>
    <w:p>
      <w:pPr>
        <w:tabs>
          <w:tab w:val="left" w:pos="3544"/>
        </w:tabs>
        <w:spacing w:line="360" w:lineRule="auto"/>
        <w:ind w:firstLine="360" w:firstLineChars="150"/>
        <w:rPr>
          <w:rFonts w:hint="eastAsia" w:ascii="宋体" w:hAnsi="宋体" w:eastAsia="宋体" w:cs="宋体"/>
          <w:color w:val="auto"/>
          <w:sz w:val="24"/>
          <w:szCs w:val="28"/>
          <w:highlight w:val="none"/>
        </w:rPr>
      </w:pP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w:t>
      </w:r>
      <w:r>
        <w:rPr>
          <w:rFonts w:hint="eastAsia" w:ascii="宋体" w:hAnsi="宋体" w:eastAsia="宋体" w:cs="宋体"/>
          <w:color w:val="auto"/>
          <w:sz w:val="24"/>
          <w:szCs w:val="28"/>
          <w:highlight w:val="none"/>
          <w:u w:val="single"/>
        </w:rPr>
        <w:t>（加盖公章）</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法定代表人/授权代表签字：</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地址：</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邮编：</w:t>
      </w:r>
    </w:p>
    <w:p>
      <w:pPr>
        <w:tabs>
          <w:tab w:val="left" w:pos="3544"/>
        </w:tabs>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电话：</w:t>
      </w:r>
    </w:p>
    <w:p>
      <w:pPr>
        <w:tabs>
          <w:tab w:val="left" w:pos="3544"/>
        </w:tabs>
        <w:spacing w:line="360" w:lineRule="auto"/>
        <w:jc w:val="right"/>
        <w:rPr>
          <w:rFonts w:hint="eastAsia" w:ascii="宋体" w:hAnsi="宋体" w:eastAsia="宋体" w:cs="宋体"/>
          <w:color w:val="auto"/>
          <w:highlight w:val="none"/>
        </w:rPr>
      </w:pPr>
      <w:r>
        <w:rPr>
          <w:rFonts w:hint="eastAsia" w:ascii="宋体" w:hAnsi="宋体" w:eastAsia="宋体" w:cs="宋体"/>
          <w:color w:val="auto"/>
          <w:sz w:val="24"/>
          <w:szCs w:val="28"/>
          <w:highlight w:val="none"/>
        </w:rPr>
        <w:t>年    月   日</w:t>
      </w:r>
    </w:p>
    <w:sectPr>
      <w:type w:val="nextColumn"/>
      <w:pgSz w:w="11906" w:h="16838"/>
      <w:pgMar w:top="1418" w:right="1797" w:bottom="1418" w:left="179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1"/>
    <w:family w:val="roman"/>
    <w:pitch w:val="default"/>
    <w:sig w:usb0="E00002FF" w:usb1="420024FF"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EU-F1">
    <w:altName w:val="宋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20</w:t>
                          </w:r>
                          <w:r>
                            <w:rPr>
                              <w:rFonts w:ascii="仿宋" w:hAnsi="仿宋" w:eastAsia="仿宋"/>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20</w:t>
                    </w:r>
                    <w:r>
                      <w:rPr>
                        <w:rFonts w:ascii="仿宋" w:hAnsi="仿宋" w:eastAsia="仿宋"/>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rFonts w:hint="default" w:eastAsia="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distribute"/>
      <w:rPr>
        <w:rFonts w:ascii="楷体_GB2312"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BB374"/>
    <w:multiLevelType w:val="singleLevel"/>
    <w:tmpl w:val="72CBB37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TlkODdmODRkMDcxNDc2ZjAwMDExMWM4NDk3MGUifQ=="/>
  </w:docVars>
  <w:rsids>
    <w:rsidRoot w:val="009975CD"/>
    <w:rsid w:val="00000356"/>
    <w:rsid w:val="00000A2D"/>
    <w:rsid w:val="00000BCE"/>
    <w:rsid w:val="000025CC"/>
    <w:rsid w:val="00006121"/>
    <w:rsid w:val="000063A3"/>
    <w:rsid w:val="00007A11"/>
    <w:rsid w:val="00007C39"/>
    <w:rsid w:val="00010A79"/>
    <w:rsid w:val="00010E1D"/>
    <w:rsid w:val="0001345B"/>
    <w:rsid w:val="0001351C"/>
    <w:rsid w:val="00014248"/>
    <w:rsid w:val="0001460B"/>
    <w:rsid w:val="000156F5"/>
    <w:rsid w:val="0001573B"/>
    <w:rsid w:val="00015FA7"/>
    <w:rsid w:val="000169CB"/>
    <w:rsid w:val="00020CD6"/>
    <w:rsid w:val="00020F1D"/>
    <w:rsid w:val="00025F54"/>
    <w:rsid w:val="000271F9"/>
    <w:rsid w:val="00031971"/>
    <w:rsid w:val="00032F2F"/>
    <w:rsid w:val="0003313B"/>
    <w:rsid w:val="000332DC"/>
    <w:rsid w:val="00034C10"/>
    <w:rsid w:val="00034D25"/>
    <w:rsid w:val="00035498"/>
    <w:rsid w:val="000365E1"/>
    <w:rsid w:val="00040383"/>
    <w:rsid w:val="00040598"/>
    <w:rsid w:val="000409EB"/>
    <w:rsid w:val="00041EEF"/>
    <w:rsid w:val="00042302"/>
    <w:rsid w:val="0004255B"/>
    <w:rsid w:val="00042CBD"/>
    <w:rsid w:val="00046436"/>
    <w:rsid w:val="00047062"/>
    <w:rsid w:val="000475E9"/>
    <w:rsid w:val="0005047F"/>
    <w:rsid w:val="000507A3"/>
    <w:rsid w:val="000508F3"/>
    <w:rsid w:val="00050902"/>
    <w:rsid w:val="00051A02"/>
    <w:rsid w:val="00052629"/>
    <w:rsid w:val="00052D59"/>
    <w:rsid w:val="00054664"/>
    <w:rsid w:val="00056116"/>
    <w:rsid w:val="00060DD5"/>
    <w:rsid w:val="0006125A"/>
    <w:rsid w:val="000625D1"/>
    <w:rsid w:val="000642B0"/>
    <w:rsid w:val="000649F8"/>
    <w:rsid w:val="00065543"/>
    <w:rsid w:val="000663D5"/>
    <w:rsid w:val="00066BE3"/>
    <w:rsid w:val="000748E7"/>
    <w:rsid w:val="00074B6C"/>
    <w:rsid w:val="00075021"/>
    <w:rsid w:val="00080448"/>
    <w:rsid w:val="00080FF2"/>
    <w:rsid w:val="0008223B"/>
    <w:rsid w:val="000856BC"/>
    <w:rsid w:val="00086DE1"/>
    <w:rsid w:val="00087F86"/>
    <w:rsid w:val="000900A3"/>
    <w:rsid w:val="00090418"/>
    <w:rsid w:val="00090AE9"/>
    <w:rsid w:val="00091088"/>
    <w:rsid w:val="0009469A"/>
    <w:rsid w:val="00097640"/>
    <w:rsid w:val="000A001E"/>
    <w:rsid w:val="000A0C14"/>
    <w:rsid w:val="000A0DAF"/>
    <w:rsid w:val="000A11D1"/>
    <w:rsid w:val="000A287F"/>
    <w:rsid w:val="000A5CD4"/>
    <w:rsid w:val="000A6196"/>
    <w:rsid w:val="000A6AAC"/>
    <w:rsid w:val="000A71AC"/>
    <w:rsid w:val="000A7A31"/>
    <w:rsid w:val="000B2710"/>
    <w:rsid w:val="000B2DFA"/>
    <w:rsid w:val="000B3D74"/>
    <w:rsid w:val="000B6491"/>
    <w:rsid w:val="000B71AE"/>
    <w:rsid w:val="000C0B19"/>
    <w:rsid w:val="000C19E1"/>
    <w:rsid w:val="000C1F9C"/>
    <w:rsid w:val="000C22F0"/>
    <w:rsid w:val="000C395E"/>
    <w:rsid w:val="000C7075"/>
    <w:rsid w:val="000C73F3"/>
    <w:rsid w:val="000C7468"/>
    <w:rsid w:val="000C7DD4"/>
    <w:rsid w:val="000D02A0"/>
    <w:rsid w:val="000D57EE"/>
    <w:rsid w:val="000D6055"/>
    <w:rsid w:val="000E1289"/>
    <w:rsid w:val="000E1666"/>
    <w:rsid w:val="000E1785"/>
    <w:rsid w:val="000E38AC"/>
    <w:rsid w:val="000E3B38"/>
    <w:rsid w:val="000E5BCD"/>
    <w:rsid w:val="000E64A6"/>
    <w:rsid w:val="000E7873"/>
    <w:rsid w:val="000F0CD3"/>
    <w:rsid w:val="000F4948"/>
    <w:rsid w:val="000F4D11"/>
    <w:rsid w:val="000F4E39"/>
    <w:rsid w:val="000F5A8C"/>
    <w:rsid w:val="001038A3"/>
    <w:rsid w:val="00104219"/>
    <w:rsid w:val="00107101"/>
    <w:rsid w:val="00107357"/>
    <w:rsid w:val="0011082D"/>
    <w:rsid w:val="00111F95"/>
    <w:rsid w:val="00112158"/>
    <w:rsid w:val="001147AB"/>
    <w:rsid w:val="001176CF"/>
    <w:rsid w:val="0012012C"/>
    <w:rsid w:val="001206E9"/>
    <w:rsid w:val="00121386"/>
    <w:rsid w:val="001214F3"/>
    <w:rsid w:val="0012291F"/>
    <w:rsid w:val="00122977"/>
    <w:rsid w:val="00124F22"/>
    <w:rsid w:val="00125C77"/>
    <w:rsid w:val="00126253"/>
    <w:rsid w:val="00127118"/>
    <w:rsid w:val="0013236C"/>
    <w:rsid w:val="00133B86"/>
    <w:rsid w:val="0013487E"/>
    <w:rsid w:val="00135013"/>
    <w:rsid w:val="001351F5"/>
    <w:rsid w:val="00135447"/>
    <w:rsid w:val="00135972"/>
    <w:rsid w:val="0013635A"/>
    <w:rsid w:val="0014014E"/>
    <w:rsid w:val="0014044E"/>
    <w:rsid w:val="0014156C"/>
    <w:rsid w:val="00143362"/>
    <w:rsid w:val="00144F8A"/>
    <w:rsid w:val="0014578D"/>
    <w:rsid w:val="00146169"/>
    <w:rsid w:val="00150EA9"/>
    <w:rsid w:val="001515AD"/>
    <w:rsid w:val="00151A74"/>
    <w:rsid w:val="00151DB4"/>
    <w:rsid w:val="0015215F"/>
    <w:rsid w:val="00152CB2"/>
    <w:rsid w:val="00152E65"/>
    <w:rsid w:val="00152E99"/>
    <w:rsid w:val="001532FD"/>
    <w:rsid w:val="001553A8"/>
    <w:rsid w:val="00156997"/>
    <w:rsid w:val="00157C00"/>
    <w:rsid w:val="00165232"/>
    <w:rsid w:val="00166DB9"/>
    <w:rsid w:val="00167A87"/>
    <w:rsid w:val="00167DA2"/>
    <w:rsid w:val="0017064A"/>
    <w:rsid w:val="00170D13"/>
    <w:rsid w:val="00171198"/>
    <w:rsid w:val="001714A9"/>
    <w:rsid w:val="00173B6B"/>
    <w:rsid w:val="00174709"/>
    <w:rsid w:val="00174F61"/>
    <w:rsid w:val="0017568C"/>
    <w:rsid w:val="00177C14"/>
    <w:rsid w:val="00177C1D"/>
    <w:rsid w:val="00183809"/>
    <w:rsid w:val="00184AEE"/>
    <w:rsid w:val="00185234"/>
    <w:rsid w:val="0018799E"/>
    <w:rsid w:val="00191366"/>
    <w:rsid w:val="00191EBA"/>
    <w:rsid w:val="00192C7A"/>
    <w:rsid w:val="00194524"/>
    <w:rsid w:val="00194B6C"/>
    <w:rsid w:val="00195AF4"/>
    <w:rsid w:val="001972FE"/>
    <w:rsid w:val="001978AA"/>
    <w:rsid w:val="001A0C86"/>
    <w:rsid w:val="001A100B"/>
    <w:rsid w:val="001A18DB"/>
    <w:rsid w:val="001A5F40"/>
    <w:rsid w:val="001A79BC"/>
    <w:rsid w:val="001B2164"/>
    <w:rsid w:val="001B305F"/>
    <w:rsid w:val="001B605A"/>
    <w:rsid w:val="001B668F"/>
    <w:rsid w:val="001B767A"/>
    <w:rsid w:val="001B7F42"/>
    <w:rsid w:val="001C6552"/>
    <w:rsid w:val="001C7E35"/>
    <w:rsid w:val="001D27DA"/>
    <w:rsid w:val="001D43EB"/>
    <w:rsid w:val="001D5F3A"/>
    <w:rsid w:val="001E023A"/>
    <w:rsid w:val="001E074B"/>
    <w:rsid w:val="001E0889"/>
    <w:rsid w:val="001E24A4"/>
    <w:rsid w:val="001E664A"/>
    <w:rsid w:val="001E6DFB"/>
    <w:rsid w:val="001F3EEC"/>
    <w:rsid w:val="001F4805"/>
    <w:rsid w:val="001F4925"/>
    <w:rsid w:val="001F65D2"/>
    <w:rsid w:val="001F796F"/>
    <w:rsid w:val="0020013D"/>
    <w:rsid w:val="0020085E"/>
    <w:rsid w:val="00201BA3"/>
    <w:rsid w:val="00201FF6"/>
    <w:rsid w:val="0020326B"/>
    <w:rsid w:val="00205607"/>
    <w:rsid w:val="00205ACE"/>
    <w:rsid w:val="00205FBC"/>
    <w:rsid w:val="00207D50"/>
    <w:rsid w:val="002102BD"/>
    <w:rsid w:val="00211F18"/>
    <w:rsid w:val="00211F30"/>
    <w:rsid w:val="0022059F"/>
    <w:rsid w:val="00222B0E"/>
    <w:rsid w:val="002236CA"/>
    <w:rsid w:val="00226ECA"/>
    <w:rsid w:val="002324F8"/>
    <w:rsid w:val="00232AAC"/>
    <w:rsid w:val="00232F0C"/>
    <w:rsid w:val="00235108"/>
    <w:rsid w:val="00236EAF"/>
    <w:rsid w:val="002375F4"/>
    <w:rsid w:val="002401E4"/>
    <w:rsid w:val="0024456C"/>
    <w:rsid w:val="002447BB"/>
    <w:rsid w:val="00247114"/>
    <w:rsid w:val="002477F6"/>
    <w:rsid w:val="00250902"/>
    <w:rsid w:val="00251BCF"/>
    <w:rsid w:val="002522AB"/>
    <w:rsid w:val="00252E5B"/>
    <w:rsid w:val="002530F0"/>
    <w:rsid w:val="002546E3"/>
    <w:rsid w:val="00254CBA"/>
    <w:rsid w:val="002556B9"/>
    <w:rsid w:val="00257215"/>
    <w:rsid w:val="002602E0"/>
    <w:rsid w:val="002607E0"/>
    <w:rsid w:val="00261AE1"/>
    <w:rsid w:val="002628A4"/>
    <w:rsid w:val="00263005"/>
    <w:rsid w:val="002632AA"/>
    <w:rsid w:val="002641B4"/>
    <w:rsid w:val="002647C5"/>
    <w:rsid w:val="00265E1A"/>
    <w:rsid w:val="0026630F"/>
    <w:rsid w:val="00271C2C"/>
    <w:rsid w:val="00271CE7"/>
    <w:rsid w:val="00272AA7"/>
    <w:rsid w:val="00272C27"/>
    <w:rsid w:val="00274D19"/>
    <w:rsid w:val="00274F76"/>
    <w:rsid w:val="00275384"/>
    <w:rsid w:val="00275470"/>
    <w:rsid w:val="0027577D"/>
    <w:rsid w:val="002764D1"/>
    <w:rsid w:val="00280819"/>
    <w:rsid w:val="00281195"/>
    <w:rsid w:val="002826AF"/>
    <w:rsid w:val="0028348A"/>
    <w:rsid w:val="00285735"/>
    <w:rsid w:val="00287336"/>
    <w:rsid w:val="0028736B"/>
    <w:rsid w:val="002877D7"/>
    <w:rsid w:val="00287B3E"/>
    <w:rsid w:val="00291219"/>
    <w:rsid w:val="002921EE"/>
    <w:rsid w:val="00292D69"/>
    <w:rsid w:val="002931FD"/>
    <w:rsid w:val="0029336E"/>
    <w:rsid w:val="002934DC"/>
    <w:rsid w:val="00295B18"/>
    <w:rsid w:val="002979C2"/>
    <w:rsid w:val="00297C04"/>
    <w:rsid w:val="00297FF9"/>
    <w:rsid w:val="002A021D"/>
    <w:rsid w:val="002A0BA1"/>
    <w:rsid w:val="002A44E0"/>
    <w:rsid w:val="002A5ECF"/>
    <w:rsid w:val="002B16A7"/>
    <w:rsid w:val="002B1B9C"/>
    <w:rsid w:val="002B224C"/>
    <w:rsid w:val="002B3C79"/>
    <w:rsid w:val="002B3D7C"/>
    <w:rsid w:val="002B5746"/>
    <w:rsid w:val="002C2B82"/>
    <w:rsid w:val="002C3D92"/>
    <w:rsid w:val="002C4D13"/>
    <w:rsid w:val="002C58FE"/>
    <w:rsid w:val="002C5999"/>
    <w:rsid w:val="002C6670"/>
    <w:rsid w:val="002C79DC"/>
    <w:rsid w:val="002D07F4"/>
    <w:rsid w:val="002D24CC"/>
    <w:rsid w:val="002D4837"/>
    <w:rsid w:val="002D4BDF"/>
    <w:rsid w:val="002D5BA4"/>
    <w:rsid w:val="002D682E"/>
    <w:rsid w:val="002D6C8A"/>
    <w:rsid w:val="002D6CA6"/>
    <w:rsid w:val="002D714D"/>
    <w:rsid w:val="002E1370"/>
    <w:rsid w:val="002E1E88"/>
    <w:rsid w:val="002E49E8"/>
    <w:rsid w:val="002E5274"/>
    <w:rsid w:val="002E55C6"/>
    <w:rsid w:val="002E5631"/>
    <w:rsid w:val="002E72FC"/>
    <w:rsid w:val="002E7661"/>
    <w:rsid w:val="002E77F9"/>
    <w:rsid w:val="002F320A"/>
    <w:rsid w:val="002F3FC7"/>
    <w:rsid w:val="002F4503"/>
    <w:rsid w:val="002F4F5A"/>
    <w:rsid w:val="002F5B24"/>
    <w:rsid w:val="002F62E6"/>
    <w:rsid w:val="002F6F46"/>
    <w:rsid w:val="002F7EE6"/>
    <w:rsid w:val="003075DF"/>
    <w:rsid w:val="00307D7C"/>
    <w:rsid w:val="00311884"/>
    <w:rsid w:val="00311AAE"/>
    <w:rsid w:val="00312BA4"/>
    <w:rsid w:val="00313438"/>
    <w:rsid w:val="0031397C"/>
    <w:rsid w:val="0031403B"/>
    <w:rsid w:val="0031468B"/>
    <w:rsid w:val="00315C06"/>
    <w:rsid w:val="00316528"/>
    <w:rsid w:val="00316C20"/>
    <w:rsid w:val="00320472"/>
    <w:rsid w:val="00324592"/>
    <w:rsid w:val="00327B2A"/>
    <w:rsid w:val="003306DF"/>
    <w:rsid w:val="00331951"/>
    <w:rsid w:val="0033539F"/>
    <w:rsid w:val="00340D74"/>
    <w:rsid w:val="00340E17"/>
    <w:rsid w:val="00341FE1"/>
    <w:rsid w:val="0034277F"/>
    <w:rsid w:val="00343453"/>
    <w:rsid w:val="003435A9"/>
    <w:rsid w:val="0034532D"/>
    <w:rsid w:val="003458E2"/>
    <w:rsid w:val="00346F56"/>
    <w:rsid w:val="00350A04"/>
    <w:rsid w:val="003522E7"/>
    <w:rsid w:val="003531A4"/>
    <w:rsid w:val="003534D9"/>
    <w:rsid w:val="003544BA"/>
    <w:rsid w:val="00360F7C"/>
    <w:rsid w:val="00362214"/>
    <w:rsid w:val="003624F2"/>
    <w:rsid w:val="0036391B"/>
    <w:rsid w:val="003640D4"/>
    <w:rsid w:val="00364100"/>
    <w:rsid w:val="00364D3F"/>
    <w:rsid w:val="00364E14"/>
    <w:rsid w:val="00367B30"/>
    <w:rsid w:val="00370484"/>
    <w:rsid w:val="00370A6D"/>
    <w:rsid w:val="00371582"/>
    <w:rsid w:val="00372E56"/>
    <w:rsid w:val="00380186"/>
    <w:rsid w:val="00381663"/>
    <w:rsid w:val="00390FF7"/>
    <w:rsid w:val="0039328D"/>
    <w:rsid w:val="00394E89"/>
    <w:rsid w:val="003969F9"/>
    <w:rsid w:val="003A14EF"/>
    <w:rsid w:val="003A464F"/>
    <w:rsid w:val="003A5A91"/>
    <w:rsid w:val="003A773E"/>
    <w:rsid w:val="003B0C5E"/>
    <w:rsid w:val="003B15CE"/>
    <w:rsid w:val="003B3D46"/>
    <w:rsid w:val="003B4A99"/>
    <w:rsid w:val="003B5365"/>
    <w:rsid w:val="003B583F"/>
    <w:rsid w:val="003B5AB2"/>
    <w:rsid w:val="003B61F5"/>
    <w:rsid w:val="003B6C74"/>
    <w:rsid w:val="003B77A8"/>
    <w:rsid w:val="003C03CB"/>
    <w:rsid w:val="003C15B6"/>
    <w:rsid w:val="003C28BB"/>
    <w:rsid w:val="003C2AA1"/>
    <w:rsid w:val="003C442C"/>
    <w:rsid w:val="003C4473"/>
    <w:rsid w:val="003C50F0"/>
    <w:rsid w:val="003C5DE6"/>
    <w:rsid w:val="003C66A4"/>
    <w:rsid w:val="003C7144"/>
    <w:rsid w:val="003D5E02"/>
    <w:rsid w:val="003E26DB"/>
    <w:rsid w:val="003E3097"/>
    <w:rsid w:val="003E5122"/>
    <w:rsid w:val="003E5AB9"/>
    <w:rsid w:val="003E7159"/>
    <w:rsid w:val="003F0C32"/>
    <w:rsid w:val="003F0EB6"/>
    <w:rsid w:val="003F12D8"/>
    <w:rsid w:val="003F1FCE"/>
    <w:rsid w:val="003F5FAD"/>
    <w:rsid w:val="003F67D0"/>
    <w:rsid w:val="003F7A9F"/>
    <w:rsid w:val="00402500"/>
    <w:rsid w:val="004028F8"/>
    <w:rsid w:val="00403553"/>
    <w:rsid w:val="00403831"/>
    <w:rsid w:val="004039F8"/>
    <w:rsid w:val="00403B16"/>
    <w:rsid w:val="00403CD6"/>
    <w:rsid w:val="0041115A"/>
    <w:rsid w:val="00413ADF"/>
    <w:rsid w:val="00414853"/>
    <w:rsid w:val="00415E85"/>
    <w:rsid w:val="00415FAA"/>
    <w:rsid w:val="00420CD6"/>
    <w:rsid w:val="00421393"/>
    <w:rsid w:val="00421E07"/>
    <w:rsid w:val="00421F23"/>
    <w:rsid w:val="004225DA"/>
    <w:rsid w:val="00423802"/>
    <w:rsid w:val="004242EC"/>
    <w:rsid w:val="00427096"/>
    <w:rsid w:val="00431024"/>
    <w:rsid w:val="00431EBC"/>
    <w:rsid w:val="00434602"/>
    <w:rsid w:val="00435FFE"/>
    <w:rsid w:val="0044065D"/>
    <w:rsid w:val="00442474"/>
    <w:rsid w:val="00442A74"/>
    <w:rsid w:val="00444160"/>
    <w:rsid w:val="0044454A"/>
    <w:rsid w:val="00445201"/>
    <w:rsid w:val="00450035"/>
    <w:rsid w:val="00450433"/>
    <w:rsid w:val="004504C7"/>
    <w:rsid w:val="00450CD6"/>
    <w:rsid w:val="00452033"/>
    <w:rsid w:val="004559BC"/>
    <w:rsid w:val="00455FC9"/>
    <w:rsid w:val="0045630B"/>
    <w:rsid w:val="00456612"/>
    <w:rsid w:val="00456CC8"/>
    <w:rsid w:val="00457C13"/>
    <w:rsid w:val="00457D31"/>
    <w:rsid w:val="00460020"/>
    <w:rsid w:val="00460053"/>
    <w:rsid w:val="004608F6"/>
    <w:rsid w:val="00461292"/>
    <w:rsid w:val="004612B4"/>
    <w:rsid w:val="00463B33"/>
    <w:rsid w:val="00465BB3"/>
    <w:rsid w:val="0046755B"/>
    <w:rsid w:val="00472196"/>
    <w:rsid w:val="00472881"/>
    <w:rsid w:val="0047292D"/>
    <w:rsid w:val="00472DF6"/>
    <w:rsid w:val="00473758"/>
    <w:rsid w:val="00474B45"/>
    <w:rsid w:val="00475B75"/>
    <w:rsid w:val="00476C7A"/>
    <w:rsid w:val="00477B38"/>
    <w:rsid w:val="00480304"/>
    <w:rsid w:val="00480878"/>
    <w:rsid w:val="00484036"/>
    <w:rsid w:val="00484AC1"/>
    <w:rsid w:val="004869F1"/>
    <w:rsid w:val="00487E14"/>
    <w:rsid w:val="00490FE8"/>
    <w:rsid w:val="004970E5"/>
    <w:rsid w:val="004973AC"/>
    <w:rsid w:val="004A09BF"/>
    <w:rsid w:val="004A3187"/>
    <w:rsid w:val="004A37D7"/>
    <w:rsid w:val="004A58D0"/>
    <w:rsid w:val="004A6470"/>
    <w:rsid w:val="004A7D9C"/>
    <w:rsid w:val="004A7E69"/>
    <w:rsid w:val="004B04DD"/>
    <w:rsid w:val="004B07CA"/>
    <w:rsid w:val="004B0F08"/>
    <w:rsid w:val="004B1233"/>
    <w:rsid w:val="004B1553"/>
    <w:rsid w:val="004B19C8"/>
    <w:rsid w:val="004C2BF6"/>
    <w:rsid w:val="004C368A"/>
    <w:rsid w:val="004C3B94"/>
    <w:rsid w:val="004C3DA4"/>
    <w:rsid w:val="004C52ED"/>
    <w:rsid w:val="004C570B"/>
    <w:rsid w:val="004C5854"/>
    <w:rsid w:val="004C70A3"/>
    <w:rsid w:val="004D0189"/>
    <w:rsid w:val="004D02F5"/>
    <w:rsid w:val="004D1033"/>
    <w:rsid w:val="004D1229"/>
    <w:rsid w:val="004D363E"/>
    <w:rsid w:val="004D3AAF"/>
    <w:rsid w:val="004D413A"/>
    <w:rsid w:val="004D4EEB"/>
    <w:rsid w:val="004D6F1D"/>
    <w:rsid w:val="004E0444"/>
    <w:rsid w:val="004E0CC3"/>
    <w:rsid w:val="004E11EE"/>
    <w:rsid w:val="004E2E50"/>
    <w:rsid w:val="004E3250"/>
    <w:rsid w:val="004E36D7"/>
    <w:rsid w:val="004E38CA"/>
    <w:rsid w:val="004E489A"/>
    <w:rsid w:val="004E4E62"/>
    <w:rsid w:val="004E6CB7"/>
    <w:rsid w:val="004E6EE8"/>
    <w:rsid w:val="004E7011"/>
    <w:rsid w:val="004E74A9"/>
    <w:rsid w:val="004F07DE"/>
    <w:rsid w:val="004F1FBF"/>
    <w:rsid w:val="004F2BC5"/>
    <w:rsid w:val="004F36E7"/>
    <w:rsid w:val="004F44A1"/>
    <w:rsid w:val="004F7EDF"/>
    <w:rsid w:val="005013AE"/>
    <w:rsid w:val="0050142F"/>
    <w:rsid w:val="00504138"/>
    <w:rsid w:val="005045F9"/>
    <w:rsid w:val="0050594C"/>
    <w:rsid w:val="00506702"/>
    <w:rsid w:val="005120CB"/>
    <w:rsid w:val="00514C54"/>
    <w:rsid w:val="005150B9"/>
    <w:rsid w:val="00515CD2"/>
    <w:rsid w:val="00516632"/>
    <w:rsid w:val="005207D8"/>
    <w:rsid w:val="00521558"/>
    <w:rsid w:val="00521701"/>
    <w:rsid w:val="00522B00"/>
    <w:rsid w:val="00522F0C"/>
    <w:rsid w:val="005239EA"/>
    <w:rsid w:val="00527E26"/>
    <w:rsid w:val="00530266"/>
    <w:rsid w:val="00531E67"/>
    <w:rsid w:val="0053269D"/>
    <w:rsid w:val="0053278B"/>
    <w:rsid w:val="00533DA8"/>
    <w:rsid w:val="00534BD6"/>
    <w:rsid w:val="005350FC"/>
    <w:rsid w:val="0053526C"/>
    <w:rsid w:val="0053638C"/>
    <w:rsid w:val="00536D83"/>
    <w:rsid w:val="0054316C"/>
    <w:rsid w:val="005443CE"/>
    <w:rsid w:val="005452CE"/>
    <w:rsid w:val="0054588B"/>
    <w:rsid w:val="00546326"/>
    <w:rsid w:val="00546AB7"/>
    <w:rsid w:val="00547802"/>
    <w:rsid w:val="0055087F"/>
    <w:rsid w:val="00550D35"/>
    <w:rsid w:val="0055150A"/>
    <w:rsid w:val="00551ADF"/>
    <w:rsid w:val="005523C5"/>
    <w:rsid w:val="0055319E"/>
    <w:rsid w:val="00554BEF"/>
    <w:rsid w:val="005556B5"/>
    <w:rsid w:val="0055719F"/>
    <w:rsid w:val="005575BB"/>
    <w:rsid w:val="0055788E"/>
    <w:rsid w:val="00561780"/>
    <w:rsid w:val="005620E6"/>
    <w:rsid w:val="00562182"/>
    <w:rsid w:val="00562556"/>
    <w:rsid w:val="0056537F"/>
    <w:rsid w:val="005659E1"/>
    <w:rsid w:val="005668AF"/>
    <w:rsid w:val="00570C80"/>
    <w:rsid w:val="00571B2C"/>
    <w:rsid w:val="00572B2D"/>
    <w:rsid w:val="00573354"/>
    <w:rsid w:val="00573FBB"/>
    <w:rsid w:val="00574CC6"/>
    <w:rsid w:val="00577076"/>
    <w:rsid w:val="005824EA"/>
    <w:rsid w:val="00582E91"/>
    <w:rsid w:val="005838FB"/>
    <w:rsid w:val="00585DFD"/>
    <w:rsid w:val="00586812"/>
    <w:rsid w:val="005908D0"/>
    <w:rsid w:val="00590DF6"/>
    <w:rsid w:val="00591216"/>
    <w:rsid w:val="00591758"/>
    <w:rsid w:val="0059231A"/>
    <w:rsid w:val="005927E2"/>
    <w:rsid w:val="0059370F"/>
    <w:rsid w:val="00594B88"/>
    <w:rsid w:val="005963E5"/>
    <w:rsid w:val="00596779"/>
    <w:rsid w:val="0059705F"/>
    <w:rsid w:val="005978AD"/>
    <w:rsid w:val="005A0704"/>
    <w:rsid w:val="005A0BC7"/>
    <w:rsid w:val="005A215D"/>
    <w:rsid w:val="005A55C7"/>
    <w:rsid w:val="005B06D3"/>
    <w:rsid w:val="005B0C4B"/>
    <w:rsid w:val="005B12DB"/>
    <w:rsid w:val="005B18AF"/>
    <w:rsid w:val="005B2B3C"/>
    <w:rsid w:val="005B47A4"/>
    <w:rsid w:val="005B4F9F"/>
    <w:rsid w:val="005B6A57"/>
    <w:rsid w:val="005C44CE"/>
    <w:rsid w:val="005C5940"/>
    <w:rsid w:val="005C6390"/>
    <w:rsid w:val="005C6855"/>
    <w:rsid w:val="005C7626"/>
    <w:rsid w:val="005D06AA"/>
    <w:rsid w:val="005D0CF3"/>
    <w:rsid w:val="005D264D"/>
    <w:rsid w:val="005D283B"/>
    <w:rsid w:val="005D2AB2"/>
    <w:rsid w:val="005D3132"/>
    <w:rsid w:val="005D3C04"/>
    <w:rsid w:val="005D3D36"/>
    <w:rsid w:val="005D4603"/>
    <w:rsid w:val="005D5109"/>
    <w:rsid w:val="005D6107"/>
    <w:rsid w:val="005D75B5"/>
    <w:rsid w:val="005D7634"/>
    <w:rsid w:val="005D7862"/>
    <w:rsid w:val="005E0EAB"/>
    <w:rsid w:val="005E1BE2"/>
    <w:rsid w:val="005E269B"/>
    <w:rsid w:val="005E6F16"/>
    <w:rsid w:val="005E7328"/>
    <w:rsid w:val="005F063D"/>
    <w:rsid w:val="005F0D93"/>
    <w:rsid w:val="005F2838"/>
    <w:rsid w:val="005F2F69"/>
    <w:rsid w:val="005F484D"/>
    <w:rsid w:val="005F64AF"/>
    <w:rsid w:val="005F7836"/>
    <w:rsid w:val="005F7F4C"/>
    <w:rsid w:val="006030B4"/>
    <w:rsid w:val="00607230"/>
    <w:rsid w:val="00610506"/>
    <w:rsid w:val="00614710"/>
    <w:rsid w:val="00615594"/>
    <w:rsid w:val="006155BE"/>
    <w:rsid w:val="006167A8"/>
    <w:rsid w:val="0061758D"/>
    <w:rsid w:val="00617765"/>
    <w:rsid w:val="006213C6"/>
    <w:rsid w:val="00623ED7"/>
    <w:rsid w:val="00625C22"/>
    <w:rsid w:val="00625D6E"/>
    <w:rsid w:val="00625FEA"/>
    <w:rsid w:val="00626249"/>
    <w:rsid w:val="00626266"/>
    <w:rsid w:val="00626713"/>
    <w:rsid w:val="00626EC1"/>
    <w:rsid w:val="0062762B"/>
    <w:rsid w:val="00630C09"/>
    <w:rsid w:val="006341E0"/>
    <w:rsid w:val="006347DB"/>
    <w:rsid w:val="00636E52"/>
    <w:rsid w:val="00637D8E"/>
    <w:rsid w:val="00640877"/>
    <w:rsid w:val="00640F55"/>
    <w:rsid w:val="006420C6"/>
    <w:rsid w:val="006431C2"/>
    <w:rsid w:val="00647579"/>
    <w:rsid w:val="00647FAB"/>
    <w:rsid w:val="0065079E"/>
    <w:rsid w:val="00651C1E"/>
    <w:rsid w:val="00651F47"/>
    <w:rsid w:val="00652F1F"/>
    <w:rsid w:val="006560F6"/>
    <w:rsid w:val="00660539"/>
    <w:rsid w:val="006635CA"/>
    <w:rsid w:val="00663EBC"/>
    <w:rsid w:val="00665D48"/>
    <w:rsid w:val="00666E89"/>
    <w:rsid w:val="006672EB"/>
    <w:rsid w:val="00670968"/>
    <w:rsid w:val="00670C2A"/>
    <w:rsid w:val="006718FB"/>
    <w:rsid w:val="0067348E"/>
    <w:rsid w:val="00673669"/>
    <w:rsid w:val="0067552D"/>
    <w:rsid w:val="006757D5"/>
    <w:rsid w:val="00676933"/>
    <w:rsid w:val="00680018"/>
    <w:rsid w:val="0068015E"/>
    <w:rsid w:val="00681A99"/>
    <w:rsid w:val="00683433"/>
    <w:rsid w:val="00685E42"/>
    <w:rsid w:val="00686256"/>
    <w:rsid w:val="006873B4"/>
    <w:rsid w:val="00691A33"/>
    <w:rsid w:val="00692260"/>
    <w:rsid w:val="00692B95"/>
    <w:rsid w:val="00694727"/>
    <w:rsid w:val="00694CAE"/>
    <w:rsid w:val="00694FEE"/>
    <w:rsid w:val="00695EFA"/>
    <w:rsid w:val="00696999"/>
    <w:rsid w:val="00696E7A"/>
    <w:rsid w:val="006973C9"/>
    <w:rsid w:val="006A0271"/>
    <w:rsid w:val="006A1A7A"/>
    <w:rsid w:val="006A1FBB"/>
    <w:rsid w:val="006A2613"/>
    <w:rsid w:val="006A3A67"/>
    <w:rsid w:val="006A3CF4"/>
    <w:rsid w:val="006A6F99"/>
    <w:rsid w:val="006A7E12"/>
    <w:rsid w:val="006B06A7"/>
    <w:rsid w:val="006B07E0"/>
    <w:rsid w:val="006B0C29"/>
    <w:rsid w:val="006B1703"/>
    <w:rsid w:val="006B1AA1"/>
    <w:rsid w:val="006B1D9B"/>
    <w:rsid w:val="006B1DA9"/>
    <w:rsid w:val="006B72A1"/>
    <w:rsid w:val="006B7EBE"/>
    <w:rsid w:val="006C275D"/>
    <w:rsid w:val="006C54EB"/>
    <w:rsid w:val="006C5EBC"/>
    <w:rsid w:val="006C7121"/>
    <w:rsid w:val="006C728F"/>
    <w:rsid w:val="006D0A3E"/>
    <w:rsid w:val="006D1825"/>
    <w:rsid w:val="006D1BA7"/>
    <w:rsid w:val="006D1D21"/>
    <w:rsid w:val="006D3967"/>
    <w:rsid w:val="006D663F"/>
    <w:rsid w:val="006D76AC"/>
    <w:rsid w:val="006E0576"/>
    <w:rsid w:val="006E0745"/>
    <w:rsid w:val="006E1145"/>
    <w:rsid w:val="006E24CB"/>
    <w:rsid w:val="006E27F3"/>
    <w:rsid w:val="006E5E92"/>
    <w:rsid w:val="006E6CF8"/>
    <w:rsid w:val="006E726D"/>
    <w:rsid w:val="006F1C96"/>
    <w:rsid w:val="006F1D32"/>
    <w:rsid w:val="006F5E8F"/>
    <w:rsid w:val="00701A74"/>
    <w:rsid w:val="00702A38"/>
    <w:rsid w:val="00703232"/>
    <w:rsid w:val="007074BB"/>
    <w:rsid w:val="0071041F"/>
    <w:rsid w:val="0071064C"/>
    <w:rsid w:val="00710D8F"/>
    <w:rsid w:val="00710E4B"/>
    <w:rsid w:val="00712B56"/>
    <w:rsid w:val="00712DCD"/>
    <w:rsid w:val="007135A8"/>
    <w:rsid w:val="007136F3"/>
    <w:rsid w:val="00714587"/>
    <w:rsid w:val="00715DF4"/>
    <w:rsid w:val="00716359"/>
    <w:rsid w:val="007168C9"/>
    <w:rsid w:val="0071741A"/>
    <w:rsid w:val="00721B7D"/>
    <w:rsid w:val="00721C1F"/>
    <w:rsid w:val="007223BA"/>
    <w:rsid w:val="0072355C"/>
    <w:rsid w:val="0072787A"/>
    <w:rsid w:val="007279BE"/>
    <w:rsid w:val="0073142E"/>
    <w:rsid w:val="007321AA"/>
    <w:rsid w:val="00732971"/>
    <w:rsid w:val="007334FA"/>
    <w:rsid w:val="00734295"/>
    <w:rsid w:val="00734ACA"/>
    <w:rsid w:val="007351CB"/>
    <w:rsid w:val="00740A5E"/>
    <w:rsid w:val="007413C6"/>
    <w:rsid w:val="007416D3"/>
    <w:rsid w:val="00742986"/>
    <w:rsid w:val="007434B7"/>
    <w:rsid w:val="00745B14"/>
    <w:rsid w:val="00747423"/>
    <w:rsid w:val="00747C51"/>
    <w:rsid w:val="007503C2"/>
    <w:rsid w:val="0075101E"/>
    <w:rsid w:val="00751757"/>
    <w:rsid w:val="00752306"/>
    <w:rsid w:val="00755F48"/>
    <w:rsid w:val="00756725"/>
    <w:rsid w:val="00760539"/>
    <w:rsid w:val="007611D8"/>
    <w:rsid w:val="00765ADC"/>
    <w:rsid w:val="00765DEA"/>
    <w:rsid w:val="007665FA"/>
    <w:rsid w:val="007700F1"/>
    <w:rsid w:val="0077094E"/>
    <w:rsid w:val="00770B0F"/>
    <w:rsid w:val="007717D9"/>
    <w:rsid w:val="00771F6D"/>
    <w:rsid w:val="007763B4"/>
    <w:rsid w:val="0077759C"/>
    <w:rsid w:val="00781A20"/>
    <w:rsid w:val="00781BDC"/>
    <w:rsid w:val="00782866"/>
    <w:rsid w:val="0078342E"/>
    <w:rsid w:val="00783462"/>
    <w:rsid w:val="007856D8"/>
    <w:rsid w:val="007856FC"/>
    <w:rsid w:val="00785D26"/>
    <w:rsid w:val="00786DF6"/>
    <w:rsid w:val="00786F99"/>
    <w:rsid w:val="0079267C"/>
    <w:rsid w:val="00792D9E"/>
    <w:rsid w:val="00792E1C"/>
    <w:rsid w:val="00794008"/>
    <w:rsid w:val="00796140"/>
    <w:rsid w:val="00796B9B"/>
    <w:rsid w:val="007A0983"/>
    <w:rsid w:val="007A112F"/>
    <w:rsid w:val="007A3435"/>
    <w:rsid w:val="007A4723"/>
    <w:rsid w:val="007A49A8"/>
    <w:rsid w:val="007A6900"/>
    <w:rsid w:val="007A6C6B"/>
    <w:rsid w:val="007A75C1"/>
    <w:rsid w:val="007A77B0"/>
    <w:rsid w:val="007A7A86"/>
    <w:rsid w:val="007C0039"/>
    <w:rsid w:val="007C0A6B"/>
    <w:rsid w:val="007C1677"/>
    <w:rsid w:val="007C21F3"/>
    <w:rsid w:val="007C3E40"/>
    <w:rsid w:val="007C3E8A"/>
    <w:rsid w:val="007C6883"/>
    <w:rsid w:val="007D09FA"/>
    <w:rsid w:val="007D0A43"/>
    <w:rsid w:val="007D3482"/>
    <w:rsid w:val="007D34FB"/>
    <w:rsid w:val="007D4B3F"/>
    <w:rsid w:val="007D6947"/>
    <w:rsid w:val="007E00E1"/>
    <w:rsid w:val="007E15B7"/>
    <w:rsid w:val="007E174B"/>
    <w:rsid w:val="007E212B"/>
    <w:rsid w:val="007F05A7"/>
    <w:rsid w:val="007F098D"/>
    <w:rsid w:val="007F2D34"/>
    <w:rsid w:val="007F3B52"/>
    <w:rsid w:val="007F4180"/>
    <w:rsid w:val="007F5309"/>
    <w:rsid w:val="007F566A"/>
    <w:rsid w:val="007F56E2"/>
    <w:rsid w:val="007F5B0F"/>
    <w:rsid w:val="007F615E"/>
    <w:rsid w:val="00801C65"/>
    <w:rsid w:val="00804FDD"/>
    <w:rsid w:val="008058E9"/>
    <w:rsid w:val="00805C15"/>
    <w:rsid w:val="008061B7"/>
    <w:rsid w:val="00806528"/>
    <w:rsid w:val="00807642"/>
    <w:rsid w:val="00810BFE"/>
    <w:rsid w:val="00810E5F"/>
    <w:rsid w:val="0081192E"/>
    <w:rsid w:val="0081264D"/>
    <w:rsid w:val="00812CB4"/>
    <w:rsid w:val="00814E0D"/>
    <w:rsid w:val="0081660F"/>
    <w:rsid w:val="00817C9A"/>
    <w:rsid w:val="0082004F"/>
    <w:rsid w:val="00820116"/>
    <w:rsid w:val="00820560"/>
    <w:rsid w:val="008229F1"/>
    <w:rsid w:val="0082393E"/>
    <w:rsid w:val="00823FA3"/>
    <w:rsid w:val="008250EB"/>
    <w:rsid w:val="0082525D"/>
    <w:rsid w:val="00825DEE"/>
    <w:rsid w:val="008269CC"/>
    <w:rsid w:val="008270E5"/>
    <w:rsid w:val="008316E8"/>
    <w:rsid w:val="00832D8B"/>
    <w:rsid w:val="008339CA"/>
    <w:rsid w:val="00833BFC"/>
    <w:rsid w:val="00834802"/>
    <w:rsid w:val="00836944"/>
    <w:rsid w:val="008406C8"/>
    <w:rsid w:val="00841D7D"/>
    <w:rsid w:val="00841FF4"/>
    <w:rsid w:val="00842DA3"/>
    <w:rsid w:val="00846D0A"/>
    <w:rsid w:val="008519F5"/>
    <w:rsid w:val="008526A2"/>
    <w:rsid w:val="00853CB1"/>
    <w:rsid w:val="008568CB"/>
    <w:rsid w:val="0085726F"/>
    <w:rsid w:val="00857EE5"/>
    <w:rsid w:val="00860197"/>
    <w:rsid w:val="008603E2"/>
    <w:rsid w:val="00860CD7"/>
    <w:rsid w:val="0086174E"/>
    <w:rsid w:val="0086233D"/>
    <w:rsid w:val="008634C2"/>
    <w:rsid w:val="008636AB"/>
    <w:rsid w:val="00863C19"/>
    <w:rsid w:val="0086549A"/>
    <w:rsid w:val="00865FC7"/>
    <w:rsid w:val="008719BB"/>
    <w:rsid w:val="00872548"/>
    <w:rsid w:val="00873707"/>
    <w:rsid w:val="0087419D"/>
    <w:rsid w:val="0087449E"/>
    <w:rsid w:val="008751F2"/>
    <w:rsid w:val="00877102"/>
    <w:rsid w:val="00877563"/>
    <w:rsid w:val="0088096C"/>
    <w:rsid w:val="00880F4D"/>
    <w:rsid w:val="00881E54"/>
    <w:rsid w:val="00885574"/>
    <w:rsid w:val="0088694D"/>
    <w:rsid w:val="00887626"/>
    <w:rsid w:val="00887857"/>
    <w:rsid w:val="00890E47"/>
    <w:rsid w:val="00891CE9"/>
    <w:rsid w:val="00892D61"/>
    <w:rsid w:val="00896037"/>
    <w:rsid w:val="0089615C"/>
    <w:rsid w:val="00896321"/>
    <w:rsid w:val="008968DD"/>
    <w:rsid w:val="00896B95"/>
    <w:rsid w:val="008A099C"/>
    <w:rsid w:val="008A0A94"/>
    <w:rsid w:val="008A0C99"/>
    <w:rsid w:val="008A0D02"/>
    <w:rsid w:val="008A1253"/>
    <w:rsid w:val="008A1373"/>
    <w:rsid w:val="008A1857"/>
    <w:rsid w:val="008A1D74"/>
    <w:rsid w:val="008A2024"/>
    <w:rsid w:val="008A3C87"/>
    <w:rsid w:val="008A6A91"/>
    <w:rsid w:val="008B353F"/>
    <w:rsid w:val="008B528A"/>
    <w:rsid w:val="008B5E1E"/>
    <w:rsid w:val="008C0632"/>
    <w:rsid w:val="008C1A25"/>
    <w:rsid w:val="008C1C47"/>
    <w:rsid w:val="008C1CEB"/>
    <w:rsid w:val="008C421E"/>
    <w:rsid w:val="008C601E"/>
    <w:rsid w:val="008C7564"/>
    <w:rsid w:val="008C7F33"/>
    <w:rsid w:val="008D084D"/>
    <w:rsid w:val="008D1081"/>
    <w:rsid w:val="008D3E0A"/>
    <w:rsid w:val="008D4EFD"/>
    <w:rsid w:val="008D4F3D"/>
    <w:rsid w:val="008D5C22"/>
    <w:rsid w:val="008D6B59"/>
    <w:rsid w:val="008D7EF2"/>
    <w:rsid w:val="008E14C8"/>
    <w:rsid w:val="008E347D"/>
    <w:rsid w:val="008E6105"/>
    <w:rsid w:val="008E6EAD"/>
    <w:rsid w:val="008E7131"/>
    <w:rsid w:val="008E7CEF"/>
    <w:rsid w:val="008F08F3"/>
    <w:rsid w:val="008F0DAA"/>
    <w:rsid w:val="008F305C"/>
    <w:rsid w:val="008F3236"/>
    <w:rsid w:val="008F42A1"/>
    <w:rsid w:val="008F56AC"/>
    <w:rsid w:val="008F64B1"/>
    <w:rsid w:val="008F67C2"/>
    <w:rsid w:val="008F698F"/>
    <w:rsid w:val="008F6DBC"/>
    <w:rsid w:val="008F7D7F"/>
    <w:rsid w:val="009009DA"/>
    <w:rsid w:val="00900C5E"/>
    <w:rsid w:val="00901D3C"/>
    <w:rsid w:val="00902F2B"/>
    <w:rsid w:val="009049D8"/>
    <w:rsid w:val="00911B66"/>
    <w:rsid w:val="00911F5E"/>
    <w:rsid w:val="009131F1"/>
    <w:rsid w:val="00913474"/>
    <w:rsid w:val="0091464C"/>
    <w:rsid w:val="009151B9"/>
    <w:rsid w:val="00915618"/>
    <w:rsid w:val="00916338"/>
    <w:rsid w:val="00917B5D"/>
    <w:rsid w:val="0092023D"/>
    <w:rsid w:val="0092061A"/>
    <w:rsid w:val="00920A68"/>
    <w:rsid w:val="00920D2E"/>
    <w:rsid w:val="009224FE"/>
    <w:rsid w:val="00923398"/>
    <w:rsid w:val="00924630"/>
    <w:rsid w:val="00924CFE"/>
    <w:rsid w:val="009254E2"/>
    <w:rsid w:val="00926634"/>
    <w:rsid w:val="009278DB"/>
    <w:rsid w:val="009302A9"/>
    <w:rsid w:val="00930E91"/>
    <w:rsid w:val="00934F13"/>
    <w:rsid w:val="00935819"/>
    <w:rsid w:val="0093675C"/>
    <w:rsid w:val="009371E0"/>
    <w:rsid w:val="00940797"/>
    <w:rsid w:val="00941290"/>
    <w:rsid w:val="00941767"/>
    <w:rsid w:val="0094347A"/>
    <w:rsid w:val="00943E9B"/>
    <w:rsid w:val="009443BC"/>
    <w:rsid w:val="00944478"/>
    <w:rsid w:val="009466CC"/>
    <w:rsid w:val="0094792E"/>
    <w:rsid w:val="00950A53"/>
    <w:rsid w:val="00950DF0"/>
    <w:rsid w:val="00952ACF"/>
    <w:rsid w:val="00953463"/>
    <w:rsid w:val="00954807"/>
    <w:rsid w:val="0095564B"/>
    <w:rsid w:val="00960AAD"/>
    <w:rsid w:val="009612C6"/>
    <w:rsid w:val="0096325C"/>
    <w:rsid w:val="00964AE7"/>
    <w:rsid w:val="009652B8"/>
    <w:rsid w:val="00965BD6"/>
    <w:rsid w:val="00967D80"/>
    <w:rsid w:val="00970827"/>
    <w:rsid w:val="00970CE3"/>
    <w:rsid w:val="00970DA3"/>
    <w:rsid w:val="00971775"/>
    <w:rsid w:val="009717B2"/>
    <w:rsid w:val="00972592"/>
    <w:rsid w:val="00972AB7"/>
    <w:rsid w:val="00972DC2"/>
    <w:rsid w:val="00976B95"/>
    <w:rsid w:val="009803C7"/>
    <w:rsid w:val="00981908"/>
    <w:rsid w:val="00981C9D"/>
    <w:rsid w:val="009855CC"/>
    <w:rsid w:val="0098645E"/>
    <w:rsid w:val="0098699D"/>
    <w:rsid w:val="009875DC"/>
    <w:rsid w:val="00990330"/>
    <w:rsid w:val="009907FE"/>
    <w:rsid w:val="00994E1E"/>
    <w:rsid w:val="00995883"/>
    <w:rsid w:val="009959E0"/>
    <w:rsid w:val="00996F80"/>
    <w:rsid w:val="009975CD"/>
    <w:rsid w:val="00997A2E"/>
    <w:rsid w:val="00997AD8"/>
    <w:rsid w:val="009A0229"/>
    <w:rsid w:val="009A0946"/>
    <w:rsid w:val="009A2DC6"/>
    <w:rsid w:val="009A4243"/>
    <w:rsid w:val="009A7076"/>
    <w:rsid w:val="009A790A"/>
    <w:rsid w:val="009B0359"/>
    <w:rsid w:val="009B10AA"/>
    <w:rsid w:val="009B1D66"/>
    <w:rsid w:val="009B36FE"/>
    <w:rsid w:val="009B39F4"/>
    <w:rsid w:val="009B43C5"/>
    <w:rsid w:val="009B49EA"/>
    <w:rsid w:val="009B5600"/>
    <w:rsid w:val="009B72CD"/>
    <w:rsid w:val="009C1121"/>
    <w:rsid w:val="009C1F00"/>
    <w:rsid w:val="009C3271"/>
    <w:rsid w:val="009C35B3"/>
    <w:rsid w:val="009C427E"/>
    <w:rsid w:val="009C59E0"/>
    <w:rsid w:val="009C6300"/>
    <w:rsid w:val="009C6329"/>
    <w:rsid w:val="009D2AFA"/>
    <w:rsid w:val="009D2FEB"/>
    <w:rsid w:val="009D369C"/>
    <w:rsid w:val="009D79EE"/>
    <w:rsid w:val="009E033D"/>
    <w:rsid w:val="009E08D0"/>
    <w:rsid w:val="009E0BC5"/>
    <w:rsid w:val="009E374B"/>
    <w:rsid w:val="009E3C52"/>
    <w:rsid w:val="009E3D54"/>
    <w:rsid w:val="009E46A9"/>
    <w:rsid w:val="009E593A"/>
    <w:rsid w:val="009F0509"/>
    <w:rsid w:val="009F0AF5"/>
    <w:rsid w:val="009F1953"/>
    <w:rsid w:val="009F1D4D"/>
    <w:rsid w:val="009F372F"/>
    <w:rsid w:val="009F3F0B"/>
    <w:rsid w:val="009F4B37"/>
    <w:rsid w:val="009F658A"/>
    <w:rsid w:val="009F67D6"/>
    <w:rsid w:val="00A013AC"/>
    <w:rsid w:val="00A02E34"/>
    <w:rsid w:val="00A0385B"/>
    <w:rsid w:val="00A03E7F"/>
    <w:rsid w:val="00A0589D"/>
    <w:rsid w:val="00A06803"/>
    <w:rsid w:val="00A11395"/>
    <w:rsid w:val="00A11B9A"/>
    <w:rsid w:val="00A11BF0"/>
    <w:rsid w:val="00A139E5"/>
    <w:rsid w:val="00A1411F"/>
    <w:rsid w:val="00A153B7"/>
    <w:rsid w:val="00A15776"/>
    <w:rsid w:val="00A16A74"/>
    <w:rsid w:val="00A23C7F"/>
    <w:rsid w:val="00A24DF0"/>
    <w:rsid w:val="00A263D6"/>
    <w:rsid w:val="00A26998"/>
    <w:rsid w:val="00A26BED"/>
    <w:rsid w:val="00A2774C"/>
    <w:rsid w:val="00A345E9"/>
    <w:rsid w:val="00A34883"/>
    <w:rsid w:val="00A350AC"/>
    <w:rsid w:val="00A35969"/>
    <w:rsid w:val="00A36B10"/>
    <w:rsid w:val="00A377A4"/>
    <w:rsid w:val="00A40DD1"/>
    <w:rsid w:val="00A428F0"/>
    <w:rsid w:val="00A4449D"/>
    <w:rsid w:val="00A510EF"/>
    <w:rsid w:val="00A5178D"/>
    <w:rsid w:val="00A51846"/>
    <w:rsid w:val="00A54FEA"/>
    <w:rsid w:val="00A55217"/>
    <w:rsid w:val="00A55382"/>
    <w:rsid w:val="00A55A71"/>
    <w:rsid w:val="00A569F0"/>
    <w:rsid w:val="00A56DCB"/>
    <w:rsid w:val="00A57496"/>
    <w:rsid w:val="00A575B5"/>
    <w:rsid w:val="00A57DD3"/>
    <w:rsid w:val="00A6028D"/>
    <w:rsid w:val="00A61C89"/>
    <w:rsid w:val="00A62552"/>
    <w:rsid w:val="00A65F7C"/>
    <w:rsid w:val="00A65FE9"/>
    <w:rsid w:val="00A6663F"/>
    <w:rsid w:val="00A67F61"/>
    <w:rsid w:val="00A721CC"/>
    <w:rsid w:val="00A72B5A"/>
    <w:rsid w:val="00A7306E"/>
    <w:rsid w:val="00A73079"/>
    <w:rsid w:val="00A739B5"/>
    <w:rsid w:val="00A74740"/>
    <w:rsid w:val="00A804BD"/>
    <w:rsid w:val="00A81BD4"/>
    <w:rsid w:val="00A83226"/>
    <w:rsid w:val="00A8339E"/>
    <w:rsid w:val="00A83874"/>
    <w:rsid w:val="00A843DD"/>
    <w:rsid w:val="00A8451E"/>
    <w:rsid w:val="00A85F21"/>
    <w:rsid w:val="00A877C4"/>
    <w:rsid w:val="00A877FE"/>
    <w:rsid w:val="00A90E46"/>
    <w:rsid w:val="00A921B6"/>
    <w:rsid w:val="00A93E87"/>
    <w:rsid w:val="00A94E1E"/>
    <w:rsid w:val="00A95E43"/>
    <w:rsid w:val="00A96D18"/>
    <w:rsid w:val="00A97A8D"/>
    <w:rsid w:val="00AA063C"/>
    <w:rsid w:val="00AA0E4E"/>
    <w:rsid w:val="00AA160D"/>
    <w:rsid w:val="00AA1714"/>
    <w:rsid w:val="00AA1B4B"/>
    <w:rsid w:val="00AA4BD8"/>
    <w:rsid w:val="00AA5868"/>
    <w:rsid w:val="00AA5F6C"/>
    <w:rsid w:val="00AB00AE"/>
    <w:rsid w:val="00AB0454"/>
    <w:rsid w:val="00AB2B6A"/>
    <w:rsid w:val="00AB3397"/>
    <w:rsid w:val="00AB3AE4"/>
    <w:rsid w:val="00AB5C7C"/>
    <w:rsid w:val="00AB5DB6"/>
    <w:rsid w:val="00AB6ECA"/>
    <w:rsid w:val="00AB717C"/>
    <w:rsid w:val="00AB77E5"/>
    <w:rsid w:val="00AC0749"/>
    <w:rsid w:val="00AC0C75"/>
    <w:rsid w:val="00AC601C"/>
    <w:rsid w:val="00AC6F4C"/>
    <w:rsid w:val="00AD4F27"/>
    <w:rsid w:val="00AD55D6"/>
    <w:rsid w:val="00AD6109"/>
    <w:rsid w:val="00AD75F8"/>
    <w:rsid w:val="00AD76F3"/>
    <w:rsid w:val="00AD77B8"/>
    <w:rsid w:val="00AE02F1"/>
    <w:rsid w:val="00AE24E2"/>
    <w:rsid w:val="00AE2B0F"/>
    <w:rsid w:val="00AE40D6"/>
    <w:rsid w:val="00AE653B"/>
    <w:rsid w:val="00AF158A"/>
    <w:rsid w:val="00AF191A"/>
    <w:rsid w:val="00AF1AA2"/>
    <w:rsid w:val="00AF3291"/>
    <w:rsid w:val="00AF32B0"/>
    <w:rsid w:val="00AF32CE"/>
    <w:rsid w:val="00AF34A0"/>
    <w:rsid w:val="00AF358C"/>
    <w:rsid w:val="00AF4B3D"/>
    <w:rsid w:val="00AF6D23"/>
    <w:rsid w:val="00AF757C"/>
    <w:rsid w:val="00B00E85"/>
    <w:rsid w:val="00B03297"/>
    <w:rsid w:val="00B041F7"/>
    <w:rsid w:val="00B05D6C"/>
    <w:rsid w:val="00B061D9"/>
    <w:rsid w:val="00B114D9"/>
    <w:rsid w:val="00B14891"/>
    <w:rsid w:val="00B15328"/>
    <w:rsid w:val="00B21D52"/>
    <w:rsid w:val="00B21F61"/>
    <w:rsid w:val="00B22163"/>
    <w:rsid w:val="00B22350"/>
    <w:rsid w:val="00B236BF"/>
    <w:rsid w:val="00B23E69"/>
    <w:rsid w:val="00B25620"/>
    <w:rsid w:val="00B26562"/>
    <w:rsid w:val="00B27612"/>
    <w:rsid w:val="00B3025E"/>
    <w:rsid w:val="00B30A92"/>
    <w:rsid w:val="00B30BC5"/>
    <w:rsid w:val="00B319D6"/>
    <w:rsid w:val="00B31AD7"/>
    <w:rsid w:val="00B356C8"/>
    <w:rsid w:val="00B37C81"/>
    <w:rsid w:val="00B40091"/>
    <w:rsid w:val="00B40975"/>
    <w:rsid w:val="00B409BE"/>
    <w:rsid w:val="00B40D39"/>
    <w:rsid w:val="00B41971"/>
    <w:rsid w:val="00B42165"/>
    <w:rsid w:val="00B42B08"/>
    <w:rsid w:val="00B42E9D"/>
    <w:rsid w:val="00B434ED"/>
    <w:rsid w:val="00B43883"/>
    <w:rsid w:val="00B46814"/>
    <w:rsid w:val="00B47D7E"/>
    <w:rsid w:val="00B52200"/>
    <w:rsid w:val="00B5391F"/>
    <w:rsid w:val="00B5573A"/>
    <w:rsid w:val="00B602D7"/>
    <w:rsid w:val="00B6215E"/>
    <w:rsid w:val="00B63EA1"/>
    <w:rsid w:val="00B65517"/>
    <w:rsid w:val="00B65569"/>
    <w:rsid w:val="00B6595A"/>
    <w:rsid w:val="00B663D7"/>
    <w:rsid w:val="00B66C59"/>
    <w:rsid w:val="00B66EF9"/>
    <w:rsid w:val="00B7010A"/>
    <w:rsid w:val="00B72AD7"/>
    <w:rsid w:val="00B739F3"/>
    <w:rsid w:val="00B74243"/>
    <w:rsid w:val="00B7778C"/>
    <w:rsid w:val="00B80304"/>
    <w:rsid w:val="00B810D0"/>
    <w:rsid w:val="00B8115A"/>
    <w:rsid w:val="00B81546"/>
    <w:rsid w:val="00B82982"/>
    <w:rsid w:val="00B86B44"/>
    <w:rsid w:val="00B900E7"/>
    <w:rsid w:val="00B90799"/>
    <w:rsid w:val="00B9087A"/>
    <w:rsid w:val="00B911CE"/>
    <w:rsid w:val="00B9366E"/>
    <w:rsid w:val="00B944E4"/>
    <w:rsid w:val="00B9471E"/>
    <w:rsid w:val="00B95ADE"/>
    <w:rsid w:val="00B95EE2"/>
    <w:rsid w:val="00B97A3F"/>
    <w:rsid w:val="00B97C90"/>
    <w:rsid w:val="00BA0A2C"/>
    <w:rsid w:val="00BA11F2"/>
    <w:rsid w:val="00BA144B"/>
    <w:rsid w:val="00BA15DB"/>
    <w:rsid w:val="00BA23CC"/>
    <w:rsid w:val="00BA2500"/>
    <w:rsid w:val="00BA2D0D"/>
    <w:rsid w:val="00BA2FC0"/>
    <w:rsid w:val="00BA5049"/>
    <w:rsid w:val="00BA654D"/>
    <w:rsid w:val="00BA757F"/>
    <w:rsid w:val="00BA7D19"/>
    <w:rsid w:val="00BB053F"/>
    <w:rsid w:val="00BB0A91"/>
    <w:rsid w:val="00BB0EF8"/>
    <w:rsid w:val="00BB136B"/>
    <w:rsid w:val="00BB1379"/>
    <w:rsid w:val="00BB153A"/>
    <w:rsid w:val="00BB3D3B"/>
    <w:rsid w:val="00BB620C"/>
    <w:rsid w:val="00BB62DE"/>
    <w:rsid w:val="00BC0066"/>
    <w:rsid w:val="00BC0B67"/>
    <w:rsid w:val="00BC1CDE"/>
    <w:rsid w:val="00BC64AA"/>
    <w:rsid w:val="00BD56FF"/>
    <w:rsid w:val="00BE0361"/>
    <w:rsid w:val="00BE291A"/>
    <w:rsid w:val="00BE341D"/>
    <w:rsid w:val="00BE4ED7"/>
    <w:rsid w:val="00BE79B0"/>
    <w:rsid w:val="00BE7E9E"/>
    <w:rsid w:val="00BF0507"/>
    <w:rsid w:val="00BF0756"/>
    <w:rsid w:val="00BF0C81"/>
    <w:rsid w:val="00BF0F4A"/>
    <w:rsid w:val="00BF3A44"/>
    <w:rsid w:val="00BF522F"/>
    <w:rsid w:val="00BF6D0A"/>
    <w:rsid w:val="00BF74BF"/>
    <w:rsid w:val="00C01112"/>
    <w:rsid w:val="00C01A92"/>
    <w:rsid w:val="00C01EE2"/>
    <w:rsid w:val="00C03ADE"/>
    <w:rsid w:val="00C045C8"/>
    <w:rsid w:val="00C04831"/>
    <w:rsid w:val="00C0654A"/>
    <w:rsid w:val="00C06FAD"/>
    <w:rsid w:val="00C10D2C"/>
    <w:rsid w:val="00C115E1"/>
    <w:rsid w:val="00C12360"/>
    <w:rsid w:val="00C12D78"/>
    <w:rsid w:val="00C146C4"/>
    <w:rsid w:val="00C15B3D"/>
    <w:rsid w:val="00C21A71"/>
    <w:rsid w:val="00C23226"/>
    <w:rsid w:val="00C23C6B"/>
    <w:rsid w:val="00C244B8"/>
    <w:rsid w:val="00C24BC7"/>
    <w:rsid w:val="00C314F6"/>
    <w:rsid w:val="00C357D4"/>
    <w:rsid w:val="00C36381"/>
    <w:rsid w:val="00C365E9"/>
    <w:rsid w:val="00C40590"/>
    <w:rsid w:val="00C4147D"/>
    <w:rsid w:val="00C41800"/>
    <w:rsid w:val="00C42727"/>
    <w:rsid w:val="00C438C8"/>
    <w:rsid w:val="00C44706"/>
    <w:rsid w:val="00C44AFB"/>
    <w:rsid w:val="00C5113B"/>
    <w:rsid w:val="00C514B5"/>
    <w:rsid w:val="00C51526"/>
    <w:rsid w:val="00C51B34"/>
    <w:rsid w:val="00C52286"/>
    <w:rsid w:val="00C5375A"/>
    <w:rsid w:val="00C53DE4"/>
    <w:rsid w:val="00C54C1B"/>
    <w:rsid w:val="00C5502B"/>
    <w:rsid w:val="00C6077B"/>
    <w:rsid w:val="00C6140B"/>
    <w:rsid w:val="00C615BD"/>
    <w:rsid w:val="00C621A8"/>
    <w:rsid w:val="00C66BBA"/>
    <w:rsid w:val="00C67B42"/>
    <w:rsid w:val="00C67C40"/>
    <w:rsid w:val="00C70ED3"/>
    <w:rsid w:val="00C712BE"/>
    <w:rsid w:val="00C7138F"/>
    <w:rsid w:val="00C72EBC"/>
    <w:rsid w:val="00C730D8"/>
    <w:rsid w:val="00C742E2"/>
    <w:rsid w:val="00C745DE"/>
    <w:rsid w:val="00C75403"/>
    <w:rsid w:val="00C75DE3"/>
    <w:rsid w:val="00C774AD"/>
    <w:rsid w:val="00C77E06"/>
    <w:rsid w:val="00C80123"/>
    <w:rsid w:val="00C82DBB"/>
    <w:rsid w:val="00C84660"/>
    <w:rsid w:val="00C846C7"/>
    <w:rsid w:val="00C860CD"/>
    <w:rsid w:val="00C87C28"/>
    <w:rsid w:val="00C87CC7"/>
    <w:rsid w:val="00C91624"/>
    <w:rsid w:val="00C93176"/>
    <w:rsid w:val="00C936BD"/>
    <w:rsid w:val="00C94160"/>
    <w:rsid w:val="00C941A4"/>
    <w:rsid w:val="00C9562C"/>
    <w:rsid w:val="00C95A99"/>
    <w:rsid w:val="00C95F63"/>
    <w:rsid w:val="00C9623B"/>
    <w:rsid w:val="00C97D14"/>
    <w:rsid w:val="00CA4B12"/>
    <w:rsid w:val="00CA4D8F"/>
    <w:rsid w:val="00CA60EA"/>
    <w:rsid w:val="00CA70F7"/>
    <w:rsid w:val="00CA778C"/>
    <w:rsid w:val="00CA7B14"/>
    <w:rsid w:val="00CA7F6E"/>
    <w:rsid w:val="00CB006D"/>
    <w:rsid w:val="00CB48D9"/>
    <w:rsid w:val="00CB4FA9"/>
    <w:rsid w:val="00CB5B22"/>
    <w:rsid w:val="00CB76F0"/>
    <w:rsid w:val="00CB7E4D"/>
    <w:rsid w:val="00CC13A1"/>
    <w:rsid w:val="00CC4F37"/>
    <w:rsid w:val="00CC7066"/>
    <w:rsid w:val="00CD29DF"/>
    <w:rsid w:val="00CD2F7F"/>
    <w:rsid w:val="00CD341E"/>
    <w:rsid w:val="00CD5340"/>
    <w:rsid w:val="00CD5FA3"/>
    <w:rsid w:val="00CD730A"/>
    <w:rsid w:val="00CD733B"/>
    <w:rsid w:val="00CD74CE"/>
    <w:rsid w:val="00CE2AE1"/>
    <w:rsid w:val="00CE2BB0"/>
    <w:rsid w:val="00CE38FE"/>
    <w:rsid w:val="00CE4BBE"/>
    <w:rsid w:val="00CE6350"/>
    <w:rsid w:val="00CE6BAD"/>
    <w:rsid w:val="00CE7090"/>
    <w:rsid w:val="00CE7805"/>
    <w:rsid w:val="00CE7EF5"/>
    <w:rsid w:val="00CF0481"/>
    <w:rsid w:val="00CF2C2C"/>
    <w:rsid w:val="00CF525E"/>
    <w:rsid w:val="00CF6614"/>
    <w:rsid w:val="00CF7554"/>
    <w:rsid w:val="00CF755D"/>
    <w:rsid w:val="00CF7ED3"/>
    <w:rsid w:val="00D02438"/>
    <w:rsid w:val="00D03330"/>
    <w:rsid w:val="00D03D63"/>
    <w:rsid w:val="00D048F2"/>
    <w:rsid w:val="00D04C44"/>
    <w:rsid w:val="00D0510E"/>
    <w:rsid w:val="00D07AE3"/>
    <w:rsid w:val="00D07C84"/>
    <w:rsid w:val="00D10601"/>
    <w:rsid w:val="00D109AD"/>
    <w:rsid w:val="00D1129F"/>
    <w:rsid w:val="00D11D28"/>
    <w:rsid w:val="00D12A48"/>
    <w:rsid w:val="00D1397A"/>
    <w:rsid w:val="00D13F2F"/>
    <w:rsid w:val="00D22730"/>
    <w:rsid w:val="00D25C2A"/>
    <w:rsid w:val="00D27244"/>
    <w:rsid w:val="00D279F1"/>
    <w:rsid w:val="00D27AB5"/>
    <w:rsid w:val="00D302D1"/>
    <w:rsid w:val="00D306A0"/>
    <w:rsid w:val="00D3169F"/>
    <w:rsid w:val="00D316CC"/>
    <w:rsid w:val="00D3180F"/>
    <w:rsid w:val="00D32167"/>
    <w:rsid w:val="00D329F4"/>
    <w:rsid w:val="00D32BAC"/>
    <w:rsid w:val="00D34D3E"/>
    <w:rsid w:val="00D35C1A"/>
    <w:rsid w:val="00D36D05"/>
    <w:rsid w:val="00D370BF"/>
    <w:rsid w:val="00D37442"/>
    <w:rsid w:val="00D379F8"/>
    <w:rsid w:val="00D37EC8"/>
    <w:rsid w:val="00D40405"/>
    <w:rsid w:val="00D40567"/>
    <w:rsid w:val="00D40B7A"/>
    <w:rsid w:val="00D42EB2"/>
    <w:rsid w:val="00D43879"/>
    <w:rsid w:val="00D44FB8"/>
    <w:rsid w:val="00D45B84"/>
    <w:rsid w:val="00D45F92"/>
    <w:rsid w:val="00D477B0"/>
    <w:rsid w:val="00D47E38"/>
    <w:rsid w:val="00D52A9D"/>
    <w:rsid w:val="00D545BD"/>
    <w:rsid w:val="00D549A5"/>
    <w:rsid w:val="00D54AB8"/>
    <w:rsid w:val="00D54FF3"/>
    <w:rsid w:val="00D56631"/>
    <w:rsid w:val="00D571C9"/>
    <w:rsid w:val="00D602E0"/>
    <w:rsid w:val="00D6131A"/>
    <w:rsid w:val="00D61359"/>
    <w:rsid w:val="00D642E1"/>
    <w:rsid w:val="00D643D5"/>
    <w:rsid w:val="00D666FE"/>
    <w:rsid w:val="00D70795"/>
    <w:rsid w:val="00D70DCA"/>
    <w:rsid w:val="00D71EF1"/>
    <w:rsid w:val="00D72B6B"/>
    <w:rsid w:val="00D7436A"/>
    <w:rsid w:val="00D74E93"/>
    <w:rsid w:val="00D7572C"/>
    <w:rsid w:val="00D779FE"/>
    <w:rsid w:val="00D845BC"/>
    <w:rsid w:val="00D84B94"/>
    <w:rsid w:val="00D84F65"/>
    <w:rsid w:val="00D86002"/>
    <w:rsid w:val="00D86FBE"/>
    <w:rsid w:val="00D87F8D"/>
    <w:rsid w:val="00D904EC"/>
    <w:rsid w:val="00D90BF7"/>
    <w:rsid w:val="00D90E29"/>
    <w:rsid w:val="00D921BD"/>
    <w:rsid w:val="00D92724"/>
    <w:rsid w:val="00D92AFE"/>
    <w:rsid w:val="00D92E9A"/>
    <w:rsid w:val="00D93B5C"/>
    <w:rsid w:val="00D94C5E"/>
    <w:rsid w:val="00D95430"/>
    <w:rsid w:val="00D95B30"/>
    <w:rsid w:val="00D96510"/>
    <w:rsid w:val="00D97F94"/>
    <w:rsid w:val="00DA09E3"/>
    <w:rsid w:val="00DA2D9B"/>
    <w:rsid w:val="00DA31E0"/>
    <w:rsid w:val="00DA3597"/>
    <w:rsid w:val="00DA4947"/>
    <w:rsid w:val="00DA5B20"/>
    <w:rsid w:val="00DA6517"/>
    <w:rsid w:val="00DA6F85"/>
    <w:rsid w:val="00DB09ED"/>
    <w:rsid w:val="00DB0A30"/>
    <w:rsid w:val="00DB1C29"/>
    <w:rsid w:val="00DB223F"/>
    <w:rsid w:val="00DB40AD"/>
    <w:rsid w:val="00DB6807"/>
    <w:rsid w:val="00DB7CF3"/>
    <w:rsid w:val="00DB7E30"/>
    <w:rsid w:val="00DC032F"/>
    <w:rsid w:val="00DC18C6"/>
    <w:rsid w:val="00DC1C4B"/>
    <w:rsid w:val="00DC1D5D"/>
    <w:rsid w:val="00DC2321"/>
    <w:rsid w:val="00DC2744"/>
    <w:rsid w:val="00DC335D"/>
    <w:rsid w:val="00DC4A0B"/>
    <w:rsid w:val="00DC532E"/>
    <w:rsid w:val="00DC5BCF"/>
    <w:rsid w:val="00DC72E4"/>
    <w:rsid w:val="00DD1005"/>
    <w:rsid w:val="00DD28F6"/>
    <w:rsid w:val="00DD3BAB"/>
    <w:rsid w:val="00DD439D"/>
    <w:rsid w:val="00DD49FD"/>
    <w:rsid w:val="00DD4A5D"/>
    <w:rsid w:val="00DD58FB"/>
    <w:rsid w:val="00DD61D5"/>
    <w:rsid w:val="00DD696B"/>
    <w:rsid w:val="00DD7D82"/>
    <w:rsid w:val="00DE0A24"/>
    <w:rsid w:val="00DE11B8"/>
    <w:rsid w:val="00DE14EF"/>
    <w:rsid w:val="00DE1DB4"/>
    <w:rsid w:val="00DE260D"/>
    <w:rsid w:val="00DE2766"/>
    <w:rsid w:val="00DE28B3"/>
    <w:rsid w:val="00DE4043"/>
    <w:rsid w:val="00DE51B6"/>
    <w:rsid w:val="00DE777C"/>
    <w:rsid w:val="00DF0153"/>
    <w:rsid w:val="00DF0EDD"/>
    <w:rsid w:val="00DF576D"/>
    <w:rsid w:val="00DF5E4B"/>
    <w:rsid w:val="00DF73D2"/>
    <w:rsid w:val="00DF7AF0"/>
    <w:rsid w:val="00E02288"/>
    <w:rsid w:val="00E054F0"/>
    <w:rsid w:val="00E05F4B"/>
    <w:rsid w:val="00E06E81"/>
    <w:rsid w:val="00E12B00"/>
    <w:rsid w:val="00E22EAB"/>
    <w:rsid w:val="00E24F0C"/>
    <w:rsid w:val="00E268A8"/>
    <w:rsid w:val="00E3338F"/>
    <w:rsid w:val="00E33A3A"/>
    <w:rsid w:val="00E342AC"/>
    <w:rsid w:val="00E3437B"/>
    <w:rsid w:val="00E361A4"/>
    <w:rsid w:val="00E371FE"/>
    <w:rsid w:val="00E37B0B"/>
    <w:rsid w:val="00E40333"/>
    <w:rsid w:val="00E408EB"/>
    <w:rsid w:val="00E40998"/>
    <w:rsid w:val="00E44F1B"/>
    <w:rsid w:val="00E463C2"/>
    <w:rsid w:val="00E47835"/>
    <w:rsid w:val="00E50D77"/>
    <w:rsid w:val="00E53F52"/>
    <w:rsid w:val="00E5493E"/>
    <w:rsid w:val="00E5770A"/>
    <w:rsid w:val="00E610FF"/>
    <w:rsid w:val="00E627ED"/>
    <w:rsid w:val="00E6384D"/>
    <w:rsid w:val="00E65271"/>
    <w:rsid w:val="00E66838"/>
    <w:rsid w:val="00E731C9"/>
    <w:rsid w:val="00E73214"/>
    <w:rsid w:val="00E74A50"/>
    <w:rsid w:val="00E750F5"/>
    <w:rsid w:val="00E76FB7"/>
    <w:rsid w:val="00E76FD6"/>
    <w:rsid w:val="00E7796B"/>
    <w:rsid w:val="00E80399"/>
    <w:rsid w:val="00E80EF4"/>
    <w:rsid w:val="00E8201F"/>
    <w:rsid w:val="00E82491"/>
    <w:rsid w:val="00E82A64"/>
    <w:rsid w:val="00E84975"/>
    <w:rsid w:val="00E84ED6"/>
    <w:rsid w:val="00E858A7"/>
    <w:rsid w:val="00E8628B"/>
    <w:rsid w:val="00E878F0"/>
    <w:rsid w:val="00E90B1A"/>
    <w:rsid w:val="00E91283"/>
    <w:rsid w:val="00E91BF2"/>
    <w:rsid w:val="00E93606"/>
    <w:rsid w:val="00E93D1B"/>
    <w:rsid w:val="00E93E8C"/>
    <w:rsid w:val="00E9452F"/>
    <w:rsid w:val="00E94825"/>
    <w:rsid w:val="00E95FF0"/>
    <w:rsid w:val="00E963A8"/>
    <w:rsid w:val="00E9736B"/>
    <w:rsid w:val="00E9769E"/>
    <w:rsid w:val="00EA0BED"/>
    <w:rsid w:val="00EA1234"/>
    <w:rsid w:val="00EA1D78"/>
    <w:rsid w:val="00EA1E9F"/>
    <w:rsid w:val="00EA5DE2"/>
    <w:rsid w:val="00EA60C3"/>
    <w:rsid w:val="00EB175F"/>
    <w:rsid w:val="00EB208C"/>
    <w:rsid w:val="00EB38F6"/>
    <w:rsid w:val="00EB4442"/>
    <w:rsid w:val="00EB6649"/>
    <w:rsid w:val="00EB6672"/>
    <w:rsid w:val="00EB6A2B"/>
    <w:rsid w:val="00EC176A"/>
    <w:rsid w:val="00EC2C01"/>
    <w:rsid w:val="00EC333E"/>
    <w:rsid w:val="00EC4F41"/>
    <w:rsid w:val="00EC551C"/>
    <w:rsid w:val="00EC7017"/>
    <w:rsid w:val="00EC7EC4"/>
    <w:rsid w:val="00ED0CD5"/>
    <w:rsid w:val="00ED285B"/>
    <w:rsid w:val="00ED3AD8"/>
    <w:rsid w:val="00ED3C64"/>
    <w:rsid w:val="00ED43E2"/>
    <w:rsid w:val="00ED51ED"/>
    <w:rsid w:val="00ED5834"/>
    <w:rsid w:val="00ED715B"/>
    <w:rsid w:val="00EE0362"/>
    <w:rsid w:val="00EE0D77"/>
    <w:rsid w:val="00EE26C2"/>
    <w:rsid w:val="00EE3E16"/>
    <w:rsid w:val="00EE706E"/>
    <w:rsid w:val="00EE7DA0"/>
    <w:rsid w:val="00EF07DA"/>
    <w:rsid w:val="00EF0C40"/>
    <w:rsid w:val="00EF6EB4"/>
    <w:rsid w:val="00EF723A"/>
    <w:rsid w:val="00EF7536"/>
    <w:rsid w:val="00F021E1"/>
    <w:rsid w:val="00F0328B"/>
    <w:rsid w:val="00F06D99"/>
    <w:rsid w:val="00F078E9"/>
    <w:rsid w:val="00F07D21"/>
    <w:rsid w:val="00F106FD"/>
    <w:rsid w:val="00F1353A"/>
    <w:rsid w:val="00F136BA"/>
    <w:rsid w:val="00F1441A"/>
    <w:rsid w:val="00F17166"/>
    <w:rsid w:val="00F179A7"/>
    <w:rsid w:val="00F20AA2"/>
    <w:rsid w:val="00F217D9"/>
    <w:rsid w:val="00F24BCE"/>
    <w:rsid w:val="00F255C5"/>
    <w:rsid w:val="00F25F32"/>
    <w:rsid w:val="00F260F7"/>
    <w:rsid w:val="00F26620"/>
    <w:rsid w:val="00F27E69"/>
    <w:rsid w:val="00F306BF"/>
    <w:rsid w:val="00F30C1A"/>
    <w:rsid w:val="00F31243"/>
    <w:rsid w:val="00F31B72"/>
    <w:rsid w:val="00F31DE0"/>
    <w:rsid w:val="00F3364E"/>
    <w:rsid w:val="00F3732F"/>
    <w:rsid w:val="00F40E92"/>
    <w:rsid w:val="00F43BA7"/>
    <w:rsid w:val="00F458AF"/>
    <w:rsid w:val="00F4664D"/>
    <w:rsid w:val="00F46DC8"/>
    <w:rsid w:val="00F50241"/>
    <w:rsid w:val="00F51C94"/>
    <w:rsid w:val="00F52426"/>
    <w:rsid w:val="00F53E2D"/>
    <w:rsid w:val="00F56529"/>
    <w:rsid w:val="00F57FF0"/>
    <w:rsid w:val="00F61A8F"/>
    <w:rsid w:val="00F625D1"/>
    <w:rsid w:val="00F62867"/>
    <w:rsid w:val="00F63F3A"/>
    <w:rsid w:val="00F647B1"/>
    <w:rsid w:val="00F65423"/>
    <w:rsid w:val="00F656B4"/>
    <w:rsid w:val="00F67450"/>
    <w:rsid w:val="00F72BD1"/>
    <w:rsid w:val="00F750DC"/>
    <w:rsid w:val="00F77CE1"/>
    <w:rsid w:val="00F80862"/>
    <w:rsid w:val="00F80EDD"/>
    <w:rsid w:val="00F812A3"/>
    <w:rsid w:val="00F81E4F"/>
    <w:rsid w:val="00F82552"/>
    <w:rsid w:val="00F84500"/>
    <w:rsid w:val="00F848CD"/>
    <w:rsid w:val="00F86287"/>
    <w:rsid w:val="00F914F7"/>
    <w:rsid w:val="00F9185E"/>
    <w:rsid w:val="00F9273B"/>
    <w:rsid w:val="00F9275F"/>
    <w:rsid w:val="00F957FA"/>
    <w:rsid w:val="00F9620D"/>
    <w:rsid w:val="00F969D3"/>
    <w:rsid w:val="00FA0AD8"/>
    <w:rsid w:val="00FA10CD"/>
    <w:rsid w:val="00FA2183"/>
    <w:rsid w:val="00FA2B3F"/>
    <w:rsid w:val="00FA2D5B"/>
    <w:rsid w:val="00FA3CAA"/>
    <w:rsid w:val="00FA4E9B"/>
    <w:rsid w:val="00FA65A8"/>
    <w:rsid w:val="00FA6BA7"/>
    <w:rsid w:val="00FB20D3"/>
    <w:rsid w:val="00FB4BAC"/>
    <w:rsid w:val="00FB4C9C"/>
    <w:rsid w:val="00FB52D2"/>
    <w:rsid w:val="00FB551C"/>
    <w:rsid w:val="00FC30D8"/>
    <w:rsid w:val="00FC34D0"/>
    <w:rsid w:val="00FC3E47"/>
    <w:rsid w:val="00FC4703"/>
    <w:rsid w:val="00FC4FEA"/>
    <w:rsid w:val="00FC6F55"/>
    <w:rsid w:val="00FC73D6"/>
    <w:rsid w:val="00FC7752"/>
    <w:rsid w:val="00FC7C04"/>
    <w:rsid w:val="00FC7EE9"/>
    <w:rsid w:val="00FD04BB"/>
    <w:rsid w:val="00FD2D1F"/>
    <w:rsid w:val="00FD377F"/>
    <w:rsid w:val="00FD72D7"/>
    <w:rsid w:val="00FE105B"/>
    <w:rsid w:val="00FE138D"/>
    <w:rsid w:val="00FE2A39"/>
    <w:rsid w:val="00FE3973"/>
    <w:rsid w:val="00FE45B0"/>
    <w:rsid w:val="00FE55C8"/>
    <w:rsid w:val="00FE68CE"/>
    <w:rsid w:val="00FE7294"/>
    <w:rsid w:val="00FF27B0"/>
    <w:rsid w:val="00FF2904"/>
    <w:rsid w:val="00FF2D2C"/>
    <w:rsid w:val="00FF5090"/>
    <w:rsid w:val="00FF5127"/>
    <w:rsid w:val="00FF7415"/>
    <w:rsid w:val="00FF7597"/>
    <w:rsid w:val="01552F11"/>
    <w:rsid w:val="015D2ED7"/>
    <w:rsid w:val="017B7436"/>
    <w:rsid w:val="01913C2B"/>
    <w:rsid w:val="02315AFA"/>
    <w:rsid w:val="025D61E7"/>
    <w:rsid w:val="0286365A"/>
    <w:rsid w:val="028A4034"/>
    <w:rsid w:val="028B6AD5"/>
    <w:rsid w:val="029C7664"/>
    <w:rsid w:val="03062D2F"/>
    <w:rsid w:val="03767EB5"/>
    <w:rsid w:val="03936C2C"/>
    <w:rsid w:val="03942A31"/>
    <w:rsid w:val="03CF75C5"/>
    <w:rsid w:val="046634BB"/>
    <w:rsid w:val="04A479AC"/>
    <w:rsid w:val="04C4768E"/>
    <w:rsid w:val="04DD3CDC"/>
    <w:rsid w:val="04DE3D54"/>
    <w:rsid w:val="04E04037"/>
    <w:rsid w:val="04F41E52"/>
    <w:rsid w:val="04F56514"/>
    <w:rsid w:val="058A34DE"/>
    <w:rsid w:val="05A10FF9"/>
    <w:rsid w:val="05D45367"/>
    <w:rsid w:val="05E530D0"/>
    <w:rsid w:val="0614238B"/>
    <w:rsid w:val="062A142B"/>
    <w:rsid w:val="062D5AEE"/>
    <w:rsid w:val="06395760"/>
    <w:rsid w:val="06476CDD"/>
    <w:rsid w:val="06A67762"/>
    <w:rsid w:val="06F537E7"/>
    <w:rsid w:val="072F6F9A"/>
    <w:rsid w:val="07315574"/>
    <w:rsid w:val="07414C7E"/>
    <w:rsid w:val="07754928"/>
    <w:rsid w:val="078C4CE5"/>
    <w:rsid w:val="07966D78"/>
    <w:rsid w:val="07B41A56"/>
    <w:rsid w:val="07D61609"/>
    <w:rsid w:val="081B5997"/>
    <w:rsid w:val="083167DE"/>
    <w:rsid w:val="089A4646"/>
    <w:rsid w:val="08A40BE4"/>
    <w:rsid w:val="08AC7865"/>
    <w:rsid w:val="08AD1D28"/>
    <w:rsid w:val="08B4717B"/>
    <w:rsid w:val="08B60D54"/>
    <w:rsid w:val="08C34E91"/>
    <w:rsid w:val="08D21E73"/>
    <w:rsid w:val="09400411"/>
    <w:rsid w:val="0983332C"/>
    <w:rsid w:val="09886B94"/>
    <w:rsid w:val="099A0675"/>
    <w:rsid w:val="09FE7160"/>
    <w:rsid w:val="0A230C3C"/>
    <w:rsid w:val="0A2830A9"/>
    <w:rsid w:val="0A312D88"/>
    <w:rsid w:val="0A9D50D1"/>
    <w:rsid w:val="0AB4317C"/>
    <w:rsid w:val="0ABB283F"/>
    <w:rsid w:val="0ABD03DD"/>
    <w:rsid w:val="0ACF5C98"/>
    <w:rsid w:val="0B0A6E6B"/>
    <w:rsid w:val="0B0F744A"/>
    <w:rsid w:val="0B1701D0"/>
    <w:rsid w:val="0B322E63"/>
    <w:rsid w:val="0B626F71"/>
    <w:rsid w:val="0B640F3B"/>
    <w:rsid w:val="0B9510F4"/>
    <w:rsid w:val="0B976866"/>
    <w:rsid w:val="0BE74CDC"/>
    <w:rsid w:val="0C615A8E"/>
    <w:rsid w:val="0C7415FC"/>
    <w:rsid w:val="0C937D2A"/>
    <w:rsid w:val="0CB97065"/>
    <w:rsid w:val="0CEA2C15"/>
    <w:rsid w:val="0CF01DC5"/>
    <w:rsid w:val="0CF032D3"/>
    <w:rsid w:val="0CF462EF"/>
    <w:rsid w:val="0D0812B2"/>
    <w:rsid w:val="0D103128"/>
    <w:rsid w:val="0D185F85"/>
    <w:rsid w:val="0D2C05DE"/>
    <w:rsid w:val="0D4331D8"/>
    <w:rsid w:val="0D6D5B7A"/>
    <w:rsid w:val="0DCA399E"/>
    <w:rsid w:val="0E6A2D0C"/>
    <w:rsid w:val="0E7B3837"/>
    <w:rsid w:val="0EA578A0"/>
    <w:rsid w:val="0F6239E3"/>
    <w:rsid w:val="0F824086"/>
    <w:rsid w:val="0FA77489"/>
    <w:rsid w:val="0FB8090E"/>
    <w:rsid w:val="0FC85F3C"/>
    <w:rsid w:val="10152804"/>
    <w:rsid w:val="101C3ED6"/>
    <w:rsid w:val="104D01F0"/>
    <w:rsid w:val="105B7B75"/>
    <w:rsid w:val="106D2640"/>
    <w:rsid w:val="10862D3B"/>
    <w:rsid w:val="10AD1770"/>
    <w:rsid w:val="10D90937"/>
    <w:rsid w:val="10E03D54"/>
    <w:rsid w:val="10EC7A09"/>
    <w:rsid w:val="11074842"/>
    <w:rsid w:val="112A6783"/>
    <w:rsid w:val="113B44EC"/>
    <w:rsid w:val="113F0183"/>
    <w:rsid w:val="1142740F"/>
    <w:rsid w:val="114F61E9"/>
    <w:rsid w:val="115D3F44"/>
    <w:rsid w:val="117A7F85"/>
    <w:rsid w:val="117D3E16"/>
    <w:rsid w:val="11916802"/>
    <w:rsid w:val="120D35F0"/>
    <w:rsid w:val="12413D84"/>
    <w:rsid w:val="12704669"/>
    <w:rsid w:val="127A1D63"/>
    <w:rsid w:val="12852524"/>
    <w:rsid w:val="12925A26"/>
    <w:rsid w:val="129D247D"/>
    <w:rsid w:val="12EE3ABF"/>
    <w:rsid w:val="135D2E40"/>
    <w:rsid w:val="13C26AAC"/>
    <w:rsid w:val="14015ED5"/>
    <w:rsid w:val="14440743"/>
    <w:rsid w:val="14481EB0"/>
    <w:rsid w:val="14691370"/>
    <w:rsid w:val="146B6818"/>
    <w:rsid w:val="14FD426D"/>
    <w:rsid w:val="15194B44"/>
    <w:rsid w:val="158F739F"/>
    <w:rsid w:val="16325863"/>
    <w:rsid w:val="169D24AE"/>
    <w:rsid w:val="17064CE5"/>
    <w:rsid w:val="17125D2A"/>
    <w:rsid w:val="175C1663"/>
    <w:rsid w:val="176D0AA0"/>
    <w:rsid w:val="177A1CE3"/>
    <w:rsid w:val="180E037C"/>
    <w:rsid w:val="182C0AD4"/>
    <w:rsid w:val="18B00946"/>
    <w:rsid w:val="18B15BA9"/>
    <w:rsid w:val="18B60C6A"/>
    <w:rsid w:val="18E742BC"/>
    <w:rsid w:val="1924078E"/>
    <w:rsid w:val="19291234"/>
    <w:rsid w:val="19892854"/>
    <w:rsid w:val="198F1E64"/>
    <w:rsid w:val="19C554E6"/>
    <w:rsid w:val="1A112B39"/>
    <w:rsid w:val="1A187AC0"/>
    <w:rsid w:val="1A2975D8"/>
    <w:rsid w:val="1A9E504F"/>
    <w:rsid w:val="1AB439FF"/>
    <w:rsid w:val="1AE71241"/>
    <w:rsid w:val="1AF114A6"/>
    <w:rsid w:val="1B3A75C2"/>
    <w:rsid w:val="1B5543FC"/>
    <w:rsid w:val="1B6E024A"/>
    <w:rsid w:val="1B9C5D01"/>
    <w:rsid w:val="1B9F6383"/>
    <w:rsid w:val="1BD620A9"/>
    <w:rsid w:val="1BDE4A38"/>
    <w:rsid w:val="1BFD0380"/>
    <w:rsid w:val="1C00080C"/>
    <w:rsid w:val="1C0876C1"/>
    <w:rsid w:val="1C1E195D"/>
    <w:rsid w:val="1C775B65"/>
    <w:rsid w:val="1C7F3E27"/>
    <w:rsid w:val="1C8054A9"/>
    <w:rsid w:val="1C885AFD"/>
    <w:rsid w:val="1C9B35ED"/>
    <w:rsid w:val="1CC74CD0"/>
    <w:rsid w:val="1CD13D2A"/>
    <w:rsid w:val="1CDE7609"/>
    <w:rsid w:val="1CED6E0C"/>
    <w:rsid w:val="1D0B6716"/>
    <w:rsid w:val="1DBD6E1D"/>
    <w:rsid w:val="1DCB4E4A"/>
    <w:rsid w:val="1DF54BEE"/>
    <w:rsid w:val="1E034804"/>
    <w:rsid w:val="1E1265D5"/>
    <w:rsid w:val="1E193E07"/>
    <w:rsid w:val="1E5F60C4"/>
    <w:rsid w:val="1E704BCA"/>
    <w:rsid w:val="1E766B63"/>
    <w:rsid w:val="1EE42BE0"/>
    <w:rsid w:val="1F107D70"/>
    <w:rsid w:val="1F71013B"/>
    <w:rsid w:val="1FAE4B63"/>
    <w:rsid w:val="1FCB0584"/>
    <w:rsid w:val="1FD61016"/>
    <w:rsid w:val="1FDF7B30"/>
    <w:rsid w:val="1FE468E9"/>
    <w:rsid w:val="200C1481"/>
    <w:rsid w:val="204971C9"/>
    <w:rsid w:val="204A64FA"/>
    <w:rsid w:val="207E1ED4"/>
    <w:rsid w:val="20A41B1F"/>
    <w:rsid w:val="20A95549"/>
    <w:rsid w:val="20B47E17"/>
    <w:rsid w:val="20E97AC1"/>
    <w:rsid w:val="20EF0932"/>
    <w:rsid w:val="2124287B"/>
    <w:rsid w:val="213C0BE2"/>
    <w:rsid w:val="21570D32"/>
    <w:rsid w:val="215A6AB4"/>
    <w:rsid w:val="21654739"/>
    <w:rsid w:val="21BC406A"/>
    <w:rsid w:val="21C978F2"/>
    <w:rsid w:val="21CE67B3"/>
    <w:rsid w:val="21E65BE2"/>
    <w:rsid w:val="22007DD6"/>
    <w:rsid w:val="221078B2"/>
    <w:rsid w:val="227C6712"/>
    <w:rsid w:val="229E66A5"/>
    <w:rsid w:val="22A55C69"/>
    <w:rsid w:val="22AF6AE8"/>
    <w:rsid w:val="22FB1D2D"/>
    <w:rsid w:val="2316597C"/>
    <w:rsid w:val="2345691E"/>
    <w:rsid w:val="23782EB8"/>
    <w:rsid w:val="2378512C"/>
    <w:rsid w:val="23837D51"/>
    <w:rsid w:val="238C6E29"/>
    <w:rsid w:val="23C64100"/>
    <w:rsid w:val="23C65E4A"/>
    <w:rsid w:val="23C772AD"/>
    <w:rsid w:val="23DE06AD"/>
    <w:rsid w:val="23E80503"/>
    <w:rsid w:val="24107A5A"/>
    <w:rsid w:val="24307C59"/>
    <w:rsid w:val="244431D0"/>
    <w:rsid w:val="245707CA"/>
    <w:rsid w:val="246E1D13"/>
    <w:rsid w:val="24722CC9"/>
    <w:rsid w:val="248144B4"/>
    <w:rsid w:val="24A7216D"/>
    <w:rsid w:val="256C6F12"/>
    <w:rsid w:val="26613237"/>
    <w:rsid w:val="26E065DB"/>
    <w:rsid w:val="26E56F7C"/>
    <w:rsid w:val="26F41CB9"/>
    <w:rsid w:val="270448BE"/>
    <w:rsid w:val="271A097D"/>
    <w:rsid w:val="27266B8C"/>
    <w:rsid w:val="273870AC"/>
    <w:rsid w:val="27711F42"/>
    <w:rsid w:val="27B40987"/>
    <w:rsid w:val="27DC5631"/>
    <w:rsid w:val="28035C45"/>
    <w:rsid w:val="2803764B"/>
    <w:rsid w:val="281F2148"/>
    <w:rsid w:val="28254CA0"/>
    <w:rsid w:val="28486961"/>
    <w:rsid w:val="28504B16"/>
    <w:rsid w:val="289A485E"/>
    <w:rsid w:val="28DA4038"/>
    <w:rsid w:val="28F434A6"/>
    <w:rsid w:val="29064F88"/>
    <w:rsid w:val="2907013F"/>
    <w:rsid w:val="295F4461"/>
    <w:rsid w:val="2A425D05"/>
    <w:rsid w:val="2A5273AC"/>
    <w:rsid w:val="2A6E0F8F"/>
    <w:rsid w:val="2A7964E0"/>
    <w:rsid w:val="2A9A1E2C"/>
    <w:rsid w:val="2A9F7840"/>
    <w:rsid w:val="2B0D4CF3"/>
    <w:rsid w:val="2B7512D4"/>
    <w:rsid w:val="2B920D55"/>
    <w:rsid w:val="2BA26488"/>
    <w:rsid w:val="2C3A4FA9"/>
    <w:rsid w:val="2C414C55"/>
    <w:rsid w:val="2C680433"/>
    <w:rsid w:val="2C6F61F6"/>
    <w:rsid w:val="2C7A209F"/>
    <w:rsid w:val="2C7C3EDF"/>
    <w:rsid w:val="2C7F752B"/>
    <w:rsid w:val="2C8418FA"/>
    <w:rsid w:val="2CAC7FB5"/>
    <w:rsid w:val="2CBF201D"/>
    <w:rsid w:val="2D110153"/>
    <w:rsid w:val="2D2A393B"/>
    <w:rsid w:val="2D394B5A"/>
    <w:rsid w:val="2D4B511A"/>
    <w:rsid w:val="2D5A3D73"/>
    <w:rsid w:val="2D60659D"/>
    <w:rsid w:val="2D654973"/>
    <w:rsid w:val="2D672178"/>
    <w:rsid w:val="2D7626DC"/>
    <w:rsid w:val="2D8C7F4B"/>
    <w:rsid w:val="2D8F16DB"/>
    <w:rsid w:val="2DA45E04"/>
    <w:rsid w:val="2DBB4593"/>
    <w:rsid w:val="2DE06C42"/>
    <w:rsid w:val="2DFA4835"/>
    <w:rsid w:val="2E836962"/>
    <w:rsid w:val="2EA36ED6"/>
    <w:rsid w:val="2EB931C8"/>
    <w:rsid w:val="2ECA5C9D"/>
    <w:rsid w:val="2EE419D5"/>
    <w:rsid w:val="2F097580"/>
    <w:rsid w:val="2F9037FD"/>
    <w:rsid w:val="2FB13E9F"/>
    <w:rsid w:val="302E2F73"/>
    <w:rsid w:val="30406FD1"/>
    <w:rsid w:val="30670A02"/>
    <w:rsid w:val="30852FC3"/>
    <w:rsid w:val="30867B6A"/>
    <w:rsid w:val="30A57956"/>
    <w:rsid w:val="311125C5"/>
    <w:rsid w:val="312D1C4B"/>
    <w:rsid w:val="313A1C72"/>
    <w:rsid w:val="313E284D"/>
    <w:rsid w:val="3167206C"/>
    <w:rsid w:val="318F2622"/>
    <w:rsid w:val="31986323"/>
    <w:rsid w:val="31CE36B7"/>
    <w:rsid w:val="320815D0"/>
    <w:rsid w:val="321408F7"/>
    <w:rsid w:val="32336842"/>
    <w:rsid w:val="323935CC"/>
    <w:rsid w:val="32747406"/>
    <w:rsid w:val="328C0BF4"/>
    <w:rsid w:val="32E42F8D"/>
    <w:rsid w:val="32E91BA2"/>
    <w:rsid w:val="33AC1672"/>
    <w:rsid w:val="341D7F25"/>
    <w:rsid w:val="343E5F1E"/>
    <w:rsid w:val="344472C4"/>
    <w:rsid w:val="34757FC6"/>
    <w:rsid w:val="34886F07"/>
    <w:rsid w:val="34944587"/>
    <w:rsid w:val="34AC732B"/>
    <w:rsid w:val="34AE30A3"/>
    <w:rsid w:val="34B040D0"/>
    <w:rsid w:val="34FA283C"/>
    <w:rsid w:val="351A3AC2"/>
    <w:rsid w:val="352B6F13"/>
    <w:rsid w:val="352B70C3"/>
    <w:rsid w:val="353D4043"/>
    <w:rsid w:val="35B71AE4"/>
    <w:rsid w:val="35B975FA"/>
    <w:rsid w:val="35D55DD4"/>
    <w:rsid w:val="35F72F97"/>
    <w:rsid w:val="360553D9"/>
    <w:rsid w:val="36096A17"/>
    <w:rsid w:val="36237179"/>
    <w:rsid w:val="3649040E"/>
    <w:rsid w:val="364A6DFC"/>
    <w:rsid w:val="365F74A5"/>
    <w:rsid w:val="36A52284"/>
    <w:rsid w:val="36EB0557"/>
    <w:rsid w:val="36F75280"/>
    <w:rsid w:val="37113475"/>
    <w:rsid w:val="371C32EB"/>
    <w:rsid w:val="375241BA"/>
    <w:rsid w:val="375872F6"/>
    <w:rsid w:val="37770639"/>
    <w:rsid w:val="37C86419"/>
    <w:rsid w:val="37CC09C7"/>
    <w:rsid w:val="37F0752F"/>
    <w:rsid w:val="37FC18B9"/>
    <w:rsid w:val="38376F0C"/>
    <w:rsid w:val="38A20BCF"/>
    <w:rsid w:val="38C85A7F"/>
    <w:rsid w:val="38CC7084"/>
    <w:rsid w:val="38FC317F"/>
    <w:rsid w:val="390E4110"/>
    <w:rsid w:val="395349FB"/>
    <w:rsid w:val="39997678"/>
    <w:rsid w:val="39B21FCA"/>
    <w:rsid w:val="39C57651"/>
    <w:rsid w:val="39CB6792"/>
    <w:rsid w:val="39E31EEC"/>
    <w:rsid w:val="39E76710"/>
    <w:rsid w:val="39EF79AB"/>
    <w:rsid w:val="3A3C2EFF"/>
    <w:rsid w:val="3A544A0C"/>
    <w:rsid w:val="3AC70A1B"/>
    <w:rsid w:val="3AEE18E1"/>
    <w:rsid w:val="3B273268"/>
    <w:rsid w:val="3B4932A0"/>
    <w:rsid w:val="3B621B03"/>
    <w:rsid w:val="3B9D248A"/>
    <w:rsid w:val="3BE178BA"/>
    <w:rsid w:val="3BE61375"/>
    <w:rsid w:val="3C2E1060"/>
    <w:rsid w:val="3C475AA7"/>
    <w:rsid w:val="3C6B3628"/>
    <w:rsid w:val="3C8D4764"/>
    <w:rsid w:val="3C990195"/>
    <w:rsid w:val="3CE31410"/>
    <w:rsid w:val="3CE91DDF"/>
    <w:rsid w:val="3D115F7D"/>
    <w:rsid w:val="3D122282"/>
    <w:rsid w:val="3D6C7658"/>
    <w:rsid w:val="3D9C559A"/>
    <w:rsid w:val="3DB66B25"/>
    <w:rsid w:val="3DBB75AF"/>
    <w:rsid w:val="3DCE20C0"/>
    <w:rsid w:val="3DD71F07"/>
    <w:rsid w:val="3DFD7E8D"/>
    <w:rsid w:val="3E0B50C2"/>
    <w:rsid w:val="3E1175FD"/>
    <w:rsid w:val="3E462E6E"/>
    <w:rsid w:val="3E734824"/>
    <w:rsid w:val="3E9455C3"/>
    <w:rsid w:val="3E9C5B24"/>
    <w:rsid w:val="3EAD7275"/>
    <w:rsid w:val="3ED22627"/>
    <w:rsid w:val="3F06588A"/>
    <w:rsid w:val="3F161F71"/>
    <w:rsid w:val="3F1C286F"/>
    <w:rsid w:val="3F37083C"/>
    <w:rsid w:val="3F692DDD"/>
    <w:rsid w:val="3FA20CCF"/>
    <w:rsid w:val="3FBC09A7"/>
    <w:rsid w:val="3FD26EC1"/>
    <w:rsid w:val="3FD31C10"/>
    <w:rsid w:val="3FFA40BE"/>
    <w:rsid w:val="400F1FA0"/>
    <w:rsid w:val="402A6B57"/>
    <w:rsid w:val="403C77B5"/>
    <w:rsid w:val="406069B9"/>
    <w:rsid w:val="406E08A8"/>
    <w:rsid w:val="407451A1"/>
    <w:rsid w:val="40AA78A1"/>
    <w:rsid w:val="40B51316"/>
    <w:rsid w:val="40E9291C"/>
    <w:rsid w:val="40F90505"/>
    <w:rsid w:val="41144035"/>
    <w:rsid w:val="411C7C91"/>
    <w:rsid w:val="415C57D5"/>
    <w:rsid w:val="41636A79"/>
    <w:rsid w:val="4166412F"/>
    <w:rsid w:val="417E6023"/>
    <w:rsid w:val="41B0748D"/>
    <w:rsid w:val="41C02E3B"/>
    <w:rsid w:val="41CC532C"/>
    <w:rsid w:val="41DE664A"/>
    <w:rsid w:val="41EF2605"/>
    <w:rsid w:val="41F14BB9"/>
    <w:rsid w:val="421F2EEA"/>
    <w:rsid w:val="42305230"/>
    <w:rsid w:val="4235732F"/>
    <w:rsid w:val="42C36378"/>
    <w:rsid w:val="431D4D33"/>
    <w:rsid w:val="434F77FF"/>
    <w:rsid w:val="43575D40"/>
    <w:rsid w:val="43914ABD"/>
    <w:rsid w:val="439429F2"/>
    <w:rsid w:val="43B9111D"/>
    <w:rsid w:val="43C63A2A"/>
    <w:rsid w:val="43FB0B5A"/>
    <w:rsid w:val="44113584"/>
    <w:rsid w:val="444C2085"/>
    <w:rsid w:val="44A97B34"/>
    <w:rsid w:val="44B37D1E"/>
    <w:rsid w:val="44D719D7"/>
    <w:rsid w:val="44D76933"/>
    <w:rsid w:val="450F22B7"/>
    <w:rsid w:val="45733FC6"/>
    <w:rsid w:val="45A27C73"/>
    <w:rsid w:val="460F2594"/>
    <w:rsid w:val="46280A02"/>
    <w:rsid w:val="4676240A"/>
    <w:rsid w:val="469A5235"/>
    <w:rsid w:val="46C71DA3"/>
    <w:rsid w:val="476715AB"/>
    <w:rsid w:val="476E1061"/>
    <w:rsid w:val="47B36CA9"/>
    <w:rsid w:val="47E10721"/>
    <w:rsid w:val="47F1583D"/>
    <w:rsid w:val="48117779"/>
    <w:rsid w:val="481A04ED"/>
    <w:rsid w:val="48D507A7"/>
    <w:rsid w:val="48E77B58"/>
    <w:rsid w:val="491312CF"/>
    <w:rsid w:val="497507B1"/>
    <w:rsid w:val="49753D38"/>
    <w:rsid w:val="499E2D2C"/>
    <w:rsid w:val="4A0D3F70"/>
    <w:rsid w:val="4A1D7DDA"/>
    <w:rsid w:val="4A2D63C1"/>
    <w:rsid w:val="4A477482"/>
    <w:rsid w:val="4A5751EC"/>
    <w:rsid w:val="4A890FF7"/>
    <w:rsid w:val="4AAF6DD6"/>
    <w:rsid w:val="4ABA4876"/>
    <w:rsid w:val="4AEC1D3B"/>
    <w:rsid w:val="4AF64BBA"/>
    <w:rsid w:val="4B2B2900"/>
    <w:rsid w:val="4B586BA4"/>
    <w:rsid w:val="4B6E4EE3"/>
    <w:rsid w:val="4B835C23"/>
    <w:rsid w:val="4BA206E8"/>
    <w:rsid w:val="4BA535E2"/>
    <w:rsid w:val="4BB9615E"/>
    <w:rsid w:val="4BE92B2A"/>
    <w:rsid w:val="4C267783"/>
    <w:rsid w:val="4CB42DC9"/>
    <w:rsid w:val="4CB82B25"/>
    <w:rsid w:val="4CBF1587"/>
    <w:rsid w:val="4CC823D1"/>
    <w:rsid w:val="4CE019AE"/>
    <w:rsid w:val="4CE30FB8"/>
    <w:rsid w:val="4D1F2C5B"/>
    <w:rsid w:val="4D212884"/>
    <w:rsid w:val="4D51771D"/>
    <w:rsid w:val="4D8409ED"/>
    <w:rsid w:val="4D885E13"/>
    <w:rsid w:val="4D9039F0"/>
    <w:rsid w:val="4DC35387"/>
    <w:rsid w:val="4E013DEC"/>
    <w:rsid w:val="4E052E46"/>
    <w:rsid w:val="4E0F5C4F"/>
    <w:rsid w:val="4E336653"/>
    <w:rsid w:val="4E994025"/>
    <w:rsid w:val="4EC91BBC"/>
    <w:rsid w:val="4ECA29B0"/>
    <w:rsid w:val="4ED41E5B"/>
    <w:rsid w:val="4EE44E40"/>
    <w:rsid w:val="4F0B71ED"/>
    <w:rsid w:val="4F530677"/>
    <w:rsid w:val="4FC926E8"/>
    <w:rsid w:val="500B73F1"/>
    <w:rsid w:val="500C1941"/>
    <w:rsid w:val="50146059"/>
    <w:rsid w:val="50153264"/>
    <w:rsid w:val="501641E2"/>
    <w:rsid w:val="506C1C0F"/>
    <w:rsid w:val="5086622D"/>
    <w:rsid w:val="50DA4176"/>
    <w:rsid w:val="51150EB2"/>
    <w:rsid w:val="51194DFD"/>
    <w:rsid w:val="516E224A"/>
    <w:rsid w:val="517441D0"/>
    <w:rsid w:val="51915487"/>
    <w:rsid w:val="51C47367"/>
    <w:rsid w:val="5221680B"/>
    <w:rsid w:val="523202DF"/>
    <w:rsid w:val="525F6629"/>
    <w:rsid w:val="52662091"/>
    <w:rsid w:val="526B67E9"/>
    <w:rsid w:val="5271112F"/>
    <w:rsid w:val="530F41FC"/>
    <w:rsid w:val="5311062D"/>
    <w:rsid w:val="532B0D44"/>
    <w:rsid w:val="535D3873"/>
    <w:rsid w:val="5398078F"/>
    <w:rsid w:val="53E06252"/>
    <w:rsid w:val="53F71F19"/>
    <w:rsid w:val="54084ED6"/>
    <w:rsid w:val="542753A1"/>
    <w:rsid w:val="54854802"/>
    <w:rsid w:val="54901A26"/>
    <w:rsid w:val="54A43723"/>
    <w:rsid w:val="54CE6EAF"/>
    <w:rsid w:val="54D03C9C"/>
    <w:rsid w:val="54E63D3C"/>
    <w:rsid w:val="551B39E5"/>
    <w:rsid w:val="551B444E"/>
    <w:rsid w:val="555A35CD"/>
    <w:rsid w:val="55684528"/>
    <w:rsid w:val="556C4241"/>
    <w:rsid w:val="55B6441D"/>
    <w:rsid w:val="55B65529"/>
    <w:rsid w:val="55EE4BBB"/>
    <w:rsid w:val="5608718B"/>
    <w:rsid w:val="561D553B"/>
    <w:rsid w:val="56390E67"/>
    <w:rsid w:val="56494158"/>
    <w:rsid w:val="56712479"/>
    <w:rsid w:val="56A554C7"/>
    <w:rsid w:val="56AA4A70"/>
    <w:rsid w:val="56AD2D63"/>
    <w:rsid w:val="56DD18A6"/>
    <w:rsid w:val="57210980"/>
    <w:rsid w:val="573F0A76"/>
    <w:rsid w:val="574A45F6"/>
    <w:rsid w:val="57952AE1"/>
    <w:rsid w:val="580D7EA0"/>
    <w:rsid w:val="58850BFB"/>
    <w:rsid w:val="58E16CF4"/>
    <w:rsid w:val="58F52F9F"/>
    <w:rsid w:val="596C0CB3"/>
    <w:rsid w:val="599D2578"/>
    <w:rsid w:val="59BC12E8"/>
    <w:rsid w:val="59EA31D1"/>
    <w:rsid w:val="5A111B1F"/>
    <w:rsid w:val="5A2452CE"/>
    <w:rsid w:val="5A5B3E92"/>
    <w:rsid w:val="5A785436"/>
    <w:rsid w:val="5AA379C3"/>
    <w:rsid w:val="5AB21421"/>
    <w:rsid w:val="5B3A2F84"/>
    <w:rsid w:val="5BA37576"/>
    <w:rsid w:val="5BB64468"/>
    <w:rsid w:val="5C624351"/>
    <w:rsid w:val="5C641543"/>
    <w:rsid w:val="5C9145A1"/>
    <w:rsid w:val="5C9A78E6"/>
    <w:rsid w:val="5CAA1728"/>
    <w:rsid w:val="5CB309A7"/>
    <w:rsid w:val="5CB739DC"/>
    <w:rsid w:val="5CC23ABC"/>
    <w:rsid w:val="5CDA7B92"/>
    <w:rsid w:val="5CDC79CE"/>
    <w:rsid w:val="5CE54EEC"/>
    <w:rsid w:val="5CF3635E"/>
    <w:rsid w:val="5D011713"/>
    <w:rsid w:val="5D121B72"/>
    <w:rsid w:val="5D424768"/>
    <w:rsid w:val="5D6B3816"/>
    <w:rsid w:val="5D77716F"/>
    <w:rsid w:val="5D86727A"/>
    <w:rsid w:val="5DAA0C92"/>
    <w:rsid w:val="5DE04824"/>
    <w:rsid w:val="5DF91882"/>
    <w:rsid w:val="5E546573"/>
    <w:rsid w:val="5E5B62CD"/>
    <w:rsid w:val="5E60700A"/>
    <w:rsid w:val="5E927F34"/>
    <w:rsid w:val="5EA43F6C"/>
    <w:rsid w:val="5EB00226"/>
    <w:rsid w:val="5EBD3D5F"/>
    <w:rsid w:val="5F1B042C"/>
    <w:rsid w:val="5F2373F8"/>
    <w:rsid w:val="5F6917F1"/>
    <w:rsid w:val="5F7C7776"/>
    <w:rsid w:val="5FB46F10"/>
    <w:rsid w:val="5FB50F58"/>
    <w:rsid w:val="5FB92779"/>
    <w:rsid w:val="5FBF7663"/>
    <w:rsid w:val="5FD82173"/>
    <w:rsid w:val="5FEA46E0"/>
    <w:rsid w:val="60492E42"/>
    <w:rsid w:val="605E0C2A"/>
    <w:rsid w:val="60E43825"/>
    <w:rsid w:val="61187474"/>
    <w:rsid w:val="61345996"/>
    <w:rsid w:val="613D13AE"/>
    <w:rsid w:val="61813DAD"/>
    <w:rsid w:val="6194218D"/>
    <w:rsid w:val="624C7812"/>
    <w:rsid w:val="62A006C7"/>
    <w:rsid w:val="62AC64EE"/>
    <w:rsid w:val="62F74F8B"/>
    <w:rsid w:val="63471E49"/>
    <w:rsid w:val="635824E2"/>
    <w:rsid w:val="63654A0A"/>
    <w:rsid w:val="639A01CB"/>
    <w:rsid w:val="639D6B01"/>
    <w:rsid w:val="639F02D2"/>
    <w:rsid w:val="640D3093"/>
    <w:rsid w:val="640D3B66"/>
    <w:rsid w:val="64393E88"/>
    <w:rsid w:val="64712175"/>
    <w:rsid w:val="6472681C"/>
    <w:rsid w:val="647E23F1"/>
    <w:rsid w:val="647E5238"/>
    <w:rsid w:val="64884B71"/>
    <w:rsid w:val="64BB651F"/>
    <w:rsid w:val="64DE3FE3"/>
    <w:rsid w:val="652E34AF"/>
    <w:rsid w:val="6573194B"/>
    <w:rsid w:val="65FA778A"/>
    <w:rsid w:val="65FC7384"/>
    <w:rsid w:val="667473F9"/>
    <w:rsid w:val="66DA3E81"/>
    <w:rsid w:val="67090333"/>
    <w:rsid w:val="670A1B0C"/>
    <w:rsid w:val="671F2640"/>
    <w:rsid w:val="67584AD3"/>
    <w:rsid w:val="676E520B"/>
    <w:rsid w:val="67760380"/>
    <w:rsid w:val="67786CDA"/>
    <w:rsid w:val="679118E5"/>
    <w:rsid w:val="67D363A2"/>
    <w:rsid w:val="67DD58C0"/>
    <w:rsid w:val="67F716FA"/>
    <w:rsid w:val="68236F43"/>
    <w:rsid w:val="68376930"/>
    <w:rsid w:val="68442DFB"/>
    <w:rsid w:val="68444BA9"/>
    <w:rsid w:val="688C0778"/>
    <w:rsid w:val="68BD757A"/>
    <w:rsid w:val="68DE4D14"/>
    <w:rsid w:val="69085040"/>
    <w:rsid w:val="691D11B2"/>
    <w:rsid w:val="69284010"/>
    <w:rsid w:val="696279DD"/>
    <w:rsid w:val="69817F78"/>
    <w:rsid w:val="698E27B6"/>
    <w:rsid w:val="699C65A4"/>
    <w:rsid w:val="69AE4EDC"/>
    <w:rsid w:val="69DA1BE5"/>
    <w:rsid w:val="6A0C3698"/>
    <w:rsid w:val="6A184540"/>
    <w:rsid w:val="6A303637"/>
    <w:rsid w:val="6A303A66"/>
    <w:rsid w:val="6A723C2E"/>
    <w:rsid w:val="6A7C635B"/>
    <w:rsid w:val="6A902328"/>
    <w:rsid w:val="6AA80907"/>
    <w:rsid w:val="6ABC7744"/>
    <w:rsid w:val="6AD65A53"/>
    <w:rsid w:val="6B220C8E"/>
    <w:rsid w:val="6B697CE3"/>
    <w:rsid w:val="6B891D26"/>
    <w:rsid w:val="6BC77FCB"/>
    <w:rsid w:val="6BCA4A43"/>
    <w:rsid w:val="6BD918EA"/>
    <w:rsid w:val="6BE756B7"/>
    <w:rsid w:val="6BF012D0"/>
    <w:rsid w:val="6BFD63E1"/>
    <w:rsid w:val="6C1A6E04"/>
    <w:rsid w:val="6D2A6A64"/>
    <w:rsid w:val="6D304F8A"/>
    <w:rsid w:val="6D744C33"/>
    <w:rsid w:val="6DC923F8"/>
    <w:rsid w:val="6DDB5FB0"/>
    <w:rsid w:val="6DF00EFB"/>
    <w:rsid w:val="6E4E24CA"/>
    <w:rsid w:val="6E565636"/>
    <w:rsid w:val="6E934195"/>
    <w:rsid w:val="6EC4531E"/>
    <w:rsid w:val="6EEB3FD1"/>
    <w:rsid w:val="6F83245B"/>
    <w:rsid w:val="6F92269E"/>
    <w:rsid w:val="6FEA4288"/>
    <w:rsid w:val="700A7E1F"/>
    <w:rsid w:val="700C41FF"/>
    <w:rsid w:val="703074FA"/>
    <w:rsid w:val="70560956"/>
    <w:rsid w:val="70BB228C"/>
    <w:rsid w:val="70C51C39"/>
    <w:rsid w:val="70CB07B4"/>
    <w:rsid w:val="70D97BEC"/>
    <w:rsid w:val="70E03035"/>
    <w:rsid w:val="71540D27"/>
    <w:rsid w:val="71C84567"/>
    <w:rsid w:val="71F87130"/>
    <w:rsid w:val="71FD64F5"/>
    <w:rsid w:val="72302650"/>
    <w:rsid w:val="723B3BA8"/>
    <w:rsid w:val="72421065"/>
    <w:rsid w:val="724458C6"/>
    <w:rsid w:val="724D63AB"/>
    <w:rsid w:val="72806821"/>
    <w:rsid w:val="72951689"/>
    <w:rsid w:val="729554F8"/>
    <w:rsid w:val="72D97F5E"/>
    <w:rsid w:val="73133E56"/>
    <w:rsid w:val="731A08D6"/>
    <w:rsid w:val="732F6999"/>
    <w:rsid w:val="738F127B"/>
    <w:rsid w:val="73A67FE2"/>
    <w:rsid w:val="73A86917"/>
    <w:rsid w:val="73C1079A"/>
    <w:rsid w:val="73CE4365"/>
    <w:rsid w:val="73DD6114"/>
    <w:rsid w:val="742A67B4"/>
    <w:rsid w:val="745E7498"/>
    <w:rsid w:val="74BD5D70"/>
    <w:rsid w:val="74DF44C6"/>
    <w:rsid w:val="74EA6D2E"/>
    <w:rsid w:val="74F82FA3"/>
    <w:rsid w:val="75001AB3"/>
    <w:rsid w:val="751C1388"/>
    <w:rsid w:val="753A2397"/>
    <w:rsid w:val="7550691C"/>
    <w:rsid w:val="75830C1E"/>
    <w:rsid w:val="759B1E0B"/>
    <w:rsid w:val="75CA0DE4"/>
    <w:rsid w:val="75DA6091"/>
    <w:rsid w:val="75F55E6F"/>
    <w:rsid w:val="76100167"/>
    <w:rsid w:val="762566CA"/>
    <w:rsid w:val="762878B8"/>
    <w:rsid w:val="763C3364"/>
    <w:rsid w:val="767D24AB"/>
    <w:rsid w:val="76AC2297"/>
    <w:rsid w:val="76FE4366"/>
    <w:rsid w:val="770E4D00"/>
    <w:rsid w:val="771D0D1F"/>
    <w:rsid w:val="774C75D7"/>
    <w:rsid w:val="775B4735"/>
    <w:rsid w:val="77AA59F6"/>
    <w:rsid w:val="77DC4DFE"/>
    <w:rsid w:val="77FC4465"/>
    <w:rsid w:val="780B7492"/>
    <w:rsid w:val="7827320D"/>
    <w:rsid w:val="78276B74"/>
    <w:rsid w:val="787E049B"/>
    <w:rsid w:val="78D62ACB"/>
    <w:rsid w:val="794C172C"/>
    <w:rsid w:val="794E5CAB"/>
    <w:rsid w:val="795F76D0"/>
    <w:rsid w:val="79870D9A"/>
    <w:rsid w:val="798D38DE"/>
    <w:rsid w:val="7994169B"/>
    <w:rsid w:val="79C41429"/>
    <w:rsid w:val="79D86597"/>
    <w:rsid w:val="79E576FD"/>
    <w:rsid w:val="79EA348C"/>
    <w:rsid w:val="7A066163"/>
    <w:rsid w:val="7A353BD6"/>
    <w:rsid w:val="7A456C8B"/>
    <w:rsid w:val="7A4817AC"/>
    <w:rsid w:val="7A807CC3"/>
    <w:rsid w:val="7A8A6D94"/>
    <w:rsid w:val="7AA23297"/>
    <w:rsid w:val="7ACF27BA"/>
    <w:rsid w:val="7B297DA3"/>
    <w:rsid w:val="7B330631"/>
    <w:rsid w:val="7B921283"/>
    <w:rsid w:val="7BA45C33"/>
    <w:rsid w:val="7BB97DA2"/>
    <w:rsid w:val="7BE060A4"/>
    <w:rsid w:val="7BF5528F"/>
    <w:rsid w:val="7C36570A"/>
    <w:rsid w:val="7C3C40BE"/>
    <w:rsid w:val="7C4C0BEE"/>
    <w:rsid w:val="7C535E1B"/>
    <w:rsid w:val="7CD72A32"/>
    <w:rsid w:val="7CEF7E70"/>
    <w:rsid w:val="7CFC498C"/>
    <w:rsid w:val="7D2729A7"/>
    <w:rsid w:val="7D284642"/>
    <w:rsid w:val="7D2A2168"/>
    <w:rsid w:val="7D3E0C56"/>
    <w:rsid w:val="7DEB65FD"/>
    <w:rsid w:val="7E260B81"/>
    <w:rsid w:val="7E657F81"/>
    <w:rsid w:val="7E8F4979"/>
    <w:rsid w:val="7EC34622"/>
    <w:rsid w:val="7EF434AA"/>
    <w:rsid w:val="7EF819E8"/>
    <w:rsid w:val="7F2F5B89"/>
    <w:rsid w:val="7F7370C5"/>
    <w:rsid w:val="7F7B6CAB"/>
    <w:rsid w:val="7F8D71A4"/>
    <w:rsid w:val="7FB0104A"/>
    <w:rsid w:val="7FB633B8"/>
    <w:rsid w:val="7FBD31D4"/>
    <w:rsid w:val="7FD00F03"/>
    <w:rsid w:val="7FD703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Unicode MS" w:hAnsi="Arial Unicode MS" w:eastAsia="宋体" w:cs="Arial Unicode MS"/>
      <w:kern w:val="2"/>
      <w:sz w:val="18"/>
      <w:szCs w:val="24"/>
      <w:lang w:val="en-US" w:eastAsia="zh-CN" w:bidi="ar-SA"/>
    </w:rPr>
  </w:style>
  <w:style w:type="paragraph" w:styleId="3">
    <w:name w:val="heading 1"/>
    <w:basedOn w:val="1"/>
    <w:next w:val="1"/>
    <w:link w:val="49"/>
    <w:qFormat/>
    <w:uiPriority w:val="0"/>
    <w:pPr>
      <w:keepNext/>
      <w:outlineLvl w:val="0"/>
    </w:pPr>
    <w:rPr>
      <w:rFonts w:ascii="Verdana" w:hAnsi="Arial" w:eastAsia="Verdana" w:cs="Times New Roman"/>
      <w:b/>
      <w:kern w:val="0"/>
      <w:sz w:val="32"/>
    </w:rPr>
  </w:style>
  <w:style w:type="paragraph" w:styleId="4">
    <w:name w:val="heading 2"/>
    <w:basedOn w:val="1"/>
    <w:next w:val="1"/>
    <w:link w:val="52"/>
    <w:qFormat/>
    <w:uiPriority w:val="9"/>
    <w:pPr>
      <w:keepNext/>
      <w:keepLines/>
      <w:widowControl/>
      <w:spacing w:before="260" w:after="260"/>
      <w:ind w:left="284"/>
      <w:jc w:val="left"/>
      <w:outlineLvl w:val="1"/>
    </w:pPr>
    <w:rPr>
      <w:rFonts w:ascii="Wingdings" w:hAnsi="Wingdings" w:cs="Times New Roman"/>
      <w:b/>
      <w:bCs/>
      <w:kern w:val="0"/>
      <w:sz w:val="28"/>
      <w:szCs w:val="32"/>
    </w:rPr>
  </w:style>
  <w:style w:type="paragraph" w:styleId="5">
    <w:name w:val="heading 3"/>
    <w:basedOn w:val="1"/>
    <w:next w:val="6"/>
    <w:link w:val="53"/>
    <w:qFormat/>
    <w:uiPriority w:val="9"/>
    <w:pPr>
      <w:keepNext/>
      <w:spacing w:beforeLines="200" w:line="400" w:lineRule="exact"/>
      <w:jc w:val="center"/>
      <w:outlineLvl w:val="2"/>
    </w:pPr>
    <w:rPr>
      <w:rFonts w:cs="Times New Roman"/>
      <w:b/>
      <w:bCs/>
      <w:kern w:val="0"/>
      <w:sz w:val="20"/>
    </w:rPr>
  </w:style>
  <w:style w:type="paragraph" w:styleId="7">
    <w:name w:val="heading 4"/>
    <w:basedOn w:val="1"/>
    <w:next w:val="1"/>
    <w:link w:val="54"/>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8">
    <w:name w:val="heading 5"/>
    <w:basedOn w:val="1"/>
    <w:next w:val="1"/>
    <w:link w:val="55"/>
    <w:qFormat/>
    <w:uiPriority w:val="0"/>
    <w:pPr>
      <w:keepNext/>
      <w:keepLines/>
      <w:tabs>
        <w:tab w:val="left" w:pos="1008"/>
        <w:tab w:val="left" w:pos="1218"/>
      </w:tabs>
      <w:spacing w:before="60" w:line="360" w:lineRule="auto"/>
      <w:ind w:left="1008" w:hanging="1008"/>
      <w:outlineLvl w:val="4"/>
    </w:pPr>
    <w:rPr>
      <w:rFonts w:ascii="Symbol" w:hAnsi="Symbol" w:cs="Times New Roman"/>
      <w:bCs/>
      <w:kern w:val="0"/>
      <w:sz w:val="20"/>
    </w:rPr>
  </w:style>
  <w:style w:type="paragraph" w:styleId="9">
    <w:name w:val="heading 6"/>
    <w:basedOn w:val="1"/>
    <w:next w:val="1"/>
    <w:link w:val="56"/>
    <w:qFormat/>
    <w:uiPriority w:val="0"/>
    <w:pPr>
      <w:keepNext/>
      <w:keepLines/>
      <w:tabs>
        <w:tab w:val="left" w:pos="1152"/>
      </w:tabs>
      <w:spacing w:before="60" w:line="360" w:lineRule="auto"/>
      <w:ind w:left="1152" w:hanging="1152"/>
      <w:outlineLvl w:val="5"/>
    </w:pPr>
    <w:rPr>
      <w:rFonts w:ascii="Symbol" w:hAnsi="Symbol" w:cs="Times New Roman"/>
      <w:bCs/>
      <w:kern w:val="0"/>
      <w:sz w:val="20"/>
    </w:rPr>
  </w:style>
  <w:style w:type="paragraph" w:styleId="10">
    <w:name w:val="heading 7"/>
    <w:basedOn w:val="1"/>
    <w:next w:val="1"/>
    <w:link w:val="57"/>
    <w:qFormat/>
    <w:uiPriority w:val="0"/>
    <w:pPr>
      <w:keepNext/>
      <w:tabs>
        <w:tab w:val="left" w:pos="1296"/>
      </w:tabs>
      <w:autoSpaceDE w:val="0"/>
      <w:autoSpaceDN w:val="0"/>
      <w:adjustRightInd w:val="0"/>
      <w:spacing w:line="288" w:lineRule="auto"/>
      <w:ind w:left="1296" w:hanging="1296"/>
      <w:outlineLvl w:val="6"/>
    </w:pPr>
    <w:rPr>
      <w:rFonts w:ascii="Wingdings" w:hAnsi="Wingdings" w:cs="Times New Roman"/>
      <w:b/>
      <w:color w:val="000000"/>
      <w:kern w:val="0"/>
      <w:sz w:val="15"/>
    </w:rPr>
  </w:style>
  <w:style w:type="paragraph" w:styleId="11">
    <w:name w:val="heading 8"/>
    <w:basedOn w:val="1"/>
    <w:next w:val="1"/>
    <w:link w:val="58"/>
    <w:qFormat/>
    <w:uiPriority w:val="0"/>
    <w:pPr>
      <w:keepNext/>
      <w:tabs>
        <w:tab w:val="left" w:pos="1440"/>
      </w:tabs>
      <w:spacing w:line="360" w:lineRule="auto"/>
      <w:ind w:left="1440" w:hanging="1440"/>
      <w:outlineLvl w:val="7"/>
    </w:pPr>
    <w:rPr>
      <w:rFonts w:ascii="Verdana" w:eastAsia="Verdana" w:cs="Times New Roman"/>
      <w:b/>
      <w:kern w:val="0"/>
      <w:sz w:val="20"/>
    </w:rPr>
  </w:style>
  <w:style w:type="paragraph" w:styleId="12">
    <w:name w:val="heading 9"/>
    <w:basedOn w:val="1"/>
    <w:next w:val="1"/>
    <w:link w:val="59"/>
    <w:qFormat/>
    <w:uiPriority w:val="0"/>
    <w:pPr>
      <w:keepNext/>
      <w:keepLines/>
      <w:tabs>
        <w:tab w:val="left" w:pos="1584"/>
      </w:tabs>
      <w:spacing w:before="240" w:after="64" w:line="320" w:lineRule="auto"/>
      <w:ind w:left="1584" w:hanging="1584"/>
      <w:outlineLvl w:val="8"/>
    </w:pPr>
    <w:rPr>
      <w:rFonts w:ascii="Wingdings" w:hAnsi="Wingdings" w:eastAsia="Cambria Math" w:cs="Times New Roman"/>
      <w:kern w:val="0"/>
      <w:sz w:val="2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1"/>
    <w:unhideWhenUsed/>
    <w:qFormat/>
    <w:uiPriority w:val="0"/>
    <w:pPr>
      <w:ind w:firstLine="420" w:firstLineChars="200"/>
    </w:pPr>
    <w:rPr>
      <w:rFonts w:cs="Times New Roman"/>
      <w:kern w:val="0"/>
      <w:sz w:val="20"/>
    </w:rPr>
  </w:style>
  <w:style w:type="paragraph" w:customStyle="1" w:styleId="6">
    <w:name w:val="样式 标题 3 + 右侧:  0.49 字符"/>
    <w:basedOn w:val="5"/>
    <w:qFormat/>
    <w:uiPriority w:val="99"/>
    <w:pPr>
      <w:ind w:right="137" w:firstLine="138" w:firstLineChars="49"/>
    </w:pPr>
    <w:rPr>
      <w:rFonts w:cs="宋体"/>
      <w:szCs w:val="20"/>
    </w:rPr>
  </w:style>
  <w:style w:type="paragraph" w:styleId="13">
    <w:name w:val="toc 7"/>
    <w:basedOn w:val="1"/>
    <w:next w:val="1"/>
    <w:unhideWhenUsed/>
    <w:qFormat/>
    <w:uiPriority w:val="39"/>
    <w:pPr>
      <w:ind w:left="2520" w:leftChars="1200"/>
    </w:pPr>
    <w:rPr>
      <w:rFonts w:ascii="Cambria" w:hAnsi="Cambria"/>
      <w:szCs w:val="22"/>
    </w:rPr>
  </w:style>
  <w:style w:type="paragraph" w:styleId="14">
    <w:name w:val="caption"/>
    <w:basedOn w:val="1"/>
    <w:next w:val="1"/>
    <w:link w:val="85"/>
    <w:qFormat/>
    <w:uiPriority w:val="0"/>
    <w:pPr>
      <w:spacing w:before="152" w:after="160"/>
    </w:pPr>
    <w:rPr>
      <w:rFonts w:ascii="Wingdings" w:hAnsi="Wingdings" w:eastAsia="Cambria Math" w:cs="Times New Roman"/>
      <w:kern w:val="0"/>
      <w:sz w:val="20"/>
      <w:szCs w:val="20"/>
    </w:rPr>
  </w:style>
  <w:style w:type="paragraph" w:styleId="15">
    <w:name w:val="Document Map"/>
    <w:basedOn w:val="1"/>
    <w:link w:val="77"/>
    <w:qFormat/>
    <w:uiPriority w:val="0"/>
    <w:pPr>
      <w:shd w:val="clear" w:color="auto" w:fill="000080"/>
    </w:pPr>
    <w:rPr>
      <w:rFonts w:cs="Times New Roman"/>
      <w:kern w:val="0"/>
      <w:sz w:val="20"/>
    </w:rPr>
  </w:style>
  <w:style w:type="paragraph" w:styleId="16">
    <w:name w:val="annotation text"/>
    <w:basedOn w:val="1"/>
    <w:link w:val="72"/>
    <w:qFormat/>
    <w:uiPriority w:val="99"/>
    <w:pPr>
      <w:jc w:val="left"/>
    </w:pPr>
    <w:rPr>
      <w:rFonts w:cs="Times New Roman"/>
      <w:kern w:val="0"/>
      <w:sz w:val="20"/>
      <w:szCs w:val="20"/>
    </w:rPr>
  </w:style>
  <w:style w:type="paragraph" w:styleId="17">
    <w:name w:val="Body Text"/>
    <w:basedOn w:val="1"/>
    <w:next w:val="1"/>
    <w:link w:val="67"/>
    <w:qFormat/>
    <w:uiPriority w:val="0"/>
    <w:rPr>
      <w:rFonts w:cs="Times New Roman"/>
      <w:color w:val="993300"/>
      <w:kern w:val="0"/>
      <w:sz w:val="24"/>
    </w:rPr>
  </w:style>
  <w:style w:type="paragraph" w:styleId="18">
    <w:name w:val="Body Text Indent"/>
    <w:basedOn w:val="1"/>
    <w:link w:val="61"/>
    <w:qFormat/>
    <w:uiPriority w:val="0"/>
    <w:pPr>
      <w:ind w:firstLine="480"/>
    </w:pPr>
    <w:rPr>
      <w:rFonts w:ascii="Arial" w:hAnsi="Arial" w:cs="Times New Roman"/>
      <w:kern w:val="0"/>
      <w:sz w:val="20"/>
    </w:rPr>
  </w:style>
  <w:style w:type="paragraph" w:styleId="19">
    <w:name w:val="toc 5"/>
    <w:basedOn w:val="1"/>
    <w:next w:val="1"/>
    <w:unhideWhenUsed/>
    <w:qFormat/>
    <w:uiPriority w:val="39"/>
    <w:pPr>
      <w:ind w:left="1680" w:leftChars="800"/>
    </w:pPr>
    <w:rPr>
      <w:rFonts w:ascii="Cambria" w:hAnsi="Cambria"/>
      <w:szCs w:val="22"/>
    </w:rPr>
  </w:style>
  <w:style w:type="paragraph" w:styleId="20">
    <w:name w:val="toc 3"/>
    <w:basedOn w:val="1"/>
    <w:next w:val="1"/>
    <w:unhideWhenUsed/>
    <w:qFormat/>
    <w:uiPriority w:val="39"/>
    <w:pPr>
      <w:ind w:left="840" w:leftChars="400"/>
    </w:pPr>
  </w:style>
  <w:style w:type="paragraph" w:styleId="21">
    <w:name w:val="Plain Text"/>
    <w:basedOn w:val="1"/>
    <w:link w:val="64"/>
    <w:qFormat/>
    <w:uiPriority w:val="0"/>
    <w:rPr>
      <w:rFonts w:ascii="Arial" w:hAnsi="仿宋" w:cs="Times New Roman"/>
      <w:kern w:val="0"/>
      <w:sz w:val="20"/>
      <w:szCs w:val="21"/>
    </w:rPr>
  </w:style>
  <w:style w:type="paragraph" w:styleId="22">
    <w:name w:val="toc 8"/>
    <w:basedOn w:val="1"/>
    <w:next w:val="1"/>
    <w:unhideWhenUsed/>
    <w:qFormat/>
    <w:uiPriority w:val="39"/>
    <w:pPr>
      <w:ind w:left="2940" w:leftChars="1400"/>
    </w:pPr>
    <w:rPr>
      <w:rFonts w:ascii="Cambria" w:hAnsi="Cambria"/>
      <w:szCs w:val="22"/>
    </w:rPr>
  </w:style>
  <w:style w:type="paragraph" w:styleId="23">
    <w:name w:val="Date"/>
    <w:basedOn w:val="1"/>
    <w:next w:val="1"/>
    <w:link w:val="84"/>
    <w:qFormat/>
    <w:uiPriority w:val="0"/>
    <w:pPr>
      <w:spacing w:line="360" w:lineRule="auto"/>
    </w:pPr>
    <w:rPr>
      <w:rFonts w:ascii="Arial" w:cs="Times New Roman"/>
      <w:kern w:val="0"/>
      <w:sz w:val="24"/>
      <w:szCs w:val="20"/>
    </w:rPr>
  </w:style>
  <w:style w:type="paragraph" w:styleId="24">
    <w:name w:val="Body Text Indent 2"/>
    <w:basedOn w:val="1"/>
    <w:link w:val="68"/>
    <w:qFormat/>
    <w:uiPriority w:val="0"/>
    <w:pPr>
      <w:spacing w:after="120" w:line="480" w:lineRule="auto"/>
      <w:ind w:left="420" w:leftChars="200"/>
    </w:pPr>
    <w:rPr>
      <w:rFonts w:cs="Times New Roman"/>
      <w:kern w:val="0"/>
      <w:sz w:val="20"/>
    </w:rPr>
  </w:style>
  <w:style w:type="paragraph" w:styleId="25">
    <w:name w:val="Balloon Text"/>
    <w:basedOn w:val="1"/>
    <w:link w:val="71"/>
    <w:qFormat/>
    <w:uiPriority w:val="0"/>
    <w:rPr>
      <w:rFonts w:cs="Times New Roman"/>
      <w:kern w:val="0"/>
      <w:szCs w:val="18"/>
    </w:rPr>
  </w:style>
  <w:style w:type="paragraph" w:styleId="26">
    <w:name w:val="footer"/>
    <w:basedOn w:val="1"/>
    <w:link w:val="73"/>
    <w:unhideWhenUsed/>
    <w:qFormat/>
    <w:uiPriority w:val="99"/>
    <w:pPr>
      <w:tabs>
        <w:tab w:val="center" w:pos="4153"/>
        <w:tab w:val="right" w:pos="8306"/>
      </w:tabs>
      <w:snapToGrid w:val="0"/>
      <w:jc w:val="left"/>
    </w:pPr>
    <w:rPr>
      <w:rFonts w:ascii="Calibri" w:hAnsi="Calibri" w:cs="Times New Roman"/>
      <w:kern w:val="0"/>
      <w:szCs w:val="18"/>
    </w:rPr>
  </w:style>
  <w:style w:type="paragraph" w:styleId="27">
    <w:name w:val="header"/>
    <w:basedOn w:val="1"/>
    <w:link w:val="87"/>
    <w:unhideWhenUsed/>
    <w:qFormat/>
    <w:uiPriority w:val="99"/>
    <w:pPr>
      <w:pBdr>
        <w:bottom w:val="single" w:color="auto" w:sz="6" w:space="1"/>
      </w:pBdr>
      <w:tabs>
        <w:tab w:val="center" w:pos="4153"/>
        <w:tab w:val="right" w:pos="8306"/>
      </w:tabs>
      <w:snapToGrid w:val="0"/>
      <w:jc w:val="center"/>
    </w:pPr>
    <w:rPr>
      <w:rFonts w:ascii="Calibri" w:hAnsi="Calibri" w:cs="Times New Roman"/>
      <w:kern w:val="0"/>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rPr>
      <w:rFonts w:ascii="Cambria" w:hAnsi="Cambria"/>
      <w:szCs w:val="22"/>
    </w:rPr>
  </w:style>
  <w:style w:type="paragraph" w:styleId="30">
    <w:name w:val="Subtitle"/>
    <w:basedOn w:val="1"/>
    <w:next w:val="1"/>
    <w:link w:val="83"/>
    <w:qFormat/>
    <w:uiPriority w:val="0"/>
    <w:pPr>
      <w:spacing w:before="240" w:after="60" w:line="312" w:lineRule="auto"/>
      <w:jc w:val="center"/>
      <w:outlineLvl w:val="1"/>
    </w:pPr>
    <w:rPr>
      <w:rFonts w:ascii="等线 Light" w:hAnsi="等线 Light" w:eastAsia="Arial" w:cs="Times New Roman"/>
      <w:b/>
      <w:bCs/>
      <w:kern w:val="28"/>
      <w:sz w:val="32"/>
      <w:szCs w:val="32"/>
    </w:rPr>
  </w:style>
  <w:style w:type="paragraph" w:styleId="31">
    <w:name w:val="toc 6"/>
    <w:basedOn w:val="1"/>
    <w:next w:val="1"/>
    <w:unhideWhenUsed/>
    <w:qFormat/>
    <w:uiPriority w:val="39"/>
    <w:pPr>
      <w:ind w:left="2100" w:leftChars="1000"/>
    </w:pPr>
    <w:rPr>
      <w:rFonts w:ascii="Cambria" w:hAnsi="Cambria"/>
      <w:szCs w:val="22"/>
    </w:rPr>
  </w:style>
  <w:style w:type="paragraph" w:styleId="32">
    <w:name w:val="Body Text Indent 3"/>
    <w:basedOn w:val="1"/>
    <w:link w:val="60"/>
    <w:qFormat/>
    <w:uiPriority w:val="0"/>
    <w:pPr>
      <w:spacing w:after="120"/>
      <w:ind w:left="420" w:leftChars="200"/>
    </w:pPr>
    <w:rPr>
      <w:rFonts w:cs="Times New Roman"/>
      <w:kern w:val="0"/>
      <w:sz w:val="16"/>
      <w:szCs w:val="16"/>
    </w:rPr>
  </w:style>
  <w:style w:type="paragraph" w:styleId="33">
    <w:name w:val="toc 2"/>
    <w:basedOn w:val="1"/>
    <w:next w:val="1"/>
    <w:unhideWhenUsed/>
    <w:qFormat/>
    <w:uiPriority w:val="39"/>
    <w:pPr>
      <w:ind w:left="420" w:leftChars="200"/>
    </w:pPr>
  </w:style>
  <w:style w:type="paragraph" w:styleId="34">
    <w:name w:val="toc 9"/>
    <w:basedOn w:val="1"/>
    <w:next w:val="1"/>
    <w:unhideWhenUsed/>
    <w:qFormat/>
    <w:uiPriority w:val="39"/>
    <w:pPr>
      <w:ind w:left="3360" w:leftChars="1600"/>
    </w:pPr>
    <w:rPr>
      <w:rFonts w:ascii="Cambria" w:hAnsi="Cambria"/>
      <w:szCs w:val="22"/>
    </w:rPr>
  </w:style>
  <w:style w:type="paragraph" w:styleId="35">
    <w:name w:val="Body Text 2"/>
    <w:basedOn w:val="1"/>
    <w:qFormat/>
    <w:uiPriority w:val="0"/>
    <w:pPr>
      <w:spacing w:after="50" w:afterLines="0" w:line="500" w:lineRule="atLeast"/>
    </w:pPr>
    <w:rPr>
      <w:sz w:val="24"/>
    </w:rPr>
  </w:style>
  <w:style w:type="paragraph" w:styleId="36">
    <w:name w:val="Normal (Web)"/>
    <w:basedOn w:val="1"/>
    <w:qFormat/>
    <w:uiPriority w:val="0"/>
    <w:pPr>
      <w:widowControl/>
      <w:spacing w:before="100" w:beforeAutospacing="1" w:after="100" w:afterAutospacing="1"/>
      <w:jc w:val="left"/>
    </w:pPr>
    <w:rPr>
      <w:rFonts w:ascii="Arial" w:hAnsi="Arial" w:cs="Arial"/>
      <w:kern w:val="0"/>
      <w:sz w:val="24"/>
    </w:rPr>
  </w:style>
  <w:style w:type="paragraph" w:styleId="37">
    <w:name w:val="Title"/>
    <w:basedOn w:val="1"/>
    <w:next w:val="1"/>
    <w:link w:val="76"/>
    <w:qFormat/>
    <w:uiPriority w:val="0"/>
    <w:pPr>
      <w:spacing w:before="240" w:after="60"/>
      <w:jc w:val="center"/>
      <w:outlineLvl w:val="0"/>
    </w:pPr>
    <w:rPr>
      <w:rFonts w:ascii="等线 Light" w:hAnsi="等线 Light" w:eastAsia="Arial" w:cs="Times New Roman"/>
      <w:b/>
      <w:bCs/>
      <w:kern w:val="0"/>
      <w:sz w:val="32"/>
      <w:szCs w:val="32"/>
    </w:rPr>
  </w:style>
  <w:style w:type="paragraph" w:styleId="38">
    <w:name w:val="annotation subject"/>
    <w:basedOn w:val="16"/>
    <w:next w:val="16"/>
    <w:link w:val="78"/>
    <w:unhideWhenUsed/>
    <w:qFormat/>
    <w:uiPriority w:val="99"/>
    <w:pPr>
      <w:spacing w:line="324" w:lineRule="auto"/>
    </w:pPr>
    <w:rPr>
      <w:b/>
      <w:bCs/>
      <w:szCs w:val="24"/>
    </w:rPr>
  </w:style>
  <w:style w:type="table" w:styleId="40">
    <w:name w:val="Table Grid"/>
    <w:basedOn w:val="39"/>
    <w:unhideWhenUsed/>
    <w:qFormat/>
    <w:uiPriority w:val="99"/>
    <w:rPr>
      <w:rFonts w:ascii="Arial Unicode MS" w:hAnsi="Arial Unicode MS" w:eastAsia="Arial" w:cs="Arial Unicode M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unhideWhenUsed/>
    <w:qFormat/>
    <w:uiPriority w:val="99"/>
    <w:rPr>
      <w:sz w:val="21"/>
      <w:szCs w:val="21"/>
    </w:rPr>
  </w:style>
  <w:style w:type="paragraph" w:customStyle="1" w:styleId="48">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49">
    <w:name w:val="标题 1 Char"/>
    <w:link w:val="3"/>
    <w:qFormat/>
    <w:uiPriority w:val="0"/>
    <w:rPr>
      <w:rFonts w:ascii="Verdana" w:hAnsi="Arial" w:eastAsia="Verdana" w:cs="Arial Unicode MS"/>
      <w:b/>
      <w:sz w:val="32"/>
      <w:szCs w:val="24"/>
    </w:rPr>
  </w:style>
  <w:style w:type="paragraph" w:customStyle="1" w:styleId="50">
    <w:name w:val="Default"/>
    <w:basedOn w:val="1"/>
    <w:qFormat/>
    <w:uiPriority w:val="0"/>
    <w:pPr>
      <w:autoSpaceDE w:val="0"/>
      <w:autoSpaceDN w:val="0"/>
      <w:adjustRightInd w:val="0"/>
      <w:jc w:val="left"/>
    </w:pPr>
    <w:rPr>
      <w:rFonts w:ascii="Calibri" w:hAnsi="Calibri" w:cs="宋体"/>
      <w:color w:val="000000"/>
      <w:sz w:val="24"/>
    </w:rPr>
  </w:style>
  <w:style w:type="character" w:customStyle="1" w:styleId="51">
    <w:name w:val="正文缩进 Char"/>
    <w:link w:val="2"/>
    <w:qFormat/>
    <w:uiPriority w:val="0"/>
    <w:rPr>
      <w:rFonts w:ascii="Arial Unicode MS" w:hAnsi="Arial Unicode MS" w:eastAsia="宋体" w:cs="Arial Unicode MS"/>
      <w:szCs w:val="24"/>
    </w:rPr>
  </w:style>
  <w:style w:type="character" w:customStyle="1" w:styleId="52">
    <w:name w:val="标题 2 Char"/>
    <w:link w:val="4"/>
    <w:qFormat/>
    <w:uiPriority w:val="9"/>
    <w:rPr>
      <w:rFonts w:ascii="Wingdings" w:hAnsi="Wingdings" w:eastAsia="宋体" w:cs="Arial Unicode MS"/>
      <w:b/>
      <w:bCs/>
      <w:sz w:val="28"/>
      <w:szCs w:val="32"/>
    </w:rPr>
  </w:style>
  <w:style w:type="character" w:customStyle="1" w:styleId="53">
    <w:name w:val="标题 3 Char"/>
    <w:link w:val="5"/>
    <w:qFormat/>
    <w:uiPriority w:val="9"/>
    <w:rPr>
      <w:rFonts w:ascii="Arial Unicode MS" w:hAnsi="Arial Unicode MS" w:eastAsia="宋体" w:cs="Arial Unicode MS"/>
      <w:b/>
      <w:bCs/>
      <w:szCs w:val="24"/>
    </w:rPr>
  </w:style>
  <w:style w:type="character" w:customStyle="1" w:styleId="54">
    <w:name w:val="标题 4 Char"/>
    <w:link w:val="7"/>
    <w:qFormat/>
    <w:uiPriority w:val="0"/>
    <w:rPr>
      <w:rFonts w:ascii="Wingdings" w:hAnsi="Wingdings" w:eastAsia="宋体" w:cs="Arial Unicode MS"/>
      <w:bCs/>
      <w:szCs w:val="28"/>
    </w:rPr>
  </w:style>
  <w:style w:type="character" w:customStyle="1" w:styleId="55">
    <w:name w:val="标题 5 Char"/>
    <w:link w:val="8"/>
    <w:qFormat/>
    <w:uiPriority w:val="0"/>
    <w:rPr>
      <w:rFonts w:ascii="Symbol" w:hAnsi="Symbol" w:eastAsia="宋体" w:cs="Arial Unicode MS"/>
      <w:bCs/>
      <w:szCs w:val="24"/>
    </w:rPr>
  </w:style>
  <w:style w:type="character" w:customStyle="1" w:styleId="56">
    <w:name w:val="标题 6 Char"/>
    <w:link w:val="9"/>
    <w:qFormat/>
    <w:uiPriority w:val="0"/>
    <w:rPr>
      <w:rFonts w:ascii="Symbol" w:hAnsi="Symbol" w:eastAsia="宋体" w:cs="Arial Unicode MS"/>
      <w:bCs/>
      <w:szCs w:val="24"/>
    </w:rPr>
  </w:style>
  <w:style w:type="character" w:customStyle="1" w:styleId="57">
    <w:name w:val="标题 7 Char"/>
    <w:link w:val="10"/>
    <w:qFormat/>
    <w:uiPriority w:val="0"/>
    <w:rPr>
      <w:rFonts w:ascii="Wingdings" w:hAnsi="Wingdings" w:eastAsia="宋体" w:cs="Arial Unicode MS"/>
      <w:b/>
      <w:color w:val="000000"/>
      <w:sz w:val="15"/>
      <w:szCs w:val="24"/>
    </w:rPr>
  </w:style>
  <w:style w:type="character" w:customStyle="1" w:styleId="58">
    <w:name w:val="标题 8 Char"/>
    <w:link w:val="11"/>
    <w:qFormat/>
    <w:uiPriority w:val="0"/>
    <w:rPr>
      <w:rFonts w:ascii="Verdana" w:hAnsi="Arial Unicode MS" w:eastAsia="Verdana" w:cs="Arial Unicode MS"/>
      <w:b/>
      <w:szCs w:val="24"/>
    </w:rPr>
  </w:style>
  <w:style w:type="character" w:customStyle="1" w:styleId="59">
    <w:name w:val="标题 9 Char"/>
    <w:link w:val="12"/>
    <w:qFormat/>
    <w:uiPriority w:val="0"/>
    <w:rPr>
      <w:rFonts w:ascii="Wingdings" w:hAnsi="Wingdings" w:eastAsia="Cambria Math" w:cs="Arial Unicode MS"/>
      <w:szCs w:val="21"/>
    </w:rPr>
  </w:style>
  <w:style w:type="character" w:customStyle="1" w:styleId="60">
    <w:name w:val="正文文本缩进 3 Char"/>
    <w:link w:val="32"/>
    <w:qFormat/>
    <w:uiPriority w:val="0"/>
    <w:rPr>
      <w:rFonts w:ascii="Arial Unicode MS" w:hAnsi="Arial Unicode MS" w:eastAsia="宋体" w:cs="Arial Unicode MS"/>
      <w:sz w:val="16"/>
      <w:szCs w:val="16"/>
    </w:rPr>
  </w:style>
  <w:style w:type="character" w:customStyle="1" w:styleId="61">
    <w:name w:val="正文文本缩进 Char"/>
    <w:link w:val="18"/>
    <w:qFormat/>
    <w:uiPriority w:val="0"/>
    <w:rPr>
      <w:rFonts w:ascii="Arial" w:hAnsi="Arial" w:eastAsia="宋体" w:cs="Arial Unicode MS"/>
      <w:szCs w:val="24"/>
    </w:rPr>
  </w:style>
  <w:style w:type="character" w:customStyle="1" w:styleId="62">
    <w:name w:val="样式3 Char"/>
    <w:link w:val="63"/>
    <w:qFormat/>
    <w:uiPriority w:val="0"/>
    <w:rPr>
      <w:rFonts w:ascii="Arial" w:hAnsi="仿宋" w:eastAsia="宋体" w:cs="Arial Unicode MS"/>
      <w:sz w:val="28"/>
      <w:szCs w:val="24"/>
    </w:rPr>
  </w:style>
  <w:style w:type="paragraph" w:customStyle="1" w:styleId="63">
    <w:name w:val="样式3"/>
    <w:basedOn w:val="21"/>
    <w:link w:val="62"/>
    <w:qFormat/>
    <w:uiPriority w:val="0"/>
    <w:pPr>
      <w:spacing w:line="0" w:lineRule="atLeast"/>
      <w:outlineLvl w:val="0"/>
    </w:pPr>
    <w:rPr>
      <w:sz w:val="28"/>
      <w:szCs w:val="24"/>
    </w:rPr>
  </w:style>
  <w:style w:type="character" w:customStyle="1" w:styleId="64">
    <w:name w:val="纯文本 Char"/>
    <w:link w:val="21"/>
    <w:qFormat/>
    <w:uiPriority w:val="0"/>
    <w:rPr>
      <w:rFonts w:ascii="Arial" w:hAnsi="仿宋" w:eastAsia="宋体" w:cs="仿宋"/>
      <w:szCs w:val="21"/>
    </w:rPr>
  </w:style>
  <w:style w:type="character" w:customStyle="1" w:styleId="65">
    <w:name w:val="招标书 正文 Char Char"/>
    <w:link w:val="66"/>
    <w:qFormat/>
    <w:uiPriority w:val="0"/>
    <w:rPr>
      <w:rFonts w:ascii="Arial Unicode MS" w:hAnsi="Arial" w:eastAsia="Arial" w:cs="Arial Unicode MS"/>
      <w:color w:val="000000"/>
      <w:szCs w:val="28"/>
    </w:rPr>
  </w:style>
  <w:style w:type="paragraph" w:customStyle="1" w:styleId="66">
    <w:name w:val="招标书 正文"/>
    <w:basedOn w:val="1"/>
    <w:link w:val="65"/>
    <w:qFormat/>
    <w:uiPriority w:val="0"/>
    <w:pPr>
      <w:widowControl/>
      <w:snapToGrid w:val="0"/>
      <w:spacing w:line="560" w:lineRule="exact"/>
      <w:ind w:firstLine="560" w:firstLineChars="200"/>
      <w:jc w:val="left"/>
    </w:pPr>
    <w:rPr>
      <w:rFonts w:hAnsi="Arial" w:eastAsia="Arial" w:cs="Times New Roman"/>
      <w:color w:val="000000"/>
      <w:kern w:val="0"/>
      <w:sz w:val="20"/>
      <w:szCs w:val="28"/>
    </w:rPr>
  </w:style>
  <w:style w:type="character" w:customStyle="1" w:styleId="67">
    <w:name w:val="正文文本 Char"/>
    <w:link w:val="17"/>
    <w:qFormat/>
    <w:uiPriority w:val="0"/>
    <w:rPr>
      <w:rFonts w:ascii="Arial Unicode MS" w:hAnsi="Arial Unicode MS" w:eastAsia="宋体" w:cs="Arial Unicode MS"/>
      <w:color w:val="993300"/>
      <w:sz w:val="24"/>
      <w:szCs w:val="24"/>
    </w:rPr>
  </w:style>
  <w:style w:type="character" w:customStyle="1" w:styleId="68">
    <w:name w:val="正文文本缩进 2 Char"/>
    <w:link w:val="24"/>
    <w:qFormat/>
    <w:uiPriority w:val="0"/>
    <w:rPr>
      <w:rFonts w:ascii="Arial Unicode MS" w:hAnsi="Arial Unicode MS" w:eastAsia="宋体" w:cs="Arial Unicode MS"/>
      <w:szCs w:val="24"/>
    </w:rPr>
  </w:style>
  <w:style w:type="character" w:customStyle="1" w:styleId="69">
    <w:name w:val="正文chx Char"/>
    <w:link w:val="70"/>
    <w:qFormat/>
    <w:locked/>
    <w:uiPriority w:val="0"/>
    <w:rPr>
      <w:rFonts w:ascii="Arial" w:hAnsi="Arial" w:eastAsia="Arial" w:cs="Arial Unicode MS"/>
      <w:kern w:val="0"/>
      <w:sz w:val="24"/>
      <w:szCs w:val="24"/>
    </w:rPr>
  </w:style>
  <w:style w:type="paragraph" w:customStyle="1" w:styleId="70">
    <w:name w:val="正文chx"/>
    <w:basedOn w:val="1"/>
    <w:link w:val="69"/>
    <w:qFormat/>
    <w:uiPriority w:val="0"/>
    <w:pPr>
      <w:spacing w:line="360" w:lineRule="auto"/>
      <w:ind w:firstLine="480" w:firstLineChars="200"/>
    </w:pPr>
    <w:rPr>
      <w:rFonts w:ascii="Arial" w:hAnsi="Arial" w:eastAsia="Arial" w:cs="Times New Roman"/>
      <w:kern w:val="0"/>
      <w:sz w:val="24"/>
    </w:rPr>
  </w:style>
  <w:style w:type="character" w:customStyle="1" w:styleId="71">
    <w:name w:val="批注框文本 Char"/>
    <w:link w:val="25"/>
    <w:qFormat/>
    <w:uiPriority w:val="0"/>
    <w:rPr>
      <w:rFonts w:ascii="Arial Unicode MS" w:hAnsi="Arial Unicode MS" w:eastAsia="宋体" w:cs="Arial Unicode MS"/>
      <w:sz w:val="18"/>
      <w:szCs w:val="18"/>
    </w:rPr>
  </w:style>
  <w:style w:type="character" w:customStyle="1" w:styleId="72">
    <w:name w:val="批注文字 Char"/>
    <w:link w:val="16"/>
    <w:qFormat/>
    <w:uiPriority w:val="99"/>
    <w:rPr>
      <w:rFonts w:ascii="Arial Unicode MS" w:hAnsi="Arial Unicode MS" w:eastAsia="宋体" w:cs="Arial Unicode MS"/>
      <w:szCs w:val="20"/>
    </w:rPr>
  </w:style>
  <w:style w:type="character" w:customStyle="1" w:styleId="73">
    <w:name w:val="页脚 Char"/>
    <w:link w:val="26"/>
    <w:qFormat/>
    <w:uiPriority w:val="99"/>
    <w:rPr>
      <w:sz w:val="18"/>
      <w:szCs w:val="18"/>
    </w:rPr>
  </w:style>
  <w:style w:type="character" w:customStyle="1" w:styleId="74">
    <w:name w:val="Char Char Char Char"/>
    <w:link w:val="75"/>
    <w:qFormat/>
    <w:uiPriority w:val="0"/>
    <w:rPr>
      <w:rFonts w:eastAsia="Arial"/>
      <w:szCs w:val="24"/>
    </w:rPr>
  </w:style>
  <w:style w:type="paragraph" w:customStyle="1" w:styleId="75">
    <w:name w:val="Char"/>
    <w:basedOn w:val="1"/>
    <w:link w:val="74"/>
    <w:qFormat/>
    <w:uiPriority w:val="0"/>
    <w:rPr>
      <w:rFonts w:ascii="Calibri" w:hAnsi="Calibri" w:eastAsia="Arial" w:cs="Times New Roman"/>
      <w:kern w:val="0"/>
      <w:sz w:val="20"/>
    </w:rPr>
  </w:style>
  <w:style w:type="character" w:customStyle="1" w:styleId="76">
    <w:name w:val="标题 Char"/>
    <w:link w:val="37"/>
    <w:qFormat/>
    <w:uiPriority w:val="0"/>
    <w:rPr>
      <w:rFonts w:ascii="等线 Light" w:hAnsi="等线 Light" w:eastAsia="Arial" w:cs="Arial Unicode MS"/>
      <w:b/>
      <w:bCs/>
      <w:sz w:val="32"/>
      <w:szCs w:val="32"/>
    </w:rPr>
  </w:style>
  <w:style w:type="character" w:customStyle="1" w:styleId="77">
    <w:name w:val="文档结构图 Char"/>
    <w:link w:val="15"/>
    <w:qFormat/>
    <w:uiPriority w:val="0"/>
    <w:rPr>
      <w:rFonts w:ascii="Arial Unicode MS" w:hAnsi="Arial Unicode MS" w:eastAsia="宋体" w:cs="Arial Unicode MS"/>
      <w:szCs w:val="24"/>
      <w:shd w:val="clear" w:color="auto" w:fill="000080"/>
    </w:rPr>
  </w:style>
  <w:style w:type="character" w:customStyle="1" w:styleId="78">
    <w:name w:val="批注主题 Char1"/>
    <w:link w:val="38"/>
    <w:semiHidden/>
    <w:qFormat/>
    <w:uiPriority w:val="99"/>
    <w:rPr>
      <w:rFonts w:ascii="Arial Unicode MS" w:hAnsi="Arial Unicode MS" w:eastAsia="宋体" w:cs="Arial Unicode MS"/>
      <w:b/>
      <w:bCs/>
      <w:szCs w:val="24"/>
    </w:rPr>
  </w:style>
  <w:style w:type="character" w:customStyle="1" w:styleId="79">
    <w:name w:val="无间隔 Char"/>
    <w:link w:val="80"/>
    <w:qFormat/>
    <w:uiPriority w:val="1"/>
    <w:rPr>
      <w:rFonts w:ascii="Cambria" w:hAnsi="Cambria" w:cs="Arial Unicode MS"/>
      <w:kern w:val="2"/>
      <w:sz w:val="21"/>
      <w:szCs w:val="22"/>
      <w:lang w:val="en-US" w:eastAsia="zh-CN" w:bidi="ar-SA"/>
    </w:rPr>
  </w:style>
  <w:style w:type="paragraph" w:styleId="80">
    <w:name w:val="No Spacing"/>
    <w:link w:val="79"/>
    <w:qFormat/>
    <w:uiPriority w:val="1"/>
    <w:pPr>
      <w:widowControl w:val="0"/>
      <w:jc w:val="both"/>
    </w:pPr>
    <w:rPr>
      <w:rFonts w:ascii="Cambria" w:hAnsi="Cambria" w:eastAsia="宋体" w:cs="Arial Unicode MS"/>
      <w:kern w:val="2"/>
      <w:sz w:val="21"/>
      <w:szCs w:val="22"/>
      <w:lang w:val="en-US" w:eastAsia="zh-CN" w:bidi="ar-SA"/>
    </w:rPr>
  </w:style>
  <w:style w:type="character" w:customStyle="1" w:styleId="81">
    <w:name w:val="列出段落 Char"/>
    <w:link w:val="82"/>
    <w:qFormat/>
    <w:uiPriority w:val="0"/>
    <w:rPr>
      <w:rFonts w:ascii="Cambria" w:hAnsi="Cambria" w:eastAsia="Arial" w:cs="Arial Unicode MS"/>
    </w:rPr>
  </w:style>
  <w:style w:type="paragraph" w:styleId="82">
    <w:name w:val="List Paragraph"/>
    <w:basedOn w:val="1"/>
    <w:link w:val="81"/>
    <w:qFormat/>
    <w:uiPriority w:val="34"/>
    <w:pPr>
      <w:ind w:firstLine="420" w:firstLineChars="200"/>
    </w:pPr>
    <w:rPr>
      <w:rFonts w:ascii="Cambria" w:hAnsi="Cambria" w:eastAsia="Arial" w:cs="Times New Roman"/>
      <w:kern w:val="0"/>
      <w:sz w:val="20"/>
      <w:szCs w:val="20"/>
    </w:rPr>
  </w:style>
  <w:style w:type="character" w:customStyle="1" w:styleId="83">
    <w:name w:val="副标题 Char"/>
    <w:link w:val="30"/>
    <w:qFormat/>
    <w:uiPriority w:val="0"/>
    <w:rPr>
      <w:rFonts w:ascii="等线 Light" w:hAnsi="等线 Light" w:eastAsia="Arial" w:cs="Arial Unicode MS"/>
      <w:b/>
      <w:bCs/>
      <w:kern w:val="28"/>
      <w:sz w:val="32"/>
      <w:szCs w:val="32"/>
    </w:rPr>
  </w:style>
  <w:style w:type="character" w:customStyle="1" w:styleId="84">
    <w:name w:val="日期 Char"/>
    <w:link w:val="23"/>
    <w:qFormat/>
    <w:uiPriority w:val="0"/>
    <w:rPr>
      <w:rFonts w:ascii="Arial" w:hAnsi="Arial Unicode MS" w:eastAsia="宋体" w:cs="Arial Unicode MS"/>
      <w:sz w:val="24"/>
      <w:szCs w:val="20"/>
    </w:rPr>
  </w:style>
  <w:style w:type="character" w:customStyle="1" w:styleId="85">
    <w:name w:val="题注 Char"/>
    <w:link w:val="14"/>
    <w:qFormat/>
    <w:uiPriority w:val="0"/>
    <w:rPr>
      <w:rFonts w:ascii="Wingdings" w:hAnsi="Wingdings" w:eastAsia="Cambria Math" w:cs="Wingdings"/>
    </w:rPr>
  </w:style>
  <w:style w:type="character" w:customStyle="1" w:styleId="86">
    <w:name w:val="批注主题 Char"/>
    <w:semiHidden/>
    <w:qFormat/>
    <w:uiPriority w:val="99"/>
    <w:rPr>
      <w:rFonts w:ascii="Arial Unicode MS" w:hAnsi="Arial Unicode MS" w:eastAsia="宋体" w:cs="Arial Unicode MS"/>
      <w:b/>
      <w:bCs/>
      <w:szCs w:val="20"/>
    </w:rPr>
  </w:style>
  <w:style w:type="character" w:customStyle="1" w:styleId="87">
    <w:name w:val="页眉 Char"/>
    <w:link w:val="27"/>
    <w:qFormat/>
    <w:uiPriority w:val="99"/>
    <w:rPr>
      <w:sz w:val="18"/>
      <w:szCs w:val="18"/>
    </w:rPr>
  </w:style>
  <w:style w:type="character" w:customStyle="1" w:styleId="88">
    <w:name w:val="09正文_wh Char Char"/>
    <w:link w:val="89"/>
    <w:qFormat/>
    <w:uiPriority w:val="0"/>
    <w:rPr>
      <w:kern w:val="2"/>
      <w:sz w:val="28"/>
      <w:szCs w:val="22"/>
      <w:lang w:val="en-US" w:eastAsia="zh-CN" w:bidi="ar-SA"/>
    </w:rPr>
  </w:style>
  <w:style w:type="paragraph" w:customStyle="1" w:styleId="89">
    <w:name w:val="09正文_wh"/>
    <w:link w:val="88"/>
    <w:qFormat/>
    <w:uiPriority w:val="0"/>
    <w:pPr>
      <w:spacing w:line="300" w:lineRule="auto"/>
      <w:ind w:firstLine="200" w:firstLineChars="200"/>
      <w:jc w:val="both"/>
    </w:pPr>
    <w:rPr>
      <w:rFonts w:ascii="Calibri" w:hAnsi="Calibri" w:eastAsia="宋体" w:cs="Times New Roman"/>
      <w:kern w:val="2"/>
      <w:sz w:val="28"/>
      <w:szCs w:val="22"/>
      <w:lang w:val="en-US" w:eastAsia="zh-CN" w:bidi="ar-SA"/>
    </w:rPr>
  </w:style>
  <w:style w:type="paragraph" w:customStyle="1" w:styleId="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9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9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93">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8"/>
      <w:szCs w:val="28"/>
    </w:rPr>
  </w:style>
  <w:style w:type="paragraph" w:customStyle="1" w:styleId="94">
    <w:name w:val="xl57"/>
    <w:basedOn w:val="1"/>
    <w:qFormat/>
    <w:uiPriority w:val="0"/>
    <w:pPr>
      <w:widowControl/>
      <w:pBdr>
        <w:top w:val="single" w:color="auto" w:sz="4" w:space="0"/>
        <w:bottom w:val="single" w:color="auto" w:sz="4" w:space="0"/>
      </w:pBdr>
      <w:spacing w:before="100" w:beforeAutospacing="1" w:after="100" w:afterAutospacing="1"/>
      <w:jc w:val="left"/>
    </w:pPr>
    <w:rPr>
      <w:rFonts w:ascii="Arial" w:hAnsi="Arial" w:cs="Arial"/>
      <w:b/>
      <w:bCs/>
      <w:kern w:val="0"/>
      <w:sz w:val="24"/>
    </w:rPr>
  </w:style>
  <w:style w:type="paragraph" w:customStyle="1" w:styleId="9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96">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97">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w:hAnsi="Arial" w:cs="Arial"/>
      <w:b/>
      <w:bCs/>
      <w:kern w:val="0"/>
      <w:sz w:val="24"/>
    </w:rPr>
  </w:style>
  <w:style w:type="paragraph" w:customStyle="1" w:styleId="9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99">
    <w:name w:val="正文（不缩进）"/>
    <w:basedOn w:val="1"/>
    <w:qFormat/>
    <w:uiPriority w:val="0"/>
    <w:pPr>
      <w:tabs>
        <w:tab w:val="left" w:pos="420"/>
      </w:tabs>
      <w:spacing w:line="360" w:lineRule="auto"/>
    </w:pPr>
    <w:rPr>
      <w:szCs w:val="20"/>
    </w:rPr>
  </w:style>
  <w:style w:type="paragraph" w:customStyle="1" w:styleId="1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4"/>
    </w:rPr>
  </w:style>
  <w:style w:type="paragraph" w:customStyle="1" w:styleId="10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4"/>
    </w:rPr>
  </w:style>
  <w:style w:type="paragraph" w:customStyle="1" w:styleId="10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104">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0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06">
    <w:name w:val="列出段落1"/>
    <w:basedOn w:val="1"/>
    <w:qFormat/>
    <w:uiPriority w:val="0"/>
    <w:pPr>
      <w:ind w:firstLine="420" w:firstLineChars="200"/>
    </w:pPr>
  </w:style>
  <w:style w:type="paragraph" w:customStyle="1" w:styleId="107">
    <w:name w:val="04正文二级标题"/>
    <w:qFormat/>
    <w:uiPriority w:val="0"/>
    <w:pPr>
      <w:spacing w:line="300" w:lineRule="auto"/>
      <w:ind w:firstLine="200" w:firstLineChars="200"/>
      <w:jc w:val="both"/>
    </w:pPr>
    <w:rPr>
      <w:rFonts w:ascii="Arial Unicode MS" w:hAnsi="Arial Unicode MS" w:eastAsia="Cambria Math" w:cs="Arial Unicode MS"/>
      <w:sz w:val="28"/>
      <w:lang w:val="en-US" w:eastAsia="zh-CN" w:bidi="ar-SA"/>
    </w:rPr>
  </w:style>
  <w:style w:type="paragraph" w:customStyle="1" w:styleId="108">
    <w:name w:val="Char Char3"/>
    <w:basedOn w:val="1"/>
    <w:qFormat/>
    <w:uiPriority w:val="0"/>
  </w:style>
  <w:style w:type="paragraph" w:customStyle="1" w:styleId="109">
    <w:name w:val="目录"/>
    <w:basedOn w:val="1"/>
    <w:qFormat/>
    <w:uiPriority w:val="0"/>
    <w:pPr>
      <w:widowControl/>
      <w:jc w:val="center"/>
    </w:pPr>
    <w:rPr>
      <w:rFonts w:ascii="Arial"/>
      <w:b/>
      <w:kern w:val="0"/>
      <w:sz w:val="36"/>
      <w:szCs w:val="20"/>
    </w:rPr>
  </w:style>
  <w:style w:type="paragraph" w:customStyle="1" w:styleId="1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4"/>
    </w:rPr>
  </w:style>
  <w:style w:type="paragraph" w:customStyle="1" w:styleId="11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12">
    <w:name w:val="TOC 标题1"/>
    <w:basedOn w:val="3"/>
    <w:next w:val="1"/>
    <w:qFormat/>
    <w:uiPriority w:val="39"/>
    <w:pPr>
      <w:keepLines/>
      <w:widowControl/>
      <w:spacing w:before="480" w:line="276" w:lineRule="auto"/>
      <w:jc w:val="left"/>
      <w:outlineLvl w:val="9"/>
    </w:pPr>
    <w:rPr>
      <w:rFonts w:ascii="等线 Light" w:hAnsi="等线 Light" w:eastAsia="Arial"/>
      <w:bCs/>
      <w:color w:val="365F91"/>
      <w:sz w:val="28"/>
      <w:szCs w:val="28"/>
    </w:rPr>
  </w:style>
  <w:style w:type="paragraph" w:customStyle="1" w:styleId="1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1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4"/>
    </w:rPr>
  </w:style>
  <w:style w:type="paragraph" w:customStyle="1" w:styleId="117">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cs="Arial"/>
      <w:b/>
      <w:bCs/>
      <w:kern w:val="0"/>
      <w:sz w:val="24"/>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4"/>
    </w:rPr>
  </w:style>
  <w:style w:type="paragraph" w:customStyle="1" w:styleId="119">
    <w:name w:val="纯文本1"/>
    <w:basedOn w:val="1"/>
    <w:qFormat/>
    <w:uiPriority w:val="0"/>
    <w:pPr>
      <w:widowControl/>
      <w:jc w:val="left"/>
    </w:pPr>
    <w:rPr>
      <w:rFonts w:ascii="Arial" w:hAnsi="仿宋" w:cs="仿宋"/>
      <w:szCs w:val="21"/>
    </w:rPr>
  </w:style>
  <w:style w:type="paragraph" w:customStyle="1" w:styleId="120">
    <w:name w:val="font5"/>
    <w:basedOn w:val="1"/>
    <w:qFormat/>
    <w:uiPriority w:val="0"/>
    <w:pPr>
      <w:widowControl/>
      <w:spacing w:before="100" w:beforeAutospacing="1" w:after="100" w:afterAutospacing="1"/>
      <w:jc w:val="left"/>
    </w:pPr>
    <w:rPr>
      <w:rFonts w:ascii="Arial" w:hAnsi="Arial" w:cs="Arial"/>
      <w:kern w:val="0"/>
      <w:szCs w:val="18"/>
    </w:rPr>
  </w:style>
  <w:style w:type="paragraph" w:customStyle="1" w:styleId="1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22">
    <w:name w:val="正文文本 21"/>
    <w:basedOn w:val="1"/>
    <w:qFormat/>
    <w:uiPriority w:val="0"/>
    <w:pPr>
      <w:widowControl/>
      <w:overflowPunct w:val="0"/>
      <w:autoSpaceDE w:val="0"/>
      <w:autoSpaceDN w:val="0"/>
      <w:adjustRightInd w:val="0"/>
      <w:jc w:val="left"/>
    </w:pPr>
    <w:rPr>
      <w:kern w:val="0"/>
      <w:sz w:val="16"/>
    </w:rPr>
  </w:style>
  <w:style w:type="paragraph" w:customStyle="1" w:styleId="1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8"/>
      <w:szCs w:val="28"/>
    </w:rPr>
  </w:style>
  <w:style w:type="paragraph" w:customStyle="1" w:styleId="1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25">
    <w:name w:val="Char2 Char Char Char"/>
    <w:basedOn w:val="1"/>
    <w:qFormat/>
    <w:uiPriority w:val="0"/>
    <w:rPr>
      <w:rFonts w:ascii="Calibri" w:hAnsi="Calibri"/>
      <w:sz w:val="24"/>
      <w:szCs w:val="20"/>
    </w:rPr>
  </w:style>
  <w:style w:type="paragraph" w:customStyle="1" w:styleId="126">
    <w:name w:val="#"/>
    <w:basedOn w:val="1"/>
    <w:qFormat/>
    <w:uiPriority w:val="0"/>
    <w:pPr>
      <w:spacing w:line="360" w:lineRule="auto"/>
    </w:pPr>
    <w:rPr>
      <w:sz w:val="24"/>
      <w:szCs w:val="20"/>
    </w:rPr>
  </w:style>
  <w:style w:type="paragraph" w:customStyle="1" w:styleId="127">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1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4"/>
    </w:rPr>
  </w:style>
  <w:style w:type="paragraph" w:customStyle="1" w:styleId="129">
    <w:name w:val="列出段落2"/>
    <w:basedOn w:val="1"/>
    <w:qFormat/>
    <w:uiPriority w:val="34"/>
    <w:pPr>
      <w:ind w:firstLine="420" w:firstLineChars="200"/>
    </w:pPr>
  </w:style>
  <w:style w:type="paragraph" w:customStyle="1" w:styleId="130">
    <w:name w:val="xl62"/>
    <w:basedOn w:val="1"/>
    <w:qFormat/>
    <w:uiPriority w:val="0"/>
    <w:pPr>
      <w:widowControl/>
      <w:pBdr>
        <w:top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1">
    <w:name w:val="xl60"/>
    <w:basedOn w:val="1"/>
    <w:qFormat/>
    <w:uiPriority w:val="0"/>
    <w:pPr>
      <w:widowControl/>
      <w:pBdr>
        <w:top w:val="single" w:color="auto" w:sz="4" w:space="0"/>
        <w:left w:val="single" w:color="auto" w:sz="4" w:space="0"/>
      </w:pBdr>
      <w:spacing w:before="100" w:beforeAutospacing="1" w:after="100" w:afterAutospacing="1"/>
      <w:jc w:val="left"/>
    </w:pPr>
    <w:rPr>
      <w:rFonts w:ascii="Arial" w:hAnsi="Arial" w:cs="Arial"/>
      <w:b/>
      <w:bCs/>
      <w:kern w:val="0"/>
      <w:sz w:val="24"/>
    </w:rPr>
  </w:style>
  <w:style w:type="paragraph" w:customStyle="1" w:styleId="13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33">
    <w:name w:val="xl39"/>
    <w:basedOn w:val="1"/>
    <w:qFormat/>
    <w:uiPriority w:val="0"/>
    <w:pPr>
      <w:widowControl/>
      <w:spacing w:before="100" w:beforeAutospacing="1" w:after="100" w:afterAutospacing="1"/>
      <w:jc w:val="left"/>
    </w:pPr>
    <w:rPr>
      <w:rFonts w:ascii="Arial" w:hAnsi="Arial" w:cs="Arial"/>
      <w:kern w:val="0"/>
      <w:sz w:val="24"/>
    </w:rPr>
  </w:style>
  <w:style w:type="paragraph" w:customStyle="1" w:styleId="13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5">
    <w:name w:val="xl61"/>
    <w:basedOn w:val="1"/>
    <w:qFormat/>
    <w:uiPriority w:val="0"/>
    <w:pPr>
      <w:widowControl/>
      <w:pBdr>
        <w:top w:val="single" w:color="auto" w:sz="4" w:space="0"/>
      </w:pBdr>
      <w:spacing w:before="100" w:beforeAutospacing="1" w:after="100" w:afterAutospacing="1"/>
      <w:jc w:val="left"/>
    </w:pPr>
    <w:rPr>
      <w:rFonts w:ascii="Arial" w:hAnsi="Arial" w:cs="Arial"/>
      <w:b/>
      <w:bCs/>
      <w:kern w:val="0"/>
      <w:sz w:val="24"/>
    </w:rPr>
  </w:style>
  <w:style w:type="paragraph" w:customStyle="1" w:styleId="136">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7">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40">
    <w:name w:val="标题2"/>
    <w:basedOn w:val="4"/>
    <w:qFormat/>
    <w:uiPriority w:val="0"/>
    <w:pPr>
      <w:keepLines w:val="0"/>
      <w:widowControl w:val="0"/>
      <w:spacing w:before="0" w:after="0" w:line="720" w:lineRule="exact"/>
      <w:ind w:left="0"/>
    </w:pPr>
    <w:rPr>
      <w:rFonts w:ascii="黑体" w:hAnsi="Copperplate Gothic Bold" w:eastAsia="楷体_GB2312"/>
      <w:b w:val="0"/>
      <w:bCs w:val="0"/>
      <w:szCs w:val="28"/>
    </w:rPr>
  </w:style>
  <w:style w:type="paragraph" w:customStyle="1" w:styleId="1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4"/>
    </w:rPr>
  </w:style>
  <w:style w:type="paragraph" w:customStyle="1" w:styleId="142">
    <w:name w:val="Char Char Char Char Char Char1 Char"/>
    <w:basedOn w:val="1"/>
    <w:qFormat/>
    <w:uiPriority w:val="0"/>
    <w:pPr>
      <w:widowControl/>
      <w:spacing w:after="160" w:line="240" w:lineRule="exact"/>
      <w:jc w:val="left"/>
    </w:pPr>
    <w:rPr>
      <w:rFonts w:ascii="Wingdings" w:hAnsi="Wingdings" w:eastAsia="Tahoma" w:cs="华文中宋"/>
      <w:b/>
      <w:kern w:val="0"/>
      <w:sz w:val="24"/>
      <w:lang w:eastAsia="en-US"/>
    </w:rPr>
  </w:style>
  <w:style w:type="paragraph" w:customStyle="1" w:styleId="143">
    <w:name w:val="List Paragraph1"/>
    <w:basedOn w:val="1"/>
    <w:qFormat/>
    <w:uiPriority w:val="0"/>
    <w:pPr>
      <w:ind w:firstLine="420" w:firstLineChars="200"/>
    </w:pPr>
    <w:rPr>
      <w:szCs w:val="20"/>
    </w:rPr>
  </w:style>
  <w:style w:type="paragraph" w:customStyle="1" w:styleId="144">
    <w:name w:val="样式 宋体小四，1.5 倍行距"/>
    <w:basedOn w:val="1"/>
    <w:qFormat/>
    <w:uiPriority w:val="0"/>
    <w:pPr>
      <w:spacing w:line="360" w:lineRule="auto"/>
    </w:pPr>
    <w:rPr>
      <w:rFonts w:cs="Arial"/>
      <w:sz w:val="24"/>
      <w:szCs w:val="20"/>
    </w:rPr>
  </w:style>
  <w:style w:type="paragraph" w:customStyle="1" w:styleId="145">
    <w:name w:val="我的正文"/>
    <w:basedOn w:val="1"/>
    <w:qFormat/>
    <w:uiPriority w:val="0"/>
    <w:pPr>
      <w:widowControl/>
      <w:spacing w:line="360" w:lineRule="auto"/>
      <w:ind w:firstLine="200" w:firstLineChars="200"/>
    </w:pPr>
    <w:rPr>
      <w:rFonts w:ascii="宋体" w:hAnsi="Times New Roman" w:eastAsia="仿宋_GB2312" w:cs="Times New Roman"/>
      <w:kern w:val="0"/>
      <w:sz w:val="28"/>
      <w:szCs w:val="28"/>
    </w:rPr>
  </w:style>
  <w:style w:type="character" w:customStyle="1" w:styleId="146">
    <w:name w:val="zt Char Char"/>
    <w:link w:val="147"/>
    <w:qFormat/>
    <w:uiPriority w:val="0"/>
    <w:rPr>
      <w:rFonts w:ascii="EU-F1" w:eastAsia="EU-F1"/>
      <w:bCs/>
      <w:szCs w:val="21"/>
    </w:rPr>
  </w:style>
  <w:style w:type="paragraph" w:customStyle="1" w:styleId="147">
    <w:name w:val="zt"/>
    <w:basedOn w:val="1"/>
    <w:link w:val="146"/>
    <w:qFormat/>
    <w:uiPriority w:val="0"/>
    <w:pPr>
      <w:overflowPunct w:val="0"/>
      <w:topLinePunct/>
      <w:spacing w:line="312" w:lineRule="exact"/>
    </w:pPr>
    <w:rPr>
      <w:rFonts w:ascii="EU-F1" w:hAnsi="Calibri" w:eastAsia="EU-F1" w:cs="Times New Roman"/>
      <w:bCs/>
      <w:kern w:val="0"/>
      <w:sz w:val="20"/>
      <w:szCs w:val="21"/>
    </w:rPr>
  </w:style>
  <w:style w:type="paragraph" w:customStyle="1" w:styleId="148">
    <w:name w:val="插图"/>
    <w:basedOn w:val="1"/>
    <w:link w:val="149"/>
    <w:qFormat/>
    <w:uiPriority w:val="0"/>
    <w:pPr>
      <w:widowControl/>
      <w:shd w:val="clear" w:color="auto" w:fill="FFFFFF"/>
      <w:adjustRightInd w:val="0"/>
      <w:snapToGrid w:val="0"/>
      <w:spacing w:line="360" w:lineRule="auto"/>
      <w:jc w:val="center"/>
    </w:pPr>
    <w:rPr>
      <w:rFonts w:ascii="Times New Roman" w:hAnsi="宋体" w:eastAsia="仿宋_GB2312" w:cs="Times New Roman"/>
      <w:color w:val="000000"/>
      <w:kern w:val="0"/>
      <w:sz w:val="24"/>
      <w:szCs w:val="28"/>
    </w:rPr>
  </w:style>
  <w:style w:type="character" w:customStyle="1" w:styleId="149">
    <w:name w:val="插图 Char"/>
    <w:basedOn w:val="41"/>
    <w:link w:val="148"/>
    <w:qFormat/>
    <w:uiPriority w:val="0"/>
    <w:rPr>
      <w:rFonts w:ascii="Times New Roman" w:hAnsi="宋体" w:eastAsia="仿宋_GB2312"/>
      <w:color w:val="000000"/>
      <w:sz w:val="24"/>
      <w:szCs w:val="28"/>
      <w:shd w:val="clear" w:color="auto" w:fill="FFFFFF"/>
    </w:rPr>
  </w:style>
  <w:style w:type="paragraph" w:customStyle="1" w:styleId="150">
    <w:name w:val="编号"/>
    <w:basedOn w:val="1"/>
    <w:link w:val="151"/>
    <w:qFormat/>
    <w:uiPriority w:val="0"/>
    <w:pPr>
      <w:widowControl/>
      <w:shd w:val="clear" w:color="auto" w:fill="FFFFFF"/>
      <w:snapToGrid w:val="0"/>
      <w:ind w:firstLine="560" w:firstLineChars="200"/>
    </w:pPr>
    <w:rPr>
      <w:rFonts w:ascii="Times New Roman" w:hAnsi="宋体" w:eastAsia="仿宋_GB2312" w:cs="Times New Roman"/>
      <w:color w:val="000000"/>
      <w:kern w:val="0"/>
      <w:sz w:val="28"/>
      <w:szCs w:val="28"/>
    </w:rPr>
  </w:style>
  <w:style w:type="character" w:customStyle="1" w:styleId="151">
    <w:name w:val="编号 Char"/>
    <w:basedOn w:val="41"/>
    <w:link w:val="150"/>
    <w:qFormat/>
    <w:uiPriority w:val="0"/>
    <w:rPr>
      <w:rFonts w:ascii="Times New Roman" w:hAnsi="宋体" w:eastAsia="仿宋_GB2312"/>
      <w:color w:val="000000"/>
      <w:sz w:val="28"/>
      <w:szCs w:val="28"/>
      <w:shd w:val="clear" w:color="auto" w:fill="FFFFFF"/>
    </w:rPr>
  </w:style>
  <w:style w:type="paragraph" w:customStyle="1" w:styleId="152">
    <w:name w:val="title1"/>
    <w:basedOn w:val="1"/>
    <w:qFormat/>
    <w:uiPriority w:val="0"/>
    <w:pPr>
      <w:widowControl/>
      <w:spacing w:before="100" w:beforeAutospacing="1" w:after="100" w:afterAutospacing="1"/>
      <w:jc w:val="left"/>
    </w:pPr>
    <w:rPr>
      <w:rFonts w:ascii="宋体" w:hAnsi="宋体" w:cs="宋体"/>
      <w:kern w:val="0"/>
      <w:sz w:val="24"/>
    </w:rPr>
  </w:style>
  <w:style w:type="table" w:customStyle="1" w:styleId="153">
    <w:name w:val="网格型1"/>
    <w:basedOn w:val="3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4">
    <w:name w:val="stclosebtn"/>
    <w:basedOn w:val="41"/>
    <w:qFormat/>
    <w:uiPriority w:val="0"/>
  </w:style>
  <w:style w:type="character" w:customStyle="1" w:styleId="155">
    <w:name w:val="phone"/>
    <w:basedOn w:val="41"/>
    <w:qFormat/>
    <w:uiPriority w:val="0"/>
    <w:rPr>
      <w:color w:val="FF8833"/>
      <w:sz w:val="18"/>
      <w:szCs w:val="18"/>
    </w:rPr>
  </w:style>
  <w:style w:type="character" w:customStyle="1" w:styleId="156">
    <w:name w:val="proollist"/>
    <w:basedOn w:val="41"/>
    <w:qFormat/>
    <w:uiPriority w:val="0"/>
  </w:style>
  <w:style w:type="character" w:customStyle="1" w:styleId="157">
    <w:name w:val="input-direction"/>
    <w:basedOn w:val="41"/>
    <w:qFormat/>
    <w:uiPriority w:val="0"/>
    <w:rPr>
      <w:color w:val="FF6600"/>
    </w:rPr>
  </w:style>
  <w:style w:type="character" w:customStyle="1" w:styleId="158">
    <w:name w:val="span-long"/>
    <w:basedOn w:val="41"/>
    <w:qFormat/>
    <w:uiPriority w:val="0"/>
  </w:style>
  <w:style w:type="character" w:customStyle="1" w:styleId="159">
    <w:name w:val="beforeinfotext"/>
    <w:basedOn w:val="41"/>
    <w:qFormat/>
    <w:uiPriority w:val="0"/>
    <w:rPr>
      <w:color w:val="666666"/>
    </w:rPr>
  </w:style>
  <w:style w:type="character" w:customStyle="1" w:styleId="160">
    <w:name w:val="number"/>
    <w:basedOn w:val="41"/>
    <w:qFormat/>
    <w:uiPriority w:val="0"/>
    <w:rPr>
      <w:color w:val="FF8833"/>
      <w:sz w:val="18"/>
      <w:szCs w:val="18"/>
    </w:rPr>
  </w:style>
  <w:style w:type="character" w:customStyle="1" w:styleId="161">
    <w:name w:val="tmpztreemove_arrow"/>
    <w:basedOn w:val="41"/>
    <w:qFormat/>
    <w:uiPriority w:val="0"/>
  </w:style>
  <w:style w:type="character" w:customStyle="1" w:styleId="162">
    <w:name w:val="button"/>
    <w:basedOn w:val="41"/>
    <w:qFormat/>
    <w:uiPriority w:val="0"/>
  </w:style>
  <w:style w:type="character" w:customStyle="1" w:styleId="163">
    <w:name w:val="hilite"/>
    <w:basedOn w:val="41"/>
    <w:qFormat/>
    <w:uiPriority w:val="0"/>
    <w:rPr>
      <w:color w:val="FFFFFF"/>
      <w:shd w:val="clear" w:color="auto" w:fill="666677"/>
    </w:rPr>
  </w:style>
  <w:style w:type="character" w:customStyle="1" w:styleId="164">
    <w:name w:val="active"/>
    <w:basedOn w:val="41"/>
    <w:qFormat/>
    <w:uiPriority w:val="0"/>
    <w:rPr>
      <w:color w:val="00FF00"/>
      <w:shd w:val="clear" w:color="auto" w:fill="000000"/>
    </w:rPr>
  </w:style>
  <w:style w:type="character" w:customStyle="1" w:styleId="165">
    <w:name w:val="hilite6"/>
    <w:basedOn w:val="41"/>
    <w:qFormat/>
    <w:uiPriority w:val="0"/>
    <w:rPr>
      <w:color w:val="FFFFFF"/>
      <w:shd w:val="clear" w:color="auto" w:fill="666677"/>
    </w:rPr>
  </w:style>
  <w:style w:type="character" w:customStyle="1" w:styleId="166">
    <w:name w:val="active6"/>
    <w:basedOn w:val="41"/>
    <w:qFormat/>
    <w:uiPriority w:val="0"/>
    <w:rPr>
      <w:color w:val="00FF00"/>
      <w:shd w:val="clear" w:color="auto" w:fill="000000"/>
    </w:rPr>
  </w:style>
  <w:style w:type="paragraph" w:customStyle="1" w:styleId="167">
    <w:name w:val="CX5正文"/>
    <w:basedOn w:val="1"/>
    <w:qFormat/>
    <w:uiPriority w:val="0"/>
    <w:pPr>
      <w:spacing w:line="360" w:lineRule="auto"/>
      <w:ind w:firstLine="200" w:firstLineChars="200"/>
      <w:jc w:val="left"/>
    </w:pPr>
    <w:rPr>
      <w:sz w:val="24"/>
      <w:szCs w:val="20"/>
      <w:lang w:val="zh-CN"/>
    </w:rPr>
  </w:style>
  <w:style w:type="character" w:customStyle="1" w:styleId="168">
    <w:name w:val="fontstyle11"/>
    <w:qFormat/>
    <w:uiPriority w:val="0"/>
    <w:rPr>
      <w:rFonts w:hint="eastAsia" w:ascii="宋体" w:hAnsi="宋体" w:eastAsia="宋体"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220B6-1EFC-4AF3-BCE1-E245F277F3B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25278</Words>
  <Characters>26335</Characters>
  <Lines>209</Lines>
  <Paragraphs>58</Paragraphs>
  <TotalTime>1</TotalTime>
  <ScaleCrop>false</ScaleCrop>
  <LinksUpToDate>false</LinksUpToDate>
  <CharactersWithSpaces>27760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2021-12-14T06:53:00Z</dcterms:created>
  <dc:creator>微软用户</dc:creator>
  <cp:lastModifiedBy>刘旷</cp:lastModifiedBy>
  <cp:lastPrinted>2019-06-18T01:07:00Z</cp:lastPrinted>
  <dcterms:modified xsi:type="dcterms:W3CDTF">2022-05-23T02:35:34Z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AAFE7B5E4B004BF5AD62C7F76BBDE5EE</vt:lpwstr>
  </property>
</Properties>
</file>