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cs="宋体" w:asciiTheme="minorEastAsia" w:hAnsiTheme="minorEastAsia" w:eastAsiaTheme="minorEastAsia"/>
          <w:b/>
          <w:sz w:val="28"/>
          <w:szCs w:val="28"/>
        </w:rPr>
      </w:pPr>
      <w:bookmarkStart w:id="0" w:name="_Toc217446030"/>
      <w:bookmarkStart w:id="1" w:name="_Toc183682338"/>
    </w:p>
    <w:p>
      <w:pPr>
        <w:spacing w:line="360" w:lineRule="auto"/>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采购项目编号：YFC2022-GP-009H</w:t>
      </w:r>
    </w:p>
    <w:p>
      <w:pPr>
        <w:pStyle w:val="16"/>
        <w:adjustRightInd w:val="0"/>
        <w:snapToGrid w:val="0"/>
        <w:spacing w:line="360" w:lineRule="auto"/>
        <w:ind w:firstLine="2650" w:firstLineChars="600"/>
        <w:rPr>
          <w:rFonts w:cs="宋体" w:asciiTheme="minorEastAsia" w:hAnsiTheme="minorEastAsia" w:eastAsiaTheme="minorEastAsia"/>
          <w:b/>
          <w:sz w:val="44"/>
          <w:szCs w:val="44"/>
        </w:rPr>
      </w:pPr>
    </w:p>
    <w:p>
      <w:pPr>
        <w:pStyle w:val="16"/>
        <w:adjustRightInd w:val="0"/>
        <w:snapToGrid w:val="0"/>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陕西省无线电管理委员会</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多功能移动式宽带监测测向系统采购项目</w:t>
      </w:r>
    </w:p>
    <w:p>
      <w:pPr>
        <w:spacing w:line="360" w:lineRule="auto"/>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招标文件</w:t>
      </w:r>
    </w:p>
    <w:p>
      <w:pPr>
        <w:spacing w:line="360" w:lineRule="auto"/>
        <w:rPr>
          <w:rFonts w:cs="宋体" w:asciiTheme="minorEastAsia" w:hAnsiTheme="minorEastAsia" w:eastAsiaTheme="minorEastAsia"/>
          <w:b/>
          <w:sz w:val="32"/>
          <w:szCs w:val="32"/>
        </w:rPr>
      </w:pPr>
      <w:r>
        <w:rPr>
          <w:rFonts w:hint="eastAsia" w:cs="宋体" w:asciiTheme="minorEastAsia" w:hAnsiTheme="minorEastAsia" w:eastAsiaTheme="minorEastAsia"/>
          <w:sz w:val="76"/>
          <w:szCs w:val="84"/>
        </w:rPr>
        <w:drawing>
          <wp:anchor distT="0" distB="0" distL="114300" distR="114300" simplePos="0" relativeHeight="251659264" behindDoc="0" locked="0" layoutInCell="1" allowOverlap="1">
            <wp:simplePos x="0" y="0"/>
            <wp:positionH relativeFrom="column">
              <wp:posOffset>1257935</wp:posOffset>
            </wp:positionH>
            <wp:positionV relativeFrom="paragraph">
              <wp:posOffset>285115</wp:posOffset>
            </wp:positionV>
            <wp:extent cx="3086100" cy="2857500"/>
            <wp:effectExtent l="0" t="0" r="0" b="0"/>
            <wp:wrapTopAndBottom/>
            <wp:docPr id="1" name="图片 2" descr="微信图片_2020081710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00817105731"/>
                    <pic:cNvPicPr>
                      <a:picLocks noChangeAspect="1"/>
                    </pic:cNvPicPr>
                  </pic:nvPicPr>
                  <pic:blipFill>
                    <a:blip r:embed="rId12"/>
                    <a:stretch>
                      <a:fillRect/>
                    </a:stretch>
                  </pic:blipFill>
                  <pic:spPr>
                    <a:xfrm>
                      <a:off x="0" y="0"/>
                      <a:ext cx="3086100" cy="2857500"/>
                    </a:xfrm>
                    <a:prstGeom prst="rect">
                      <a:avLst/>
                    </a:prstGeom>
                    <a:noFill/>
                    <a:ln>
                      <a:noFill/>
                    </a:ln>
                  </pic:spPr>
                </pic:pic>
              </a:graphicData>
            </a:graphic>
          </wp:anchor>
        </w:drawing>
      </w:r>
    </w:p>
    <w:p>
      <w:pPr>
        <w:spacing w:line="360" w:lineRule="auto"/>
        <w:rPr>
          <w:rFonts w:cs="宋体" w:asciiTheme="minorEastAsia" w:hAnsiTheme="minorEastAsia" w:eastAsiaTheme="minorEastAsia"/>
          <w:sz w:val="32"/>
          <w:szCs w:val="32"/>
        </w:rPr>
      </w:pPr>
    </w:p>
    <w:p>
      <w:pPr>
        <w:pStyle w:val="16"/>
        <w:adjustRightInd w:val="0"/>
        <w:snapToGrid w:val="0"/>
        <w:spacing w:line="360" w:lineRule="auto"/>
        <w:rPr>
          <w:rFonts w:cs="宋体" w:asciiTheme="minorEastAsia" w:hAnsiTheme="minorEastAsia" w:eastAsiaTheme="minorEastAsia"/>
          <w:sz w:val="32"/>
          <w:szCs w:val="32"/>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p>
    <w:p>
      <w:pPr>
        <w:pStyle w:val="16"/>
        <w:adjustRightInd w:val="0"/>
        <w:snapToGrid w:val="0"/>
        <w:spacing w:line="360" w:lineRule="auto"/>
        <w:ind w:firstLine="1687" w:firstLineChars="6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采   购   人：陕西省无线电管理委员会</w:t>
      </w:r>
    </w:p>
    <w:p>
      <w:pPr>
        <w:pStyle w:val="16"/>
        <w:adjustRightInd w:val="0"/>
        <w:snapToGrid w:val="0"/>
        <w:spacing w:line="360" w:lineRule="auto"/>
        <w:ind w:firstLine="1687" w:firstLineChars="600"/>
        <w:jc w:val="left"/>
        <w:rPr>
          <w:rFonts w:cs="宋体" w:asciiTheme="minorEastAsia" w:hAnsiTheme="minorEastAsia" w:eastAsiaTheme="minorEastAsia"/>
          <w:b/>
          <w:sz w:val="28"/>
          <w:szCs w:val="28"/>
          <w:lang w:val="zh-CN"/>
        </w:rPr>
      </w:pPr>
      <w:r>
        <w:rPr>
          <w:rFonts w:hint="eastAsia" w:cs="宋体" w:asciiTheme="minorEastAsia" w:hAnsiTheme="minorEastAsia" w:eastAsiaTheme="minorEastAsia"/>
          <w:b/>
          <w:sz w:val="28"/>
          <w:szCs w:val="28"/>
        </w:rPr>
        <w:t>采购代理机构：陕西源丰成工程项目管理有限公司</w:t>
      </w:r>
    </w:p>
    <w:p>
      <w:pPr>
        <w:spacing w:line="360" w:lineRule="auto"/>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 xml:space="preserve">    二〇二</w:t>
      </w:r>
      <w:r>
        <w:rPr>
          <w:rFonts w:hint="eastAsia" w:cs="宋体" w:asciiTheme="minorEastAsia" w:hAnsiTheme="minorEastAsia" w:eastAsiaTheme="minorEastAsia"/>
          <w:b/>
          <w:bCs/>
          <w:sz w:val="28"/>
          <w:szCs w:val="28"/>
        </w:rPr>
        <w:t>二</w:t>
      </w:r>
      <w:r>
        <w:rPr>
          <w:rFonts w:hint="eastAsia" w:cs="宋体" w:asciiTheme="minorEastAsia" w:hAnsiTheme="minorEastAsia" w:eastAsiaTheme="minorEastAsia"/>
          <w:b/>
          <w:bCs/>
          <w:sz w:val="28"/>
          <w:szCs w:val="28"/>
          <w:lang w:val="zh-CN"/>
        </w:rPr>
        <w:t>年</w:t>
      </w:r>
      <w:r>
        <w:rPr>
          <w:rFonts w:hint="eastAsia" w:cs="宋体" w:asciiTheme="minorEastAsia" w:hAnsiTheme="minorEastAsia" w:eastAsiaTheme="minorEastAsia"/>
          <w:b/>
          <w:bCs/>
          <w:sz w:val="28"/>
          <w:szCs w:val="28"/>
        </w:rPr>
        <w:t>四</w:t>
      </w:r>
      <w:r>
        <w:rPr>
          <w:rFonts w:hint="eastAsia" w:cs="宋体" w:asciiTheme="minorEastAsia" w:hAnsiTheme="minorEastAsia" w:eastAsiaTheme="minorEastAsia"/>
          <w:b/>
          <w:bCs/>
          <w:sz w:val="28"/>
          <w:szCs w:val="28"/>
          <w:lang w:val="zh-CN"/>
        </w:rPr>
        <w:t>月</w:t>
      </w:r>
    </w:p>
    <w:bookmarkEnd w:id="0"/>
    <w:bookmarkEnd w:id="1"/>
    <w:p>
      <w:pPr>
        <w:spacing w:line="360" w:lineRule="auto"/>
        <w:ind w:firstLine="203" w:firstLineChars="46"/>
        <w:jc w:val="center"/>
        <w:rPr>
          <w:rFonts w:cs="宋体" w:asciiTheme="minorEastAsia" w:hAnsiTheme="minorEastAsia" w:eastAsiaTheme="minorEastAsia"/>
          <w:b/>
          <w:bCs/>
          <w:sz w:val="44"/>
          <w:szCs w:val="44"/>
          <w:lang w:val="zh-CN"/>
        </w:rPr>
        <w:sectPr>
          <w:footerReference r:id="rId7" w:type="first"/>
          <w:headerReference r:id="rId3" w:type="default"/>
          <w:footerReference r:id="rId5" w:type="default"/>
          <w:headerReference r:id="rId4" w:type="even"/>
          <w:footerReference r:id="rId6" w:type="even"/>
          <w:pgSz w:w="11907" w:h="16840"/>
          <w:pgMar w:top="1474" w:right="1587" w:bottom="1474" w:left="1587" w:header="851" w:footer="992" w:gutter="0"/>
          <w:cols w:space="720" w:num="1"/>
          <w:titlePg/>
        </w:sectPr>
      </w:pPr>
    </w:p>
    <w:p>
      <w:pPr>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目 录</w:t>
      </w:r>
    </w:p>
    <w:p>
      <w:pPr>
        <w:rPr>
          <w:rFonts w:asciiTheme="minorEastAsia" w:hAnsiTheme="minorEastAsia" w:eastAsiaTheme="minorEastAsia"/>
          <w:sz w:val="24"/>
        </w:rPr>
      </w:pPr>
    </w:p>
    <w:p>
      <w:pPr>
        <w:pStyle w:val="22"/>
        <w:tabs>
          <w:tab w:val="right" w:leader="dot" w:pos="8733"/>
        </w:tabs>
        <w:spacing w:line="360" w:lineRule="auto"/>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"1-3" \h \u </w:instrText>
      </w:r>
      <w:r>
        <w:rPr>
          <w:rFonts w:hint="eastAsia" w:cs="宋体" w:asciiTheme="minorEastAsia" w:hAnsiTheme="minorEastAsia" w:eastAsiaTheme="minorEastAsia"/>
          <w:sz w:val="24"/>
        </w:rPr>
        <w:fldChar w:fldCharType="separate"/>
      </w:r>
      <w:r>
        <w:fldChar w:fldCharType="begin"/>
      </w:r>
      <w:r>
        <w:instrText xml:space="preserve"> HYPERLINK \l "_Toc7564" </w:instrText>
      </w:r>
      <w:r>
        <w:fldChar w:fldCharType="separate"/>
      </w:r>
      <w:r>
        <w:rPr>
          <w:rFonts w:hint="eastAsia"/>
        </w:rPr>
        <w:t>第一章 招标公告</w:t>
      </w:r>
      <w:r>
        <w:tab/>
      </w:r>
      <w:r>
        <w:fldChar w:fldCharType="begin"/>
      </w:r>
      <w:r>
        <w:instrText xml:space="preserve"> PAGEREF _Toc7564 \h </w:instrText>
      </w:r>
      <w:r>
        <w:fldChar w:fldCharType="separate"/>
      </w:r>
      <w:r>
        <w:t>2</w:t>
      </w:r>
      <w:r>
        <w:fldChar w:fldCharType="end"/>
      </w:r>
      <w:r>
        <w:fldChar w:fldCharType="end"/>
      </w:r>
    </w:p>
    <w:p>
      <w:pPr>
        <w:pStyle w:val="22"/>
        <w:tabs>
          <w:tab w:val="right" w:leader="dot" w:pos="8733"/>
        </w:tabs>
        <w:spacing w:line="360" w:lineRule="auto"/>
      </w:pPr>
      <w:r>
        <w:fldChar w:fldCharType="begin"/>
      </w:r>
      <w:r>
        <w:instrText xml:space="preserve"> HYPERLINK \l "_Toc16915" </w:instrText>
      </w:r>
      <w:r>
        <w:fldChar w:fldCharType="separate"/>
      </w:r>
      <w:r>
        <w:rPr>
          <w:rFonts w:hint="eastAsia"/>
        </w:rPr>
        <w:t>第二章 投标供应商须知</w:t>
      </w:r>
      <w:r>
        <w:tab/>
      </w:r>
      <w:r>
        <w:fldChar w:fldCharType="begin"/>
      </w:r>
      <w:r>
        <w:instrText xml:space="preserve"> PAGEREF _Toc16915 \h </w:instrText>
      </w:r>
      <w:r>
        <w:fldChar w:fldCharType="separate"/>
      </w:r>
      <w:r>
        <w:t>6</w:t>
      </w:r>
      <w:r>
        <w:fldChar w:fldCharType="end"/>
      </w:r>
      <w:r>
        <w:fldChar w:fldCharType="end"/>
      </w:r>
    </w:p>
    <w:p>
      <w:pPr>
        <w:pStyle w:val="24"/>
        <w:tabs>
          <w:tab w:val="right" w:leader="dot" w:pos="8733"/>
        </w:tabs>
        <w:spacing w:line="360" w:lineRule="auto"/>
      </w:pPr>
      <w:r>
        <w:fldChar w:fldCharType="begin"/>
      </w:r>
      <w:r>
        <w:instrText xml:space="preserve"> HYPERLINK \l "_Toc9934"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szCs w:val="36"/>
        </w:rPr>
        <w:t>总则</w:t>
      </w:r>
      <w:r>
        <w:tab/>
      </w:r>
      <w:r>
        <w:fldChar w:fldCharType="begin"/>
      </w:r>
      <w:r>
        <w:instrText xml:space="preserve"> PAGEREF _Toc9934 \h </w:instrText>
      </w:r>
      <w:r>
        <w:fldChar w:fldCharType="separate"/>
      </w:r>
      <w:r>
        <w:t>12</w:t>
      </w:r>
      <w:r>
        <w:fldChar w:fldCharType="end"/>
      </w:r>
      <w:r>
        <w:fldChar w:fldCharType="end"/>
      </w:r>
    </w:p>
    <w:p>
      <w:pPr>
        <w:pStyle w:val="24"/>
        <w:tabs>
          <w:tab w:val="right" w:leader="dot" w:pos="8733"/>
        </w:tabs>
        <w:spacing w:line="360" w:lineRule="auto"/>
      </w:pPr>
      <w:r>
        <w:fldChar w:fldCharType="begin"/>
      </w:r>
      <w:r>
        <w:instrText xml:space="preserve"> HYPERLINK \l "_Toc29530" </w:instrText>
      </w:r>
      <w:r>
        <w:fldChar w:fldCharType="separate"/>
      </w:r>
      <w:r>
        <w:rPr>
          <w:rFonts w:hint="eastAsia" w:cs="宋体" w:asciiTheme="minorEastAsia" w:hAnsiTheme="minorEastAsia" w:eastAsiaTheme="minorEastAsia"/>
          <w:bCs/>
          <w:szCs w:val="36"/>
        </w:rPr>
        <w:t>2. 招标文件</w:t>
      </w:r>
      <w:r>
        <w:tab/>
      </w:r>
      <w:r>
        <w:fldChar w:fldCharType="begin"/>
      </w:r>
      <w:r>
        <w:instrText xml:space="preserve"> PAGEREF _Toc29530 \h </w:instrText>
      </w:r>
      <w:r>
        <w:fldChar w:fldCharType="separate"/>
      </w:r>
      <w:r>
        <w:t>15</w:t>
      </w:r>
      <w:r>
        <w:fldChar w:fldCharType="end"/>
      </w:r>
      <w:r>
        <w:fldChar w:fldCharType="end"/>
      </w:r>
    </w:p>
    <w:p>
      <w:pPr>
        <w:pStyle w:val="24"/>
        <w:tabs>
          <w:tab w:val="right" w:leader="dot" w:pos="8733"/>
        </w:tabs>
        <w:spacing w:line="360" w:lineRule="auto"/>
      </w:pPr>
      <w:r>
        <w:fldChar w:fldCharType="begin"/>
      </w:r>
      <w:r>
        <w:instrText xml:space="preserve"> HYPERLINK \l "_Toc2156" </w:instrText>
      </w:r>
      <w:r>
        <w:fldChar w:fldCharType="separate"/>
      </w:r>
      <w:r>
        <w:rPr>
          <w:rFonts w:hint="eastAsia" w:cs="宋体" w:asciiTheme="minorEastAsia" w:hAnsiTheme="minorEastAsia" w:eastAsiaTheme="minorEastAsia"/>
          <w:szCs w:val="36"/>
        </w:rPr>
        <w:t>3. 投标供应商</w:t>
      </w:r>
      <w:r>
        <w:tab/>
      </w:r>
      <w:r>
        <w:fldChar w:fldCharType="begin"/>
      </w:r>
      <w:r>
        <w:instrText xml:space="preserve"> PAGEREF _Toc2156 \h </w:instrText>
      </w:r>
      <w:r>
        <w:fldChar w:fldCharType="separate"/>
      </w:r>
      <w:r>
        <w:t>16</w:t>
      </w:r>
      <w:r>
        <w:fldChar w:fldCharType="end"/>
      </w:r>
      <w:r>
        <w:fldChar w:fldCharType="end"/>
      </w:r>
    </w:p>
    <w:p>
      <w:pPr>
        <w:pStyle w:val="24"/>
        <w:tabs>
          <w:tab w:val="right" w:leader="dot" w:pos="8733"/>
        </w:tabs>
        <w:spacing w:line="360" w:lineRule="auto"/>
      </w:pPr>
      <w:r>
        <w:fldChar w:fldCharType="begin"/>
      </w:r>
      <w:r>
        <w:instrText xml:space="preserve"> HYPERLINK \l "_Toc22597" </w:instrText>
      </w:r>
      <w:r>
        <w:fldChar w:fldCharType="separate"/>
      </w:r>
      <w:r>
        <w:rPr>
          <w:rFonts w:hint="eastAsia" w:cs="宋体" w:asciiTheme="minorEastAsia" w:hAnsiTheme="minorEastAsia" w:eastAsiaTheme="minorEastAsia"/>
          <w:bCs/>
          <w:szCs w:val="36"/>
        </w:rPr>
        <w:t>4. 投标文件</w:t>
      </w:r>
      <w:r>
        <w:tab/>
      </w:r>
      <w:r>
        <w:fldChar w:fldCharType="begin"/>
      </w:r>
      <w:r>
        <w:instrText xml:space="preserve"> PAGEREF _Toc22597 \h </w:instrText>
      </w:r>
      <w:r>
        <w:fldChar w:fldCharType="separate"/>
      </w:r>
      <w:r>
        <w:t>21</w:t>
      </w:r>
      <w:r>
        <w:fldChar w:fldCharType="end"/>
      </w:r>
      <w:r>
        <w:fldChar w:fldCharType="end"/>
      </w:r>
    </w:p>
    <w:p>
      <w:pPr>
        <w:pStyle w:val="24"/>
        <w:tabs>
          <w:tab w:val="right" w:leader="dot" w:pos="8733"/>
        </w:tabs>
        <w:spacing w:line="360" w:lineRule="auto"/>
      </w:pPr>
      <w:r>
        <w:fldChar w:fldCharType="begin"/>
      </w:r>
      <w:r>
        <w:instrText xml:space="preserve"> HYPERLINK \l "_Toc32254" </w:instrText>
      </w:r>
      <w:r>
        <w:fldChar w:fldCharType="separate"/>
      </w:r>
      <w:r>
        <w:rPr>
          <w:rFonts w:hint="eastAsia" w:cs="宋体" w:asciiTheme="minorEastAsia" w:hAnsiTheme="minorEastAsia" w:eastAsiaTheme="minorEastAsia"/>
          <w:bCs/>
          <w:szCs w:val="36"/>
        </w:rPr>
        <w:t>5. 投标</w:t>
      </w:r>
      <w:r>
        <w:tab/>
      </w:r>
      <w:r>
        <w:fldChar w:fldCharType="begin"/>
      </w:r>
      <w:r>
        <w:instrText xml:space="preserve"> PAGEREF _Toc32254 \h </w:instrText>
      </w:r>
      <w:r>
        <w:fldChar w:fldCharType="separate"/>
      </w:r>
      <w:r>
        <w:t>25</w:t>
      </w:r>
      <w:r>
        <w:fldChar w:fldCharType="end"/>
      </w:r>
      <w:r>
        <w:fldChar w:fldCharType="end"/>
      </w:r>
    </w:p>
    <w:p>
      <w:pPr>
        <w:pStyle w:val="24"/>
        <w:tabs>
          <w:tab w:val="right" w:leader="dot" w:pos="8733"/>
        </w:tabs>
        <w:spacing w:line="360" w:lineRule="auto"/>
      </w:pPr>
      <w:r>
        <w:fldChar w:fldCharType="begin"/>
      </w:r>
      <w:r>
        <w:instrText xml:space="preserve"> HYPERLINK \l "_Toc17841" </w:instrText>
      </w:r>
      <w:r>
        <w:fldChar w:fldCharType="separate"/>
      </w:r>
      <w:r>
        <w:rPr>
          <w:rFonts w:hint="eastAsia" w:cs="宋体" w:asciiTheme="minorEastAsia" w:hAnsiTheme="minorEastAsia" w:eastAsiaTheme="minorEastAsia"/>
          <w:bCs/>
          <w:szCs w:val="36"/>
        </w:rPr>
        <w:t>6. 开标</w:t>
      </w:r>
      <w:r>
        <w:tab/>
      </w:r>
      <w:r>
        <w:fldChar w:fldCharType="begin"/>
      </w:r>
      <w:r>
        <w:instrText xml:space="preserve"> PAGEREF _Toc17841 \h </w:instrText>
      </w:r>
      <w:r>
        <w:fldChar w:fldCharType="separate"/>
      </w:r>
      <w:r>
        <w:t>27</w:t>
      </w:r>
      <w:r>
        <w:fldChar w:fldCharType="end"/>
      </w:r>
      <w:r>
        <w:fldChar w:fldCharType="end"/>
      </w:r>
    </w:p>
    <w:p>
      <w:pPr>
        <w:pStyle w:val="24"/>
        <w:tabs>
          <w:tab w:val="right" w:leader="dot" w:pos="8733"/>
        </w:tabs>
        <w:spacing w:line="360" w:lineRule="auto"/>
      </w:pPr>
      <w:r>
        <w:fldChar w:fldCharType="begin"/>
      </w:r>
      <w:r>
        <w:instrText xml:space="preserve"> HYPERLINK \l "_Toc6643" </w:instrText>
      </w:r>
      <w:r>
        <w:fldChar w:fldCharType="separate"/>
      </w:r>
      <w:r>
        <w:rPr>
          <w:rFonts w:hint="eastAsia" w:cs="宋体" w:asciiTheme="minorEastAsia" w:hAnsiTheme="minorEastAsia" w:eastAsiaTheme="minorEastAsia"/>
          <w:bCs/>
          <w:szCs w:val="36"/>
        </w:rPr>
        <w:t>7. 投标供应商资格审查</w:t>
      </w:r>
      <w:r>
        <w:tab/>
      </w:r>
      <w:r>
        <w:fldChar w:fldCharType="begin"/>
      </w:r>
      <w:r>
        <w:instrText xml:space="preserve"> PAGEREF _Toc6643 \h </w:instrText>
      </w:r>
      <w:r>
        <w:fldChar w:fldCharType="separate"/>
      </w:r>
      <w:r>
        <w:t>28</w:t>
      </w:r>
      <w:r>
        <w:fldChar w:fldCharType="end"/>
      </w:r>
      <w:r>
        <w:fldChar w:fldCharType="end"/>
      </w:r>
    </w:p>
    <w:p>
      <w:pPr>
        <w:pStyle w:val="24"/>
        <w:tabs>
          <w:tab w:val="right" w:leader="dot" w:pos="8733"/>
        </w:tabs>
        <w:spacing w:line="360" w:lineRule="auto"/>
      </w:pPr>
      <w:r>
        <w:fldChar w:fldCharType="begin"/>
      </w:r>
      <w:r>
        <w:instrText xml:space="preserve"> HYPERLINK \l "_Toc22863" </w:instrText>
      </w:r>
      <w:r>
        <w:fldChar w:fldCharType="separate"/>
      </w:r>
      <w:r>
        <w:rPr>
          <w:rFonts w:hint="eastAsia" w:cs="宋体" w:asciiTheme="minorEastAsia" w:hAnsiTheme="minorEastAsia" w:eastAsiaTheme="minorEastAsia"/>
          <w:bCs/>
          <w:szCs w:val="36"/>
        </w:rPr>
        <w:t>8. 评标</w:t>
      </w:r>
      <w:r>
        <w:tab/>
      </w:r>
      <w:r>
        <w:fldChar w:fldCharType="begin"/>
      </w:r>
      <w:r>
        <w:instrText xml:space="preserve"> PAGEREF _Toc22863 \h </w:instrText>
      </w:r>
      <w:r>
        <w:fldChar w:fldCharType="separate"/>
      </w:r>
      <w:r>
        <w:t>30</w:t>
      </w:r>
      <w:r>
        <w:fldChar w:fldCharType="end"/>
      </w:r>
      <w:r>
        <w:fldChar w:fldCharType="end"/>
      </w:r>
    </w:p>
    <w:p>
      <w:pPr>
        <w:pStyle w:val="24"/>
        <w:tabs>
          <w:tab w:val="right" w:leader="dot" w:pos="8733"/>
        </w:tabs>
        <w:spacing w:line="360" w:lineRule="auto"/>
      </w:pPr>
      <w:r>
        <w:fldChar w:fldCharType="begin"/>
      </w:r>
      <w:r>
        <w:instrText xml:space="preserve"> HYPERLINK \l "_Toc27714" </w:instrText>
      </w:r>
      <w:r>
        <w:fldChar w:fldCharType="separate"/>
      </w:r>
      <w:r>
        <w:rPr>
          <w:rFonts w:hint="eastAsia" w:cs="宋体" w:asciiTheme="minorEastAsia" w:hAnsiTheme="minorEastAsia" w:eastAsiaTheme="minorEastAsia"/>
          <w:bCs/>
          <w:szCs w:val="36"/>
        </w:rPr>
        <w:t>9. 定标</w:t>
      </w:r>
      <w:r>
        <w:tab/>
      </w:r>
      <w:r>
        <w:fldChar w:fldCharType="begin"/>
      </w:r>
      <w:r>
        <w:instrText xml:space="preserve"> PAGEREF _Toc27714 \h </w:instrText>
      </w:r>
      <w:r>
        <w:fldChar w:fldCharType="separate"/>
      </w:r>
      <w:r>
        <w:t>33</w:t>
      </w:r>
      <w:r>
        <w:fldChar w:fldCharType="end"/>
      </w:r>
      <w:r>
        <w:fldChar w:fldCharType="end"/>
      </w:r>
    </w:p>
    <w:p>
      <w:pPr>
        <w:pStyle w:val="24"/>
        <w:tabs>
          <w:tab w:val="right" w:leader="dot" w:pos="8733"/>
        </w:tabs>
        <w:spacing w:line="360" w:lineRule="auto"/>
      </w:pPr>
      <w:r>
        <w:fldChar w:fldCharType="begin"/>
      </w:r>
      <w:r>
        <w:instrText xml:space="preserve"> HYPERLINK \l "_Toc28673" </w:instrText>
      </w:r>
      <w:r>
        <w:fldChar w:fldCharType="separate"/>
      </w:r>
      <w:r>
        <w:rPr>
          <w:rFonts w:hint="eastAsia" w:cs="宋体" w:asciiTheme="minorEastAsia" w:hAnsiTheme="minorEastAsia" w:eastAsiaTheme="minorEastAsia"/>
          <w:bCs/>
          <w:szCs w:val="36"/>
        </w:rPr>
        <w:t>10. 合同授予</w:t>
      </w:r>
      <w:r>
        <w:tab/>
      </w:r>
      <w:r>
        <w:fldChar w:fldCharType="begin"/>
      </w:r>
      <w:r>
        <w:instrText xml:space="preserve"> PAGEREF _Toc28673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"_Toc24558" </w:instrText>
      </w:r>
      <w:r>
        <w:fldChar w:fldCharType="separate"/>
      </w:r>
      <w:r>
        <w:rPr>
          <w:rFonts w:hint="eastAsia" w:cs="宋体" w:asciiTheme="minorEastAsia" w:hAnsiTheme="minorEastAsia" w:eastAsiaTheme="minorEastAsia"/>
          <w:bCs/>
          <w:szCs w:val="36"/>
        </w:rPr>
        <w:t>11. 废标或变更采购方式</w:t>
      </w:r>
      <w:r>
        <w:tab/>
      </w:r>
      <w:r>
        <w:fldChar w:fldCharType="begin"/>
      </w:r>
      <w:r>
        <w:instrText xml:space="preserve"> PAGEREF _Toc24558 \h </w:instrText>
      </w:r>
      <w:r>
        <w:fldChar w:fldCharType="separate"/>
      </w:r>
      <w:r>
        <w:t>35</w:t>
      </w:r>
      <w:r>
        <w:fldChar w:fldCharType="end"/>
      </w:r>
      <w:r>
        <w:fldChar w:fldCharType="end"/>
      </w:r>
    </w:p>
    <w:p>
      <w:pPr>
        <w:pStyle w:val="24"/>
        <w:tabs>
          <w:tab w:val="right" w:leader="dot" w:pos="8733"/>
        </w:tabs>
        <w:spacing w:line="360" w:lineRule="auto"/>
      </w:pPr>
      <w:r>
        <w:fldChar w:fldCharType="begin"/>
      </w:r>
      <w:r>
        <w:instrText xml:space="preserve"> HYPERLINK \l "_Toc19418" </w:instrText>
      </w:r>
      <w:r>
        <w:fldChar w:fldCharType="separate"/>
      </w:r>
      <w:r>
        <w:rPr>
          <w:rFonts w:cs="宋体" w:asciiTheme="minorEastAsia" w:hAnsiTheme="minorEastAsia" w:eastAsiaTheme="minorEastAsia"/>
          <w:bCs/>
          <w:szCs w:val="36"/>
        </w:rPr>
        <w:t xml:space="preserve">12. </w:t>
      </w:r>
      <w:r>
        <w:rPr>
          <w:rFonts w:hint="eastAsia" w:cs="宋体" w:asciiTheme="minorEastAsia" w:hAnsiTheme="minorEastAsia" w:eastAsiaTheme="minorEastAsia"/>
          <w:bCs/>
          <w:szCs w:val="36"/>
        </w:rPr>
        <w:t>招标代理服务费</w:t>
      </w:r>
      <w:r>
        <w:tab/>
      </w:r>
      <w:r>
        <w:fldChar w:fldCharType="begin"/>
      </w:r>
      <w:r>
        <w:instrText xml:space="preserve"> PAGEREF _Toc19418 \h </w:instrText>
      </w:r>
      <w:r>
        <w:fldChar w:fldCharType="separate"/>
      </w:r>
      <w:r>
        <w:t>36</w:t>
      </w:r>
      <w:r>
        <w:fldChar w:fldCharType="end"/>
      </w:r>
      <w:r>
        <w:fldChar w:fldCharType="end"/>
      </w:r>
    </w:p>
    <w:p>
      <w:pPr>
        <w:pStyle w:val="24"/>
        <w:tabs>
          <w:tab w:val="right" w:leader="dot" w:pos="8733"/>
        </w:tabs>
        <w:spacing w:line="360" w:lineRule="auto"/>
      </w:pPr>
      <w:r>
        <w:fldChar w:fldCharType="begin"/>
      </w:r>
      <w:r>
        <w:instrText xml:space="preserve"> HYPERLINK \l "_Toc3437" </w:instrText>
      </w:r>
      <w:r>
        <w:fldChar w:fldCharType="separate"/>
      </w:r>
      <w:r>
        <w:rPr>
          <w:rFonts w:cs="宋体" w:asciiTheme="minorEastAsia" w:hAnsiTheme="minorEastAsia" w:eastAsiaTheme="minorEastAsia"/>
          <w:bCs/>
          <w:szCs w:val="36"/>
        </w:rPr>
        <w:t xml:space="preserve">13. </w:t>
      </w:r>
      <w:r>
        <w:rPr>
          <w:rFonts w:hint="eastAsia" w:cs="宋体" w:asciiTheme="minorEastAsia" w:hAnsiTheme="minorEastAsia" w:eastAsiaTheme="minorEastAsia"/>
          <w:bCs/>
          <w:szCs w:val="36"/>
        </w:rPr>
        <w:t>质疑与投诉</w:t>
      </w:r>
      <w:r>
        <w:tab/>
      </w:r>
      <w:r>
        <w:fldChar w:fldCharType="begin"/>
      </w:r>
      <w:r>
        <w:instrText xml:space="preserve"> PAGEREF _Toc3437 \h </w:instrText>
      </w:r>
      <w:r>
        <w:fldChar w:fldCharType="separate"/>
      </w:r>
      <w:r>
        <w:t>37</w:t>
      </w:r>
      <w:r>
        <w:fldChar w:fldCharType="end"/>
      </w:r>
      <w:r>
        <w:fldChar w:fldCharType="end"/>
      </w:r>
    </w:p>
    <w:p>
      <w:pPr>
        <w:pStyle w:val="24"/>
        <w:tabs>
          <w:tab w:val="right" w:leader="dot" w:pos="8733"/>
        </w:tabs>
        <w:spacing w:line="360" w:lineRule="auto"/>
      </w:pPr>
      <w:r>
        <w:fldChar w:fldCharType="begin"/>
      </w:r>
      <w:r>
        <w:instrText xml:space="preserve"> HYPERLINK \l "_Toc20322" </w:instrText>
      </w:r>
      <w:r>
        <w:fldChar w:fldCharType="separate"/>
      </w:r>
      <w:r>
        <w:rPr>
          <w:rFonts w:hint="eastAsia" w:cs="宋体" w:asciiTheme="minorEastAsia" w:hAnsiTheme="minorEastAsia" w:eastAsiaTheme="minorEastAsia"/>
          <w:bCs/>
          <w:szCs w:val="36"/>
        </w:rPr>
        <w:t>14. 其他</w:t>
      </w:r>
      <w:r>
        <w:tab/>
      </w:r>
      <w:r>
        <w:fldChar w:fldCharType="begin"/>
      </w:r>
      <w:r>
        <w:instrText xml:space="preserve"> PAGEREF _Toc20322 \h </w:instrText>
      </w:r>
      <w:r>
        <w:fldChar w:fldCharType="separate"/>
      </w:r>
      <w:r>
        <w:t>39</w:t>
      </w:r>
      <w:r>
        <w:fldChar w:fldCharType="end"/>
      </w:r>
      <w:r>
        <w:fldChar w:fldCharType="end"/>
      </w:r>
    </w:p>
    <w:p>
      <w:pPr>
        <w:pStyle w:val="22"/>
        <w:tabs>
          <w:tab w:val="right" w:leader="dot" w:pos="8733"/>
        </w:tabs>
        <w:spacing w:line="360" w:lineRule="auto"/>
      </w:pPr>
      <w:r>
        <w:fldChar w:fldCharType="begin"/>
      </w:r>
      <w:r>
        <w:instrText xml:space="preserve"> HYPERLINK \l "_Toc29032" </w:instrText>
      </w:r>
      <w:r>
        <w:fldChar w:fldCharType="separate"/>
      </w:r>
      <w:r>
        <w:rPr>
          <w:rFonts w:hint="eastAsia"/>
        </w:rPr>
        <w:t>第三章 评标办法</w:t>
      </w:r>
      <w:r>
        <w:tab/>
      </w:r>
      <w:r>
        <w:fldChar w:fldCharType="begin"/>
      </w:r>
      <w:r>
        <w:instrText xml:space="preserve"> PAGEREF _Toc29032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"_Toc8151" </w:instrText>
      </w:r>
      <w:r>
        <w:fldChar w:fldCharType="separate"/>
      </w:r>
      <w:r>
        <w:rPr>
          <w:rFonts w:cs="宋体" w:asciiTheme="minorEastAsia" w:hAnsiTheme="minorEastAsia" w:eastAsiaTheme="minorEastAsia"/>
          <w:bCs/>
          <w:szCs w:val="36"/>
        </w:rPr>
        <w:t xml:space="preserve">1. </w:t>
      </w:r>
      <w:r>
        <w:rPr>
          <w:rFonts w:hint="eastAsia" w:cs="宋体" w:asciiTheme="minorEastAsia" w:hAnsiTheme="minorEastAsia" w:eastAsiaTheme="minorEastAsia"/>
          <w:bCs/>
          <w:szCs w:val="36"/>
        </w:rPr>
        <w:t>评标程序</w:t>
      </w:r>
      <w:r>
        <w:tab/>
      </w:r>
      <w:r>
        <w:fldChar w:fldCharType="begin"/>
      </w:r>
      <w:r>
        <w:instrText xml:space="preserve"> PAGEREF _Toc8151 \h </w:instrText>
      </w:r>
      <w:r>
        <w:fldChar w:fldCharType="separate"/>
      </w:r>
      <w:r>
        <w:t>41</w:t>
      </w:r>
      <w:r>
        <w:fldChar w:fldCharType="end"/>
      </w:r>
      <w:r>
        <w:fldChar w:fldCharType="end"/>
      </w:r>
    </w:p>
    <w:p>
      <w:pPr>
        <w:pStyle w:val="24"/>
        <w:tabs>
          <w:tab w:val="right" w:leader="dot" w:pos="8733"/>
        </w:tabs>
        <w:spacing w:line="360" w:lineRule="auto"/>
      </w:pPr>
      <w:r>
        <w:fldChar w:fldCharType="begin"/>
      </w:r>
      <w:r>
        <w:instrText xml:space="preserve"> HYPERLINK \l "_Toc12920" </w:instrText>
      </w:r>
      <w:r>
        <w:fldChar w:fldCharType="separate"/>
      </w:r>
      <w:r>
        <w:rPr>
          <w:rFonts w:hint="eastAsia" w:cs="宋体" w:asciiTheme="minorEastAsia" w:hAnsiTheme="minorEastAsia" w:eastAsiaTheme="minorEastAsia"/>
          <w:bCs/>
          <w:szCs w:val="36"/>
        </w:rPr>
        <w:t>2. 评标方法</w:t>
      </w:r>
      <w:r>
        <w:tab/>
      </w:r>
      <w:r>
        <w:fldChar w:fldCharType="begin"/>
      </w:r>
      <w:r>
        <w:instrText xml:space="preserve"> PAGEREF _Toc12920 \h </w:instrText>
      </w:r>
      <w:r>
        <w:fldChar w:fldCharType="separate"/>
      </w:r>
      <w:r>
        <w:t>43</w:t>
      </w:r>
      <w:r>
        <w:fldChar w:fldCharType="end"/>
      </w:r>
      <w:r>
        <w:fldChar w:fldCharType="end"/>
      </w:r>
    </w:p>
    <w:p>
      <w:pPr>
        <w:pStyle w:val="22"/>
        <w:tabs>
          <w:tab w:val="right" w:leader="dot" w:pos="8733"/>
        </w:tabs>
        <w:spacing w:line="360" w:lineRule="auto"/>
      </w:pPr>
      <w:r>
        <w:fldChar w:fldCharType="begin"/>
      </w:r>
      <w:r>
        <w:instrText xml:space="preserve"> HYPERLINK \l "_Toc20086" </w:instrText>
      </w:r>
      <w:r>
        <w:fldChar w:fldCharType="separate"/>
      </w:r>
      <w:r>
        <w:rPr>
          <w:rFonts w:hint="eastAsia"/>
        </w:rPr>
        <w:t>第四章 采购内容及要求</w:t>
      </w:r>
      <w:r>
        <w:tab/>
      </w:r>
      <w:r>
        <w:fldChar w:fldCharType="begin"/>
      </w:r>
      <w:r>
        <w:instrText xml:space="preserve"> PAGEREF _Toc20086 \h </w:instrText>
      </w:r>
      <w:r>
        <w:fldChar w:fldCharType="separate"/>
      </w:r>
      <w:r>
        <w:t>49</w:t>
      </w:r>
      <w:r>
        <w:fldChar w:fldCharType="end"/>
      </w:r>
      <w:r>
        <w:fldChar w:fldCharType="end"/>
      </w:r>
    </w:p>
    <w:p>
      <w:pPr>
        <w:pStyle w:val="22"/>
        <w:tabs>
          <w:tab w:val="right" w:leader="dot" w:pos="8733"/>
        </w:tabs>
        <w:spacing w:line="360" w:lineRule="auto"/>
      </w:pPr>
      <w:r>
        <w:fldChar w:fldCharType="begin"/>
      </w:r>
      <w:r>
        <w:instrText xml:space="preserve"> HYPERLINK \l "_Toc18231" </w:instrText>
      </w:r>
      <w:r>
        <w:fldChar w:fldCharType="separate"/>
      </w:r>
      <w:r>
        <w:rPr>
          <w:rFonts w:hint="eastAsia"/>
        </w:rPr>
        <w:t>第五章 政府采购合同格式</w:t>
      </w:r>
      <w:r>
        <w:tab/>
      </w:r>
      <w:r>
        <w:fldChar w:fldCharType="begin"/>
      </w:r>
      <w:r>
        <w:instrText xml:space="preserve"> PAGEREF _Toc18231 \h </w:instrText>
      </w:r>
      <w:r>
        <w:fldChar w:fldCharType="separate"/>
      </w:r>
      <w:r>
        <w:t>57</w:t>
      </w:r>
      <w:r>
        <w:fldChar w:fldCharType="end"/>
      </w:r>
      <w:r>
        <w:fldChar w:fldCharType="end"/>
      </w:r>
    </w:p>
    <w:p>
      <w:pPr>
        <w:pStyle w:val="22"/>
        <w:tabs>
          <w:tab w:val="right" w:leader="dot" w:pos="8733"/>
        </w:tabs>
        <w:spacing w:line="360" w:lineRule="auto"/>
      </w:pPr>
      <w:r>
        <w:fldChar w:fldCharType="begin"/>
      </w:r>
      <w:r>
        <w:instrText xml:space="preserve"> HYPERLINK \l "_Toc28836" </w:instrText>
      </w:r>
      <w:r>
        <w:fldChar w:fldCharType="separate"/>
      </w:r>
      <w:r>
        <w:rPr>
          <w:rFonts w:hint="eastAsia"/>
        </w:rPr>
        <w:t>第六章 投标文件格式</w:t>
      </w:r>
      <w:r>
        <w:tab/>
      </w:r>
      <w:r>
        <w:fldChar w:fldCharType="begin"/>
      </w:r>
      <w:r>
        <w:instrText xml:space="preserve"> PAGEREF _Toc28836 \h </w:instrText>
      </w:r>
      <w:r>
        <w:fldChar w:fldCharType="separate"/>
      </w:r>
      <w:r>
        <w:t>62</w:t>
      </w:r>
      <w:r>
        <w:fldChar w:fldCharType="end"/>
      </w:r>
      <w:r>
        <w:fldChar w:fldCharType="end"/>
      </w:r>
    </w:p>
    <w:p>
      <w:pPr>
        <w:spacing w:line="360" w:lineRule="auto"/>
        <w:rPr>
          <w:rFonts w:cs="宋体" w:asciiTheme="minorEastAsia" w:hAnsiTheme="minorEastAsia" w:eastAsiaTheme="minorEastAsia"/>
          <w:sz w:val="28"/>
          <w:szCs w:val="28"/>
        </w:rPr>
      </w:pPr>
      <w:r>
        <w:rPr>
          <w:rFonts w:hint="eastAsia" w:cs="宋体" w:asciiTheme="minorEastAsia" w:hAnsiTheme="minorEastAsia" w:eastAsiaTheme="minorEastAsia"/>
        </w:rPr>
        <w:fldChar w:fldCharType="end"/>
      </w:r>
    </w:p>
    <w:p>
      <w:pPr>
        <w:spacing w:line="360" w:lineRule="auto"/>
        <w:rPr>
          <w:rFonts w:cs="宋体" w:asciiTheme="minorEastAsia" w:hAnsiTheme="minorEastAsia" w:eastAsiaTheme="minorEastAsia"/>
        </w:rPr>
        <w:sectPr>
          <w:headerReference r:id="rId8" w:type="first"/>
          <w:footerReference r:id="rId10" w:type="first"/>
          <w:footerReference r:id="rId9" w:type="default"/>
          <w:pgSz w:w="11907" w:h="16840"/>
          <w:pgMar w:top="1474" w:right="1587" w:bottom="1474" w:left="1587" w:header="851" w:footer="992" w:gutter="0"/>
          <w:pgNumType w:start="1"/>
          <w:cols w:space="720" w:num="1"/>
          <w:titlePg/>
        </w:sectPr>
      </w:pPr>
    </w:p>
    <w:p>
      <w:pPr>
        <w:pStyle w:val="3"/>
        <w:numPr>
          <w:ilvl w:val="0"/>
          <w:numId w:val="2"/>
        </w:numPr>
        <w:jc w:val="center"/>
      </w:pPr>
      <w:bookmarkStart w:id="2" w:name="_Toc13747"/>
      <w:bookmarkStart w:id="3" w:name="_Toc28199"/>
      <w:bookmarkStart w:id="4" w:name="_Toc7228"/>
      <w:bookmarkStart w:id="5" w:name="_Toc7564"/>
      <w:bookmarkStart w:id="6" w:name="_Toc14502"/>
      <w:r>
        <w:rPr>
          <w:rFonts w:hint="eastAsia"/>
        </w:rPr>
        <w:t>招标公告</w:t>
      </w:r>
      <w:bookmarkEnd w:id="2"/>
      <w:bookmarkEnd w:id="3"/>
      <w:bookmarkEnd w:id="4"/>
      <w:bookmarkEnd w:id="5"/>
      <w:bookmarkEnd w:id="6"/>
    </w:p>
    <w:p>
      <w:pPr>
        <w:pStyle w:val="26"/>
        <w:spacing w:before="0" w:beforeAutospacing="0" w:after="0" w:afterAutospacing="0" w:line="360" w:lineRule="auto"/>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lang w:bidi="ar"/>
        </w:rPr>
        <w:t>陕西省无线电管理委员会多功能移动式宽带监测测向系统采购项目</w:t>
      </w:r>
      <w:r>
        <w:rPr>
          <w:rFonts w:asciiTheme="minorEastAsia" w:hAnsiTheme="minorEastAsia" w:eastAsiaTheme="minorEastAsia"/>
          <w:b/>
          <w:sz w:val="24"/>
          <w:szCs w:val="24"/>
          <w:lang w:bidi="ar"/>
        </w:rPr>
        <w:t>潜在的投标人可在</w:t>
      </w:r>
      <w:r>
        <w:rPr>
          <w:rFonts w:hint="eastAsia" w:asciiTheme="minorEastAsia" w:hAnsiTheme="minorEastAsia" w:eastAsiaTheme="minorEastAsia"/>
          <w:b/>
          <w:sz w:val="24"/>
          <w:szCs w:val="24"/>
          <w:lang w:bidi="ar"/>
        </w:rPr>
        <w:t>西安市雁塔区科技五路8号数字大厦5楼508室获取采购文件，并于2022-05-0</w:t>
      </w:r>
      <w:r>
        <w:rPr>
          <w:rFonts w:hint="eastAsia" w:asciiTheme="minorEastAsia" w:hAnsiTheme="minorEastAsia" w:eastAsiaTheme="minorEastAsia"/>
          <w:b/>
          <w:sz w:val="24"/>
          <w:szCs w:val="24"/>
          <w:lang w:val="en-US" w:eastAsia="zh-CN" w:bidi="ar"/>
        </w:rPr>
        <w:t>5</w:t>
      </w:r>
      <w:r>
        <w:rPr>
          <w:rFonts w:hint="eastAsia" w:asciiTheme="minorEastAsia" w:hAnsiTheme="minorEastAsia" w:eastAsiaTheme="minorEastAsia"/>
          <w:b/>
          <w:sz w:val="24"/>
          <w:szCs w:val="24"/>
          <w:lang w:bidi="ar"/>
        </w:rPr>
        <w:t xml:space="preserve">  </w:t>
      </w:r>
      <w:r>
        <w:rPr>
          <w:rFonts w:hint="eastAsia" w:asciiTheme="minorEastAsia" w:hAnsiTheme="minorEastAsia" w:eastAsiaTheme="minorEastAsia"/>
          <w:b/>
          <w:sz w:val="24"/>
          <w:szCs w:val="24"/>
          <w:lang w:val="en-US" w:eastAsia="zh-CN" w:bidi="ar"/>
        </w:rPr>
        <w:t>14</w:t>
      </w:r>
      <w:r>
        <w:rPr>
          <w:rFonts w:hint="eastAsia" w:asciiTheme="minorEastAsia" w:hAnsiTheme="minorEastAsia" w:eastAsiaTheme="minorEastAsia"/>
          <w:b/>
          <w:sz w:val="24"/>
          <w:szCs w:val="24"/>
          <w:lang w:bidi="ar"/>
        </w:rPr>
        <w:t xml:space="preserve">:30:00前递交投标文件。 </w:t>
      </w:r>
      <w:r>
        <w:rPr>
          <w:rFonts w:asciiTheme="minorEastAsia" w:hAnsiTheme="minorEastAsia" w:eastAsiaTheme="minorEastAsia"/>
          <w:b/>
          <w:sz w:val="24"/>
          <w:szCs w:val="24"/>
          <w:lang w:bidi="ar"/>
        </w:rPr>
        <w:t xml:space="preserve"> </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一、项目基本情况：</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1、项目编号：</w:t>
      </w:r>
      <w:r>
        <w:rPr>
          <w:rFonts w:hint="eastAsia" w:asciiTheme="minorEastAsia" w:hAnsiTheme="minorEastAsia" w:eastAsiaTheme="minorEastAsia"/>
          <w:sz w:val="24"/>
          <w:szCs w:val="24"/>
        </w:rPr>
        <w:t>YFC2022-GP-009H</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2、项目名称：</w:t>
      </w:r>
      <w:r>
        <w:rPr>
          <w:rFonts w:hint="eastAsia" w:asciiTheme="minorEastAsia" w:hAnsiTheme="minorEastAsia" w:eastAsiaTheme="minorEastAsia"/>
          <w:bCs/>
          <w:sz w:val="24"/>
          <w:szCs w:val="24"/>
          <w:lang w:bidi="ar"/>
        </w:rPr>
        <w:t>陕西省无线电管理委员会多功能移动式宽带监测测向系统采购项目</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3、预算金额：</w:t>
      </w:r>
      <w:r>
        <w:rPr>
          <w:rFonts w:hint="eastAsia" w:asciiTheme="minorEastAsia" w:hAnsiTheme="minorEastAsia" w:eastAsiaTheme="minorEastAsia"/>
          <w:sz w:val="24"/>
          <w:szCs w:val="24"/>
        </w:rPr>
        <w:t>4080000.00元</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4、最高限价：</w:t>
      </w:r>
      <w:r>
        <w:rPr>
          <w:rFonts w:hint="eastAsia" w:asciiTheme="minorEastAsia" w:hAnsiTheme="minorEastAsia" w:eastAsiaTheme="minorEastAsia"/>
          <w:sz w:val="24"/>
          <w:szCs w:val="24"/>
        </w:rPr>
        <w:t>无</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5、采购需求：</w:t>
      </w:r>
      <w:r>
        <w:rPr>
          <w:rFonts w:hint="eastAsia" w:asciiTheme="minorEastAsia" w:hAnsiTheme="minorEastAsia" w:eastAsiaTheme="minorEastAsia"/>
          <w:sz w:val="24"/>
          <w:szCs w:val="24"/>
        </w:rPr>
        <w:t>本项目拟在西安建设一套一类无线电监测站，主要内容包括车辆、监测测向系统、无线电管制子系统、应急通信指挥子系统、车辆集成改装及附属设备等。（详见第四章）</w:t>
      </w:r>
    </w:p>
    <w:p>
      <w:pPr>
        <w:pStyle w:val="26"/>
        <w:numPr>
          <w:ilvl w:val="0"/>
          <w:numId w:val="3"/>
        </w:numPr>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合同履行期限：202</w:t>
      </w:r>
      <w:r>
        <w:rPr>
          <w:rFonts w:hint="eastAsia" w:asciiTheme="minorEastAsia" w:hAnsiTheme="minorEastAsia" w:eastAsiaTheme="minorEastAsia"/>
          <w:sz w:val="24"/>
          <w:szCs w:val="24"/>
        </w:rPr>
        <w:t>2-05</w:t>
      </w:r>
      <w:r>
        <w:rPr>
          <w:rFonts w:asciiTheme="minorEastAsia" w:hAnsiTheme="minorEastAsia" w:eastAsiaTheme="minorEastAsia"/>
          <w:sz w:val="24"/>
          <w:szCs w:val="24"/>
        </w:rPr>
        <w:t>-</w:t>
      </w:r>
      <w:r>
        <w:rPr>
          <w:rFonts w:hint="eastAsia" w:asciiTheme="minorEastAsia" w:hAnsiTheme="minorEastAsia" w:eastAsiaTheme="minorEastAsia"/>
          <w:sz w:val="24"/>
          <w:szCs w:val="24"/>
        </w:rPr>
        <w:t>07</w:t>
      </w:r>
      <w:r>
        <w:rPr>
          <w:rFonts w:asciiTheme="minorEastAsia" w:hAnsiTheme="minorEastAsia" w:eastAsiaTheme="minorEastAsia"/>
          <w:sz w:val="24"/>
          <w:szCs w:val="24"/>
        </w:rPr>
        <w:t xml:space="preserve"> 00:00:00 至 202</w:t>
      </w:r>
      <w:r>
        <w:rPr>
          <w:rFonts w:hint="eastAsia" w:asciiTheme="minorEastAsia" w:hAnsiTheme="minorEastAsia" w:eastAsiaTheme="minorEastAsia"/>
          <w:sz w:val="24"/>
          <w:szCs w:val="24"/>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01</w:t>
      </w:r>
      <w:r>
        <w:rPr>
          <w:rFonts w:asciiTheme="minorEastAsia" w:hAnsiTheme="minorEastAsia" w:eastAsiaTheme="minorEastAsia"/>
          <w:sz w:val="24"/>
          <w:szCs w:val="24"/>
        </w:rPr>
        <w:t>-</w:t>
      </w:r>
      <w:r>
        <w:rPr>
          <w:rFonts w:hint="eastAsia" w:asciiTheme="minorEastAsia" w:hAnsiTheme="minorEastAsia" w:eastAsiaTheme="minorEastAsia"/>
          <w:sz w:val="24"/>
          <w:szCs w:val="24"/>
        </w:rPr>
        <w:t>06</w:t>
      </w:r>
      <w:r>
        <w:rPr>
          <w:rFonts w:asciiTheme="minorEastAsia" w:hAnsiTheme="minorEastAsia" w:eastAsiaTheme="minorEastAsia"/>
          <w:sz w:val="24"/>
          <w:szCs w:val="24"/>
        </w:rPr>
        <w:t xml:space="preserve"> 00:00:00（具体服务起止日期可随合同签订时间相应顺延）</w:t>
      </w:r>
    </w:p>
    <w:p>
      <w:pPr>
        <w:pStyle w:val="26"/>
        <w:spacing w:before="0" w:beforeAutospacing="0" w:after="0" w:afterAutospacing="0"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7、本项目是否接受联合体投标：</w:t>
      </w:r>
      <w:r>
        <w:rPr>
          <w:rFonts w:hint="eastAsia" w:asciiTheme="minorEastAsia" w:hAnsiTheme="minorEastAsia" w:eastAsiaTheme="minorEastAsia"/>
          <w:sz w:val="24"/>
          <w:szCs w:val="24"/>
        </w:rPr>
        <w:t>不接受</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二、 投标人的资格要求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1、满足《中华人民共和国政府采购法》第二十二条规定</w:t>
      </w:r>
    </w:p>
    <w:p>
      <w:pPr>
        <w:pStyle w:val="26"/>
        <w:spacing w:before="0" w:beforeAutospacing="0" w:after="0" w:afterAutospacing="0" w:line="360" w:lineRule="auto"/>
        <w:ind w:firstLine="420"/>
        <w:rPr>
          <w:rFonts w:asciiTheme="minorEastAsia" w:hAnsiTheme="minorEastAsia" w:eastAsiaTheme="minorEastAsia"/>
          <w:color w:val="auto"/>
          <w:sz w:val="24"/>
          <w:szCs w:val="24"/>
        </w:rPr>
      </w:pPr>
      <w:r>
        <w:rPr>
          <w:rFonts w:asciiTheme="minorEastAsia" w:hAnsiTheme="minorEastAsia" w:eastAsiaTheme="minorEastAsia"/>
          <w:sz w:val="24"/>
          <w:szCs w:val="24"/>
        </w:rPr>
        <w:t>2、落实政府采购政策需满足的资格要求：</w:t>
      </w:r>
      <w:r>
        <w:rPr>
          <w:rFonts w:hint="eastAsia" w:asciiTheme="minorEastAsia" w:hAnsiTheme="minorEastAsia" w:eastAsiaTheme="minorEastAsia"/>
          <w:color w:val="auto"/>
          <w:sz w:val="24"/>
          <w:szCs w:val="24"/>
        </w:rPr>
        <w:t>本项目专门面向中小企业采购，开标提供“中小企业声明函”。</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asciiTheme="minorEastAsia" w:hAnsiTheme="minorEastAsia" w:eastAsiaTheme="minorEastAsia"/>
          <w:sz w:val="24"/>
          <w:szCs w:val="24"/>
        </w:rPr>
        <w:t>3、本项目的特定资格要求：</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8</w:t>
      </w:r>
      <w:r>
        <w:rPr>
          <w:rFonts w:hint="eastAsia" w:cs="宋体" w:asciiTheme="minorEastAsia" w:hAnsiTheme="minorEastAsia" w:eastAsiaTheme="minorEastAsia"/>
          <w:sz w:val="24"/>
          <w:lang w:val="zh-CN"/>
        </w:rPr>
        <w:t>）单位负责人为同一人或者存在控股、管理关系的不同单位不得同时参加同一项目投标。</w:t>
      </w:r>
    </w:p>
    <w:p>
      <w:pPr>
        <w:pStyle w:val="26"/>
        <w:spacing w:before="0" w:beforeAutospacing="0" w:after="0" w:afterAutospacing="0"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lang w:bidi="ar"/>
        </w:rPr>
        <w:t xml:space="preserve">三、 招标文件的获取方式 </w:t>
      </w:r>
    </w:p>
    <w:p>
      <w:pPr>
        <w:pStyle w:val="26"/>
        <w:spacing w:before="0" w:beforeAutospacing="0" w:after="0" w:afterAutospacing="0" w:line="360" w:lineRule="auto"/>
        <w:ind w:firstLine="420"/>
        <w:rPr>
          <w:rFonts w:asciiTheme="minorEastAsia" w:hAnsiTheme="minorEastAsia" w:eastAsiaTheme="minorEastAsia"/>
          <w:color w:val="auto"/>
          <w:sz w:val="24"/>
          <w:szCs w:val="24"/>
        </w:rPr>
      </w:pPr>
      <w:r>
        <w:rPr>
          <w:rFonts w:asciiTheme="minorEastAsia" w:hAnsiTheme="minorEastAsia" w:eastAsiaTheme="minorEastAsia"/>
          <w:sz w:val="24"/>
          <w:szCs w:val="24"/>
        </w:rPr>
        <w:t>时间</w:t>
      </w:r>
      <w:r>
        <w:rPr>
          <w:rFonts w:asciiTheme="minorEastAsia" w:hAnsiTheme="minorEastAsia" w:eastAsiaTheme="minorEastAsia"/>
          <w:color w:val="auto"/>
          <w:sz w:val="24"/>
          <w:szCs w:val="24"/>
        </w:rPr>
        <w:t>：即日起至20</w:t>
      </w:r>
      <w:r>
        <w:rPr>
          <w:rFonts w:hint="eastAsia" w:asciiTheme="minorEastAsia" w:hAnsiTheme="minorEastAsia" w:eastAsiaTheme="minorEastAsia"/>
          <w:color w:val="auto"/>
          <w:sz w:val="24"/>
          <w:szCs w:val="24"/>
        </w:rPr>
        <w:t>22</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04</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asciiTheme="minorEastAsia" w:hAnsiTheme="minorEastAsia" w:eastAsiaTheme="minorEastAsia"/>
          <w:color w:val="auto"/>
          <w:sz w:val="24"/>
          <w:szCs w:val="24"/>
        </w:rPr>
        <w:t>:00:00 止</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地点：西安市雁塔区科技五路8号数字大厦5楼508室</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方式：现场购买/邮寄</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售价：</w:t>
      </w:r>
      <w:r>
        <w:rPr>
          <w:rFonts w:hint="eastAsia" w:asciiTheme="minorEastAsia" w:hAnsiTheme="minorEastAsia" w:eastAsiaTheme="minorEastAsia"/>
          <w:sz w:val="24"/>
          <w:szCs w:val="24"/>
        </w:rPr>
        <w:t>500元/份</w:t>
      </w:r>
    </w:p>
    <w:p>
      <w:pPr>
        <w:pStyle w:val="26"/>
        <w:spacing w:before="0" w:beforeAutospacing="0" w:after="0" w:afterAutospacing="0" w:line="360" w:lineRule="auto"/>
        <w:ind w:firstLine="420"/>
        <w:rPr>
          <w:rFonts w:asciiTheme="minorEastAsia" w:hAnsiTheme="minorEastAsia" w:eastAsiaTheme="minorEastAsia"/>
          <w:sz w:val="24"/>
          <w:szCs w:val="24"/>
        </w:rPr>
      </w:pPr>
      <w:r>
        <w:rPr>
          <w:rStyle w:val="32"/>
          <w:rFonts w:hint="eastAsia" w:cs="宋体" w:asciiTheme="minorEastAsia" w:hAnsiTheme="minorEastAsia" w:eastAsiaTheme="minorEastAsia"/>
          <w:sz w:val="24"/>
          <w:szCs w:val="24"/>
        </w:rPr>
        <w:t>注：请携带单位介绍信、经办人身份证复印件（加盖公章）获取招标文件。</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四、 投标文件递交 </w:t>
      </w:r>
    </w:p>
    <w:p>
      <w:pPr>
        <w:pStyle w:val="26"/>
        <w:spacing w:before="0" w:beforeAutospacing="0" w:after="0" w:afterAutospacing="0" w:line="360" w:lineRule="auto"/>
        <w:ind w:firstLine="420"/>
        <w:rPr>
          <w:rFonts w:cs="宋体" w:asciiTheme="minorEastAsia" w:hAnsiTheme="minorEastAsia" w:eastAsiaTheme="minorEastAsia"/>
          <w:color w:val="auto"/>
          <w:sz w:val="24"/>
          <w:szCs w:val="24"/>
        </w:rPr>
      </w:pPr>
      <w:r>
        <w:rPr>
          <w:rFonts w:asciiTheme="minorEastAsia" w:hAnsiTheme="minorEastAsia" w:eastAsiaTheme="minorEastAsia"/>
          <w:sz w:val="24"/>
          <w:szCs w:val="24"/>
        </w:rPr>
        <w:t>截止时</w:t>
      </w:r>
      <w:r>
        <w:rPr>
          <w:rFonts w:asciiTheme="minorEastAsia" w:hAnsiTheme="minorEastAsia" w:eastAsiaTheme="minorEastAsia"/>
          <w:color w:val="auto"/>
          <w:sz w:val="24"/>
          <w:szCs w:val="24"/>
        </w:rPr>
        <w:t>间：</w:t>
      </w:r>
      <w:r>
        <w:rPr>
          <w:rFonts w:hint="eastAsia" w:cs="宋体" w:asciiTheme="minorEastAsia" w:hAnsiTheme="minorEastAsia" w:eastAsiaTheme="minorEastAsia"/>
          <w:color w:val="auto"/>
          <w:sz w:val="24"/>
          <w:szCs w:val="24"/>
        </w:rPr>
        <w:t>2022-05-0</w:t>
      </w:r>
      <w:r>
        <w:rPr>
          <w:rFonts w:hint="eastAsia" w:cs="宋体" w:asciiTheme="minorEastAsia" w:hAnsiTheme="minorEastAsia" w:eastAsiaTheme="minorEastAsia"/>
          <w:color w:val="auto"/>
          <w:sz w:val="24"/>
          <w:szCs w:val="24"/>
          <w:lang w:val="en-US" w:eastAsia="zh-CN"/>
        </w:rPr>
        <w:t>5</w:t>
      </w:r>
      <w:r>
        <w:rPr>
          <w:rFonts w:hint="eastAsia"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lang w:val="en-US" w:eastAsia="zh-CN"/>
        </w:rPr>
        <w:t>14</w:t>
      </w:r>
      <w:r>
        <w:rPr>
          <w:rFonts w:hint="eastAsia" w:cs="宋体" w:asciiTheme="minorEastAsia" w:hAnsiTheme="minorEastAsia" w:eastAsiaTheme="minorEastAsia"/>
          <w:color w:val="auto"/>
          <w:sz w:val="24"/>
          <w:szCs w:val="24"/>
        </w:rPr>
        <w:t>:30:00</w:t>
      </w:r>
    </w:p>
    <w:p>
      <w:pPr>
        <w:pStyle w:val="26"/>
        <w:spacing w:before="0" w:beforeAutospacing="0" w:after="0" w:afterAutospacing="0" w:line="360" w:lineRule="auto"/>
        <w:ind w:firstLine="420"/>
        <w:rPr>
          <w:rFonts w:asciiTheme="minorEastAsia" w:hAnsiTheme="minorEastAsia" w:eastAsiaTheme="minorEastAsia"/>
          <w:color w:val="0000FF"/>
          <w:sz w:val="24"/>
          <w:szCs w:val="24"/>
        </w:rPr>
      </w:pPr>
      <w:r>
        <w:rPr>
          <w:rFonts w:asciiTheme="minorEastAsia" w:hAnsiTheme="minorEastAsia" w:eastAsiaTheme="minorEastAsia"/>
          <w:sz w:val="24"/>
          <w:szCs w:val="24"/>
        </w:rPr>
        <w:t>地点：</w:t>
      </w:r>
      <w:r>
        <w:rPr>
          <w:rFonts w:hint="eastAsia" w:cs="宋体" w:asciiTheme="minorEastAsia" w:hAnsiTheme="minorEastAsia" w:eastAsiaTheme="minorEastAsia"/>
          <w:sz w:val="24"/>
          <w:szCs w:val="24"/>
        </w:rPr>
        <w:t>西安市未央区凤城六路旭弘西北广场写字楼南606</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五、公告期限</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自本公告发布之日起5个工作日。</w:t>
      </w:r>
    </w:p>
    <w:p>
      <w:pPr>
        <w:pStyle w:val="26"/>
        <w:numPr>
          <w:ilvl w:val="0"/>
          <w:numId w:val="4"/>
        </w:numPr>
        <w:spacing w:before="0" w:beforeAutospacing="0" w:after="0" w:afterAutospacing="0" w:line="360" w:lineRule="auto"/>
        <w:rPr>
          <w:rFonts w:asciiTheme="minorEastAsia" w:hAnsiTheme="minorEastAsia" w:eastAsiaTheme="minorEastAsia"/>
          <w:b/>
          <w:sz w:val="24"/>
          <w:szCs w:val="24"/>
          <w:lang w:bidi="ar"/>
        </w:rPr>
      </w:pPr>
      <w:r>
        <w:rPr>
          <w:rFonts w:asciiTheme="minorEastAsia" w:hAnsiTheme="minorEastAsia" w:eastAsiaTheme="minorEastAsia"/>
          <w:b/>
          <w:sz w:val="24"/>
          <w:szCs w:val="24"/>
          <w:lang w:bidi="ar"/>
        </w:rPr>
        <w:t>其他补充事宜</w:t>
      </w:r>
    </w:p>
    <w:p>
      <w:pPr>
        <w:pStyle w:val="26"/>
        <w:spacing w:before="0" w:beforeAutospacing="0" w:after="0" w:afterAutospacing="0" w:line="360" w:lineRule="auto"/>
        <w:ind w:firstLine="480" w:firstLineChars="200"/>
        <w:rPr>
          <w:rFonts w:asciiTheme="minorEastAsia" w:hAnsiTheme="minorEastAsia" w:eastAsiaTheme="minorEastAsia"/>
          <w:bCs/>
          <w:sz w:val="24"/>
          <w:szCs w:val="24"/>
          <w:lang w:bidi="ar"/>
        </w:rPr>
      </w:pPr>
      <w:r>
        <w:rPr>
          <w:rFonts w:hint="eastAsia" w:asciiTheme="minorEastAsia" w:hAnsiTheme="minorEastAsia" w:eastAsiaTheme="minorEastAsia"/>
          <w:bCs/>
          <w:sz w:val="24"/>
          <w:szCs w:val="24"/>
          <w:lang w:bidi="ar"/>
        </w:rPr>
        <w:t>1、请供应商按照陕西省财政厅关于政府采购供应商注册登记有关事项的通知中的要求，通过陕西省政府采购网注册登记加入陕西省政府采购供应商库。</w:t>
      </w:r>
    </w:p>
    <w:p>
      <w:pPr>
        <w:pStyle w:val="26"/>
        <w:spacing w:before="0" w:beforeAutospacing="0" w:after="0" w:afterAutospacing="0" w:line="360" w:lineRule="auto"/>
        <w:ind w:firstLine="480" w:firstLineChars="200"/>
        <w:rPr>
          <w:rFonts w:asciiTheme="minorEastAsia" w:hAnsiTheme="minorEastAsia" w:eastAsiaTheme="minorEastAsia"/>
          <w:bCs/>
          <w:sz w:val="24"/>
          <w:szCs w:val="24"/>
          <w:lang w:bidi="ar"/>
        </w:rPr>
      </w:pPr>
      <w:r>
        <w:rPr>
          <w:rFonts w:hint="eastAsia" w:asciiTheme="minorEastAsia" w:hAnsiTheme="minorEastAsia" w:eastAsiaTheme="minorEastAsia"/>
          <w:bCs/>
          <w:sz w:val="24"/>
          <w:szCs w:val="24"/>
          <w:lang w:bidi="ar"/>
        </w:rPr>
        <w:t>2、由于疫情影响，在开标当天潜在供应商仅1人（法定代表人或授权代表）参加开标会议。</w:t>
      </w:r>
    </w:p>
    <w:p>
      <w:pPr>
        <w:pStyle w:val="26"/>
        <w:spacing w:before="0" w:beforeAutospacing="0" w:after="0" w:afterAutospacing="0" w:line="360" w:lineRule="auto"/>
        <w:rPr>
          <w:rFonts w:asciiTheme="minorEastAsia" w:hAnsiTheme="minorEastAsia" w:eastAsiaTheme="minorEastAsia"/>
          <w:sz w:val="24"/>
          <w:szCs w:val="24"/>
        </w:rPr>
      </w:pPr>
      <w:r>
        <w:rPr>
          <w:rFonts w:asciiTheme="minorEastAsia" w:hAnsiTheme="minorEastAsia" w:eastAsiaTheme="minorEastAsia"/>
          <w:b/>
          <w:sz w:val="24"/>
          <w:szCs w:val="24"/>
          <w:lang w:bidi="ar"/>
        </w:rPr>
        <w:t xml:space="preserve">七、对本次招标提出询问，请按以下方式联系 </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1、采购人信息：</w:t>
      </w:r>
      <w:r>
        <w:rPr>
          <w:rFonts w:hint="eastAsia" w:asciiTheme="minorEastAsia" w:hAnsiTheme="minorEastAsia" w:eastAsiaTheme="minorEastAsia"/>
          <w:sz w:val="24"/>
          <w:szCs w:val="24"/>
        </w:rPr>
        <w:t>陕西省无线电管理委员会</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rPr>
        <w:t>谭老师</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w:t>
      </w:r>
      <w:r>
        <w:rPr>
          <w:rFonts w:hint="eastAsia" w:asciiTheme="minorEastAsia" w:hAnsiTheme="minorEastAsia" w:eastAsiaTheme="minorEastAsia"/>
          <w:sz w:val="24"/>
          <w:szCs w:val="24"/>
        </w:rPr>
        <w:t>省政府新城大院四号楼</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联系电话</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029-86788903</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2、项目联系方式</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项目联系人：</w:t>
      </w:r>
      <w:r>
        <w:rPr>
          <w:rFonts w:hint="eastAsia" w:cs="宋体" w:asciiTheme="minorEastAsia" w:hAnsiTheme="minorEastAsia" w:eastAsiaTheme="minorEastAsia"/>
          <w:sz w:val="24"/>
          <w:szCs w:val="24"/>
        </w:rPr>
        <w:t>李工</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电 话：029-88228984</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3、采购代理机构信息</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名称：陕西源丰成工程项目管理有限公司</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asciiTheme="minorEastAsia" w:hAnsiTheme="minorEastAsia" w:eastAsiaTheme="minorEastAsia"/>
          <w:sz w:val="24"/>
          <w:szCs w:val="24"/>
        </w:rPr>
        <w:t>联系地址：西安市雁塔区科技五路8号数字大厦5楼508室</w:t>
      </w:r>
    </w:p>
    <w:p>
      <w:bookmarkStart w:id="7" w:name="_Toc13168"/>
      <w:bookmarkStart w:id="8" w:name="_Toc16915"/>
      <w:bookmarkStart w:id="9" w:name="_Toc22912"/>
      <w:bookmarkStart w:id="10" w:name="_Toc28463"/>
      <w:bookmarkStart w:id="11" w:name="_Toc29060_WPSOffice_Level1"/>
      <w:bookmarkStart w:id="12" w:name="_Toc8810"/>
      <w:r>
        <w:rPr>
          <w:rFonts w:hint="eastAsia"/>
        </w:rPr>
        <w:br w:type="page"/>
      </w:r>
    </w:p>
    <w:p>
      <w:pPr>
        <w:pStyle w:val="3"/>
        <w:numPr>
          <w:ilvl w:val="0"/>
          <w:numId w:val="5"/>
        </w:numPr>
        <w:jc w:val="center"/>
      </w:pPr>
      <w:r>
        <w:rPr>
          <w:rFonts w:hint="eastAsia"/>
        </w:rPr>
        <w:t>投标供应商须知</w:t>
      </w:r>
      <w:bookmarkEnd w:id="7"/>
      <w:bookmarkEnd w:id="8"/>
      <w:bookmarkEnd w:id="9"/>
      <w:bookmarkEnd w:id="10"/>
      <w:bookmarkEnd w:id="11"/>
      <w:bookmarkEnd w:id="12"/>
      <w:bookmarkStart w:id="13" w:name="_Toc189727030"/>
      <w:bookmarkStart w:id="14" w:name="_Toc213396760"/>
      <w:bookmarkStart w:id="15" w:name="_Toc217446032"/>
      <w:bookmarkStart w:id="16" w:name="_Toc213496268"/>
      <w:bookmarkStart w:id="17" w:name="_Toc213396946"/>
      <w:bookmarkStart w:id="18" w:name="_Toc184283909"/>
      <w:bookmarkStart w:id="19" w:name="_Toc184274915"/>
      <w:bookmarkStart w:id="20" w:name="_Toc213397010"/>
    </w:p>
    <w:p>
      <w:pPr>
        <w:rPr>
          <w:rFonts w:asciiTheme="minorEastAsia" w:hAnsiTheme="minorEastAsia" w:eastAsiaTheme="minorEastAsia"/>
          <w:b/>
          <w:bCs/>
          <w:sz w:val="24"/>
          <w:szCs w:val="32"/>
        </w:rPr>
      </w:pPr>
      <w:r>
        <w:rPr>
          <w:rFonts w:hint="eastAsia" w:asciiTheme="minorEastAsia" w:hAnsiTheme="minorEastAsia" w:eastAsiaTheme="minorEastAsia"/>
          <w:b/>
          <w:bCs/>
          <w:sz w:val="24"/>
          <w:szCs w:val="32"/>
        </w:rPr>
        <w:t>投标供应商须知前附表</w:t>
      </w:r>
    </w:p>
    <w:tbl>
      <w:tblPr>
        <w:tblStyle w:val="29"/>
        <w:tblpPr w:leftFromText="180" w:rightFromText="180" w:vertAnchor="text" w:tblpXSpec="center" w:tblpY="1"/>
        <w:tblOverlap w:val="never"/>
        <w:tblW w:w="917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57"/>
        <w:gridCol w:w="1867"/>
        <w:gridCol w:w="665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bookmarkStart w:id="21" w:name="_Toc24697"/>
            <w:r>
              <w:rPr>
                <w:rFonts w:hint="eastAsia" w:cs="宋体" w:asciiTheme="minorEastAsia" w:hAnsiTheme="minorEastAsia" w:eastAsiaTheme="minorEastAsia"/>
                <w:sz w:val="24"/>
                <w:lang w:val="zh-CN"/>
              </w:rPr>
              <w:t>序号</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内容</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采购项目名称</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陕西省无线电管理委员会多功能移动式宽带监测测向系统采购项目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采购项目编号</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YFC2022-GP-00</w:t>
            </w:r>
            <w:r>
              <w:rPr>
                <w:rFonts w:hint="eastAsia" w:cs="宋体" w:asciiTheme="minorEastAsia" w:hAnsiTheme="minorEastAsia" w:eastAsiaTheme="minorEastAsia"/>
                <w:sz w:val="24"/>
              </w:rPr>
              <w:t>9H</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trPr>
        <w:tc>
          <w:tcPr>
            <w:tcW w:w="657" w:type="dxa"/>
            <w:tcBorders>
              <w:top w:val="single" w:color="auto" w:sz="4"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67" w:type="dxa"/>
            <w:tcBorders>
              <w:top w:val="single" w:color="auto" w:sz="4"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资金来源</w:t>
            </w:r>
          </w:p>
        </w:tc>
        <w:tc>
          <w:tcPr>
            <w:tcW w:w="6651" w:type="dxa"/>
            <w:tcBorders>
              <w:top w:val="single" w:color="auto" w:sz="4"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财政资金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4" w:hRule="atLeast"/>
        </w:trPr>
        <w:tc>
          <w:tcPr>
            <w:tcW w:w="657" w:type="dxa"/>
            <w:tcBorders>
              <w:top w:val="single" w:color="auto" w:sz="4"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采购人</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名称：</w:t>
            </w:r>
            <w:r>
              <w:rPr>
                <w:rFonts w:hint="eastAsia" w:cs="宋体" w:asciiTheme="minorEastAsia" w:hAnsiTheme="minorEastAsia" w:eastAsiaTheme="minorEastAsia"/>
                <w:sz w:val="24"/>
              </w:rPr>
              <w:t>陕西省无线电管理委员会</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联系人：</w:t>
            </w:r>
            <w:r>
              <w:rPr>
                <w:rFonts w:hint="eastAsia" w:cs="宋体" w:asciiTheme="minorEastAsia" w:hAnsiTheme="minorEastAsia" w:eastAsiaTheme="minorEastAsia"/>
                <w:sz w:val="24"/>
              </w:rPr>
              <w:t>谭老师</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联系地址：</w:t>
            </w:r>
            <w:r>
              <w:rPr>
                <w:rFonts w:hint="eastAsia" w:cs="宋体" w:asciiTheme="minorEastAsia" w:hAnsiTheme="minorEastAsia" w:eastAsiaTheme="minorEastAsia"/>
                <w:sz w:val="24"/>
              </w:rPr>
              <w:t>省政府新城大院四号楼</w:t>
            </w:r>
          </w:p>
          <w:p>
            <w:pPr>
              <w:spacing w:line="276" w:lineRule="auto"/>
              <w:jc w:val="left"/>
              <w:rPr>
                <w:rFonts w:cs="宋体" w:asciiTheme="minorEastAsia" w:hAnsiTheme="minorEastAsia" w:eastAsiaTheme="minorEastAsia"/>
                <w:sz w:val="24"/>
              </w:rPr>
            </w:pPr>
            <w:r>
              <w:rPr>
                <w:rFonts w:cs="宋体" w:asciiTheme="minorEastAsia" w:hAnsiTheme="minorEastAsia" w:eastAsiaTheme="minorEastAsia"/>
                <w:sz w:val="24"/>
              </w:rPr>
              <w:t>联系电话：</w:t>
            </w:r>
            <w:r>
              <w:rPr>
                <w:rFonts w:hint="eastAsia" w:cs="宋体" w:asciiTheme="minorEastAsia" w:hAnsiTheme="minorEastAsia" w:eastAsiaTheme="minorEastAsia"/>
                <w:color w:val="auto"/>
                <w:sz w:val="24"/>
              </w:rPr>
              <w:t>029-86788903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6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采购代理机构</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名称：陕西源丰成工程项目管理有限公司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地址：</w:t>
            </w:r>
            <w:r>
              <w:rPr>
                <w:rFonts w:hint="eastAsia" w:cs="宋体" w:asciiTheme="minorEastAsia" w:hAnsiTheme="minorEastAsia" w:eastAsiaTheme="minorEastAsia"/>
                <w:sz w:val="24"/>
              </w:rPr>
              <w:t>西安市雁塔区科技五路8号数字大厦5楼508室</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联系人：</w:t>
            </w:r>
            <w:r>
              <w:rPr>
                <w:rFonts w:hint="eastAsia" w:cs="宋体" w:asciiTheme="minorEastAsia" w:hAnsiTheme="minorEastAsia" w:eastAsiaTheme="minorEastAsia"/>
                <w:sz w:val="24"/>
              </w:rPr>
              <w:t>李工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电话：</w:t>
            </w:r>
            <w:r>
              <w:rPr>
                <w:rFonts w:hint="eastAsia" w:cs="宋体" w:asciiTheme="minorEastAsia" w:hAnsiTheme="minorEastAsia" w:eastAsiaTheme="minorEastAsia"/>
                <w:sz w:val="24"/>
              </w:rPr>
              <w:t xml:space="preserve">029-88228984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采购预算</w:t>
            </w:r>
          </w:p>
        </w:tc>
        <w:tc>
          <w:tcPr>
            <w:tcW w:w="6651" w:type="dxa"/>
            <w:tcBorders>
              <w:top w:val="single" w:color="auto" w:sz="8" w:space="0"/>
              <w:left w:val="single" w:color="auto" w:sz="8" w:space="0"/>
              <w:bottom w:val="single" w:color="auto" w:sz="8" w:space="0"/>
              <w:right w:val="single" w:color="auto" w:sz="4" w:space="0"/>
            </w:tcBorders>
            <w:vAlign w:val="center"/>
          </w:tcPr>
          <w:p>
            <w:pPr>
              <w:pStyle w:val="20"/>
              <w:spacing w:line="276" w:lineRule="auto"/>
              <w:rPr>
                <w:rFonts w:asciiTheme="minorEastAsia" w:hAnsiTheme="minorEastAsia" w:eastAsiaTheme="minorEastAsia"/>
                <w:lang w:val="zh-CN"/>
              </w:rPr>
            </w:pPr>
            <w:r>
              <w:rPr>
                <w:rFonts w:hint="eastAsia" w:cs="宋体" w:asciiTheme="minorEastAsia" w:hAnsiTheme="minorEastAsia" w:eastAsiaTheme="minorEastAsia"/>
                <w:sz w:val="24"/>
                <w:szCs w:val="24"/>
              </w:rPr>
              <w:t>4080000.00元，投标</w:t>
            </w:r>
            <w:r>
              <w:rPr>
                <w:rFonts w:hint="eastAsia" w:asciiTheme="minorEastAsia" w:hAnsiTheme="minorEastAsia" w:eastAsiaTheme="minorEastAsia"/>
                <w:sz w:val="24"/>
                <w:szCs w:val="24"/>
              </w:rPr>
              <w:t>报价超过采购预算，报价无效。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采购方式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7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项目概况</w:t>
            </w:r>
          </w:p>
        </w:tc>
        <w:tc>
          <w:tcPr>
            <w:tcW w:w="6651" w:type="dxa"/>
            <w:tcBorders>
              <w:top w:val="single" w:color="auto" w:sz="8" w:space="0"/>
              <w:left w:val="single" w:color="auto" w:sz="8" w:space="0"/>
              <w:bottom w:val="single" w:color="auto" w:sz="8" w:space="0"/>
              <w:right w:val="single" w:color="auto" w:sz="4" w:space="0"/>
            </w:tcBorders>
            <w:vAlign w:val="center"/>
          </w:tcPr>
          <w:p>
            <w:pPr>
              <w:spacing w:line="360" w:lineRule="auto"/>
              <w:ind w:firstLine="480" w:firstLineChars="200"/>
              <w:rPr>
                <w:rFonts w:cs="宋体" w:asciiTheme="minorEastAsia" w:hAnsiTheme="minorEastAsia" w:eastAsiaTheme="minorEastAsia"/>
                <w:sz w:val="24"/>
                <w:lang w:val="zh-CN"/>
              </w:rPr>
            </w:pPr>
            <w:r>
              <w:rPr>
                <w:rFonts w:cs="宋体" w:asciiTheme="minorEastAsia" w:hAnsiTheme="minorEastAsia" w:eastAsiaTheme="minorEastAsia"/>
                <w:sz w:val="24"/>
                <w:lang w:val="zh-CN"/>
              </w:rPr>
              <w:t>本项目拟在西安建设一套一类无线电监测站，主要内容包括车辆、监测测向系统、无线电管制子系统、应急通信指挥子系统、车辆集成改装及附属设备等。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招标范围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见招标文件第四章要求。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80"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招标文件获取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时间：即日起至</w:t>
            </w:r>
            <w:r>
              <w:rPr>
                <w:rFonts w:hint="eastAsia" w:cs="宋体" w:asciiTheme="minorEastAsia" w:hAnsiTheme="minorEastAsia" w:eastAsiaTheme="minorEastAsia"/>
                <w:color w:val="auto"/>
                <w:sz w:val="24"/>
                <w:lang w:val="zh-CN"/>
              </w:rPr>
              <w:t>202</w:t>
            </w: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sz w:val="24"/>
                <w:lang w:val="zh-CN"/>
              </w:rPr>
              <w:t>-</w:t>
            </w:r>
            <w:r>
              <w:rPr>
                <w:rFonts w:hint="eastAsia" w:cs="宋体" w:asciiTheme="minorEastAsia" w:hAnsiTheme="minorEastAsia" w:eastAsiaTheme="minorEastAsia"/>
                <w:color w:val="auto"/>
                <w:sz w:val="24"/>
              </w:rPr>
              <w:t>04</w:t>
            </w:r>
            <w:r>
              <w:rPr>
                <w:rFonts w:hint="eastAsia" w:cs="宋体" w:asciiTheme="minorEastAsia" w:hAnsiTheme="minorEastAsia" w:eastAsiaTheme="minorEastAsia"/>
                <w:color w:val="auto"/>
                <w:sz w:val="24"/>
                <w:lang w:val="zh-CN"/>
              </w:rPr>
              <w:t>-</w:t>
            </w: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sz w:val="24"/>
                <w:lang w:val="en-US" w:eastAsia="zh-CN"/>
              </w:rPr>
              <w:t>9</w:t>
            </w:r>
            <w:r>
              <w:rPr>
                <w:rFonts w:hint="eastAsia" w:cs="宋体" w:asciiTheme="minorEastAsia" w:hAnsiTheme="minorEastAsia" w:eastAsiaTheme="minorEastAsia"/>
                <w:color w:val="auto"/>
                <w:sz w:val="24"/>
                <w:lang w:val="zh-CN"/>
              </w:rPr>
              <w:t xml:space="preserve"> </w:t>
            </w:r>
            <w:r>
              <w:rPr>
                <w:rFonts w:hint="eastAsia" w:cs="宋体" w:asciiTheme="minorEastAsia" w:hAnsiTheme="minorEastAsia" w:eastAsiaTheme="minorEastAsia"/>
                <w:color w:val="auto"/>
                <w:sz w:val="24"/>
              </w:rPr>
              <w:t>16</w:t>
            </w:r>
            <w:r>
              <w:rPr>
                <w:rFonts w:hint="eastAsia" w:cs="宋体" w:asciiTheme="minorEastAsia" w:hAnsiTheme="minorEastAsia" w:eastAsiaTheme="minorEastAsia"/>
                <w:color w:val="auto"/>
                <w:sz w:val="24"/>
                <w:lang w:val="zh-CN"/>
              </w:rPr>
              <w:t>:00 止</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地点：</w:t>
            </w:r>
            <w:r>
              <w:rPr>
                <w:rFonts w:asciiTheme="minorEastAsia" w:hAnsiTheme="minorEastAsia" w:eastAsiaTheme="minorEastAsia"/>
                <w:sz w:val="24"/>
              </w:rPr>
              <w:t>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招标文件澄清或修改时间、形式</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时间：递交投标文件截至时间15日前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形式：书面和公告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投标文件递交</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zh-CN"/>
              </w:rPr>
              <w:t>地点：</w:t>
            </w:r>
            <w:r>
              <w:rPr>
                <w:rFonts w:hint="eastAsia" w:cs="宋体" w:asciiTheme="minorEastAsia" w:hAnsiTheme="minorEastAsia" w:eastAsiaTheme="minorEastAsia"/>
                <w:color w:val="auto"/>
                <w:sz w:val="24"/>
              </w:rPr>
              <w:t>西安市未央区凤城六路旭弘西北广场写字楼南606</w:t>
            </w:r>
          </w:p>
          <w:p>
            <w:pPr>
              <w:spacing w:line="276" w:lineRule="auto"/>
              <w:jc w:val="left"/>
              <w:rPr>
                <w:rFonts w:cs="宋体" w:asciiTheme="minorEastAsia" w:hAnsiTheme="minorEastAsia" w:eastAsiaTheme="minorEastAsia"/>
                <w:color w:val="auto"/>
                <w:sz w:val="24"/>
                <w:lang w:val="zh-CN"/>
              </w:rPr>
            </w:pPr>
            <w:r>
              <w:rPr>
                <w:rFonts w:hint="eastAsia" w:cs="宋体" w:asciiTheme="minorEastAsia" w:hAnsiTheme="minorEastAsia" w:eastAsiaTheme="minorEastAsia"/>
                <w:color w:val="auto"/>
                <w:sz w:val="24"/>
                <w:lang w:val="zh-CN"/>
              </w:rPr>
              <w:t>时间：</w:t>
            </w:r>
            <w:r>
              <w:rPr>
                <w:rFonts w:hint="eastAsia" w:cs="宋体" w:asciiTheme="minorEastAsia" w:hAnsiTheme="minorEastAsia" w:eastAsiaTheme="minorEastAsia"/>
                <w:bCs/>
                <w:color w:val="auto"/>
                <w:sz w:val="24"/>
                <w:szCs w:val="28"/>
              </w:rPr>
              <w:t>2022年05月0</w:t>
            </w:r>
            <w:r>
              <w:rPr>
                <w:rFonts w:hint="eastAsia" w:cs="宋体" w:asciiTheme="minorEastAsia" w:hAnsiTheme="minorEastAsia" w:eastAsiaTheme="minorEastAsia"/>
                <w:bCs/>
                <w:color w:val="auto"/>
                <w:sz w:val="24"/>
                <w:szCs w:val="28"/>
                <w:lang w:val="en-US" w:eastAsia="zh-CN"/>
              </w:rPr>
              <w:t>5</w:t>
            </w:r>
            <w:r>
              <w:rPr>
                <w:rFonts w:hint="eastAsia" w:cs="宋体" w:asciiTheme="minorEastAsia" w:hAnsiTheme="minorEastAsia" w:eastAsiaTheme="minorEastAsia"/>
                <w:bCs/>
                <w:color w:val="auto"/>
                <w:sz w:val="24"/>
                <w:szCs w:val="28"/>
              </w:rPr>
              <w:t>日</w:t>
            </w:r>
            <w:r>
              <w:rPr>
                <w:rFonts w:hint="eastAsia" w:cs="宋体" w:asciiTheme="minorEastAsia" w:hAnsiTheme="minorEastAsia" w:eastAsiaTheme="minorEastAsia"/>
                <w:bCs/>
                <w:color w:val="auto"/>
                <w:sz w:val="24"/>
                <w:szCs w:val="28"/>
                <w:lang w:val="en-US" w:eastAsia="zh-CN"/>
              </w:rPr>
              <w:t>14</w:t>
            </w:r>
            <w:r>
              <w:rPr>
                <w:rFonts w:hint="eastAsia" w:cs="宋体" w:asciiTheme="minorEastAsia" w:hAnsiTheme="minorEastAsia" w:eastAsiaTheme="minorEastAsia"/>
                <w:bCs/>
                <w:color w:val="auto"/>
                <w:sz w:val="24"/>
                <w:szCs w:val="28"/>
              </w:rPr>
              <w:t>点30分（北京时间）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投标截止时间</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color w:val="auto"/>
                <w:sz w:val="24"/>
                <w:lang w:val="zh-CN"/>
              </w:rPr>
            </w:pPr>
            <w:r>
              <w:rPr>
                <w:rFonts w:hint="eastAsia" w:cs="宋体" w:asciiTheme="minorEastAsia" w:hAnsiTheme="minorEastAsia" w:eastAsiaTheme="minorEastAsia"/>
                <w:bCs/>
                <w:color w:val="auto"/>
                <w:sz w:val="24"/>
                <w:szCs w:val="28"/>
              </w:rPr>
              <w:t>2022年05月0</w:t>
            </w:r>
            <w:r>
              <w:rPr>
                <w:rFonts w:hint="eastAsia" w:cs="宋体" w:asciiTheme="minorEastAsia" w:hAnsiTheme="minorEastAsia" w:eastAsiaTheme="minorEastAsia"/>
                <w:bCs/>
                <w:color w:val="auto"/>
                <w:sz w:val="24"/>
                <w:szCs w:val="28"/>
                <w:lang w:val="en-US" w:eastAsia="zh-CN"/>
              </w:rPr>
              <w:t>5</w:t>
            </w:r>
            <w:r>
              <w:rPr>
                <w:rFonts w:hint="eastAsia" w:cs="宋体" w:asciiTheme="minorEastAsia" w:hAnsiTheme="minorEastAsia" w:eastAsiaTheme="minorEastAsia"/>
                <w:bCs/>
                <w:color w:val="auto"/>
                <w:sz w:val="24"/>
                <w:szCs w:val="28"/>
              </w:rPr>
              <w:t>日</w:t>
            </w:r>
            <w:r>
              <w:rPr>
                <w:rFonts w:hint="eastAsia" w:cs="宋体" w:asciiTheme="minorEastAsia" w:hAnsiTheme="minorEastAsia" w:eastAsiaTheme="minorEastAsia"/>
                <w:bCs/>
                <w:color w:val="auto"/>
                <w:sz w:val="24"/>
                <w:szCs w:val="28"/>
                <w:lang w:val="en-US" w:eastAsia="zh-CN"/>
              </w:rPr>
              <w:t>14</w:t>
            </w:r>
            <w:r>
              <w:rPr>
                <w:rFonts w:hint="eastAsia" w:cs="宋体" w:asciiTheme="minorEastAsia" w:hAnsiTheme="minorEastAsia" w:eastAsiaTheme="minorEastAsia"/>
                <w:bCs/>
                <w:color w:val="auto"/>
                <w:sz w:val="24"/>
                <w:szCs w:val="28"/>
              </w:rPr>
              <w:t>点30分（北京时间）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6"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本项目不收取投标保证金，请忽略文件格式中关于保证金的规定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和地点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开标时间</w:t>
            </w:r>
            <w:r>
              <w:rPr>
                <w:rFonts w:hint="eastAsia" w:cs="宋体" w:asciiTheme="minorEastAsia" w:hAnsiTheme="minorEastAsia" w:eastAsiaTheme="minorEastAsia"/>
                <w:color w:val="auto"/>
                <w:sz w:val="24"/>
                <w:lang w:val="zh-CN"/>
              </w:rPr>
              <w:t>：</w:t>
            </w:r>
            <w:r>
              <w:rPr>
                <w:rFonts w:hint="eastAsia" w:cs="宋体" w:asciiTheme="minorEastAsia" w:hAnsiTheme="minorEastAsia" w:eastAsiaTheme="minorEastAsia"/>
                <w:bCs/>
                <w:color w:val="auto"/>
                <w:sz w:val="24"/>
                <w:szCs w:val="28"/>
              </w:rPr>
              <w:t>2022年0</w:t>
            </w:r>
            <w:r>
              <w:rPr>
                <w:rFonts w:hint="eastAsia" w:cs="宋体" w:asciiTheme="minorEastAsia" w:hAnsiTheme="minorEastAsia" w:eastAsiaTheme="minorEastAsia"/>
                <w:bCs/>
                <w:color w:val="auto"/>
                <w:sz w:val="24"/>
                <w:szCs w:val="28"/>
                <w:lang w:val="en-US" w:eastAsia="zh-CN"/>
              </w:rPr>
              <w:t>5</w:t>
            </w:r>
            <w:r>
              <w:rPr>
                <w:rFonts w:hint="eastAsia" w:cs="宋体" w:asciiTheme="minorEastAsia" w:hAnsiTheme="minorEastAsia" w:eastAsiaTheme="minorEastAsia"/>
                <w:bCs/>
                <w:color w:val="auto"/>
                <w:sz w:val="24"/>
                <w:szCs w:val="28"/>
              </w:rPr>
              <w:t>月</w:t>
            </w:r>
            <w:r>
              <w:rPr>
                <w:rFonts w:hint="eastAsia" w:cs="宋体" w:asciiTheme="minorEastAsia" w:hAnsiTheme="minorEastAsia" w:eastAsiaTheme="minorEastAsia"/>
                <w:bCs/>
                <w:color w:val="auto"/>
                <w:sz w:val="24"/>
                <w:szCs w:val="28"/>
                <w:lang w:val="en-US" w:eastAsia="zh-CN"/>
              </w:rPr>
              <w:t>05</w:t>
            </w:r>
            <w:r>
              <w:rPr>
                <w:rFonts w:hint="eastAsia" w:cs="宋体" w:asciiTheme="minorEastAsia" w:hAnsiTheme="minorEastAsia" w:eastAsiaTheme="minorEastAsia"/>
                <w:bCs/>
                <w:color w:val="auto"/>
                <w:sz w:val="24"/>
                <w:szCs w:val="28"/>
              </w:rPr>
              <w:t>日</w:t>
            </w:r>
            <w:r>
              <w:rPr>
                <w:rFonts w:hint="eastAsia" w:cs="宋体" w:asciiTheme="minorEastAsia" w:hAnsiTheme="minorEastAsia" w:eastAsiaTheme="minorEastAsia"/>
                <w:bCs/>
                <w:color w:val="auto"/>
                <w:sz w:val="24"/>
                <w:szCs w:val="28"/>
                <w:lang w:val="en-US" w:eastAsia="zh-CN"/>
              </w:rPr>
              <w:t>14</w:t>
            </w:r>
            <w:r>
              <w:rPr>
                <w:rFonts w:hint="eastAsia" w:cs="宋体" w:asciiTheme="minorEastAsia" w:hAnsiTheme="minorEastAsia" w:eastAsiaTheme="minorEastAsia"/>
                <w:bCs/>
                <w:color w:val="auto"/>
                <w:sz w:val="24"/>
                <w:szCs w:val="28"/>
              </w:rPr>
              <w:t>点30分（北京时间）</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开标地点：西安市未央区凤城六路旭弘西北广场写字楼南606</w:t>
            </w:r>
          </w:p>
          <w:p>
            <w:pPr>
              <w:spacing w:line="276" w:lineRule="auto"/>
              <w:jc w:val="left"/>
              <w:rPr>
                <w:rFonts w:cs="宋体" w:asciiTheme="minorEastAsia" w:hAnsiTheme="minorEastAsia" w:eastAsiaTheme="minorEastAsia"/>
                <w:sz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2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asciiTheme="minorEastAsia" w:hAnsiTheme="minorEastAsia" w:eastAsiaTheme="minorEastAsia"/>
                <w:sz w:val="24"/>
              </w:rPr>
            </w:pPr>
            <w:r>
              <w:rPr>
                <w:rStyle w:val="81"/>
                <w:rFonts w:asciiTheme="minorEastAsia" w:hAnsiTheme="minorEastAsia" w:eastAsiaTheme="minorEastAsia"/>
                <w:sz w:val="24"/>
              </w:rPr>
              <w:t>评标委员会的</w:t>
            </w:r>
          </w:p>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组建</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评标委员会构成：</w:t>
            </w:r>
            <w:r>
              <w:rPr>
                <w:rStyle w:val="81"/>
                <w:rFonts w:hint="eastAsia" w:asciiTheme="minorEastAsia" w:hAnsiTheme="minorEastAsia" w:eastAsiaTheme="minorEastAsia"/>
                <w:sz w:val="24"/>
              </w:rPr>
              <w:t>5</w:t>
            </w:r>
            <w:r>
              <w:rPr>
                <w:rStyle w:val="81"/>
                <w:rFonts w:asciiTheme="minorEastAsia" w:hAnsiTheme="minorEastAsia" w:eastAsiaTheme="minorEastAsia"/>
                <w:sz w:val="24"/>
              </w:rPr>
              <w:t>人。</w:t>
            </w:r>
          </w:p>
          <w:p>
            <w:pPr>
              <w:spacing w:line="276" w:lineRule="auto"/>
              <w:rPr>
                <w:rStyle w:val="81"/>
                <w:rFonts w:asciiTheme="minorEastAsia" w:hAnsiTheme="minorEastAsia" w:eastAsiaTheme="minorEastAsia"/>
                <w:sz w:val="24"/>
              </w:rPr>
            </w:pPr>
            <w:r>
              <w:rPr>
                <w:rStyle w:val="81"/>
                <w:rFonts w:asciiTheme="minorEastAsia" w:hAnsiTheme="minorEastAsia" w:eastAsiaTheme="minorEastAsia"/>
                <w:sz w:val="24"/>
              </w:rPr>
              <w:t>其中采购人代表</w:t>
            </w:r>
            <w:r>
              <w:rPr>
                <w:rStyle w:val="81"/>
                <w:rFonts w:hint="eastAsia" w:asciiTheme="minorEastAsia" w:hAnsiTheme="minorEastAsia" w:eastAsiaTheme="minorEastAsia"/>
                <w:sz w:val="24"/>
              </w:rPr>
              <w:t>1</w:t>
            </w:r>
            <w:r>
              <w:rPr>
                <w:rStyle w:val="81"/>
                <w:rFonts w:asciiTheme="minorEastAsia" w:hAnsiTheme="minorEastAsia" w:eastAsiaTheme="minorEastAsia"/>
                <w:sz w:val="24"/>
              </w:rPr>
              <w:t>人，专家</w:t>
            </w:r>
            <w:r>
              <w:rPr>
                <w:rStyle w:val="81"/>
                <w:rFonts w:hint="eastAsia" w:asciiTheme="minorEastAsia" w:hAnsiTheme="minorEastAsia" w:eastAsiaTheme="minorEastAsia"/>
                <w:sz w:val="24"/>
              </w:rPr>
              <w:t>4</w:t>
            </w:r>
            <w:r>
              <w:rPr>
                <w:rStyle w:val="81"/>
                <w:rFonts w:asciiTheme="minorEastAsia" w:hAnsiTheme="minorEastAsia" w:eastAsiaTheme="minorEastAsia"/>
                <w:sz w:val="24"/>
              </w:rPr>
              <w:t>人</w:t>
            </w:r>
            <w:r>
              <w:rPr>
                <w:rStyle w:val="81"/>
                <w:rFonts w:hint="eastAsia" w:asciiTheme="minorEastAsia" w:hAnsiTheme="minorEastAsia" w:eastAsiaTheme="minorEastAsia"/>
                <w:sz w:val="24"/>
              </w:rPr>
              <w:t>（技术、经济专业）</w:t>
            </w:r>
            <w:r>
              <w:rPr>
                <w:rStyle w:val="81"/>
                <w:rFonts w:asciiTheme="minorEastAsia" w:hAnsiTheme="minorEastAsia" w:eastAsiaTheme="minorEastAsia"/>
                <w:sz w:val="24"/>
              </w:rPr>
              <w:t>。</w:t>
            </w:r>
          </w:p>
          <w:p>
            <w:pPr>
              <w:spacing w:line="276" w:lineRule="auto"/>
              <w:jc w:val="left"/>
              <w:rPr>
                <w:rFonts w:cs="宋体" w:asciiTheme="minorEastAsia" w:hAnsiTheme="minorEastAsia" w:eastAsiaTheme="minorEastAsia"/>
                <w:sz w:val="24"/>
              </w:rPr>
            </w:pPr>
            <w:r>
              <w:rPr>
                <w:rStyle w:val="81"/>
                <w:rFonts w:asciiTheme="minorEastAsia" w:hAnsiTheme="minorEastAsia" w:eastAsiaTheme="minorEastAsia"/>
                <w:sz w:val="24"/>
              </w:rPr>
              <w:t>评标专家确定方式：陕西省政府采购专家</w:t>
            </w:r>
            <w:r>
              <w:rPr>
                <w:rStyle w:val="81"/>
                <w:rFonts w:hint="eastAsia" w:asciiTheme="minorEastAsia" w:hAnsiTheme="minorEastAsia" w:eastAsiaTheme="minorEastAsia"/>
                <w:sz w:val="24"/>
              </w:rPr>
              <w:t>库，由系统</w:t>
            </w:r>
            <w:r>
              <w:rPr>
                <w:rStyle w:val="81"/>
                <w:rFonts w:asciiTheme="minorEastAsia" w:hAnsiTheme="minorEastAsia" w:eastAsiaTheme="minorEastAsia"/>
                <w:sz w:val="24"/>
              </w:rPr>
              <w:t>随机抽取。</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lang w:val="zh-CN"/>
              </w:rPr>
              <w:t>1</w:t>
            </w:r>
            <w:r>
              <w:rPr>
                <w:rFonts w:hint="eastAsia" w:cs="宋体" w:asciiTheme="minorEastAsia" w:hAnsiTheme="minorEastAsia" w:eastAsiaTheme="minorEastAsia"/>
                <w:sz w:val="24"/>
              </w:rPr>
              <w:t>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交货安装期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ascii="宋体" w:hAnsi="宋体" w:cs="宋体"/>
                <w:sz w:val="24"/>
              </w:rPr>
              <w:t>自合同签订之日起8个月完成</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3年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联合体投标</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考察现场、标前</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答疑会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转包</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不允许转包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偏离</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rPr>
              <w:t>标注有“★”号的条款必须实质性响应，负偏离（不满足要求）将导致响应无效。</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rPr>
              <w:t>标注有“▲”号的条款为重要技术要求，负偏离（不满足要求）将影响技术得分。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6"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质疑事项</w:t>
            </w:r>
          </w:p>
        </w:tc>
        <w:tc>
          <w:tcPr>
            <w:tcW w:w="6651" w:type="dxa"/>
            <w:tcBorders>
              <w:top w:val="single" w:color="auto" w:sz="8" w:space="0"/>
              <w:left w:val="single" w:color="auto" w:sz="8" w:space="0"/>
              <w:bottom w:val="single" w:color="auto" w:sz="4"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供应商提出质疑应符合中华人民共和国财政部令第94号《政府采购质疑和投诉办法》的规定：</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1、提出质疑的供应商应当是参与所质疑项目采购活动的供应商。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供应商应知其权益受到损害之日，是指：</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（1）对可以质疑的采购文件提出质疑的，为收到采购文件之日或者采购文件公告期限届满之日；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（2）对采购过程提出质疑的，为各采购程序环节结束之日；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（3）对中标或者成交结果提出质疑的，为中标或者成交结果公告期限届满之日。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3、供应商提出质疑应当提交质疑函和必要的证明材料。质疑函应当包括：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3.1供应商的姓名或者名称、地址、邮编、联系人及联系电话；</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3.2质疑项目的名称、编号；</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3.3具体、明确的质疑事项和与质疑事项相关的请求；</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3.4事实依据；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3.5必要的法律依据；</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3.6提出质疑的日期。</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质疑函应采用财政部颁布的《政府采购供应商质疑函范本》。</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供应商为自然人的，应当由本人签字；供应商为法人或者其他组织的，应当由法定代表人、主要负责人，或者其授权代表签字或者盖章，并加盖公章。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5、有下列情形之一的，属于无效质疑，采购代理机构和采购人不予受理：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5.1质疑供应商不是参与所质疑项目采购活动的供应商；</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5.2未在法定质疑期内发出质疑的；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5.3质疑未以书面形式提出；</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5.4质疑函没有合法有效的签字、盖章或授权的；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5.5以非法手段取得证据、材料的；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5.6质疑答复后，同一质疑人就同一事项再次提出质疑的；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5.7不符合法律、法规、规章和政府采购监管机构规定的其他条件的。</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6、质疑答复  采购人、采购代理机构在收到质疑函后七个工作日内做出答复。</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7、质疑接收方式：供应商以书面形式将质疑函原件和必要的证明材料送至接收部门，法定代表人、主要负责人、自然人提交质疑函须提交其身份证复印件，代理人提交质疑函须提交授权委托书及授权人和被授权人身份证复印件。</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接收部门：陕西源丰成工程项目管理有限公司</w:t>
            </w:r>
          </w:p>
          <w:p>
            <w:pPr>
              <w:spacing w:line="276" w:lineRule="auto"/>
              <w:jc w:val="left"/>
              <w:rPr>
                <w:rFonts w:cs="宋体" w:asciiTheme="minorEastAsia" w:hAnsiTheme="minorEastAsia" w:eastAsiaTheme="minorEastAsia"/>
                <w:sz w:val="24"/>
              </w:rPr>
            </w:pPr>
            <w:r>
              <w:rPr>
                <w:rFonts w:hint="eastAsia" w:cs="宋体" w:asciiTheme="minorEastAsia" w:hAnsiTheme="minorEastAsia" w:eastAsiaTheme="minorEastAsia"/>
                <w:sz w:val="24"/>
                <w:lang w:val="zh-CN"/>
              </w:rPr>
              <w:t>接</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收</w:t>
            </w: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人：李</w:t>
            </w:r>
            <w:r>
              <w:rPr>
                <w:rFonts w:hint="eastAsia" w:cs="宋体" w:asciiTheme="minorEastAsia" w:hAnsiTheme="minorEastAsia" w:eastAsiaTheme="minorEastAsia"/>
                <w:sz w:val="24"/>
              </w:rPr>
              <w:t>工</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联系电话：</w:t>
            </w:r>
            <w:r>
              <w:rPr>
                <w:rFonts w:hint="eastAsia" w:cs="宋体" w:asciiTheme="minorEastAsia" w:hAnsiTheme="minorEastAsia" w:eastAsiaTheme="minorEastAsia"/>
                <w:sz w:val="24"/>
              </w:rPr>
              <w:t xml:space="preserve">029-88228984 </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地  址：西安市雁塔区科技五路8号数字大厦5楼508室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1867" w:type="dxa"/>
            <w:tcBorders>
              <w:top w:val="single" w:color="auto" w:sz="4"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投标有效期</w:t>
            </w:r>
          </w:p>
        </w:tc>
        <w:tc>
          <w:tcPr>
            <w:tcW w:w="6651" w:type="dxa"/>
            <w:tcBorders>
              <w:top w:val="single" w:color="auto" w:sz="4"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投标截止日起90日历天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是否允许递交多个备选投标方案</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2"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投标文件份数</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投标文件正本一份、副本</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份、电子文件二份（U盘）。</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电子文件格式：</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文件正本加盖公章、签字齐全的纸质版扫描成的PDF格式。</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供应商应在</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文件封面及</w:t>
            </w:r>
            <w:r>
              <w:rPr>
                <w:rFonts w:hint="eastAsia" w:cs="宋体" w:asciiTheme="minorEastAsia" w:hAnsiTheme="minorEastAsia" w:eastAsiaTheme="minorEastAsia"/>
                <w:sz w:val="24"/>
              </w:rPr>
              <w:t>投标</w:t>
            </w:r>
            <w:r>
              <w:rPr>
                <w:rFonts w:hint="eastAsia" w:cs="宋体" w:asciiTheme="minorEastAsia" w:hAnsiTheme="minorEastAsia" w:eastAsiaTheme="minorEastAsia"/>
                <w:sz w:val="24"/>
                <w:lang w:val="zh-CN"/>
              </w:rPr>
              <w:t>文件密封文件袋正面注明“正本”、“副本”。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95"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签字盖章</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rPr>
            </w:pPr>
            <w:r>
              <w:rPr>
                <w:rStyle w:val="81"/>
                <w:rFonts w:hint="eastAsia" w:asciiTheme="minorEastAsia" w:hAnsiTheme="minorEastAsia" w:eastAsiaTheme="minorEastAsia"/>
                <w:sz w:val="24"/>
              </w:rPr>
              <w:t>投标</w:t>
            </w:r>
            <w:r>
              <w:rPr>
                <w:rStyle w:val="81"/>
                <w:rFonts w:asciiTheme="minorEastAsia" w:hAnsiTheme="minorEastAsia" w:eastAsiaTheme="minorEastAsia"/>
                <w:sz w:val="24"/>
              </w:rPr>
              <w:t>文件格式中明确需要签字和（或）盖章处，应由供应商法定代表人或其授权委托人（在委托的情况下）签字和（或）加盖单位章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投标文件装订要求：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投标文件分开装订，即资格审查文件部分一册（一正</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副），技术、商务文件部分为一册（一正</w:t>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zh-CN"/>
              </w:rPr>
              <w:t>副）；投标文件的正本和所有的副本均需打印或用不褪色墨水书写，逐页编码，为节约纸张，投标文件建议采用A4纸张双面打印，不可插页抽页，左侧胶装方式装订，装订应牢固、不易拆散和换页</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装袋要求：</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投标文件正本1份（单独密封）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投标文件副本</w:t>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zh-CN"/>
              </w:rPr>
              <w:t>份（单独密封）</w:t>
            </w:r>
          </w:p>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电子版2份（电子U盘，封装在正本中且U盘上需标明企业名称）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1"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封套上写明</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项目编号：</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项目名称：</w:t>
            </w:r>
          </w:p>
          <w:p>
            <w:pPr>
              <w:spacing w:line="276" w:lineRule="auto"/>
              <w:jc w:val="left"/>
              <w:rPr>
                <w:rStyle w:val="81"/>
                <w:rFonts w:asciiTheme="minorEastAsia" w:hAnsiTheme="minorEastAsia" w:eastAsiaTheme="minorEastAsia"/>
                <w:sz w:val="24"/>
              </w:rPr>
            </w:pPr>
            <w:r>
              <w:rPr>
                <w:rStyle w:val="81"/>
                <w:rFonts w:asciiTheme="minorEastAsia" w:hAnsiTheme="minorEastAsia" w:eastAsiaTheme="minorEastAsia"/>
                <w:sz w:val="24"/>
              </w:rPr>
              <w:t>采购人全称：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全称：</w:t>
            </w:r>
          </w:p>
          <w:p>
            <w:pPr>
              <w:spacing w:line="276" w:lineRule="auto"/>
              <w:jc w:val="left"/>
              <w:rPr>
                <w:rStyle w:val="81"/>
                <w:rFonts w:asciiTheme="minorEastAsia" w:hAnsiTheme="minorEastAsia" w:eastAsiaTheme="minorEastAsia"/>
                <w:sz w:val="24"/>
              </w:rPr>
            </w:pPr>
            <w:r>
              <w:rPr>
                <w:rStyle w:val="81"/>
                <w:rFonts w:hint="eastAsia" w:asciiTheme="minorEastAsia" w:hAnsiTheme="minorEastAsia" w:eastAsiaTheme="minorEastAsia"/>
                <w:sz w:val="24"/>
              </w:rPr>
              <w:t>投标供应商</w:t>
            </w:r>
            <w:r>
              <w:rPr>
                <w:rStyle w:val="81"/>
                <w:rFonts w:asciiTheme="minorEastAsia" w:hAnsiTheme="minorEastAsia" w:eastAsiaTheme="minorEastAsia"/>
                <w:sz w:val="24"/>
              </w:rPr>
              <w:t>地址：</w:t>
            </w:r>
          </w:p>
          <w:p>
            <w:pPr>
              <w:spacing w:line="276" w:lineRule="auto"/>
              <w:ind w:firstLine="480" w:firstLineChars="200"/>
              <w:jc w:val="left"/>
              <w:rPr>
                <w:rFonts w:cs="宋体" w:asciiTheme="minorEastAsia" w:hAnsiTheme="minorEastAsia" w:eastAsiaTheme="minorEastAsia"/>
                <w:sz w:val="24"/>
                <w:lang w:val="zh-CN"/>
              </w:rPr>
            </w:pPr>
            <w:r>
              <w:rPr>
                <w:rStyle w:val="81"/>
                <w:rFonts w:asciiTheme="minorEastAsia" w:hAnsiTheme="minorEastAsia" w:eastAsiaTheme="minorEastAsia"/>
                <w:sz w:val="24"/>
              </w:rPr>
              <w:t>文</w:t>
            </w:r>
            <w:r>
              <w:rPr>
                <w:rStyle w:val="81"/>
                <w:rFonts w:asciiTheme="minorEastAsia" w:hAnsiTheme="minorEastAsia" w:eastAsiaTheme="minorEastAsia"/>
                <w:color w:val="auto"/>
                <w:sz w:val="24"/>
              </w:rPr>
              <w:t>件在202</w:t>
            </w:r>
            <w:r>
              <w:rPr>
                <w:rStyle w:val="81"/>
                <w:rFonts w:hint="eastAsia" w:asciiTheme="minorEastAsia" w:hAnsiTheme="minorEastAsia" w:eastAsiaTheme="minorEastAsia"/>
                <w:color w:val="auto"/>
                <w:sz w:val="24"/>
              </w:rPr>
              <w:t>2</w:t>
            </w:r>
            <w:r>
              <w:rPr>
                <w:rStyle w:val="81"/>
                <w:rFonts w:asciiTheme="minorEastAsia" w:hAnsiTheme="minorEastAsia" w:eastAsiaTheme="minorEastAsia"/>
                <w:color w:val="auto"/>
                <w:sz w:val="24"/>
              </w:rPr>
              <w:t>年</w:t>
            </w:r>
            <w:r>
              <w:rPr>
                <w:rStyle w:val="81"/>
                <w:rFonts w:hint="eastAsia" w:asciiTheme="minorEastAsia" w:hAnsiTheme="minorEastAsia" w:eastAsiaTheme="minorEastAsia"/>
                <w:color w:val="auto"/>
                <w:sz w:val="24"/>
              </w:rPr>
              <w:t>05</w:t>
            </w:r>
            <w:r>
              <w:rPr>
                <w:rStyle w:val="81"/>
                <w:rFonts w:asciiTheme="minorEastAsia" w:hAnsiTheme="minorEastAsia" w:eastAsiaTheme="minorEastAsia"/>
                <w:color w:val="auto"/>
                <w:sz w:val="24"/>
              </w:rPr>
              <w:t>月</w:t>
            </w:r>
            <w:r>
              <w:rPr>
                <w:rStyle w:val="81"/>
                <w:rFonts w:hint="eastAsia" w:asciiTheme="minorEastAsia" w:hAnsiTheme="minorEastAsia" w:eastAsiaTheme="minorEastAsia"/>
                <w:color w:val="auto"/>
                <w:sz w:val="24"/>
              </w:rPr>
              <w:t>0</w:t>
            </w:r>
            <w:r>
              <w:rPr>
                <w:rStyle w:val="81"/>
                <w:rFonts w:hint="eastAsia" w:asciiTheme="minorEastAsia" w:hAnsiTheme="minorEastAsia" w:eastAsiaTheme="minorEastAsia"/>
                <w:color w:val="auto"/>
                <w:sz w:val="24"/>
                <w:lang w:val="en-US" w:eastAsia="zh-CN"/>
              </w:rPr>
              <w:t>5</w:t>
            </w:r>
            <w:r>
              <w:rPr>
                <w:rStyle w:val="81"/>
                <w:rFonts w:asciiTheme="minorEastAsia" w:hAnsiTheme="minorEastAsia" w:eastAsiaTheme="minorEastAsia"/>
                <w:color w:val="auto"/>
                <w:sz w:val="24"/>
              </w:rPr>
              <w:t>日</w:t>
            </w:r>
            <w:r>
              <w:rPr>
                <w:rStyle w:val="81"/>
                <w:rFonts w:hint="eastAsia" w:asciiTheme="minorEastAsia" w:hAnsiTheme="minorEastAsia" w:eastAsiaTheme="minorEastAsia"/>
                <w:color w:val="auto"/>
                <w:sz w:val="24"/>
                <w:lang w:val="en-US" w:eastAsia="zh-CN"/>
              </w:rPr>
              <w:t>14</w:t>
            </w:r>
            <w:r>
              <w:rPr>
                <w:rStyle w:val="81"/>
                <w:rFonts w:hint="eastAsia" w:asciiTheme="minorEastAsia" w:hAnsiTheme="minorEastAsia" w:eastAsiaTheme="minorEastAsia"/>
                <w:color w:val="auto"/>
                <w:sz w:val="24"/>
              </w:rPr>
              <w:t>:30</w:t>
            </w:r>
            <w:r>
              <w:rPr>
                <w:rStyle w:val="81"/>
                <w:rFonts w:asciiTheme="minorEastAsia" w:hAnsiTheme="minorEastAsia" w:eastAsiaTheme="minorEastAsia"/>
                <w:color w:val="auto"/>
                <w:sz w:val="24"/>
              </w:rPr>
              <w:t>前不得开启。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2" w:hRule="exac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中标公告的时间、媒介和期限</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公告时间：在确定中标供应商之日起2个工作日内</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公告媒介：陕西省政府采购网</w:t>
            </w:r>
          </w:p>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公告期限：1个工作日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5"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履约保证金</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合同总价款15%金额的银行保函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投标供应商</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资格条件</w:t>
            </w:r>
          </w:p>
        </w:tc>
        <w:tc>
          <w:tcPr>
            <w:tcW w:w="6651" w:type="dxa"/>
            <w:tcBorders>
              <w:top w:val="single" w:color="auto" w:sz="8" w:space="0"/>
              <w:left w:val="single" w:color="auto" w:sz="8" w:space="0"/>
              <w:bottom w:val="single" w:color="auto" w:sz="8" w:space="0"/>
              <w:right w:val="single" w:color="auto" w:sz="4" w:space="0"/>
            </w:tcBorders>
            <w:vAlign w:val="center"/>
          </w:tcPr>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（5）税收缴纳证明：提供供应商2021年1月1日以来已缴纳的至少一个月的纳税证明或完税证明（提供增值税、企业所得税至少一种），依法免税的供应商应提供加盖公章的相关证明文件。</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7）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注：事业单位法人参与投标可不提供财务状况报告、社会保障资金缴纳证明及税收缴纳证明。</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（8）单位负责人为同一人或者存在控股、管理关系的不同单位不得同时参加同一项目投标；</w:t>
            </w:r>
          </w:p>
          <w:p>
            <w:pPr>
              <w:pStyle w:val="26"/>
              <w:spacing w:before="0" w:beforeAutospacing="0" w:after="0" w:afterAutospacing="0" w:line="360" w:lineRule="auto"/>
              <w:rPr>
                <w:rFonts w:cs="宋体" w:asciiTheme="minorEastAsia" w:hAnsiTheme="minorEastAsia" w:eastAsiaTheme="minorEastAsia"/>
                <w:sz w:val="24"/>
                <w:szCs w:val="24"/>
                <w:lang w:val="zh-CN"/>
              </w:rPr>
            </w:pPr>
            <w:r>
              <w:rPr>
                <w:rFonts w:hint="eastAsia" w:cs="宋体" w:asciiTheme="minorEastAsia" w:hAnsiTheme="minorEastAsia" w:eastAsiaTheme="minorEastAsia"/>
                <w:color w:val="auto"/>
                <w:sz w:val="24"/>
                <w:szCs w:val="24"/>
                <w:lang w:val="zh-CN"/>
              </w:rPr>
              <w:t>（9）提供“中小企业声明函”。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合同签订</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中标通知书发出后30日内，中标供应商和采购人签订合同。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需落实的政府</w:t>
            </w:r>
          </w:p>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采购政策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财政部国家发展改革委关于印发〈节能产品政府采购实施意见〉的通知》（财库〔2004〕185号）；（2）《国务院办公厅关于建立政府强制节能产品制度的通知》（国办发〔2007〕51号）；（3）《财政部环保总局关于环境标志产品政府采购实施的意见》（财库〔2006〕90号）；（4）《财政部司法部关于政府采购支持监狱企业发展有关问题的通知》（财库〔2014〕68号）；（5）《政府采购促进中小企业发展管理办法》（财库〔2020〕46 号）；（6）《关于在政府采购活动中查询及使用信用记录有关问题的通知》（财库〔2016〕125 号）；（7）《三部门联合发布关于促进残疾人就业政府采购政策的通知》（财库〔2017〕141号）；（8）《财政部 发展改革委 生态环境部 市场监管总局 关于调整优化节能产品、环境标志产品政府采购执行机制的通知》（财库〔2019〕9号）；（9）《关于运用政府采购政策支持脱贫攻坚的通知》（财库〔2019〕27号）；（10）陕西省财政厅关于印发《陕西省中小企业政府采购信用融资办法》（陕财办采〔2018〕23号）。（11）《陕西省财政厅关于加快推进我省中小企业政府采购信用融资工作的通知》（陕财办采[2020]15号）（12）《政府采购进口产品管理办法》（财库〔2007〕119号）（13）《关于政府采购进口产品管理有关问题的通知》（财办库〔2008〕248号）；（14）国务院办公厅《关于加快推进重要产品追溯体系建设的意见》（国办发〔2015〕95号）；（15）《关于印发政府采购贫困地区农副产品实施方案的通知》财库（〔2019〕41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1867" w:type="dxa"/>
            <w:tcBorders>
              <w:top w:val="single" w:color="auto" w:sz="8" w:space="0"/>
              <w:left w:val="single" w:color="auto" w:sz="8" w:space="0"/>
              <w:bottom w:val="single" w:color="auto" w:sz="4"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付款方式</w:t>
            </w:r>
          </w:p>
        </w:tc>
        <w:tc>
          <w:tcPr>
            <w:tcW w:w="665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1、合同签订后5个工作日内，乙方向甲方出具合同总价款15%金额的银行保函，保函有效期截止时间为项目验收合格后满6个月；</w:t>
            </w:r>
          </w:p>
          <w:p>
            <w:pPr>
              <w:adjustRightInd w:val="0"/>
              <w:snapToGrid w:val="0"/>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2、甲方收到乙方合格银行保函后支付全部合同总价款；</w:t>
            </w:r>
          </w:p>
          <w:p>
            <w:pPr>
              <w:adjustRightInd w:val="0"/>
              <w:snapToGrid w:val="0"/>
              <w:spacing w:line="276" w:lineRule="auto"/>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3、乙方承诺在甲方办理支付手续前，为甲方出具等额的符合国家规定的发票；</w:t>
            </w:r>
          </w:p>
          <w:p>
            <w:pPr>
              <w:adjustRightInd w:val="0"/>
              <w:snapToGrid w:val="0"/>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lang w:val="zh-CN"/>
              </w:rPr>
              <w:t>4、上述时间不包括甲方正常办理支付报批手续的时间（办理银行担保所需的手续费、担保费等全部由中标人承担）。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0"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其他</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ind w:firstLine="480" w:firstLineChars="200"/>
              <w:jc w:val="left"/>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各投标供应商需明确承诺对本项目所提供的相关资料保密，不得泄露或挪作他用，一经发现，将追究其法律责任。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cs="宋体" w:asciiTheme="minorEastAsia" w:hAnsiTheme="minorEastAsia" w:eastAsiaTheme="minorEastAsia"/>
                <w:sz w:val="24"/>
                <w:lang w:val="zh-CN"/>
              </w:rPr>
            </w:pPr>
            <w:r>
              <w:rPr>
                <w:rStyle w:val="81"/>
                <w:rFonts w:asciiTheme="minorEastAsia" w:hAnsiTheme="minorEastAsia" w:eastAsiaTheme="minorEastAsia"/>
                <w:sz w:val="24"/>
              </w:rPr>
              <w:t>招标代理服务费</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w:t>
            </w:r>
            <w:r>
              <w:rPr>
                <w:rStyle w:val="81"/>
                <w:rFonts w:hint="eastAsia" w:asciiTheme="minorEastAsia" w:hAnsiTheme="minorEastAsia" w:eastAsiaTheme="minorEastAsia"/>
                <w:sz w:val="24"/>
                <w:u w:val="single"/>
              </w:rPr>
              <w:t>货物类</w:t>
            </w:r>
            <w:r>
              <w:rPr>
                <w:rStyle w:val="81"/>
                <w:rFonts w:hint="eastAsia" w:asciiTheme="minorEastAsia" w:hAnsiTheme="minorEastAsia" w:eastAsiaTheme="minorEastAsia"/>
                <w:sz w:val="24"/>
              </w:rPr>
              <w:t>规定收取。</w:t>
            </w:r>
          </w:p>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代理报酬的币种：人民币 汇率：无</w:t>
            </w:r>
          </w:p>
          <w:p>
            <w:pPr>
              <w:spacing w:line="276" w:lineRule="auto"/>
              <w:rPr>
                <w:rStyle w:val="81"/>
                <w:rFonts w:asciiTheme="minorEastAsia" w:hAnsiTheme="minorEastAsia" w:eastAsiaTheme="minorEastAsia"/>
                <w:sz w:val="24"/>
              </w:rPr>
            </w:pPr>
            <w:r>
              <w:rPr>
                <w:rStyle w:val="81"/>
                <w:rFonts w:hint="eastAsia" w:asciiTheme="minorEastAsia" w:hAnsiTheme="minorEastAsia" w:eastAsiaTheme="minorEastAsia"/>
                <w:sz w:val="24"/>
              </w:rPr>
              <w:t>代理报酬的支付方式：中标人直接支付给受托人。</w:t>
            </w:r>
          </w:p>
          <w:p>
            <w:pPr>
              <w:spacing w:line="276" w:lineRule="auto"/>
              <w:jc w:val="left"/>
              <w:rPr>
                <w:rFonts w:cs="宋体" w:asciiTheme="minorEastAsia" w:hAnsiTheme="minorEastAsia" w:eastAsiaTheme="minorEastAsia"/>
                <w:sz w:val="24"/>
                <w:lang w:val="zh-CN"/>
              </w:rPr>
            </w:pPr>
            <w:r>
              <w:rPr>
                <w:rStyle w:val="81"/>
                <w:rFonts w:hint="eastAsia" w:asciiTheme="minorEastAsia" w:hAnsiTheme="minorEastAsia" w:eastAsiaTheme="minorEastAsia"/>
                <w:sz w:val="24"/>
              </w:rPr>
              <w:t>代理报酬的支付时间：《中标通知书》发出前。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trPr>
        <w:tc>
          <w:tcPr>
            <w:tcW w:w="657" w:type="dxa"/>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default" w:cs="宋体" w:asciiTheme="minorEastAsia" w:hAnsiTheme="minorEastAsia" w:eastAsiaTheme="minorEastAsia"/>
                <w:sz w:val="24"/>
                <w:lang w:val="en-US" w:eastAsia="zh-CN"/>
              </w:rPr>
            </w:pPr>
            <w:bookmarkStart w:id="22" w:name="_Toc2761_WPSOffice_Level2"/>
            <w:bookmarkStart w:id="23" w:name="_Toc183682344"/>
            <w:bookmarkStart w:id="24" w:name="_Toc217390843"/>
            <w:bookmarkStart w:id="25" w:name="_Toc183582207"/>
            <w:bookmarkStart w:id="26" w:name="_Toc217446036"/>
            <w:r>
              <w:rPr>
                <w:rFonts w:hint="eastAsia" w:cs="宋体" w:asciiTheme="minorEastAsia" w:hAnsiTheme="minorEastAsia" w:eastAsiaTheme="minorEastAsia"/>
                <w:sz w:val="24"/>
                <w:lang w:val="en-US" w:eastAsia="zh-CN"/>
              </w:rPr>
              <w:t>38</w:t>
            </w:r>
          </w:p>
        </w:tc>
        <w:tc>
          <w:tcPr>
            <w:tcW w:w="1867"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Style w:val="81"/>
                <w:rFonts w:hint="default" w:asciiTheme="minorEastAsia" w:hAnsiTheme="minorEastAsia" w:eastAsiaTheme="minorEastAsia"/>
                <w:sz w:val="24"/>
                <w:lang w:val="en-US" w:eastAsia="zh-CN"/>
              </w:rPr>
            </w:pPr>
            <w:r>
              <w:rPr>
                <w:rStyle w:val="81"/>
                <w:rFonts w:hint="eastAsia" w:asciiTheme="minorEastAsia" w:hAnsiTheme="minorEastAsia" w:eastAsiaTheme="minorEastAsia"/>
                <w:sz w:val="24"/>
                <w:lang w:val="en-US" w:eastAsia="zh-CN"/>
              </w:rPr>
              <w:t>本项目所属行业</w:t>
            </w:r>
          </w:p>
        </w:tc>
        <w:tc>
          <w:tcPr>
            <w:tcW w:w="6651" w:type="dxa"/>
            <w:tcBorders>
              <w:top w:val="single" w:color="auto" w:sz="8" w:space="0"/>
              <w:left w:val="single" w:color="auto" w:sz="8" w:space="0"/>
              <w:bottom w:val="single" w:color="auto" w:sz="8" w:space="0"/>
              <w:right w:val="single" w:color="auto" w:sz="4" w:space="0"/>
            </w:tcBorders>
            <w:vAlign w:val="center"/>
          </w:tcPr>
          <w:p>
            <w:pPr>
              <w:spacing w:line="276" w:lineRule="auto"/>
              <w:jc w:val="left"/>
              <w:rPr>
                <w:rStyle w:val="81"/>
                <w:rFonts w:hint="eastAsia" w:asciiTheme="minorEastAsia" w:hAnsiTheme="minorEastAsia" w:eastAsiaTheme="minorEastAsia"/>
                <w:sz w:val="24"/>
                <w:lang w:val="en-US" w:eastAsia="zh-CN"/>
              </w:rPr>
            </w:pPr>
            <w:r>
              <w:rPr>
                <w:rStyle w:val="81"/>
                <w:rFonts w:hint="eastAsia" w:asciiTheme="minorEastAsia" w:hAnsiTheme="minorEastAsia" w:eastAsiaTheme="minorEastAsia"/>
                <w:sz w:val="24"/>
                <w:lang w:val="en-US" w:eastAsia="zh-CN"/>
              </w:rPr>
              <w:t>工业</w:t>
            </w:r>
          </w:p>
        </w:tc>
      </w:tr>
      <w:bookmarkEnd w:id="13"/>
      <w:bookmarkEnd w:id="14"/>
      <w:bookmarkEnd w:id="15"/>
      <w:bookmarkEnd w:id="16"/>
      <w:bookmarkEnd w:id="17"/>
      <w:bookmarkEnd w:id="18"/>
      <w:bookmarkEnd w:id="19"/>
      <w:bookmarkEnd w:id="20"/>
      <w:bookmarkEnd w:id="21"/>
    </w:tbl>
    <w:p>
      <w:pPr>
        <w:pStyle w:val="4"/>
        <w:numPr>
          <w:ilvl w:val="0"/>
          <w:numId w:val="6"/>
        </w:numPr>
        <w:tabs>
          <w:tab w:val="left" w:pos="422"/>
        </w:tabs>
        <w:spacing w:line="360" w:lineRule="auto"/>
        <w:rPr>
          <w:rFonts w:cs="宋体" w:asciiTheme="minorEastAsia" w:hAnsiTheme="minorEastAsia" w:eastAsiaTheme="minorEastAsia"/>
          <w:bCs/>
          <w:sz w:val="36"/>
          <w:szCs w:val="36"/>
        </w:rPr>
      </w:pPr>
      <w:r>
        <w:rPr>
          <w:rFonts w:hint="eastAsia" w:cs="宋体" w:asciiTheme="minorEastAsia" w:hAnsiTheme="minorEastAsia" w:eastAsiaTheme="minorEastAsia"/>
          <w:bCs/>
          <w:sz w:val="36"/>
          <w:szCs w:val="36"/>
        </w:rPr>
        <w:br w:type="page"/>
      </w:r>
      <w:bookmarkStart w:id="27" w:name="_Toc2446"/>
      <w:bookmarkStart w:id="28" w:name="_Toc25601"/>
      <w:bookmarkStart w:id="29" w:name="_Toc9934"/>
      <w:bookmarkStart w:id="30" w:name="_Toc13795"/>
      <w:bookmarkStart w:id="31" w:name="_Toc23837"/>
      <w:r>
        <w:rPr>
          <w:rFonts w:hint="eastAsia" w:cs="宋体" w:asciiTheme="minorEastAsia" w:hAnsiTheme="minorEastAsia" w:eastAsiaTheme="minorEastAsia"/>
          <w:sz w:val="36"/>
          <w:szCs w:val="36"/>
        </w:rPr>
        <w:t>总则</w:t>
      </w:r>
      <w:bookmarkEnd w:id="22"/>
      <w:bookmarkEnd w:id="27"/>
      <w:bookmarkEnd w:id="28"/>
      <w:bookmarkEnd w:id="29"/>
      <w:bookmarkEnd w:id="30"/>
      <w:bookmarkEnd w:id="31"/>
    </w:p>
    <w:p>
      <w:pPr>
        <w:spacing w:line="360" w:lineRule="auto"/>
        <w:rPr>
          <w:rFonts w:cs="宋体" w:asciiTheme="minorEastAsia" w:hAnsiTheme="minorEastAsia" w:eastAsiaTheme="minorEastAsia"/>
          <w:bCs/>
          <w:sz w:val="30"/>
          <w:szCs w:val="30"/>
        </w:rPr>
      </w:pPr>
      <w:r>
        <w:rPr>
          <w:rFonts w:hint="eastAsia" w:cs="宋体" w:asciiTheme="minorEastAsia" w:hAnsiTheme="minorEastAsia" w:eastAsiaTheme="minorEastAsia"/>
          <w:b/>
          <w:sz w:val="30"/>
          <w:szCs w:val="30"/>
        </w:rPr>
        <w:t>1.1适用范围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本招标文件仅适用于本次公开招标所叙述的货物类项目采购活动。</w:t>
      </w:r>
      <w:bookmarkStart w:id="32" w:name="_Toc217446035"/>
      <w:bookmarkStart w:id="33" w:name="_Toc183682343"/>
      <w:bookmarkStart w:id="34" w:name="_Toc183582206"/>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1.2</w:t>
      </w:r>
      <w:bookmarkEnd w:id="32"/>
      <w:bookmarkEnd w:id="33"/>
      <w:bookmarkEnd w:id="34"/>
      <w:r>
        <w:rPr>
          <w:rFonts w:hint="eastAsia" w:cs="宋体" w:asciiTheme="minorEastAsia" w:hAnsiTheme="minorEastAsia" w:eastAsiaTheme="minorEastAsia"/>
          <w:b/>
          <w:sz w:val="30"/>
          <w:szCs w:val="30"/>
        </w:rPr>
        <w:t>名词解释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1.2.1“采购人”系指依法进行政府采购的国家机关、事业单位、团体组织。本次采购的采购人名称、地址、电话、联系人见投标供应商须知前附表。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1.2.2“监督机构”系指政府采购行政监督管理部门。本次采购的监督机构：同级人民政府财政部门及有关部门。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1.2.3“采购代理机构”系指接受采购人委托，代理采购项目的依法经财政部门认定资格的采购代理机构。本次采购的采购代理机构名称、地址、电话、联系人见投标供应商须知前附表。</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1.2.4 “投标供应商”是指响应招标，参加投标竞争的法人或其他组织或个人。</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1.2.5“货物”是指须向采购人提供的产品及其它有关技术资料和材料。</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1.2.6 “服务”是指招标文件规定投标供应商须承担的安装、测试、检验、调试、技术支持以及其他类似的义务。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1.2.7 “节能产品”指财政部、发展改革委、生态环境部等部门发布的《节能产品品目清单》中的产品。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1.2.8“环境标志产品”是指财政部、发展改革委、生态环境部等部门发布的《环境标志产品品目清单》中的产品。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1.2.9 “进口产品”是指通过中国海关报关验放进入中国境内且产自关境外的产品，详见《关于政府采购进口产品管理有关问题的通知》(财库[2007]119号)。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1.2.10“中小企业”是指符合《工业和信息化部、国家统计局、国家发展和改革委员会、财政部关于印发中小企业划型标准规定的通知》（工信部联企业[2011]300号）规定的对中小企业的划分标准的企业。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1.2.11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1.2.12“残疾人福利性单位”是指符合《财政部、民政部、中国残疾人联合会关于促进残疾人就业政府采购政策的通知》（财库〔2017〕141号）规定条件的单位。</w:t>
      </w:r>
    </w:p>
    <w:bookmarkEnd w:id="23"/>
    <w:bookmarkEnd w:id="24"/>
    <w:bookmarkEnd w:id="25"/>
    <w:bookmarkEnd w:id="26"/>
    <w:p>
      <w:pPr>
        <w:spacing w:line="360" w:lineRule="auto"/>
        <w:rPr>
          <w:rFonts w:cs="宋体" w:asciiTheme="minorEastAsia" w:hAnsiTheme="minorEastAsia" w:eastAsiaTheme="minorEastAsia"/>
          <w:b/>
          <w:sz w:val="30"/>
          <w:szCs w:val="30"/>
        </w:rPr>
      </w:pPr>
      <w:bookmarkStart w:id="35" w:name="_Toc217446037"/>
      <w:bookmarkStart w:id="36" w:name="_Toc183682345"/>
      <w:bookmarkStart w:id="37" w:name="_Toc183582208"/>
      <w:r>
        <w:rPr>
          <w:rFonts w:hint="eastAsia" w:cs="宋体" w:asciiTheme="minorEastAsia" w:hAnsiTheme="minorEastAsia" w:eastAsiaTheme="minorEastAsia"/>
          <w:b/>
          <w:sz w:val="30"/>
          <w:szCs w:val="30"/>
        </w:rPr>
        <w:t>1.3合格的投标供应商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 合格的投标供应商应具备以下条件：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（1）具备且满足“招标公告”要求的；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（2）向采购代理机构领取了招标文件并登记备案；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（3）遵守国家、陕西省有关的法律法规、规章和规范性文件要求；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（4）招标文件和法律、行政法规规定的其他条件。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投标供应商不得存在下列情形之一：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（l）与采购人、采购代理机构存在隶属关系或者其他利害关系，且可能影响招标公正性；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（2）与本采购项目其他投标供应商的法定代表人（或者负责人）为同一人；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（3）与本采购项目其他投标供应商存在控股、管理关系；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（4）为本项目采购代理机构；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（5）为本项目代理投标的为其采购代理机构；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（6）为本项目提供采购、安装、技术支持、咨询服务；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（7）受到刑事处罚；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（8）受到财政部门3万元以上数额罚款的行政处罚或其他行政部门较大数额罚款的行政处罚（举行听证会的）；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（9）被责令停产停业、暂扣或者吊销许可证、暂扣或者吊销执照的行政处罚；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（12）被禁止在一至三年内参加政府采购活动或存在财政部门认定的其他重大违法记录。</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 合格的服务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投标供应商提供的所有服务，必须是合法来源，符合国家有关标准和规范，并满足招标文件规定的服务要求。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若本项目包括提供货物的，所供货物亦必须是合法生产、合法来源，符合国家有关标准要求，并满足招标文件规定的规格、参数、质量、有效期、售后服务及投标供应商须承担的运输、安装、技术支持、培训和招标文件规定的其它伴随服务等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 采购人有权拒绝接受任何不合格的服务，由此产生的费用及相关后果均由投标供应商自行承担。</w:t>
      </w:r>
    </w:p>
    <w:p>
      <w:pPr>
        <w:spacing w:line="360" w:lineRule="auto"/>
        <w:rPr>
          <w:rFonts w:cs="宋体" w:asciiTheme="minorEastAsia" w:hAnsiTheme="minorEastAsia" w:eastAsiaTheme="minorEastAsia"/>
          <w:b/>
          <w:sz w:val="30"/>
          <w:szCs w:val="30"/>
        </w:rPr>
      </w:pPr>
      <w:bookmarkStart w:id="38" w:name="_Toc217446047"/>
      <w:r>
        <w:rPr>
          <w:rFonts w:hint="eastAsia" w:cs="宋体" w:asciiTheme="minorEastAsia" w:hAnsiTheme="minorEastAsia" w:eastAsiaTheme="minorEastAsia"/>
          <w:b/>
          <w:sz w:val="30"/>
          <w:szCs w:val="30"/>
        </w:rPr>
        <w:t>1.5 知识产权</w:t>
      </w:r>
      <w:bookmarkEnd w:id="38"/>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投标供应商应保证在本项目提供的任何服务和产品时，不会产生因第三方提出侵犯其专利权、商标权或其它知识产权而引起的法律和经济纠纷，如因专利权、商标权或其它知识产权而引起法律和经济纠纷，由投标供应商承担所有相关责任。</w:t>
      </w:r>
    </w:p>
    <w:bookmarkEnd w:id="35"/>
    <w:bookmarkEnd w:id="36"/>
    <w:bookmarkEnd w:id="37"/>
    <w:p>
      <w:pPr>
        <w:spacing w:line="360" w:lineRule="auto"/>
        <w:rPr>
          <w:rFonts w:cs="宋体" w:asciiTheme="minorEastAsia" w:hAnsiTheme="minorEastAsia" w:eastAsiaTheme="minorEastAsia"/>
          <w:b/>
          <w:sz w:val="30"/>
          <w:szCs w:val="30"/>
        </w:rPr>
      </w:pPr>
      <w:bookmarkStart w:id="39" w:name="_Toc89075875"/>
      <w:bookmarkStart w:id="40" w:name="_Toc183682346"/>
      <w:bookmarkStart w:id="41" w:name="_Toc217446038"/>
      <w:bookmarkStart w:id="42" w:name="_Toc183582209"/>
      <w:bookmarkStart w:id="43" w:name="_Toc77400779"/>
      <w:r>
        <w:rPr>
          <w:rFonts w:hint="eastAsia" w:cs="宋体" w:asciiTheme="minorEastAsia" w:hAnsiTheme="minorEastAsia" w:eastAsiaTheme="minorEastAsia"/>
          <w:b/>
          <w:sz w:val="30"/>
          <w:szCs w:val="30"/>
        </w:rPr>
        <w:t>1.6投标费用</w:t>
      </w:r>
    </w:p>
    <w:p>
      <w:pPr>
        <w:tabs>
          <w:tab w:val="left" w:pos="7665"/>
        </w:tabs>
        <w:spacing w:line="360" w:lineRule="auto"/>
        <w:ind w:firstLine="491" w:firstLineChars="205"/>
        <w:rPr>
          <w:rFonts w:cs="宋体" w:asciiTheme="minorEastAsia" w:hAnsiTheme="minorEastAsia" w:eastAsiaTheme="minorEastAsia"/>
          <w:szCs w:val="21"/>
        </w:rPr>
      </w:pPr>
      <w:r>
        <w:rPr>
          <w:rFonts w:hint="eastAsia" w:cs="宋体" w:asciiTheme="minorEastAsia" w:hAnsiTheme="minorEastAsia" w:eastAsiaTheme="minorEastAsia"/>
          <w:sz w:val="24"/>
        </w:rPr>
        <w:t>不论投标结果如何，投标供应商准备和参加投标活动发生的费用自理。</w:t>
      </w:r>
    </w:p>
    <w:p>
      <w:pPr>
        <w:spacing w:line="360" w:lineRule="auto"/>
        <w:rPr>
          <w:rFonts w:cs="宋体" w:asciiTheme="minorEastAsia" w:hAnsiTheme="minorEastAsia" w:eastAsiaTheme="minorEastAsia"/>
          <w:b/>
          <w:sz w:val="30"/>
          <w:szCs w:val="30"/>
          <w:lang w:val="zh-CN"/>
        </w:rPr>
      </w:pPr>
      <w:r>
        <w:rPr>
          <w:rFonts w:hint="eastAsia" w:cs="宋体" w:asciiTheme="minorEastAsia" w:hAnsiTheme="minorEastAsia" w:eastAsiaTheme="minorEastAsia"/>
          <w:b/>
          <w:sz w:val="30"/>
          <w:szCs w:val="30"/>
          <w:lang w:val="zh-CN"/>
        </w:rPr>
        <w:t>1.7 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 xml:space="preserve">参与采购活动的当事人应对招标文件和投标文件中的商业秘密、技术秘密和个人隐私等保密，违者应对由此造成的后果承担法律责任。 </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1.8语言文字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1.8.1 招标投标文件使用的语言为中文。专用术语使用外文的，应附有中文注释。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1.8.2 投标文件中如附有外文资料，必须逐一对应翻译成中文并加盖投标供应商单位章后附在相关外文资料后面，否则，投标供应商的投标文件将作为无效投标处理。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1.8.3 投标文件中翻译的中文资料与外文资料如果出现差异和矛盾时，以中文为准。但不能故意错误翻译，否则，投标供应商的投标文件将作为无效投标处理。必要时采购人可以要求投标供应商提供附有公证书的中文翻译文件或者与原版文件签章相一致的中文翻译文件。</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1.9计量单位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所有计量单位均采用中华人民共和国法定计量单位。</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1.10 答疑会或现场考察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1.10.1 根据本采购项目的具体情况，采购代理机构认为有必要，可以组织召开标前答疑会或组织投标供应商对项目现场进行考察，澄清投标供应商提出的问题。答疑会或进行现场考察的时间与地点，采购代理机构将以书面形式通知所有获取了招标文件的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1.10.2 答疑会或现场考察后，采购人或采购代理机构对投标供应商所提问题的澄清，以书面形式通知所有获取了招标文件的投标供应商。该澄清内容为招标文件的组成部分。</w:t>
      </w:r>
    </w:p>
    <w:p>
      <w:pPr>
        <w:tabs>
          <w:tab w:val="left" w:pos="7665"/>
        </w:tabs>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 w:val="24"/>
        </w:rPr>
        <w:t>1.10.3 采购人不对投标供应商现场考察而做出的推论、理解和结论负责。一旦成交，中标供应商不得以任何借口，提出额外补偿，或延长合同期限的要求。</w:t>
      </w:r>
    </w:p>
    <w:bookmarkEnd w:id="39"/>
    <w:bookmarkEnd w:id="40"/>
    <w:bookmarkEnd w:id="41"/>
    <w:bookmarkEnd w:id="42"/>
    <w:bookmarkEnd w:id="43"/>
    <w:p>
      <w:pPr>
        <w:pStyle w:val="4"/>
        <w:tabs>
          <w:tab w:val="left" w:pos="422"/>
        </w:tabs>
        <w:spacing w:line="360" w:lineRule="auto"/>
        <w:rPr>
          <w:rFonts w:cs="宋体" w:asciiTheme="minorEastAsia" w:hAnsiTheme="minorEastAsia" w:eastAsiaTheme="minorEastAsia"/>
          <w:bCs/>
          <w:sz w:val="36"/>
          <w:szCs w:val="36"/>
        </w:rPr>
      </w:pPr>
      <w:bookmarkStart w:id="44" w:name="_Toc20123_WPSOffice_Level2"/>
      <w:bookmarkStart w:id="45" w:name="_Toc29530"/>
      <w:bookmarkStart w:id="46" w:name="_Toc707"/>
      <w:bookmarkStart w:id="47" w:name="_Toc32361"/>
      <w:bookmarkStart w:id="48" w:name="_Toc29613"/>
      <w:bookmarkStart w:id="49" w:name="_Toc17849"/>
      <w:bookmarkStart w:id="50" w:name="_Toc183582211"/>
      <w:bookmarkStart w:id="51" w:name="_Toc183682348"/>
      <w:bookmarkStart w:id="52" w:name="_Toc217446040"/>
      <w:r>
        <w:rPr>
          <w:rFonts w:hint="eastAsia" w:cs="宋体" w:asciiTheme="minorEastAsia" w:hAnsiTheme="minorEastAsia" w:eastAsiaTheme="minorEastAsia"/>
          <w:bCs/>
          <w:sz w:val="36"/>
          <w:szCs w:val="36"/>
        </w:rPr>
        <w:t>2. 招标文件</w:t>
      </w:r>
      <w:bookmarkEnd w:id="44"/>
      <w:bookmarkEnd w:id="45"/>
      <w:bookmarkEnd w:id="46"/>
      <w:bookmarkEnd w:id="47"/>
      <w:bookmarkEnd w:id="48"/>
      <w:bookmarkEnd w:id="49"/>
      <w:bookmarkStart w:id="53" w:name="_Toc183682347"/>
      <w:bookmarkStart w:id="54" w:name="_Toc183582210"/>
      <w:bookmarkStart w:id="55" w:name="_Toc217446039"/>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2.1招标文件的</w:t>
      </w:r>
      <w:bookmarkEnd w:id="53"/>
      <w:bookmarkEnd w:id="54"/>
      <w:bookmarkEnd w:id="55"/>
      <w:r>
        <w:rPr>
          <w:rFonts w:hint="eastAsia" w:cs="宋体" w:asciiTheme="minorEastAsia" w:hAnsiTheme="minorEastAsia" w:eastAsiaTheme="minorEastAsia"/>
          <w:b/>
          <w:sz w:val="30"/>
          <w:szCs w:val="30"/>
        </w:rPr>
        <w:t>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本招标文件包括以下内容：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（2）投标供应商须知；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（4）采购内容及要求；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（5）政府采购合同格式；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（6）投标文件格式。</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2.2 招标文件的澄清</w:t>
      </w:r>
      <w:bookmarkEnd w:id="50"/>
      <w:bookmarkEnd w:id="51"/>
      <w:r>
        <w:rPr>
          <w:rFonts w:hint="eastAsia" w:cs="宋体" w:asciiTheme="minorEastAsia" w:hAnsiTheme="minorEastAsia" w:eastAsiaTheme="minorEastAsia"/>
          <w:b/>
          <w:sz w:val="30"/>
          <w:szCs w:val="30"/>
        </w:rPr>
        <w:t>和修改</w:t>
      </w:r>
      <w:bookmarkEnd w:id="52"/>
    </w:p>
    <w:p>
      <w:pPr>
        <w:tabs>
          <w:tab w:val="left" w:pos="7665"/>
        </w:tabs>
        <w:spacing w:line="360" w:lineRule="auto"/>
        <w:ind w:firstLine="480" w:firstLineChars="200"/>
        <w:rPr>
          <w:rFonts w:cs="宋体" w:asciiTheme="minorEastAsia" w:hAnsiTheme="minorEastAsia" w:eastAsiaTheme="minorEastAsia"/>
          <w:sz w:val="24"/>
        </w:rPr>
      </w:pPr>
      <w:bookmarkStart w:id="56" w:name="_Toc208848971"/>
      <w:bookmarkStart w:id="57" w:name="_Toc217446041"/>
      <w:r>
        <w:rPr>
          <w:rFonts w:hint="eastAsia" w:cs="宋体" w:asciiTheme="minorEastAsia" w:hAnsiTheme="minorEastAsia" w:eastAsiaTheme="minorEastAsia"/>
          <w:sz w:val="24"/>
        </w:rPr>
        <w:t>2.2.1 在投标截止时间前，采购代理机构无论出于何种原因，可以对已发出的招标文件进行必要的澄清或者修改，但不得修改采购标的和资格条件。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采购人或采购代理机构对已发出的招标文件进行必要的澄清或者修改，澄清或修改的内容可能影响投标文件编制的，应当在投标文件截止时间15日前，以书面形式将澄清或者修改的内容通知所有获取招标文件的投标供应商，同时在原信息发布媒体上发布澄清公告。投标供应商在收到上述通知后，应立即以书面形式向采购代理机构确认。如果澄清或者修改发出的时间距规定的投标截止时间不足15日，将相应顺延投标截止时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投标供应商应仔细阅读和检查招标文件的全部内容。如发现缺页或附件不全，应及时向采购代理机构提出，以便补齐。如需要询问或澄清的（除质疑外），或认为有必要与采购代理机构进行技术交流的，均应在投标截止时间10日前按招标文件中的联系方式，以书面形式向采购代理机构提出，采购代理机构应当在3个工作日内，以书面形式予以答复，或认为有必要召开答疑会。超过该时间收到的需要询问或澄清的内容，采购代理机构有权不予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2.2.4 在投标截止时间前，采购代理机构可以视采购具体情况，延长投标截止时间和开标时间，并在招标文件要求提交投标文件的截止时间前，将变更时间以书面形式通知所有获取招标文件的投标供应商，同时在原信息发布媒体上发布变更公告。</w:t>
      </w:r>
      <w:bookmarkStart w:id="58" w:name="_Toc183582213"/>
      <w:bookmarkStart w:id="59" w:name="_Toc183682350"/>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当招标文件澄清、答复、修改或补充通知与招标文件就同一内容表述不一致时，以最后发出的书面文件内容为准。</w:t>
      </w:r>
    </w:p>
    <w:bookmarkEnd w:id="56"/>
    <w:bookmarkEnd w:id="57"/>
    <w:bookmarkEnd w:id="58"/>
    <w:bookmarkEnd w:id="59"/>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2.3 招标文件的解释权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招标文件的解释权归采购代理机构，如发现招标文件内容与现行法律法规不相符的情况，以现行法律法规为准。</w:t>
      </w:r>
      <w:bookmarkStart w:id="60" w:name="_Toc484_WPSOffice_Level2"/>
      <w:bookmarkStart w:id="61" w:name="_Toc31384"/>
      <w:bookmarkStart w:id="62" w:name="_Toc217446043"/>
      <w:bookmarkStart w:id="63" w:name="_Toc183582215"/>
      <w:bookmarkStart w:id="64" w:name="_Toc183682352"/>
    </w:p>
    <w:p>
      <w:pPr>
        <w:pStyle w:val="4"/>
        <w:spacing w:line="360" w:lineRule="auto"/>
        <w:rPr>
          <w:rFonts w:cs="宋体" w:asciiTheme="minorEastAsia" w:hAnsiTheme="minorEastAsia" w:eastAsiaTheme="minorEastAsia"/>
          <w:sz w:val="36"/>
          <w:szCs w:val="36"/>
        </w:rPr>
      </w:pPr>
      <w:bookmarkStart w:id="65" w:name="_Toc27335"/>
      <w:bookmarkStart w:id="66" w:name="_Toc14265"/>
      <w:bookmarkStart w:id="67" w:name="_Toc15560"/>
      <w:bookmarkStart w:id="68" w:name="_Toc2156"/>
      <w:r>
        <w:rPr>
          <w:rFonts w:hint="eastAsia" w:cs="宋体" w:asciiTheme="minorEastAsia" w:hAnsiTheme="minorEastAsia" w:eastAsiaTheme="minorEastAsia"/>
          <w:sz w:val="36"/>
          <w:szCs w:val="36"/>
        </w:rPr>
        <w:t>3.</w:t>
      </w:r>
      <w:bookmarkEnd w:id="60"/>
      <w:bookmarkEnd w:id="61"/>
      <w:r>
        <w:rPr>
          <w:rFonts w:hint="eastAsia" w:cs="宋体" w:asciiTheme="minorEastAsia" w:hAnsiTheme="minorEastAsia" w:eastAsiaTheme="minorEastAsia"/>
          <w:sz w:val="36"/>
          <w:szCs w:val="36"/>
        </w:rPr>
        <w:t xml:space="preserve"> </w:t>
      </w:r>
      <w:bookmarkEnd w:id="65"/>
      <w:bookmarkEnd w:id="66"/>
      <w:bookmarkEnd w:id="67"/>
      <w:r>
        <w:rPr>
          <w:rFonts w:hint="eastAsia" w:cs="宋体" w:asciiTheme="minorEastAsia" w:hAnsiTheme="minorEastAsia" w:eastAsiaTheme="minorEastAsia"/>
          <w:sz w:val="36"/>
          <w:szCs w:val="36"/>
        </w:rPr>
        <w:t>投标供应商</w:t>
      </w:r>
      <w:bookmarkEnd w:id="6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3.1投标供应商资格要求</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3.1.1 投标供应商应符合《中华人民共和国政府采购法》第二十二条规定的条件，</w:t>
      </w:r>
      <w:r>
        <w:rPr>
          <w:rFonts w:hint="eastAsia" w:cs="宋体" w:asciiTheme="minorEastAsia" w:hAnsiTheme="minorEastAsia" w:eastAsiaTheme="minorEastAsia"/>
          <w:sz w:val="24"/>
          <w:lang w:val="zh-CN"/>
        </w:rPr>
        <w:t>并根据《政府采购法实施条例》第十七条规定提供下列材料：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4）社会保障资金缴纳证明：提供供应商2021年1月1日以来至少一个月已缴纳的社会保障资金缴存单据或社保机构开具的社会保险参保缴费情况证明；依法不需要缴纳社会保障资金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（5）税收缴纳证明：提供供应商2021年1月1日以来已缴纳的至少一个月的纳税证明或完税证明（提供增值税、企业所得税至少一种），依法免税的供应商应提供加盖公章的相关证明文件。</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注：事业单位法人参与投标可不提供财务状况报告、社会保障资金缴纳证明及税收缴纳证明。</w:t>
      </w:r>
    </w:p>
    <w:p>
      <w:pPr>
        <w:spacing w:line="360" w:lineRule="auto"/>
        <w:ind w:left="-1"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
        <w:ind w:firstLine="480" w:firstLineChars="200"/>
        <w:rPr>
          <w:rFonts w:cs="宋体" w:asciiTheme="minorEastAsia" w:hAnsiTheme="minorEastAsia" w:eastAsiaTheme="minorEastAsia"/>
          <w:color w:val="auto"/>
          <w:sz w:val="24"/>
          <w:lang w:val="zh-CN"/>
        </w:rPr>
      </w:pPr>
      <w:r>
        <w:rPr>
          <w:rFonts w:hint="eastAsia" w:cs="宋体" w:asciiTheme="minorEastAsia" w:hAnsiTheme="minorEastAsia" w:eastAsiaTheme="minorEastAsia"/>
          <w:color w:val="auto"/>
          <w:sz w:val="24"/>
          <w:lang w:val="zh-CN"/>
        </w:rPr>
        <w:t>（9）提供中小企业声明函。</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3.2授权委托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3.2.1投标供应商代表为法定代表人的，应持有法定代表人身份证明。投标供应商代表不是法定代表人的，应持有法定代表人授权委托书。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3.2.2投标供应商应当委托本单位正式员工作为投标供应商代表，且投标供应商代表只能接受一个投标供应商的委托参加投标。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3.3联合投标</w:t>
      </w:r>
    </w:p>
    <w:p>
      <w:pPr>
        <w:pStyle w:val="26"/>
        <w:spacing w:before="0" w:beforeAutospacing="0" w:after="0" w:afterAutospacing="0" w:line="360" w:lineRule="auto"/>
        <w:ind w:firstLine="420"/>
        <w:rPr>
          <w:rFonts w:asciiTheme="minorEastAsia" w:hAnsiTheme="minorEastAsia" w:eastAsiaTheme="minorEastAsia"/>
          <w:sz w:val="24"/>
          <w:szCs w:val="24"/>
        </w:rPr>
      </w:pPr>
      <w:r>
        <w:rPr>
          <w:rFonts w:hint="eastAsia" w:cs="宋体" w:asciiTheme="minorEastAsia" w:hAnsiTheme="minorEastAsia" w:eastAsiaTheme="minorEastAsia"/>
          <w:sz w:val="24"/>
        </w:rPr>
        <w:t>本项目不</w:t>
      </w:r>
      <w:r>
        <w:rPr>
          <w:rFonts w:hint="eastAsia" w:asciiTheme="minorEastAsia" w:hAnsiTheme="minorEastAsia" w:eastAsiaTheme="minorEastAsia"/>
          <w:sz w:val="24"/>
          <w:szCs w:val="24"/>
        </w:rPr>
        <w:t>接受联合体投标</w:t>
      </w:r>
      <w:r>
        <w:rPr>
          <w:rFonts w:hint="eastAsia" w:cs="宋体" w:asciiTheme="minorEastAsia" w:hAnsiTheme="minorEastAsia" w:eastAsiaTheme="minorEastAsia"/>
          <w:sz w:val="24"/>
        </w:rPr>
        <w:t>。</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3.4享受的政府采购政策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3.4.1中小企业落实政府采购政策：落实促进支持中小企业、监狱企业、残疾人福利性单位发展、脱贫攻坚工作的政策(如为专门面向中小企业的采购项目（或采购包），不执行3.4.1.1、3.4.1.2、3.4.1.3条款。)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3.4.1.1《政府采购促进中小企业发展管理办法》（财库〔2020〕46号）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在政府采购活动中，供应商提供的货物、工程或者服务符合下列情形的，享受《办法》规定的中小企业扶持政策: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(一)在货物采购项目中，货物由中小企业制造，即货物由中小企业生产且使用该中小企业商号或者注册商标；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(二)在工程采购项目中，工程由中小企业承建，即工程施工单位为中小企业；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(三)在服务采购项目中，服务由中小企业承接，即提供服务的人员为中小企业依照《中华人民共和国民法典》订立劳动合同的从业人员。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在货物采购项目中，供应商提供的货物既有中小企业制造货物，也有大型企业制造货物的，不享受《办法》规定的中小企业扶持政策。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以联合体形式参加政府采购活动，联合体各方均为中小企业的，联合体视同中小企业。其中，联合体各方均为小微企业的，联合体视同小微企业。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依据《办法》规定享受扶持政策获得政府采购合同的，小微企业不得将合同分包给大中型企业，中型企业不得将合同分包给大型企业。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的相关规定，小微企业报价给予6%(工程项目为3%)的扣除，用扣除后的价格参加评审。适用招标投标法的政府采购工程建设项目，采用综合评分法但未采用低价优先法计算价格分的，评标时应当在采用原报价进行评分的基础上增加其价格得分的3%作为其价格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适用招标投标法的政府采购工程建设项目，采用综合评分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3.4.1.2 《财政部 司法部关于政府采购支持监狱企业发展有关问题的通知》（财库〔2014〕68号）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监狱企业参加政府采购活动时，应当提供由省级以上监狱管理局、戒毒管理局（含新疆生产建设兵团）出具的属于监狱企业的证明文件。在政府采购活动中，监狱企业视同小型、微型企业。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3.4.1.3《三部门联合发布关于促进残疾人就业政府采购政策的通知》（财库〔2017〕141号）；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符合条件的残疾人福利性单位在参加政府采购活动时，应当提供本通知规定的《残疾人福利性单位声明函》，并对声明的真实性负责。在政府采购活动中，残疾人福利性单位视同小型、微型企业，享受预留份额。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3.4.2落实优先采购节能、环保产品的政策（所投产品满足以下文件要求中任意一条（及以上），其价格给予3%的扣除，用扣除后价格参与评审。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 根据《财政部 国家发展改革委关于印发〈节能产品政府采购实施意见〉的通知》（财库〔2004〕185号）规定“政府采购属于节能产品品目清单的，在技术、服务等指标同等条件下，应当优先采购节能品目清单的节能产品。”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3.4.2.2 根据《财政部环保总局关于环境标志产品政府采购实施的意见》（财库〔2006〕90号）规定“采购人采购的产品属于环境标志产品政府采购清单中品目的，在性能、技术、服务等指标同等条件下，应当优先采购清单中的产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3.4.2.5 所有投标产品进入 “节能产品政府采购品目清单”的，应提供相关证书复印件，相关证书的颁发机构应来自《参与实施政府采购节能产品认证机构名录》。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3.4.2.6 所有投标产品进入“环境标志产品政府采购品目清单”的，应提供相关证书复印件，相关证书的颁发机构应来自《参与实施政府采购环境标志产品认证机构名录》。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3.4.2.7对于已列入品目清单的产品类别，采购人可在采购需求中提出更高的节约资源和保护环境要求，对符合条件的获证产品给予优先待遇。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3.4.2.8投标供应商在投标文件中对所投标产品为节能、环保、环境标志产品清单中的产品，在投标报价时必须对此类产品单独分项报价，计算出小计金额。未提供节能、环保、环境标志产品计分明细表的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3.4.2.9若节能、环保、环境标志清单内的产品仅是构成投标产品的部件、组件或零件的，则该投标产品不享受鼓励优惠政策。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3.4.2.10同一标段的节能、环保、环境标志产品部分计分只对属于清单内的非强制类产品进行计分，强制类产品不给予计分。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3.4.2.11节能、环保、环境标志产品不重复计分；同时列入国家级清单和省级清单的产品不重复计分。</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3.5转包与分包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3.5.1 本项目严禁采取转包方式履行合同。本项目所称转包，是指中标人将政府采购合同业务转让给第三人，并退出现有政府采购合同当事人双方权利业务关系，受让人（即第三人）成为政府采购合同的另一方当事人的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中标人转包的，视同拒绝履行政府采购合同业务，将依法追究法律责任。</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3.6投标供应商的纪律要求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3.6.1有下列情形之一的，属于不合格投标供应商，其投标或中标资格将被取消：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（1）提供虚假材料谋取中标；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（2）采取不正当手段诋毁、排挤其他投标供应商；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（3）与采购人、采购代理机构、其他投标供应商恶意串通；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（4）向采购人、采购代理机构、评标委员会成员行贿或者提供其他不正当利益；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（5）在招标过程中与采购人、采购代理机构进行协商谈判；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（6）拒绝有关部门的监督检查或者向监督检查部门提供虚假情况。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3.6.2下列情形之一的，视为投标供应商相互恶意串通投标，其投标无效：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（1）不同投标供应商的投标文件由同一单位或者个人编制；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（2）不同投标供应商委托同一单位或者个人办理投标事宜；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（3）不同投标供应商的投标文件载明的项目管理成员为同一人；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（4）不同投标供应商的投标文件异常一致或者投标报价呈规律性差异；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（5）不同投标供应商的投标文件相互混装；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（6）不同投标供应商的投标保证金从同一单位或者个人的账户转出；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（7）不同投标供应商的投标文件由同一投标供应商送达。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（8）投标文件雷同性、围标串标判定。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过“文件制作机器码”和“文件创建标识码”判定。如MAC地址、硬盘序列号、CPU号、主板号等，判断是否由同一台电脑制作。若一致，则表明不同投标人的投标文件出自同一台电脑，根据《陕西省财政厅关于政府采购有关政策的复函》（陕财办采函【2019】18号）文件精神，视为投标人串通投标，其投标无效。“文件创建标识码”一致表示不同投标人使用投标文件制作软件时，使用同一源工程文件。</w:t>
      </w:r>
    </w:p>
    <w:bookmarkEnd w:id="62"/>
    <w:bookmarkEnd w:id="63"/>
    <w:bookmarkEnd w:id="64"/>
    <w:p>
      <w:pPr>
        <w:pStyle w:val="4"/>
        <w:tabs>
          <w:tab w:val="left" w:pos="422"/>
        </w:tabs>
        <w:spacing w:line="360" w:lineRule="auto"/>
        <w:rPr>
          <w:rFonts w:cs="宋体" w:asciiTheme="minorEastAsia" w:hAnsiTheme="minorEastAsia" w:eastAsiaTheme="minorEastAsia"/>
          <w:bCs/>
          <w:sz w:val="36"/>
          <w:szCs w:val="36"/>
        </w:rPr>
      </w:pPr>
      <w:bookmarkStart w:id="69" w:name="_Toc10174_WPSOffice_Level2"/>
      <w:bookmarkStart w:id="70" w:name="_Toc6337"/>
      <w:bookmarkStart w:id="71" w:name="_Toc32581"/>
      <w:bookmarkStart w:id="72" w:name="_Toc28762"/>
      <w:bookmarkStart w:id="73" w:name="_Toc27535"/>
      <w:bookmarkStart w:id="74" w:name="_Toc22597"/>
      <w:bookmarkStart w:id="75" w:name="_Toc183582217"/>
      <w:bookmarkStart w:id="76" w:name="_Toc183682354"/>
      <w:bookmarkStart w:id="77" w:name="_Toc217446048"/>
      <w:r>
        <w:rPr>
          <w:rFonts w:hint="eastAsia" w:cs="宋体" w:asciiTheme="minorEastAsia" w:hAnsiTheme="minorEastAsia" w:eastAsiaTheme="minorEastAsia"/>
          <w:bCs/>
          <w:sz w:val="36"/>
          <w:szCs w:val="36"/>
        </w:rPr>
        <w:t>4. 投标文件</w:t>
      </w:r>
      <w:bookmarkEnd w:id="69"/>
      <w:bookmarkEnd w:id="70"/>
      <w:bookmarkEnd w:id="71"/>
      <w:bookmarkEnd w:id="72"/>
      <w:bookmarkEnd w:id="73"/>
      <w:bookmarkEnd w:id="7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4.1投标文件的编写原则和要求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 投标供应商应仔细阅读招标文件的所有内容，按招标文件规定及要求编写，应当对招标文件提出的实质性要求做出响应，并提交完整的投标文件。投标供应商应对投标服务提供完整详细的技术说明，若投标供应商对指定的技术要求不能完全响应，应在投标文件中清楚地注明。投标供应商拟在中标后将中标项目的非主体、非关键性工作交由他人完成的，应当在投标文件中载明。投标供应商对本招标文件的每一项要求所给予的响应必须是唯一的，否则将视为无效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 真实性原则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4.1.2.1 投标供应商应保证所提供的投标文件和所有资料的真实性、准确性和完整性。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4.1.2.2 投标供应商被认定为在政府采购活动中提供不真实材料的，无论其材料是否重要，采购人均有权拒绝，并取消其投标或中标资格，投标供应商需承担相应的法律后果。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投标货币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本项目的投标均以人民币报价。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4.1.4 投标文件形式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本项目投标文件应采用书面文件形式，电报、传真、电子邮件形式的投标文件不予接受。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4.1.5 投标文件格式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投标供应商应按招标文件中提供的投标文件格式填写“投标函”、“开标一览表”以及其他相关文件。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 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4.1.6.1 除投标供应商须知前附表规定允许外，投标供应商不得递交备选投标方案，投标文件的报价只允许有一个报价，不接受具有附加条件的报价，否则，视为无效投标。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4.1.6.2 允许投标供应商递交备选投标方案的，只有中标供应商所递交的备选投标方案方可予以考虑。评标委员会认为中标供应商的备选投标方案优于其按照招标文件要求编制的投标方案的，采购人可以接受该备选方案。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4.1.6.3 投标供应商提供两个或两个以上投标报价，或者在投标文件中提供一个报价，但同时提供两个或两个以上供货方案的，视为提供备选方案。</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4.2 投标文件的组成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4.2.1投标文件由下列文件组成：</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（1）资格审查文件；</w:t>
      </w:r>
      <w:r>
        <w:rPr>
          <w:rFonts w:hint="eastAsia" w:cs="宋体" w:asciiTheme="minorEastAsia" w:hAnsiTheme="minorEastAsia" w:eastAsiaTheme="minorEastAsia"/>
          <w:sz w:val="24"/>
        </w:rPr>
        <w:tab/>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（2）技术、商务文件；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4.2.2 资格审查文件包括本章第3.1条款内容。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4.2.3 商务技术文件主要包括下列内容：</w:t>
      </w:r>
    </w:p>
    <w:bookmarkEnd w:id="75"/>
    <w:bookmarkEnd w:id="76"/>
    <w:bookmarkEnd w:id="7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（2）开标一览表；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（4）技术偏离表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（5）投标方案（含技术方案、实施方案、履约能力、售后服务及培训</w:t>
      </w:r>
      <w:r>
        <w:rPr>
          <w:rFonts w:hint="eastAsia" w:ascii="宋体" w:hAnsi="宋体" w:cs="宋体"/>
          <w:sz w:val="24"/>
        </w:rPr>
        <w:t>等</w:t>
      </w:r>
      <w:r>
        <w:rPr>
          <w:rFonts w:hint="eastAsia" w:cs="宋体" w:asciiTheme="minorEastAsia" w:hAnsiTheme="minorEastAsia" w:eastAsiaTheme="minorEastAsia"/>
          <w:sz w:val="24"/>
        </w:rPr>
        <w:t>）</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（6）相关项目业绩一览表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（7）供应商认为需要补充的其它资料</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（8）投标供应商满足政府采购相关优惠政策的声明或证明材料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4.3 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4.3.1 投标供应商应按照招标文件要求填报投标报价，并充分了解该采购项目的总体情况以及影响投标报价的其他要素。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4.3.2 投标供应商报价超出采购预算金额的，作为未实质性响应招标文件，按无效投标处理。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4.3.3 投标供应商的报价是投标供应商响应招标项目要求的全部工作内容的价格体现，包括投标供应商完成本项目所需的人工费、设备费、管理费、验收费、招标代理服务费、利润和税金等全部费用。在提供服务的过程中的任何遗漏，均由中标供应商免费提供，采购人将不再支付任何费用。中标后不允许擅自改变服务内容、质量标准、期限和追加项目预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4.3.4 投标供应商应按“开标一览表”及“分项报价明细表”的内容和格式要求填写各项服务的分项价格和总价。投标报价为各分项报价金额之和。投标报价与分项报价的合价不一致的，应以各分项合价累计数为准，修正投标报价；如分项报价中存在遗漏项，视为缺项价格已包含在其他分项报价之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4.3.5 投标供应商只允许有一个报价，并且在合同履行过程中是固定不变的，任何有选择或可调整的报价将不予接受，并按无效投标处理。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4.3.6 当评标委员会认为，某投标供应商的报价存在明显低于其他通过符合性审查投标供应商的报价，有可能影响服务质量和不能诚信履约的，要求其在30分钟内提供以往类似项目书面证明材料（结算票据）予以解释说明；如果其不能够在规定时间内提供相关材料证明其报价的合理性，其报价为无效报价。</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4.4投标有效期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4.4.1投标有效期见投标供应商须知前附表。投标有效期短于此规定期限的投标，属于非实质性响应，将按无效投标处理。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4.4.2 出现特殊情况需要延长投标有效期的，采购代理机构或采购人可于投标有效期满之前，以书面形式通知所有投标供应商延长投标有效期。投标供应商应予书面答复，同意延长的，应相应延长其投标保证金有效期，但不得要求或被允许修改其投标文件；投标供应商拒绝延长的，其投标失效，但投标供应商有权收回其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4.4.3 在投标有效期内，投标供应商撤销投标文件的，应承担招标文件和法律规定的责任。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4.4.4 中标供应商的投标有效期自动延长至合同终止为止。</w:t>
      </w:r>
      <w:bookmarkStart w:id="78" w:name="_Toc14500"/>
      <w:bookmarkStart w:id="79" w:name="_Toc27019"/>
      <w:bookmarkStart w:id="80" w:name="_Toc32671"/>
      <w:bookmarkStart w:id="81" w:name="_Toc311415592"/>
      <w:bookmarkStart w:id="82" w:name="_Toc27601"/>
      <w:bookmarkStart w:id="83" w:name="_Toc28013"/>
      <w:bookmarkStart w:id="84" w:name="_Toc7650"/>
    </w:p>
    <w:bookmarkEnd w:id="78"/>
    <w:bookmarkEnd w:id="79"/>
    <w:bookmarkEnd w:id="80"/>
    <w:bookmarkEnd w:id="81"/>
    <w:bookmarkEnd w:id="82"/>
    <w:bookmarkEnd w:id="83"/>
    <w:bookmarkEnd w:id="84"/>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4.5 投标保证金</w:t>
      </w:r>
    </w:p>
    <w:p>
      <w:pPr>
        <w:pStyle w:val="28"/>
        <w:spacing w:line="360" w:lineRule="auto"/>
        <w:ind w:firstLine="480"/>
        <w:rPr>
          <w:rFonts w:ascii="宋体" w:hAnsi="宋体" w:cs="宋体"/>
          <w:sz w:val="24"/>
          <w:szCs w:val="24"/>
        </w:rPr>
      </w:pPr>
      <w:r>
        <w:rPr>
          <w:rFonts w:hint="eastAsia" w:ascii="宋体" w:hAnsi="宋体" w:cs="宋体"/>
          <w:sz w:val="24"/>
          <w:szCs w:val="24"/>
        </w:rPr>
        <w:t>本项目无投标保证金</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4.6.1 投标保证金的退还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4.6.1.1未中标供应商的投标保证金，将在中标通知书发出之日起5个工作日内全额退还。中标供应商的投标保证金，在采购人与中标供应商签订合同后5个工作日内全额退还。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4.6.1.2有下列情形之一的，投标保证金将不予退还：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（1）投标供应商在投标有效期内撤销投标文件的；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（2）中标供应商在收到中标通知书后，无正当理由不与采购人订立合同，或者在签订合同时向采购人提出附加条件的；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（3）中标供应商无正当理由，未能按招标文件规定时间内领取《中标通知书》的；</w:t>
      </w:r>
    </w:p>
    <w:p>
      <w:pPr>
        <w:tabs>
          <w:tab w:val="left" w:pos="7665"/>
        </w:tabs>
        <w:spacing w:line="360" w:lineRule="auto"/>
        <w:ind w:firstLine="480" w:firstLineChars="200"/>
        <w:rPr>
          <w:rFonts w:cs="宋体" w:asciiTheme="minorEastAsia" w:hAnsiTheme="minorEastAsia" w:eastAsiaTheme="minorEastAsia"/>
          <w:sz w:val="24"/>
          <w:highlight w:val="green"/>
        </w:rPr>
      </w:pPr>
      <w:r>
        <w:rPr>
          <w:rFonts w:hint="eastAsia" w:cs="宋体" w:asciiTheme="minorEastAsia" w:hAnsiTheme="minorEastAsia" w:eastAsiaTheme="minorEastAsia"/>
          <w:sz w:val="24"/>
        </w:rPr>
        <w:t>（4）中标供应商未向采购代理机构支付采购（招标）代理服务费的；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（5）投标有效期内，投标供应商在政府采购活动中有违规、违纪和违法行为的；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（6）法律法规规定的其他情况。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4.6.1.3 投标保证金退还程序：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（1）未中标供应商的投标保证金，在《中标通知书》发出之日起5个工作日内，采购代理机构将主动退还。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（2）中标供应商应当在合同签订生效之日起5个工作日内，持采购合同原件至采购代理机构及时退还投标保证金。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4.6.1.4 投标保证金退还时间：星期一至星期五，9:00-16:00。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4.6.1.5投标保证金退还方式：银行转账。</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4.7 商务技术文件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4.7.1投标供应商应按照招标文件商务要求做出完全响应。未作出商务响应的，作为不实质性响应招标文件，按无效投标处理。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4.7.2严格按照招标文件对本项目的要求，精心组织、合理安排提供各项服务；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4.7.3未经采购人许可，不得将本采购项目采取转包实施的办法，一经发现，立即取消其中标资格，并承担由此产生的一切经济损失；</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4.7.4接受采购人或采购人委托相关单位对项目实施方案、服务进度与结算审核等方面监督和管理；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4.7.5 投标供应商应按照招标文件要求做出的技术应答，主要是针对招标项目的技术指标、技术要求做出的实质性响应和满足。 </w:t>
      </w:r>
    </w:p>
    <w:p>
      <w:pPr>
        <w:tabs>
          <w:tab w:val="left" w:pos="7665"/>
        </w:tabs>
        <w:spacing w:line="360" w:lineRule="auto"/>
        <w:ind w:firstLine="480" w:firstLineChars="200"/>
        <w:rPr>
          <w:rFonts w:cs="宋体" w:asciiTheme="minorEastAsia" w:hAnsiTheme="minorEastAsia" w:eastAsiaTheme="minorEastAsia"/>
          <w:sz w:val="24"/>
        </w:rPr>
      </w:pPr>
      <w:bookmarkStart w:id="85" w:name="_Toc183682355"/>
      <w:bookmarkStart w:id="86" w:name="_Toc183582218"/>
      <w:bookmarkStart w:id="87" w:name="_Toc217446049"/>
      <w:r>
        <w:rPr>
          <w:rFonts w:hint="eastAsia" w:cs="宋体" w:asciiTheme="minorEastAsia" w:hAnsiTheme="minorEastAsia" w:eastAsiaTheme="minorEastAsia"/>
          <w:sz w:val="24"/>
        </w:rPr>
        <w:t>4.7.6 证明服务和产品（如有）符合招标文件规定相关文件可以是文字资料、图纸、数据、宣传彩页等，所有证明文件，表达意思必须统一。如需投标供应商提供样品，证明文件的表述与投标供应商所提供样品必须完全符合，且是投标文件的组成部分，否则，按未实质响应招标文件予以拒绝。</w:t>
      </w:r>
      <w:bookmarkEnd w:id="85"/>
      <w:bookmarkEnd w:id="86"/>
      <w:bookmarkEnd w:id="87"/>
      <w:bookmarkStart w:id="88" w:name="_Toc183582223"/>
      <w:bookmarkStart w:id="89" w:name="_Toc217446050"/>
      <w:bookmarkStart w:id="90" w:name="_Toc183682360"/>
    </w:p>
    <w:bookmarkEnd w:id="88"/>
    <w:bookmarkEnd w:id="89"/>
    <w:bookmarkEnd w:id="90"/>
    <w:p>
      <w:pPr>
        <w:spacing w:line="360" w:lineRule="auto"/>
        <w:rPr>
          <w:rFonts w:cs="宋体" w:asciiTheme="minorEastAsia" w:hAnsiTheme="minorEastAsia" w:eastAsiaTheme="minorEastAsia"/>
          <w:b/>
          <w:sz w:val="30"/>
          <w:szCs w:val="30"/>
        </w:rPr>
      </w:pPr>
      <w:bookmarkStart w:id="91" w:name="_Toc217446052"/>
      <w:bookmarkStart w:id="92" w:name="_Toc183582225"/>
      <w:bookmarkStart w:id="93" w:name="_Toc183682362"/>
      <w:bookmarkStart w:id="94" w:name="_Toc89075877"/>
      <w:bookmarkStart w:id="95" w:name="_Toc217446053"/>
      <w:bookmarkStart w:id="96" w:name="_Toc183682363"/>
      <w:bookmarkStart w:id="97" w:name="_Toc77400781"/>
      <w:bookmarkStart w:id="98" w:name="_Toc183582226"/>
      <w:r>
        <w:rPr>
          <w:rFonts w:hint="eastAsia" w:cs="宋体" w:asciiTheme="minorEastAsia" w:hAnsiTheme="minorEastAsia" w:eastAsiaTheme="minorEastAsia"/>
          <w:b/>
          <w:sz w:val="30"/>
          <w:szCs w:val="30"/>
        </w:rPr>
        <w:t>4.8 投标文件的制作和签署</w:t>
      </w:r>
      <w:bookmarkEnd w:id="91"/>
      <w:bookmarkEnd w:id="92"/>
      <w:bookmarkEnd w:id="93"/>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4.8.1 投标文件应根据招标文件的要求制作。投标供应商应填写全称，同时加盖单位章，签署、盖章和内容应完整，如有遗漏，由投标供应商承担投标风险。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4.8.2 投标文件格式，投标供应商应严格按照第六章提供的“投标文件格式”编写相关内容。除明确允许投标供应商可以自行编写的外，投标供应商不得以“投标文件格式”规定之外的方式填写相关内容。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4.8.3 对于没有格式要求的投标文件由投标供应商自行编写。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4.8.4 投标供应商应按“投标供应商须知”规定的份数准备投标文件正本、副本和相应的电子文件，当副本和正本有不一致的内容，以正本书面投标文件为准。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4.8.5 投标文件的正本和副本均需打印或用不褪色、不变质的墨水书写，并由投标供应商的法定代表人或其授权代表在规定签章处签字和盖章。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4.8.6 投标文件的打印或书写应清楚工整，尽量避免行间插字、涂改或增删。如出现上述情况，改动之处应由投标供应商的法定代表人或其授权代表签字或盖单位章。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4.8.7 投标文件的正本和副本应分别装订，投标文件需分册装订的，具体分册装订要求见</w:t>
      </w:r>
      <w:r>
        <w:rPr>
          <w:rFonts w:hint="eastAsia" w:cs="宋体" w:asciiTheme="minorEastAsia" w:hAnsiTheme="minorEastAsia" w:eastAsiaTheme="minorEastAsia"/>
          <w:sz w:val="24"/>
          <w:lang w:val="zh-CN"/>
        </w:rPr>
        <w:t>投标供应商须知前附表的规定。投标文件</w:t>
      </w:r>
      <w:r>
        <w:rPr>
          <w:rFonts w:hint="eastAsia" w:cs="宋体" w:asciiTheme="minorEastAsia" w:hAnsiTheme="minorEastAsia" w:eastAsiaTheme="minorEastAsia"/>
          <w:sz w:val="24"/>
        </w:rPr>
        <w:t>胶装后，页面不可抽取，不得有活动页，无破损、不可拆分。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4.8.8 电子文件制作要求。电子文件与纸质正本投标文件的内容应保持一致，具有同等法律效力。</w:t>
      </w:r>
    </w:p>
    <w:bookmarkEnd w:id="94"/>
    <w:bookmarkEnd w:id="95"/>
    <w:bookmarkEnd w:id="96"/>
    <w:bookmarkEnd w:id="97"/>
    <w:bookmarkEnd w:id="98"/>
    <w:p>
      <w:pPr>
        <w:spacing w:after="120" w:afterLines="50" w:line="360" w:lineRule="auto"/>
        <w:outlineLvl w:val="1"/>
        <w:rPr>
          <w:rFonts w:cs="宋体" w:asciiTheme="minorEastAsia" w:hAnsiTheme="minorEastAsia" w:eastAsiaTheme="minorEastAsia"/>
          <w:b/>
          <w:bCs/>
          <w:sz w:val="36"/>
          <w:szCs w:val="36"/>
        </w:rPr>
      </w:pPr>
      <w:bookmarkStart w:id="99" w:name="_Toc31218"/>
      <w:bookmarkStart w:id="100" w:name="_Toc19082"/>
      <w:bookmarkStart w:id="101" w:name="_Toc10920"/>
      <w:bookmarkStart w:id="102" w:name="_Toc11957"/>
      <w:bookmarkStart w:id="103" w:name="_Toc831_WPSOffice_Level2"/>
      <w:bookmarkStart w:id="104" w:name="_Toc32254"/>
      <w:bookmarkStart w:id="105" w:name="_Toc77400782"/>
      <w:bookmarkStart w:id="106" w:name="_Toc217446056"/>
      <w:bookmarkStart w:id="107" w:name="_Toc183682368"/>
      <w:bookmarkStart w:id="108" w:name="_Toc183582231"/>
      <w:bookmarkStart w:id="109" w:name="_Toc89075878"/>
      <w:r>
        <w:rPr>
          <w:rFonts w:hint="eastAsia" w:cs="宋体" w:asciiTheme="minorEastAsia" w:hAnsiTheme="minorEastAsia" w:eastAsiaTheme="minorEastAsia"/>
          <w:b/>
          <w:bCs/>
          <w:sz w:val="36"/>
          <w:szCs w:val="36"/>
        </w:rPr>
        <w:t>5. 投标</w:t>
      </w:r>
      <w:bookmarkEnd w:id="99"/>
      <w:bookmarkEnd w:id="100"/>
      <w:bookmarkEnd w:id="101"/>
      <w:bookmarkEnd w:id="102"/>
      <w:bookmarkEnd w:id="103"/>
      <w:bookmarkEnd w:id="10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5.1 投标内容要求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投标供应商应仔细阅读招标文件中的所有事项、格式、条款和要求，对招标文件的全部内容及要求作出实质性响应，提交相应资料。</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5.2 投标文件的密封和标记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 开标前，投标供应商应将投标文件所有正本、副本、电子文件全部密封。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 投标文件装订、密封、装袋要求见投标供应商须知，并在封套的封口处（缝隙处）加贴封条，应粘贴牢固，加盖密封章（投标供应商单位章）。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 投标文件封套上应写明的内容见投标供应商须知。</w:t>
      </w:r>
    </w:p>
    <w:p>
      <w:pPr>
        <w:spacing w:line="360" w:lineRule="auto"/>
        <w:rPr>
          <w:rFonts w:cs="宋体" w:asciiTheme="minorEastAsia" w:hAnsiTheme="minorEastAsia" w:eastAsiaTheme="minorEastAsia"/>
          <w:b/>
          <w:sz w:val="30"/>
          <w:szCs w:val="30"/>
        </w:rPr>
      </w:pPr>
      <w:bookmarkStart w:id="110" w:name="_Toc183682364"/>
      <w:bookmarkStart w:id="111" w:name="_Toc183582227"/>
      <w:bookmarkStart w:id="112" w:name="_Toc217446054"/>
      <w:r>
        <w:rPr>
          <w:rFonts w:hint="eastAsia" w:cs="宋体" w:asciiTheme="minorEastAsia" w:hAnsiTheme="minorEastAsia" w:eastAsiaTheme="minorEastAsia"/>
          <w:b/>
          <w:sz w:val="30"/>
          <w:szCs w:val="30"/>
        </w:rPr>
        <w:t>5.3 投标文件的</w:t>
      </w:r>
      <w:bookmarkEnd w:id="110"/>
      <w:bookmarkEnd w:id="111"/>
      <w:r>
        <w:rPr>
          <w:rFonts w:hint="eastAsia" w:cs="宋体" w:asciiTheme="minorEastAsia" w:hAnsiTheme="minorEastAsia" w:eastAsiaTheme="minorEastAsia"/>
          <w:b/>
          <w:sz w:val="30"/>
          <w:szCs w:val="30"/>
        </w:rPr>
        <w:t>递交</w:t>
      </w:r>
      <w:bookmarkEnd w:id="11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5.3.1 投标供应商应在投标供应商须知前附表规定的投标截止时间前递交投标文件。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5.3.2 投标供应商递交投标文件地点：见投标供应商须知前附表。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5.3.3 除投标供应商须知前附表另有规定外，投标供应商递交的投标文件不予退还。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5.3.4采购代理机构收到投标文件后，应当如实记载投标文件的送达时间和密封情况，签收保存，并向投标供应商出具签收回执。</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5.3.5 逾期送达的投标文件，采购代理机构将予以拒收。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5.3.6 本次招标不接受邮寄的投标文件。</w:t>
      </w:r>
    </w:p>
    <w:p>
      <w:pPr>
        <w:spacing w:line="360" w:lineRule="auto"/>
        <w:rPr>
          <w:rFonts w:cs="宋体" w:asciiTheme="minorEastAsia" w:hAnsiTheme="minorEastAsia" w:eastAsiaTheme="minorEastAsia"/>
          <w:b/>
          <w:sz w:val="30"/>
          <w:szCs w:val="30"/>
        </w:rPr>
      </w:pPr>
      <w:bookmarkStart w:id="113" w:name="_Toc183682365"/>
      <w:bookmarkStart w:id="114" w:name="_Toc183582228"/>
      <w:bookmarkStart w:id="115" w:name="_Toc217446055"/>
      <w:r>
        <w:rPr>
          <w:rFonts w:hint="eastAsia" w:cs="宋体" w:asciiTheme="minorEastAsia" w:hAnsiTheme="minorEastAsia" w:eastAsiaTheme="minorEastAsia"/>
          <w:b/>
          <w:sz w:val="30"/>
          <w:szCs w:val="30"/>
        </w:rPr>
        <w:t>5.4 投标文件的修改和撤</w:t>
      </w:r>
      <w:bookmarkEnd w:id="113"/>
      <w:bookmarkEnd w:id="114"/>
      <w:r>
        <w:rPr>
          <w:rFonts w:hint="eastAsia" w:cs="宋体" w:asciiTheme="minorEastAsia" w:hAnsiTheme="minorEastAsia" w:eastAsiaTheme="minorEastAsia"/>
          <w:b/>
          <w:sz w:val="30"/>
          <w:szCs w:val="30"/>
        </w:rPr>
        <w:t>回</w:t>
      </w:r>
      <w:bookmarkEnd w:id="11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5.4.1 在招标文件规定的投标截止时间前，投标供应商可以修改或撤回已递交的投标文件，但应以书面形式通知采购代理机构。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5.4.2 投标供应商的修改或撤回通知书，应由其法定代表人或委托代理人签署并盖单位章。修改或撤回通知书应按本章第5.2.2项规定进行密封，并在密封袋上标注“投标文件修改”或“投标文件撤回通知”字样，“修改文件”作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5.4.3 投标供应商撤回投标文件的，采购代理机构自收到投标供应商书面撤回通知之日起5个工作日内退还已收取的投标保证金。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5.4.4 在投标截止时间之后，投标供应商不得对其递交的投标文件做任何修改或撤销投标。</w:t>
      </w:r>
    </w:p>
    <w:bookmarkEnd w:id="105"/>
    <w:bookmarkEnd w:id="106"/>
    <w:bookmarkEnd w:id="107"/>
    <w:bookmarkEnd w:id="108"/>
    <w:bookmarkEnd w:id="109"/>
    <w:p>
      <w:pPr>
        <w:spacing w:after="120" w:afterLines="50" w:line="360" w:lineRule="auto"/>
        <w:outlineLvl w:val="1"/>
        <w:rPr>
          <w:rFonts w:cs="宋体" w:asciiTheme="minorEastAsia" w:hAnsiTheme="minorEastAsia" w:eastAsiaTheme="minorEastAsia"/>
          <w:b/>
          <w:bCs/>
          <w:sz w:val="36"/>
          <w:szCs w:val="36"/>
        </w:rPr>
      </w:pPr>
      <w:bookmarkStart w:id="116" w:name="_Toc3795"/>
      <w:bookmarkStart w:id="117" w:name="_Toc17841"/>
      <w:bookmarkStart w:id="118" w:name="_Toc32113"/>
      <w:bookmarkStart w:id="119" w:name="_Toc9468_WPSOffice_Level2"/>
      <w:bookmarkStart w:id="120" w:name="_Toc11423"/>
      <w:r>
        <w:rPr>
          <w:rFonts w:hint="eastAsia" w:cs="宋体" w:asciiTheme="minorEastAsia" w:hAnsiTheme="minorEastAsia" w:eastAsiaTheme="minorEastAsia"/>
          <w:b/>
          <w:bCs/>
          <w:sz w:val="36"/>
          <w:szCs w:val="36"/>
        </w:rPr>
        <w:t>6. 开标</w:t>
      </w:r>
      <w:bookmarkEnd w:id="116"/>
      <w:bookmarkEnd w:id="117"/>
      <w:bookmarkEnd w:id="118"/>
      <w:bookmarkEnd w:id="119"/>
      <w:bookmarkEnd w:id="120"/>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6.1开标时间和地点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6.1.1 采购代理机构在投标供应商须知前附表中规定的投标截止时间（开标时间）和地点公开开标，并邀请采购人、所有投标供应商派代表准时参加并签到以证明其出席。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6.1.2 投标供应商未参加开标的，视同认可开标结果。</w:t>
      </w:r>
    </w:p>
    <w:p>
      <w:pPr>
        <w:tabs>
          <w:tab w:val="left" w:pos="7665"/>
        </w:tabs>
        <w:spacing w:line="360" w:lineRule="auto"/>
        <w:ind w:firstLine="480" w:firstLineChars="200"/>
        <w:rPr>
          <w:rFonts w:cs="宋体" w:asciiTheme="minorEastAsia" w:hAnsiTheme="minorEastAsia" w:eastAsiaTheme="minorEastAsia"/>
          <w:sz w:val="24"/>
        </w:rPr>
      </w:pPr>
      <w:bookmarkStart w:id="121" w:name="_Toc217446059"/>
      <w:r>
        <w:rPr>
          <w:rFonts w:hint="eastAsia" w:cs="宋体" w:asciiTheme="minorEastAsia" w:hAnsiTheme="minorEastAsia" w:eastAsiaTheme="minorEastAsia"/>
          <w:sz w:val="24"/>
        </w:rPr>
        <w:t>6.1.3 开标时，采购代理机构邀请采购人委派的监标人员进行开标流程监督。</w:t>
      </w:r>
      <w:bookmarkStart w:id="122" w:name="_Toc217446058"/>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6.1.4 投标供应商不足3家的，不得开标。</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6.2 开标程序</w:t>
      </w:r>
      <w:bookmarkEnd w:id="12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6.2.1开标由采购代理机构主持。主持人按照招标文件规定的开标时间宣布开标，并按下列程序进行（但不限于）：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（1）宣布开标开始和开启录音录像设备并致辞；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（2）宣布开标纪律和有关注意事项；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（3）公布在投标截止时间前递交投标文件的投标供应商名称（根据投标供应商签到表）；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（5）检查并宣布投标文件的密封情况；</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（6）唱标：当众开标，宣唱供应商名称、投标报价、交货安装期及其他内容，并记录在案；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宣布开标结束：主持人宣布开标结束后，所有投标供应商应立即退场（招标文件要求演示、述标的除外）；同时所有投标供应商应保持通讯设备的畅通，以方便在评标过程中评标委员会要求投标供应商对投标文件的必要澄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（8）投标供应商资格审查，采购人、代理机构按照《政府采购货物和服务招标投标管理办法》（财政部第87号令）有关规定，对投标供应商资格证明文件进行审查。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（9）评标委员会评审商务技术标。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6.2.2 检查投标文件密封情况是指，由投标供应商或者其推选的代表检查其自己递交的投标文件的密封情况，经检查无误后，签字确认。</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或者其推选的代表确认投标文件情况，仅限于确认其自己递交的投标文件的密封情况，不代表对其他投标供应商的投标文件的密封情况确认。投标供应商或者其推选的代表检对其他投标供应商的投标文件密封情况有异议的，可以当场反映开标主持人或者现场监督人员，要求开标现场记录人员予以记录，但不得干扰、阻挠开标工作的正常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6.2.3 投标供应商对开标过程和开标记录有疑义，以及认为采购人、采购代理机构相关工作人员有需要回避情形的，应当场提出询问或者回避申请。采购人、采购代理机构对投标供应商代表提出的询问或者回避申请应当及时处理，并制作记录。</w:t>
      </w:r>
    </w:p>
    <w:p>
      <w:pPr>
        <w:spacing w:after="120" w:afterLines="50" w:line="360" w:lineRule="auto"/>
        <w:outlineLvl w:val="1"/>
        <w:rPr>
          <w:rFonts w:cs="宋体" w:asciiTheme="minorEastAsia" w:hAnsiTheme="minorEastAsia" w:eastAsiaTheme="minorEastAsia"/>
          <w:b/>
          <w:bCs/>
          <w:sz w:val="36"/>
          <w:szCs w:val="36"/>
        </w:rPr>
      </w:pPr>
      <w:bookmarkStart w:id="123" w:name="_Toc24302"/>
      <w:bookmarkStart w:id="124" w:name="_Toc1134"/>
      <w:bookmarkStart w:id="125" w:name="_Toc4278_WPSOffice_Level2"/>
      <w:bookmarkStart w:id="126" w:name="_Toc27704"/>
      <w:bookmarkStart w:id="127" w:name="_Toc6643"/>
      <w:bookmarkStart w:id="128" w:name="_Toc31588"/>
      <w:r>
        <w:rPr>
          <w:rFonts w:hint="eastAsia" w:cs="宋体" w:asciiTheme="minorEastAsia" w:hAnsiTheme="minorEastAsia" w:eastAsiaTheme="minorEastAsia"/>
          <w:b/>
          <w:bCs/>
          <w:sz w:val="36"/>
          <w:szCs w:val="36"/>
        </w:rPr>
        <w:t>7. 投标供应商资格审查</w:t>
      </w:r>
      <w:bookmarkEnd w:id="123"/>
      <w:bookmarkEnd w:id="124"/>
      <w:bookmarkEnd w:id="125"/>
      <w:bookmarkEnd w:id="126"/>
      <w:bookmarkEnd w:id="127"/>
      <w:bookmarkEnd w:id="128"/>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7.1 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7.1.1 采购代理机构依法对投标供应商的资格进行审查，并组建资格审查小组。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7.1.2 资格审查小组，由采购人代表和2名采购代理机构工作人员组成，采购代理机构项目负责人担任资格审查小组组长。</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7.2 资格审查办法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7.2.1 资格审查在开标结束之后评标开始之前进行。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7.2.2 资格审查小组将依据投标供应商投标文件之资格审查部分文件，按照本章第3.1项所述资格要求对投标供应商进行资格审查，以确定其是否具备相应资格。如果投标供应商不具备资格、不满足招标文件所规定的资格条件,将被视为未实质性响应招标文件,按无效投标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7.2.3 资格审查小组按下列程序进行资格审查：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（1）投标供应商资格条件审查；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（2）编写投标供应商资格审查报告。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7.2.4 审查方法：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的资格性审查：采购人或代理机构依据法律法规和招标文件的规定，对投标文件中的资格证明文件进行审查。投标供应商资格证明文件审查时，缺少其中一项或某项达不到招标文件要求，均视为资格性审查不合格。如果认为投标供应商的资格证明文件复印件存在疑点，可以要求其现场提供原件进行核查。两者出现不同或在规定的时间内未能及时提供原件，均视为资格性审查不合格。</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资格审查小组将按下表所列举的审查标准对投标供应商资格条件进行审查，投标供应商若有一项不合格，即判定其资格条件审查为不合格，将不具备投标资格，按无效投标处理。</w:t>
      </w:r>
    </w:p>
    <w:p>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7.2.5 审查标准：</w:t>
      </w:r>
    </w:p>
    <w:tbl>
      <w:tblPr>
        <w:tblStyle w:val="29"/>
        <w:tblW w:w="886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5015"/>
        <w:gridCol w:w="1701"/>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0"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5015" w:type="dxa"/>
            <w:vAlign w:val="center"/>
          </w:tcPr>
          <w:p>
            <w:pPr>
              <w:spacing w:line="276" w:lineRule="auto"/>
              <w:ind w:firstLine="420" w:firstLineChars="2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审查因素</w:t>
            </w:r>
          </w:p>
        </w:tc>
        <w:tc>
          <w:tcPr>
            <w:tcW w:w="1701" w:type="dxa"/>
            <w:vAlign w:val="center"/>
          </w:tcPr>
          <w:p>
            <w:pPr>
              <w:spacing w:line="276"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审查标准</w:t>
            </w:r>
          </w:p>
        </w:tc>
        <w:tc>
          <w:tcPr>
            <w:tcW w:w="1696" w:type="dxa"/>
            <w:vAlign w:val="center"/>
          </w:tcPr>
          <w:p>
            <w:pPr>
              <w:spacing w:line="276"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根据投标供应商类别进行审查：</w:t>
            </w:r>
          </w:p>
          <w:p>
            <w:pPr>
              <w:spacing w:line="360" w:lineRule="auto"/>
              <w:jc w:val="left"/>
              <w:rPr>
                <w:rFonts w:ascii="宋体" w:hAnsi="宋体" w:cs="宋体"/>
                <w:szCs w:val="21"/>
                <w:lang w:val="zh-CN"/>
              </w:rPr>
            </w:pPr>
            <w:r>
              <w:rPr>
                <w:rFonts w:hint="eastAsia" w:ascii="宋体" w:hAnsi="宋体" w:cs="宋体"/>
                <w:szCs w:val="21"/>
                <w:lang w:val="zh-CN"/>
              </w:rPr>
              <w:t>(1)企业投标的：</w:t>
            </w:r>
            <w:r>
              <w:rPr>
                <w:rFonts w:hint="eastAsia"/>
                <w:szCs w:val="21"/>
                <w:lang w:val="zh-CN"/>
              </w:rPr>
              <w:t>提供合法有效的统一社会信用代码</w:t>
            </w:r>
          </w:p>
          <w:p>
            <w:pPr>
              <w:spacing w:line="360" w:lineRule="auto"/>
              <w:jc w:val="left"/>
              <w:rPr>
                <w:rFonts w:ascii="宋体" w:hAnsi="宋体" w:cs="宋体"/>
                <w:szCs w:val="21"/>
                <w:lang w:val="zh-CN"/>
              </w:rPr>
            </w:pPr>
            <w:r>
              <w:rPr>
                <w:rFonts w:hint="eastAsia" w:ascii="宋体" w:hAnsi="宋体" w:cs="宋体"/>
                <w:szCs w:val="21"/>
                <w:lang w:val="zh-CN"/>
              </w:rPr>
              <w:t>(2)事业单位投标的：</w:t>
            </w:r>
            <w:r>
              <w:rPr>
                <w:rFonts w:hint="eastAsia" w:ascii="宋体" w:hAnsi="宋体" w:cs="宋体"/>
                <w:szCs w:val="21"/>
              </w:rPr>
              <w:t>提供</w:t>
            </w:r>
            <w:r>
              <w:rPr>
                <w:rFonts w:hint="eastAsia" w:ascii="宋体" w:hAnsi="宋体" w:cs="宋体"/>
                <w:szCs w:val="21"/>
                <w:lang w:val="zh-CN"/>
              </w:rPr>
              <w:t>事业单位法人证书复印件</w:t>
            </w:r>
          </w:p>
          <w:p>
            <w:pPr>
              <w:spacing w:line="360" w:lineRule="auto"/>
              <w:jc w:val="left"/>
              <w:rPr>
                <w:rFonts w:ascii="宋体" w:hAnsi="宋体" w:cs="宋体"/>
                <w:szCs w:val="21"/>
                <w:lang w:val="zh-CN"/>
              </w:rPr>
            </w:pPr>
            <w:r>
              <w:rPr>
                <w:rFonts w:hint="eastAsia" w:ascii="宋体" w:hAnsi="宋体" w:cs="宋体"/>
                <w:szCs w:val="21"/>
                <w:lang w:val="zh-CN"/>
              </w:rPr>
              <w:t>(3)其他组织投标的：</w:t>
            </w:r>
            <w:r>
              <w:rPr>
                <w:rFonts w:hint="eastAsia" w:ascii="宋体" w:hAnsi="宋体" w:cs="宋体"/>
                <w:szCs w:val="21"/>
              </w:rPr>
              <w:t>提供</w:t>
            </w:r>
            <w:r>
              <w:rPr>
                <w:rFonts w:hint="eastAsia" w:ascii="宋体" w:hAnsi="宋体" w:cs="宋体"/>
                <w:szCs w:val="21"/>
                <w:lang w:val="zh-CN"/>
              </w:rPr>
              <w:t>登记证书复印件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(4)自然人投标的：</w:t>
            </w:r>
            <w:r>
              <w:rPr>
                <w:rFonts w:hint="eastAsia" w:ascii="宋体" w:hAnsi="宋体" w:cs="宋体"/>
                <w:szCs w:val="21"/>
              </w:rPr>
              <w:t>提供</w:t>
            </w:r>
            <w:r>
              <w:rPr>
                <w:rFonts w:hint="eastAsia" w:ascii="宋体" w:hAnsi="宋体" w:cs="宋体"/>
                <w:szCs w:val="21"/>
                <w:lang w:val="zh-CN"/>
              </w:rPr>
              <w:t>身份证复印件</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5015" w:type="dxa"/>
            <w:vAlign w:val="center"/>
          </w:tcPr>
          <w:p>
            <w:pPr>
              <w:spacing w:line="360" w:lineRule="auto"/>
              <w:jc w:val="left"/>
              <w:rPr>
                <w:rFonts w:ascii="宋体" w:hAnsi="宋体" w:cs="宋体"/>
                <w:szCs w:val="21"/>
                <w:lang w:val="zh-CN"/>
              </w:rPr>
            </w:pPr>
            <w:r>
              <w:rPr>
                <w:rFonts w:hint="eastAsia" w:ascii="宋体" w:hAnsi="宋体" w:cs="宋体"/>
                <w:szCs w:val="21"/>
                <w:lang w:val="zh-CN"/>
              </w:rPr>
              <w:t>(1)法定代表人投标的：</w:t>
            </w:r>
            <w:r>
              <w:rPr>
                <w:rFonts w:hint="eastAsia" w:ascii="宋体" w:hAnsi="宋体" w:cs="宋体"/>
                <w:szCs w:val="21"/>
              </w:rPr>
              <w:t>提供</w:t>
            </w:r>
            <w:r>
              <w:rPr>
                <w:rFonts w:hint="eastAsia" w:ascii="宋体" w:hAnsi="宋体" w:cs="宋体"/>
                <w:szCs w:val="21"/>
                <w:lang w:val="zh-CN"/>
              </w:rPr>
              <w:t>法定代表人身份证明及身份证复印件</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lang w:val="zh-CN"/>
              </w:rPr>
              <w:t>(2)法定代表人授权他人参加投标的：提供法定代表人委托授权书并出示被授权代表的身份证复印件</w:t>
            </w:r>
          </w:p>
        </w:tc>
        <w:tc>
          <w:tcPr>
            <w:tcW w:w="1701" w:type="dxa"/>
            <w:vAlign w:val="center"/>
          </w:tcPr>
          <w:p>
            <w:pPr>
              <w:spacing w:line="276" w:lineRule="auto"/>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5015" w:type="dxa"/>
            <w:vAlign w:val="center"/>
          </w:tcPr>
          <w:p>
            <w:pPr>
              <w:spacing w:line="276" w:lineRule="auto"/>
              <w:rPr>
                <w:rFonts w:cs="宋体" w:asciiTheme="minorEastAsia" w:hAnsiTheme="minorEastAsia" w:eastAsiaTheme="minorEastAsia"/>
                <w:szCs w:val="21"/>
              </w:rPr>
            </w:pPr>
            <w:r>
              <w:rPr>
                <w:rFonts w:hint="eastAsia" w:ascii="宋体" w:hAnsi="宋体" w:cs="宋体"/>
                <w:szCs w:val="21"/>
                <w:lang w:val="zh-CN"/>
              </w:rPr>
              <w:t>提供</w:t>
            </w:r>
            <w:r>
              <w:rPr>
                <w:rFonts w:hint="eastAsia" w:ascii="宋体" w:hAnsi="宋体" w:cs="宋体"/>
                <w:szCs w:val="21"/>
              </w:rPr>
              <w:t>2020年或</w:t>
            </w:r>
            <w:r>
              <w:rPr>
                <w:rFonts w:ascii="宋体" w:hAnsi="宋体" w:cs="宋体"/>
                <w:szCs w:val="21"/>
              </w:rPr>
              <w:t>2021</w:t>
            </w:r>
            <w:r>
              <w:rPr>
                <w:rFonts w:hint="eastAsia" w:ascii="宋体" w:hAnsi="宋体" w:cs="宋体"/>
                <w:szCs w:val="21"/>
                <w:lang w:val="zh-CN"/>
              </w:rPr>
              <w:t>年度经审计的财务会计报告；成立时间至提交投标文件截止时间不足一年的可提供成立后任意时段的资产负债表或响应截止时间前三个月内银行出具的资信证明文件或信用担保机构出具的投标担保函。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资不抵债或未按招标文件要求提供资信证明的，为不合格</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年1月1日至今任意一个月已缴纳完税凭证或税务机关开具的完税证明（</w:t>
            </w:r>
            <w:r>
              <w:rPr>
                <w:rFonts w:hint="eastAsia" w:ascii="宋体" w:hAnsi="宋体" w:cs="宋体"/>
                <w:szCs w:val="21"/>
                <w:lang w:val="zh-CN"/>
              </w:rPr>
              <w:t>提供增值税、企业所得税至少一种</w:t>
            </w:r>
            <w:r>
              <w:rPr>
                <w:rFonts w:hint="eastAsia" w:ascii="宋体" w:hAnsi="宋体" w:cs="宋体"/>
                <w:szCs w:val="21"/>
              </w:rPr>
              <w:t>）；</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（2）依法免税的应提供相关文件证明；</w:t>
            </w:r>
          </w:p>
          <w:p>
            <w:pPr>
              <w:pStyle w:val="16"/>
              <w:tabs>
                <w:tab w:val="left" w:pos="851"/>
              </w:tabs>
              <w:adjustRightInd w:val="0"/>
              <w:snapToGrid w:val="0"/>
              <w:spacing w:line="360" w:lineRule="auto"/>
              <w:rPr>
                <w:rFonts w:hAnsi="宋体" w:cs="宋体"/>
              </w:rPr>
            </w:pPr>
            <w:r>
              <w:rPr>
                <w:rFonts w:hint="eastAsia" w:hAnsi="宋体" w:cs="宋体"/>
              </w:rPr>
              <w:t>（3）公益类事业单位无需提供；</w:t>
            </w:r>
          </w:p>
          <w:p>
            <w:pPr>
              <w:spacing w:line="276" w:lineRule="auto"/>
              <w:jc w:val="left"/>
              <w:rPr>
                <w:rFonts w:cs="宋体" w:asciiTheme="minorEastAsia" w:hAnsiTheme="minorEastAsia" w:eastAsiaTheme="minorEastAsia"/>
                <w:szCs w:val="21"/>
                <w:lang w:val="zh-CN"/>
              </w:rPr>
            </w:pPr>
            <w:r>
              <w:rPr>
                <w:rFonts w:hint="eastAsia" w:ascii="宋体" w:hAnsi="宋体" w:cs="宋体"/>
                <w:szCs w:val="21"/>
              </w:rPr>
              <w:t>（4）新成立未发生缴纳税收事项的供应商，应提供纳税书面承诺。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5015" w:type="dxa"/>
            <w:vAlign w:val="center"/>
          </w:tcPr>
          <w:p>
            <w:pPr>
              <w:spacing w:line="360" w:lineRule="auto"/>
              <w:rPr>
                <w:rFonts w:ascii="宋体" w:hAnsi="宋体" w:cs="宋体"/>
                <w:szCs w:val="21"/>
              </w:rPr>
            </w:pPr>
            <w:r>
              <w:rPr>
                <w:rFonts w:hint="eastAsia" w:ascii="宋体" w:hAnsi="宋体" w:cs="宋体"/>
                <w:szCs w:val="21"/>
              </w:rPr>
              <w:t>（1）提供供应商202</w:t>
            </w:r>
            <w:r>
              <w:rPr>
                <w:rFonts w:ascii="宋体" w:hAnsi="宋体" w:cs="宋体"/>
                <w:szCs w:val="21"/>
              </w:rPr>
              <w:t>1</w:t>
            </w:r>
            <w:r>
              <w:rPr>
                <w:rFonts w:hint="eastAsia" w:ascii="宋体" w:hAnsi="宋体" w:cs="宋体"/>
                <w:szCs w:val="21"/>
              </w:rPr>
              <w:t>年1月1日至今任意一个月已缴纳的社会保障资金缴存单据或社保机构开具的社会保险参保缴费情况证明；</w:t>
            </w:r>
            <w:r>
              <w:rPr>
                <w:rFonts w:hint="eastAsia" w:ascii="宋体" w:hAnsi="宋体" w:cs="宋体"/>
                <w:szCs w:val="21"/>
                <w:lang w:val="zh-CN"/>
              </w:rPr>
              <w:t>投标截止时间前半年</w:t>
            </w:r>
            <w:r>
              <w:rPr>
                <w:rFonts w:hint="eastAsia" w:ascii="宋体" w:hAnsi="宋体" w:cs="宋体"/>
                <w:szCs w:val="21"/>
              </w:rPr>
              <w:t>内</w:t>
            </w:r>
            <w:r>
              <w:rPr>
                <w:rFonts w:hint="eastAsia" w:ascii="宋体" w:hAnsi="宋体" w:cs="宋体"/>
                <w:szCs w:val="21"/>
                <w:lang w:val="zh-CN"/>
              </w:rPr>
              <w:t>注册的公司</w:t>
            </w:r>
            <w:r>
              <w:rPr>
                <w:rFonts w:hint="eastAsia" w:ascii="宋体" w:hAnsi="宋体" w:cs="宋体"/>
                <w:szCs w:val="21"/>
              </w:rPr>
              <w:t>根据具体情况提供相关证明</w:t>
            </w:r>
            <w:r>
              <w:rPr>
                <w:rFonts w:hint="eastAsia" w:ascii="宋体" w:hAnsi="宋体" w:cs="宋体"/>
                <w:szCs w:val="21"/>
                <w:lang w:val="zh-CN"/>
              </w:rPr>
              <w:t>。</w:t>
            </w:r>
          </w:p>
          <w:p>
            <w:pPr>
              <w:spacing w:line="360" w:lineRule="auto"/>
              <w:rPr>
                <w:rFonts w:ascii="宋体" w:hAnsi="宋体" w:cs="宋体"/>
                <w:szCs w:val="21"/>
              </w:rPr>
            </w:pPr>
            <w:r>
              <w:rPr>
                <w:rFonts w:hint="eastAsia" w:ascii="宋体" w:hAnsi="宋体" w:cs="宋体"/>
                <w:szCs w:val="21"/>
              </w:rPr>
              <w:t>（2）依法不需要缴纳社会保障资金的供应商应提供相关文件证明；</w:t>
            </w:r>
          </w:p>
          <w:p>
            <w:pPr>
              <w:spacing w:line="360" w:lineRule="auto"/>
              <w:rPr>
                <w:rFonts w:ascii="宋体" w:hAnsi="宋体" w:cs="宋体"/>
                <w:szCs w:val="21"/>
              </w:rPr>
            </w:pPr>
            <w:r>
              <w:rPr>
                <w:rFonts w:hint="eastAsia" w:ascii="宋体" w:hAnsi="宋体" w:cs="宋体"/>
                <w:szCs w:val="21"/>
              </w:rPr>
              <w:t>（3）公益类事业单位无需提供；</w:t>
            </w:r>
          </w:p>
          <w:p>
            <w:pPr>
              <w:spacing w:line="276" w:lineRule="auto"/>
              <w:jc w:val="left"/>
              <w:rPr>
                <w:rFonts w:ascii="宋体" w:hAnsi="宋体" w:cs="宋体"/>
                <w:szCs w:val="21"/>
              </w:rPr>
            </w:pPr>
            <w:r>
              <w:rPr>
                <w:rFonts w:hint="eastAsia" w:ascii="宋体" w:hAnsi="宋体" w:cs="宋体"/>
                <w:szCs w:val="21"/>
              </w:rPr>
              <w:t>（4）新成立未发生缴纳社保资金事项的供应商，应提供缴纳社保资金的书面承诺；</w:t>
            </w:r>
          </w:p>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szCs w:val="21"/>
              </w:rPr>
              <w:t>（5）原件或复印件可直接装订，复印件加盖供应商单位章。</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5015" w:type="dxa"/>
            <w:vAlign w:val="center"/>
          </w:tcPr>
          <w:p>
            <w:pPr>
              <w:spacing w:line="276" w:lineRule="auto"/>
              <w:jc w:val="left"/>
              <w:rPr>
                <w:rFonts w:ascii="宋体" w:hAnsi="宋体" w:cs="宋体"/>
                <w:szCs w:val="21"/>
              </w:rPr>
            </w:pPr>
            <w:r>
              <w:rPr>
                <w:rFonts w:hint="eastAsia"/>
                <w:szCs w:val="21"/>
                <w:lang w:val="zh-CN"/>
              </w:rPr>
              <w:t>具备履行合同所必需的设备和专业技术能力的证明材料(由供应商根据项目需求提供说明材料或者承诺)；</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cs="宋体" w:asciiTheme="minorEastAsia" w:hAnsiTheme="minorEastAsia" w:eastAsiaTheme="minorEastAsia"/>
                <w:b/>
                <w:bCs/>
                <w:szCs w:val="21"/>
                <w:lang w:val="zh-CN"/>
              </w:rPr>
              <w:t>投标供应商声明书：</w:t>
            </w:r>
            <w:r>
              <w:rPr>
                <w:rFonts w:hint="eastAsia" w:cs="宋体" w:asciiTheme="minorEastAsia" w:hAnsiTheme="minorEastAsia" w:eastAsiaTheme="minorEastAsia"/>
                <w:szCs w:val="21"/>
                <w:lang w:val="zh-CN"/>
              </w:rPr>
              <w:t>投标供应商参加本次招标前3年内，在经营活动中没有重大违法记录的书面声明</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5015" w:type="dxa"/>
            <w:vAlign w:val="center"/>
          </w:tcPr>
          <w:p>
            <w:pPr>
              <w:spacing w:line="360" w:lineRule="auto"/>
              <w:jc w:val="left"/>
              <w:rPr>
                <w:szCs w:val="21"/>
              </w:rPr>
            </w:pPr>
            <w:r>
              <w:rPr>
                <w:rFonts w:hint="eastAsia"/>
                <w:szCs w:val="21"/>
                <w:lang w:val="zh-CN"/>
              </w:rPr>
              <w:t>投标供应商企业信用信息查询记录</w:t>
            </w:r>
            <w:r>
              <w:rPr>
                <w:rFonts w:hint="eastAsia"/>
                <w:szCs w:val="21"/>
              </w:rPr>
              <w:t>：</w:t>
            </w:r>
            <w:r>
              <w:rPr>
                <w:rFonts w:hint="eastAsia"/>
                <w:szCs w:val="21"/>
                <w:lang w:val="zh-CN"/>
              </w:rPr>
              <w:t>投投标供应商不得为</w:t>
            </w:r>
            <w:r>
              <w:rPr>
                <w:rFonts w:hint="eastAsia"/>
                <w:szCs w:val="21"/>
              </w:rPr>
              <w:t>“</w:t>
            </w:r>
            <w:r>
              <w:rPr>
                <w:rFonts w:hint="eastAsia"/>
                <w:szCs w:val="21"/>
                <w:lang w:val="zh-CN"/>
              </w:rPr>
              <w:t>信用中国</w:t>
            </w:r>
            <w:r>
              <w:rPr>
                <w:rFonts w:hint="eastAsia"/>
                <w:szCs w:val="21"/>
              </w:rPr>
              <w:t>”</w:t>
            </w:r>
            <w:r>
              <w:rPr>
                <w:rFonts w:hint="eastAsia"/>
                <w:szCs w:val="21"/>
                <w:lang w:val="zh-CN"/>
              </w:rPr>
              <w:t>网站</w:t>
            </w:r>
            <w:r>
              <w:rPr>
                <w:rFonts w:hint="eastAsia"/>
                <w:szCs w:val="21"/>
              </w:rPr>
              <w:t>（www.creditchina.gov.cn）</w:t>
            </w:r>
            <w:r>
              <w:rPr>
                <w:rFonts w:hint="eastAsia"/>
                <w:szCs w:val="21"/>
                <w:lang w:val="zh-CN"/>
              </w:rPr>
              <w:t>和中国政府采购网</w:t>
            </w:r>
            <w:r>
              <w:rPr>
                <w:rFonts w:hint="eastAsia"/>
                <w:szCs w:val="21"/>
              </w:rPr>
              <w:t>（www.ccgp.gov.cn）</w:t>
            </w:r>
            <w:r>
              <w:rPr>
                <w:rFonts w:hint="eastAsia"/>
                <w:szCs w:val="21"/>
                <w:lang w:val="zh-CN"/>
              </w:rPr>
              <w:t>被列入失信被执行人、重大税收违法案件当事人名单、政府采购严重违法失信行为记录名单。</w:t>
            </w:r>
          </w:p>
          <w:p>
            <w:pPr>
              <w:spacing w:line="276" w:lineRule="auto"/>
              <w:jc w:val="left"/>
              <w:rPr>
                <w:rFonts w:cs="宋体" w:asciiTheme="minorEastAsia" w:hAnsiTheme="minorEastAsia" w:eastAsiaTheme="minorEastAsia"/>
                <w:b/>
                <w:bCs/>
                <w:szCs w:val="21"/>
                <w:lang w:val="zh-CN"/>
              </w:rPr>
            </w:pPr>
            <w:r>
              <w:rPr>
                <w:rFonts w:hint="eastAsia"/>
                <w:szCs w:val="21"/>
              </w:rPr>
              <w:t>查询截止时间：投标截止时间一周内</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p>
        </w:tc>
        <w:tc>
          <w:tcPr>
            <w:tcW w:w="1696" w:type="dxa"/>
            <w:vAlign w:val="center"/>
          </w:tcPr>
          <w:p>
            <w:pPr>
              <w:spacing w:line="276" w:lineRule="auto"/>
              <w:jc w:val="center"/>
              <w:rPr>
                <w:rFonts w:cs="宋体" w:asciiTheme="minorEastAsia" w:hAnsiTheme="minorEastAsia" w:eastAsiaTheme="minorEastAsia"/>
                <w:szCs w:val="21"/>
              </w:rPr>
            </w:pPr>
            <w:r>
              <w:rPr>
                <w:rFonts w:hint="eastAsia" w:ascii="宋体" w:hAnsi="宋体" w:cs="宋体"/>
                <w:szCs w:val="21"/>
              </w:rPr>
              <w:t>评审现场网络审查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5015" w:type="dxa"/>
            <w:vAlign w:val="center"/>
          </w:tcPr>
          <w:p>
            <w:pPr>
              <w:spacing w:line="276" w:lineRule="auto"/>
              <w:jc w:val="left"/>
              <w:rPr>
                <w:rFonts w:cs="宋体" w:asciiTheme="minorEastAsia" w:hAnsiTheme="minorEastAsia" w:eastAsiaTheme="minorEastAsia"/>
                <w:szCs w:val="21"/>
                <w:lang w:val="zh-CN"/>
              </w:rPr>
            </w:pPr>
            <w:r>
              <w:rPr>
                <w:rFonts w:hint="eastAsia"/>
                <w:szCs w:val="21"/>
                <w:lang w:val="zh-CN"/>
              </w:rPr>
              <w:t>单位负责人为同一人或者存在控股、管理关系的不同单位不得同时参加同一</w:t>
            </w:r>
            <w:r>
              <w:rPr>
                <w:rFonts w:hint="eastAsia"/>
                <w:szCs w:val="21"/>
              </w:rPr>
              <w:t>项目</w:t>
            </w:r>
            <w:r>
              <w:rPr>
                <w:rFonts w:hint="eastAsia"/>
                <w:szCs w:val="21"/>
                <w:lang w:val="zh-CN"/>
              </w:rPr>
              <w:t>投标。</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合法有效，按招标文件格式提供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50"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5015" w:type="dxa"/>
            <w:vAlign w:val="center"/>
          </w:tcPr>
          <w:p>
            <w:pPr>
              <w:spacing w:line="276" w:lineRule="auto"/>
              <w:jc w:val="left"/>
              <w:rPr>
                <w:szCs w:val="21"/>
                <w:lang w:val="zh-CN"/>
              </w:rPr>
            </w:pPr>
            <w:r>
              <w:rPr>
                <w:rFonts w:hint="eastAsia"/>
                <w:color w:val="auto"/>
                <w:szCs w:val="21"/>
                <w:lang w:val="zh-CN"/>
              </w:rPr>
              <w:t>中小企业声明函</w:t>
            </w:r>
          </w:p>
        </w:tc>
        <w:tc>
          <w:tcPr>
            <w:tcW w:w="1701"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按招标文件格式提供</w:t>
            </w:r>
          </w:p>
        </w:tc>
        <w:tc>
          <w:tcPr>
            <w:tcW w:w="1696" w:type="dxa"/>
            <w:vAlign w:val="center"/>
          </w:tcPr>
          <w:p>
            <w:pPr>
              <w:spacing w:line="276"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加盖单位红色公章</w:t>
            </w:r>
          </w:p>
        </w:tc>
      </w:tr>
    </w:tbl>
    <w:p>
      <w:pPr>
        <w:tabs>
          <w:tab w:val="left" w:pos="7665"/>
        </w:tabs>
        <w:spacing w:line="360" w:lineRule="auto"/>
        <w:rPr>
          <w:rFonts w:cs="宋体" w:asciiTheme="minorEastAsia" w:hAnsiTheme="minorEastAsia" w:eastAsiaTheme="minorEastAsia"/>
          <w:sz w:val="24"/>
        </w:rPr>
      </w:pPr>
    </w:p>
    <w:bookmarkEnd w:id="121"/>
    <w:p>
      <w:pPr>
        <w:spacing w:after="120" w:afterLines="50" w:line="360" w:lineRule="auto"/>
        <w:outlineLvl w:val="1"/>
        <w:rPr>
          <w:rFonts w:cs="宋体" w:asciiTheme="minorEastAsia" w:hAnsiTheme="minorEastAsia" w:eastAsiaTheme="minorEastAsia"/>
          <w:b/>
          <w:bCs/>
          <w:sz w:val="36"/>
          <w:szCs w:val="36"/>
        </w:rPr>
      </w:pPr>
      <w:bookmarkStart w:id="129" w:name="_Toc20902_WPSOffice_Level2"/>
      <w:bookmarkStart w:id="130" w:name="_Toc14007"/>
      <w:bookmarkStart w:id="131" w:name="_Toc11131"/>
      <w:bookmarkStart w:id="132" w:name="_Toc26362"/>
      <w:bookmarkStart w:id="133" w:name="_Toc22863"/>
      <w:bookmarkStart w:id="134" w:name="_Toc11771"/>
      <w:r>
        <w:rPr>
          <w:rFonts w:hint="eastAsia" w:cs="宋体" w:asciiTheme="minorEastAsia" w:hAnsiTheme="minorEastAsia" w:eastAsiaTheme="minorEastAsia"/>
          <w:b/>
          <w:bCs/>
          <w:sz w:val="36"/>
          <w:szCs w:val="36"/>
        </w:rPr>
        <w:t>8. 评标</w:t>
      </w:r>
      <w:bookmarkEnd w:id="129"/>
      <w:bookmarkEnd w:id="130"/>
      <w:bookmarkEnd w:id="131"/>
      <w:bookmarkEnd w:id="132"/>
      <w:bookmarkEnd w:id="133"/>
      <w:bookmarkEnd w:id="134"/>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8.1 评标委员会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8.1.1 评标委员会成员由采购人及有关技术、经济等方面的专家组成，其中技术、经济类专家人数不少于总人数的2/3。评审专家人选在省级财政部门设立的政府采购评审专家库中随机抽取。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8.1.2 评标委员会成员到位后，推荐一名评审专家担任评标组长，并由评标组长牵头组织该项目评标工作，采购人代表，不得担任评标组长。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8.1.3 评委会成员有下列情形之一的，应当回避：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（1）采购人或投标供应商主要负责人的近亲属；</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（2）项目主管部门或者行政监督部门的人员；</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（3）与投标供应商有经济利益关系，可能影响对投标公正评审的；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（4）曾因在招标、评标以及其他与招标投标有关活动中从事违法行为而受过行政处罚或刑事处罚的。</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rPr>
        <w:t>8.1.4 评标过程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w:t>
      </w:r>
      <w:r>
        <w:rPr>
          <w:rFonts w:hint="eastAsia" w:cs="宋体" w:asciiTheme="minorEastAsia" w:hAnsiTheme="minorEastAsia" w:eastAsiaTheme="minorEastAsia"/>
          <w:sz w:val="24"/>
          <w:lang w:val="zh-CN"/>
        </w:rPr>
        <w:t>采购代理机构</w:t>
      </w:r>
      <w:r>
        <w:rPr>
          <w:rFonts w:hint="eastAsia" w:cs="宋体" w:asciiTheme="minorEastAsia" w:hAnsiTheme="minorEastAsia" w:eastAsiaTheme="minorEastAsia"/>
          <w:sz w:val="24"/>
        </w:rPr>
        <w:t>应当将变更、重新组建评标委员会的情况予以记录，并随采购文件一并存档。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8.1.5 评委会成员名单在中标结果公告前，应当保密。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8.1.6  评标委员会及其成员不得有下列行为：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（1）确定参与评标至评标结束前私自接触投标供应商；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（2）接受投标供应商提出的与投标文件不一致的澄清或者说明；</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（3）违反评标纪律发表倾向性意见或者征询采购人的倾向性意见；</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（4）对需要专业判断的主观评审因素协商评分；</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（5）在评标过程中擅离职守，影响评标程序正常进行的；</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（6）记录、复制或者带走任何评标资料；</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（7）其他不遵守评标纪律的行为。</w:t>
      </w:r>
    </w:p>
    <w:p>
      <w:pPr>
        <w:tabs>
          <w:tab w:val="left" w:pos="7665"/>
        </w:tabs>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评标委员会成员有前款第一至五项行为之一的，其评审意见无效，并不得获取评审劳务报酬和报销异地评审差旅费。</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8.2 评标原则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8.2.1“客观、公正、审慎”为本次评标的基本原则，评标委员会按照这一原则的要求，公正、平等地对待各投标供应商。同时，在评审中恪守以下原则：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（1）统一性原则：评标委员会将按照统一的评标原则和评审方法，用统一标准进行评审。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独立性原则：评标工作在评标委员会内部独立进行，不受外界任何因素的干扰和影响。评标委员会成员对其出具的意见承担个人责任。投标供应商试图影响或干预评审的任何行为，将导致其丧失投标的资格，并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（3）客观性原则：评标委员会将严格按照招标文件要求，对投标供应商的投标文件进行认真评审；评标委员会对投标文件的评审仅依据投标文件本身，而不依据投标文件以外的任何因素。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（4）保密性原则：采购代理机构应当采取必要的措施，保证评标在严格保密情况下进行。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（6）综合性原则：评标委员会将综合分析、评审投标供应商的各项指标，而不以单项指标的优劣评定出中标供应商。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8.2.2 评标委员会有权对整个招标过程中出现的一切问题，根据《中华人民共和国政府采购法》及实施条例和《政府采购货物和服务招标投标管理办法》等相关规定进行处理。</w:t>
      </w:r>
    </w:p>
    <w:p>
      <w:pPr>
        <w:spacing w:line="360" w:lineRule="auto"/>
        <w:rPr>
          <w:rFonts w:cs="宋体" w:asciiTheme="minorEastAsia" w:hAnsiTheme="minorEastAsia" w:eastAsiaTheme="minorEastAsia"/>
          <w:b/>
          <w:sz w:val="30"/>
          <w:szCs w:val="30"/>
        </w:rPr>
      </w:pPr>
      <w:bookmarkStart w:id="135" w:name="_Toc217446060"/>
      <w:r>
        <w:rPr>
          <w:rFonts w:hint="eastAsia" w:cs="宋体" w:asciiTheme="minorEastAsia" w:hAnsiTheme="minorEastAsia" w:eastAsiaTheme="minorEastAsia"/>
          <w:b/>
          <w:sz w:val="30"/>
          <w:szCs w:val="30"/>
        </w:rPr>
        <w:t>8.3 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8.3.1 评标委员会按照招标文件第三章“评标办法”规定的方法、评审因素、标准和程序对投标文件进行评审。第三章“评标办法”没有规定的方法、评审因素和标准，不作为评标依据。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8.3.2 评标委员会负责具体评标事务，并独立履行下列职责：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（1）审查、评价投标文件是否符合招标文件的商务技术、服务等实质性要求；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（2）要求投标供应商对投标文件有关事项作出澄清或者说明；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（3）对投标文件进行比较和评价；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（4）确定中标候选人名单，以及根据采购人委托直接确定中标供应商；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（5）向采购人、采购代理机构或者有关部门报告评标中发现的违法行为。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8.3.3评标委员会成员应当履行下列义务：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（1）遵纪守法，客观、公正、廉洁地履行职责；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（2）根据采购文件的规定独立进行评审，对个人的评审意见承担法律责任；</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（3）参与评标报告的起草；</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（4）配合采购人、采购代理机构答复投标供应商提出的质疑；</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（5）配合财政部门的投诉处理和监督检查工作。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8.3.4 采购代理机构负责组织评标工作并履行下列职责：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（2）宣布评标纪律</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（3）公布投标供应商名单，告知评标专家应当回避的情形；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（4）组织评标委员会推选评标组长，采购人代表不得担任组长；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（5）在评标期间采取必要的通讯管理措施，保证评标活动不受外界干扰；</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（6）根据评标委员会的要求介绍政府采购相关政策法规、招标文件；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（7）维护评标秩序，监督评标委员会依照评标文件规定的评审程序、方法和标准进行独立评审，及时制止和纠正采购人代表、评审专家的倾向性言论或违法违规行为；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（8）核对评标结果，有《政府采购货物和服务招标投标管理办法》第六十四条规定情形的，要求评标委员会复核或书面说明理由，评标委员会拒绝的，应予记录并向本级财政部门报告；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（9）评审工作完成后，按照规定向评审专家支付劳务报酬和异地评审差旅费，不得向评审专家以外的其他人员支付评审劳务报酬；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（10）处理与评标有关的其他事项。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8.3.5 采购人可以在评标前介绍项目背景和采购需求，介绍内容不得含有歧视性、倾向性意见，不得超出招标文件所述范围。介绍应当提交书面介绍材料，并随采购文件一并存档。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 评标过程严格保密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8.3.6.1 采购人、采购代理机构应当采取必要措施，保证评标在严格保密的情况下进行。除采购人代表、评标现场组织人员外，采购人的其他工作人员以及与评标工作无关的人员不得进入评标现场。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8.3.6.2 有关人员对评标情况以及在评标过程中获悉的国家秘密、商业秘密负有保密责任。开标后，直至授予中标供应商合同为止，凡属于对投标文件的审查、澄清、评价和比较的有关资料以及中标候选人的推荐情况，与评标有关的其他任何情况均严格保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8.3.7 投标供应商对评标委员会的评标过程或合同授予决定施加影响的任何行为都可能导致其投标被拒绝。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8.3.8 评标完成后，评标委员会应当向采购人提交书面评标报告，并由采购代理机构转送。</w:t>
      </w:r>
    </w:p>
    <w:bookmarkEnd w:id="135"/>
    <w:p>
      <w:pPr>
        <w:spacing w:after="120" w:afterLines="50" w:line="360" w:lineRule="auto"/>
        <w:outlineLvl w:val="1"/>
        <w:rPr>
          <w:rFonts w:cs="宋体" w:asciiTheme="minorEastAsia" w:hAnsiTheme="minorEastAsia" w:eastAsiaTheme="minorEastAsia"/>
          <w:b/>
          <w:bCs/>
          <w:sz w:val="36"/>
          <w:szCs w:val="36"/>
        </w:rPr>
      </w:pPr>
      <w:bookmarkStart w:id="136" w:name="_Toc27714"/>
      <w:bookmarkStart w:id="137" w:name="_Toc23981_WPSOffice_Level2"/>
      <w:bookmarkStart w:id="138" w:name="_Toc5378"/>
      <w:bookmarkStart w:id="139" w:name="_Toc4147"/>
      <w:bookmarkStart w:id="140" w:name="_Toc9424"/>
      <w:r>
        <w:rPr>
          <w:rFonts w:hint="eastAsia" w:cs="宋体" w:asciiTheme="minorEastAsia" w:hAnsiTheme="minorEastAsia" w:eastAsiaTheme="minorEastAsia"/>
          <w:b/>
          <w:bCs/>
          <w:sz w:val="36"/>
          <w:szCs w:val="36"/>
        </w:rPr>
        <w:t>9. 定标</w:t>
      </w:r>
      <w:bookmarkEnd w:id="136"/>
      <w:bookmarkEnd w:id="137"/>
      <w:bookmarkEnd w:id="138"/>
      <w:bookmarkEnd w:id="139"/>
      <w:bookmarkEnd w:id="140"/>
      <w:bookmarkStart w:id="141" w:name="_Toc21744606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9.1 定标原则</w:t>
      </w:r>
      <w:bookmarkEnd w:id="141"/>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采购人根据其授权的评标委员会出具的评标报告，按顺序确定中标供应商。</w:t>
      </w:r>
      <w:bookmarkStart w:id="142" w:name="_Toc21744606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9.2 定标程序</w:t>
      </w:r>
      <w:bookmarkEnd w:id="14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9.2.1评标委员会将评标情况写出书面报告，推荐3个中标候选人，并按照综合得分高低标明排列顺序。得分相同的，按投标报价由低到高顺序排列；得分且投标报价相同的并列。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9.2.2 采购代理机构在评标结束后2个工作日内将评标报告送采购人。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9.2.3 采购人应当在收到评标报告后5个工作日内，按照评标报告中推荐的中标候选人顺序和有关规定确定中标供应商，第一名中标候选人并列的，由采购人根据技术方案得分由高到低顺序确定。同时，复函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采购人在收到评标报告5个工作日内未按评标报告推荐的中标候选人顺序确定中标供应商，又不能说明合法理由的，视同按评标报告推荐的顺序确定排名第一的中标候选人为中标供应商。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9.2.4 采购代理机构应当在接到采购人“定标”复函之日起2个工作日内，根据采购人确定的中标供应商，在省级以上财政部门指定的媒体上发布中标公告，同时向中标供应商发出《中标通知书》。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9.2.5 采购代理机构，应当对未通过资格审查或未通过符合性审查的投标供应商，现场告知其未通过的原因；采用综合评分法评审的，还应当告知未中标供应商本身的评审得分与排序。</w:t>
      </w:r>
    </w:p>
    <w:p>
      <w:pPr>
        <w:spacing w:line="360" w:lineRule="auto"/>
        <w:rPr>
          <w:rFonts w:cs="宋体" w:asciiTheme="minorEastAsia" w:hAnsiTheme="minorEastAsia" w:eastAsiaTheme="minorEastAsia"/>
          <w:b/>
          <w:sz w:val="30"/>
          <w:szCs w:val="30"/>
        </w:rPr>
      </w:pPr>
      <w:bookmarkStart w:id="143" w:name="_Toc183582238"/>
      <w:bookmarkStart w:id="144" w:name="_Toc183682375"/>
      <w:bookmarkStart w:id="145" w:name="_Toc217446063"/>
      <w:r>
        <w:rPr>
          <w:rFonts w:hint="eastAsia" w:cs="宋体" w:asciiTheme="minorEastAsia" w:hAnsiTheme="minorEastAsia" w:eastAsiaTheme="minorEastAsia"/>
          <w:b/>
          <w:sz w:val="30"/>
          <w:szCs w:val="30"/>
        </w:rPr>
        <w:t>9.3 中标通知</w:t>
      </w:r>
      <w:bookmarkEnd w:id="143"/>
      <w:bookmarkEnd w:id="144"/>
      <w:r>
        <w:rPr>
          <w:rFonts w:hint="eastAsia" w:cs="宋体" w:asciiTheme="minorEastAsia" w:hAnsiTheme="minorEastAsia" w:eastAsiaTheme="minorEastAsia"/>
          <w:b/>
          <w:sz w:val="30"/>
          <w:szCs w:val="30"/>
        </w:rPr>
        <w:t>书</w:t>
      </w:r>
      <w:bookmarkEnd w:id="14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9.3.1 中标通知书为签订政府采购合同的依据之一，是合同的有效组成部分。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9.3.2 中标通知书对采购人和中标供应商均具有法律效力。中标通知书发出后，采购人改变中标结果，或者中标供应商无正当理由放弃中标的，应当承担相应的法律责任。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9.3.3 中标供应商应当在接到采购代理机构通知之日起2个工作日内领取《中标通知书》。</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9.3.4 在《中标通知书》发出后，发现中标供应商有政府采购法律法规规章制度规定的中标无效情形的，采购代理机构应当宣布发出的中标通知书无效，并收回发出的中标通知书（中标供应商也应当交回），依法重新确定中标供应商或者重新开展采购活动，同时向同级财政部门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9.3.5 中标通知书发出后，采购人不得违法改变中标结果，中标供应商无正当理由不得放弃中标。</w:t>
      </w:r>
    </w:p>
    <w:p>
      <w:pPr>
        <w:spacing w:after="120" w:afterLines="50" w:line="360" w:lineRule="auto"/>
        <w:outlineLvl w:val="1"/>
        <w:rPr>
          <w:rFonts w:cs="宋体" w:asciiTheme="minorEastAsia" w:hAnsiTheme="minorEastAsia" w:eastAsiaTheme="minorEastAsia"/>
          <w:b/>
          <w:bCs/>
          <w:sz w:val="36"/>
          <w:szCs w:val="36"/>
        </w:rPr>
      </w:pPr>
      <w:bookmarkStart w:id="146" w:name="_Toc14076"/>
      <w:bookmarkStart w:id="147" w:name="_Toc28673"/>
      <w:bookmarkStart w:id="148" w:name="_Toc5460"/>
      <w:bookmarkStart w:id="149" w:name="_Toc31615_WPSOffice_Level2"/>
      <w:bookmarkStart w:id="150" w:name="_Toc6950"/>
      <w:bookmarkStart w:id="151" w:name="_Toc14210"/>
      <w:r>
        <w:rPr>
          <w:rFonts w:hint="eastAsia" w:cs="宋体" w:asciiTheme="minorEastAsia" w:hAnsiTheme="minorEastAsia" w:eastAsiaTheme="minorEastAsia"/>
          <w:b/>
          <w:bCs/>
          <w:sz w:val="36"/>
          <w:szCs w:val="36"/>
        </w:rPr>
        <w:t>10. 合同授予</w:t>
      </w:r>
      <w:bookmarkEnd w:id="146"/>
      <w:bookmarkEnd w:id="147"/>
      <w:bookmarkEnd w:id="148"/>
      <w:bookmarkEnd w:id="149"/>
      <w:bookmarkEnd w:id="150"/>
      <w:bookmarkEnd w:id="15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10.1 签订合同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10.1.1 中标供应商应在《中标通知书》发出之日起30日内与采购人签订采购合同。中标供应商无正当理由拒签合同，或者在签订合同时向采购人提出附件条件，采购人有权取消其中标资格，其投标保证金不予退还，给采购人造成的损失超过投标保证金数额的，中标供应商应当对超过部分予以赔偿。</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10.1.2 发出中标通知书后，采购人不得向中标供应商提出任何不合理要求，作为签订合的条件，不得与中标供应商私下订立背离合同实质性内容的任何协议，所签订的合同不得对招标文件确定的事项和中标供应商投标文件做实质性修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10.1.3中标供应商因不可抗力原因不能履行采购合同或放弃中标的，采购人可以与排在中标供应商之后第一位的中标候选人签订采购合同，以此类推。</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b/>
          <w:sz w:val="30"/>
          <w:szCs w:val="30"/>
        </w:rPr>
        <w:t>10.2 合同履行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10.2.1 政府采购合同订立后，采购人应当自政府采购合同签订之日起2个工作日内，将政府采购合同在省级以上人民政府财政部门指定的媒体上公告，但政府采购合同中涉及国家秘密、商业秘密的内容除外。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10.2.2 政府采购合同履行中，采购人需追加与合同标的相同的货物的，在不改变合同其他条款的前提下，可以与中标供应商签订补充合同，但所补充合同的采购金额不得超过原合同采购金额的10%。签订补充合同的应按规定备案。</w:t>
      </w:r>
    </w:p>
    <w:p>
      <w:pPr>
        <w:spacing w:after="120" w:afterLines="50" w:line="360" w:lineRule="auto"/>
        <w:outlineLvl w:val="1"/>
        <w:rPr>
          <w:rFonts w:cs="宋体" w:asciiTheme="minorEastAsia" w:hAnsiTheme="minorEastAsia" w:eastAsiaTheme="minorEastAsia"/>
          <w:b/>
          <w:bCs/>
          <w:sz w:val="36"/>
          <w:szCs w:val="36"/>
        </w:rPr>
      </w:pPr>
      <w:bookmarkStart w:id="152" w:name="_Toc12030"/>
      <w:bookmarkStart w:id="153" w:name="_Toc4810"/>
      <w:bookmarkStart w:id="154" w:name="_Toc25573"/>
      <w:bookmarkStart w:id="155" w:name="_Toc14868"/>
      <w:bookmarkStart w:id="156" w:name="_Toc24558"/>
      <w:bookmarkStart w:id="157" w:name="_Toc4361_WPSOffice_Level2"/>
      <w:bookmarkStart w:id="158" w:name="_Toc217446081"/>
      <w:r>
        <w:rPr>
          <w:rFonts w:hint="eastAsia" w:cs="宋体" w:asciiTheme="minorEastAsia" w:hAnsiTheme="minorEastAsia" w:eastAsiaTheme="minorEastAsia"/>
          <w:b/>
          <w:bCs/>
          <w:sz w:val="36"/>
          <w:szCs w:val="36"/>
        </w:rPr>
        <w:t>11. 废标或变更采购方式</w:t>
      </w:r>
      <w:bookmarkEnd w:id="152"/>
      <w:bookmarkEnd w:id="153"/>
      <w:bookmarkEnd w:id="154"/>
      <w:bookmarkEnd w:id="155"/>
      <w:bookmarkEnd w:id="156"/>
      <w:bookmarkEnd w:id="157"/>
      <w:bookmarkStart w:id="159" w:name="_Toc217446072"/>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11.1废标的情形</w:t>
      </w:r>
      <w:bookmarkEnd w:id="159"/>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11.1.1 招标采购中，出现下列情形之一的，应予以废标：</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（1）符合专业条件的投标供应商或者对招标文件作实质响应的投标供应商不足3家的；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（2）出现影响采购公正的违法、违规行为的；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（3）投标供应商的报价均超过了采购预算或最高限价，采购人不能支付的；</w:t>
      </w:r>
    </w:p>
    <w:p>
      <w:pPr>
        <w:tabs>
          <w:tab w:val="left" w:pos="7665"/>
        </w:tabs>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（4）因重大变故，采购任务取消的。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 废标后，采购代理机构应在财政部门指定采购网上公告，并公告废标的详细理由。</w:t>
      </w:r>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11.2 变更采购方式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11.2.1 存在下列情形之一的，除采购任务取消情形外，采购人经同级财政部门同意后，可以按《政府采购货物和服务招标投标管理办法》（财政部87号令）第四十三条规定的方式处理：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（1）投标截止后参加投标的人不足3家的；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（2）通过资格审查的投标供应商不足3家的；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（3）通过符合性审查的投标供应商不足3家的。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 通过符合性审查的投标供应商只有2家时，采购人经同级财政部门同意后，可以按《政府采购非招标采购方式管理办法》（财政部第74号令）的规定与该2家投标供应商进行竞争性谈判采购。</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11.2.2.1如果转为竞争性谈判方式，则原招标文件转为竞争性谈判文件，原投标供应商即为参与谈判的供应商，原投标文件报价作为竞争性谈判的第一次报价，评审方法按照竞争性谈判的评审原则，在质量和服务均能满足采购文件实质性要求的基础上，按照最后报价由低到高的顺序，确定成交候选人。</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0" w:name="_Toc19376"/>
      <w:bookmarkStart w:id="161" w:name="_Toc19418"/>
      <w:bookmarkStart w:id="162" w:name="_Toc9564_WPSOffice_Level2"/>
      <w:bookmarkStart w:id="163" w:name="_Toc1554"/>
      <w:bookmarkStart w:id="164" w:name="_Toc7339"/>
      <w:bookmarkStart w:id="165" w:name="_Toc4921"/>
      <w:r>
        <w:rPr>
          <w:rFonts w:hint="eastAsia" w:cs="宋体" w:asciiTheme="minorEastAsia" w:hAnsiTheme="minorEastAsia" w:eastAsiaTheme="minorEastAsia"/>
          <w:b/>
          <w:bCs/>
          <w:sz w:val="36"/>
          <w:szCs w:val="36"/>
        </w:rPr>
        <w:t>招标代理服务费</w:t>
      </w:r>
      <w:bookmarkEnd w:id="160"/>
      <w:bookmarkEnd w:id="161"/>
      <w:bookmarkEnd w:id="162"/>
      <w:bookmarkEnd w:id="163"/>
      <w:bookmarkEnd w:id="164"/>
      <w:bookmarkEnd w:id="16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参照国家计委颁发的《招标代理服务收费管理暂行办法》（计价格[2002]1980号）、国家发展改革委员会办公厅颁发的《关于招标代理服务收费有关问题的通知》（发改办价格[2003]857号）文件规定及国家发展改革委《关于降低部分建设项目收费标准规范收费行为等有关问题的通知》[2011]534号文件规定按照</w:t>
      </w:r>
      <w:r>
        <w:rPr>
          <w:rFonts w:hint="eastAsia" w:cs="宋体" w:asciiTheme="minorEastAsia" w:hAnsiTheme="minorEastAsia" w:eastAsiaTheme="minorEastAsia"/>
          <w:b/>
          <w:bCs/>
          <w:sz w:val="24"/>
        </w:rPr>
        <w:t>货物类</w:t>
      </w:r>
      <w:r>
        <w:rPr>
          <w:rFonts w:hint="eastAsia" w:cs="宋体" w:asciiTheme="minorEastAsia" w:hAnsiTheme="minorEastAsia" w:eastAsiaTheme="minorEastAsia"/>
          <w:sz w:val="24"/>
        </w:rPr>
        <w:t>收取。</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支付代理费的币种：人民币  汇率： 无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代理费的支付方式：中标人直接支付给受托人。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代理费的支付时间：《中标通知书》发出前。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 代理服务费的交纳方式：在领取成交通知书时按12.1的规定，向采购代理机构直接交纳服务费，采用转账等非现金方式一次性交纳。</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12.3接收代理服务费账户名称：陕西源丰成工程项目管理有限公司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开户银行：交通银行唐延路支行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号：6113 0107 2013 0000 59267</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转账事由：（项目全称或简称）代理服务费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咨询电话：029-88229046</w:t>
      </w:r>
    </w:p>
    <w:p>
      <w:pPr>
        <w:numPr>
          <w:ilvl w:val="0"/>
          <w:numId w:val="7"/>
        </w:numPr>
        <w:spacing w:after="120" w:afterLines="50" w:line="360" w:lineRule="auto"/>
        <w:outlineLvl w:val="1"/>
        <w:rPr>
          <w:rFonts w:cs="宋体" w:asciiTheme="minorEastAsia" w:hAnsiTheme="minorEastAsia" w:eastAsiaTheme="minorEastAsia"/>
          <w:b/>
          <w:bCs/>
          <w:sz w:val="36"/>
          <w:szCs w:val="36"/>
        </w:rPr>
      </w:pPr>
      <w:bookmarkStart w:id="166" w:name="_Toc31867"/>
      <w:bookmarkStart w:id="167" w:name="_Toc21870"/>
      <w:bookmarkStart w:id="168" w:name="_Toc10035"/>
      <w:bookmarkStart w:id="169" w:name="_Toc3437"/>
      <w:bookmarkStart w:id="170" w:name="_Toc29808"/>
      <w:bookmarkStart w:id="171" w:name="_Toc17345_WPSOffice_Level2"/>
      <w:r>
        <w:rPr>
          <w:rFonts w:hint="eastAsia" w:cs="宋体" w:asciiTheme="minorEastAsia" w:hAnsiTheme="minorEastAsia" w:eastAsiaTheme="minorEastAsia"/>
          <w:b/>
          <w:bCs/>
          <w:sz w:val="36"/>
          <w:szCs w:val="36"/>
        </w:rPr>
        <w:t>质疑与投诉</w:t>
      </w:r>
      <w:bookmarkEnd w:id="166"/>
      <w:bookmarkEnd w:id="167"/>
      <w:bookmarkEnd w:id="168"/>
      <w:bookmarkEnd w:id="169"/>
      <w:bookmarkEnd w:id="170"/>
      <w:bookmarkEnd w:id="171"/>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13.1质疑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13.1.1 响应供应商提出质疑应符合中华人民共和国财政部令第94号《政府采购质疑和投诉办法》的规定：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13.1.2提出质疑的响应供应商应当是参与所质疑项目采购活动的响应供应商。</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13.1.3响应供应商认为采购文件、采购过程、中标或者成交结果使自己的权益受到损害的，可以在知道或者应知其权益受到损害之日起7个工作日内，以书面形式向采购人、采购代理机构提出质疑，响应供应商应在法定质疑期内</w:t>
      </w:r>
      <w:r>
        <w:rPr>
          <w:rFonts w:hint="eastAsia" w:cs="宋体" w:asciiTheme="minorEastAsia" w:hAnsiTheme="minorEastAsia" w:eastAsiaTheme="minorEastAsia"/>
          <w:sz w:val="24"/>
          <w:u w:val="single"/>
        </w:rPr>
        <w:t>一次性提出针对同一采购程序环节的质疑。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响应供应商应知其权益受到损害之日，是指：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（1）对可以质疑的采购文件提出质疑的，为收到采购文件之日或者采购文件公告期限届满之日；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（2）对采购过程提出质疑的，为各采购程序环节结束之日；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（3）对中标或者成交结果提出质疑的，为中标或者成交结果公告期限届满之日。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13.1.4响应供应商提出质疑应当提交质疑函和必要的证明材料。质疑函应当包括：</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响应供应商的姓名或者名称、地址、邮编、联系人及联系电话；</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质疑项目的名称、编号；</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具体、明确的质疑事项和与质疑事项相关的请求；</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事实依据；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必要的法律依据；</w:t>
      </w:r>
    </w:p>
    <w:p>
      <w:pPr>
        <w:numPr>
          <w:ilvl w:val="0"/>
          <w:numId w:val="8"/>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提出质疑的日期。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质疑函应采用财政部颁布的《政府采购响应供应商质疑函范本》。</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响应供应商为自然人的，应当由本人签字；响应供应商为法人或者其他组织的，应当由法定代表人、主要负责人，或者其授权代表签字或者盖章，并加盖公章。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或者盖章，并加盖公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13.1.6有下列情形之一的，属于无效质疑，采购代理机构和采购人不予受理：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质疑响应供应商不是参与所质疑项目采购活动的响应供应商；</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未在法定质疑期内发出质疑的；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质疑未以书面形式提出；</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质疑函没有合法有效的签字、盖章或授权的；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以非法手段取得证据、材料的；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质疑答复后，同一质疑人就同一事项再次提出质疑的；</w:t>
      </w:r>
    </w:p>
    <w:p>
      <w:pPr>
        <w:numPr>
          <w:ilvl w:val="0"/>
          <w:numId w:val="9"/>
        </w:num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不符合法律、法规、规章和政府采购监管机构规定的其他条件的。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13.1.5质疑答复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采购人、采购代理机构在收到质疑函后七个工作日内做出答复。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13.1.7质疑接收方式：响应供应商以书面形式将质疑函原件和必要的证明材料送至接收部门，法定代表人、主要负责人、自然人提交质疑函须提交其身份证复印件，代理人提交质疑函须提交授权委托书及授权人和被授权人身份证复印件。</w:t>
      </w:r>
    </w:p>
    <w:p>
      <w:pPr>
        <w:pStyle w:val="20"/>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13.1.8接收部门：陕西源丰成工程项目管理有限公司</w:t>
      </w:r>
    </w:p>
    <w:p>
      <w:pPr>
        <w:spacing w:line="360" w:lineRule="auto"/>
        <w:rPr>
          <w:rFonts w:cs="宋体" w:asciiTheme="minorEastAsia" w:hAnsiTheme="minorEastAsia" w:eastAsiaTheme="minorEastAsia"/>
          <w:b/>
          <w:bCs/>
          <w:sz w:val="36"/>
          <w:szCs w:val="36"/>
        </w:rPr>
      </w:pPr>
      <w:r>
        <w:rPr>
          <w:rFonts w:hint="eastAsia" w:cs="宋体" w:asciiTheme="minorEastAsia" w:hAnsiTheme="minorEastAsia" w:eastAsiaTheme="minorEastAsia"/>
          <w:b/>
          <w:sz w:val="30"/>
          <w:szCs w:val="30"/>
        </w:rPr>
        <w:t>13.2 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13.2.1 质疑人对采购代理机构或采购人的答复不满意，或者采购人、采购代理机构未在规定时间内作出答复的，可以在答复期满后15个工作日内投诉。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13.2.2 投诉人投诉时,应当提交投诉书和必要的证明材料，并按照被投诉采购人、采购代理机构（以下简称被投诉人）和与投诉事项有关的投标供应商数量提供投诉书的副本。投诉书应当包括下列内容：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（1）投诉人和被投诉人的姓名或者名称、通讯地址、邮编、联系人及联系电话；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（2）质疑和质疑答复情况说明及相关证明材料；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（3）具体、明确的投诉事项和与投诉事项相关的投诉请求；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（4）事实依据；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（5）法律依据；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（6）提起投诉的日期。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投诉人为自然人的，应当由本人签字；投诉人为法人或者其他组织的，应当由法定代表人、主要负责人，或者其授权代表签字或者盖章，并加盖单位章。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13.2.3 投诉书范本格式在中国政府采购网站（http://www.ccgp.gov.cn/）自行下载。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13.2.4 投诉人提起投诉应当符合下列条件：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（1）提起投诉前已依法进行质疑；</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（2）投诉书内容符合财政部94号令的规定；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（3）在投诉有效期限内提起投诉；</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（4）同一投诉事项未经财政部门投诉处理；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（5）财政部规定的其他条件。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13.2.5  投诉人投诉的事项不得超出已质疑事项的范围，但基于质疑答复内容提出的投诉事项除外。</w:t>
      </w:r>
    </w:p>
    <w:p>
      <w:pPr>
        <w:spacing w:after="120" w:afterLines="50" w:line="360" w:lineRule="auto"/>
        <w:outlineLvl w:val="1"/>
        <w:rPr>
          <w:rFonts w:cs="宋体" w:asciiTheme="minorEastAsia" w:hAnsiTheme="minorEastAsia" w:eastAsiaTheme="minorEastAsia"/>
          <w:b/>
          <w:bCs/>
          <w:sz w:val="36"/>
          <w:szCs w:val="36"/>
        </w:rPr>
      </w:pPr>
      <w:bookmarkStart w:id="172" w:name="_Toc5420"/>
      <w:bookmarkStart w:id="173" w:name="_Toc20322"/>
      <w:bookmarkStart w:id="174" w:name="_Toc24421"/>
      <w:bookmarkStart w:id="175" w:name="_Toc28454"/>
      <w:bookmarkStart w:id="176" w:name="_Toc32384"/>
      <w:bookmarkStart w:id="177" w:name="_Toc2023_WPSOffice_Level2"/>
      <w:r>
        <w:rPr>
          <w:rFonts w:hint="eastAsia" w:cs="宋体" w:asciiTheme="minorEastAsia" w:hAnsiTheme="minorEastAsia" w:eastAsiaTheme="minorEastAsia"/>
          <w:b/>
          <w:bCs/>
          <w:sz w:val="36"/>
          <w:szCs w:val="36"/>
        </w:rPr>
        <w:t>14. 其他</w:t>
      </w:r>
      <w:bookmarkEnd w:id="172"/>
      <w:bookmarkEnd w:id="173"/>
      <w:bookmarkEnd w:id="174"/>
      <w:bookmarkEnd w:id="175"/>
      <w:bookmarkEnd w:id="176"/>
      <w:bookmarkEnd w:id="177"/>
    </w:p>
    <w:p>
      <w:pPr>
        <w:spacing w:line="360" w:lineRule="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14.1融资担保</w:t>
      </w:r>
    </w:p>
    <w:p>
      <w:pPr>
        <w:tabs>
          <w:tab w:val="left" w:pos="7665"/>
        </w:tabs>
        <w:spacing w:line="360" w:lineRule="auto"/>
        <w:ind w:firstLine="480" w:firstLineChars="200"/>
        <w:rPr>
          <w:rFonts w:cs="宋体" w:asciiTheme="minorEastAsia" w:hAnsiTheme="minorEastAsia" w:eastAsiaTheme="minorEastAsia"/>
          <w:sz w:val="24"/>
        </w:rPr>
      </w:pPr>
      <w:bookmarkStart w:id="178" w:name="_Toc2336_WPSOffice_Level1"/>
      <w:r>
        <w:rPr>
          <w:rFonts w:hint="eastAsia" w:cs="宋体" w:asciiTheme="minorEastAsia" w:hAnsiTheme="minorEastAsia" w:eastAsiaTheme="minorEastAsia"/>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陕西省政府采购支持中小企业信用融资合作部分银行名单如下（投标供应商可登陆“陕西省政府采购网”查询不同批次中小企业信用融资合作银行名单）：</w:t>
      </w:r>
    </w:p>
    <w:tbl>
      <w:tblPr>
        <w:tblStyle w:val="29"/>
        <w:tblW w:w="92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427"/>
        <w:gridCol w:w="1647"/>
        <w:gridCol w:w="3682"/>
        <w:gridCol w:w="1530"/>
        <w:gridCol w:w="19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序号</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银行名称</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授信额度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贷款期限</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贷款利率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上海浦东发展银行股份有限公司西安分行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融资申请人为公司的额度不低于300万元；</w:t>
            </w:r>
          </w:p>
          <w:p>
            <w:pPr>
              <w:jc w:val="left"/>
              <w:rPr>
                <w:rFonts w:ascii="宋体" w:hAnsi="宋体" w:cs="宋体"/>
                <w:sz w:val="22"/>
              </w:rPr>
            </w:pPr>
            <w:r>
              <w:rPr>
                <w:rFonts w:hint="eastAsia" w:ascii="宋体" w:hAnsi="宋体" w:cs="宋体"/>
                <w:sz w:val="22"/>
              </w:rPr>
              <w:t>融资申请人为个人的，额度不高于（含）300万元；</w:t>
            </w:r>
          </w:p>
          <w:p>
            <w:pPr>
              <w:jc w:val="left"/>
              <w:rPr>
                <w:rFonts w:ascii="宋体" w:hAnsi="宋体" w:cs="宋体"/>
                <w:sz w:val="22"/>
              </w:rPr>
            </w:pPr>
            <w:r>
              <w:rPr>
                <w:rFonts w:hint="eastAsia" w:ascii="宋体" w:hAnsi="宋体" w:cs="宋体"/>
                <w:sz w:val="22"/>
              </w:rPr>
              <w:t>单笔额度不高于订单金额的70%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最长不超过（12）个月或（360）天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1、不超过中小企业同期市场利率水平2、利率浮动区间（1年期LPR-1年期LPR+194bps）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中国建设银行陕西省分行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根据单笔政府采购合同金额核定，最高融资金额为合同金额的90%</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r>
              <w:rPr>
                <w:rFonts w:hint="eastAsia" w:ascii="宋体" w:hAnsi="宋体" w:cs="宋体"/>
                <w:sz w:val="22"/>
              </w:rPr>
              <w:t>2、利率浮动区间（4.5%-5%）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中国光大银行股份有限公司西安分行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原则上单户贷款金额最高不超过1000万元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4</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中信银行股份有限公司西安分行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5</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北京银行股份有限公司西安分行</w:t>
            </w:r>
          </w:p>
          <w:p>
            <w:pPr>
              <w:jc w:val="center"/>
              <w:rPr>
                <w:rFonts w:ascii="宋体" w:hAnsi="宋体" w:cs="宋体"/>
                <w:sz w:val="22"/>
              </w:rPr>
            </w:pP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2年期综合授信（提前期1年，每笔业务期限不超过1年）</w:t>
            </w:r>
          </w:p>
          <w:p>
            <w:pPr>
              <w:jc w:val="center"/>
              <w:rPr>
                <w:rFonts w:ascii="宋体" w:hAnsi="宋体" w:cs="宋体"/>
                <w:sz w:val="22"/>
              </w:rPr>
            </w:pP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p>
            <w:pPr>
              <w:jc w:val="center"/>
              <w:rPr>
                <w:rFonts w:ascii="宋体" w:hAnsi="宋体" w:cs="宋体"/>
                <w:sz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6</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平安银行股份有限公司西安分行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最长不超月或（360）天过（12）个月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利率浮动区间（6%-8%）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7</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兴业银行股份有限公司西安分行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不超过1000万元（首次申贷客户不超过500万元）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最长不超过（12）个月或（/）天</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8</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陕西秦农农村商业银行股份有限公司</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最高授信额度1000万元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原则上不超过1年，最长不超过2年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9</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中国工商银行股份有限公司陕西省分行</w:t>
            </w:r>
          </w:p>
        </w:tc>
        <w:tc>
          <w:tcPr>
            <w:tcW w:w="3682" w:type="dxa"/>
            <w:tcMar>
              <w:top w:w="0" w:type="dxa"/>
              <w:left w:w="0" w:type="dxa"/>
              <w:bottom w:w="0" w:type="dxa"/>
              <w:right w:w="0" w:type="dxa"/>
            </w:tcMar>
            <w:vAlign w:val="center"/>
          </w:tcPr>
          <w:p>
            <w:pPr>
              <w:jc w:val="left"/>
              <w:rPr>
                <w:rFonts w:ascii="宋体" w:hAnsi="宋体" w:cs="宋体"/>
                <w:sz w:val="22"/>
              </w:rPr>
            </w:pPr>
            <w:r>
              <w:rPr>
                <w:rFonts w:hint="eastAsia" w:ascii="宋体" w:hAnsi="宋体" w:cs="宋体"/>
                <w:sz w:val="22"/>
              </w:rPr>
              <w:t>经营快贷-政采贷单户不超过500万元且不超过订单金额的90%，线上供应链根据订单和应收贷款合理确定贷款额度。</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最长不超过（36）个月或3年</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1、按照全国银行间同业拆借中心发布的贷款市场报价利率（LPR）确定；2、利率浮动去电（最高不超过LPR+50bp）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10</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西安银行股份有限公司</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最长不超过（36）个月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11</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中国民生银行股份有限公司西安分行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最高500万元</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2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12</w:t>
            </w:r>
          </w:p>
        </w:tc>
        <w:tc>
          <w:tcPr>
            <w:tcW w:w="1647"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中国农业银行股份有限公司陕西省分行</w:t>
            </w:r>
          </w:p>
        </w:tc>
        <w:tc>
          <w:tcPr>
            <w:tcW w:w="3682"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3000万元以下</w:t>
            </w:r>
          </w:p>
        </w:tc>
        <w:tc>
          <w:tcPr>
            <w:tcW w:w="1530"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最长不超过（12）个月</w:t>
            </w:r>
          </w:p>
        </w:tc>
        <w:tc>
          <w:tcPr>
            <w:tcW w:w="1978" w:type="dxa"/>
            <w:tcMar>
              <w:top w:w="0" w:type="dxa"/>
              <w:left w:w="0" w:type="dxa"/>
              <w:bottom w:w="0" w:type="dxa"/>
              <w:right w:w="0" w:type="dxa"/>
            </w:tcMar>
            <w:vAlign w:val="center"/>
          </w:tcPr>
          <w:p>
            <w:pPr>
              <w:jc w:val="center"/>
              <w:rPr>
                <w:rFonts w:ascii="宋体" w:hAnsi="宋体" w:cs="宋体"/>
                <w:sz w:val="22"/>
              </w:rPr>
            </w:pPr>
            <w:r>
              <w:rPr>
                <w:rFonts w:hint="eastAsia" w:ascii="宋体" w:hAnsi="宋体" w:cs="宋体"/>
                <w:sz w:val="22"/>
              </w:rPr>
              <w:t>不超过中小企业同期市场利率水平，利率浮动期间（3.85%-4.35%）</w:t>
            </w:r>
          </w:p>
        </w:tc>
      </w:tr>
    </w:tbl>
    <w:p>
      <w:pPr>
        <w:spacing w:line="360" w:lineRule="auto"/>
        <w:ind w:firstLine="964" w:firstLineChars="200"/>
        <w:rPr>
          <w:rStyle w:val="96"/>
          <w:rFonts w:asciiTheme="minorEastAsia" w:hAnsiTheme="minorEastAsia" w:eastAsiaTheme="minorEastAsia"/>
          <w:sz w:val="48"/>
          <w:szCs w:val="48"/>
        </w:rPr>
        <w:sectPr>
          <w:pgSz w:w="11907" w:h="16840"/>
          <w:pgMar w:top="1474" w:right="1587" w:bottom="1474" w:left="1587" w:header="851" w:footer="992" w:gutter="0"/>
          <w:cols w:space="720" w:num="1"/>
          <w:titlePg/>
        </w:sectPr>
      </w:pPr>
    </w:p>
    <w:p>
      <w:pPr>
        <w:pStyle w:val="3"/>
        <w:numPr>
          <w:ilvl w:val="0"/>
          <w:numId w:val="5"/>
        </w:numPr>
        <w:jc w:val="center"/>
      </w:pPr>
      <w:bookmarkStart w:id="179" w:name="_Toc4672"/>
      <w:bookmarkStart w:id="180" w:name="_Toc7691"/>
      <w:bookmarkStart w:id="181" w:name="_Toc29032"/>
      <w:bookmarkStart w:id="182" w:name="_Toc9050"/>
      <w:bookmarkStart w:id="183" w:name="_Toc217446093"/>
      <w:r>
        <w:rPr>
          <w:rFonts w:hint="eastAsia"/>
        </w:rPr>
        <w:t>评标办法</w:t>
      </w:r>
      <w:bookmarkEnd w:id="178"/>
      <w:bookmarkEnd w:id="179"/>
      <w:bookmarkEnd w:id="180"/>
      <w:bookmarkEnd w:id="181"/>
      <w:bookmarkEnd w:id="182"/>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根据《中华人民共和国政府采购法》及实施条例和《政府采购货物和服务招标投标管理办法》（财政部第87号令）等法律法规规定，结合采购项目特点制定本评标办法。</w:t>
      </w:r>
    </w:p>
    <w:p>
      <w:pPr>
        <w:numPr>
          <w:ilvl w:val="0"/>
          <w:numId w:val="10"/>
        </w:numPr>
        <w:spacing w:after="120" w:afterLines="50" w:line="360" w:lineRule="auto"/>
        <w:outlineLvl w:val="1"/>
        <w:rPr>
          <w:rFonts w:cs="宋体" w:asciiTheme="minorEastAsia" w:hAnsiTheme="minorEastAsia" w:eastAsiaTheme="minorEastAsia"/>
          <w:b/>
          <w:bCs/>
          <w:sz w:val="36"/>
          <w:szCs w:val="36"/>
        </w:rPr>
      </w:pPr>
      <w:bookmarkStart w:id="184" w:name="_Toc22933"/>
      <w:bookmarkStart w:id="185" w:name="_Toc30218"/>
      <w:bookmarkStart w:id="186" w:name="_Toc8151"/>
      <w:bookmarkStart w:id="187" w:name="_Toc302"/>
      <w:r>
        <w:rPr>
          <w:rFonts w:hint="eastAsia" w:cs="宋体" w:asciiTheme="minorEastAsia" w:hAnsiTheme="minorEastAsia" w:eastAsiaTheme="minorEastAsia"/>
          <w:b/>
          <w:bCs/>
          <w:sz w:val="36"/>
          <w:szCs w:val="36"/>
        </w:rPr>
        <w:t>评标程序</w:t>
      </w:r>
      <w:bookmarkEnd w:id="184"/>
      <w:bookmarkEnd w:id="185"/>
      <w:bookmarkEnd w:id="186"/>
      <w:bookmarkEnd w:id="187"/>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1.1评标按照下列程序进行（公开招标资格由采购人及代理机构审查，审查标准</w:t>
      </w:r>
      <w:r>
        <w:rPr>
          <w:rFonts w:hint="eastAsia" w:cs="宋体" w:asciiTheme="minorEastAsia" w:hAnsiTheme="minorEastAsia" w:eastAsiaTheme="minorEastAsia"/>
          <w:color w:val="auto"/>
          <w:sz w:val="24"/>
        </w:rPr>
        <w:t>见第29页，评</w:t>
      </w:r>
      <w:r>
        <w:rPr>
          <w:rFonts w:hint="eastAsia" w:cs="宋体" w:asciiTheme="minorEastAsia" w:hAnsiTheme="minorEastAsia" w:eastAsiaTheme="minorEastAsia"/>
          <w:sz w:val="24"/>
        </w:rPr>
        <w:t>审专家进行符合性审查及综合赋分评审）：</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（1）投标文件符合性审查；</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（2）投标文件澄清或说明；</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（3）投标文件比较与评价；</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（4）复核与核对评标结果；</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（5）确定中标候选人名单；</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（6）编写评标报告。</w:t>
      </w:r>
    </w:p>
    <w:p>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评标委员会依法对符合资格投标供应商的投标文件进行符合性审查。评标委员会从投标文件的有效性、完整性和对招标文件的响应程度进行审查，以确定其是否对招标文件实质性内容作出响应（采购人可根据具体项目的情况对实质性要求作特别的具体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1.2.2评标委员会按下列评审标准进行</w:t>
      </w:r>
      <w:r>
        <w:rPr>
          <w:rFonts w:hint="eastAsia" w:cs="宋体" w:asciiTheme="minorEastAsia" w:hAnsiTheme="minorEastAsia" w:eastAsiaTheme="minorEastAsia"/>
          <w:b/>
          <w:sz w:val="24"/>
        </w:rPr>
        <w:t>符合性审查：</w:t>
      </w:r>
    </w:p>
    <w:tbl>
      <w:tblPr>
        <w:tblStyle w:val="29"/>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111"/>
        <w:gridCol w:w="3009"/>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4120" w:type="dxa"/>
            <w:gridSpan w:val="2"/>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评审因素</w:t>
            </w:r>
          </w:p>
        </w:tc>
        <w:tc>
          <w:tcPr>
            <w:tcW w:w="4571" w:type="dxa"/>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有效</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（1）投标文件的签署盖章</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应符合“投标供应商须知前附表”签字盖章要求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（2）投标文件语言、计量单位、报价货币</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（3）电子文件（U盘）</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（4）报价唯一</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只能有一个有效报价，不得提交选择性报价，且报价不超过采购预算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完整</w:t>
            </w:r>
          </w:p>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性审查</w:t>
            </w: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（5）投标文件份数</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应符合“投标供应商须知前附表”规定的正本、副本、电子文件数量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jc w:val="center"/>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（6）投标文件内容</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84"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111" w:type="dxa"/>
            <w:vMerge w:val="restart"/>
            <w:vAlign w:val="center"/>
          </w:tcPr>
          <w:p>
            <w:pPr>
              <w:spacing w:line="276"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投标文件的响应程度审查</w:t>
            </w:r>
          </w:p>
        </w:tc>
        <w:tc>
          <w:tcPr>
            <w:tcW w:w="3009" w:type="dxa"/>
            <w:vAlign w:val="center"/>
          </w:tcPr>
          <w:p>
            <w:pPr>
              <w:spacing w:line="276"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（7）对技术方面（采购需求加</w:t>
            </w:r>
            <w:r>
              <w:rPr>
                <w:rFonts w:hint="eastAsia" w:ascii="宋体" w:hAnsi="宋体" w:cs="宋体"/>
                <w:sz w:val="24"/>
                <w:highlight w:val="none"/>
                <w:lang w:val="zh-CN"/>
              </w:rPr>
              <w:t>“★</w:t>
            </w:r>
            <w:r>
              <w:rPr>
                <w:rFonts w:hint="eastAsia" w:ascii="宋体" w:hAnsi="宋体" w:cs="宋体"/>
                <w:sz w:val="24"/>
                <w:highlight w:val="none"/>
              </w:rPr>
              <w:t>”条款</w:t>
            </w:r>
            <w:r>
              <w:rPr>
                <w:rFonts w:hint="eastAsia" w:cs="宋体" w:asciiTheme="minorEastAsia" w:hAnsiTheme="minorEastAsia" w:eastAsiaTheme="minorEastAsia"/>
                <w:sz w:val="24"/>
                <w:highlight w:val="none"/>
              </w:rPr>
              <w:t>）响应程度</w:t>
            </w:r>
          </w:p>
        </w:tc>
        <w:tc>
          <w:tcPr>
            <w:tcW w:w="4571" w:type="dxa"/>
            <w:vAlign w:val="center"/>
          </w:tcPr>
          <w:p>
            <w:pPr>
              <w:spacing w:line="276" w:lineRule="auto"/>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 xml:space="preserve">要求全面响应，不能偏离采购需求（技术方案）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（8）交货安装期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（9）投标有效期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（10）质保期</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应满足招标文件中的规定（开标一览表中）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84" w:type="dxa"/>
            <w:vMerge w:val="continue"/>
            <w:vAlign w:val="center"/>
          </w:tcPr>
          <w:p>
            <w:pPr>
              <w:spacing w:line="276" w:lineRule="auto"/>
              <w:jc w:val="center"/>
              <w:rPr>
                <w:rFonts w:cs="宋体" w:asciiTheme="minorEastAsia" w:hAnsiTheme="minorEastAsia" w:eastAsiaTheme="minorEastAsia"/>
                <w:sz w:val="24"/>
              </w:rPr>
            </w:pPr>
          </w:p>
        </w:tc>
        <w:tc>
          <w:tcPr>
            <w:tcW w:w="1111" w:type="dxa"/>
            <w:vMerge w:val="continue"/>
            <w:vAlign w:val="center"/>
          </w:tcPr>
          <w:p>
            <w:pPr>
              <w:spacing w:line="276" w:lineRule="auto"/>
              <w:rPr>
                <w:rFonts w:cs="宋体" w:asciiTheme="minorEastAsia" w:hAnsiTheme="minorEastAsia" w:eastAsiaTheme="minorEastAsia"/>
                <w:sz w:val="24"/>
              </w:rPr>
            </w:pPr>
          </w:p>
        </w:tc>
        <w:tc>
          <w:tcPr>
            <w:tcW w:w="3009"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（11）付款方式</w:t>
            </w:r>
          </w:p>
        </w:tc>
        <w:tc>
          <w:tcPr>
            <w:tcW w:w="4571" w:type="dxa"/>
            <w:vAlign w:val="center"/>
          </w:tcPr>
          <w:p>
            <w:pPr>
              <w:spacing w:line="276" w:lineRule="auto"/>
              <w:rPr>
                <w:rFonts w:cs="宋体" w:asciiTheme="minorEastAsia" w:hAnsiTheme="minorEastAsia" w:eastAsiaTheme="minorEastAsia"/>
                <w:sz w:val="24"/>
              </w:rPr>
            </w:pPr>
            <w:r>
              <w:rPr>
                <w:rFonts w:hint="eastAsia" w:cs="宋体" w:asciiTheme="minorEastAsia" w:hAnsiTheme="minorEastAsia" w:eastAsiaTheme="minorEastAsia"/>
                <w:sz w:val="24"/>
              </w:rPr>
              <w:t>应满足招标文件中的规定（投标函中）</w:t>
            </w:r>
          </w:p>
        </w:tc>
      </w:tr>
    </w:tbl>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说明：以上各项有1项不合格，评审不予通过，作为未实质性响应招标文件。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1.2.3 未通过符合性检查的投标文件，不得进入后续评标环节。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1.3 投标文件的澄清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1.3.1为有助于投标文件的审查、比较和评价，评标委员会可以书面形式要求投标供应商对其投标文件中含义不明确、同类问题表述不一致或者有明显文字和计算错误的内容作必要的澄清、说明或者补正。有关澄清、说明或者补正应以书面形式提交，并由其法定代表人或委托代理人签字。评标委员会不接受投标供应商主动提出的澄清、说明或者补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1.3.2 投标供应商的澄清、说明或者补正不得超出投标文件的范围或者改变投标文件的实质性内容，并构成为投标文件的组成部分。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1.3.3 评标委员会对投标供应商提交的澄清、说明或者补正有疑问的，可以要求投标供应商进一步澄清、说明或者补正，直至满足评标委员会的要求。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 投标文件比较与评价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评标委员会应按照招标文件中规定的评标方法和标准，对符合性检查通过的投标文件进行商务和技术评估，综合比较与评价。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 如果投标文件没有实质性响应招标文件的要求，评标委员会将予以拒绝。投标供应商不得通过修正或撤销不合要求的偏离或保留，从而使其投标成为实质性响应的投标。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 复核与核对评标结果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1.5.1 评分汇总结束后，评标委员会应当进行复核，特别要对拟推荐中标候选人的、报价最低的、投标文件被认定无效的进行重点复核。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1.5.2 评标结果汇总完成后，评标报告签署前，采购代理机构应当核对评标结果，除下列情形外，任何人不得修改评标结果：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（1）分值汇总计算错误的；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（2）分项评分超出评分标准范围的；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（3）评标委员会对客观评审因素评分不一致的；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（4）经评标委员会认定评分畸高、畸低的。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经复核发现存在以上情形之一的，评标委员会应当当场修改评标结果，并在评标报告中记载。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1.6 确定中标候选人名单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定标及定标程序详见第二章第9.1、9.2条款。</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 编写评标报告</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1.7.1 评标委员会在确定中标候选人名单后，应当编写评标报告并向采购人出具。评标报告应当包括以下内容：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（1）招标公告刊登的媒体名称、开标日期和地点；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（2）投标供应商名单和评标委员会成员名单；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（3）评标方法和标准；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（4）开标记录和评标情况及说明，包括无效投标供应商名单及原因；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（5）评标结果，确定的中标候选人名单；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（6）其他需要说明的情况，包括评标过程中投标供应商根据评标委员会要求进行的澄清、说明或者补正，评标委员会成员的更换等，报价最高的投标供应商为第一中标候选人的，对其报价合理性予以特别书面。</w:t>
      </w:r>
    </w:p>
    <w:p>
      <w:pPr>
        <w:tabs>
          <w:tab w:val="left" w:pos="7665"/>
        </w:tabs>
        <w:spacing w:line="360" w:lineRule="auto"/>
        <w:ind w:firstLine="480" w:firstLineChars="200"/>
        <w:rPr>
          <w:rFonts w:cs="宋体" w:asciiTheme="minorEastAsia" w:hAnsiTheme="minorEastAsia" w:eastAsiaTheme="minorEastAsia"/>
          <w:b/>
          <w:bCs/>
          <w:sz w:val="36"/>
          <w:szCs w:val="36"/>
        </w:rPr>
      </w:pPr>
      <w:r>
        <w:rPr>
          <w:rFonts w:hint="eastAsia" w:cs="宋体" w:asciiTheme="minorEastAsia" w:hAnsiTheme="minorEastAsia" w:eastAsiaTheme="minorEastAsia"/>
          <w:sz w:val="24"/>
        </w:rPr>
        <w:t>1.7.2 评标委员会成员应当对评标报告予以签字确认，对评标过程有不同意见的，应当在评标报告中写明并说明理由。签字但未写明不同意见或者未说明理由的，视同无意见。拒不签字又未另行书面说明其不同意见和理由的，视同同意评标报告。</w:t>
      </w:r>
      <w:bookmarkStart w:id="188" w:name="_Toc13791"/>
      <w:bookmarkStart w:id="189" w:name="_Toc22839"/>
      <w:bookmarkStart w:id="190" w:name="_Toc30191_WPSOffice_Level2"/>
      <w:bookmarkStart w:id="191" w:name="_Toc13760"/>
    </w:p>
    <w:p>
      <w:pPr>
        <w:spacing w:after="120" w:afterLines="50" w:line="360" w:lineRule="auto"/>
        <w:outlineLvl w:val="1"/>
        <w:rPr>
          <w:rFonts w:cs="宋体" w:asciiTheme="minorEastAsia" w:hAnsiTheme="minorEastAsia" w:eastAsiaTheme="minorEastAsia"/>
          <w:b/>
          <w:bCs/>
          <w:sz w:val="36"/>
          <w:szCs w:val="36"/>
        </w:rPr>
      </w:pPr>
      <w:bookmarkStart w:id="192" w:name="_Toc12920"/>
      <w:r>
        <w:rPr>
          <w:rFonts w:hint="eastAsia" w:cs="宋体" w:asciiTheme="minorEastAsia" w:hAnsiTheme="minorEastAsia" w:eastAsiaTheme="minorEastAsia"/>
          <w:b/>
          <w:bCs/>
          <w:sz w:val="36"/>
          <w:szCs w:val="36"/>
        </w:rPr>
        <w:t>2. 评标方法</w:t>
      </w:r>
      <w:bookmarkEnd w:id="188"/>
      <w:bookmarkEnd w:id="189"/>
      <w:bookmarkEnd w:id="190"/>
      <w:bookmarkEnd w:id="191"/>
      <w:bookmarkEnd w:id="192"/>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2.1综合评分法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本采购项目评标方法采用综合评分法。即投标文件满足招标文件全部实质性要求，且按照评审因素的量化指标评审得分最高的投标供应商为中标候选人的评标方法。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 评标细则及标准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2.2.1 评标委员会将综合分析投标供应商的各项评审因素，而不以单项评审因素的优劣评选出中标供应商。对所有投标供应商的投标评估，都采用相同的程序和标准，严格按照招标文件的要求和条件进行。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2.2.2 评审因素包括：投标报价、技术方案、运维与售后、企业实力等，但不包括“投标供应商须知”规定的投标供应商资格条件。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评标委员会按以下操作程序对投标供应商的投标文件进行综合评分：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2.2.3.1 根据招标文件和评标原则，按《综合评分明细表》所列评分因素和各评分因素的权重进行评标。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2.2.3.2 满足招标文件内容及技术要求且投标价格最低的投标价为评标基准价，其价格分为满分。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投标报价得分=（评标基准价／投标报价）×价格权值×100。</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符合招标文件规定的小微企业、监狱企业、残疾人福利性单位优惠条件的投标供应商，价格给予6%的扣除，用扣除后的价格参与评审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（1）文字表述的内容含义不明确；</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（2）同类问题表述不一致；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（3）有明显文字和计算错误；</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（4）提供的技术信息和数据资料不完整；</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（5）投标文件未按招标文件要求进行装订或未编制目录、页码；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（6）评标委员会认定的其他非实质性偏离。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有上述（1）至（4）情形之一的，评标委员会应当书面要求投标供应商在规定的时间内予以澄清、说明或补正。投标供应商拒不或在规定的时间内没有进行澄清、说明或补正或澄清、说明、补正的内容也不能说明问题的，视为投标文件制作不规范，按每一项非实质性偏离进行扣分处理，直至该项分值扣完为止。</w:t>
      </w:r>
    </w:p>
    <w:p>
      <w:pPr>
        <w:tabs>
          <w:tab w:val="left" w:pos="7665"/>
        </w:tabs>
        <w:spacing w:line="360" w:lineRule="auto"/>
        <w:ind w:firstLine="482" w:firstLineChars="200"/>
        <w:rPr>
          <w:rFonts w:cs="宋体" w:asciiTheme="minorEastAsia" w:hAnsiTheme="minorEastAsia" w:eastAsiaTheme="minorEastAsia"/>
          <w:b/>
          <w:bCs/>
          <w:sz w:val="24"/>
        </w:rPr>
      </w:pPr>
      <w:bookmarkStart w:id="193" w:name="_Toc7342_WPSOffice_Level1"/>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rPr>
          <w:rFonts w:cs="宋体" w:asciiTheme="minorEastAsia" w:hAnsiTheme="minorEastAsia" w:eastAsiaTheme="minorEastAsia"/>
          <w:b/>
          <w:bCs/>
          <w:sz w:val="24"/>
        </w:rPr>
      </w:pPr>
    </w:p>
    <w:p>
      <w:pPr>
        <w:tabs>
          <w:tab w:val="left" w:pos="7665"/>
        </w:tabs>
        <w:spacing w:line="360" w:lineRule="auto"/>
        <w:ind w:firstLine="482" w:firstLineChars="200"/>
        <w:jc w:val="center"/>
        <w:rPr>
          <w:rFonts w:cs="宋体" w:asciiTheme="minorEastAsia" w:hAnsiTheme="minorEastAsia" w:eastAsiaTheme="minorEastAsia"/>
          <w:b/>
          <w:bCs/>
          <w:sz w:val="24"/>
        </w:rPr>
        <w:sectPr>
          <w:pgSz w:w="11907" w:h="16840"/>
          <w:pgMar w:top="1474" w:right="1587" w:bottom="1474" w:left="1587" w:header="851" w:footer="992" w:gutter="0"/>
          <w:cols w:space="720" w:num="1"/>
          <w:titlePg/>
        </w:sectPr>
      </w:pPr>
    </w:p>
    <w:bookmarkEnd w:id="193"/>
    <w:p>
      <w:pPr>
        <w:tabs>
          <w:tab w:val="left" w:pos="7665"/>
        </w:tabs>
        <w:spacing w:line="360" w:lineRule="auto"/>
        <w:jc w:val="center"/>
        <w:rPr>
          <w:rFonts w:cs="宋体" w:asciiTheme="minorEastAsia" w:hAnsiTheme="minorEastAsia" w:eastAsiaTheme="minorEastAsia"/>
          <w:b/>
          <w:bCs/>
          <w:sz w:val="24"/>
        </w:rPr>
      </w:pPr>
      <w:bookmarkStart w:id="194" w:name="_Toc1570_WPSOffice_Level1"/>
      <w:r>
        <w:rPr>
          <w:rFonts w:hint="eastAsia" w:cs="宋体" w:asciiTheme="minorEastAsia" w:hAnsiTheme="minorEastAsia" w:eastAsiaTheme="minorEastAsia"/>
          <w:b/>
          <w:bCs/>
          <w:sz w:val="24"/>
        </w:rPr>
        <w:t>综合评分明细表</w:t>
      </w:r>
    </w:p>
    <w:tbl>
      <w:tblPr>
        <w:tblStyle w:val="29"/>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661"/>
        <w:gridCol w:w="7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bCs/>
                <w:szCs w:val="21"/>
              </w:rPr>
            </w:pPr>
            <w:r>
              <w:rPr>
                <w:rFonts w:hint="eastAsia" w:ascii="宋体" w:hAnsi="宋体"/>
                <w:b/>
                <w:bCs/>
                <w:szCs w:val="21"/>
              </w:rPr>
              <w:t>类别</w:t>
            </w:r>
          </w:p>
        </w:tc>
        <w:tc>
          <w:tcPr>
            <w:tcW w:w="661" w:type="dxa"/>
            <w:tcBorders>
              <w:top w:val="single" w:color="auto" w:sz="4" w:space="0"/>
              <w:left w:val="single" w:color="auto" w:sz="4" w:space="0"/>
              <w:right w:val="single" w:color="auto" w:sz="4" w:space="0"/>
            </w:tcBorders>
            <w:vAlign w:val="center"/>
          </w:tcPr>
          <w:p>
            <w:pPr>
              <w:adjustRightInd w:val="0"/>
              <w:jc w:val="center"/>
              <w:rPr>
                <w:rFonts w:ascii="宋体" w:hAnsi="宋体"/>
                <w:b/>
                <w:bCs/>
                <w:szCs w:val="21"/>
              </w:rPr>
            </w:pPr>
            <w:r>
              <w:rPr>
                <w:rFonts w:hint="eastAsia" w:ascii="宋体" w:hAnsi="宋体"/>
                <w:b/>
                <w:bCs/>
                <w:szCs w:val="21"/>
              </w:rPr>
              <w:t>分值</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b/>
                <w:bCs/>
                <w:szCs w:val="21"/>
              </w:rPr>
            </w:pPr>
            <w:r>
              <w:rPr>
                <w:rFonts w:hint="eastAsia" w:ascii="宋体" w:hAnsi="宋体"/>
                <w:b/>
                <w:bCs/>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价格评分</w:t>
            </w:r>
          </w:p>
          <w:p>
            <w:pPr>
              <w:pStyle w:val="4"/>
              <w:tabs>
                <w:tab w:val="left" w:pos="1152"/>
              </w:tabs>
              <w:spacing w:line="360" w:lineRule="auto"/>
              <w:rPr>
                <w:rFonts w:ascii="宋体" w:hAnsi="宋体" w:eastAsia="宋体"/>
                <w:sz w:val="21"/>
                <w:szCs w:val="21"/>
              </w:rPr>
            </w:pPr>
            <w:r>
              <w:rPr>
                <w:rFonts w:hint="eastAsia" w:ascii="宋体" w:hAnsi="宋体" w:eastAsia="宋体"/>
                <w:b w:val="0"/>
                <w:sz w:val="21"/>
                <w:szCs w:val="21"/>
              </w:rPr>
              <w:t>（30分）</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30</w:t>
            </w:r>
          </w:p>
        </w:tc>
        <w:tc>
          <w:tcPr>
            <w:tcW w:w="7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采用低价优先法计算即满足招标文件要求且投标价格最低的投标报价为评标基准价，其价格为30分。其他投标人的价格分按照下列公式计算：</w:t>
            </w:r>
          </w:p>
          <w:p>
            <w:pPr>
              <w:spacing w:line="360" w:lineRule="auto"/>
              <w:rPr>
                <w:rFonts w:ascii="宋体" w:hAnsi="宋体"/>
                <w:szCs w:val="21"/>
              </w:rPr>
            </w:pPr>
            <w:r>
              <w:rPr>
                <w:rFonts w:hint="eastAsia" w:ascii="宋体" w:hAnsi="宋体" w:cs="宋体"/>
                <w:szCs w:val="21"/>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129" w:type="dxa"/>
            <w:vMerge w:val="restart"/>
            <w:tcBorders>
              <w:top w:val="single" w:color="auto" w:sz="4" w:space="0"/>
              <w:left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技术方案</w:t>
            </w:r>
          </w:p>
          <w:p>
            <w:pPr>
              <w:adjustRightInd w:val="0"/>
              <w:spacing w:line="360" w:lineRule="auto"/>
              <w:jc w:val="center"/>
              <w:rPr>
                <w:rFonts w:ascii="宋体" w:hAnsi="宋体"/>
                <w:szCs w:val="21"/>
              </w:rPr>
            </w:pPr>
            <w:r>
              <w:rPr>
                <w:rFonts w:hint="eastAsia" w:ascii="宋体" w:hAnsi="宋体"/>
                <w:szCs w:val="21"/>
              </w:rPr>
              <w:t>（4</w:t>
            </w:r>
            <w:r>
              <w:rPr>
                <w:rFonts w:hint="eastAsia" w:ascii="宋体" w:hAnsi="宋体"/>
                <w:szCs w:val="21"/>
                <w:lang w:val="en-US" w:eastAsia="zh-CN"/>
              </w:rPr>
              <w:t>3</w:t>
            </w:r>
            <w:r>
              <w:rPr>
                <w:rFonts w:hint="eastAsia" w:ascii="宋体" w:hAnsi="宋体"/>
                <w:szCs w:val="21"/>
              </w:rPr>
              <w:t>分）</w:t>
            </w:r>
          </w:p>
        </w:tc>
        <w:tc>
          <w:tcPr>
            <w:tcW w:w="661" w:type="dxa"/>
            <w:tcBorders>
              <w:top w:val="single" w:color="auto" w:sz="4" w:space="0"/>
              <w:left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5</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对投标供应商的详细监测测向系统技术方案中对各种设备总体集成整合能力进行评价，包括整体性原则、成熟性原则、实用性原则、先进性原则、高性能原则、易维护原则、可靠性原则等。</w:t>
            </w:r>
          </w:p>
          <w:p>
            <w:pPr>
              <w:adjustRightInd w:val="0"/>
              <w:spacing w:line="360" w:lineRule="auto"/>
              <w:rPr>
                <w:rFonts w:hint="eastAsia"/>
              </w:rPr>
            </w:pPr>
            <w:r>
              <w:rPr>
                <w:rFonts w:hint="eastAsia"/>
              </w:rPr>
              <w:t>1、监测测向系统技术方案详细具体、合理可行的得【</w:t>
            </w:r>
            <w:r>
              <w:rPr>
                <w:rFonts w:hint="eastAsia"/>
                <w:lang w:val="en-US" w:eastAsia="zh-CN"/>
              </w:rPr>
              <w:t>3</w:t>
            </w:r>
            <w:r>
              <w:rPr>
                <w:rFonts w:hint="eastAsia"/>
              </w:rPr>
              <w:t>-</w:t>
            </w:r>
            <w:r>
              <w:rPr>
                <w:rFonts w:hint="eastAsia"/>
                <w:lang w:val="en-US" w:eastAsia="zh-CN"/>
              </w:rPr>
              <w:t>5</w:t>
            </w:r>
            <w:r>
              <w:rPr>
                <w:rFonts w:hint="eastAsia"/>
              </w:rPr>
              <w:t>】分；</w:t>
            </w:r>
          </w:p>
          <w:p>
            <w:pPr>
              <w:adjustRightInd w:val="0"/>
              <w:spacing w:line="360" w:lineRule="auto"/>
              <w:rPr>
                <w:rFonts w:hint="eastAsia"/>
              </w:rPr>
            </w:pPr>
            <w:r>
              <w:rPr>
                <w:rFonts w:hint="eastAsia"/>
              </w:rPr>
              <w:t>2、监测测向系统技术方案较为具体、基本合理可行的得【</w:t>
            </w:r>
            <w:r>
              <w:rPr>
                <w:rFonts w:hint="eastAsia"/>
                <w:lang w:val="en-US" w:eastAsia="zh-CN"/>
              </w:rPr>
              <w:t>0</w:t>
            </w:r>
            <w:r>
              <w:rPr>
                <w:rFonts w:hint="eastAsia"/>
              </w:rPr>
              <w:t>-</w:t>
            </w:r>
            <w:r>
              <w:rPr>
                <w:rFonts w:hint="eastAsia"/>
                <w:lang w:val="en-US" w:eastAsia="zh-CN"/>
              </w:rPr>
              <w:t>3</w:t>
            </w:r>
            <w:r>
              <w:rPr>
                <w:rFonts w:hint="eastAsia"/>
                <w:lang w:eastAsia="zh-CN"/>
              </w:rPr>
              <w:t>）</w:t>
            </w:r>
            <w:r>
              <w:rPr>
                <w:rFonts w:hint="eastAsia"/>
              </w:rPr>
              <w:t>分；</w:t>
            </w:r>
          </w:p>
          <w:p>
            <w:pPr>
              <w:adjustRightInd w:val="0"/>
              <w:spacing w:line="360" w:lineRule="auto"/>
            </w:pPr>
            <w:r>
              <w:rPr>
                <w:rFonts w:hint="eastAsia"/>
              </w:rPr>
              <w:t>3、监测测向系统技术方案不合理、有重大缺陷或未提供的不得分。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129" w:type="dxa"/>
            <w:vMerge w:val="continue"/>
            <w:tcBorders>
              <w:left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18</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对技术参数、功能要求是否符合</w:t>
            </w:r>
            <w:r>
              <w:rPr>
                <w:rFonts w:hint="eastAsia" w:ascii="宋体" w:hAnsi="宋体"/>
                <w:szCs w:val="21"/>
                <w:lang w:val="en-US" w:eastAsia="zh-CN"/>
              </w:rPr>
              <w:t>采购内容</w:t>
            </w:r>
            <w:r>
              <w:rPr>
                <w:rFonts w:hint="eastAsia" w:ascii="宋体" w:hAnsi="宋体"/>
                <w:szCs w:val="21"/>
              </w:rPr>
              <w:t>及要求中的要求进行评分。完全满足招标文件要求的得1</w:t>
            </w:r>
            <w:r>
              <w:rPr>
                <w:rFonts w:ascii="宋体" w:hAnsi="宋体"/>
                <w:szCs w:val="21"/>
              </w:rPr>
              <w:t>8</w:t>
            </w:r>
            <w:r>
              <w:rPr>
                <w:rFonts w:hint="eastAsia" w:ascii="宋体" w:hAnsi="宋体"/>
                <w:szCs w:val="21"/>
              </w:rPr>
              <w:t>分基础分：标注“★”号的参数，负偏离一项，按无效投标处理；标注“▲”号的参数，每负偏离一项扣</w:t>
            </w:r>
            <w:r>
              <w:rPr>
                <w:rFonts w:ascii="宋体" w:hAnsi="宋体"/>
                <w:szCs w:val="21"/>
              </w:rPr>
              <w:t>3</w:t>
            </w:r>
            <w:r>
              <w:rPr>
                <w:rFonts w:hint="eastAsia" w:ascii="宋体" w:hAnsi="宋体"/>
                <w:szCs w:val="21"/>
              </w:rPr>
              <w:t>分；其他未标注“▲”的参数和功能要求，每负偏离一项扣1分；扣完为止。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129" w:type="dxa"/>
            <w:vMerge w:val="continue"/>
            <w:tcBorders>
              <w:left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right w:val="single" w:color="auto" w:sz="4" w:space="0"/>
            </w:tcBorders>
            <w:vAlign w:val="center"/>
          </w:tcPr>
          <w:p>
            <w:pPr>
              <w:adjustRightInd w:val="0"/>
              <w:spacing w:line="360" w:lineRule="auto"/>
              <w:jc w:val="center"/>
              <w:rPr>
                <w:rFonts w:hint="eastAsia" w:ascii="宋体" w:hAnsi="宋体" w:eastAsia="宋体"/>
                <w:szCs w:val="21"/>
                <w:highlight w:val="none"/>
                <w:lang w:eastAsia="zh-CN"/>
              </w:rPr>
            </w:pPr>
            <w:r>
              <w:rPr>
                <w:rFonts w:hint="eastAsia" w:ascii="宋体" w:hAnsi="宋体"/>
                <w:szCs w:val="21"/>
                <w:highlight w:val="none"/>
                <w:lang w:val="en-US" w:eastAsia="zh-CN"/>
              </w:rPr>
              <w:t>3</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highlight w:val="none"/>
              </w:rPr>
            </w:pPr>
            <w:r>
              <w:rPr>
                <w:rFonts w:hint="eastAsia" w:ascii="宋体" w:hAnsi="宋体"/>
                <w:szCs w:val="21"/>
                <w:highlight w:val="none"/>
              </w:rPr>
              <w:t>监测、测向产品具有高性能、安全性、开放性等特点，测向机环境适应性和电磁兼容特性有相关的第三方认证材料</w:t>
            </w:r>
            <w:r>
              <w:rPr>
                <w:rFonts w:hint="eastAsia" w:ascii="宋体" w:hAnsi="宋体"/>
                <w:szCs w:val="21"/>
                <w:highlight w:val="none"/>
                <w:lang w:val="en-US" w:eastAsia="zh-CN"/>
              </w:rPr>
              <w:t>的，得3分，不提供不得分</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atLeast"/>
          <w:jc w:val="center"/>
        </w:trPr>
        <w:tc>
          <w:tcPr>
            <w:tcW w:w="1129" w:type="dxa"/>
            <w:vMerge w:val="continue"/>
            <w:tcBorders>
              <w:left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right w:val="single" w:color="auto" w:sz="4" w:space="0"/>
            </w:tcBorders>
            <w:vAlign w:val="center"/>
          </w:tcPr>
          <w:p>
            <w:pPr>
              <w:adjustRightInd w:val="0"/>
              <w:spacing w:line="360" w:lineRule="auto"/>
              <w:jc w:val="center"/>
              <w:rPr>
                <w:rFonts w:hint="eastAsia" w:ascii="宋体" w:hAnsi="宋体" w:eastAsia="宋体"/>
                <w:szCs w:val="21"/>
                <w:lang w:val="en-US" w:eastAsia="zh-CN"/>
              </w:rPr>
            </w:pPr>
            <w:r>
              <w:rPr>
                <w:rFonts w:hint="eastAsia" w:ascii="宋体" w:hAnsi="宋体"/>
                <w:szCs w:val="21"/>
                <w:shd w:val="clear" w:color="auto" w:fill="auto"/>
              </w:rPr>
              <w:t>5</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车辆改装技术方案中包括车辆改装后的</w:t>
            </w:r>
            <w:r>
              <w:rPr>
                <w:rFonts w:hint="eastAsia"/>
                <w:lang w:val="zh-CN"/>
              </w:rPr>
              <w:t>整体结构图、多角度三维立体彩色渲染效果图、系统整体电原理框图及连线图</w:t>
            </w:r>
            <w:r>
              <w:rPr>
                <w:rFonts w:hint="eastAsia"/>
              </w:rPr>
              <w:t>整体效果图，详细列出设备配置清单及文本描述，以及车辆载荷、配重和电源技术方案说明。车辆改装技术方案中结构图应包括：各类设备机械安装和尺寸；控制、供电、通信电缆走线；以及充分反映车辆改造后整体效果的其它材料。车辆改装技术方案需详细、完整、合理、安全性强。</w:t>
            </w:r>
          </w:p>
          <w:p>
            <w:pPr>
              <w:adjustRightInd w:val="0"/>
              <w:spacing w:line="360" w:lineRule="auto"/>
              <w:rPr>
                <w:rFonts w:hint="eastAsia"/>
              </w:rPr>
            </w:pPr>
            <w:r>
              <w:rPr>
                <w:rFonts w:hint="eastAsia"/>
              </w:rPr>
              <w:t>1、车辆改装技术方案说明详细、图纸完整、改装合理、安全性强的得【</w:t>
            </w:r>
            <w:r>
              <w:rPr>
                <w:rFonts w:hint="eastAsia"/>
                <w:lang w:val="en-US" w:eastAsia="zh-CN"/>
              </w:rPr>
              <w:t>3</w:t>
            </w:r>
            <w:r>
              <w:rPr>
                <w:rFonts w:hint="eastAsia"/>
              </w:rPr>
              <w:t>-</w:t>
            </w:r>
            <w:r>
              <w:rPr>
                <w:rFonts w:hint="eastAsia"/>
                <w:lang w:val="en-US" w:eastAsia="zh-CN"/>
              </w:rPr>
              <w:t>5</w:t>
            </w:r>
            <w:r>
              <w:rPr>
                <w:rFonts w:hint="eastAsia"/>
              </w:rPr>
              <w:t>】分；</w:t>
            </w:r>
          </w:p>
          <w:p>
            <w:pPr>
              <w:adjustRightInd w:val="0"/>
              <w:spacing w:line="360" w:lineRule="auto"/>
              <w:rPr>
                <w:rFonts w:hint="eastAsia"/>
              </w:rPr>
            </w:pPr>
            <w:r>
              <w:rPr>
                <w:rFonts w:hint="eastAsia"/>
              </w:rPr>
              <w:t>2、车辆改装技术方案较合理、安全性较强但不够详细且图纸不完整的得【</w:t>
            </w:r>
            <w:r>
              <w:rPr>
                <w:rFonts w:hint="eastAsia"/>
                <w:lang w:val="en-US" w:eastAsia="zh-CN"/>
              </w:rPr>
              <w:t>0</w:t>
            </w:r>
            <w:r>
              <w:rPr>
                <w:rFonts w:hint="eastAsia"/>
              </w:rPr>
              <w:t>-</w:t>
            </w:r>
            <w:r>
              <w:rPr>
                <w:rFonts w:hint="eastAsia"/>
                <w:lang w:val="en-US" w:eastAsia="zh-CN"/>
              </w:rPr>
              <w:t>3</w:t>
            </w:r>
            <w:r>
              <w:rPr>
                <w:rFonts w:hint="eastAsia"/>
                <w:lang w:eastAsia="zh-CN"/>
              </w:rPr>
              <w:t>）</w:t>
            </w:r>
            <w:r>
              <w:rPr>
                <w:rFonts w:hint="eastAsia"/>
              </w:rPr>
              <w:t>分；</w:t>
            </w:r>
          </w:p>
          <w:p>
            <w:pPr>
              <w:adjustRightInd w:val="0"/>
              <w:spacing w:line="360" w:lineRule="auto"/>
            </w:pPr>
            <w:r>
              <w:rPr>
                <w:rFonts w:hint="eastAsia"/>
              </w:rPr>
              <w:t>3、车辆改装技术方案不合理、不完整、有重大欠缺或安全性差或未提供的不得分。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129" w:type="dxa"/>
            <w:vMerge w:val="continue"/>
            <w:tcBorders>
              <w:left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right w:val="single" w:color="auto" w:sz="4" w:space="0"/>
            </w:tcBorders>
            <w:vAlign w:val="center"/>
          </w:tcPr>
          <w:p>
            <w:pPr>
              <w:adjustRightInd w:val="0"/>
              <w:spacing w:line="360" w:lineRule="auto"/>
              <w:jc w:val="center"/>
              <w:rPr>
                <w:rFonts w:hint="eastAsia" w:ascii="宋体" w:hAnsi="宋体" w:eastAsia="宋体"/>
                <w:szCs w:val="21"/>
                <w:lang w:val="en-US" w:eastAsia="zh-CN"/>
              </w:rPr>
            </w:pPr>
            <w:r>
              <w:rPr>
                <w:rFonts w:hint="eastAsia" w:ascii="宋体" w:hAnsi="宋体"/>
                <w:szCs w:val="21"/>
              </w:rPr>
              <w:t>5</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车辆改装技术方案中应包括车内设备布局电磁屏蔽和电磁兼容的技术说明；车辆改装后电磁兼容性方案详细、合理，并有测向整机产品电磁辐射抗扰特性相关的第三方认证材料。</w:t>
            </w:r>
          </w:p>
          <w:p>
            <w:pPr>
              <w:adjustRightInd w:val="0"/>
              <w:spacing w:line="360" w:lineRule="auto"/>
              <w:rPr>
                <w:rFonts w:hint="eastAsia"/>
              </w:rPr>
            </w:pPr>
            <w:r>
              <w:rPr>
                <w:rFonts w:hint="eastAsia"/>
              </w:rPr>
              <w:t>1、车辆改装电磁兼容性方案详细、合理，并有数据支撑的得【</w:t>
            </w:r>
            <w:r>
              <w:rPr>
                <w:rFonts w:hint="eastAsia"/>
                <w:lang w:val="en-US" w:eastAsia="zh-CN"/>
              </w:rPr>
              <w:t>3</w:t>
            </w:r>
            <w:r>
              <w:rPr>
                <w:rFonts w:hint="eastAsia"/>
              </w:rPr>
              <w:t>-</w:t>
            </w:r>
            <w:r>
              <w:rPr>
                <w:rFonts w:hint="eastAsia"/>
                <w:lang w:val="en-US" w:eastAsia="zh-CN"/>
              </w:rPr>
              <w:t>5</w:t>
            </w:r>
            <w:r>
              <w:rPr>
                <w:rFonts w:hint="eastAsia"/>
              </w:rPr>
              <w:t>】分；</w:t>
            </w:r>
          </w:p>
          <w:p>
            <w:pPr>
              <w:adjustRightInd w:val="0"/>
              <w:spacing w:line="360" w:lineRule="auto"/>
              <w:rPr>
                <w:rFonts w:hint="eastAsia"/>
              </w:rPr>
            </w:pPr>
            <w:r>
              <w:rPr>
                <w:rFonts w:hint="eastAsia"/>
              </w:rPr>
              <w:t>2、车辆改装电磁兼容性方案较详细、较合理的得【</w:t>
            </w:r>
            <w:r>
              <w:rPr>
                <w:rFonts w:hint="eastAsia"/>
                <w:lang w:val="en-US" w:eastAsia="zh-CN"/>
              </w:rPr>
              <w:t>0</w:t>
            </w:r>
            <w:r>
              <w:rPr>
                <w:rFonts w:hint="eastAsia"/>
              </w:rPr>
              <w:t>-</w:t>
            </w:r>
            <w:r>
              <w:rPr>
                <w:rFonts w:hint="eastAsia"/>
                <w:lang w:val="en-US" w:eastAsia="zh-CN"/>
              </w:rPr>
              <w:t>3）</w:t>
            </w:r>
            <w:r>
              <w:rPr>
                <w:rFonts w:hint="eastAsia"/>
              </w:rPr>
              <w:t>分；</w:t>
            </w:r>
          </w:p>
          <w:p>
            <w:pPr>
              <w:adjustRightInd w:val="0"/>
              <w:spacing w:line="360" w:lineRule="auto"/>
            </w:pPr>
            <w:r>
              <w:rPr>
                <w:rFonts w:hint="eastAsia"/>
              </w:rPr>
              <w:t>3、车辆改装电磁兼容性方案差或者未提供的不得分。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tcBorders>
              <w:left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4</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系统技术方案中需对核心产品整机对常见的数字信号进行分析的详细技术实现方法和结果输出的说明。</w:t>
            </w:r>
          </w:p>
          <w:p>
            <w:pPr>
              <w:adjustRightInd w:val="0"/>
              <w:spacing w:line="360" w:lineRule="auto"/>
              <w:rPr>
                <w:rFonts w:hint="eastAsia"/>
              </w:rPr>
            </w:pPr>
            <w:r>
              <w:rPr>
                <w:rFonts w:hint="eastAsia"/>
              </w:rPr>
              <w:t>1、信号分析原理说明详实、流程合理、典型信号分析功能描述具体的，得</w:t>
            </w:r>
            <w:r>
              <w:rPr>
                <w:rFonts w:hint="eastAsia"/>
                <w:lang w:eastAsia="zh-CN"/>
              </w:rPr>
              <w:t>【</w:t>
            </w:r>
            <w:r>
              <w:rPr>
                <w:rFonts w:hint="eastAsia"/>
                <w:lang w:val="en-US" w:eastAsia="zh-CN"/>
              </w:rPr>
              <w:t>2-4</w:t>
            </w:r>
            <w:r>
              <w:rPr>
                <w:rFonts w:hint="eastAsia"/>
                <w:lang w:eastAsia="zh-CN"/>
              </w:rPr>
              <w:t>】</w:t>
            </w:r>
            <w:r>
              <w:rPr>
                <w:rFonts w:hint="eastAsia"/>
              </w:rPr>
              <w:t>分；</w:t>
            </w:r>
          </w:p>
          <w:p>
            <w:pPr>
              <w:adjustRightInd w:val="0"/>
              <w:spacing w:line="360" w:lineRule="auto"/>
              <w:rPr>
                <w:rFonts w:hint="eastAsia"/>
              </w:rPr>
            </w:pPr>
            <w:r>
              <w:rPr>
                <w:rFonts w:hint="eastAsia"/>
              </w:rPr>
              <w:t>2、信号分析原理说明不够详实、流程不够合理、信号分析功能描述不够具体的，得</w:t>
            </w:r>
            <w:r>
              <w:rPr>
                <w:rFonts w:hint="eastAsia"/>
                <w:lang w:eastAsia="zh-CN"/>
              </w:rPr>
              <w:t>【</w:t>
            </w:r>
            <w:r>
              <w:rPr>
                <w:rFonts w:hint="eastAsia"/>
                <w:lang w:val="en-US" w:eastAsia="zh-CN"/>
              </w:rPr>
              <w:t>0-2</w:t>
            </w:r>
            <w:r>
              <w:rPr>
                <w:rFonts w:hint="eastAsia"/>
                <w:lang w:eastAsia="zh-CN"/>
              </w:rPr>
              <w:t>）</w:t>
            </w:r>
            <w:r>
              <w:rPr>
                <w:rFonts w:hint="eastAsia"/>
              </w:rPr>
              <w:t>分；</w:t>
            </w:r>
          </w:p>
          <w:p>
            <w:pPr>
              <w:adjustRightInd w:val="0"/>
              <w:spacing w:line="360" w:lineRule="auto"/>
            </w:pPr>
            <w:r>
              <w:rPr>
                <w:rFonts w:hint="eastAsia"/>
              </w:rPr>
              <w:t>3、信号分析实现方法有缺陷，或未提供的不得分。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129" w:type="dxa"/>
            <w:vMerge w:val="continue"/>
            <w:tcBorders>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p>
        </w:tc>
        <w:tc>
          <w:tcPr>
            <w:tcW w:w="661" w:type="dxa"/>
            <w:tcBorders>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eastAsia="宋体"/>
                <w:lang w:eastAsia="zh-CN"/>
              </w:rPr>
            </w:pPr>
            <w:r>
              <w:rPr>
                <w:rFonts w:hint="eastAsia"/>
              </w:rPr>
              <w:t>提供无线电监测管理一体化平台原子服务接入能力测试报告复印件佐证的（测试报告应依据YD/T3700.1-2020《超短波监测管理一体化平台技术规范》进行测试，原件备查）</w:t>
            </w:r>
            <w:r>
              <w:rPr>
                <w:rFonts w:hint="eastAsia"/>
                <w:lang w:eastAsia="zh-CN"/>
              </w:rPr>
              <w:t>。</w:t>
            </w:r>
          </w:p>
          <w:p>
            <w:pPr>
              <w:adjustRightInd w:val="0"/>
              <w:spacing w:line="360" w:lineRule="auto"/>
              <w:rPr>
                <w:rFonts w:hint="eastAsia"/>
              </w:rPr>
            </w:pPr>
            <w:r>
              <w:rPr>
                <w:rFonts w:hint="eastAsia"/>
              </w:rPr>
              <w:t>1、投标人提供全部33个测试项，得</w:t>
            </w:r>
            <w:r>
              <w:rPr>
                <w:rFonts w:hint="eastAsia"/>
                <w:lang w:val="en-US" w:eastAsia="zh-CN"/>
              </w:rPr>
              <w:t>3</w:t>
            </w:r>
            <w:r>
              <w:rPr>
                <w:rFonts w:hint="eastAsia"/>
              </w:rPr>
              <w:t>分；</w:t>
            </w:r>
          </w:p>
          <w:p>
            <w:pPr>
              <w:adjustRightInd w:val="0"/>
              <w:spacing w:line="360" w:lineRule="auto"/>
              <w:rPr>
                <w:rFonts w:hint="eastAsia"/>
              </w:rPr>
            </w:pPr>
            <w:r>
              <w:rPr>
                <w:rFonts w:hint="eastAsia"/>
              </w:rPr>
              <w:t>2、投标人仅提供32-26个测试项，得</w:t>
            </w:r>
            <w:r>
              <w:rPr>
                <w:rFonts w:hint="eastAsia"/>
                <w:lang w:val="en-US" w:eastAsia="zh-CN"/>
              </w:rPr>
              <w:t>2</w:t>
            </w:r>
            <w:r>
              <w:rPr>
                <w:rFonts w:hint="eastAsia"/>
              </w:rPr>
              <w:t>分；</w:t>
            </w:r>
          </w:p>
          <w:p>
            <w:pPr>
              <w:adjustRightInd w:val="0"/>
              <w:spacing w:line="360" w:lineRule="auto"/>
              <w:rPr>
                <w:rFonts w:hint="eastAsia"/>
              </w:rPr>
            </w:pPr>
            <w:r>
              <w:rPr>
                <w:rFonts w:hint="eastAsia"/>
              </w:rPr>
              <w:t>3、投标人仅提供25-20个测试项，得1分；</w:t>
            </w:r>
          </w:p>
          <w:p>
            <w:pPr>
              <w:adjustRightInd w:val="0"/>
              <w:spacing w:line="360" w:lineRule="auto"/>
              <w:rPr>
                <w:rFonts w:hint="eastAsia"/>
              </w:rPr>
            </w:pPr>
            <w:r>
              <w:rPr>
                <w:rFonts w:hint="eastAsia"/>
              </w:rPr>
              <w:t>4、投标人仅提供19个及以下测试项或未提供，不得分。</w:t>
            </w:r>
          </w:p>
          <w:p>
            <w:pPr>
              <w:adjustRightInd w:val="0"/>
              <w:spacing w:line="360" w:lineRule="auto"/>
              <w:rPr>
                <w:rFonts w:hint="eastAsia"/>
              </w:rPr>
            </w:pPr>
            <w:r>
              <w:rPr>
                <w:rFonts w:hint="eastAsia"/>
              </w:rPr>
              <w:t>（提供报告复印件加盖公章，否则不得分。）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9" w:type="dxa"/>
            <w:tcBorders>
              <w:top w:val="single" w:color="auto" w:sz="4" w:space="0"/>
              <w:left w:val="single" w:color="auto" w:sz="4" w:space="0"/>
              <w:right w:val="single" w:color="auto" w:sz="4" w:space="0"/>
            </w:tcBorders>
            <w:vAlign w:val="center"/>
          </w:tcPr>
          <w:p>
            <w:pPr>
              <w:adjustRightInd w:val="0"/>
              <w:spacing w:line="360" w:lineRule="auto"/>
              <w:jc w:val="center"/>
              <w:rPr>
                <w:rFonts w:ascii="宋体" w:hAnsi="宋体"/>
                <w:szCs w:val="21"/>
                <w:highlight w:val="none"/>
              </w:rPr>
            </w:pPr>
            <w:r>
              <w:rPr>
                <w:rFonts w:hint="eastAsia" w:ascii="宋体" w:hAnsi="宋体"/>
                <w:szCs w:val="21"/>
                <w:highlight w:val="none"/>
              </w:rPr>
              <w:t>实施方案</w:t>
            </w:r>
          </w:p>
          <w:p>
            <w:pPr>
              <w:adjustRightInd w:val="0"/>
              <w:spacing w:line="360" w:lineRule="auto"/>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分）</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7</w:t>
            </w:r>
          </w:p>
        </w:tc>
        <w:tc>
          <w:tcPr>
            <w:tcW w:w="784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szCs w:val="21"/>
                <w:highlight w:val="none"/>
              </w:rPr>
            </w:pPr>
            <w:r>
              <w:rPr>
                <w:rFonts w:hint="eastAsia" w:ascii="宋体" w:hAnsi="宋体"/>
                <w:szCs w:val="21"/>
                <w:highlight w:val="none"/>
              </w:rPr>
              <w:t>提供完整的项目实施方案，包括实施步骤、设备安装与调试、进度计划等内容。</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jc w:val="left"/>
              <w:textAlignment w:val="auto"/>
              <w:rPr>
                <w:rFonts w:hint="eastAsia" w:ascii="宋体" w:hAnsi="宋体"/>
                <w:szCs w:val="21"/>
                <w:highlight w:val="none"/>
                <w:lang w:val="en-US" w:eastAsia="zh-CN"/>
              </w:rPr>
            </w:pPr>
            <w:r>
              <w:rPr>
                <w:rFonts w:hint="eastAsia" w:ascii="宋体" w:hAnsi="宋体"/>
                <w:szCs w:val="21"/>
                <w:highlight w:val="none"/>
                <w:lang w:val="en-US" w:eastAsia="zh-CN"/>
              </w:rPr>
              <w:t>实施方案具体、完整、详细、齐全得【4-7】分；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szCs w:val="21"/>
                <w:highlight w:val="none"/>
              </w:rPr>
            </w:pPr>
            <w:r>
              <w:rPr>
                <w:rFonts w:hint="eastAsia" w:ascii="宋体" w:hAnsi="宋体"/>
                <w:szCs w:val="21"/>
                <w:highlight w:val="none"/>
                <w:lang w:val="en-US" w:eastAsia="zh-CN"/>
              </w:rPr>
              <w:t xml:space="preserve">2、实施方案内容欠缺、薄弱得【0-4）分；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szCs w:val="21"/>
                <w:highlight w:val="none"/>
              </w:rPr>
            </w:pPr>
            <w:r>
              <w:rPr>
                <w:rFonts w:hint="eastAsia" w:ascii="宋体" w:hAnsi="宋体"/>
                <w:szCs w:val="21"/>
                <w:highlight w:val="none"/>
                <w:lang w:val="en-US" w:eastAsia="zh-CN"/>
              </w:rPr>
              <w:t>3、未提供方案不得分。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129" w:type="dxa"/>
            <w:vMerge w:val="restart"/>
            <w:tcBorders>
              <w:top w:val="single" w:color="auto" w:sz="4" w:space="0"/>
              <w:left w:val="single" w:color="auto" w:sz="4" w:space="0"/>
              <w:right w:val="single" w:color="auto" w:sz="4" w:space="0"/>
            </w:tcBorders>
            <w:vAlign w:val="center"/>
          </w:tcPr>
          <w:p>
            <w:pPr>
              <w:adjustRightInd w:val="0"/>
              <w:spacing w:line="360" w:lineRule="auto"/>
              <w:jc w:val="center"/>
              <w:rPr>
                <w:rFonts w:ascii="宋体" w:hAnsi="宋体"/>
                <w:kern w:val="0"/>
                <w:szCs w:val="21"/>
              </w:rPr>
            </w:pPr>
            <w:r>
              <w:rPr>
                <w:rFonts w:hint="eastAsia" w:ascii="宋体" w:hAnsi="宋体"/>
                <w:kern w:val="0"/>
                <w:szCs w:val="21"/>
              </w:rPr>
              <w:t>履约能力</w:t>
            </w:r>
          </w:p>
          <w:p>
            <w:pPr>
              <w:adjustRightInd w:val="0"/>
              <w:spacing w:line="360" w:lineRule="auto"/>
              <w:jc w:val="center"/>
              <w:rPr>
                <w:rFonts w:ascii="宋体" w:hAnsi="宋体"/>
                <w:szCs w:val="21"/>
              </w:rPr>
            </w:pPr>
            <w:r>
              <w:rPr>
                <w:rFonts w:hint="eastAsia" w:ascii="宋体" w:hAnsi="宋体"/>
                <w:kern w:val="0"/>
                <w:szCs w:val="21"/>
              </w:rPr>
              <w:t>（</w:t>
            </w:r>
            <w:r>
              <w:rPr>
                <w:rFonts w:hint="eastAsia" w:ascii="宋体" w:hAnsi="宋体"/>
                <w:kern w:val="0"/>
                <w:szCs w:val="21"/>
                <w:lang w:val="en-US" w:eastAsia="zh-CN"/>
              </w:rPr>
              <w:t>8</w:t>
            </w:r>
            <w:r>
              <w:rPr>
                <w:rFonts w:hint="eastAsia" w:ascii="宋体" w:hAnsi="宋体"/>
                <w:kern w:val="0"/>
                <w:szCs w:val="21"/>
              </w:rPr>
              <w:t>分）</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5</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投标供应商具备IS09001、IS014001、ISO20000、ISO27001、ISO45001管理体系认证（提供效期内的证书复印件并加盖公章，原件备查），每提供1个得1分。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129" w:type="dxa"/>
            <w:vMerge w:val="continue"/>
            <w:tcBorders>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kern w:val="0"/>
                <w:szCs w:val="21"/>
              </w:rPr>
            </w:pP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7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项目</w:t>
            </w:r>
            <w:r>
              <w:rPr>
                <w:rFonts w:ascii="宋体" w:hAnsi="宋体"/>
                <w:szCs w:val="21"/>
              </w:rPr>
              <w:t>组</w:t>
            </w:r>
            <w:r>
              <w:rPr>
                <w:rFonts w:hint="eastAsia" w:ascii="宋体" w:hAnsi="宋体"/>
                <w:szCs w:val="21"/>
              </w:rPr>
              <w:t>具备中级及以上系统集成项目管理工程师的，得1分；具备I</w:t>
            </w:r>
            <w:r>
              <w:rPr>
                <w:rFonts w:ascii="宋体" w:hAnsi="宋体"/>
                <w:szCs w:val="21"/>
              </w:rPr>
              <w:t>TSS</w:t>
            </w:r>
            <w:r>
              <w:rPr>
                <w:rFonts w:hint="eastAsia" w:ascii="宋体" w:hAnsi="宋体"/>
                <w:szCs w:val="21"/>
              </w:rPr>
              <w:t>信息技术服务标准应用经理的，得2分。</w:t>
            </w:r>
          </w:p>
          <w:p>
            <w:pPr>
              <w:adjustRightInd w:val="0"/>
              <w:spacing w:line="360" w:lineRule="auto"/>
              <w:rPr>
                <w:rFonts w:hint="eastAsia" w:ascii="宋体" w:hAnsi="宋体"/>
                <w:szCs w:val="21"/>
              </w:rPr>
            </w:pPr>
            <w:r>
              <w:rPr>
                <w:rFonts w:ascii="宋体" w:hAnsi="宋体"/>
                <w:szCs w:val="21"/>
              </w:rPr>
              <w:t>（需提供资质证书、身份证、其在</w:t>
            </w:r>
            <w:r>
              <w:rPr>
                <w:rFonts w:hint="eastAsia" w:ascii="宋体" w:hAnsi="宋体"/>
                <w:szCs w:val="21"/>
              </w:rPr>
              <w:t>投标供应商</w:t>
            </w:r>
            <w:r>
              <w:rPr>
                <w:rFonts w:ascii="宋体" w:hAnsi="宋体"/>
                <w:szCs w:val="21"/>
              </w:rPr>
              <w:t>单位近</w:t>
            </w:r>
            <w:r>
              <w:rPr>
                <w:rFonts w:hint="eastAsia" w:ascii="宋体" w:hAnsi="宋体"/>
                <w:szCs w:val="21"/>
              </w:rPr>
              <w:t>三个月</w:t>
            </w:r>
            <w:r>
              <w:rPr>
                <w:rFonts w:ascii="宋体" w:hAnsi="宋体"/>
                <w:szCs w:val="21"/>
              </w:rPr>
              <w:t>社保证明复印件</w:t>
            </w:r>
            <w:r>
              <w:rPr>
                <w:rFonts w:hint="eastAsia" w:ascii="宋体" w:hAnsi="宋体"/>
                <w:szCs w:val="21"/>
              </w:rPr>
              <w:t>，</w:t>
            </w:r>
            <w:r>
              <w:rPr>
                <w:rFonts w:ascii="宋体" w:hAnsi="宋体"/>
                <w:szCs w:val="21"/>
              </w:rPr>
              <w:t>未提供或提供无效的不得分。）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业绩</w:t>
            </w:r>
          </w:p>
          <w:p>
            <w:pPr>
              <w:adjustRightInd w:val="0"/>
              <w:spacing w:line="360" w:lineRule="auto"/>
              <w:jc w:val="center"/>
              <w:rPr>
                <w:rFonts w:ascii="宋体" w:hAnsi="宋体"/>
                <w:szCs w:val="21"/>
              </w:rPr>
            </w:pPr>
            <w:r>
              <w:rPr>
                <w:rFonts w:hint="eastAsia" w:ascii="宋体" w:hAnsi="宋体"/>
                <w:szCs w:val="21"/>
              </w:rPr>
              <w:t>（5分）</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5</w:t>
            </w:r>
          </w:p>
        </w:tc>
        <w:tc>
          <w:tcPr>
            <w:tcW w:w="7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lang w:val="zh-CN"/>
              </w:rPr>
            </w:pPr>
            <w:r>
              <w:rPr>
                <w:rFonts w:hint="eastAsia" w:ascii="宋体" w:hAnsi="宋体"/>
                <w:szCs w:val="21"/>
                <w:highlight w:val="none"/>
              </w:rPr>
              <w:t>提供自2</w:t>
            </w:r>
            <w:r>
              <w:rPr>
                <w:rFonts w:ascii="宋体" w:hAnsi="宋体"/>
                <w:szCs w:val="21"/>
                <w:highlight w:val="none"/>
              </w:rPr>
              <w:t>0</w:t>
            </w:r>
            <w:r>
              <w:rPr>
                <w:rFonts w:hint="eastAsia" w:ascii="宋体" w:hAnsi="宋体"/>
                <w:szCs w:val="21"/>
                <w:highlight w:val="none"/>
                <w:lang w:val="en-US" w:eastAsia="zh-CN"/>
              </w:rPr>
              <w:t>20</w:t>
            </w:r>
            <w:r>
              <w:rPr>
                <w:rFonts w:hint="eastAsia" w:ascii="宋体" w:hAnsi="宋体"/>
                <w:szCs w:val="21"/>
                <w:highlight w:val="none"/>
              </w:rPr>
              <w:t>年1月1日以来</w:t>
            </w:r>
            <w:r>
              <w:rPr>
                <w:rFonts w:hint="eastAsia" w:ascii="宋体" w:hAnsi="宋体"/>
                <w:szCs w:val="21"/>
              </w:rPr>
              <w:t>（以合同签订时间为准）</w:t>
            </w:r>
            <w:r>
              <w:rPr>
                <w:rFonts w:hint="eastAsia" w:ascii="宋体" w:hAnsi="宋体"/>
                <w:color w:val="auto"/>
                <w:szCs w:val="21"/>
              </w:rPr>
              <w:t>类似</w:t>
            </w:r>
            <w:r>
              <w:rPr>
                <w:rFonts w:hint="eastAsia" w:ascii="宋体" w:hAnsi="宋体" w:eastAsia="宋体"/>
                <w:color w:val="auto"/>
                <w:szCs w:val="21"/>
              </w:rPr>
              <w:t>移动站项目</w:t>
            </w:r>
            <w:r>
              <w:rPr>
                <w:rFonts w:hint="eastAsia" w:ascii="宋体" w:hAnsi="宋体"/>
                <w:color w:val="auto"/>
                <w:szCs w:val="21"/>
              </w:rPr>
              <w:t>业绩，</w:t>
            </w:r>
            <w:r>
              <w:rPr>
                <w:rFonts w:hint="eastAsia" w:ascii="宋体" w:hAnsi="宋体"/>
                <w:szCs w:val="21"/>
              </w:rPr>
              <w:t>投标文件中附有其业绩证明材料复印件，业绩以合同、中标（成交）通知书、中标公告网站截图为依据，每提供一个计</w:t>
            </w:r>
            <w:r>
              <w:rPr>
                <w:rFonts w:ascii="宋体" w:hAnsi="宋体"/>
                <w:szCs w:val="21"/>
              </w:rPr>
              <w:t>1</w:t>
            </w:r>
            <w:r>
              <w:rPr>
                <w:rFonts w:hint="eastAsia" w:ascii="宋体" w:hAnsi="宋体"/>
                <w:szCs w:val="21"/>
              </w:rPr>
              <w:t>分，满分5分。缺项或不提供不得分。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129" w:type="dxa"/>
            <w:vMerge w:val="restart"/>
            <w:tcBorders>
              <w:top w:val="single" w:color="auto" w:sz="4" w:space="0"/>
              <w:left w:val="single" w:color="auto" w:sz="4" w:space="0"/>
              <w:right w:val="single" w:color="auto" w:sz="4" w:space="0"/>
            </w:tcBorders>
            <w:vAlign w:val="center"/>
          </w:tcPr>
          <w:p>
            <w:pPr>
              <w:adjustRightInd w:val="0"/>
              <w:spacing w:line="360" w:lineRule="auto"/>
              <w:jc w:val="center"/>
              <w:rPr>
                <w:rFonts w:ascii="宋体" w:hAnsi="宋体"/>
                <w:szCs w:val="21"/>
              </w:rPr>
            </w:pPr>
            <w:r>
              <w:rPr>
                <w:rFonts w:hint="eastAsia" w:ascii="宋体" w:hAnsi="宋体"/>
                <w:szCs w:val="21"/>
              </w:rPr>
              <w:t>售后服务及培训</w:t>
            </w:r>
          </w:p>
          <w:p>
            <w:pPr>
              <w:adjustRightInd w:val="0"/>
              <w:spacing w:line="360" w:lineRule="auto"/>
              <w:jc w:val="cente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lang w:val="en-US" w:eastAsia="zh-CN"/>
              </w:rPr>
              <w:t>0</w:t>
            </w:r>
            <w:r>
              <w:rPr>
                <w:rFonts w:hint="eastAsia" w:ascii="宋体" w:hAnsi="宋体"/>
                <w:szCs w:val="21"/>
              </w:rPr>
              <w:t>分）</w:t>
            </w:r>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rPr>
                <w:rFonts w:hint="eastAsia" w:ascii="宋体" w:hAnsi="宋体" w:eastAsia="宋体"/>
                <w:szCs w:val="21"/>
                <w:lang w:eastAsia="zh-CN"/>
              </w:rPr>
            </w:pPr>
            <w:r>
              <w:rPr>
                <w:rFonts w:hint="eastAsia" w:ascii="宋体" w:hAnsi="宋体"/>
                <w:szCs w:val="21"/>
                <w:lang w:val="en-US" w:eastAsia="zh-CN"/>
              </w:rPr>
              <w:t>4</w:t>
            </w:r>
          </w:p>
        </w:tc>
        <w:tc>
          <w:tcPr>
            <w:tcW w:w="784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rPr>
            </w:pPr>
            <w:r>
              <w:rPr>
                <w:rFonts w:hint="eastAsia"/>
              </w:rPr>
              <w:t>有明确、完善的售后服务方案和售后承诺内容，并提供信息技术服务运行维护标准符合性证书与无线电监测、检测、测向定位系统硬件和软件售后服务证书的。</w:t>
            </w:r>
          </w:p>
          <w:p>
            <w:pPr>
              <w:spacing w:line="360" w:lineRule="auto"/>
              <w:rPr>
                <w:rFonts w:hint="eastAsia"/>
              </w:rPr>
            </w:pPr>
            <w:r>
              <w:rPr>
                <w:rFonts w:hint="eastAsia"/>
              </w:rPr>
              <w:t>1、方案详细具体、合理可行，且能够提供相关证书的，得【</w:t>
            </w:r>
            <w:r>
              <w:rPr>
                <w:rFonts w:hint="eastAsia"/>
                <w:lang w:val="en-US" w:eastAsia="zh-CN"/>
              </w:rPr>
              <w:t>2-4</w:t>
            </w:r>
            <w:r>
              <w:rPr>
                <w:rFonts w:hint="eastAsia"/>
              </w:rPr>
              <w:t>】分；</w:t>
            </w:r>
          </w:p>
          <w:p>
            <w:pPr>
              <w:spacing w:line="360" w:lineRule="auto"/>
              <w:rPr>
                <w:rFonts w:hint="eastAsia"/>
              </w:rPr>
            </w:pPr>
            <w:r>
              <w:rPr>
                <w:rFonts w:hint="eastAsia"/>
              </w:rPr>
              <w:t>2、方案一般、基本合理可行，证书提供不全的，得【</w:t>
            </w:r>
            <w:r>
              <w:rPr>
                <w:rFonts w:hint="eastAsia"/>
                <w:lang w:val="en-US" w:eastAsia="zh-CN"/>
              </w:rPr>
              <w:t>0</w:t>
            </w:r>
            <w:r>
              <w:rPr>
                <w:rFonts w:hint="eastAsia"/>
              </w:rPr>
              <w:t>-</w:t>
            </w:r>
            <w:r>
              <w:rPr>
                <w:rFonts w:hint="eastAsia"/>
                <w:lang w:val="en-US" w:eastAsia="zh-CN"/>
              </w:rPr>
              <w:t>2</w:t>
            </w:r>
            <w:r>
              <w:rPr>
                <w:rFonts w:hint="eastAsia"/>
                <w:lang w:eastAsia="zh-CN"/>
              </w:rPr>
              <w:t>）</w:t>
            </w:r>
            <w:r>
              <w:rPr>
                <w:rFonts w:hint="eastAsia"/>
              </w:rPr>
              <w:t>分；</w:t>
            </w:r>
          </w:p>
          <w:p>
            <w:pPr>
              <w:spacing w:line="360" w:lineRule="auto"/>
              <w:rPr>
                <w:lang w:val="zh-CN"/>
              </w:rPr>
            </w:pPr>
            <w:r>
              <w:rPr>
                <w:rFonts w:hint="eastAsia"/>
              </w:rPr>
              <w:t>3、方案较差或者未提供的不得分。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29" w:type="dxa"/>
            <w:vMerge w:val="continue"/>
            <w:tcBorders>
              <w:left w:val="single" w:color="auto" w:sz="4" w:space="0"/>
              <w:bottom w:val="single" w:color="auto" w:sz="4" w:space="0"/>
              <w:right w:val="single" w:color="auto" w:sz="4" w:space="0"/>
            </w:tcBorders>
            <w:vAlign w:val="center"/>
          </w:tcPr>
          <w:p>
            <w:pPr>
              <w:adjustRightInd w:val="0"/>
              <w:spacing w:line="360" w:lineRule="auto"/>
              <w:jc w:val="center"/>
              <w:rPr>
                <w:rFonts w:ascii="宋体" w:hAnsi="宋体"/>
                <w:szCs w:val="21"/>
              </w:rPr>
            </w:pPr>
            <w:bookmarkStart w:id="249" w:name="_GoBack"/>
            <w:bookmarkEnd w:id="249"/>
          </w:p>
        </w:tc>
        <w:tc>
          <w:tcPr>
            <w:tcW w:w="661"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3</w:t>
            </w:r>
          </w:p>
        </w:tc>
        <w:tc>
          <w:tcPr>
            <w:tcW w:w="784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hint="eastAsia"/>
              </w:rPr>
            </w:pPr>
            <w:r>
              <w:rPr>
                <w:rFonts w:hint="eastAsia"/>
              </w:rPr>
              <w:t>具有完整的培训方案；培训内容明确，培训计划合理。</w:t>
            </w:r>
          </w:p>
          <w:p>
            <w:pPr>
              <w:adjustRightInd w:val="0"/>
              <w:spacing w:line="360" w:lineRule="auto"/>
              <w:rPr>
                <w:rFonts w:hint="eastAsia"/>
              </w:rPr>
            </w:pPr>
            <w:r>
              <w:rPr>
                <w:rFonts w:hint="eastAsia"/>
              </w:rPr>
              <w:t>1、培训方案完整、培训内容明确、培训计划合理的，得</w:t>
            </w:r>
            <w:r>
              <w:rPr>
                <w:rFonts w:hint="eastAsia"/>
                <w:lang w:eastAsia="zh-CN"/>
              </w:rPr>
              <w:t>【</w:t>
            </w:r>
            <w:r>
              <w:rPr>
                <w:rFonts w:hint="eastAsia"/>
                <w:lang w:val="en-US" w:eastAsia="zh-CN"/>
              </w:rPr>
              <w:t>2-3</w:t>
            </w:r>
            <w:r>
              <w:rPr>
                <w:rFonts w:hint="eastAsia"/>
                <w:lang w:eastAsia="zh-CN"/>
              </w:rPr>
              <w:t>】</w:t>
            </w:r>
            <w:r>
              <w:rPr>
                <w:rFonts w:hint="eastAsia"/>
              </w:rPr>
              <w:t>分；</w:t>
            </w:r>
          </w:p>
          <w:p>
            <w:pPr>
              <w:adjustRightInd w:val="0"/>
              <w:spacing w:line="360" w:lineRule="auto"/>
              <w:rPr>
                <w:rFonts w:hint="eastAsia"/>
              </w:rPr>
            </w:pPr>
            <w:r>
              <w:rPr>
                <w:rFonts w:hint="eastAsia"/>
              </w:rPr>
              <w:t>2、培训方案不够完整，培训内容不够明确、培训计划不够合理的，得【</w:t>
            </w:r>
            <w:r>
              <w:rPr>
                <w:rFonts w:hint="eastAsia"/>
                <w:lang w:val="en-US" w:eastAsia="zh-CN"/>
              </w:rPr>
              <w:t>0</w:t>
            </w:r>
            <w:r>
              <w:rPr>
                <w:rFonts w:hint="eastAsia"/>
              </w:rPr>
              <w:t>-</w:t>
            </w:r>
            <w:r>
              <w:rPr>
                <w:rFonts w:hint="eastAsia"/>
                <w:lang w:val="en-US" w:eastAsia="zh-CN"/>
              </w:rPr>
              <w:t>2</w:t>
            </w:r>
            <w:r>
              <w:rPr>
                <w:rFonts w:hint="eastAsia"/>
                <w:lang w:eastAsia="zh-CN"/>
              </w:rPr>
              <w:t>）</w:t>
            </w:r>
            <w:r>
              <w:rPr>
                <w:rFonts w:hint="eastAsia"/>
              </w:rPr>
              <w:t>分；</w:t>
            </w:r>
          </w:p>
          <w:p>
            <w:pPr>
              <w:adjustRightInd w:val="0"/>
              <w:spacing w:line="360" w:lineRule="auto"/>
              <w:rPr>
                <w:rFonts w:hint="eastAsia"/>
                <w:lang w:val="zh-CN"/>
              </w:rPr>
            </w:pPr>
            <w:r>
              <w:rPr>
                <w:rFonts w:hint="eastAsia"/>
              </w:rPr>
              <w:t>3、培训方案有明显缺陷或未提供的，不得分。</w:t>
            </w:r>
          </w:p>
        </w:tc>
      </w:tr>
    </w:tbl>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备注：以上评审项，缺项不得分。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非单一产品采购项目，采购人应当根据采购项目技术构成、产品价格比重等合理确定核心产品，</w:t>
      </w:r>
      <w:r>
        <w:rPr>
          <w:rFonts w:hint="eastAsia" w:cs="宋体" w:asciiTheme="minorEastAsia" w:hAnsiTheme="minorEastAsia" w:eastAsiaTheme="minorEastAsia"/>
          <w:b/>
          <w:sz w:val="24"/>
        </w:rPr>
        <w:t>本项目核心产品为：测向接收机。</w:t>
      </w:r>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2.3无效投标的认定</w:t>
      </w:r>
      <w:bookmarkEnd w:id="194"/>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在评标过程中，出现下列情形之一的，投标无效：</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（1）投标文件未按照招标文件要求签署、盖章的；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（2）投标文件未按照招标文件规定的格式要求编制的；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（3）不具备招标文件中规定的资格要求的；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（4）投标报价超过了招标文件中规定的预算金额或者最高限价的；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（5）投标内容出现漏项或数量与要求不符的；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（6）投标有效期、交货安装期限、质保期、售后服务等商务条款不能满足招标文件要求的；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（7）投标文件中附有采购人不能接受的附加条件的；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（8）投标文件的关键内容字迹模糊和无法辨认的；</w:t>
      </w: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（9）法律法规和招标文件规定的其他情形的。</w:t>
      </w:r>
    </w:p>
    <w:p>
      <w:pPr>
        <w:tabs>
          <w:tab w:val="left" w:pos="7665"/>
        </w:tabs>
        <w:spacing w:line="360" w:lineRule="auto"/>
        <w:ind w:firstLine="480" w:firstLineChars="200"/>
        <w:rPr>
          <w:rFonts w:cs="宋体" w:asciiTheme="minorEastAsia" w:hAnsiTheme="minorEastAsia" w:eastAsiaTheme="minorEastAsia"/>
          <w:sz w:val="24"/>
        </w:rPr>
      </w:pPr>
      <w:bookmarkStart w:id="195" w:name="_Toc30881_WPSOffice_Level1"/>
      <w:r>
        <w:rPr>
          <w:rFonts w:hint="eastAsia" w:cs="宋体" w:asciiTheme="minorEastAsia" w:hAnsiTheme="minorEastAsia" w:eastAsiaTheme="minorEastAsia"/>
          <w:sz w:val="24"/>
        </w:rPr>
        <w:t>2.4 特殊情况的处理</w:t>
      </w:r>
      <w:bookmarkEnd w:id="195"/>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2.4.1 投标文件中如果出现计算错误，可按以下原则进行修正：</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（1）投标文件中的大写金额与小写金额不一致的，以大写金额为准；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（2）投标文件中的总价金额与按单价计算的汇总金额不一致的，以单价计算的汇总金额为准；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（3）投标文件中的单价金额有明显小数点错误的，以总价为准，并修改单价；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（4）投标文件中有关分项表内容与“开标一览表”不一致的，以“开标一览表”为准；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（5）投标文件中图表与文字表述不一致的，以文字表述为准；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（6）投标文件正本与副本不一致的，以正本为准；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（7）对不同文字文本投标文件的解释发生异议的，以中文文本为准。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按上述修正错误的方法调整的投标报价应对投标供应商具有约束力。如果投标供应商不接受修正后的价格，其投标将被拒绝。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2.4.2 投标文件中，若某项有不合理报价（或零报价、漏报价）的，经评标委员会评审后，此项得分为零，不参与投标报价分值的计算。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2.4.3 评标委员会成员打分超过得分界限或未按本办法赋分时，该评标委员会成员的打分，按废票处理。</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2.4.4 评标过程中，各种数字的计算结果，均保留两位小数，第三位“四舍五入”，但计算百分数时应精确到千分位，万分位“四舍五入”。</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2.4.5 评标过程中，若出现本评标办法以外的特殊情况时，将暂停评标，待评委会商榷后，再进行评定。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2.4.6 评标报告签署后，采购人或者采购代理机构发现存在本章第1.5.2条款情形之一的，应当组织原评标委员会进行重新评审，重新评审改变中标结果的，书面报告本级财政部门。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投标供应商对本章第1.5.2条（1）情形提出质疑的，采购代理机构应当组织原评标委员会进行重新评审，重新评审改变中标结果的，应当书面报告本级财政部门。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2.4.9评标争议处理原则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标委员会在评审过程中，对投标文件符合性审查、对投标供应商投标文件做无效投标处理及其他需要共同认定的事项存在争议的，应当以少数服从多数的原则做出结论，但不得违反法律法规和招标文件的规定。有不同意见的评标委员会成员认为认定过程和结果不符合法律法规或者招标文件规定的，应当及时向采购人书面反映，采购人收到书面反映后，应当及时向同级财政部门报告依法处理。</w:t>
      </w:r>
    </w:p>
    <w:p>
      <w:bookmarkStart w:id="196" w:name="_Toc31936_WPSOffice_Level1"/>
      <w:bookmarkStart w:id="197" w:name="_Toc13519"/>
      <w:bookmarkStart w:id="198" w:name="_Toc21758"/>
      <w:bookmarkStart w:id="199" w:name="_Toc20086"/>
      <w:bookmarkStart w:id="200" w:name="_Toc25984"/>
      <w:r>
        <w:rPr>
          <w:rFonts w:hint="eastAsia"/>
        </w:rPr>
        <w:br w:type="page"/>
      </w:r>
    </w:p>
    <w:p>
      <w:pPr>
        <w:pStyle w:val="3"/>
        <w:jc w:val="center"/>
      </w:pPr>
      <w:r>
        <w:rPr>
          <w:rFonts w:hint="eastAsia"/>
        </w:rPr>
        <w:t>第四章 采购内容及要求</w:t>
      </w:r>
      <w:bookmarkEnd w:id="183"/>
      <w:bookmarkEnd w:id="196"/>
      <w:bookmarkEnd w:id="197"/>
      <w:bookmarkEnd w:id="198"/>
      <w:bookmarkEnd w:id="199"/>
      <w:bookmarkEnd w:id="200"/>
    </w:p>
    <w:p>
      <w:pPr>
        <w:spacing w:line="360" w:lineRule="auto"/>
        <w:ind w:firstLine="482" w:firstLineChars="200"/>
        <w:rPr>
          <w:rFonts w:ascii="宋体" w:hAnsi="宋体" w:cs="宋体"/>
          <w:b/>
          <w:bCs/>
          <w:sz w:val="24"/>
          <w:u w:val="single"/>
        </w:rPr>
      </w:pPr>
      <w:bookmarkStart w:id="201" w:name="_Toc2549"/>
      <w:bookmarkStart w:id="202" w:name="_Toc8077"/>
      <w:bookmarkStart w:id="203" w:name="_Toc30096"/>
      <w:r>
        <w:rPr>
          <w:rFonts w:hint="eastAsia" w:ascii="宋体" w:hAnsi="宋体" w:cs="宋体"/>
          <w:b/>
          <w:bCs/>
          <w:sz w:val="24"/>
          <w:u w:val="single"/>
        </w:rPr>
        <w:t>注：</w:t>
      </w:r>
      <w:r>
        <w:rPr>
          <w:rFonts w:hint="eastAsia" w:ascii="宋体" w:hAnsi="宋体" w:cs="宋体"/>
          <w:b/>
          <w:bCs/>
          <w:sz w:val="24"/>
          <w:u w:val="single"/>
          <w:lang w:val="zh-CN"/>
        </w:rPr>
        <w:t>《</w:t>
      </w:r>
      <w:r>
        <w:rPr>
          <w:rFonts w:hint="eastAsia" w:ascii="宋体" w:hAnsi="宋体" w:cs="宋体"/>
          <w:b/>
          <w:bCs/>
          <w:sz w:val="24"/>
          <w:u w:val="single"/>
        </w:rPr>
        <w:t>采购内容及要求</w:t>
      </w:r>
      <w:r>
        <w:rPr>
          <w:rFonts w:hint="eastAsia" w:ascii="宋体" w:hAnsi="宋体" w:cs="宋体"/>
          <w:b/>
          <w:bCs/>
          <w:sz w:val="24"/>
          <w:u w:val="single"/>
          <w:lang w:val="zh-CN"/>
        </w:rPr>
        <w:t>》中标注有“★</w:t>
      </w:r>
      <w:r>
        <w:rPr>
          <w:rFonts w:hint="eastAsia" w:ascii="宋体" w:hAnsi="宋体" w:cs="宋体"/>
          <w:b/>
          <w:bCs/>
          <w:sz w:val="24"/>
          <w:u w:val="single"/>
        </w:rPr>
        <w:t>”号的条款必须实质性响应，负偏离（不满足要求）将导致响应无效。</w:t>
      </w:r>
      <w:r>
        <w:rPr>
          <w:rFonts w:hint="eastAsia" w:ascii="宋体" w:hAnsi="宋体" w:cs="宋体"/>
          <w:b/>
          <w:bCs/>
          <w:sz w:val="24"/>
          <w:u w:val="single"/>
          <w:lang w:val="zh-CN"/>
        </w:rPr>
        <w:t>标注有“▲</w:t>
      </w:r>
      <w:r>
        <w:rPr>
          <w:rFonts w:hint="eastAsia" w:ascii="宋体" w:hAnsi="宋体" w:cs="宋体"/>
          <w:b/>
          <w:bCs/>
          <w:sz w:val="24"/>
          <w:u w:val="single"/>
        </w:rPr>
        <w:t>”号的条款为</w:t>
      </w:r>
      <w:r>
        <w:rPr>
          <w:rFonts w:hint="eastAsia" w:ascii="宋体" w:hAnsi="宋体" w:cs="宋体"/>
          <w:b/>
          <w:bCs/>
          <w:sz w:val="24"/>
          <w:u w:val="single"/>
          <w:lang w:val="zh-CN"/>
        </w:rPr>
        <w:t>重要技术</w:t>
      </w:r>
      <w:r>
        <w:rPr>
          <w:rFonts w:hint="eastAsia" w:ascii="宋体" w:hAnsi="宋体" w:cs="宋体"/>
          <w:b/>
          <w:bCs/>
          <w:sz w:val="24"/>
          <w:u w:val="single"/>
        </w:rPr>
        <w:t>要求，负偏离（不满足要求）将影响技术得分。</w:t>
      </w:r>
    </w:p>
    <w:p>
      <w:pPr>
        <w:spacing w:line="360" w:lineRule="auto"/>
        <w:outlineLvl w:val="1"/>
        <w:rPr>
          <w:rFonts w:ascii="宋体" w:hAnsi="宋体" w:cs="宋体"/>
          <w:b/>
          <w:bCs/>
          <w:sz w:val="24"/>
        </w:rPr>
      </w:pPr>
      <w:r>
        <w:rPr>
          <w:rFonts w:hint="eastAsia" w:ascii="宋体" w:hAnsi="宋体" w:cs="宋体"/>
          <w:b/>
          <w:bCs/>
          <w:sz w:val="24"/>
        </w:rPr>
        <w:t>一、总体目标和总体技术要求</w:t>
      </w:r>
    </w:p>
    <w:p>
      <w:pPr>
        <w:spacing w:line="360" w:lineRule="auto"/>
        <w:ind w:firstLine="480" w:firstLineChars="200"/>
        <w:rPr>
          <w:rFonts w:ascii="宋体" w:hAnsi="宋体" w:cs="宋体"/>
          <w:sz w:val="24"/>
          <w:lang w:val="zh-CN"/>
        </w:rPr>
      </w:pPr>
      <w:r>
        <w:rPr>
          <w:rFonts w:ascii="宋体" w:hAnsi="宋体" w:cs="宋体"/>
          <w:sz w:val="24"/>
          <w:lang w:val="zh-CN"/>
        </w:rPr>
        <w:t>1</w:t>
      </w:r>
      <w:r>
        <w:rPr>
          <w:rFonts w:hint="eastAsia" w:ascii="宋体" w:hAnsi="宋体" w:cs="宋体"/>
          <w:sz w:val="24"/>
          <w:lang w:val="zh-CN"/>
        </w:rPr>
        <w:t>、系统监测通道采用高性能宽频段数字监测接收机，监测频率覆盖</w:t>
      </w:r>
      <w:r>
        <w:rPr>
          <w:rFonts w:ascii="宋体" w:hAnsi="宋体" w:cs="宋体"/>
          <w:sz w:val="24"/>
          <w:lang w:val="zh-CN"/>
        </w:rPr>
        <w:t>20MHz</w:t>
      </w:r>
      <w:r>
        <w:rPr>
          <w:rFonts w:hint="eastAsia" w:ascii="宋体" w:hAnsi="宋体" w:cs="宋体"/>
          <w:sz w:val="24"/>
          <w:lang w:val="zh-CN"/>
        </w:rPr>
        <w:t>～</w:t>
      </w:r>
      <w:r>
        <w:rPr>
          <w:rFonts w:ascii="宋体" w:hAnsi="宋体" w:cs="宋体"/>
          <w:sz w:val="24"/>
          <w:lang w:val="zh-CN"/>
        </w:rPr>
        <w:t>26.5GHz</w:t>
      </w:r>
      <w:r>
        <w:rPr>
          <w:rFonts w:hint="eastAsia" w:ascii="宋体" w:hAnsi="宋体" w:cs="宋体"/>
          <w:sz w:val="24"/>
          <w:lang w:val="zh-CN"/>
        </w:rPr>
        <w:t>频段，具备良好的动态性能和监测灵敏度；监测接收机应预留有硬件扩展接口，可通过内部增加扩展模块，加装测向天线后，使接收机具备</w:t>
      </w:r>
      <w:r>
        <w:rPr>
          <w:rFonts w:ascii="宋体" w:hAnsi="宋体" w:cs="宋体"/>
          <w:sz w:val="24"/>
          <w:lang w:val="zh-CN"/>
        </w:rPr>
        <w:t>20MHz</w:t>
      </w:r>
      <w:r>
        <w:rPr>
          <w:rFonts w:hint="eastAsia" w:ascii="宋体" w:hAnsi="宋体" w:cs="宋体"/>
          <w:sz w:val="24"/>
          <w:lang w:val="zh-CN"/>
        </w:rPr>
        <w:t>～</w:t>
      </w:r>
      <w:r>
        <w:rPr>
          <w:rFonts w:ascii="宋体" w:hAnsi="宋体" w:cs="宋体"/>
          <w:sz w:val="24"/>
          <w:lang w:val="zh-CN"/>
        </w:rPr>
        <w:t>8200MHz</w:t>
      </w:r>
      <w:r>
        <w:rPr>
          <w:rFonts w:hint="eastAsia" w:ascii="宋体" w:hAnsi="宋体" w:cs="宋体"/>
          <w:sz w:val="24"/>
          <w:lang w:val="zh-CN"/>
        </w:rPr>
        <w:t>频段范围内的相关干涉仪测向能力。</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ascii="宋体" w:hAnsi="宋体" w:cs="宋体"/>
          <w:sz w:val="24"/>
          <w:lang w:val="zh-CN"/>
        </w:rPr>
        <w:t>2</w:t>
      </w:r>
      <w:r>
        <w:rPr>
          <w:rFonts w:hint="eastAsia" w:ascii="宋体" w:hAnsi="宋体" w:cs="宋体"/>
          <w:sz w:val="24"/>
          <w:lang w:val="zh-CN"/>
        </w:rPr>
        <w:t>、系统测向部分由</w:t>
      </w:r>
      <w:r>
        <w:rPr>
          <w:rFonts w:ascii="宋体" w:hAnsi="宋体" w:cs="宋体"/>
          <w:sz w:val="24"/>
          <w:lang w:val="zh-CN"/>
        </w:rPr>
        <w:t>9</w:t>
      </w:r>
      <w:r>
        <w:rPr>
          <w:rFonts w:hint="eastAsia" w:ascii="宋体" w:hAnsi="宋体" w:cs="宋体"/>
          <w:sz w:val="24"/>
          <w:lang w:val="zh-CN"/>
        </w:rPr>
        <w:t>单元测向天线阵和</w:t>
      </w:r>
      <w:r>
        <w:rPr>
          <w:rFonts w:ascii="宋体" w:hAnsi="宋体" w:cs="宋体"/>
          <w:sz w:val="24"/>
          <w:lang w:val="zh-CN"/>
        </w:rPr>
        <w:t>9</w:t>
      </w:r>
      <w:r>
        <w:rPr>
          <w:rFonts w:hint="eastAsia" w:ascii="宋体" w:hAnsi="宋体" w:cs="宋体"/>
          <w:sz w:val="24"/>
          <w:lang w:val="zh-CN"/>
        </w:rPr>
        <w:t>通道测向接收机组成，具备空间谱估计和相关干涉仪多模式测向体制，两种测向体制的工作频率范围都应覆盖</w:t>
      </w:r>
      <w:r>
        <w:rPr>
          <w:rFonts w:ascii="宋体" w:hAnsi="宋体" w:cs="宋体"/>
          <w:sz w:val="24"/>
          <w:lang w:val="zh-CN"/>
        </w:rPr>
        <w:t>20MHz</w:t>
      </w:r>
      <w:r>
        <w:rPr>
          <w:rFonts w:hint="eastAsia" w:ascii="宋体" w:hAnsi="宋体" w:cs="宋体"/>
          <w:sz w:val="24"/>
          <w:lang w:val="zh-CN"/>
        </w:rPr>
        <w:t>～</w:t>
      </w:r>
      <w:r>
        <w:rPr>
          <w:rFonts w:ascii="宋体" w:hAnsi="宋体" w:cs="宋体"/>
          <w:sz w:val="24"/>
          <w:lang w:val="zh-CN"/>
        </w:rPr>
        <w:t>6000MHz</w:t>
      </w:r>
      <w:r>
        <w:rPr>
          <w:rFonts w:hint="eastAsia" w:ascii="宋体" w:hAnsi="宋体" w:cs="宋体"/>
          <w:sz w:val="24"/>
          <w:lang w:val="zh-CN"/>
        </w:rPr>
        <w:t>。</w:t>
      </w:r>
    </w:p>
    <w:p>
      <w:pPr>
        <w:spacing w:line="360" w:lineRule="auto"/>
        <w:ind w:firstLine="480" w:firstLineChars="200"/>
        <w:rPr>
          <w:rFonts w:ascii="宋体" w:hAnsi="宋体" w:cs="宋体"/>
          <w:sz w:val="24"/>
          <w:lang w:val="zh-CN"/>
        </w:rPr>
      </w:pPr>
      <w:r>
        <w:rPr>
          <w:rFonts w:ascii="宋体" w:hAnsi="宋体" w:cs="宋体"/>
          <w:sz w:val="24"/>
          <w:lang w:val="zh-CN"/>
        </w:rPr>
        <w:t>3</w:t>
      </w:r>
      <w:r>
        <w:rPr>
          <w:rFonts w:hint="eastAsia" w:ascii="宋体" w:hAnsi="宋体" w:cs="宋体"/>
          <w:sz w:val="24"/>
          <w:lang w:val="zh-CN"/>
        </w:rPr>
        <w:t>、具备独立的监测通道和测向通道，监测任务与测向任务可同时工作，并满足实时多任务功能。</w:t>
      </w:r>
    </w:p>
    <w:p>
      <w:pPr>
        <w:spacing w:line="360" w:lineRule="auto"/>
        <w:ind w:firstLine="480" w:firstLineChars="200"/>
        <w:rPr>
          <w:rFonts w:ascii="宋体" w:hAnsi="宋体" w:cs="宋体"/>
          <w:sz w:val="24"/>
          <w:lang w:val="zh-CN"/>
        </w:rPr>
      </w:pPr>
      <w:r>
        <w:rPr>
          <w:rFonts w:ascii="宋体" w:hAnsi="宋体" w:cs="宋体"/>
          <w:sz w:val="24"/>
          <w:lang w:val="zh-CN"/>
        </w:rPr>
        <w:t>4</w:t>
      </w:r>
      <w:r>
        <w:rPr>
          <w:rFonts w:hint="eastAsia" w:ascii="宋体" w:hAnsi="宋体" w:cs="宋体"/>
          <w:sz w:val="24"/>
          <w:lang w:val="zh-CN"/>
        </w:rPr>
        <w:t>、系统符合国家《超短波监测管理服务接口规范》，并按规范完成原子化服务接入。</w:t>
      </w:r>
    </w:p>
    <w:p>
      <w:pPr>
        <w:spacing w:line="360" w:lineRule="auto"/>
        <w:ind w:firstLine="480" w:firstLineChars="200"/>
        <w:rPr>
          <w:rFonts w:ascii="宋体" w:hAnsi="宋体" w:cs="宋体"/>
          <w:sz w:val="24"/>
          <w:lang w:val="zh-CN"/>
        </w:rPr>
      </w:pPr>
      <w:r>
        <w:rPr>
          <w:rFonts w:ascii="宋体" w:hAnsi="宋体" w:cs="宋体"/>
          <w:sz w:val="24"/>
          <w:lang w:val="zh-CN"/>
        </w:rPr>
        <w:t>5</w:t>
      </w:r>
      <w:r>
        <w:rPr>
          <w:rFonts w:hint="eastAsia" w:ascii="宋体" w:hAnsi="宋体" w:cs="宋体"/>
          <w:sz w:val="24"/>
          <w:lang w:val="zh-CN"/>
        </w:rPr>
        <w:t>、具备无线电发射基本参数测量功能，包括：频率测量、电平</w:t>
      </w:r>
      <w:r>
        <w:rPr>
          <w:rFonts w:ascii="宋体" w:hAnsi="宋体" w:cs="宋体"/>
          <w:sz w:val="24"/>
          <w:lang w:val="zh-CN"/>
        </w:rPr>
        <w:t>/</w:t>
      </w:r>
      <w:r>
        <w:rPr>
          <w:rFonts w:hint="eastAsia" w:ascii="宋体" w:hAnsi="宋体" w:cs="宋体"/>
          <w:sz w:val="24"/>
          <w:lang w:val="zh-CN"/>
        </w:rPr>
        <w:t>场强测量、带宽测量、频段和频道占用度测量、电磁环境测量以及信号监听等；具备无线电测向功能；具备监测数据采集、分析、存储、处理和设备控制等功能，具有一定的智能化监测能力；具备占用度统计、监测月报统计功能；能够承担有关电磁环境测试的工作。</w:t>
      </w:r>
    </w:p>
    <w:p>
      <w:pPr>
        <w:spacing w:line="360" w:lineRule="auto"/>
        <w:ind w:firstLine="480" w:firstLineChars="200"/>
        <w:rPr>
          <w:rFonts w:ascii="宋体" w:hAnsi="宋体" w:cs="宋体"/>
          <w:sz w:val="24"/>
          <w:lang w:val="zh-CN"/>
        </w:rPr>
      </w:pPr>
      <w:r>
        <w:rPr>
          <w:rFonts w:ascii="宋体" w:hAnsi="宋体" w:cs="宋体"/>
          <w:sz w:val="24"/>
          <w:lang w:val="zh-CN"/>
        </w:rPr>
        <w:t>6</w:t>
      </w:r>
      <w:r>
        <w:rPr>
          <w:rFonts w:hint="eastAsia" w:ascii="宋体" w:hAnsi="宋体" w:cs="宋体"/>
          <w:sz w:val="24"/>
          <w:lang w:val="zh-CN"/>
        </w:rPr>
        <w:t>、系统设计合理，具有高可靠性，要求实用性强、稳定性高、兼容性好、测试数据准确。监测数据符合国家《超短波频段监测数据统计汇总数据库结构技术标准》的要求。</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w:t>
      </w:r>
      <w:r>
        <w:rPr>
          <w:rFonts w:ascii="宋体" w:hAnsi="宋体" w:cs="Helvetica"/>
          <w:kern w:val="0"/>
          <w:sz w:val="24"/>
        </w:rPr>
        <w:t>7</w:t>
      </w:r>
      <w:r>
        <w:rPr>
          <w:rFonts w:hint="eastAsia" w:ascii="宋体" w:hAnsi="宋体" w:cs="Helvetica"/>
          <w:kern w:val="0"/>
          <w:sz w:val="24"/>
        </w:rPr>
        <w:t>、应用软件平台应采用国产</w:t>
      </w:r>
      <w:r>
        <w:rPr>
          <w:rFonts w:ascii="宋体" w:hAnsi="宋体" w:cs="Helvetica"/>
          <w:kern w:val="0"/>
          <w:sz w:val="24"/>
        </w:rPr>
        <w:t>Linux</w:t>
      </w:r>
      <w:r>
        <w:rPr>
          <w:rFonts w:hint="eastAsia" w:ascii="宋体" w:hAnsi="宋体" w:cs="Helvetica"/>
          <w:kern w:val="0"/>
          <w:sz w:val="24"/>
        </w:rPr>
        <w:t>软件环境开发，采用边缘端</w:t>
      </w:r>
      <w:r>
        <w:rPr>
          <w:rFonts w:ascii="宋体" w:hAnsi="宋体" w:cs="Helvetica"/>
          <w:kern w:val="0"/>
          <w:sz w:val="24"/>
        </w:rPr>
        <w:t>-</w:t>
      </w:r>
      <w:r>
        <w:rPr>
          <w:rFonts w:hint="eastAsia" w:ascii="宋体" w:hAnsi="宋体" w:cs="Helvetica"/>
          <w:kern w:val="0"/>
          <w:sz w:val="24"/>
        </w:rPr>
        <w:t>云端</w:t>
      </w:r>
      <w:r>
        <w:rPr>
          <w:rFonts w:ascii="宋体" w:hAnsi="宋体" w:cs="Helvetica"/>
          <w:kern w:val="0"/>
          <w:sz w:val="24"/>
        </w:rPr>
        <w:t>-</w:t>
      </w:r>
      <w:r>
        <w:rPr>
          <w:rFonts w:hint="eastAsia" w:ascii="宋体" w:hAnsi="宋体" w:cs="Helvetica"/>
          <w:kern w:val="0"/>
          <w:sz w:val="24"/>
        </w:rPr>
        <w:t>前端架构设计，具有远程监控、自动升级功能，支持自动化批量部署与升级。系统软件运行在平板电脑上。</w:t>
      </w:r>
    </w:p>
    <w:p>
      <w:pPr>
        <w:spacing w:line="360" w:lineRule="auto"/>
        <w:outlineLvl w:val="1"/>
        <w:rPr>
          <w:rFonts w:ascii="宋体" w:hAnsi="宋体" w:cs="宋体"/>
          <w:b/>
          <w:bCs/>
          <w:sz w:val="24"/>
        </w:rPr>
      </w:pPr>
      <w:r>
        <w:rPr>
          <w:rFonts w:hint="eastAsia" w:ascii="宋体" w:hAnsi="宋体" w:cs="宋体"/>
          <w:b/>
          <w:bCs/>
          <w:sz w:val="24"/>
        </w:rPr>
        <w:t>二、系统功能要求</w:t>
      </w:r>
    </w:p>
    <w:p>
      <w:pPr>
        <w:autoSpaceDE w:val="0"/>
        <w:autoSpaceDN w:val="0"/>
        <w:adjustRightInd w:val="0"/>
        <w:spacing w:line="360" w:lineRule="auto"/>
        <w:ind w:firstLine="480" w:firstLineChars="200"/>
        <w:rPr>
          <w:rFonts w:ascii="宋体" w:hAnsi="宋体" w:cs="微软雅黑"/>
          <w:kern w:val="0"/>
          <w:sz w:val="24"/>
        </w:rPr>
      </w:pPr>
      <w:r>
        <w:rPr>
          <w:rFonts w:hint="eastAsia" w:ascii="宋体" w:hAnsi="宋体" w:cs="微软雅黑"/>
          <w:kern w:val="0"/>
          <w:sz w:val="24"/>
        </w:rPr>
        <w:t>1、监测功能</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（1）信号监测</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能够实现20MHz～18GHz频段范围内的无线电监测，按ITU标准测量无线电发射基本参数测量，包括频率测量、电平/场强测量、带宽测量、调制测量（包括模拟信号和数字信号）、频段和频道占用度测量、中频分析、电磁环境测量、信号监听、录音等，并给出符合ITU建议规范的监测报告。可显示信号瀑布图。实现测量单位dBμv、dBm与dBμv/m等换算与显示。</w:t>
      </w:r>
    </w:p>
    <w:p>
      <w:pPr>
        <w:autoSpaceDE w:val="0"/>
        <w:autoSpaceDN w:val="0"/>
        <w:adjustRightInd w:val="0"/>
        <w:spacing w:line="360" w:lineRule="auto"/>
        <w:ind w:firstLine="480" w:firstLineChars="200"/>
        <w:rPr>
          <w:rFonts w:ascii="宋体" w:hAnsi="宋体" w:cs="微软雅黑"/>
          <w:kern w:val="0"/>
          <w:sz w:val="24"/>
        </w:rPr>
      </w:pPr>
      <w:bookmarkStart w:id="204" w:name="_Toc16197112"/>
      <w:r>
        <w:rPr>
          <w:rFonts w:ascii="宋体" w:hAnsi="宋体" w:cs="微软雅黑"/>
          <w:kern w:val="0"/>
          <w:sz w:val="24"/>
        </w:rPr>
        <w:t>（2）信号识别与分析</w:t>
      </w:r>
      <w:bookmarkEnd w:id="204"/>
    </w:p>
    <w:p>
      <w:pPr>
        <w:autoSpaceDE w:val="0"/>
        <w:autoSpaceDN w:val="0"/>
        <w:adjustRightInd w:val="0"/>
        <w:spacing w:line="360" w:lineRule="auto"/>
        <w:ind w:firstLine="480" w:firstLineChars="200"/>
        <w:rPr>
          <w:rFonts w:ascii="宋体" w:hAnsi="宋体" w:cs="微软雅黑"/>
          <w:kern w:val="0"/>
          <w:sz w:val="24"/>
        </w:rPr>
      </w:pPr>
      <w:bookmarkStart w:id="205" w:name="_Hlk100222361"/>
      <w:r>
        <w:rPr>
          <w:rFonts w:ascii="宋体" w:hAnsi="宋体" w:cs="微软雅黑"/>
          <w:kern w:val="0"/>
          <w:sz w:val="24"/>
        </w:rPr>
        <w:t>支持对数字信号的记录功能，可实时/离线完成接收机所支持的模拟/数字制式信号识别与解调及解码，用于技术分析和记录。信号识别能力包括但不限于AM、FM、PM、CW、FSK、QPSK、DPSK、BPSK等信号。可以实现语音的实时监听，对监听信号的声音可进行录音、回放与剪辑。录音无时间长度限制。录音可采用多种数据格式，并可实现格式转换。</w:t>
      </w:r>
      <w:bookmarkEnd w:id="205"/>
      <w:r>
        <w:rPr>
          <w:rFonts w:hint="eastAsia" w:ascii="宋体" w:hAnsi="宋体" w:cs="微软雅黑"/>
          <w:kern w:val="0"/>
          <w:sz w:val="24"/>
        </w:rPr>
        <w:t>系统核心产品整机设备具有时域、频域、调制域同步分析能力，具有多窗口展示频谱图、瀑布图、时域图、星座图、解调参数表、矢量误差图、相位误差图等。支持AM、FM、DTMB广播电视信号监听和图像播放功能，支持DMR、dPMR、GSM、CDMA、WCDMA、TD-SCDMA、TDD-LTE、LTE FDD、5</w:t>
      </w:r>
      <w:r>
        <w:rPr>
          <w:rFonts w:ascii="宋体" w:hAnsi="宋体" w:cs="微软雅黑"/>
          <w:kern w:val="0"/>
          <w:sz w:val="24"/>
        </w:rPr>
        <w:t>G NR</w:t>
      </w:r>
      <w:r>
        <w:rPr>
          <w:rFonts w:hint="eastAsia" w:ascii="宋体" w:hAnsi="宋体" w:cs="微软雅黑"/>
          <w:kern w:val="0"/>
          <w:sz w:val="24"/>
        </w:rPr>
        <w:t>信号解调解码。</w:t>
      </w:r>
    </w:p>
    <w:p>
      <w:pPr>
        <w:autoSpaceDE w:val="0"/>
        <w:autoSpaceDN w:val="0"/>
        <w:adjustRightInd w:val="0"/>
        <w:spacing w:line="360" w:lineRule="auto"/>
        <w:ind w:firstLine="480" w:firstLineChars="200"/>
        <w:rPr>
          <w:rFonts w:ascii="宋体" w:hAnsi="宋体" w:cs="微软雅黑"/>
          <w:kern w:val="0"/>
          <w:sz w:val="24"/>
        </w:rPr>
      </w:pPr>
      <w:bookmarkStart w:id="206" w:name="_Toc16197129"/>
      <w:bookmarkStart w:id="207" w:name="_Toc16727087"/>
      <w:bookmarkStart w:id="208" w:name="_Toc2342854"/>
      <w:r>
        <w:rPr>
          <w:rFonts w:ascii="宋体" w:hAnsi="宋体" w:cs="微软雅黑"/>
          <w:kern w:val="0"/>
          <w:sz w:val="24"/>
        </w:rPr>
        <w:t>（3）频谱使用评估</w:t>
      </w:r>
      <w:bookmarkEnd w:id="206"/>
      <w:bookmarkEnd w:id="207"/>
      <w:bookmarkEnd w:id="208"/>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按照《国无办函[2016]4号国家无线电办公室关于开展全国无线电频谱使用评估专项活动的通知》、《国无办函[2016]17号国家无线电办公室关于开展全国无线电频谱使用评估常态化试运行工作的通知》以及《国无办函[2018]9号国家无线电办公室关于开展全国频率使用率评价专项活动的通知》的要求完成频谱使用评估工作。</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（4）考试作弊信号分析</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可对采用FSK/LoRa等调制方式的数传（作弊）信号进行解码分析，自动生成解析结果列表。对于不能解析的可疑信号，可以进行信号的IQ原始数据短时录制，方便后续分析。</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具备数据的保存和回放功能，可以实现频谱和解析语音回放；支持多种数据的存储，包括作弊音频、频谱图、IQ数据、解码数据等；支持数据的回放，包括作弊音频、频谱、IQ数据、解码数据等的回放。</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（5）语音识别</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支持对信号解调后的语音进行识别并文字转换，结合敏感字数据库等，实现对音频信号的实时监控与告警。</w:t>
      </w:r>
    </w:p>
    <w:p>
      <w:pPr>
        <w:autoSpaceDE w:val="0"/>
        <w:autoSpaceDN w:val="0"/>
        <w:adjustRightInd w:val="0"/>
        <w:spacing w:line="360" w:lineRule="auto"/>
        <w:ind w:firstLine="480" w:firstLineChars="200"/>
        <w:rPr>
          <w:rFonts w:ascii="宋体" w:hAnsi="宋体" w:cs="微软雅黑"/>
          <w:kern w:val="0"/>
          <w:sz w:val="24"/>
        </w:rPr>
      </w:pPr>
      <w:bookmarkStart w:id="209" w:name="_Toc50112701"/>
      <w:r>
        <w:rPr>
          <w:rFonts w:ascii="宋体" w:hAnsi="宋体" w:cs="微软雅黑"/>
          <w:kern w:val="0"/>
          <w:sz w:val="24"/>
        </w:rPr>
        <w:t>2</w:t>
      </w:r>
      <w:r>
        <w:rPr>
          <w:rFonts w:hint="eastAsia" w:ascii="宋体" w:hAnsi="宋体" w:cs="微软雅黑"/>
          <w:kern w:val="0"/>
          <w:sz w:val="24"/>
        </w:rPr>
        <w:t>、</w:t>
      </w:r>
      <w:r>
        <w:rPr>
          <w:rFonts w:ascii="宋体" w:hAnsi="宋体" w:cs="微软雅黑"/>
          <w:kern w:val="0"/>
          <w:sz w:val="24"/>
        </w:rPr>
        <w:t>测向功能</w:t>
      </w:r>
      <w:bookmarkEnd w:id="209"/>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（1）单频测向</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对某个已知频率信号进行测向定位，包括测向方位角的相对角度、正北角度、测向质量、中频频谱、电平流，以图形方式显示测量结果，可统计测量角度的出现概率，并生成测量结果统计报表。在测向过程中可以实时在电子地图上显示示向度线。</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测向时可调整门限、高于门限才进行测向、调整测向质量，高于一定测向质量的数据才显示、避免杂乱干扰。用户可选择显示正北角度还是相对角度。</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支持空间谱估计测向技术，能对同频多信号测向，以图形方式分离显示，并将其示向度表示出来。</w:t>
      </w:r>
      <w:r>
        <w:rPr>
          <w:rFonts w:hint="eastAsia" w:ascii="宋体" w:hAnsi="宋体" w:cs="微软雅黑"/>
          <w:kern w:val="0"/>
          <w:sz w:val="24"/>
        </w:rPr>
        <w:t>软件可估计空中同频信号来波数量，并自动切换空间谱估计</w:t>
      </w:r>
      <w:r>
        <w:rPr>
          <w:rFonts w:ascii="宋体" w:hAnsi="宋体" w:cs="微软雅黑"/>
          <w:kern w:val="0"/>
          <w:sz w:val="24"/>
        </w:rPr>
        <w:t>/</w:t>
      </w:r>
      <w:r>
        <w:rPr>
          <w:rFonts w:hint="eastAsia" w:ascii="宋体" w:hAnsi="宋体" w:cs="微软雅黑"/>
          <w:kern w:val="0"/>
          <w:sz w:val="24"/>
        </w:rPr>
        <w:t>相关干涉仪测向体制。</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（2）宽带测向</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以指定频率点为中心频率，实现规定测向带宽内频域实时测向，可同时得到多个频率的示向度。此功能可对猝发信号、跳频信号和扩频信号进行测向。可设置中心频率、测向带宽、信道带宽、积分等级、增益、门限等丰富的参数类型，同时获得多个频率点的示向度。</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（3）单站移动定位</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具备单站移动自动定位功能。</w:t>
      </w:r>
    </w:p>
    <w:p>
      <w:pPr>
        <w:autoSpaceDE w:val="0"/>
        <w:autoSpaceDN w:val="0"/>
        <w:adjustRightInd w:val="0"/>
        <w:spacing w:line="360" w:lineRule="auto"/>
        <w:ind w:firstLine="480" w:firstLineChars="200"/>
        <w:rPr>
          <w:rFonts w:ascii="宋体" w:hAnsi="宋体" w:cs="微软雅黑"/>
          <w:kern w:val="0"/>
          <w:sz w:val="24"/>
        </w:rPr>
      </w:pPr>
      <w:bookmarkStart w:id="210" w:name="_Toc50112702"/>
      <w:r>
        <w:rPr>
          <w:rFonts w:hint="eastAsia" w:ascii="宋体" w:hAnsi="宋体" w:cs="微软雅黑"/>
          <w:kern w:val="0"/>
          <w:sz w:val="24"/>
        </w:rPr>
        <w:t>3、</w:t>
      </w:r>
      <w:r>
        <w:rPr>
          <w:rFonts w:ascii="宋体" w:hAnsi="宋体" w:cs="微软雅黑"/>
          <w:kern w:val="0"/>
          <w:sz w:val="24"/>
        </w:rPr>
        <w:t>无线电发射</w:t>
      </w:r>
      <w:bookmarkEnd w:id="210"/>
      <w:r>
        <w:rPr>
          <w:rFonts w:hint="eastAsia" w:ascii="宋体" w:hAnsi="宋体" w:cs="微软雅黑"/>
          <w:kern w:val="0"/>
          <w:sz w:val="24"/>
        </w:rPr>
        <w:t>频率监测分析</w:t>
      </w:r>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能够对包括公网基站、模拟对讲/集群设备、数字对讲/集群设备进行</w:t>
      </w:r>
      <w:r>
        <w:rPr>
          <w:rFonts w:hint="eastAsia" w:ascii="宋体" w:hAnsi="宋体" w:cs="微软雅黑"/>
          <w:kern w:val="0"/>
          <w:sz w:val="24"/>
        </w:rPr>
        <w:t>发射频率监测分析</w:t>
      </w:r>
      <w:r>
        <w:rPr>
          <w:rFonts w:ascii="宋体" w:hAnsi="宋体" w:cs="微软雅黑"/>
          <w:kern w:val="0"/>
          <w:sz w:val="24"/>
        </w:rPr>
        <w:t>，</w:t>
      </w:r>
      <w:r>
        <w:rPr>
          <w:rFonts w:hint="eastAsia" w:ascii="宋体" w:hAnsi="宋体" w:cs="微软雅黑"/>
          <w:kern w:val="0"/>
          <w:sz w:val="24"/>
        </w:rPr>
        <w:t>并出具相关分析报告</w:t>
      </w:r>
      <w:r>
        <w:rPr>
          <w:rFonts w:ascii="宋体" w:hAnsi="宋体" w:cs="微软雅黑"/>
          <w:kern w:val="0"/>
          <w:sz w:val="24"/>
        </w:rPr>
        <w:t>。</w:t>
      </w:r>
    </w:p>
    <w:p>
      <w:pPr>
        <w:autoSpaceDE w:val="0"/>
        <w:autoSpaceDN w:val="0"/>
        <w:adjustRightInd w:val="0"/>
        <w:spacing w:line="360" w:lineRule="auto"/>
        <w:ind w:firstLine="480" w:firstLineChars="200"/>
        <w:rPr>
          <w:rFonts w:ascii="宋体" w:hAnsi="宋体" w:cs="微软雅黑"/>
          <w:kern w:val="0"/>
          <w:sz w:val="24"/>
        </w:rPr>
      </w:pPr>
      <w:bookmarkStart w:id="211" w:name="_Toc50112703"/>
      <w:r>
        <w:rPr>
          <w:rFonts w:ascii="宋体" w:hAnsi="宋体" w:cs="微软雅黑"/>
          <w:kern w:val="0"/>
          <w:sz w:val="24"/>
        </w:rPr>
        <w:t>4</w:t>
      </w:r>
      <w:r>
        <w:rPr>
          <w:rFonts w:hint="eastAsia" w:ascii="宋体" w:hAnsi="宋体" w:cs="微软雅黑"/>
          <w:kern w:val="0"/>
          <w:sz w:val="24"/>
        </w:rPr>
        <w:t>、</w:t>
      </w:r>
      <w:r>
        <w:rPr>
          <w:rFonts w:ascii="宋体" w:hAnsi="宋体" w:cs="微软雅黑"/>
          <w:kern w:val="0"/>
          <w:sz w:val="24"/>
        </w:rPr>
        <w:t>干扰源压制</w:t>
      </w:r>
      <w:bookmarkEnd w:id="211"/>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能够实现100MHz～3GHz频段范围内的无线电干扰源压制，支持单点压制、多点同时压制、多点扫描压制等模式，可手动选择压制目标，也可通过查询比对内部台站数据库或现有的监测数据库来自动选择可疑目标实施压制。能够实施频段阻塞式压制，阻塞宽带非法信号。具备开路、短路、过热保护功能。</w:t>
      </w:r>
    </w:p>
    <w:p>
      <w:pPr>
        <w:autoSpaceDE w:val="0"/>
        <w:autoSpaceDN w:val="0"/>
        <w:adjustRightInd w:val="0"/>
        <w:spacing w:line="360" w:lineRule="auto"/>
        <w:ind w:firstLine="480" w:firstLineChars="200"/>
        <w:rPr>
          <w:rFonts w:ascii="宋体" w:hAnsi="宋体" w:cs="微软雅黑"/>
          <w:kern w:val="0"/>
          <w:sz w:val="24"/>
        </w:rPr>
      </w:pPr>
      <w:bookmarkStart w:id="212" w:name="_Toc50112704"/>
      <w:r>
        <w:rPr>
          <w:rFonts w:ascii="宋体" w:hAnsi="宋体" w:cs="微软雅黑"/>
          <w:kern w:val="0"/>
          <w:sz w:val="24"/>
        </w:rPr>
        <w:t>5</w:t>
      </w:r>
      <w:r>
        <w:rPr>
          <w:rFonts w:hint="eastAsia" w:ascii="宋体" w:hAnsi="宋体" w:cs="微软雅黑"/>
          <w:kern w:val="0"/>
          <w:sz w:val="24"/>
        </w:rPr>
        <w:t>、</w:t>
      </w:r>
      <w:r>
        <w:rPr>
          <w:rFonts w:ascii="宋体" w:hAnsi="宋体" w:cs="微软雅黑"/>
          <w:kern w:val="0"/>
          <w:sz w:val="24"/>
        </w:rPr>
        <w:t>电子地图</w:t>
      </w:r>
      <w:bookmarkEnd w:id="212"/>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提供建站城市行政核心区二维电子地图。软件支持</w:t>
      </w:r>
      <w:r>
        <w:rPr>
          <w:rFonts w:hint="eastAsia" w:ascii="宋体" w:hAnsi="宋体" w:cs="微软雅黑"/>
          <w:kern w:val="0"/>
          <w:sz w:val="24"/>
        </w:rPr>
        <w:t>百度</w:t>
      </w:r>
      <w:r>
        <w:rPr>
          <w:rFonts w:ascii="宋体" w:hAnsi="宋体" w:cs="微软雅黑"/>
          <w:kern w:val="0"/>
          <w:sz w:val="24"/>
        </w:rPr>
        <w:t>、谷歌地图等多种地图数据。可将台站数据库中的台站显示在电子地图上，可以选择性地显示某一种或多种业务的台站，也可以显示台站查询的结果。支持信号路测功能，并可在电子地图上绘制路测线路以及信号场强态势图。</w:t>
      </w:r>
    </w:p>
    <w:p>
      <w:pPr>
        <w:autoSpaceDE w:val="0"/>
        <w:autoSpaceDN w:val="0"/>
        <w:adjustRightInd w:val="0"/>
        <w:spacing w:line="360" w:lineRule="auto"/>
        <w:ind w:firstLine="480" w:firstLineChars="200"/>
        <w:rPr>
          <w:rFonts w:ascii="宋体" w:hAnsi="宋体" w:cs="微软雅黑"/>
          <w:kern w:val="0"/>
          <w:sz w:val="24"/>
        </w:rPr>
      </w:pPr>
      <w:bookmarkStart w:id="213" w:name="_Toc50112705"/>
      <w:r>
        <w:rPr>
          <w:rFonts w:ascii="宋体" w:hAnsi="宋体" w:cs="微软雅黑"/>
          <w:kern w:val="0"/>
          <w:sz w:val="24"/>
        </w:rPr>
        <w:t>6</w:t>
      </w:r>
      <w:r>
        <w:rPr>
          <w:rFonts w:hint="eastAsia" w:ascii="宋体" w:hAnsi="宋体" w:cs="微软雅黑"/>
          <w:kern w:val="0"/>
          <w:sz w:val="24"/>
        </w:rPr>
        <w:t>、</w:t>
      </w:r>
      <w:r>
        <w:rPr>
          <w:rFonts w:ascii="宋体" w:hAnsi="宋体" w:cs="微软雅黑"/>
          <w:kern w:val="0"/>
          <w:sz w:val="24"/>
        </w:rPr>
        <w:t>音视频采集取证</w:t>
      </w:r>
      <w:bookmarkEnd w:id="213"/>
    </w:p>
    <w:p>
      <w:pPr>
        <w:autoSpaceDE w:val="0"/>
        <w:autoSpaceDN w:val="0"/>
        <w:adjustRightInd w:val="0"/>
        <w:spacing w:line="360" w:lineRule="auto"/>
        <w:ind w:firstLine="480" w:firstLineChars="200"/>
        <w:rPr>
          <w:rFonts w:ascii="宋体" w:hAnsi="宋体" w:cs="微软雅黑"/>
          <w:kern w:val="0"/>
          <w:sz w:val="24"/>
        </w:rPr>
      </w:pPr>
      <w:bookmarkStart w:id="214" w:name="_Hlk100220594"/>
      <w:r>
        <w:rPr>
          <w:rFonts w:ascii="宋体" w:hAnsi="宋体" w:cs="微软雅黑"/>
          <w:kern w:val="0"/>
          <w:sz w:val="24"/>
        </w:rPr>
        <w:t>提供20倍光学变焦摄像机，实现360°全景监视车体周边情况。车内搭载的硬盘录像机可连续录制不低于24小时的高清音视频文件，并可通过手机或大屏系统进行观看/监视。工作舱内摄像头可以对车内进行监控和录像，无人值守时可以通过手机查看，并且有可疑人员报警等功能，可以通过4G网络将图像回传至远端控制中心</w:t>
      </w:r>
      <w:bookmarkEnd w:id="214"/>
      <w:r>
        <w:rPr>
          <w:rFonts w:hint="eastAsia" w:ascii="宋体" w:hAnsi="宋体" w:cs="微软雅黑"/>
          <w:kern w:val="0"/>
          <w:sz w:val="24"/>
        </w:rPr>
        <w:t>。</w:t>
      </w:r>
    </w:p>
    <w:p>
      <w:pPr>
        <w:autoSpaceDE w:val="0"/>
        <w:autoSpaceDN w:val="0"/>
        <w:adjustRightInd w:val="0"/>
        <w:spacing w:line="360" w:lineRule="auto"/>
        <w:ind w:firstLine="480" w:firstLineChars="200"/>
        <w:rPr>
          <w:rFonts w:ascii="宋体" w:hAnsi="宋体" w:cs="微软雅黑"/>
          <w:kern w:val="0"/>
          <w:sz w:val="24"/>
        </w:rPr>
      </w:pPr>
      <w:bookmarkStart w:id="215" w:name="_Toc50112706"/>
      <w:r>
        <w:rPr>
          <w:rFonts w:ascii="宋体" w:hAnsi="宋体" w:cs="微软雅黑"/>
          <w:kern w:val="0"/>
          <w:sz w:val="24"/>
        </w:rPr>
        <w:t>7</w:t>
      </w:r>
      <w:r>
        <w:rPr>
          <w:rFonts w:hint="eastAsia" w:ascii="宋体" w:hAnsi="宋体" w:cs="微软雅黑"/>
          <w:kern w:val="0"/>
          <w:sz w:val="24"/>
        </w:rPr>
        <w:t>、</w:t>
      </w:r>
      <w:r>
        <w:rPr>
          <w:rFonts w:ascii="宋体" w:hAnsi="宋体" w:cs="微软雅黑"/>
          <w:kern w:val="0"/>
          <w:sz w:val="24"/>
        </w:rPr>
        <w:t>应急通信指挥</w:t>
      </w:r>
      <w:bookmarkEnd w:id="215"/>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车内安装短波与超短波电台，提供应急通信指挥功能。超短波电台能够与现场同频段手持台之间进行通信，同时可以通过应急通信调度平台把通信业务扩展到短波电台、卫星、GSM等业务终端上。短波电台也能通过应急通信调度平台，实现不同通信业务类型的相互转接功能。通过电话会议设备可实现与远端控制中心通话。</w:t>
      </w:r>
    </w:p>
    <w:p>
      <w:pPr>
        <w:autoSpaceDE w:val="0"/>
        <w:autoSpaceDN w:val="0"/>
        <w:adjustRightInd w:val="0"/>
        <w:spacing w:line="360" w:lineRule="auto"/>
        <w:ind w:firstLine="480" w:firstLineChars="200"/>
        <w:rPr>
          <w:rFonts w:ascii="宋体" w:hAnsi="宋体" w:cs="微软雅黑"/>
          <w:kern w:val="0"/>
          <w:sz w:val="24"/>
        </w:rPr>
      </w:pPr>
      <w:bookmarkStart w:id="216" w:name="_Toc50112707"/>
      <w:r>
        <w:rPr>
          <w:rFonts w:ascii="宋体" w:hAnsi="宋体" w:cs="微软雅黑"/>
          <w:kern w:val="0"/>
          <w:sz w:val="24"/>
        </w:rPr>
        <w:t>8</w:t>
      </w:r>
      <w:r>
        <w:rPr>
          <w:rFonts w:hint="eastAsia" w:ascii="宋体" w:hAnsi="宋体" w:cs="微软雅黑"/>
          <w:kern w:val="0"/>
          <w:sz w:val="24"/>
        </w:rPr>
        <w:t>、</w:t>
      </w:r>
      <w:r>
        <w:rPr>
          <w:rFonts w:ascii="宋体" w:hAnsi="宋体" w:cs="微软雅黑"/>
          <w:kern w:val="0"/>
          <w:sz w:val="24"/>
        </w:rPr>
        <w:t>远程联网</w:t>
      </w:r>
      <w:bookmarkEnd w:id="216"/>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通过无线接入方式提供符合国家无线电监测中心RMTP协议要求的系统联网功能，并可按照国家超短波监测管理服务接口规范的要求提供相应的异构系统联网及控制功能。</w:t>
      </w:r>
    </w:p>
    <w:p>
      <w:pPr>
        <w:autoSpaceDE w:val="0"/>
        <w:autoSpaceDN w:val="0"/>
        <w:adjustRightInd w:val="0"/>
        <w:spacing w:line="360" w:lineRule="auto"/>
        <w:ind w:firstLine="480" w:firstLineChars="200"/>
        <w:rPr>
          <w:rFonts w:ascii="宋体" w:hAnsi="宋体" w:cs="微软雅黑"/>
          <w:kern w:val="0"/>
          <w:sz w:val="24"/>
        </w:rPr>
      </w:pPr>
      <w:bookmarkStart w:id="217" w:name="_Toc50112708"/>
      <w:r>
        <w:rPr>
          <w:rFonts w:ascii="宋体" w:hAnsi="宋体" w:cs="微软雅黑"/>
          <w:kern w:val="0"/>
          <w:sz w:val="24"/>
        </w:rPr>
        <w:t>9</w:t>
      </w:r>
      <w:r>
        <w:rPr>
          <w:rFonts w:hint="eastAsia" w:ascii="宋体" w:hAnsi="宋体" w:cs="微软雅黑"/>
          <w:kern w:val="0"/>
          <w:sz w:val="24"/>
        </w:rPr>
        <w:t>、</w:t>
      </w:r>
      <w:r>
        <w:rPr>
          <w:rFonts w:ascii="宋体" w:hAnsi="宋体" w:cs="微软雅黑"/>
          <w:kern w:val="0"/>
          <w:sz w:val="24"/>
        </w:rPr>
        <w:t>安全保护措施</w:t>
      </w:r>
      <w:bookmarkEnd w:id="217"/>
    </w:p>
    <w:p>
      <w:pPr>
        <w:autoSpaceDE w:val="0"/>
        <w:autoSpaceDN w:val="0"/>
        <w:adjustRightInd w:val="0"/>
        <w:spacing w:line="360" w:lineRule="auto"/>
        <w:ind w:firstLine="480" w:firstLineChars="200"/>
        <w:rPr>
          <w:rFonts w:ascii="宋体" w:hAnsi="宋体" w:cs="微软雅黑"/>
          <w:kern w:val="0"/>
          <w:sz w:val="24"/>
        </w:rPr>
      </w:pPr>
      <w:r>
        <w:rPr>
          <w:rFonts w:ascii="宋体" w:hAnsi="宋体" w:cs="微软雅黑"/>
          <w:kern w:val="0"/>
          <w:sz w:val="24"/>
        </w:rPr>
        <w:t>具有严密的自我安全管理功能和安全防护措施，以确保系统的安全、正常运行；系统具有严格的运行授权管理体系，可有效防止非法用户登录和合法用户的越权操作。</w:t>
      </w:r>
    </w:p>
    <w:p>
      <w:pPr>
        <w:spacing w:line="360" w:lineRule="auto"/>
        <w:outlineLvl w:val="1"/>
        <w:rPr>
          <w:rFonts w:ascii="宋体" w:hAnsi="宋体" w:cs="宋体"/>
          <w:b/>
          <w:bCs/>
          <w:sz w:val="24"/>
        </w:rPr>
      </w:pPr>
      <w:r>
        <w:rPr>
          <w:rFonts w:hint="eastAsia" w:ascii="宋体" w:hAnsi="宋体" w:cs="宋体"/>
          <w:b/>
          <w:bCs/>
          <w:sz w:val="24"/>
        </w:rPr>
        <w:t>三、主要产品核心技术参数</w:t>
      </w:r>
    </w:p>
    <w:p>
      <w:pPr>
        <w:autoSpaceDE w:val="0"/>
        <w:autoSpaceDN w:val="0"/>
        <w:adjustRightInd w:val="0"/>
        <w:spacing w:line="360" w:lineRule="auto"/>
        <w:ind w:firstLine="480" w:firstLineChars="200"/>
        <w:rPr>
          <w:rFonts w:ascii="宋体" w:hAnsi="宋体" w:cs="Helvetica"/>
          <w:kern w:val="0"/>
          <w:sz w:val="24"/>
        </w:rPr>
      </w:pPr>
      <w:r>
        <w:rPr>
          <w:rFonts w:ascii="宋体" w:hAnsi="宋体" w:cs="Helvetica"/>
          <w:kern w:val="0"/>
          <w:sz w:val="24"/>
        </w:rPr>
        <w:t>1</w:t>
      </w:r>
      <w:r>
        <w:rPr>
          <w:rFonts w:hint="eastAsia" w:ascii="宋体" w:hAnsi="宋体" w:cs="Helvetica"/>
          <w:kern w:val="0"/>
          <w:sz w:val="24"/>
        </w:rPr>
        <w:t>、</w:t>
      </w:r>
      <w:r>
        <w:rPr>
          <w:rFonts w:ascii="宋体" w:hAnsi="宋体" w:cs="Helvetica"/>
          <w:kern w:val="0"/>
          <w:sz w:val="24"/>
        </w:rPr>
        <w:t>监测技术指标</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宋体"/>
          <w:sz w:val="24"/>
          <w:lang w:val="zh-CN"/>
        </w:rPr>
        <w:t>★（1）</w:t>
      </w:r>
      <w:r>
        <w:rPr>
          <w:rFonts w:ascii="宋体" w:hAnsi="宋体" w:cs="Helvetica"/>
          <w:kern w:val="0"/>
          <w:sz w:val="24"/>
        </w:rPr>
        <w:t>监测频率范围：20MHz～26.5GHz；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（2）</w:t>
      </w:r>
      <w:r>
        <w:rPr>
          <w:rFonts w:ascii="宋体" w:hAnsi="宋体" w:cs="Helvetica"/>
          <w:kern w:val="0"/>
          <w:sz w:val="24"/>
        </w:rPr>
        <w:t>频率稳定度：≤1×10</w:t>
      </w:r>
      <w:r>
        <w:rPr>
          <w:rFonts w:ascii="宋体" w:hAnsi="宋体" w:cs="Helvetica"/>
          <w:kern w:val="0"/>
          <w:sz w:val="24"/>
          <w:vertAlign w:val="superscript"/>
        </w:rPr>
        <w:t>-7</w:t>
      </w:r>
      <w:r>
        <w:rPr>
          <w:rFonts w:ascii="宋体" w:hAnsi="宋体" w:cs="Helvetica"/>
          <w:kern w:val="0"/>
          <w:sz w:val="24"/>
        </w:rPr>
        <w:t>；</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（3）</w:t>
      </w:r>
      <w:r>
        <w:rPr>
          <w:rFonts w:ascii="宋体" w:hAnsi="宋体" w:cs="Helvetica"/>
          <w:kern w:val="0"/>
          <w:sz w:val="24"/>
        </w:rPr>
        <w:t>中频实时带宽：</w:t>
      </w:r>
      <w:r>
        <w:rPr>
          <w:rFonts w:hint="eastAsia" w:ascii="宋体" w:hAnsi="宋体" w:cs="Helvetica"/>
          <w:kern w:val="0"/>
          <w:sz w:val="24"/>
        </w:rPr>
        <w:t>≥</w:t>
      </w:r>
      <w:r>
        <w:rPr>
          <w:rFonts w:ascii="宋体" w:hAnsi="宋体" w:cs="Helvetica"/>
          <w:kern w:val="0"/>
          <w:sz w:val="24"/>
        </w:rPr>
        <w:t>80MHz；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（4）</w:t>
      </w:r>
      <w:r>
        <w:rPr>
          <w:rFonts w:ascii="宋体" w:hAnsi="宋体" w:cs="Helvetica"/>
          <w:kern w:val="0"/>
          <w:sz w:val="24"/>
        </w:rPr>
        <w:t>相位噪声（fc=1GHz）：≤-110dBc/Hz@10kHz；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（5）</w:t>
      </w:r>
      <w:r>
        <w:rPr>
          <w:rFonts w:ascii="宋体" w:hAnsi="宋体" w:cs="Helvetica"/>
          <w:kern w:val="0"/>
          <w:sz w:val="24"/>
        </w:rPr>
        <w:t>噪声系数（实时带宽20MHz）：≤12dB（20～3000MHz）；≤15dB（3～20GHz）；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（6）</w:t>
      </w:r>
      <w:r>
        <w:rPr>
          <w:rFonts w:ascii="宋体" w:hAnsi="宋体" w:cs="Helvetica"/>
          <w:kern w:val="0"/>
          <w:sz w:val="24"/>
        </w:rPr>
        <w:t>监测灵敏度：≤10dBμV/m（20～3000MHz）；≤15dBμV/m（3～6GHz），≤20dBμV/m（6～20GHz）；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（7）</w:t>
      </w:r>
      <w:r>
        <w:rPr>
          <w:rFonts w:ascii="宋体" w:hAnsi="宋体" w:cs="Helvetica"/>
          <w:kern w:val="0"/>
          <w:sz w:val="24"/>
        </w:rPr>
        <w:t>三阶截获点：≥20dBm（低失真模式）；</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（8）</w:t>
      </w:r>
      <w:r>
        <w:rPr>
          <w:rFonts w:ascii="宋体" w:hAnsi="宋体" w:cs="Helvetica"/>
          <w:kern w:val="0"/>
          <w:sz w:val="24"/>
        </w:rPr>
        <w:t>二阶截获点：≥60dBm（低失真模式）；</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（9）</w:t>
      </w:r>
      <w:r>
        <w:rPr>
          <w:rFonts w:ascii="宋体" w:hAnsi="宋体" w:cs="Helvetica"/>
          <w:kern w:val="0"/>
          <w:sz w:val="24"/>
        </w:rPr>
        <w:t>频率（全景）扫描速度：≥100GHz/s（步进25kHz）；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0</w:t>
      </w:r>
      <w:r>
        <w:rPr>
          <w:rFonts w:hint="eastAsia" w:ascii="宋体" w:hAnsi="宋体" w:cs="Helvetica"/>
          <w:kern w:val="0"/>
          <w:sz w:val="24"/>
        </w:rPr>
        <w:t>）</w:t>
      </w:r>
      <w:r>
        <w:rPr>
          <w:rFonts w:ascii="宋体" w:hAnsi="宋体" w:cs="Helvetica"/>
          <w:kern w:val="0"/>
          <w:sz w:val="24"/>
        </w:rPr>
        <w:t>中频抑制：≥90dB；</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1</w:t>
      </w:r>
      <w:r>
        <w:rPr>
          <w:rFonts w:hint="eastAsia" w:ascii="宋体" w:hAnsi="宋体" w:cs="Helvetica"/>
          <w:kern w:val="0"/>
          <w:sz w:val="24"/>
        </w:rPr>
        <w:t>）</w:t>
      </w:r>
      <w:r>
        <w:rPr>
          <w:rFonts w:ascii="宋体" w:hAnsi="宋体" w:cs="Helvetica"/>
          <w:kern w:val="0"/>
          <w:sz w:val="24"/>
        </w:rPr>
        <w:t>镜频抑制：≥90dB；</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2</w:t>
      </w:r>
      <w:r>
        <w:rPr>
          <w:rFonts w:hint="eastAsia" w:ascii="宋体" w:hAnsi="宋体" w:cs="Helvetica"/>
          <w:kern w:val="0"/>
          <w:sz w:val="24"/>
        </w:rPr>
        <w:t>）</w:t>
      </w:r>
      <w:r>
        <w:rPr>
          <w:rFonts w:ascii="宋体" w:hAnsi="宋体" w:cs="Helvetica"/>
          <w:kern w:val="0"/>
          <w:sz w:val="24"/>
        </w:rPr>
        <w:t>信号识别能力：AM、FM、PM、CW、FSK、ASK、PSK、DPSK、BPSK、QPSK、QAM、MSK</w:t>
      </w:r>
      <w:r>
        <w:rPr>
          <w:rFonts w:hint="eastAsia" w:ascii="宋体" w:hAnsi="宋体" w:cs="Helvetica"/>
          <w:kern w:val="0"/>
          <w:sz w:val="24"/>
        </w:rPr>
        <w:t>。</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2、</w:t>
      </w:r>
      <w:r>
        <w:rPr>
          <w:rFonts w:ascii="宋体" w:hAnsi="宋体" w:cs="Helvetica"/>
          <w:kern w:val="0"/>
          <w:sz w:val="24"/>
        </w:rPr>
        <w:t>测向技术指标</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测向频率范围：20MHz～18GHz（垂直极化），40MHz～1.3GHz（水平极化）；</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宋体"/>
          <w:sz w:val="24"/>
          <w:lang w:val="zh-CN"/>
        </w:rPr>
        <w:t>★（2）</w:t>
      </w:r>
      <w:r>
        <w:rPr>
          <w:rFonts w:ascii="宋体" w:hAnsi="宋体" w:cs="Helvetica"/>
          <w:kern w:val="0"/>
          <w:sz w:val="24"/>
        </w:rPr>
        <w:t>测向体制：20MHz～6GHz：九通道空间谱估计与九通道相关干涉仪双体制；6GHz～18GHz：幅度相关法；</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（3）</w:t>
      </w:r>
      <w:r>
        <w:rPr>
          <w:rFonts w:ascii="宋体" w:hAnsi="宋体" w:cs="Helvetica"/>
          <w:kern w:val="0"/>
          <w:sz w:val="24"/>
        </w:rPr>
        <w:t>测向时效（单次突发信号，30MHz～6GHz频段）：≤2ms；</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（4）</w:t>
      </w:r>
      <w:r>
        <w:rPr>
          <w:rFonts w:ascii="宋体" w:hAnsi="宋体" w:cs="Helvetica"/>
          <w:kern w:val="0"/>
          <w:sz w:val="24"/>
        </w:rPr>
        <w:t>测向准确度（R.M.S，无反射环境）：≤2°（30MHz～3GHz）；≤3°（3GHz～6GHz）；≤5°（6GHz～18GHz）；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（5）</w:t>
      </w:r>
      <w:r>
        <w:rPr>
          <w:rFonts w:ascii="宋体" w:hAnsi="宋体" w:cs="Helvetica"/>
          <w:kern w:val="0"/>
          <w:sz w:val="24"/>
        </w:rPr>
        <w:t>测向灵敏度：≤15dBμV/m（30MHz～3GHz）；≤20dBμV/m（3GHz～6GHz）；≤25dBμV/m（6GHz～18GHz）；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（6）</w:t>
      </w:r>
      <w:r>
        <w:rPr>
          <w:rFonts w:ascii="宋体" w:hAnsi="宋体" w:cs="Helvetica"/>
          <w:kern w:val="0"/>
          <w:sz w:val="24"/>
        </w:rPr>
        <w:t>同频信号最小分辨角度（D/λ&gt;1）：≤20°；</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▲（7）</w:t>
      </w:r>
      <w:r>
        <w:rPr>
          <w:rFonts w:ascii="宋体" w:hAnsi="宋体" w:cs="Helvetica"/>
          <w:kern w:val="0"/>
          <w:sz w:val="24"/>
        </w:rPr>
        <w:t>同时分辨的信号数量（D/λ&gt;1）：</w:t>
      </w:r>
      <w:r>
        <w:rPr>
          <w:rFonts w:hint="eastAsia" w:ascii="宋体" w:hAnsi="宋体" w:cs="Helvetica"/>
          <w:kern w:val="0"/>
          <w:sz w:val="24"/>
        </w:rPr>
        <w:t>非相干信号</w:t>
      </w:r>
      <w:r>
        <w:rPr>
          <w:rFonts w:ascii="宋体" w:hAnsi="宋体" w:cs="Helvetica"/>
          <w:kern w:val="0"/>
          <w:sz w:val="24"/>
        </w:rPr>
        <w:t>≥3个</w:t>
      </w:r>
      <w:r>
        <w:rPr>
          <w:rFonts w:hint="eastAsia" w:ascii="宋体" w:hAnsi="宋体" w:cs="Helvetica"/>
          <w:kern w:val="0"/>
          <w:sz w:val="24"/>
        </w:rPr>
        <w:t>；相干信号≥2个</w:t>
      </w:r>
      <w:r>
        <w:rPr>
          <w:rFonts w:ascii="宋体" w:hAnsi="宋体" w:cs="Helvetica"/>
          <w:kern w:val="0"/>
          <w:sz w:val="24"/>
        </w:rPr>
        <w:t>。</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▲（8）投标人须提供核心设备及测向系统由具有</w:t>
      </w:r>
      <w:r>
        <w:rPr>
          <w:rFonts w:ascii="宋体" w:hAnsi="宋体" w:cs="Helvetica"/>
          <w:kern w:val="0"/>
          <w:sz w:val="24"/>
        </w:rPr>
        <w:t>CMA和CNAS资质的第三方检测机构按GB/T32401-2015《VHF/UHF频段无线电监测接收机技术要求及测试方法》、GB/T34089-2017《VHF/UHF无线电监测测向系统开场测试参数和测试方法》、2015-0709T-YD 《基于空间谱估计的VHF/UHF无线电测向系统开场测试参数和测试方法》出具的检测报告</w:t>
      </w:r>
      <w:r>
        <w:rPr>
          <w:rFonts w:hint="eastAsia" w:ascii="宋体" w:hAnsi="宋体" w:cs="Helvetica"/>
          <w:kern w:val="0"/>
          <w:sz w:val="24"/>
        </w:rPr>
        <w:t>复印件，并加盖公章。</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3、</w:t>
      </w:r>
      <w:r>
        <w:rPr>
          <w:rFonts w:ascii="宋体" w:hAnsi="宋体" w:cs="Helvetica"/>
          <w:kern w:val="0"/>
          <w:sz w:val="24"/>
        </w:rPr>
        <w:t>监测天线技术指标</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（1）频率范围：</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▲（2）支持有源</w:t>
      </w:r>
      <w:r>
        <w:rPr>
          <w:rFonts w:ascii="宋体" w:hAnsi="宋体" w:cs="Helvetica"/>
          <w:kern w:val="0"/>
          <w:sz w:val="24"/>
        </w:rPr>
        <w:t>/</w:t>
      </w:r>
      <w:r>
        <w:rPr>
          <w:rFonts w:hint="eastAsia" w:ascii="宋体" w:hAnsi="宋体" w:cs="Helvetica"/>
          <w:kern w:val="0"/>
          <w:sz w:val="24"/>
        </w:rPr>
        <w:t>无源可切换；</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（3）极化方式：垂直极化；</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（4）增益：</w:t>
      </w:r>
      <w:r>
        <w:rPr>
          <w:rFonts w:ascii="宋体" w:hAnsi="宋体" w:cs="Helvetica"/>
          <w:kern w:val="0"/>
          <w:sz w:val="24"/>
        </w:rPr>
        <w:t>-10</w:t>
      </w:r>
      <w:r>
        <w:rPr>
          <w:rFonts w:hint="eastAsia" w:ascii="宋体" w:hAnsi="宋体" w:cs="Helvetica"/>
          <w:kern w:val="0"/>
          <w:sz w:val="24"/>
        </w:rPr>
        <w:t>～</w:t>
      </w:r>
      <w:r>
        <w:rPr>
          <w:rFonts w:ascii="宋体" w:hAnsi="宋体" w:cs="Helvetica"/>
          <w:kern w:val="0"/>
          <w:sz w:val="24"/>
        </w:rPr>
        <w:t>7dBi</w:t>
      </w:r>
      <w:r>
        <w:rPr>
          <w:rFonts w:hint="eastAsia" w:ascii="宋体" w:hAnsi="宋体" w:cs="Helvetica"/>
          <w:kern w:val="0"/>
          <w:sz w:val="24"/>
        </w:rPr>
        <w:t>（</w:t>
      </w:r>
      <w:r>
        <w:rPr>
          <w:rFonts w:ascii="宋体" w:hAnsi="宋体" w:cs="Helvetica"/>
          <w:kern w:val="0"/>
          <w:sz w:val="24"/>
        </w:rPr>
        <w:t>20MHz</w:t>
      </w:r>
      <w:r>
        <w:rPr>
          <w:rFonts w:hint="eastAsia" w:ascii="宋体" w:hAnsi="宋体" w:cs="Helvetica"/>
          <w:kern w:val="0"/>
          <w:sz w:val="24"/>
        </w:rPr>
        <w:t>～</w:t>
      </w:r>
      <w:r>
        <w:rPr>
          <w:rFonts w:ascii="宋体" w:hAnsi="宋体" w:cs="Helvetica"/>
          <w:kern w:val="0"/>
          <w:sz w:val="24"/>
        </w:rPr>
        <w:t>100MHz</w:t>
      </w:r>
      <w:r>
        <w:rPr>
          <w:rFonts w:hint="eastAsia" w:ascii="宋体" w:hAnsi="宋体" w:cs="Helvetica"/>
          <w:kern w:val="0"/>
          <w:sz w:val="24"/>
        </w:rPr>
        <w:t>，典型值），</w:t>
      </w:r>
      <w:r>
        <w:rPr>
          <w:rFonts w:ascii="宋体" w:hAnsi="宋体" w:cs="Helvetica"/>
          <w:kern w:val="0"/>
          <w:sz w:val="24"/>
        </w:rPr>
        <w:t>7</w:t>
      </w:r>
      <w:r>
        <w:rPr>
          <w:rFonts w:hint="eastAsia" w:ascii="宋体" w:hAnsi="宋体" w:cs="Helvetica"/>
          <w:kern w:val="0"/>
          <w:sz w:val="24"/>
        </w:rPr>
        <w:t>～</w:t>
      </w:r>
      <w:r>
        <w:rPr>
          <w:rFonts w:ascii="宋体" w:hAnsi="宋体" w:cs="Helvetica"/>
          <w:kern w:val="0"/>
          <w:sz w:val="24"/>
        </w:rPr>
        <w:t>18dBi</w:t>
      </w:r>
      <w:r>
        <w:rPr>
          <w:rFonts w:hint="eastAsia" w:ascii="宋体" w:hAnsi="宋体" w:cs="Helvetica"/>
          <w:kern w:val="0"/>
          <w:sz w:val="24"/>
        </w:rPr>
        <w:t>（</w:t>
      </w:r>
      <w:r>
        <w:rPr>
          <w:rFonts w:ascii="宋体" w:hAnsi="宋体" w:cs="Helvetica"/>
          <w:kern w:val="0"/>
          <w:sz w:val="24"/>
        </w:rPr>
        <w:t>100MHz</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，典型值），</w:t>
      </w:r>
      <w:r>
        <w:rPr>
          <w:rFonts w:ascii="宋体" w:hAnsi="宋体" w:cs="Helvetica"/>
          <w:kern w:val="0"/>
          <w:sz w:val="24"/>
        </w:rPr>
        <w:t>12</w:t>
      </w:r>
      <w:r>
        <w:rPr>
          <w:rFonts w:hint="eastAsia" w:ascii="宋体" w:hAnsi="宋体" w:cs="Helvetica"/>
          <w:kern w:val="0"/>
          <w:sz w:val="24"/>
        </w:rPr>
        <w:t>～</w:t>
      </w:r>
      <w:r>
        <w:rPr>
          <w:rFonts w:ascii="宋体" w:hAnsi="宋体" w:cs="Helvetica"/>
          <w:kern w:val="0"/>
          <w:sz w:val="24"/>
        </w:rPr>
        <w:t>18dBi</w:t>
      </w:r>
      <w:r>
        <w:rPr>
          <w:rFonts w:hint="eastAsia" w:ascii="宋体" w:hAnsi="宋体" w:cs="Helvetica"/>
          <w:kern w:val="0"/>
          <w:sz w:val="24"/>
        </w:rPr>
        <w:t>（</w:t>
      </w:r>
      <w:r>
        <w:rPr>
          <w:rFonts w:ascii="宋体" w:hAnsi="宋体" w:cs="Helvetica"/>
          <w:kern w:val="0"/>
          <w:sz w:val="24"/>
        </w:rPr>
        <w:t>8GHz</w:t>
      </w:r>
      <w:r>
        <w:rPr>
          <w:rFonts w:hint="eastAsia" w:ascii="宋体" w:hAnsi="宋体" w:cs="Helvetica"/>
          <w:kern w:val="0"/>
          <w:sz w:val="24"/>
        </w:rPr>
        <w:t>～</w:t>
      </w:r>
      <w:r>
        <w:rPr>
          <w:rFonts w:ascii="宋体" w:hAnsi="宋体" w:cs="Helvetica"/>
          <w:kern w:val="0"/>
          <w:sz w:val="24"/>
        </w:rPr>
        <w:t>18GHz</w:t>
      </w:r>
      <w:r>
        <w:rPr>
          <w:rFonts w:hint="eastAsia" w:ascii="宋体" w:hAnsi="宋体" w:cs="Helvetica"/>
          <w:kern w:val="0"/>
          <w:sz w:val="24"/>
        </w:rPr>
        <w:t>，典型值）；</w:t>
      </w:r>
    </w:p>
    <w:p>
      <w:pPr>
        <w:widowControl/>
        <w:spacing w:line="360" w:lineRule="auto"/>
        <w:ind w:firstLine="480" w:firstLineChars="200"/>
        <w:rPr>
          <w:rFonts w:ascii="宋体" w:hAnsi="宋体" w:cs="Helvetica"/>
          <w:kern w:val="0"/>
          <w:sz w:val="24"/>
        </w:rPr>
      </w:pPr>
      <w:r>
        <w:rPr>
          <w:rFonts w:hint="eastAsia" w:ascii="宋体" w:hAnsi="宋体" w:cs="Helvetica"/>
          <w:kern w:val="0"/>
          <w:sz w:val="24"/>
        </w:rPr>
        <w:t>（5）输入阻抗：</w:t>
      </w:r>
      <w:r>
        <w:rPr>
          <w:rFonts w:ascii="宋体" w:hAnsi="宋体" w:cs="Helvetica"/>
          <w:kern w:val="0"/>
          <w:sz w:val="24"/>
        </w:rPr>
        <w:t>50</w:t>
      </w:r>
      <w:r>
        <w:rPr>
          <w:rFonts w:hint="eastAsia" w:ascii="宋体" w:hAnsi="宋体" w:cs="Helvetica"/>
          <w:kern w:val="0"/>
          <w:sz w:val="24"/>
        </w:rPr>
        <w:t>Ω。</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4、</w:t>
      </w:r>
      <w:r>
        <w:rPr>
          <w:rFonts w:ascii="宋体" w:hAnsi="宋体" w:cs="Helvetica"/>
          <w:kern w:val="0"/>
          <w:sz w:val="24"/>
        </w:rPr>
        <w:t>测向天线技术指标</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频率范围：20MHz～18GHz</w:t>
      </w:r>
      <w:r>
        <w:rPr>
          <w:rFonts w:hint="eastAsia" w:ascii="宋体" w:hAnsi="宋体" w:cs="Helvetica"/>
          <w:kern w:val="0"/>
          <w:sz w:val="24"/>
        </w:rPr>
        <w:t>（</w:t>
      </w:r>
      <w:r>
        <w:rPr>
          <w:rFonts w:ascii="宋体" w:hAnsi="宋体" w:cs="Helvetica"/>
          <w:kern w:val="0"/>
          <w:sz w:val="24"/>
        </w:rPr>
        <w:t>垂直极化</w:t>
      </w:r>
      <w:r>
        <w:rPr>
          <w:rFonts w:hint="eastAsia" w:ascii="宋体" w:hAnsi="宋体" w:cs="Helvetica"/>
          <w:kern w:val="0"/>
          <w:sz w:val="24"/>
        </w:rPr>
        <w:t>）；</w:t>
      </w:r>
      <w:r>
        <w:rPr>
          <w:rFonts w:ascii="宋体" w:hAnsi="宋体" w:cs="Helvetica"/>
          <w:kern w:val="0"/>
          <w:sz w:val="24"/>
        </w:rPr>
        <w:t>40MHz～1.3GHz</w:t>
      </w:r>
      <w:r>
        <w:rPr>
          <w:rFonts w:hint="eastAsia" w:ascii="宋体" w:hAnsi="宋体" w:cs="Helvetica"/>
          <w:kern w:val="0"/>
          <w:sz w:val="24"/>
        </w:rPr>
        <w:t>（</w:t>
      </w:r>
      <w:r>
        <w:rPr>
          <w:rFonts w:ascii="宋体" w:hAnsi="宋体" w:cs="Helvetica"/>
          <w:kern w:val="0"/>
          <w:sz w:val="24"/>
        </w:rPr>
        <w:t>水平极化</w:t>
      </w:r>
      <w:r>
        <w:rPr>
          <w:rFonts w:hint="eastAsia" w:ascii="宋体" w:hAnsi="宋体" w:cs="Helvetica"/>
          <w:kern w:val="0"/>
          <w:sz w:val="24"/>
        </w:rPr>
        <w:t>）</w:t>
      </w:r>
      <w:r>
        <w:rPr>
          <w:rFonts w:ascii="宋体" w:hAnsi="宋体" w:cs="Helvetica"/>
          <w:kern w:val="0"/>
          <w:sz w:val="24"/>
        </w:rPr>
        <w:t>。</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5、</w:t>
      </w:r>
      <w:r>
        <w:rPr>
          <w:rFonts w:ascii="宋体" w:hAnsi="宋体" w:cs="Helvetica"/>
          <w:kern w:val="0"/>
          <w:sz w:val="24"/>
        </w:rPr>
        <w:t>全频段压制发射指标</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▲（1）</w:t>
      </w:r>
      <w:r>
        <w:rPr>
          <w:rFonts w:ascii="宋体" w:hAnsi="宋体" w:cs="Helvetica"/>
          <w:kern w:val="0"/>
          <w:sz w:val="24"/>
        </w:rPr>
        <w:t>频率范围：100MHz～3GHz；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（2）</w:t>
      </w:r>
      <w:r>
        <w:rPr>
          <w:rFonts w:ascii="宋体" w:hAnsi="宋体" w:cs="Helvetica"/>
          <w:kern w:val="0"/>
          <w:sz w:val="24"/>
        </w:rPr>
        <w:t>输出功率：5～50W(100～1000MHz)、2～25W(1～3GHz);</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（3）</w:t>
      </w:r>
      <w:r>
        <w:rPr>
          <w:rFonts w:ascii="宋体" w:hAnsi="宋体" w:cs="Helvetica"/>
          <w:kern w:val="0"/>
          <w:sz w:val="24"/>
        </w:rPr>
        <w:t>输出功率平坦度：≤±3dB；</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（4）</w:t>
      </w:r>
      <w:r>
        <w:rPr>
          <w:rFonts w:ascii="宋体" w:hAnsi="宋体" w:cs="Helvetica"/>
          <w:kern w:val="0"/>
          <w:sz w:val="24"/>
        </w:rPr>
        <w:t>频率切换稳定时间：＜200μs(同一频段内)；</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（5）</w:t>
      </w:r>
      <w:r>
        <w:rPr>
          <w:rFonts w:ascii="宋体" w:hAnsi="宋体" w:cs="Helvetica"/>
          <w:kern w:val="0"/>
          <w:sz w:val="24"/>
        </w:rPr>
        <w:t>跳频速度：≥10000频点/秒；</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（6）</w:t>
      </w:r>
      <w:r>
        <w:rPr>
          <w:rFonts w:ascii="宋体" w:hAnsi="宋体" w:cs="Helvetica"/>
          <w:kern w:val="0"/>
          <w:sz w:val="24"/>
        </w:rPr>
        <w:t>杂散</w:t>
      </w:r>
      <w:r>
        <w:rPr>
          <w:rFonts w:hint="eastAsia" w:ascii="宋体" w:hAnsi="宋体" w:cs="Helvetica"/>
          <w:kern w:val="0"/>
          <w:sz w:val="24"/>
        </w:rPr>
        <w:t>抑制：</w:t>
      </w:r>
      <w:r>
        <w:rPr>
          <w:rFonts w:ascii="宋体" w:hAnsi="宋体" w:cs="Helvetica"/>
          <w:kern w:val="0"/>
          <w:sz w:val="24"/>
        </w:rPr>
        <w:t>≤-35dBc；</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（7）</w:t>
      </w:r>
      <w:r>
        <w:rPr>
          <w:rFonts w:ascii="宋体" w:hAnsi="宋体" w:cs="Helvetica"/>
          <w:kern w:val="0"/>
          <w:sz w:val="24"/>
        </w:rPr>
        <w:t>支持调制方式：支持CW、AM、ASK、FSK、2FSK、4FSK、BPSK、QPSK、FM、标准或非标亚音频等多种调制方式；</w:t>
      </w:r>
    </w:p>
    <w:p>
      <w:pPr>
        <w:autoSpaceDE w:val="0"/>
        <w:autoSpaceDN w:val="0"/>
        <w:adjustRightInd w:val="0"/>
        <w:spacing w:line="360" w:lineRule="auto"/>
        <w:ind w:firstLine="480" w:firstLineChars="200"/>
        <w:rPr>
          <w:rFonts w:ascii="宋体" w:hAnsi="宋体" w:cs="Helvetica"/>
          <w:kern w:val="0"/>
          <w:sz w:val="24"/>
        </w:rPr>
      </w:pPr>
      <w:r>
        <w:rPr>
          <w:rFonts w:hint="eastAsia" w:ascii="宋体" w:hAnsi="宋体" w:cs="Helvetica"/>
          <w:kern w:val="0"/>
          <w:sz w:val="24"/>
        </w:rPr>
        <w:t>▲（8）</w:t>
      </w:r>
      <w:r>
        <w:rPr>
          <w:rFonts w:ascii="宋体" w:hAnsi="宋体" w:cs="Helvetica"/>
          <w:kern w:val="0"/>
          <w:sz w:val="24"/>
        </w:rPr>
        <w:t>天线短路、开路、整机过热时保护，保护时自动</w:t>
      </w:r>
      <w:r>
        <w:rPr>
          <w:rFonts w:hint="eastAsia" w:ascii="宋体" w:hAnsi="宋体" w:cs="Helvetica"/>
          <w:kern w:val="0"/>
          <w:sz w:val="24"/>
        </w:rPr>
        <w:t>测试</w:t>
      </w:r>
      <w:r>
        <w:rPr>
          <w:rFonts w:ascii="宋体" w:hAnsi="宋体" w:cs="Helvetica"/>
          <w:kern w:val="0"/>
          <w:sz w:val="24"/>
        </w:rPr>
        <w:t>并关闭射频放大器。</w:t>
      </w:r>
    </w:p>
    <w:p>
      <w:pPr>
        <w:spacing w:line="360" w:lineRule="auto"/>
        <w:outlineLvl w:val="1"/>
        <w:rPr>
          <w:rFonts w:ascii="宋体" w:hAnsi="宋体" w:cs="宋体"/>
          <w:b/>
          <w:bCs/>
          <w:sz w:val="24"/>
        </w:rPr>
      </w:pPr>
      <w:r>
        <w:rPr>
          <w:rFonts w:hint="eastAsia" w:ascii="宋体" w:hAnsi="宋体" w:cs="宋体"/>
          <w:b/>
          <w:bCs/>
          <w:sz w:val="24"/>
        </w:rPr>
        <w:t>四、装载平台及改装要求</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▲1、为满足移动监测要求，需将设备集成安装在移动车辆中。车辆应满足以下条件：车长≤6000mm，车宽≥2000mm，车高≥2600mm，轴距≥3500mm，排量≥2950cc，最小离地间隙≥150mm，符合国六排放标准。</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w:t>
      </w:r>
      <w:r>
        <w:rPr>
          <w:rFonts w:ascii="宋体" w:hAnsi="宋体" w:cs="Helvetica"/>
          <w:kern w:val="0"/>
          <w:sz w:val="24"/>
        </w:rPr>
        <w:t>2</w:t>
      </w:r>
      <w:r>
        <w:rPr>
          <w:rFonts w:hint="eastAsia" w:ascii="宋体" w:hAnsi="宋体" w:cs="Helvetica"/>
          <w:kern w:val="0"/>
          <w:sz w:val="24"/>
        </w:rPr>
        <w:t>、根据工信部和公安部对于特种车辆改装的行业管理要求，投标人选择的车辆改装企业须具有相应的工信部汽车改装资质（投标文件中需提供相应资质和资料复印件并加盖投标人公章）。车辆改装应符合国家相关标准和交通管理部门有关要求，应遵循如下文件或标准：</w:t>
      </w:r>
      <w:r>
        <w:rPr>
          <w:rFonts w:ascii="宋体" w:hAnsi="宋体" w:cs="Helvetica"/>
          <w:kern w:val="0"/>
          <w:sz w:val="24"/>
        </w:rPr>
        <w:t>QC/T934-2012</w:t>
      </w:r>
      <w:r>
        <w:rPr>
          <w:rFonts w:hint="eastAsia" w:ascii="宋体" w:hAnsi="宋体" w:cs="Helvetica"/>
          <w:kern w:val="0"/>
          <w:sz w:val="24"/>
        </w:rPr>
        <w:t>《无线电监测车技术条件》、</w:t>
      </w:r>
      <w:r>
        <w:rPr>
          <w:rFonts w:ascii="宋体" w:hAnsi="宋体" w:cs="Helvetica"/>
          <w:kern w:val="0"/>
          <w:sz w:val="24"/>
        </w:rPr>
        <w:t>GB7258-2017</w:t>
      </w:r>
      <w:r>
        <w:rPr>
          <w:rFonts w:hint="eastAsia" w:ascii="宋体" w:hAnsi="宋体" w:cs="Helvetica"/>
          <w:kern w:val="0"/>
          <w:sz w:val="24"/>
        </w:rPr>
        <w:t>《机动车运行安全技术条件》、</w:t>
      </w:r>
      <w:r>
        <w:rPr>
          <w:rFonts w:ascii="宋体" w:hAnsi="宋体" w:cs="Helvetica"/>
          <w:kern w:val="0"/>
          <w:sz w:val="24"/>
        </w:rPr>
        <w:t>GA802-2014</w:t>
      </w:r>
      <w:r>
        <w:rPr>
          <w:rFonts w:hint="eastAsia" w:ascii="宋体" w:hAnsi="宋体" w:cs="Helvetica"/>
          <w:kern w:val="0"/>
          <w:sz w:val="24"/>
        </w:rPr>
        <w:t>《机动车类型、术语和定义》、</w:t>
      </w:r>
      <w:r>
        <w:rPr>
          <w:rFonts w:ascii="宋体" w:hAnsi="宋体" w:cs="Helvetica"/>
          <w:kern w:val="0"/>
          <w:sz w:val="24"/>
        </w:rPr>
        <w:t>GB1589-2016</w:t>
      </w:r>
      <w:r>
        <w:rPr>
          <w:rFonts w:hint="eastAsia" w:ascii="宋体" w:hAnsi="宋体" w:cs="Helvetica"/>
          <w:kern w:val="0"/>
          <w:sz w:val="24"/>
        </w:rPr>
        <w:t>《汽车、挂车及汽车列车外廓尺寸、轴荷及质量限值》。</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3、</w:t>
      </w:r>
      <w:r>
        <w:rPr>
          <w:rFonts w:ascii="宋体" w:hAnsi="宋体" w:cs="Helvetica"/>
          <w:kern w:val="0"/>
          <w:sz w:val="24"/>
        </w:rPr>
        <w:t>提供市电供电、取力发电机供电以及车载蓄电池供电，三种供电方式无缝切换，可满足不同应用场景。</w:t>
      </w:r>
    </w:p>
    <w:p>
      <w:pPr>
        <w:widowControl/>
        <w:spacing w:line="360" w:lineRule="auto"/>
        <w:ind w:firstLine="480" w:firstLineChars="200"/>
        <w:jc w:val="left"/>
        <w:rPr>
          <w:rFonts w:ascii="宋体" w:hAnsi="宋体" w:cs="Helvetica"/>
          <w:kern w:val="0"/>
          <w:sz w:val="24"/>
        </w:rPr>
      </w:pPr>
      <w:r>
        <w:rPr>
          <w:rFonts w:ascii="宋体" w:hAnsi="宋体" w:cs="Helvetica"/>
          <w:kern w:val="0"/>
          <w:sz w:val="24"/>
        </w:rPr>
        <w:t>4</w:t>
      </w:r>
      <w:r>
        <w:rPr>
          <w:rFonts w:hint="eastAsia" w:ascii="宋体" w:hAnsi="宋体" w:cs="Helvetica"/>
          <w:kern w:val="0"/>
          <w:sz w:val="24"/>
        </w:rPr>
        <w:t>、</w:t>
      </w:r>
      <w:r>
        <w:rPr>
          <w:rFonts w:ascii="宋体" w:hAnsi="宋体" w:cs="Helvetica"/>
          <w:kern w:val="0"/>
          <w:sz w:val="24"/>
        </w:rPr>
        <w:t>在车厢前部设置工作区，工作区内设置两个可调角度皮质座椅，提高工作人员长时间操作的舒适度。在座椅前方设置操作台1套，</w:t>
      </w:r>
      <w:r>
        <w:rPr>
          <w:rFonts w:hint="eastAsia" w:ascii="宋体" w:hAnsi="宋体" w:cs="Helvetica"/>
          <w:kern w:val="0"/>
          <w:sz w:val="24"/>
        </w:rPr>
        <w:t>用于放置控制终端，</w:t>
      </w:r>
      <w:r>
        <w:rPr>
          <w:rFonts w:ascii="宋体" w:hAnsi="宋体" w:cs="Helvetica"/>
          <w:kern w:val="0"/>
          <w:sz w:val="24"/>
        </w:rPr>
        <w:t>在操作台左侧集成综合控制面板，综控板上包括电源接口、网络接口以及</w:t>
      </w:r>
      <w:r>
        <w:rPr>
          <w:rFonts w:hint="eastAsia" w:ascii="宋体" w:hAnsi="宋体" w:cs="Helvetica"/>
          <w:kern w:val="0"/>
          <w:sz w:val="24"/>
        </w:rPr>
        <w:t>倒伏器控制</w:t>
      </w:r>
      <w:r>
        <w:rPr>
          <w:rFonts w:ascii="宋体" w:hAnsi="宋体" w:cs="Helvetica"/>
          <w:kern w:val="0"/>
          <w:sz w:val="24"/>
        </w:rPr>
        <w:t>按钮等。</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5、</w:t>
      </w:r>
      <w:r>
        <w:rPr>
          <w:rFonts w:ascii="宋体" w:hAnsi="宋体" w:cs="Helvetica"/>
          <w:kern w:val="0"/>
          <w:sz w:val="24"/>
        </w:rPr>
        <w:t>车内设备布局考虑电磁</w:t>
      </w:r>
      <w:r>
        <w:rPr>
          <w:rFonts w:hint="eastAsia" w:ascii="宋体" w:hAnsi="宋体" w:cs="Helvetica"/>
          <w:kern w:val="0"/>
          <w:sz w:val="24"/>
        </w:rPr>
        <w:t>屏蔽</w:t>
      </w:r>
      <w:r>
        <w:rPr>
          <w:rFonts w:ascii="宋体" w:hAnsi="宋体" w:cs="Helvetica"/>
          <w:kern w:val="0"/>
          <w:sz w:val="24"/>
        </w:rPr>
        <w:t>，保证电磁辐射低于国家标准限值；车厢内设备布局以及系统操作区布置合理、美观大方，便于操作使用，便于设备的安装、检修和维护，符合人体工程学要求，并不得影响驾驶员正常驾驶，操作台设计应便于操作人员操作使用。</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6、</w:t>
      </w:r>
      <w:r>
        <w:rPr>
          <w:rFonts w:ascii="宋体" w:hAnsi="宋体" w:cs="Helvetica"/>
          <w:kern w:val="0"/>
          <w:sz w:val="24"/>
        </w:rPr>
        <w:t>车顶放置天线的位置必须进行特殊加固，并具有减震措施；所有车厢外接口均需进行防水处理，车顶保持排水系统流畅，无任何积水。车顶设备布局合理，美观。</w:t>
      </w:r>
    </w:p>
    <w:p>
      <w:pPr>
        <w:widowControl/>
        <w:spacing w:line="360" w:lineRule="auto"/>
        <w:ind w:firstLine="480" w:firstLineChars="200"/>
        <w:jc w:val="left"/>
        <w:rPr>
          <w:rFonts w:ascii="宋体" w:hAnsi="宋体" w:cs="Helvetica"/>
          <w:kern w:val="0"/>
          <w:sz w:val="24"/>
        </w:rPr>
      </w:pPr>
      <w:r>
        <w:rPr>
          <w:rFonts w:hint="eastAsia" w:ascii="宋体" w:hAnsi="宋体" w:cs="Helvetica"/>
          <w:kern w:val="0"/>
          <w:sz w:val="24"/>
        </w:rPr>
        <w:t>7、</w:t>
      </w:r>
      <w:r>
        <w:rPr>
          <w:rFonts w:ascii="宋体" w:hAnsi="宋体" w:cs="Helvetica"/>
          <w:kern w:val="0"/>
          <w:sz w:val="24"/>
        </w:rPr>
        <w:t>车辆改装后，车辆能在一、二级公路上以高于100km/h的速度行驶，其他公路上以不低于60km/h的速度行驶。在碎石路面上以25km/h的速度行驶200km，车内系统设备不出现任何松动和损坏。具备适应国内路面行驶的抗震性能，所有工具、配件及其其他物品均应在工具箱等位置安放，在行驶中不会掉出，系统设备、机架、车厢的加固能够承受80～120km/h的急刹车的附加负载。</w:t>
      </w:r>
    </w:p>
    <w:p>
      <w:pPr>
        <w:spacing w:line="360" w:lineRule="auto"/>
        <w:outlineLvl w:val="1"/>
        <w:rPr>
          <w:rFonts w:ascii="宋体" w:hAnsi="宋体" w:cs="宋体"/>
          <w:b/>
          <w:bCs/>
          <w:sz w:val="24"/>
        </w:rPr>
      </w:pPr>
      <w:r>
        <w:rPr>
          <w:rFonts w:hint="eastAsia" w:ascii="宋体" w:hAnsi="宋体" w:cs="宋体"/>
          <w:b/>
          <w:bCs/>
          <w:sz w:val="24"/>
        </w:rPr>
        <w:t>五、配置清单（包括但不限于下表内容）</w:t>
      </w:r>
    </w:p>
    <w:tbl>
      <w:tblPr>
        <w:tblStyle w:val="29"/>
        <w:tblW w:w="9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258"/>
        <w:gridCol w:w="956"/>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339"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序号</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名称</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b/>
                <w:bCs/>
                <w:szCs w:val="21"/>
                <w:lang w:val="zh-CN"/>
              </w:rPr>
            </w:pPr>
            <w:r>
              <w:rPr>
                <w:rFonts w:hint="eastAsia" w:ascii="宋体" w:hAnsi="宋体" w:cs="宋体"/>
                <w:b/>
                <w:bCs/>
                <w:szCs w:val="21"/>
                <w:lang w:val="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3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1、核心产品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90"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测向接收机（含必要的选件）</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3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2、其他产品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监测接收机（含必要的选件）</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（2）</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监测天线</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3</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测向天线（配套电子罗盘）</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4</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专用信号接收设备（含专用天线）</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5</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全频段管制设备（含专用天线）</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6"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6</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应急通信指挥系统（含短波电台及车载天线、应急通信调度平台、车载短波电台、电话会议设备）</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567"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7</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平板控制终端（性能不低于</w:t>
            </w:r>
            <w:r>
              <w:rPr>
                <w:rFonts w:ascii="宋体" w:hAnsi="宋体" w:cs="宋体"/>
                <w:szCs w:val="21"/>
                <w:lang w:val="zh-CN"/>
              </w:rPr>
              <w:t>A12 2.49GHz核心处理器；≥10英寸LED背光多点触控显示屏；支持802.11a/b/g/n/ac双频无线局域网）</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17"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8</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网络交换机（支持4G</w:t>
            </w:r>
            <w:r>
              <w:rPr>
                <w:rFonts w:ascii="宋体" w:hAnsi="宋体" w:cs="宋体"/>
                <w:szCs w:val="21"/>
                <w:lang w:val="zh-CN"/>
              </w:rPr>
              <w:t>/5G</w:t>
            </w:r>
            <w:r>
              <w:rPr>
                <w:rFonts w:hint="eastAsia" w:ascii="宋体" w:hAnsi="宋体" w:cs="宋体"/>
                <w:szCs w:val="21"/>
                <w:lang w:val="zh-CN"/>
              </w:rPr>
              <w:t>、WIFI、有线等多种通讯网络）</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17"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9</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音视频采集设备（包括多画面分割器、车内/外高清摄像机、录像机、大屏显示屏、音箱、耳机等）</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15"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10</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车载电源系统（含取力发电机）</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15"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11</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车载驻车空调</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65"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w:t>
            </w:r>
            <w:r>
              <w:rPr>
                <w:rFonts w:ascii="宋体" w:hAnsi="宋体" w:cs="宋体"/>
                <w:szCs w:val="21"/>
                <w:lang w:val="zh-CN"/>
              </w:rPr>
              <w:t>12</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系统电缆</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327"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3</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车顶天线平台及天线安装适配器</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517"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4</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其他设备（含设备机柜、操作台、接地等）</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11"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r>
              <w:rPr>
                <w:rFonts w:ascii="宋体" w:hAnsi="宋体" w:cs="宋体"/>
                <w:szCs w:val="21"/>
                <w:lang w:val="zh-CN"/>
              </w:rPr>
              <w:t>5</w:t>
            </w:r>
            <w:r>
              <w:rPr>
                <w:rFonts w:hint="eastAsia" w:ascii="宋体" w:hAnsi="宋体" w:cs="宋体"/>
                <w:szCs w:val="21"/>
                <w:lang w:val="zh-CN"/>
              </w:rPr>
              <w:t>）</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监测测向系统软件（含电子地图等）</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35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3、装载平台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6" w:type="dxa"/>
          <w:trHeight w:val="401" w:hRule="atLeast"/>
        </w:trPr>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（1）</w:t>
            </w:r>
          </w:p>
        </w:tc>
        <w:tc>
          <w:tcPr>
            <w:tcW w:w="7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cs="宋体"/>
                <w:szCs w:val="21"/>
                <w:lang w:val="zh-CN"/>
              </w:rPr>
            </w:pPr>
            <w:r>
              <w:rPr>
                <w:rFonts w:hint="eastAsia" w:ascii="宋体" w:hAnsi="宋体" w:cs="宋体"/>
                <w:szCs w:val="21"/>
                <w:lang w:val="zh-CN"/>
              </w:rPr>
              <w:t>整车底盘</w:t>
            </w:r>
          </w:p>
        </w:tc>
        <w:tc>
          <w:tcPr>
            <w:tcW w:w="95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szCs w:val="21"/>
                <w:lang w:val="zh-CN"/>
              </w:rPr>
            </w:pPr>
            <w:r>
              <w:rPr>
                <w:rFonts w:ascii="宋体" w:hAnsi="宋体" w:cs="宋体"/>
                <w:szCs w:val="21"/>
                <w:lang w:val="zh-CN"/>
              </w:rPr>
              <w:t>1</w:t>
            </w:r>
            <w:r>
              <w:rPr>
                <w:rFonts w:hint="eastAsia" w:ascii="宋体" w:hAnsi="宋体" w:cs="宋体"/>
                <w:szCs w:val="21"/>
                <w:lang w:val="zh-CN"/>
              </w:rPr>
              <w:t>台</w:t>
            </w:r>
          </w:p>
        </w:tc>
      </w:tr>
    </w:tbl>
    <w:p>
      <w:pPr>
        <w:spacing w:line="360" w:lineRule="auto"/>
        <w:outlineLvl w:val="1"/>
        <w:rPr>
          <w:rFonts w:ascii="宋体" w:hAnsi="宋体" w:cs="宋体"/>
          <w:b/>
          <w:bCs/>
          <w:sz w:val="24"/>
        </w:rPr>
      </w:pPr>
      <w:r>
        <w:rPr>
          <w:rFonts w:hint="eastAsia" w:ascii="宋体" w:hAnsi="宋体" w:cs="宋体"/>
          <w:b/>
          <w:bCs/>
          <w:sz w:val="24"/>
        </w:rPr>
        <w:t>六、商务部分</w:t>
      </w:r>
    </w:p>
    <w:p>
      <w:pPr>
        <w:spacing w:line="360" w:lineRule="auto"/>
        <w:outlineLvl w:val="1"/>
        <w:rPr>
          <w:rFonts w:ascii="宋体" w:hAnsi="宋体" w:cs="宋体"/>
          <w:sz w:val="24"/>
        </w:rPr>
      </w:pPr>
      <w:r>
        <w:rPr>
          <w:rFonts w:hint="eastAsia" w:ascii="宋体" w:hAnsi="宋体" w:cs="宋体"/>
          <w:sz w:val="24"/>
        </w:rPr>
        <w:t>1、交货安装期：自合同签订之日起8个月完成</w:t>
      </w:r>
    </w:p>
    <w:p>
      <w:pPr>
        <w:spacing w:line="360" w:lineRule="auto"/>
        <w:outlineLvl w:val="1"/>
        <w:rPr>
          <w:rFonts w:ascii="宋体" w:hAnsi="宋体" w:cs="宋体"/>
          <w:sz w:val="24"/>
        </w:rPr>
      </w:pPr>
      <w:r>
        <w:rPr>
          <w:rFonts w:hint="eastAsia" w:ascii="宋体" w:hAnsi="宋体" w:cs="宋体"/>
          <w:sz w:val="24"/>
        </w:rPr>
        <w:t>2、质保期：3年</w:t>
      </w:r>
    </w:p>
    <w:p>
      <w:pPr>
        <w:spacing w:line="360" w:lineRule="auto"/>
        <w:outlineLvl w:val="1"/>
        <w:rPr>
          <w:rFonts w:ascii="宋体" w:hAnsi="宋体" w:cs="宋体"/>
          <w:sz w:val="24"/>
        </w:rPr>
      </w:pPr>
      <w:r>
        <w:rPr>
          <w:rFonts w:hint="eastAsia" w:ascii="宋体" w:hAnsi="宋体" w:cs="宋体"/>
          <w:sz w:val="24"/>
        </w:rPr>
        <w:t>3、付款方式：（1）合同签订后5个工作日内，乙方向甲方出具合同总价款15%金额的银行保函，保函有效期截止时间为项目验收合格后满6个月；</w:t>
      </w:r>
    </w:p>
    <w:p>
      <w:pPr>
        <w:spacing w:line="360" w:lineRule="auto"/>
        <w:outlineLvl w:val="1"/>
        <w:rPr>
          <w:rFonts w:ascii="宋体" w:hAnsi="宋体" w:cs="宋体"/>
          <w:sz w:val="24"/>
        </w:rPr>
      </w:pPr>
      <w:r>
        <w:rPr>
          <w:rFonts w:hint="eastAsia" w:ascii="宋体" w:hAnsi="宋体" w:cs="宋体"/>
          <w:sz w:val="24"/>
        </w:rPr>
        <w:t>（2）甲方收到乙方合格银行保函后支付全部合同总价款；</w:t>
      </w:r>
    </w:p>
    <w:p>
      <w:pPr>
        <w:spacing w:line="360" w:lineRule="auto"/>
        <w:outlineLvl w:val="1"/>
        <w:rPr>
          <w:rFonts w:ascii="宋体" w:hAnsi="宋体" w:cs="宋体"/>
          <w:sz w:val="24"/>
        </w:rPr>
      </w:pPr>
      <w:r>
        <w:rPr>
          <w:rFonts w:hint="eastAsia" w:ascii="宋体" w:hAnsi="宋体" w:cs="宋体"/>
          <w:sz w:val="24"/>
        </w:rPr>
        <w:t>（3）乙方承诺在甲方办理支付手续前，为甲方出具等额的符合国家规定的发票；</w:t>
      </w:r>
    </w:p>
    <w:p>
      <w:pPr>
        <w:spacing w:line="360" w:lineRule="auto"/>
        <w:outlineLvl w:val="1"/>
        <w:rPr>
          <w:rFonts w:ascii="宋体" w:hAnsi="宋体" w:cs="宋体"/>
          <w:sz w:val="24"/>
        </w:rPr>
      </w:pPr>
      <w:r>
        <w:rPr>
          <w:rFonts w:hint="eastAsia" w:ascii="宋体" w:hAnsi="宋体" w:cs="宋体"/>
          <w:sz w:val="24"/>
        </w:rPr>
        <w:t>（4）上述时间不包括甲方正常办理支付报批手续的时间（办理银行担保所需的手续费、担保费等全部由中标人承担）。</w:t>
      </w:r>
    </w:p>
    <w:p>
      <w:pPr>
        <w:spacing w:line="360" w:lineRule="auto"/>
        <w:jc w:val="center"/>
        <w:rPr>
          <w:rStyle w:val="96"/>
        </w:rPr>
      </w:pPr>
      <w:r>
        <w:rPr>
          <w:rFonts w:hint="eastAsia" w:ascii="宋体" w:hAnsi="宋体" w:cs="宋体"/>
          <w:sz w:val="24"/>
        </w:rPr>
        <w:t>4、其他：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r>
        <w:rPr>
          <w:rFonts w:hint="eastAsia" w:ascii="宋体" w:hAnsi="宋体" w:cs="宋体"/>
          <w:sz w:val="24"/>
        </w:rPr>
        <w:br w:type="page"/>
      </w:r>
      <w:bookmarkStart w:id="218" w:name="_Toc18231"/>
      <w:r>
        <w:rPr>
          <w:rStyle w:val="96"/>
          <w:rFonts w:hint="eastAsia"/>
        </w:rPr>
        <w:t>第五章 政府采购合同格式</w:t>
      </w:r>
      <w:bookmarkEnd w:id="201"/>
      <w:bookmarkEnd w:id="202"/>
      <w:bookmarkEnd w:id="203"/>
      <w:bookmarkStart w:id="219" w:name="_Toc362882445"/>
    </w:p>
    <w:bookmarkEnd w:id="218"/>
    <w:bookmarkEnd w:id="219"/>
    <w:p>
      <w:pPr>
        <w:jc w:val="center"/>
        <w:rPr>
          <w:rFonts w:ascii="宋体" w:hAnsi="宋体" w:cs="宋体"/>
          <w:b/>
          <w:bCs/>
          <w:sz w:val="44"/>
          <w:szCs w:val="44"/>
        </w:rPr>
      </w:pPr>
      <w:bookmarkStart w:id="220" w:name="_Toc25543"/>
      <w:bookmarkStart w:id="221" w:name="_Toc1517_WPSOffice_Level1"/>
      <w:bookmarkStart w:id="222" w:name="_Toc28984"/>
      <w:bookmarkStart w:id="223" w:name="_Toc14378"/>
    </w:p>
    <w:p>
      <w:pPr>
        <w:jc w:val="center"/>
        <w:rPr>
          <w:rFonts w:ascii="仿宋" w:hAnsi="仿宋" w:eastAsia="仿宋" w:cs="仿宋"/>
          <w:b/>
          <w:bCs/>
          <w:sz w:val="44"/>
          <w:szCs w:val="44"/>
        </w:rPr>
      </w:pPr>
    </w:p>
    <w:p>
      <w:pPr>
        <w:rPr>
          <w:rFonts w:ascii="仿宋" w:hAnsi="仿宋" w:eastAsia="仿宋" w:cs="仿宋"/>
        </w:rPr>
      </w:pPr>
    </w:p>
    <w:p>
      <w:pPr>
        <w:rPr>
          <w:rFonts w:ascii="仿宋" w:hAnsi="仿宋" w:eastAsia="仿宋" w:cs="仿宋"/>
        </w:rPr>
      </w:pPr>
    </w:p>
    <w:p>
      <w:pPr>
        <w:pStyle w:val="2"/>
        <w:rPr>
          <w:rFonts w:ascii="仿宋" w:hAnsi="仿宋" w:eastAsia="仿宋" w:cs="仿宋"/>
        </w:rPr>
      </w:pPr>
    </w:p>
    <w:p>
      <w:pPr>
        <w:jc w:val="center"/>
        <w:rPr>
          <w:sz w:val="44"/>
          <w:szCs w:val="36"/>
        </w:rPr>
      </w:pPr>
      <w:r>
        <w:rPr>
          <w:rFonts w:hint="eastAsia"/>
          <w:sz w:val="44"/>
          <w:szCs w:val="36"/>
        </w:rPr>
        <w:t>陕西省无线电管理委员会</w:t>
      </w:r>
    </w:p>
    <w:p>
      <w:pPr>
        <w:jc w:val="center"/>
        <w:rPr>
          <w:rFonts w:ascii="仿宋" w:hAnsi="仿宋" w:eastAsia="仿宋" w:cs="仿宋"/>
        </w:rPr>
      </w:pPr>
      <w:r>
        <w:rPr>
          <w:rFonts w:hint="eastAsia"/>
          <w:sz w:val="44"/>
          <w:szCs w:val="36"/>
        </w:rPr>
        <w:t>多功能移动式宽带监测测向系统采购项目</w:t>
      </w:r>
    </w:p>
    <w:p>
      <w:pPr>
        <w:rPr>
          <w:rFonts w:ascii="仿宋" w:hAnsi="仿宋" w:eastAsia="仿宋" w:cs="仿宋"/>
        </w:rPr>
      </w:pPr>
    </w:p>
    <w:p>
      <w:pPr>
        <w:jc w:val="center"/>
        <w:rPr>
          <w:rFonts w:ascii="宋体" w:hAnsi="宋体" w:cs="宋体"/>
          <w:b/>
          <w:sz w:val="36"/>
          <w:szCs w:val="36"/>
        </w:rPr>
      </w:pPr>
      <w:r>
        <w:rPr>
          <w:rFonts w:hint="eastAsia" w:ascii="宋体" w:hAnsi="宋体" w:cs="宋体"/>
          <w:b/>
          <w:sz w:val="36"/>
          <w:szCs w:val="36"/>
        </w:rPr>
        <w:t>（示范文本仅供参考）</w:t>
      </w:r>
    </w:p>
    <w:p>
      <w:pPr>
        <w:jc w:val="center"/>
        <w:rPr>
          <w:rFonts w:ascii="宋体" w:hAnsi="宋体" w:cs="宋体"/>
          <w:b/>
          <w:sz w:val="36"/>
          <w:szCs w:val="36"/>
        </w:rPr>
      </w:pPr>
    </w:p>
    <w:p>
      <w:pPr>
        <w:pStyle w:val="3"/>
        <w:rPr>
          <w:rFonts w:ascii="宋体" w:hAnsi="宋体" w:cs="宋体"/>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spacing w:before="120" w:beforeLines="50" w:line="360" w:lineRule="auto"/>
        <w:rPr>
          <w:rFonts w:ascii="宋体" w:hAnsi="宋体" w:cs="宋体"/>
          <w:b/>
          <w:bCs/>
          <w:sz w:val="36"/>
          <w:szCs w:val="36"/>
        </w:rPr>
      </w:pP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采购人：</w:t>
      </w:r>
      <w:r>
        <w:rPr>
          <w:rFonts w:hint="eastAsia" w:ascii="宋体" w:hAnsi="宋体" w:cs="宋体"/>
          <w:sz w:val="32"/>
          <w:szCs w:val="32"/>
          <w:u w:val="single"/>
        </w:rPr>
        <w:t xml:space="preserve">                     </w:t>
      </w:r>
    </w:p>
    <w:p>
      <w:pPr>
        <w:spacing w:before="120"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供应商：</w:t>
      </w:r>
      <w:r>
        <w:rPr>
          <w:rFonts w:hint="eastAsia" w:ascii="宋体" w:hAnsi="宋体" w:cs="宋体"/>
          <w:sz w:val="32"/>
          <w:szCs w:val="32"/>
          <w:u w:val="single"/>
        </w:rPr>
        <w:t xml:space="preserve">                     </w:t>
      </w:r>
    </w:p>
    <w:p>
      <w:pPr>
        <w:spacing w:line="560" w:lineRule="exact"/>
        <w:jc w:val="center"/>
        <w:rPr>
          <w:rFonts w:ascii="仿宋" w:hAnsi="仿宋" w:eastAsia="仿宋" w:cs="仿宋"/>
          <w:b/>
          <w:bCs/>
          <w:sz w:val="36"/>
          <w:szCs w:val="36"/>
        </w:rPr>
      </w:pPr>
      <w:r>
        <w:rPr>
          <w:rFonts w:hint="eastAsia" w:ascii="宋体" w:hAnsi="宋体" w:cs="宋体"/>
          <w:b/>
          <w:bCs/>
          <w:sz w:val="32"/>
          <w:szCs w:val="32"/>
        </w:rPr>
        <w:t>二〇二二年五月</w:t>
      </w:r>
      <w:r>
        <w:rPr>
          <w:rFonts w:hint="eastAsia" w:ascii="仿宋" w:hAnsi="仿宋" w:eastAsia="仿宋" w:cs="仿宋"/>
          <w:b/>
          <w:bCs/>
          <w:sz w:val="36"/>
          <w:szCs w:val="36"/>
        </w:rPr>
        <w:br w:type="page"/>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陕西省无线电管理委员会        </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360" w:lineRule="auto"/>
        <w:rPr>
          <w:rFonts w:ascii="宋体" w:hAnsi="宋体" w:cs="宋体"/>
          <w:b/>
          <w:sz w:val="24"/>
        </w:rPr>
      </w:pPr>
      <w:r>
        <w:rPr>
          <w:rFonts w:hint="eastAsia" w:ascii="宋体" w:hAnsi="宋体" w:cs="宋体"/>
          <w:b/>
          <w:sz w:val="24"/>
        </w:rPr>
        <w:t>一、项目概况</w:t>
      </w:r>
    </w:p>
    <w:p>
      <w:pPr>
        <w:adjustRightInd w:val="0"/>
        <w:snapToGrid w:val="0"/>
        <w:spacing w:line="360" w:lineRule="auto"/>
        <w:ind w:left="660" w:leftChars="200" w:hanging="240" w:hangingChars="100"/>
        <w:jc w:val="left"/>
        <w:rPr>
          <w:rFonts w:ascii="宋体" w:hAnsi="宋体" w:cs="宋体"/>
          <w:sz w:val="24"/>
        </w:rPr>
      </w:pPr>
      <w:r>
        <w:rPr>
          <w:rFonts w:hint="eastAsia" w:ascii="宋体" w:hAnsi="宋体" w:cs="宋体"/>
          <w:sz w:val="24"/>
        </w:rPr>
        <w:t>1. 项目名称：</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360" w:lineRule="auto"/>
        <w:rPr>
          <w:rFonts w:ascii="宋体" w:hAnsi="宋体" w:cs="宋体"/>
          <w:b/>
          <w:sz w:val="24"/>
        </w:rPr>
      </w:pPr>
      <w:r>
        <w:rPr>
          <w:rFonts w:hint="eastAsia" w:ascii="宋体" w:hAnsi="宋体" w:cs="宋体"/>
          <w:b/>
          <w:sz w:val="24"/>
        </w:rPr>
        <w:t>二、组成本合同的文件</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协议书；</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中标通知书、投标文件、招标文件、澄清、招标补充文件；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360" w:lineRule="auto"/>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360" w:lineRule="auto"/>
        <w:rPr>
          <w:rFonts w:ascii="宋体" w:hAnsi="宋体" w:cs="宋体"/>
          <w:b/>
          <w:sz w:val="24"/>
        </w:rPr>
      </w:pPr>
      <w:r>
        <w:rPr>
          <w:rFonts w:hint="eastAsia" w:ascii="宋体" w:hAnsi="宋体" w:cs="宋体"/>
          <w:b/>
          <w:sz w:val="24"/>
        </w:rPr>
        <w:t>三、合同金额</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合同金额（大写）：</w:t>
      </w:r>
      <w:r>
        <w:rPr>
          <w:rFonts w:hint="eastAsia" w:ascii="宋体" w:hAnsi="宋体" w:cs="宋体"/>
          <w:sz w:val="24"/>
          <w:u w:val="single"/>
        </w:rPr>
        <w:t xml:space="preserve">                            </w:t>
      </w:r>
      <w:r>
        <w:rPr>
          <w:rFonts w:hint="eastAsia" w:ascii="宋体" w:hAnsi="宋体" w:cs="宋体"/>
          <w:sz w:val="24"/>
        </w:rPr>
        <w:t>（¥        ）。</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合同总价即中标价，为一次性报价，不受市场价变化或实际工作量变化的影响。合同价格为含税价，供应商（中标人）提供产品所发生的一切税（包括增值税）费等都已包含于合同价款中。</w:t>
      </w:r>
    </w:p>
    <w:p>
      <w:pPr>
        <w:adjustRightInd w:val="0"/>
        <w:snapToGrid w:val="0"/>
        <w:spacing w:line="360" w:lineRule="auto"/>
        <w:rPr>
          <w:rFonts w:ascii="宋体" w:hAnsi="宋体" w:cs="宋体"/>
          <w:b/>
          <w:sz w:val="24"/>
        </w:rPr>
      </w:pPr>
      <w:r>
        <w:rPr>
          <w:rFonts w:hint="eastAsia" w:ascii="宋体" w:hAnsi="宋体" w:cs="宋体"/>
          <w:b/>
          <w:sz w:val="24"/>
        </w:rPr>
        <w:t>四、结算方式</w:t>
      </w:r>
    </w:p>
    <w:p>
      <w:pPr>
        <w:spacing w:line="360" w:lineRule="auto"/>
        <w:rPr>
          <w:rFonts w:ascii="宋体" w:hAnsi="宋体" w:cs="宋体"/>
          <w:sz w:val="24"/>
        </w:rPr>
      </w:pPr>
      <w:r>
        <w:rPr>
          <w:rFonts w:hint="eastAsia" w:ascii="宋体" w:hAnsi="宋体" w:cs="宋体"/>
          <w:sz w:val="24"/>
        </w:rPr>
        <w:t xml:space="preserve">   1.结算单位：银行转账，由采购人负责结算。在付款前，供应商必须开具与合同金额相应的发票给采购人，附详细清单。</w:t>
      </w:r>
    </w:p>
    <w:p>
      <w:pPr>
        <w:adjustRightInd w:val="0"/>
        <w:snapToGrid w:val="0"/>
        <w:spacing w:line="360" w:lineRule="auto"/>
        <w:rPr>
          <w:rFonts w:ascii="宋体" w:hAnsi="宋体" w:cs="宋体"/>
          <w:sz w:val="24"/>
        </w:rPr>
      </w:pPr>
      <w:r>
        <w:rPr>
          <w:rFonts w:hint="eastAsia" w:ascii="宋体" w:hAnsi="宋体" w:cs="宋体"/>
          <w:sz w:val="24"/>
        </w:rPr>
        <w:t xml:space="preserve">   2.付款方式：</w:t>
      </w:r>
    </w:p>
    <w:p>
      <w:pPr>
        <w:adjustRightInd w:val="0"/>
        <w:snapToGrid w:val="0"/>
        <w:spacing w:line="360" w:lineRule="auto"/>
        <w:ind w:left="420" w:leftChars="200"/>
        <w:rPr>
          <w:rFonts w:ascii="宋体" w:hAnsi="宋体" w:cs="宋体"/>
          <w:sz w:val="24"/>
        </w:rPr>
      </w:pPr>
      <w:r>
        <w:rPr>
          <w:rFonts w:hint="eastAsia" w:ascii="宋体" w:hAnsi="宋体" w:cs="宋体"/>
          <w:sz w:val="24"/>
        </w:rPr>
        <w:t>1、合同签订后五个工作日内，中标供应商向采购人出具合同总价款15%金额的银行保函（保函有效期截止时间为本项目验收合格后满六个月）；</w:t>
      </w:r>
    </w:p>
    <w:p>
      <w:pPr>
        <w:adjustRightInd w:val="0"/>
        <w:snapToGrid w:val="0"/>
        <w:spacing w:line="360" w:lineRule="auto"/>
        <w:ind w:left="420" w:leftChars="200"/>
        <w:rPr>
          <w:rFonts w:ascii="宋体" w:hAnsi="宋体" w:cs="宋体"/>
          <w:sz w:val="24"/>
        </w:rPr>
      </w:pPr>
      <w:r>
        <w:rPr>
          <w:rFonts w:hint="eastAsia" w:ascii="宋体" w:hAnsi="宋体" w:cs="宋体"/>
          <w:sz w:val="24"/>
        </w:rPr>
        <w:t>2、采购人收到中标供应商合格银行保函后支付全部合同总价款；</w:t>
      </w:r>
    </w:p>
    <w:p>
      <w:pPr>
        <w:adjustRightInd w:val="0"/>
        <w:snapToGrid w:val="0"/>
        <w:spacing w:line="360" w:lineRule="auto"/>
        <w:ind w:left="420" w:leftChars="200"/>
        <w:rPr>
          <w:rFonts w:ascii="宋体" w:hAnsi="宋体" w:cs="宋体"/>
          <w:sz w:val="24"/>
        </w:rPr>
      </w:pPr>
      <w:r>
        <w:rPr>
          <w:rFonts w:hint="eastAsia" w:ascii="宋体" w:hAnsi="宋体" w:cs="宋体"/>
          <w:sz w:val="24"/>
        </w:rPr>
        <w:t>3、中标供应商承诺在采购人办理支付手续前，为采购人出具等额的符合国家规定的发票；</w:t>
      </w:r>
    </w:p>
    <w:p>
      <w:pPr>
        <w:adjustRightInd w:val="0"/>
        <w:snapToGrid w:val="0"/>
        <w:spacing w:line="360" w:lineRule="auto"/>
        <w:ind w:left="420" w:leftChars="200"/>
        <w:rPr>
          <w:rFonts w:ascii="宋体" w:hAnsi="宋体" w:cs="宋体"/>
          <w:sz w:val="24"/>
        </w:rPr>
      </w:pPr>
      <w:r>
        <w:rPr>
          <w:rFonts w:hint="eastAsia" w:ascii="宋体" w:hAnsi="宋体" w:cs="宋体"/>
          <w:sz w:val="24"/>
        </w:rPr>
        <w:t>4、上述时间不包括采购人正常办理支付报批手续的时间。</w:t>
      </w:r>
    </w:p>
    <w:p>
      <w:pPr>
        <w:spacing w:line="360" w:lineRule="auto"/>
        <w:rPr>
          <w:rFonts w:ascii="宋体" w:hAnsi="宋体" w:cs="宋体"/>
          <w:b/>
          <w:sz w:val="24"/>
        </w:rPr>
      </w:pPr>
      <w:r>
        <w:rPr>
          <w:rFonts w:hint="eastAsia" w:ascii="宋体" w:hAnsi="宋体" w:cs="宋体"/>
          <w:b/>
          <w:sz w:val="24"/>
        </w:rPr>
        <w:t xml:space="preserve">五、交货安装期  </w:t>
      </w:r>
    </w:p>
    <w:p>
      <w:pPr>
        <w:tabs>
          <w:tab w:val="left" w:pos="840"/>
        </w:tabs>
        <w:spacing w:line="360" w:lineRule="auto"/>
        <w:ind w:firstLine="480" w:firstLineChars="200"/>
        <w:rPr>
          <w:rFonts w:ascii="宋体" w:hAnsi="宋体" w:cs="宋体"/>
          <w:sz w:val="24"/>
        </w:rPr>
      </w:pPr>
      <w:r>
        <w:rPr>
          <w:rFonts w:hint="eastAsia" w:ascii="宋体" w:hAnsi="宋体" w:cs="宋体"/>
          <w:sz w:val="24"/>
        </w:rPr>
        <w:t>签订合同起8个月完成</w:t>
      </w:r>
    </w:p>
    <w:p>
      <w:pPr>
        <w:adjustRightInd w:val="0"/>
        <w:snapToGrid w:val="0"/>
        <w:spacing w:line="360" w:lineRule="auto"/>
        <w:rPr>
          <w:rFonts w:ascii="宋体" w:hAnsi="宋体" w:cs="宋体"/>
          <w:b/>
          <w:sz w:val="24"/>
        </w:rPr>
      </w:pPr>
      <w:r>
        <w:rPr>
          <w:rFonts w:hint="eastAsia" w:ascii="宋体" w:hAnsi="宋体" w:cs="宋体"/>
          <w:b/>
          <w:sz w:val="24"/>
        </w:rPr>
        <w:t>六、质保期</w:t>
      </w:r>
    </w:p>
    <w:p>
      <w:pPr>
        <w:tabs>
          <w:tab w:val="left" w:pos="840"/>
        </w:tabs>
        <w:spacing w:line="520" w:lineRule="exact"/>
        <w:ind w:firstLine="480" w:firstLineChars="200"/>
        <w:rPr>
          <w:rFonts w:ascii="宋体" w:hAnsi="宋体" w:cs="宋体"/>
          <w:sz w:val="24"/>
        </w:rPr>
      </w:pPr>
      <w:r>
        <w:rPr>
          <w:rFonts w:hint="eastAsia" w:ascii="宋体" w:hAnsi="宋体" w:cs="宋体"/>
          <w:sz w:val="24"/>
        </w:rPr>
        <w:t>自验收合格之日起3年免费质保。质保期内出现的一切问题由设备厂家负责免费维修或更换。质保期过后，由设备厂家免费维修，材料费由甲方承担。</w:t>
      </w:r>
    </w:p>
    <w:p>
      <w:pPr>
        <w:tabs>
          <w:tab w:val="left" w:pos="840"/>
        </w:tabs>
        <w:spacing w:line="520" w:lineRule="exact"/>
        <w:rPr>
          <w:rFonts w:ascii="宋体" w:hAnsi="宋体" w:cs="宋体"/>
          <w:b/>
          <w:sz w:val="24"/>
        </w:rPr>
      </w:pPr>
      <w:r>
        <w:rPr>
          <w:rFonts w:hint="eastAsia" w:ascii="宋体" w:hAnsi="宋体" w:cs="宋体"/>
          <w:b/>
          <w:sz w:val="24"/>
        </w:rPr>
        <w:t>七、内容及要求</w:t>
      </w:r>
    </w:p>
    <w:p>
      <w:pPr>
        <w:spacing w:after="120"/>
        <w:jc w:val="center"/>
        <w:rPr>
          <w:rFonts w:ascii="宋体" w:hAnsi="宋体" w:cs="宋体"/>
          <w:b/>
          <w:sz w:val="24"/>
        </w:rPr>
      </w:pPr>
      <w:r>
        <w:rPr>
          <w:rFonts w:hint="eastAsia" w:ascii="宋体" w:hAnsi="宋体" w:cs="宋体"/>
          <w:b/>
          <w:sz w:val="24"/>
        </w:rPr>
        <w:t>供货内容一览表</w:t>
      </w:r>
      <w:r>
        <w:rPr>
          <w:rFonts w:hint="eastAsia" w:ascii="宋体" w:hAnsi="宋体" w:cs="宋体"/>
          <w:sz w:val="24"/>
        </w:rPr>
        <w:t xml:space="preserve">                                </w:t>
      </w:r>
    </w:p>
    <w:tbl>
      <w:tblPr>
        <w:tblStyle w:val="29"/>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20" w:beforeLines="50"/>
              <w:jc w:val="center"/>
              <w:rPr>
                <w:rFonts w:ascii="宋体" w:hAnsi="宋体" w:cs="宋体"/>
                <w:b/>
                <w:sz w:val="24"/>
              </w:rPr>
            </w:pPr>
            <w:r>
              <w:rPr>
                <w:rFonts w:hint="eastAsia" w:ascii="宋体" w:hAnsi="宋体" w:cs="宋体"/>
                <w:b/>
                <w:sz w:val="24"/>
              </w:rPr>
              <w:t>序号</w:t>
            </w:r>
          </w:p>
        </w:tc>
        <w:tc>
          <w:tcPr>
            <w:tcW w:w="960" w:type="dxa"/>
            <w:vAlign w:val="center"/>
          </w:tcPr>
          <w:p>
            <w:pPr>
              <w:spacing w:before="120" w:beforeLines="50"/>
              <w:jc w:val="center"/>
              <w:rPr>
                <w:rFonts w:ascii="宋体" w:hAnsi="宋体" w:cs="宋体"/>
                <w:b/>
                <w:sz w:val="24"/>
              </w:rPr>
            </w:pPr>
            <w:r>
              <w:rPr>
                <w:rFonts w:hint="eastAsia" w:ascii="宋体" w:hAnsi="宋体" w:cs="宋体"/>
                <w:b/>
                <w:sz w:val="24"/>
              </w:rPr>
              <w:t>名称</w:t>
            </w:r>
          </w:p>
        </w:tc>
        <w:tc>
          <w:tcPr>
            <w:tcW w:w="148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品牌、规格及型号</w:t>
            </w:r>
          </w:p>
        </w:tc>
        <w:tc>
          <w:tcPr>
            <w:tcW w:w="1695" w:type="dxa"/>
            <w:tcBorders>
              <w:lef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原产地及 制造厂名</w:t>
            </w:r>
          </w:p>
        </w:tc>
        <w:tc>
          <w:tcPr>
            <w:tcW w:w="825" w:type="dxa"/>
            <w:tcBorders>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单价</w:t>
            </w:r>
          </w:p>
        </w:tc>
        <w:tc>
          <w:tcPr>
            <w:tcW w:w="735" w:type="dxa"/>
            <w:tcBorders>
              <w:left w:val="single" w:color="auto" w:sz="4" w:space="0"/>
              <w:right w:val="single" w:color="auto" w:sz="4" w:space="0"/>
            </w:tcBorders>
            <w:vAlign w:val="center"/>
          </w:tcPr>
          <w:p>
            <w:pPr>
              <w:adjustRightInd w:val="0"/>
              <w:snapToGrid w:val="0"/>
              <w:jc w:val="center"/>
              <w:rPr>
                <w:rFonts w:ascii="宋体" w:hAnsi="宋体" w:cs="宋体"/>
                <w:b/>
                <w:sz w:val="24"/>
              </w:rPr>
            </w:pPr>
            <w:r>
              <w:rPr>
                <w:rFonts w:hint="eastAsia" w:ascii="宋体" w:hAnsi="宋体" w:cs="宋体"/>
                <w:b/>
                <w:sz w:val="24"/>
              </w:rPr>
              <w:t>数量</w:t>
            </w:r>
          </w:p>
        </w:tc>
        <w:tc>
          <w:tcPr>
            <w:tcW w:w="1050" w:type="dxa"/>
            <w:tcBorders>
              <w:left w:val="single" w:color="auto" w:sz="4" w:space="0"/>
            </w:tcBorders>
            <w:vAlign w:val="center"/>
          </w:tcPr>
          <w:p>
            <w:pPr>
              <w:jc w:val="center"/>
              <w:rPr>
                <w:rFonts w:ascii="宋体" w:hAnsi="宋体" w:cs="宋体"/>
                <w:b/>
                <w:sz w:val="24"/>
              </w:rPr>
            </w:pPr>
            <w:r>
              <w:rPr>
                <w:rFonts w:hint="eastAsia" w:ascii="宋体" w:hAnsi="宋体" w:cs="宋体"/>
                <w:b/>
                <w:sz w:val="24"/>
              </w:rPr>
              <w:t>交付地点</w:t>
            </w:r>
          </w:p>
        </w:tc>
        <w:tc>
          <w:tcPr>
            <w:tcW w:w="1215"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交付时间</w:t>
            </w:r>
          </w:p>
        </w:tc>
        <w:tc>
          <w:tcPr>
            <w:tcW w:w="903" w:type="dxa"/>
            <w:tcBorders>
              <w:right w:val="single" w:color="auto" w:sz="4" w:space="0"/>
            </w:tcBorders>
            <w:vAlign w:val="center"/>
          </w:tcPr>
          <w:p>
            <w:pPr>
              <w:jc w:val="center"/>
              <w:rPr>
                <w:rFonts w:ascii="宋体" w:hAnsi="宋体" w:cs="宋体"/>
                <w:b/>
                <w:sz w:val="24"/>
              </w:rPr>
            </w:pPr>
            <w:r>
              <w:rPr>
                <w:rFonts w:hint="eastAsia" w:ascii="宋体" w:hAnsi="宋体" w:cs="宋体"/>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20" w:beforeLines="50" w:line="360" w:lineRule="auto"/>
              <w:jc w:val="center"/>
              <w:rPr>
                <w:rFonts w:ascii="宋体" w:hAnsi="宋体" w:cs="宋体"/>
                <w:sz w:val="24"/>
              </w:rPr>
            </w:pPr>
          </w:p>
        </w:tc>
        <w:tc>
          <w:tcPr>
            <w:tcW w:w="960" w:type="dxa"/>
          </w:tcPr>
          <w:p>
            <w:pPr>
              <w:spacing w:before="120" w:beforeLines="50" w:line="360" w:lineRule="auto"/>
              <w:jc w:val="center"/>
              <w:rPr>
                <w:rFonts w:ascii="宋体" w:hAnsi="宋体" w:cs="宋体"/>
                <w:sz w:val="24"/>
              </w:rPr>
            </w:pPr>
          </w:p>
        </w:tc>
        <w:tc>
          <w:tcPr>
            <w:tcW w:w="1485" w:type="dxa"/>
            <w:tcBorders>
              <w:right w:val="single" w:color="auto" w:sz="4" w:space="0"/>
            </w:tcBorders>
          </w:tcPr>
          <w:p>
            <w:pPr>
              <w:spacing w:before="120" w:beforeLines="50" w:line="360" w:lineRule="auto"/>
              <w:jc w:val="center"/>
              <w:rPr>
                <w:rFonts w:ascii="宋体" w:hAnsi="宋体" w:cs="宋体"/>
                <w:sz w:val="24"/>
              </w:rPr>
            </w:pPr>
          </w:p>
        </w:tc>
        <w:tc>
          <w:tcPr>
            <w:tcW w:w="1695" w:type="dxa"/>
            <w:tcBorders>
              <w:left w:val="single" w:color="auto" w:sz="4" w:space="0"/>
            </w:tcBorders>
          </w:tcPr>
          <w:p>
            <w:pPr>
              <w:spacing w:before="120" w:beforeLines="50" w:line="360" w:lineRule="auto"/>
              <w:jc w:val="center"/>
              <w:rPr>
                <w:rFonts w:ascii="宋体" w:hAnsi="宋体" w:cs="宋体"/>
                <w:sz w:val="24"/>
              </w:rPr>
            </w:pPr>
          </w:p>
        </w:tc>
        <w:tc>
          <w:tcPr>
            <w:tcW w:w="825" w:type="dxa"/>
            <w:tcBorders>
              <w:right w:val="single" w:color="auto" w:sz="4" w:space="0"/>
            </w:tcBorders>
          </w:tcPr>
          <w:p>
            <w:pPr>
              <w:spacing w:before="120" w:beforeLines="50" w:line="360" w:lineRule="auto"/>
              <w:jc w:val="center"/>
              <w:rPr>
                <w:rFonts w:ascii="宋体" w:hAnsi="宋体" w:cs="宋体"/>
                <w:sz w:val="24"/>
              </w:rPr>
            </w:pPr>
          </w:p>
        </w:tc>
        <w:tc>
          <w:tcPr>
            <w:tcW w:w="735" w:type="dxa"/>
            <w:tcBorders>
              <w:left w:val="single" w:color="auto" w:sz="4" w:space="0"/>
              <w:right w:val="single" w:color="auto" w:sz="4" w:space="0"/>
            </w:tcBorders>
          </w:tcPr>
          <w:p>
            <w:pPr>
              <w:spacing w:before="120" w:beforeLines="50" w:line="360" w:lineRule="auto"/>
              <w:jc w:val="center"/>
              <w:rPr>
                <w:rFonts w:ascii="宋体" w:hAnsi="宋体" w:cs="宋体"/>
                <w:sz w:val="24"/>
              </w:rPr>
            </w:pPr>
          </w:p>
        </w:tc>
        <w:tc>
          <w:tcPr>
            <w:tcW w:w="1050" w:type="dxa"/>
            <w:tcBorders>
              <w:left w:val="single" w:color="auto" w:sz="4" w:space="0"/>
            </w:tcBorders>
          </w:tcPr>
          <w:p>
            <w:pPr>
              <w:spacing w:before="120" w:beforeLines="50" w:line="360" w:lineRule="auto"/>
              <w:jc w:val="center"/>
              <w:rPr>
                <w:rFonts w:ascii="宋体" w:hAnsi="宋体" w:cs="宋体"/>
                <w:sz w:val="24"/>
              </w:rPr>
            </w:pPr>
          </w:p>
        </w:tc>
        <w:tc>
          <w:tcPr>
            <w:tcW w:w="1215" w:type="dxa"/>
            <w:tcBorders>
              <w:right w:val="single" w:color="auto" w:sz="4" w:space="0"/>
            </w:tcBorders>
          </w:tcPr>
          <w:p>
            <w:pPr>
              <w:spacing w:before="120" w:beforeLines="50" w:line="360" w:lineRule="auto"/>
              <w:jc w:val="center"/>
              <w:rPr>
                <w:rFonts w:ascii="宋体" w:hAnsi="宋体" w:cs="宋体"/>
                <w:sz w:val="24"/>
              </w:rPr>
            </w:pPr>
          </w:p>
        </w:tc>
        <w:tc>
          <w:tcPr>
            <w:tcW w:w="903" w:type="dxa"/>
            <w:tcBorders>
              <w:right w:val="single" w:color="auto" w:sz="4" w:space="0"/>
            </w:tcBorders>
          </w:tcPr>
          <w:p>
            <w:pPr>
              <w:spacing w:before="120" w:beforeLines="50" w:line="360" w:lineRule="auto"/>
              <w:jc w:val="center"/>
              <w:rPr>
                <w:rFonts w:ascii="宋体" w:hAnsi="宋体" w:cs="宋体"/>
                <w:sz w:val="24"/>
              </w:rPr>
            </w:pPr>
          </w:p>
        </w:tc>
      </w:tr>
    </w:tbl>
    <w:p>
      <w:pPr>
        <w:spacing w:line="360" w:lineRule="auto"/>
        <w:rPr>
          <w:rFonts w:ascii="宋体" w:hAnsi="宋体" w:cs="宋体"/>
          <w:sz w:val="24"/>
        </w:rPr>
      </w:pPr>
      <w:r>
        <w:rPr>
          <w:rFonts w:hint="eastAsia" w:ascii="宋体" w:hAnsi="宋体" w:cs="宋体"/>
          <w:b/>
          <w:sz w:val="24"/>
        </w:rPr>
        <w:t xml:space="preserve">八、运输、安装、调试要求 </w:t>
      </w:r>
    </w:p>
    <w:p>
      <w:pPr>
        <w:spacing w:line="360" w:lineRule="auto"/>
        <w:ind w:firstLine="480" w:firstLineChars="200"/>
        <w:rPr>
          <w:rFonts w:ascii="宋体" w:hAnsi="宋体" w:cs="宋体"/>
          <w:sz w:val="24"/>
        </w:rPr>
      </w:pPr>
      <w:r>
        <w:rPr>
          <w:rFonts w:hint="eastAsia" w:ascii="宋体" w:hAnsi="宋体" w:cs="宋体"/>
          <w:sz w:val="24"/>
        </w:rPr>
        <w:t>1、运输方式由供应商及制造厂商自行选择，运输和装卸等风险由供应商承担。</w:t>
      </w:r>
    </w:p>
    <w:p>
      <w:pPr>
        <w:spacing w:line="360" w:lineRule="auto"/>
        <w:ind w:firstLine="480" w:firstLineChars="200"/>
        <w:rPr>
          <w:rFonts w:ascii="宋体" w:hAnsi="宋体" w:cs="宋体"/>
          <w:sz w:val="24"/>
        </w:rPr>
      </w:pPr>
      <w:r>
        <w:rPr>
          <w:rFonts w:hint="eastAsia" w:ascii="宋体" w:hAnsi="宋体" w:cs="宋体"/>
          <w:sz w:val="24"/>
        </w:rPr>
        <w:t>2、自合同生效后起自合同签订之日起8个月内完成交付。。</w:t>
      </w:r>
    </w:p>
    <w:p>
      <w:pPr>
        <w:spacing w:line="360" w:lineRule="auto"/>
        <w:ind w:firstLine="480" w:firstLineChars="200"/>
        <w:rPr>
          <w:rFonts w:ascii="宋体" w:hAnsi="宋体" w:cs="宋体"/>
          <w:sz w:val="24"/>
        </w:rPr>
      </w:pPr>
      <w:r>
        <w:rPr>
          <w:rFonts w:hint="eastAsia" w:ascii="宋体" w:hAnsi="宋体" w:cs="宋体"/>
          <w:sz w:val="24"/>
        </w:rPr>
        <w:t>3、供应商向采购人交货时应移交全套软件产品，并为用户免费指导和培训操作与维护。</w:t>
      </w:r>
    </w:p>
    <w:p>
      <w:pPr>
        <w:spacing w:line="360" w:lineRule="auto"/>
        <w:ind w:firstLine="480" w:firstLineChars="200"/>
        <w:rPr>
          <w:rFonts w:ascii="宋体" w:hAnsi="宋体" w:cs="宋体"/>
          <w:sz w:val="24"/>
        </w:rPr>
      </w:pPr>
      <w:r>
        <w:rPr>
          <w:rFonts w:hint="eastAsia" w:ascii="宋体" w:hAnsi="宋体" w:cs="宋体"/>
          <w:sz w:val="24"/>
        </w:rPr>
        <w:t>4、供应商应积极保持与采购人良好沟通，保证合同的正常履行，并承担合同义务的履行责任。</w:t>
      </w:r>
    </w:p>
    <w:p>
      <w:pPr>
        <w:spacing w:line="360" w:lineRule="auto"/>
        <w:rPr>
          <w:rFonts w:ascii="宋体" w:hAnsi="宋体" w:cs="宋体"/>
          <w:b/>
          <w:sz w:val="24"/>
        </w:rPr>
      </w:pPr>
      <w:r>
        <w:rPr>
          <w:rFonts w:hint="eastAsia" w:ascii="宋体" w:hAnsi="宋体" w:cs="宋体"/>
          <w:b/>
          <w:sz w:val="24"/>
        </w:rPr>
        <w:t>九、售后服务</w:t>
      </w:r>
    </w:p>
    <w:p>
      <w:pPr>
        <w:tabs>
          <w:tab w:val="left" w:pos="840"/>
        </w:tabs>
        <w:spacing w:line="360" w:lineRule="auto"/>
        <w:ind w:firstLine="480" w:firstLineChars="200"/>
        <w:rPr>
          <w:rFonts w:ascii="宋体" w:hAnsi="宋体" w:cs="宋体"/>
          <w:sz w:val="24"/>
        </w:rPr>
      </w:pPr>
      <w:r>
        <w:rPr>
          <w:rFonts w:hint="eastAsia" w:ascii="宋体" w:hAnsi="宋体" w:cs="宋体"/>
          <w:sz w:val="24"/>
        </w:rPr>
        <w:t>技术支持和售后服务由供应商严格按投标文件及有关承诺执行，确保采购人正确安全使用。系统运行环境出现故障或意外情况导致系统不能正常运行时，影响运行的问题，提供及时上门服务。</w:t>
      </w:r>
    </w:p>
    <w:p>
      <w:pPr>
        <w:tabs>
          <w:tab w:val="left" w:pos="840"/>
        </w:tabs>
        <w:spacing w:line="360" w:lineRule="auto"/>
        <w:ind w:firstLine="480" w:firstLineChars="200"/>
        <w:rPr>
          <w:rFonts w:ascii="宋体" w:hAnsi="宋体" w:cs="宋体"/>
          <w:sz w:val="24"/>
          <w:u w:val="single"/>
        </w:rPr>
      </w:pPr>
      <w:r>
        <w:rPr>
          <w:rFonts w:hint="eastAsia" w:ascii="宋体" w:hAnsi="宋体" w:cs="宋体"/>
          <w:sz w:val="24"/>
        </w:rPr>
        <w:t>售后服务联系方式：</w:t>
      </w:r>
      <w:r>
        <w:rPr>
          <w:rFonts w:hint="eastAsia" w:ascii="宋体" w:hAnsi="宋体" w:cs="宋体"/>
          <w:sz w:val="24"/>
          <w:u w:val="single"/>
        </w:rPr>
        <w:t xml:space="preserve">          </w:t>
      </w:r>
    </w:p>
    <w:p>
      <w:pPr>
        <w:tabs>
          <w:tab w:val="left" w:pos="840"/>
        </w:tabs>
        <w:spacing w:line="360" w:lineRule="auto"/>
        <w:ind w:firstLine="480" w:firstLineChars="200"/>
        <w:rPr>
          <w:rFonts w:ascii="宋体" w:hAnsi="宋体" w:cs="宋体"/>
          <w:b/>
          <w:sz w:val="24"/>
        </w:rPr>
      </w:pPr>
      <w:r>
        <w:rPr>
          <w:rFonts w:hint="eastAsia" w:ascii="宋体" w:hAnsi="宋体" w:cs="宋体"/>
          <w:sz w:val="24"/>
        </w:rPr>
        <w:t>如供应商迨于或不能履行维护保养义务，采购人有权委托第三方处理，由此产生的费用和风险由供应商承担，费用由采购人从质保金中直接扣除，不足部分仍由供应商承担。</w:t>
      </w:r>
    </w:p>
    <w:p>
      <w:pPr>
        <w:numPr>
          <w:ilvl w:val="0"/>
          <w:numId w:val="12"/>
        </w:numPr>
        <w:spacing w:line="360" w:lineRule="auto"/>
        <w:rPr>
          <w:rFonts w:ascii="宋体" w:hAnsi="宋体" w:cs="宋体"/>
          <w:b/>
          <w:sz w:val="24"/>
        </w:rPr>
      </w:pPr>
      <w:r>
        <w:rPr>
          <w:rFonts w:hint="eastAsia" w:ascii="宋体" w:hAnsi="宋体" w:cs="宋体"/>
          <w:b/>
          <w:sz w:val="24"/>
        </w:rPr>
        <w:t>验收</w:t>
      </w:r>
    </w:p>
    <w:p>
      <w:pPr>
        <w:spacing w:line="360" w:lineRule="auto"/>
        <w:ind w:firstLine="480" w:firstLineChars="200"/>
        <w:rPr>
          <w:rFonts w:ascii="宋体" w:hAnsi="宋体" w:cs="宋体"/>
          <w:sz w:val="24"/>
        </w:rPr>
      </w:pPr>
      <w:r>
        <w:rPr>
          <w:rFonts w:hint="eastAsia" w:ascii="宋体" w:hAnsi="宋体" w:cs="宋体"/>
          <w:sz w:val="24"/>
        </w:rPr>
        <w:t>由采购人和投标单位及行业主管部门共同对项目进行整体验收，中标单位负责组织协调验收工作，并承担验收过程中产生的所有费用。验收内容包括确认设备(产品)的产地、规格、型号和数量，对其设备(产品)技术指标、性能参数以及工程质量是否达到现行国家有关验收规范“合格”标准进行逐项检查。</w:t>
      </w:r>
    </w:p>
    <w:p>
      <w:pPr>
        <w:spacing w:line="360" w:lineRule="auto"/>
        <w:rPr>
          <w:rFonts w:ascii="宋体" w:hAnsi="宋体" w:cs="宋体"/>
          <w:sz w:val="24"/>
        </w:rPr>
      </w:pPr>
      <w:r>
        <w:rPr>
          <w:rFonts w:hint="eastAsia" w:ascii="宋体" w:hAnsi="宋体" w:cs="宋体"/>
          <w:sz w:val="24"/>
        </w:rPr>
        <w:t>1.所验设备(产品)的指标、性能参数通过验收达不到招标文件要求和投标文件承诺的，或在使用中发现采购人不能容忍的缺陷等，将视为设备(产品)验收不合格，投标单位应无条件免费更换或退货。</w:t>
      </w:r>
    </w:p>
    <w:p>
      <w:pPr>
        <w:spacing w:line="360" w:lineRule="auto"/>
        <w:rPr>
          <w:rFonts w:ascii="宋体" w:hAnsi="宋体" w:cs="宋体"/>
          <w:sz w:val="24"/>
        </w:rPr>
      </w:pPr>
      <w:r>
        <w:rPr>
          <w:rFonts w:hint="eastAsia" w:ascii="宋体" w:hAnsi="宋体" w:cs="宋体"/>
          <w:sz w:val="24"/>
        </w:rPr>
        <w:t>2.若发现投标单位有弄虚作假的，在投标阶段故意或随意夸大设备(产品)技术性能，投标单位应无条件退货，并赔偿采购人相应的损失。</w:t>
      </w:r>
    </w:p>
    <w:p>
      <w:pPr>
        <w:spacing w:line="360" w:lineRule="auto"/>
        <w:rPr>
          <w:rFonts w:ascii="宋体" w:hAnsi="宋体" w:cs="宋体"/>
          <w:sz w:val="24"/>
        </w:rPr>
      </w:pPr>
      <w:r>
        <w:rPr>
          <w:rFonts w:hint="eastAsia" w:ascii="宋体" w:hAnsi="宋体" w:cs="宋体"/>
          <w:sz w:val="24"/>
        </w:rPr>
        <w:t>3.验收标准：按招标文件、投标文件及澄清函等技术指标进行验收。各项指标均应符合验收标准及要求。</w:t>
      </w:r>
    </w:p>
    <w:p>
      <w:pPr>
        <w:spacing w:line="360" w:lineRule="auto"/>
        <w:rPr>
          <w:rFonts w:ascii="宋体" w:hAnsi="宋体" w:cs="宋体"/>
          <w:sz w:val="24"/>
        </w:rPr>
      </w:pPr>
      <w:r>
        <w:rPr>
          <w:rFonts w:hint="eastAsia" w:ascii="宋体" w:hAnsi="宋体" w:cs="宋体"/>
          <w:sz w:val="24"/>
        </w:rPr>
        <w:t>4.验收合格后，填写验收单，双方签字生效。</w:t>
      </w:r>
    </w:p>
    <w:p>
      <w:pPr>
        <w:spacing w:line="360" w:lineRule="auto"/>
        <w:rPr>
          <w:rFonts w:ascii="宋体" w:hAnsi="宋体" w:cs="宋体"/>
          <w:sz w:val="24"/>
        </w:rPr>
      </w:pPr>
      <w:r>
        <w:rPr>
          <w:rFonts w:hint="eastAsia" w:ascii="宋体" w:hAnsi="宋体" w:cs="宋体"/>
          <w:sz w:val="24"/>
        </w:rPr>
        <w:t>5.验收依据：</w:t>
      </w:r>
    </w:p>
    <w:p>
      <w:pPr>
        <w:spacing w:line="360" w:lineRule="auto"/>
        <w:rPr>
          <w:rFonts w:ascii="宋体" w:hAnsi="宋体" w:cs="宋体"/>
          <w:sz w:val="24"/>
        </w:rPr>
      </w:pPr>
      <w:r>
        <w:rPr>
          <w:rFonts w:hint="eastAsia" w:ascii="宋体" w:hAnsi="宋体" w:cs="宋体"/>
          <w:sz w:val="24"/>
        </w:rPr>
        <w:t>1)合同文本；</w:t>
      </w:r>
    </w:p>
    <w:p>
      <w:pPr>
        <w:spacing w:line="360" w:lineRule="auto"/>
        <w:rPr>
          <w:rFonts w:ascii="宋体" w:hAnsi="宋体" w:cs="宋体"/>
          <w:sz w:val="24"/>
        </w:rPr>
      </w:pPr>
      <w:r>
        <w:rPr>
          <w:rFonts w:hint="eastAsia" w:ascii="宋体" w:hAnsi="宋体" w:cs="宋体"/>
          <w:sz w:val="24"/>
        </w:rPr>
        <w:t>2)投标文件及澄清函、招标文件；</w:t>
      </w:r>
    </w:p>
    <w:p>
      <w:pPr>
        <w:spacing w:line="360" w:lineRule="auto"/>
        <w:rPr>
          <w:rFonts w:ascii="宋体" w:hAnsi="宋体" w:cs="宋体"/>
          <w:sz w:val="24"/>
        </w:rPr>
      </w:pPr>
      <w:r>
        <w:rPr>
          <w:rFonts w:hint="eastAsia" w:ascii="宋体" w:hAnsi="宋体" w:cs="宋体"/>
          <w:sz w:val="24"/>
        </w:rPr>
        <w:t>3)国家和行业制定的相应的标准和规范。</w:t>
      </w:r>
    </w:p>
    <w:p>
      <w:pPr>
        <w:spacing w:line="360" w:lineRule="auto"/>
        <w:rPr>
          <w:rFonts w:ascii="宋体" w:hAnsi="宋体" w:cs="宋体"/>
          <w:sz w:val="24"/>
        </w:rPr>
      </w:pPr>
      <w:r>
        <w:rPr>
          <w:rFonts w:hint="eastAsia" w:ascii="宋体" w:hAnsi="宋体" w:cs="宋体"/>
          <w:sz w:val="24"/>
        </w:rPr>
        <w:t>设备(产品)验收清单（注明各部件的品名、数量、规格型号和原产地或生产厂家）。</w:t>
      </w:r>
    </w:p>
    <w:p>
      <w:pPr>
        <w:spacing w:line="360" w:lineRule="auto"/>
        <w:rPr>
          <w:rFonts w:ascii="宋体" w:hAnsi="宋体" w:cs="宋体"/>
          <w:b/>
          <w:sz w:val="24"/>
        </w:rPr>
      </w:pPr>
      <w:r>
        <w:rPr>
          <w:rFonts w:hint="eastAsia" w:ascii="宋体" w:hAnsi="宋体" w:cs="宋体"/>
          <w:b/>
          <w:sz w:val="24"/>
        </w:rPr>
        <w:t>十一、保密</w:t>
      </w:r>
    </w:p>
    <w:p>
      <w:pPr>
        <w:tabs>
          <w:tab w:val="left" w:pos="1080"/>
        </w:tabs>
        <w:spacing w:line="360" w:lineRule="auto"/>
        <w:ind w:firstLine="360" w:firstLineChars="150"/>
        <w:rPr>
          <w:rFonts w:ascii="宋体" w:hAnsi="宋体" w:cs="宋体"/>
          <w:sz w:val="24"/>
        </w:rPr>
      </w:pPr>
      <w:r>
        <w:rPr>
          <w:rFonts w:hint="eastAsia" w:ascii="宋体" w:hAnsi="宋体" w:cs="宋体"/>
          <w:sz w:val="24"/>
        </w:rPr>
        <w:t xml:space="preserve"> 对工作中了解到的采购人的技术、机密等进行严格保密，不得向他人泄漏。本合同的解除或终止不免除供应商应承担的保密义务。</w:t>
      </w:r>
    </w:p>
    <w:p>
      <w:pPr>
        <w:spacing w:line="360" w:lineRule="auto"/>
        <w:rPr>
          <w:rFonts w:ascii="宋体" w:hAnsi="宋体" w:cs="宋体"/>
          <w:b/>
          <w:sz w:val="24"/>
        </w:rPr>
      </w:pPr>
      <w:r>
        <w:rPr>
          <w:rFonts w:hint="eastAsia" w:ascii="宋体" w:hAnsi="宋体" w:cs="宋体"/>
          <w:b/>
          <w:sz w:val="24"/>
        </w:rPr>
        <w:t>十二、知识产权</w:t>
      </w:r>
    </w:p>
    <w:p>
      <w:pPr>
        <w:spacing w:line="360" w:lineRule="auto"/>
        <w:rPr>
          <w:rFonts w:ascii="宋体" w:hAnsi="宋体" w:cs="宋体"/>
          <w:sz w:val="24"/>
        </w:rPr>
      </w:pPr>
      <w:r>
        <w:rPr>
          <w:rFonts w:hint="eastAsia" w:ascii="宋体" w:hAnsi="宋体" w:cs="宋体"/>
          <w:sz w:val="24"/>
        </w:rPr>
        <w:t xml:space="preserve">    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360" w:lineRule="auto"/>
        <w:rPr>
          <w:rFonts w:ascii="宋体" w:hAnsi="宋体" w:cs="宋体"/>
          <w:b/>
          <w:sz w:val="24"/>
        </w:rPr>
      </w:pPr>
      <w:r>
        <w:rPr>
          <w:rFonts w:hint="eastAsia" w:ascii="宋体" w:hAnsi="宋体" w:cs="宋体"/>
          <w:b/>
          <w:sz w:val="24"/>
        </w:rPr>
        <w:t>十三、合同争议的解决</w:t>
      </w:r>
    </w:p>
    <w:p>
      <w:pPr>
        <w:spacing w:line="360" w:lineRule="auto"/>
        <w:rPr>
          <w:rFonts w:ascii="宋体" w:hAnsi="宋体" w:cs="宋体"/>
          <w:sz w:val="24"/>
        </w:rPr>
      </w:pPr>
      <w:r>
        <w:rPr>
          <w:rFonts w:hint="eastAsia" w:ascii="宋体" w:hAnsi="宋体" w:cs="宋体"/>
          <w:sz w:val="24"/>
        </w:rPr>
        <w:t xml:space="preserve">    合同执行中发生争议的，当事人双方应协商解决。协商达不成一致时，可向当地行政仲裁机关申请仲裁或者向人民法院提请诉讼。</w:t>
      </w:r>
    </w:p>
    <w:p>
      <w:pPr>
        <w:spacing w:line="360" w:lineRule="auto"/>
        <w:jc w:val="left"/>
        <w:rPr>
          <w:rFonts w:ascii="宋体" w:hAnsi="宋体" w:cs="宋体"/>
          <w:b/>
          <w:bCs/>
          <w:sz w:val="24"/>
        </w:rPr>
      </w:pPr>
      <w:r>
        <w:rPr>
          <w:rFonts w:hint="eastAsia" w:ascii="宋体" w:hAnsi="宋体" w:cs="宋体"/>
          <w:b/>
          <w:bCs/>
          <w:sz w:val="24"/>
        </w:rPr>
        <w:t>十四、不可抗力情况下的免责约定</w:t>
      </w:r>
    </w:p>
    <w:p>
      <w:pPr>
        <w:spacing w:line="360" w:lineRule="auto"/>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ascii="宋体" w:hAnsi="宋体" w:cs="宋体"/>
          <w:b/>
          <w:sz w:val="24"/>
        </w:rPr>
      </w:pPr>
      <w:r>
        <w:rPr>
          <w:rFonts w:hint="eastAsia" w:ascii="宋体" w:hAnsi="宋体" w:cs="宋体"/>
          <w:b/>
          <w:sz w:val="24"/>
        </w:rPr>
        <w:t>十五、违约责任</w:t>
      </w:r>
    </w:p>
    <w:p>
      <w:pPr>
        <w:spacing w:line="360" w:lineRule="auto"/>
        <w:rPr>
          <w:rFonts w:ascii="宋体" w:hAnsi="宋体" w:cs="宋体"/>
          <w:sz w:val="24"/>
        </w:rPr>
      </w:pPr>
      <w:r>
        <w:rPr>
          <w:rFonts w:hint="eastAsia" w:ascii="宋体" w:hAnsi="宋体" w:cs="宋体"/>
          <w:sz w:val="24"/>
        </w:rPr>
        <w:t xml:space="preserve">    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numPr>
          <w:ilvl w:val="0"/>
          <w:numId w:val="13"/>
        </w:numPr>
        <w:spacing w:line="360" w:lineRule="auto"/>
        <w:rPr>
          <w:rFonts w:ascii="宋体" w:hAnsi="宋体" w:cs="宋体"/>
          <w:sz w:val="24"/>
        </w:rPr>
      </w:pPr>
      <w:r>
        <w:rPr>
          <w:rFonts w:hint="eastAsia" w:ascii="宋体" w:hAnsi="宋体" w:cs="宋体"/>
          <w:b/>
          <w:sz w:val="24"/>
        </w:rPr>
        <w:t>其他（</w:t>
      </w:r>
      <w:r>
        <w:rPr>
          <w:rFonts w:hint="eastAsia" w:ascii="宋体" w:hAnsi="宋体" w:cs="宋体"/>
          <w:sz w:val="24"/>
        </w:rPr>
        <w:t>在合同中具体明确）</w:t>
      </w:r>
    </w:p>
    <w:p>
      <w:pPr>
        <w:pStyle w:val="2"/>
        <w:spacing w:line="360" w:lineRule="auto"/>
        <w:ind w:firstLine="480" w:firstLineChars="200"/>
        <w:rPr>
          <w:rFonts w:ascii="宋体" w:hAnsi="宋体" w:cs="宋体"/>
          <w:sz w:val="24"/>
        </w:rPr>
      </w:pPr>
      <w:r>
        <w:rPr>
          <w:rFonts w:hint="eastAsia" w:ascii="宋体" w:hAnsi="宋体" w:cs="宋体"/>
          <w:sz w:val="24"/>
        </w:rPr>
        <w:t>根据《国家无线电办公室关于进一步加强无线电管理基础和技术设施建设项目验收有关工作的通知》国无办函〔2020〕31号）、《无线电监测设施测试验证工作规定（试行）》（工信部无〔2017〕283号）等文件要求，本项目在建设过程中如包含初步设计、出厂测试、第三方验收、培训、建设工程监理等内容，其费用均由中标供应商承担，如涉及第三方专业机构，中标供应商须与采购人协商确定。</w:t>
      </w:r>
    </w:p>
    <w:p>
      <w:pPr>
        <w:spacing w:line="360" w:lineRule="auto"/>
        <w:rPr>
          <w:rFonts w:ascii="宋体" w:hAnsi="宋体" w:cs="宋体"/>
          <w:b/>
          <w:sz w:val="24"/>
        </w:rPr>
      </w:pPr>
      <w:r>
        <w:rPr>
          <w:rFonts w:hint="eastAsia" w:ascii="宋体" w:hAnsi="宋体" w:cs="宋体"/>
          <w:b/>
          <w:sz w:val="24"/>
        </w:rPr>
        <w:t>十七、合同订立</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1. 订立时间：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firstLine="475" w:firstLineChars="198"/>
        <w:rPr>
          <w:rFonts w:ascii="宋体" w:hAnsi="宋体" w:cs="宋体"/>
          <w:sz w:val="24"/>
        </w:rPr>
      </w:pPr>
      <w:r>
        <w:rPr>
          <w:rFonts w:hint="eastAsia" w:ascii="宋体" w:hAnsi="宋体" w:cs="宋体"/>
          <w:sz w:val="24"/>
        </w:rPr>
        <w:t>2. 订立地点：</w:t>
      </w:r>
      <w:r>
        <w:rPr>
          <w:rFonts w:hint="eastAsia" w:ascii="宋体" w:hAnsi="宋体" w:cs="宋体"/>
          <w:sz w:val="24"/>
          <w:u w:val="single"/>
        </w:rPr>
        <w:t xml:space="preserve">                             </w:t>
      </w:r>
      <w:r>
        <w:rPr>
          <w:rFonts w:hint="eastAsia" w:ascii="宋体" w:hAnsi="宋体" w:cs="宋体"/>
          <w:sz w:val="24"/>
        </w:rPr>
        <w:t>。</w:t>
      </w:r>
    </w:p>
    <w:p>
      <w:pPr>
        <w:tabs>
          <w:tab w:val="left" w:pos="980"/>
        </w:tabs>
        <w:kinsoku w:val="0"/>
        <w:spacing w:line="360" w:lineRule="auto"/>
        <w:ind w:firstLine="480" w:firstLineChars="200"/>
        <w:rPr>
          <w:rFonts w:ascii="宋体" w:hAnsi="宋体" w:cs="宋体"/>
          <w:sz w:val="24"/>
        </w:rPr>
      </w:pPr>
      <w:r>
        <w:rPr>
          <w:rFonts w:hint="eastAsia" w:ascii="宋体" w:hAnsi="宋体" w:cs="宋体"/>
          <w:sz w:val="24"/>
        </w:rPr>
        <w:t>3. 本合同一式</w:t>
      </w:r>
      <w:r>
        <w:rPr>
          <w:rFonts w:hint="eastAsia" w:ascii="宋体" w:hAnsi="宋体" w:cs="宋体"/>
          <w:sz w:val="24"/>
          <w:u w:val="single"/>
        </w:rPr>
        <w:t xml:space="preserve">   </w:t>
      </w:r>
      <w:r>
        <w:rPr>
          <w:rFonts w:hint="eastAsia" w:ascii="宋体" w:hAnsi="宋体" w:cs="宋体"/>
          <w:sz w:val="24"/>
        </w:rPr>
        <w:t>份，具有同等法律效力，双方各执</w:t>
      </w:r>
      <w:r>
        <w:rPr>
          <w:rFonts w:hint="eastAsia" w:ascii="宋体" w:hAnsi="宋体" w:cs="宋体"/>
          <w:sz w:val="24"/>
          <w:u w:val="single"/>
        </w:rPr>
        <w:t xml:space="preserve">   </w:t>
      </w:r>
      <w:r>
        <w:rPr>
          <w:rFonts w:hint="eastAsia" w:ascii="宋体" w:hAnsi="宋体" w:cs="宋体"/>
          <w:sz w:val="24"/>
        </w:rPr>
        <w:t>份，监管部门备案</w:t>
      </w:r>
      <w:r>
        <w:rPr>
          <w:rFonts w:hint="eastAsia" w:ascii="宋体" w:hAnsi="宋体" w:cs="宋体"/>
          <w:sz w:val="24"/>
          <w:u w:val="single"/>
        </w:rPr>
        <w:t xml:space="preserve">    </w:t>
      </w:r>
      <w:r>
        <w:rPr>
          <w:rFonts w:hint="eastAsia" w:ascii="宋体" w:hAnsi="宋体" w:cs="宋体"/>
          <w:sz w:val="24"/>
        </w:rPr>
        <w:t xml:space="preserve">份、采购代理机构存档 </w:t>
      </w:r>
      <w:r>
        <w:rPr>
          <w:rFonts w:hint="eastAsia" w:ascii="宋体" w:hAnsi="宋体" w:cs="宋体"/>
          <w:sz w:val="24"/>
          <w:u w:val="single"/>
        </w:rPr>
        <w:t xml:space="preserve">壹 </w:t>
      </w:r>
      <w:r>
        <w:rPr>
          <w:rFonts w:hint="eastAsia" w:ascii="宋体" w:hAnsi="宋体" w:cs="宋体"/>
          <w:sz w:val="24"/>
        </w:rPr>
        <w:t>份。各方签字盖章后生效，合同执行完毕自动失效。（合同的服务承诺则长期有效）。</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400" w:lineRule="exact"/>
        <w:ind w:firstLine="475" w:firstLineChars="198"/>
        <w:rPr>
          <w:rFonts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400" w:lineRule="exact"/>
        <w:ind w:firstLine="480" w:firstLineChars="200"/>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邮政编码：</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账号：</w:t>
      </w:r>
      <w:r>
        <w:rPr>
          <w:rFonts w:hint="eastAsia" w:ascii="宋体" w:hAnsi="宋体" w:cs="宋体"/>
          <w:sz w:val="24"/>
          <w:u w:val="single"/>
        </w:rPr>
        <w:t xml:space="preserve">                      </w:t>
      </w:r>
      <w:r>
        <w:rPr>
          <w:rFonts w:hint="eastAsia" w:ascii="宋体" w:hAnsi="宋体" w:cs="宋体"/>
          <w:sz w:val="24"/>
        </w:rPr>
        <w:t xml:space="preserve">         账号：</w:t>
      </w:r>
      <w:r>
        <w:rPr>
          <w:rFonts w:hint="eastAsia" w:ascii="宋体" w:hAnsi="宋体" w:cs="宋体"/>
          <w:sz w:val="24"/>
          <w:u w:val="single"/>
        </w:rPr>
        <w:t xml:space="preserve">                       </w:t>
      </w:r>
      <w:r>
        <w:rPr>
          <w:rFonts w:hint="eastAsia" w:ascii="宋体" w:hAnsi="宋体" w:cs="宋体"/>
          <w:sz w:val="24"/>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adjustRightInd w:val="0"/>
        <w:snapToGrid w:val="0"/>
        <w:spacing w:line="400" w:lineRule="exact"/>
        <w:ind w:firstLine="475" w:firstLineChars="198"/>
        <w:rPr>
          <w:rFonts w:ascii="宋体" w:hAnsi="宋体" w:cs="宋体"/>
          <w:sz w:val="24"/>
        </w:rPr>
      </w:pP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500" w:lineRule="exact"/>
        <w:ind w:firstLine="480" w:firstLineChars="200"/>
        <w:rPr>
          <w:rFonts w:ascii="仿宋" w:hAnsi="仿宋" w:eastAsia="仿宋" w:cs="仿宋"/>
          <w:b/>
          <w:bCs/>
          <w:sz w:val="22"/>
          <w:szCs w:val="22"/>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rPr>
        <w:t xml:space="preserve">          电子邮箱：</w:t>
      </w:r>
      <w:r>
        <w:rPr>
          <w:rFonts w:hint="eastAsia" w:ascii="宋体" w:hAnsi="宋体" w:cs="宋体"/>
          <w:sz w:val="24"/>
          <w:u w:val="single"/>
        </w:rPr>
        <w:t xml:space="preserve">                   </w:t>
      </w:r>
      <w:r>
        <w:rPr>
          <w:rFonts w:hint="eastAsia" w:ascii="宋体" w:hAnsi="宋体" w:cs="宋体"/>
          <w:szCs w:val="22"/>
        </w:rPr>
        <w:t xml:space="preserve"> </w:t>
      </w:r>
    </w:p>
    <w:p>
      <w:pPr>
        <w:rPr>
          <w:rFonts w:cs="宋体" w:asciiTheme="minorEastAsia" w:hAnsiTheme="minorEastAsia" w:eastAsiaTheme="minorEastAsia"/>
          <w:b/>
          <w:sz w:val="48"/>
          <w:szCs w:val="44"/>
        </w:rPr>
      </w:pPr>
    </w:p>
    <w:p>
      <w:pPr>
        <w:rPr>
          <w:rFonts w:cs="宋体" w:asciiTheme="minorEastAsia" w:hAnsiTheme="minorEastAsia" w:eastAsiaTheme="minorEastAsia"/>
          <w:b/>
          <w:sz w:val="48"/>
          <w:szCs w:val="44"/>
        </w:rPr>
      </w:pPr>
      <w:r>
        <w:rPr>
          <w:rFonts w:hint="eastAsia" w:cs="宋体" w:asciiTheme="minorEastAsia" w:hAnsiTheme="minorEastAsia" w:eastAsiaTheme="minorEastAsia"/>
          <w:b/>
          <w:sz w:val="48"/>
          <w:szCs w:val="44"/>
        </w:rPr>
        <w:br w:type="page"/>
      </w:r>
    </w:p>
    <w:p>
      <w:pPr>
        <w:pStyle w:val="3"/>
        <w:jc w:val="center"/>
      </w:pPr>
      <w:bookmarkStart w:id="224" w:name="_Toc28836"/>
      <w:r>
        <w:rPr>
          <w:rFonts w:hint="eastAsia"/>
        </w:rPr>
        <w:t>第六章 投标文件格式</w:t>
      </w:r>
      <w:bookmarkEnd w:id="158"/>
      <w:bookmarkEnd w:id="220"/>
      <w:bookmarkEnd w:id="221"/>
      <w:bookmarkEnd w:id="222"/>
      <w:bookmarkEnd w:id="223"/>
      <w:bookmarkEnd w:id="224"/>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文件格式是投标供应商的部分投标文件格式，投标供应商应按照这些格式编制投标文件。编制投标文件前，请详细阅读招标文件，理解文件中的每一项要求，做出逐一实质性响应，认为有必要，可做补充说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bookmarkStart w:id="225" w:name="_Toc217446082"/>
    </w:p>
    <w:p>
      <w:pPr>
        <w:rPr>
          <w:rFonts w:asciiTheme="minorEastAsia" w:hAnsiTheme="minorEastAsia" w:eastAsiaTheme="minorEastAsia"/>
          <w:b/>
          <w:sz w:val="24"/>
        </w:rPr>
      </w:pPr>
      <w:r>
        <w:rPr>
          <w:rFonts w:hint="eastAsia" w:asciiTheme="minorEastAsia" w:hAnsiTheme="minorEastAsia" w:eastAsiaTheme="minorEastAsia"/>
          <w:b/>
          <w:sz w:val="24"/>
        </w:rPr>
        <w:t>项目编号：YFC2022-GP-009H                                    正本/副本</w:t>
      </w:r>
    </w:p>
    <w:p>
      <w:pPr>
        <w:spacing w:line="360" w:lineRule="auto"/>
        <w:rPr>
          <w:rFonts w:cs="宋体" w:asciiTheme="minorEastAsia" w:hAnsiTheme="minorEastAsia" w:eastAsiaTheme="minorEastAsia"/>
          <w:b/>
          <w:sz w:val="44"/>
          <w:szCs w:val="28"/>
        </w:rPr>
      </w:pPr>
    </w:p>
    <w:p/>
    <w:p/>
    <w:p/>
    <w:p>
      <w:pPr>
        <w:tabs>
          <w:tab w:val="left" w:pos="7665"/>
        </w:tabs>
        <w:spacing w:line="360" w:lineRule="auto"/>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                           </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多功能移动式宽带监测测向系统采购项目</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投标文件</w:t>
      </w:r>
    </w:p>
    <w:p>
      <w:pPr>
        <w:tabs>
          <w:tab w:val="left" w:pos="7665"/>
        </w:tabs>
        <w:spacing w:line="360" w:lineRule="auto"/>
        <w:ind w:firstLine="482" w:firstLineChars="200"/>
        <w:jc w:val="center"/>
        <w:rPr>
          <w:rFonts w:cs="宋体" w:asciiTheme="minorEastAsia" w:hAnsiTheme="minorEastAsia" w:eastAsiaTheme="minorEastAsia"/>
          <w:b/>
          <w:bCs/>
          <w:sz w:val="24"/>
        </w:rPr>
      </w:pPr>
    </w:p>
    <w:p>
      <w:pPr>
        <w:tabs>
          <w:tab w:val="left" w:pos="7665"/>
        </w:tabs>
        <w:spacing w:line="360"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（资格审查部分）</w:t>
      </w: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ind w:firstLine="560" w:firstLineChars="200"/>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Pr>
        <w:tabs>
          <w:tab w:val="left" w:pos="7665"/>
        </w:tabs>
        <w:spacing w:line="360" w:lineRule="auto"/>
        <w:rPr>
          <w:rFonts w:cs="宋体" w:asciiTheme="minorEastAsia" w:hAnsiTheme="minorEastAsia" w:eastAsiaTheme="minorEastAsia"/>
          <w:sz w:val="28"/>
          <w:szCs w:val="28"/>
        </w:rPr>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pStyle w:val="2"/>
      </w:pPr>
    </w:p>
    <w:p/>
    <w:p>
      <w:pPr>
        <w:pStyle w:val="2"/>
      </w:pPr>
    </w:p>
    <w:p/>
    <w:p>
      <w:pPr>
        <w:pStyle w:val="2"/>
      </w:pPr>
    </w:p>
    <w:p/>
    <w:p>
      <w:pPr>
        <w:pStyle w:val="2"/>
      </w:pPr>
    </w:p>
    <w:p/>
    <w:p>
      <w:pPr>
        <w:tabs>
          <w:tab w:val="left" w:pos="7665"/>
        </w:tabs>
        <w:spacing w:line="360" w:lineRule="auto"/>
        <w:ind w:firstLine="1687" w:firstLineChars="600"/>
        <w:rPr>
          <w:rFonts w:cs="宋体" w:asciiTheme="minorEastAsia" w:hAnsiTheme="minorEastAsia" w:eastAsiaTheme="minorEastAsia"/>
          <w:b/>
          <w:bCs/>
          <w:sz w:val="28"/>
          <w:szCs w:val="28"/>
        </w:rPr>
      </w:pP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投标供应商：                  （盖单位章）</w:t>
      </w:r>
    </w:p>
    <w:p>
      <w:pPr>
        <w:tabs>
          <w:tab w:val="left" w:pos="7665"/>
        </w:tabs>
        <w:spacing w:line="360" w:lineRule="auto"/>
        <w:ind w:firstLine="1687" w:firstLineChars="600"/>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法定代表人或其委托代理人：           （签字）</w:t>
      </w:r>
    </w:p>
    <w:p>
      <w:pPr>
        <w:tabs>
          <w:tab w:val="left" w:pos="7665"/>
        </w:tabs>
        <w:spacing w:line="360" w:lineRule="auto"/>
        <w:ind w:firstLine="1687" w:firstLineChars="600"/>
        <w:rPr>
          <w:rFonts w:cs="宋体" w:asciiTheme="minorEastAsia" w:hAnsiTheme="minorEastAsia" w:eastAsiaTheme="minorEastAsia"/>
          <w:sz w:val="24"/>
        </w:rPr>
      </w:pPr>
      <w:r>
        <w:rPr>
          <w:rFonts w:hint="eastAsia" w:cs="宋体" w:asciiTheme="minorEastAsia" w:hAnsiTheme="minorEastAsia" w:eastAsiaTheme="minorEastAsia"/>
          <w:b/>
          <w:bCs/>
          <w:sz w:val="28"/>
          <w:szCs w:val="28"/>
        </w:rPr>
        <w:t>时间： 2022年  月  日</w:t>
      </w:r>
      <w:bookmarkEnd w:id="225"/>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目      录</w:t>
      </w:r>
    </w:p>
    <w:p>
      <w:pPr>
        <w:spacing w:line="360" w:lineRule="auto"/>
        <w:jc w:val="center"/>
        <w:rPr>
          <w:rFonts w:asciiTheme="minorEastAsia" w:hAnsiTheme="minorEastAsia" w:eastAsiaTheme="minorEastAsia"/>
          <w:sz w:val="24"/>
          <w:szCs w:val="32"/>
        </w:rPr>
      </w:pPr>
      <w:r>
        <w:rPr>
          <w:rFonts w:hint="eastAsia" w:asciiTheme="minorEastAsia" w:hAnsiTheme="minorEastAsia" w:eastAsiaTheme="minorEastAsia"/>
          <w:sz w:val="24"/>
          <w:szCs w:val="32"/>
        </w:rPr>
        <w:t>（格式自拟，带页码）</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一、投标供应商基本情况表 </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二、法定代表人（单位负责人）身份证明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三、法定代表人授权书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四、投标供应商资格证明文件</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五、参加本次政府采购活动前三年内，在经营活动中没有重大违法记录的书面声明</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六、投标供应商具有履行本合同所必需的专业技术能力的说明及承诺（参考格式）</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七、投标人企业关系关联承诺书</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八、其他需要补充的资料</w:t>
      </w:r>
    </w:p>
    <w:p>
      <w:pPr>
        <w:pStyle w:val="8"/>
        <w:spacing w:line="360" w:lineRule="auto"/>
        <w:ind w:firstLine="0"/>
        <w:rPr>
          <w:rFonts w:asciiTheme="minorEastAsia" w:hAnsiTheme="minorEastAsia" w:eastAsiaTheme="minorEastAsia"/>
          <w:sz w:val="24"/>
          <w:szCs w:val="32"/>
        </w:rPr>
      </w:pPr>
      <w:r>
        <w:rPr>
          <w:rFonts w:hint="eastAsia" w:asciiTheme="minorEastAsia" w:hAnsiTheme="minorEastAsia" w:eastAsiaTheme="minorEastAsia"/>
          <w:sz w:val="24"/>
          <w:szCs w:val="32"/>
        </w:rPr>
        <w:t>九、信用查询记录（评标现场登录网络审查）</w:t>
      </w: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br w:type="page"/>
      </w:r>
      <w:r>
        <w:rPr>
          <w:rFonts w:hint="eastAsia" w:cs="宋体" w:asciiTheme="minorEastAsia" w:hAnsiTheme="minorEastAsia" w:eastAsiaTheme="minorEastAsia"/>
          <w:b/>
          <w:bCs/>
          <w:sz w:val="24"/>
        </w:rPr>
        <w:t>1.投标供应商基本情况表</w:t>
      </w:r>
    </w:p>
    <w:p>
      <w:pPr>
        <w:pStyle w:val="20"/>
        <w:rPr>
          <w:rFonts w:asciiTheme="minorEastAsia" w:hAnsiTheme="minorEastAsia" w:eastAsiaTheme="minorEastAsia"/>
        </w:rPr>
      </w:pPr>
    </w:p>
    <w:p>
      <w:pPr>
        <w:pStyle w:val="20"/>
        <w:rPr>
          <w:rFonts w:asciiTheme="minorEastAsia" w:hAnsiTheme="minorEastAsia" w:eastAsiaTheme="minorEastAsia"/>
        </w:rPr>
      </w:pP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4"/>
        <w:gridCol w:w="1416"/>
        <w:gridCol w:w="1419"/>
        <w:gridCol w:w="1418"/>
        <w:gridCol w:w="1381"/>
        <w:gridCol w:w="13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7016" w:type="dxa"/>
            <w:gridSpan w:val="5"/>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统一社会</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信用代码</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4253" w:type="dxa"/>
            <w:gridSpan w:val="3"/>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资产总额</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上年营业额</w:t>
            </w:r>
          </w:p>
        </w:tc>
        <w:tc>
          <w:tcPr>
            <w:tcW w:w="1416" w:type="dxa"/>
            <w:vAlign w:val="center"/>
          </w:tcPr>
          <w:p>
            <w:pPr>
              <w:spacing w:line="360" w:lineRule="auto"/>
              <w:jc w:val="center"/>
              <w:rPr>
                <w:rFonts w:cs="宋体" w:asciiTheme="minorEastAsia" w:hAnsiTheme="minorEastAsia" w:eastAsiaTheme="minorEastAsia"/>
                <w:sz w:val="24"/>
              </w:rPr>
            </w:pPr>
          </w:p>
        </w:tc>
        <w:tc>
          <w:tcPr>
            <w:tcW w:w="1419"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c>
          <w:tcPr>
            <w:tcW w:w="1418" w:type="dxa"/>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企业类型</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（单位负责人）</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手机</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Merge w:val="continue"/>
            <w:vAlign w:val="center"/>
          </w:tcPr>
          <w:p>
            <w:pPr>
              <w:spacing w:line="360" w:lineRule="auto"/>
              <w:jc w:val="center"/>
              <w:rPr>
                <w:rFonts w:cs="宋体" w:asciiTheme="minorEastAsia" w:hAnsiTheme="minorEastAsia" w:eastAsiaTheme="minorEastAsia"/>
                <w:sz w:val="24"/>
              </w:rPr>
            </w:pPr>
          </w:p>
        </w:tc>
        <w:tc>
          <w:tcPr>
            <w:tcW w:w="1381"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办公</w:t>
            </w:r>
          </w:p>
        </w:tc>
        <w:tc>
          <w:tcPr>
            <w:tcW w:w="1382" w:type="dxa"/>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416" w:type="dxa"/>
            <w:vMerge w:val="restart"/>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1419" w:type="dxa"/>
            <w:vMerge w:val="restart"/>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2763" w:type="dxa"/>
            <w:gridSpan w:val="2"/>
            <w:vAlign w:val="center"/>
          </w:tcPr>
          <w:p>
            <w:pPr>
              <w:spacing w:line="360" w:lineRule="auto"/>
              <w:jc w:val="center"/>
              <w:rPr>
                <w:rFonts w:cs="宋体" w:asciiTheme="minorEastAsia" w:hAnsiTheme="minorEastAsia" w:eastAsia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984" w:type="dxa"/>
            <w:vMerge w:val="continue"/>
            <w:vAlign w:val="center"/>
          </w:tcPr>
          <w:p>
            <w:pPr>
              <w:spacing w:line="360" w:lineRule="auto"/>
              <w:jc w:val="center"/>
              <w:rPr>
                <w:rFonts w:cs="宋体" w:asciiTheme="minorEastAsia" w:hAnsiTheme="minorEastAsia" w:eastAsiaTheme="minorEastAsia"/>
                <w:sz w:val="24"/>
              </w:rPr>
            </w:pPr>
          </w:p>
        </w:tc>
        <w:tc>
          <w:tcPr>
            <w:tcW w:w="1416" w:type="dxa"/>
            <w:vMerge w:val="continue"/>
            <w:vAlign w:val="center"/>
          </w:tcPr>
          <w:p>
            <w:pPr>
              <w:spacing w:line="360" w:lineRule="auto"/>
              <w:jc w:val="center"/>
              <w:rPr>
                <w:rFonts w:cs="宋体" w:asciiTheme="minorEastAsia" w:hAnsiTheme="minorEastAsia" w:eastAsiaTheme="minorEastAsia"/>
                <w:sz w:val="24"/>
              </w:rPr>
            </w:pPr>
          </w:p>
        </w:tc>
        <w:tc>
          <w:tcPr>
            <w:tcW w:w="1419" w:type="dxa"/>
            <w:vMerge w:val="continue"/>
            <w:vAlign w:val="center"/>
          </w:tcPr>
          <w:p>
            <w:pPr>
              <w:spacing w:line="360" w:lineRule="auto"/>
              <w:jc w:val="center"/>
              <w:rPr>
                <w:rFonts w:cs="宋体" w:asciiTheme="minorEastAsia" w:hAnsiTheme="minorEastAsia" w:eastAsiaTheme="minorEastAsia"/>
                <w:sz w:val="24"/>
              </w:rPr>
            </w:pPr>
          </w:p>
        </w:tc>
        <w:tc>
          <w:tcPr>
            <w:tcW w:w="1418" w:type="dxa"/>
            <w:vAlign w:val="center"/>
          </w:tcPr>
          <w:p>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邮箱</w:t>
            </w:r>
          </w:p>
        </w:tc>
        <w:tc>
          <w:tcPr>
            <w:tcW w:w="2763" w:type="dxa"/>
            <w:gridSpan w:val="2"/>
            <w:vAlign w:val="center"/>
          </w:tcPr>
          <w:p>
            <w:pPr>
              <w:spacing w:line="360" w:lineRule="auto"/>
              <w:jc w:val="center"/>
              <w:rPr>
                <w:rFonts w:cs="宋体" w:asciiTheme="minorEastAsia" w:hAnsiTheme="minorEastAsia" w:eastAsiaTheme="minorEastAsia"/>
                <w:sz w:val="24"/>
              </w:rPr>
            </w:pPr>
          </w:p>
        </w:tc>
      </w:tr>
    </w:tbl>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ascii="宋体" w:hAnsi="宋体" w:cs="宋体"/>
          <w:sz w:val="24"/>
        </w:rPr>
        <w:t>说明：企业类型与中小企业声明函保持一致，参照《中小企业划型标准规定》(工信部联企业【2011】300号)；上年营业收入、资产总额应与财务报表中的数据一致，金额单位为万元，未如实填写而产生的不利后果，自行承担。</w:t>
      </w:r>
    </w:p>
    <w:p>
      <w:pPr>
        <w:tabs>
          <w:tab w:val="left" w:pos="7665"/>
        </w:tabs>
        <w:spacing w:line="360" w:lineRule="auto"/>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pStyle w:val="16"/>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jc w:val="right"/>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6" w:name="_Toc1954_WPSOffice_Level2"/>
      <w:r>
        <w:rPr>
          <w:rFonts w:hint="eastAsia" w:cs="宋体" w:asciiTheme="minorEastAsia" w:hAnsiTheme="minorEastAsia" w:eastAsiaTheme="minorEastAsia"/>
          <w:b/>
          <w:bCs/>
          <w:sz w:val="24"/>
        </w:rPr>
        <w:t>2.法定代表人（单位负责人）身份证明</w:t>
      </w:r>
      <w:bookmarkEnd w:id="226"/>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投标供应商名称：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统一社会信用代码：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姓名：       性别：   年龄：   职务：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系</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（投标供应商名称）的法定代表人（单位负责人）。</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附：法定代表人身份证复印件（正反面）</w:t>
      </w:r>
    </w:p>
    <w:p>
      <w:pPr>
        <w:tabs>
          <w:tab w:val="left" w:pos="7665"/>
        </w:tabs>
        <w:spacing w:line="360" w:lineRule="auto"/>
        <w:ind w:firstLine="480" w:firstLineChars="200"/>
        <w:rPr>
          <w:rFonts w:cs="宋体" w:asciiTheme="minorEastAsia" w:hAnsiTheme="minorEastAsia" w:eastAsiaTheme="minorEastAsia"/>
          <w:sz w:val="24"/>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jc w:val="center"/>
        </w:trPr>
        <w:tc>
          <w:tcPr>
            <w:tcW w:w="5868" w:type="dxa"/>
            <w:vAlign w:val="center"/>
          </w:tcPr>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法定代表人身份证复印件粘贴处</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jc w:val="right"/>
        <w:rPr>
          <w:rFonts w:cs="宋体" w:asciiTheme="minorEastAsia" w:hAnsiTheme="minorEastAsia" w:eastAsiaTheme="minorEastAsia"/>
          <w:sz w:val="24"/>
        </w:rPr>
      </w:pPr>
    </w:p>
    <w:p>
      <w:pPr>
        <w:tabs>
          <w:tab w:val="left" w:pos="7665"/>
        </w:tabs>
        <w:spacing w:line="360" w:lineRule="auto"/>
        <w:ind w:firstLine="480" w:firstLineChars="200"/>
        <w:jc w:val="right"/>
        <w:rPr>
          <w:rFonts w:cs="宋体" w:asciiTheme="minorEastAsia" w:hAnsiTheme="minorEastAsia" w:eastAsiaTheme="minorEastAsia"/>
          <w:sz w:val="24"/>
        </w:rPr>
      </w:pPr>
      <w:r>
        <w:rPr>
          <w:rFonts w:hint="eastAsia" w:cs="宋体" w:asciiTheme="minorEastAsia" w:hAnsiTheme="minorEastAsia" w:eastAsiaTheme="minorEastAsia"/>
          <w:sz w:val="24"/>
        </w:rPr>
        <w:t>日期：20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说明：仅限法定代表人（单位负责人）参加投标时提供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27" w:name="_Toc27507_WPSOffice_Level2"/>
      <w:r>
        <w:rPr>
          <w:rFonts w:hint="eastAsia" w:cs="宋体" w:asciiTheme="minorEastAsia" w:hAnsiTheme="minorEastAsia" w:eastAsiaTheme="minorEastAsia"/>
          <w:b/>
          <w:bCs/>
          <w:sz w:val="24"/>
        </w:rPr>
        <w:t>3.法定代表人授权书</w:t>
      </w:r>
      <w:bookmarkEnd w:id="227"/>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本人</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 xml:space="preserve">（姓名）系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投标供应商</w:t>
      </w:r>
      <w:r>
        <w:rPr>
          <w:rFonts w:hint="eastAsia" w:cs="宋体" w:asciiTheme="minorEastAsia" w:hAnsiTheme="minorEastAsia" w:eastAsiaTheme="minorEastAsia"/>
          <w:sz w:val="24"/>
          <w:lang w:val="zh-CN"/>
        </w:rPr>
        <w:t xml:space="preserve">名称）的法定代表人（单位负责人），现委托 </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（被委托人姓名）为我方代理人。代理人根据授权，以我方的名义签署、澄清确认、递交、撤回、修改</w:t>
      </w:r>
      <w:r>
        <w:rPr>
          <w:rFonts w:hint="eastAsia" w:cs="宋体" w:asciiTheme="minorEastAsia" w:hAnsiTheme="minorEastAsia" w:eastAsiaTheme="minorEastAsia"/>
          <w:sz w:val="24"/>
          <w:u w:val="single"/>
          <w:lang w:val="zh-CN"/>
        </w:rPr>
        <w:t xml:space="preserve">         </w:t>
      </w:r>
      <w:r>
        <w:rPr>
          <w:rFonts w:hint="eastAsia" w:cs="宋体" w:asciiTheme="minorEastAsia" w:hAnsiTheme="minorEastAsia" w:eastAsiaTheme="minorEastAsia"/>
          <w:sz w:val="24"/>
          <w:lang w:val="zh-CN"/>
        </w:rPr>
        <w:t>（采购项目）投标文件、签订合同和全权处理一切与之有关的事宜，</w:t>
      </w:r>
      <w:r>
        <w:rPr>
          <w:rFonts w:hint="eastAsia" w:cs="宋体" w:asciiTheme="minorEastAsia" w:hAnsiTheme="minorEastAsia" w:eastAsiaTheme="minorEastAsia"/>
          <w:sz w:val="24"/>
        </w:rPr>
        <w:t>其法律后果由我方承担。</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委托期限</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本授权委托书有效期自开标之日起90日历天。</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代理人无转委托权。</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lang w:val="zh-CN"/>
        </w:rPr>
        <w:t>附：法定代表人（单位负责人）身份证复印件</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zh-CN"/>
        </w:rPr>
        <w:t>委托代理人身份证复印件（正反面）</w:t>
      </w:r>
    </w:p>
    <w:tbl>
      <w:tblPr>
        <w:tblStyle w:val="29"/>
        <w:tblW w:w="0" w:type="auto"/>
        <w:tblInd w:w="539"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32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val="zh-CN"/>
              </w:rPr>
              <w:t>法定代表人（单位负责人）身份证复印件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lang w:val="zh-CN"/>
              </w:rPr>
              <w:t>委托代理人身份证复印件</w:t>
            </w: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法定代表人（单位负责人）:             （签字或盖章）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身 份 证 号：                         </w:t>
      </w:r>
    </w:p>
    <w:p>
      <w:pPr>
        <w:tabs>
          <w:tab w:val="left" w:pos="7665"/>
        </w:tabs>
        <w:spacing w:line="360" w:lineRule="auto"/>
        <w:ind w:firstLine="480" w:firstLineChars="200"/>
        <w:jc w:val="right"/>
        <w:rPr>
          <w:rFonts w:cs="宋体" w:asciiTheme="minorEastAsia" w:hAnsiTheme="minorEastAsia" w:eastAsiaTheme="minorEastAsia"/>
          <w:sz w:val="24"/>
          <w:lang w:val="zh-CN"/>
        </w:rPr>
      </w:pPr>
      <w:r>
        <w:rPr>
          <w:rFonts w:hint="eastAsia" w:cs="宋体" w:asciiTheme="minorEastAsia" w:hAnsiTheme="minorEastAsia" w:eastAsiaTheme="minorEastAsia"/>
          <w:sz w:val="24"/>
        </w:rPr>
        <w:t>授权委托日期：  20     年   月   日</w:t>
      </w: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说明：仅限委托代理人参加投标时提供。</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4.投标供应商资格证明文件</w:t>
      </w:r>
    </w:p>
    <w:p>
      <w:pPr>
        <w:tabs>
          <w:tab w:val="left" w:pos="7665"/>
        </w:tabs>
        <w:spacing w:line="360" w:lineRule="auto"/>
        <w:ind w:firstLine="480" w:firstLineChars="200"/>
        <w:rPr>
          <w:rFonts w:cs="宋体" w:asciiTheme="minorEastAsia" w:hAnsiTheme="minorEastAsia" w:eastAsiaTheme="minorEastAsia"/>
          <w:sz w:val="24"/>
        </w:rPr>
      </w:pP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（1）投标供应商需提供合法有效的统一社会信用代码营业执照（事业单位提供事业单位法人证书，自然人应提供身份证）。</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2）法定代表人参加投标的，须提供本人身份证加盖公章的复印件；法定代表人授权他人参加投标的，须提供法定代表人授权委托书及被授权代表的身份证复印件。（非法人单位的负责人参照法定代表人提供相关资料）。</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财务状况报告：提供2020年度或2021年度经审计的财务会计报告；成立时间至提交投标文件截止时间不足一年的可提供成立后任意时段的资产负债表或投标截止时间前三个月内银行出具的资信证明文件或信用担保机构出具的投标担保函。</w:t>
      </w:r>
    </w:p>
    <w:p>
      <w:pPr>
        <w:spacing w:line="360" w:lineRule="auto"/>
        <w:rPr>
          <w:rFonts w:ascii="宋体" w:hAnsi="宋体" w:cs="宋体"/>
          <w:sz w:val="24"/>
        </w:rPr>
      </w:pPr>
      <w:r>
        <w:rPr>
          <w:rFonts w:hint="eastAsia" w:cs="宋体" w:asciiTheme="minorEastAsia" w:hAnsiTheme="minorEastAsia" w:eastAsiaTheme="minorEastAsia"/>
          <w:sz w:val="24"/>
          <w:lang w:val="zh-CN"/>
        </w:rPr>
        <w:t>（4）社会保障资金缴纳证明：</w:t>
      </w:r>
      <w:r>
        <w:rPr>
          <w:rFonts w:hint="eastAsia" w:ascii="宋体" w:hAnsi="宋体" w:cs="宋体"/>
          <w:sz w:val="24"/>
        </w:rPr>
        <w:t>1）提供供应商2021年1月1日至今任意一个月已缴纳的社会保障资金缴存单据或社保机构开具的社会保险参保缴费情况证明；</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2）依法不需要缴纳社会保障资金的供应商应提供相关文件证明；</w:t>
      </w:r>
    </w:p>
    <w:p>
      <w:pPr>
        <w:spacing w:line="360" w:lineRule="auto"/>
        <w:rPr>
          <w:rFonts w:ascii="宋体" w:hAnsi="宋体" w:cs="宋体"/>
          <w:sz w:val="24"/>
        </w:rPr>
      </w:pPr>
      <w:r>
        <w:rPr>
          <w:rFonts w:hint="eastAsia" w:ascii="宋体" w:hAnsi="宋体" w:cs="宋体"/>
          <w:sz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4）新成立未发生缴纳社保资金事项的供应商，应提供缴纳社保资金的书面承诺；</w:t>
      </w:r>
    </w:p>
    <w:p>
      <w:pPr>
        <w:spacing w:line="360" w:lineRule="auto"/>
        <w:rPr>
          <w:rFonts w:ascii="宋体" w:hAnsi="宋体" w:cs="宋体"/>
          <w:sz w:val="24"/>
        </w:rPr>
      </w:pPr>
      <w:r>
        <w:rPr>
          <w:rFonts w:hint="eastAsia" w:cs="宋体" w:asciiTheme="minorEastAsia" w:hAnsiTheme="minorEastAsia" w:eastAsiaTheme="minorEastAsia"/>
          <w:sz w:val="24"/>
          <w:lang w:val="zh-CN"/>
        </w:rPr>
        <w:t>（5）税收缴纳证明：</w:t>
      </w:r>
      <w:r>
        <w:rPr>
          <w:rFonts w:hint="eastAsia" w:ascii="宋体" w:hAnsi="宋体" w:cs="宋体"/>
          <w:sz w:val="24"/>
        </w:rPr>
        <w:t>1）提供供应商2021年1月1日至今任意一个月已缴纳完税凭证或税务机关开具的完税证明（提供增值税、企业所得税至少一种）；</w:t>
      </w:r>
      <w:r>
        <w:rPr>
          <w:rFonts w:hint="eastAsia" w:ascii="宋体" w:hAnsi="宋体" w:cs="宋体"/>
          <w:sz w:val="24"/>
          <w:lang w:val="zh-CN"/>
        </w:rPr>
        <w:t>投标截止时间前半年</w:t>
      </w:r>
      <w:r>
        <w:rPr>
          <w:rFonts w:hint="eastAsia" w:ascii="宋体" w:hAnsi="宋体" w:cs="宋体"/>
          <w:sz w:val="24"/>
        </w:rPr>
        <w:t>内</w:t>
      </w:r>
      <w:r>
        <w:rPr>
          <w:rFonts w:hint="eastAsia" w:ascii="宋体" w:hAnsi="宋体" w:cs="宋体"/>
          <w:sz w:val="24"/>
          <w:lang w:val="zh-CN"/>
        </w:rPr>
        <w:t>注册的公司</w:t>
      </w:r>
      <w:r>
        <w:rPr>
          <w:rFonts w:hint="eastAsia" w:ascii="宋体" w:hAnsi="宋体" w:cs="宋体"/>
          <w:sz w:val="24"/>
        </w:rPr>
        <w:t>根据具体情况提供相关证明</w:t>
      </w:r>
      <w:r>
        <w:rPr>
          <w:rFonts w:hint="eastAsia" w:ascii="宋体" w:hAnsi="宋体" w:cs="宋体"/>
          <w:sz w:val="24"/>
          <w:lang w:val="zh-CN"/>
        </w:rPr>
        <w:t>。</w:t>
      </w:r>
    </w:p>
    <w:p>
      <w:pPr>
        <w:spacing w:line="360" w:lineRule="auto"/>
        <w:rPr>
          <w:rFonts w:ascii="宋体" w:hAnsi="宋体" w:cs="宋体"/>
          <w:sz w:val="24"/>
        </w:rPr>
      </w:pPr>
      <w:r>
        <w:rPr>
          <w:rFonts w:hint="eastAsia" w:ascii="宋体" w:hAnsi="宋体" w:cs="宋体"/>
          <w:sz w:val="24"/>
        </w:rPr>
        <w:t>2）依法免税的应提供相关文件证明；</w:t>
      </w:r>
    </w:p>
    <w:p>
      <w:pPr>
        <w:pStyle w:val="16"/>
        <w:tabs>
          <w:tab w:val="left" w:pos="851"/>
        </w:tabs>
        <w:adjustRightInd w:val="0"/>
        <w:snapToGrid w:val="0"/>
        <w:spacing w:line="360" w:lineRule="auto"/>
        <w:rPr>
          <w:rFonts w:hAnsi="宋体" w:cs="宋体"/>
          <w:sz w:val="24"/>
          <w:szCs w:val="24"/>
        </w:rPr>
      </w:pPr>
      <w:r>
        <w:rPr>
          <w:rFonts w:hint="eastAsia" w:hAnsi="宋体" w:cs="宋体"/>
          <w:sz w:val="24"/>
          <w:szCs w:val="24"/>
        </w:rPr>
        <w:t>3）公益类事业单位无需提供；</w:t>
      </w:r>
    </w:p>
    <w:p>
      <w:pPr>
        <w:pStyle w:val="26"/>
        <w:spacing w:before="0" w:beforeAutospacing="0" w:after="0" w:afterAutospacing="0" w:line="360" w:lineRule="auto"/>
        <w:rPr>
          <w:rFonts w:cs="宋体" w:asciiTheme="minorEastAsia" w:hAnsiTheme="minorEastAsia" w:eastAsiaTheme="minorEastAsia"/>
          <w:sz w:val="24"/>
          <w:lang w:val="zh-CN"/>
        </w:rPr>
      </w:pPr>
      <w:r>
        <w:rPr>
          <w:rFonts w:hint="eastAsia" w:cs="宋体"/>
          <w:sz w:val="24"/>
        </w:rPr>
        <w:t>4）新成立未发生缴纳税收事项的供应商，应提供纳税书面承诺。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（6）具备履行合同所必需的设备和专业技术能力的证明材料(由供应商根据项目需求提供说明材料或者承诺)；</w:t>
      </w:r>
    </w:p>
    <w:p>
      <w:pPr>
        <w:pStyle w:val="26"/>
        <w:spacing w:before="0" w:beforeAutospacing="0" w:after="0" w:afterAutospacing="0" w:line="360" w:lineRule="auto"/>
        <w:ind w:firstLine="42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w:t>
      </w:r>
      <w:r>
        <w:rPr>
          <w:rFonts w:hint="eastAsia" w:cs="宋体" w:asciiTheme="minorEastAsia" w:hAnsiTheme="minorEastAsia" w:eastAsiaTheme="minorEastAsia"/>
          <w:sz w:val="24"/>
        </w:rPr>
        <w:t>7</w:t>
      </w:r>
      <w:r>
        <w:rPr>
          <w:rFonts w:hint="eastAsia" w:cs="宋体" w:asciiTheme="minorEastAsia" w:hAnsiTheme="minorEastAsia" w:eastAsiaTheme="minorEastAsia"/>
          <w:sz w:val="24"/>
          <w:lang w:val="zh-CN"/>
        </w:rPr>
        <w:t>）书面信用声明：参加本次政府采购活动前3年内在经营活动中没有重大违纪、未被列入失信被执行人、重大税收违法案件当事人名单、政府采购严重违法失信行为记录名单的书面声明。开标评审将登陆“信用中国”网站（www.creditchina.gov.cn）和“中国政府采购网”（www.ccgp.gov.cn）进行审查。</w:t>
      </w:r>
    </w:p>
    <w:p>
      <w:pPr>
        <w:pStyle w:val="26"/>
        <w:spacing w:before="0" w:beforeAutospacing="0" w:after="0" w:afterAutospacing="0" w:line="360" w:lineRule="auto"/>
        <w:ind w:firstLine="420"/>
        <w:rPr>
          <w:rFonts w:cs="宋体" w:asciiTheme="minorEastAsia" w:hAnsiTheme="minorEastAsia" w:eastAsiaTheme="minorEastAsia"/>
          <w:kern w:val="2"/>
          <w:sz w:val="24"/>
          <w:szCs w:val="24"/>
          <w:lang w:val="zh-CN"/>
        </w:rPr>
      </w:pPr>
      <w:r>
        <w:rPr>
          <w:rFonts w:hint="eastAsia" w:cs="宋体" w:asciiTheme="minorEastAsia" w:hAnsiTheme="minorEastAsia" w:eastAsiaTheme="minorEastAsia"/>
          <w:sz w:val="24"/>
          <w:lang w:val="zh-CN"/>
        </w:rPr>
        <w:t>注：事业</w:t>
      </w:r>
      <w:r>
        <w:rPr>
          <w:rFonts w:hint="eastAsia" w:cs="宋体" w:asciiTheme="minorEastAsia" w:hAnsiTheme="minorEastAsia" w:eastAsiaTheme="minorEastAsia"/>
          <w:kern w:val="2"/>
          <w:sz w:val="24"/>
          <w:szCs w:val="24"/>
          <w:lang w:val="zh-CN"/>
        </w:rPr>
        <w:t>单位法人参与投标可不提供财务状况报告、社会保障资金缴纳证明及税收缴纳证明。</w:t>
      </w:r>
    </w:p>
    <w:p>
      <w:pPr>
        <w:tabs>
          <w:tab w:val="left" w:pos="7665"/>
        </w:tabs>
        <w:spacing w:line="360" w:lineRule="auto"/>
        <w:ind w:firstLine="480" w:firstLineChars="200"/>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（8）单位负责人为同一人或者存在控股、管理关系的不同单位不得同时参加同一项目投标；</w:t>
      </w:r>
    </w:p>
    <w:p>
      <w:pPr>
        <w:pStyle w:val="2"/>
        <w:ind w:firstLine="480" w:firstLineChars="200"/>
        <w:rPr>
          <w:rFonts w:cs="宋体" w:asciiTheme="minorEastAsia" w:hAnsiTheme="minorEastAsia" w:eastAsiaTheme="minorEastAsia"/>
          <w:color w:val="auto"/>
          <w:sz w:val="24"/>
          <w:lang w:val="zh-CN"/>
        </w:rPr>
      </w:pPr>
      <w:r>
        <w:rPr>
          <w:rFonts w:hint="eastAsia" w:cs="宋体" w:asciiTheme="minorEastAsia" w:hAnsiTheme="minorEastAsia" w:eastAsiaTheme="minorEastAsia"/>
          <w:color w:val="auto"/>
          <w:sz w:val="24"/>
          <w:lang w:val="zh-CN"/>
        </w:rPr>
        <w:t>（9）</w:t>
      </w:r>
      <w:r>
        <w:rPr>
          <w:rFonts w:hint="eastAsia" w:cs="宋体" w:asciiTheme="minorEastAsia" w:hAnsiTheme="minorEastAsia" w:eastAsiaTheme="minorEastAsia"/>
          <w:color w:val="auto"/>
          <w:sz w:val="24"/>
        </w:rPr>
        <w:t>提供“</w:t>
      </w:r>
      <w:r>
        <w:rPr>
          <w:rFonts w:hint="eastAsia" w:cs="宋体" w:asciiTheme="minorEastAsia" w:hAnsiTheme="minorEastAsia" w:eastAsiaTheme="minorEastAsia"/>
          <w:color w:val="auto"/>
          <w:sz w:val="24"/>
          <w:lang w:val="zh-CN"/>
        </w:rPr>
        <w:t>中小企业声明函</w:t>
      </w:r>
      <w:r>
        <w:rPr>
          <w:rFonts w:hint="eastAsia" w:cs="宋体" w:asciiTheme="minorEastAsia" w:hAnsiTheme="minorEastAsia" w:eastAsiaTheme="minorEastAsia"/>
          <w:color w:val="auto"/>
          <w:sz w:val="24"/>
        </w:rPr>
        <w:t>”。</w:t>
      </w:r>
    </w:p>
    <w:p>
      <w:pPr>
        <w:autoSpaceDE w:val="0"/>
        <w:autoSpaceDN w:val="0"/>
        <w:spacing w:line="460" w:lineRule="exact"/>
        <w:jc w:val="left"/>
        <w:rPr>
          <w:rFonts w:cs="宋体" w:asciiTheme="minorEastAsia" w:hAnsiTheme="minorEastAsia" w:eastAsiaTheme="minorEastAsia"/>
          <w:sz w:val="24"/>
          <w:lang w:val="zh-CN"/>
        </w:rPr>
      </w:pPr>
    </w:p>
    <w:p>
      <w:pPr>
        <w:autoSpaceDE w:val="0"/>
        <w:autoSpaceDN w:val="0"/>
        <w:spacing w:line="460" w:lineRule="exact"/>
        <w:jc w:val="left"/>
        <w:rPr>
          <w:rFonts w:ascii="宋体" w:hAnsi="宋体" w:cs="宋体"/>
          <w:b/>
          <w:bCs/>
          <w:szCs w:val="22"/>
          <w:lang w:val="zh-CN"/>
        </w:rPr>
      </w:pPr>
    </w:p>
    <w:p>
      <w:pPr>
        <w:autoSpaceDE w:val="0"/>
        <w:autoSpaceDN w:val="0"/>
        <w:spacing w:line="460" w:lineRule="exact"/>
        <w:jc w:val="left"/>
        <w:rPr>
          <w:rFonts w:ascii="宋体" w:hAnsi="宋体" w:cs="宋体"/>
          <w:b/>
          <w:bCs/>
          <w:szCs w:val="22"/>
          <w:lang w:val="zh-CN"/>
        </w:rPr>
      </w:pPr>
      <w:r>
        <w:rPr>
          <w:rFonts w:hint="eastAsia" w:ascii="宋体" w:hAnsi="宋体" w:cs="宋体"/>
          <w:b/>
          <w:bCs/>
          <w:szCs w:val="22"/>
          <w:lang w:val="zh-CN"/>
        </w:rPr>
        <w:t>备注：</w:t>
      </w:r>
    </w:p>
    <w:p>
      <w:pPr>
        <w:autoSpaceDE w:val="0"/>
        <w:autoSpaceDN w:val="0"/>
        <w:spacing w:line="460" w:lineRule="exact"/>
        <w:ind w:firstLine="482"/>
        <w:jc w:val="left"/>
        <w:rPr>
          <w:rFonts w:ascii="宋体" w:hAnsi="宋体" w:cs="宋体"/>
          <w:b/>
          <w:bCs/>
          <w:szCs w:val="22"/>
        </w:rPr>
      </w:pPr>
      <w:r>
        <w:rPr>
          <w:rFonts w:hint="eastAsia" w:ascii="宋体" w:hAnsi="宋体" w:cs="宋体"/>
          <w:b/>
          <w:bCs/>
          <w:szCs w:val="22"/>
          <w:lang w:val="zh-CN"/>
        </w:rPr>
        <w:t>1、以上资格证明文件为必备资格，缺项或者符合性、有效性、合法性审核不合格的，自动丧失供应商资格。</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r>
        <w:rPr>
          <w:rFonts w:asciiTheme="minorEastAsia" w:hAnsiTheme="minorEastAsia" w:eastAsiaTheme="minorEastAsia"/>
        </w:rPr>
        <w:t xml:space="preserve"> </w:t>
      </w:r>
      <w:bookmarkStart w:id="228" w:name="_Toc11170_WPSOffice_Level2"/>
      <w:r>
        <w:rPr>
          <w:rFonts w:hint="eastAsia" w:cs="宋体" w:asciiTheme="minorEastAsia" w:hAnsiTheme="minorEastAsia" w:eastAsiaTheme="minorEastAsia"/>
          <w:b/>
          <w:bCs/>
          <w:sz w:val="24"/>
        </w:rPr>
        <w:t>5.</w:t>
      </w:r>
      <w:bookmarkEnd w:id="228"/>
      <w:r>
        <w:rPr>
          <w:rFonts w:hint="eastAsia" w:cs="宋体" w:asciiTheme="minorEastAsia" w:hAnsiTheme="minorEastAsia" w:eastAsiaTheme="minorEastAsia"/>
          <w:sz w:val="24"/>
        </w:rPr>
        <w:t xml:space="preserve"> </w:t>
      </w:r>
      <w:bookmarkStart w:id="229" w:name="_Toc2406"/>
      <w:r>
        <w:rPr>
          <w:rFonts w:hint="eastAsia" w:cs="宋体" w:asciiTheme="minorEastAsia" w:hAnsiTheme="minorEastAsia" w:eastAsiaTheme="minorEastAsia"/>
          <w:b/>
          <w:bCs/>
          <w:sz w:val="24"/>
        </w:rPr>
        <w:t>参加本次政府采购活动前三年内，在经营活动中没有重大违法记录的书面声明</w:t>
      </w:r>
      <w:bookmarkEnd w:id="229"/>
    </w:p>
    <w:p>
      <w:pPr>
        <w:tabs>
          <w:tab w:val="left" w:pos="7665"/>
        </w:tabs>
        <w:spacing w:line="360" w:lineRule="auto"/>
        <w:rPr>
          <w:rFonts w:cs="宋体" w:asciiTheme="minorEastAsia" w:hAnsiTheme="minorEastAsia" w:eastAsiaTheme="minorEastAsia"/>
          <w:b/>
          <w:bCs/>
          <w:sz w:val="24"/>
        </w:rPr>
      </w:pPr>
    </w:p>
    <w:p>
      <w:pPr>
        <w:pStyle w:val="16"/>
        <w:rPr>
          <w:rFonts w:asciiTheme="minorEastAsia" w:hAnsiTheme="minorEastAsia" w:eastAsiaTheme="minorEastAsia"/>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我方作为项目名称（项目编号：____）的供应商，在此郑重声明：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2、我方______（填“未被列入”或“被列入”）失信被执行人名单。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3、我方______（填“未被列入”或“被列入”）重大税收违法案件当事人名单。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4、我方______（填“未被列入”或“被列入”）政府采购严重违法失信行为记录名单。</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如有不实，我方将无条件地退出本项目的采购活动，并遵照《政府采购法》有关“提供虚假材料的规定”接受处罚。</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特此声明。</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供应商：           （盖章）             </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法定代表人或其授权代理人：（签字或盖章）</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                              </w:t>
      </w:r>
    </w:p>
    <w:p>
      <w:pPr>
        <w:tabs>
          <w:tab w:val="left" w:pos="7665"/>
        </w:tabs>
        <w:spacing w:line="360" w:lineRule="auto"/>
        <w:ind w:firstLine="480" w:firstLineChars="200"/>
        <w:rPr>
          <w:rFonts w:cs="宋体" w:asciiTheme="minorEastAsia" w:hAnsiTheme="minorEastAsia" w:eastAsiaTheme="minorEastAsia"/>
          <w:sz w:val="24"/>
        </w:rPr>
      </w:pPr>
    </w:p>
    <w:p>
      <w:pPr>
        <w:ind w:firstLine="241" w:firstLineChars="100"/>
        <w:rPr>
          <w:b/>
          <w:bCs/>
          <w:sz w:val="32"/>
          <w:szCs w:val="32"/>
        </w:rPr>
      </w:pPr>
      <w:bookmarkStart w:id="230" w:name="_Toc7962_WPSOffice_Level2"/>
      <w:r>
        <w:rPr>
          <w:rFonts w:hint="eastAsia" w:cs="宋体" w:asciiTheme="minorEastAsia" w:hAnsiTheme="minorEastAsia" w:eastAsiaTheme="minorEastAsia"/>
          <w:b/>
          <w:bCs/>
          <w:sz w:val="24"/>
        </w:rPr>
        <w:br w:type="page"/>
      </w:r>
      <w:bookmarkEnd w:id="230"/>
      <w:bookmarkStart w:id="231" w:name="_Toc5185"/>
      <w:r>
        <w:rPr>
          <w:rFonts w:hint="eastAsia" w:ascii="宋体" w:hAnsi="宋体" w:cs="宋体" w:eastAsiaTheme="minorEastAsia"/>
          <w:b/>
          <w:bCs/>
          <w:sz w:val="24"/>
        </w:rPr>
        <w:t>6</w:t>
      </w:r>
      <w:r>
        <w:rPr>
          <w:rFonts w:hint="eastAsia" w:ascii="宋体" w:hAnsi="宋体" w:cs="宋体"/>
          <w:b/>
          <w:bCs/>
          <w:sz w:val="24"/>
        </w:rPr>
        <w:t>.投标供应商具有履行本合同所必需的专业技术能力的说明及承诺（参考格式）</w:t>
      </w:r>
      <w:bookmarkEnd w:id="231"/>
    </w:p>
    <w:p>
      <w:pPr>
        <w:spacing w:line="360" w:lineRule="auto"/>
        <w:rPr>
          <w:rFonts w:ascii="宋体" w:hAnsi="宋体" w:cs="宋体"/>
          <w:spacing w:val="4"/>
          <w:u w:val="single"/>
        </w:rPr>
      </w:pPr>
    </w:p>
    <w:p>
      <w:pPr>
        <w:spacing w:line="360" w:lineRule="auto"/>
        <w:rPr>
          <w:rFonts w:ascii="宋体" w:hAnsi="宋体" w:cs="宋体"/>
          <w:spacing w:val="4"/>
          <w:u w:val="single"/>
        </w:rPr>
      </w:pPr>
      <w:r>
        <w:rPr>
          <w:rFonts w:hint="eastAsia" w:ascii="宋体" w:hAnsi="宋体" w:cs="宋体"/>
          <w:spacing w:val="4"/>
        </w:rPr>
        <w:t>致：</w:t>
      </w:r>
      <w:r>
        <w:rPr>
          <w:rFonts w:hint="eastAsia" w:ascii="宋体" w:hAnsi="宋体" w:cs="宋体"/>
          <w:spacing w:val="4"/>
          <w:u w:val="single"/>
        </w:rPr>
        <w:t xml:space="preserve">     （采购人名称）   </w:t>
      </w:r>
      <w:r>
        <w:rPr>
          <w:rFonts w:hint="eastAsia" w:ascii="宋体" w:hAnsi="宋体" w:cs="宋体"/>
          <w:spacing w:val="4"/>
        </w:rPr>
        <w:t>：</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公司）于年月日在中华人民共和国境内（详细注册地址）合法注册并经营，公司主营业务为（），营业（生产经营）面积为（）。现有员工数量为（），其中与履行本合同相关的专业技术人员有（专业能力、数量），本公司郑重承诺，具有履行本合同所必需的设备和专业技术能力。</w:t>
      </w:r>
    </w:p>
    <w:p>
      <w:pPr>
        <w:spacing w:before="240" w:beforeLines="100" w:after="120" w:afterLines="50" w:line="360" w:lineRule="auto"/>
        <w:ind w:firstLine="170"/>
        <w:rPr>
          <w:rFonts w:ascii="宋体" w:hAnsi="宋体" w:cs="宋体"/>
          <w:spacing w:val="4"/>
        </w:rPr>
      </w:pPr>
    </w:p>
    <w:p>
      <w:pPr>
        <w:pStyle w:val="2"/>
        <w:rPr>
          <w:rFonts w:ascii="宋体" w:hAnsi="宋体" w:cs="宋体"/>
        </w:rPr>
      </w:pPr>
    </w:p>
    <w:p>
      <w:pPr>
        <w:rPr>
          <w:rFonts w:ascii="宋体" w:hAnsi="宋体" w:cs="宋体"/>
        </w:rPr>
      </w:pPr>
    </w:p>
    <w:p>
      <w:pPr>
        <w:ind w:firstLine="2940" w:firstLineChars="1400"/>
        <w:rPr>
          <w:rFonts w:ascii="宋体" w:hAnsi="宋体" w:cs="宋体"/>
          <w:u w:val="single"/>
        </w:rPr>
      </w:pPr>
      <w:r>
        <w:rPr>
          <w:rFonts w:hint="eastAsia" w:ascii="宋体" w:hAnsi="宋体" w:cs="宋体"/>
        </w:rPr>
        <w:t xml:space="preserve">投标供应商： </w:t>
      </w:r>
      <w:r>
        <w:rPr>
          <w:rFonts w:hint="eastAsia" w:ascii="宋体" w:hAnsi="宋体" w:cs="宋体"/>
          <w:u w:val="single"/>
        </w:rPr>
        <w:t xml:space="preserve">          （盖章）             </w:t>
      </w:r>
    </w:p>
    <w:p>
      <w:pPr>
        <w:ind w:right="360"/>
        <w:jc w:val="right"/>
        <w:rPr>
          <w:rFonts w:ascii="宋体" w:hAnsi="宋体" w:cs="宋体"/>
        </w:rPr>
      </w:pPr>
    </w:p>
    <w:p>
      <w:pPr>
        <w:ind w:right="240"/>
        <w:jc w:val="center"/>
        <w:rPr>
          <w:rFonts w:ascii="宋体" w:hAnsi="宋体" w:cs="宋体"/>
          <w:u w:val="single"/>
        </w:rPr>
      </w:pPr>
      <w:r>
        <w:rPr>
          <w:rFonts w:hint="eastAsia" w:ascii="宋体" w:hAnsi="宋体" w:cs="宋体"/>
        </w:rPr>
        <w:t xml:space="preserve">                 法定代表人或其授权代理人： </w:t>
      </w:r>
      <w:r>
        <w:rPr>
          <w:rFonts w:hint="eastAsia" w:ascii="宋体" w:hAnsi="宋体" w:cs="宋体"/>
          <w:u w:val="single"/>
        </w:rPr>
        <w:t>（签字或签章）</w:t>
      </w:r>
    </w:p>
    <w:p>
      <w:pPr>
        <w:wordWrap w:val="0"/>
        <w:ind w:right="360" w:firstLine="2310" w:firstLineChars="1100"/>
        <w:rPr>
          <w:rFonts w:ascii="宋体" w:hAnsi="宋体" w:cs="宋体"/>
        </w:rPr>
      </w:pPr>
      <w:r>
        <w:rPr>
          <w:rFonts w:hint="eastAsia" w:ascii="宋体" w:hAnsi="宋体" w:cs="宋体"/>
        </w:rPr>
        <w:t xml:space="preserve"> </w:t>
      </w:r>
    </w:p>
    <w:p>
      <w:pPr>
        <w:tabs>
          <w:tab w:val="left" w:pos="7665"/>
        </w:tabs>
        <w:spacing w:line="360" w:lineRule="auto"/>
        <w:rPr>
          <w:rFonts w:cs="宋体" w:asciiTheme="minorEastAsia" w:hAnsiTheme="minorEastAsia" w:eastAsiaTheme="minorEastAsia"/>
          <w:b/>
          <w:bCs/>
          <w:sz w:val="24"/>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b/>
          <w:bCs/>
          <w:sz w:val="24"/>
        </w:rPr>
        <w:br w:type="page"/>
      </w:r>
    </w:p>
    <w:p>
      <w:pPr>
        <w:tabs>
          <w:tab w:val="left" w:pos="7665"/>
        </w:tabs>
        <w:spacing w:line="360" w:lineRule="auto"/>
        <w:rPr>
          <w:rFonts w:ascii="宋体" w:hAnsi="宋体" w:cs="宋体"/>
          <w:b/>
          <w:bCs/>
          <w:sz w:val="24"/>
        </w:rPr>
      </w:pPr>
      <w:r>
        <w:rPr>
          <w:rFonts w:hint="eastAsia" w:ascii="宋体" w:hAnsi="宋体" w:cs="宋体"/>
          <w:b/>
          <w:bCs/>
          <w:sz w:val="24"/>
        </w:rPr>
        <w:t xml:space="preserve">7.投标人企业关系关联承诺书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1、投标人股东及股权证明。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2、投标人在本项目投标中，不存在与其它投标人负责人为同一人，有控股、管理等关联关 系承诺。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2-1、管理关系说明：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我单位管理的具有独立法人的下属单位有：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我单位的上级管理单位有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2-2、股权关系说明：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我单位控股的单位有</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我单位被单位控股</w:t>
      </w:r>
      <w:r>
        <w:rPr>
          <w:rFonts w:hint="eastAsia" w:ascii="宋体" w:hAnsi="宋体" w:cs="宋体"/>
          <w:spacing w:val="4"/>
          <w:u w:val="single"/>
        </w:rPr>
        <w:t xml:space="preserve">                            </w:t>
      </w:r>
      <w:r>
        <w:rPr>
          <w:rFonts w:hint="eastAsia" w:ascii="宋体" w:hAnsi="宋体" w:cs="宋体"/>
          <w:spacing w:val="4"/>
        </w:rPr>
        <w:t xml:space="preserve">。 </w:t>
      </w:r>
    </w:p>
    <w:p>
      <w:pPr>
        <w:spacing w:before="240" w:beforeLines="100" w:after="120" w:afterLines="50" w:line="360" w:lineRule="auto"/>
        <w:ind w:firstLine="436" w:firstLineChars="200"/>
        <w:rPr>
          <w:rFonts w:ascii="宋体" w:hAnsi="宋体" w:cs="宋体"/>
          <w:spacing w:val="4"/>
          <w:u w:val="single"/>
        </w:rPr>
      </w:pPr>
      <w:r>
        <w:rPr>
          <w:rFonts w:hint="eastAsia" w:ascii="宋体" w:hAnsi="宋体" w:cs="宋体"/>
          <w:spacing w:val="4"/>
        </w:rPr>
        <w:t>2-3、单位负责人：</w:t>
      </w:r>
      <w:r>
        <w:rPr>
          <w:rFonts w:hint="eastAsia" w:ascii="宋体" w:hAnsi="宋体" w:cs="宋体"/>
          <w:spacing w:val="4"/>
          <w:u w:val="single"/>
        </w:rPr>
        <w:t xml:space="preserve">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3、其他与本项目有关的利害关系说明： </w:t>
      </w:r>
    </w:p>
    <w:p>
      <w:pPr>
        <w:spacing w:before="240" w:beforeLines="100" w:after="120" w:afterLines="50" w:line="360" w:lineRule="auto"/>
        <w:ind w:firstLine="436" w:firstLineChars="200"/>
        <w:rPr>
          <w:rFonts w:ascii="宋体" w:hAnsi="宋体" w:cs="宋体"/>
          <w:spacing w:val="4"/>
        </w:rPr>
      </w:pPr>
      <w:r>
        <w:rPr>
          <w:rFonts w:hint="eastAsia" w:ascii="宋体" w:hAnsi="宋体" w:cs="宋体"/>
          <w:spacing w:val="4"/>
        </w:rPr>
        <w:t xml:space="preserve">我单位承诺以上说明真实有效，无虚假内容或隐瞒。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供应商： （盖单位公章） </w:t>
      </w:r>
    </w:p>
    <w:p>
      <w:pPr>
        <w:spacing w:before="240" w:beforeLines="100" w:after="120" w:afterLines="50" w:line="360" w:lineRule="auto"/>
        <w:ind w:firstLine="436" w:firstLineChars="200"/>
        <w:jc w:val="right"/>
        <w:rPr>
          <w:rFonts w:ascii="宋体" w:hAnsi="宋体" w:cs="宋体"/>
          <w:spacing w:val="4"/>
        </w:rPr>
      </w:pPr>
      <w:r>
        <w:rPr>
          <w:rFonts w:hint="eastAsia" w:ascii="宋体" w:hAnsi="宋体" w:cs="宋体"/>
          <w:spacing w:val="4"/>
        </w:rPr>
        <w:t xml:space="preserve">法定代表人或授权代表： （签字或盖章） </w:t>
      </w:r>
    </w:p>
    <w:p>
      <w:pPr>
        <w:spacing w:before="240" w:beforeLines="100" w:after="120" w:afterLines="50" w:line="360" w:lineRule="auto"/>
        <w:ind w:firstLine="436" w:firstLineChars="200"/>
        <w:jc w:val="center"/>
        <w:rPr>
          <w:rFonts w:ascii="宋体" w:hAnsi="宋体" w:cs="宋体"/>
          <w:spacing w:val="4"/>
        </w:rPr>
      </w:pPr>
      <w:r>
        <w:rPr>
          <w:rFonts w:hint="eastAsia" w:ascii="宋体" w:hAnsi="宋体" w:cs="宋体"/>
          <w:spacing w:val="4"/>
        </w:rPr>
        <w:t xml:space="preserve">                          日期： 年 月 日</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rPr>
          <w:rFonts w:asciiTheme="minorEastAsia" w:hAnsiTheme="minorEastAsia" w:eastAsiaTheme="minorEastAsia"/>
          <w:sz w:val="24"/>
        </w:rPr>
      </w:pPr>
      <w:r>
        <w:rPr>
          <w:rFonts w:hint="eastAsia" w:cs="宋体" w:asciiTheme="minorEastAsia" w:hAnsiTheme="minorEastAsia" w:eastAsiaTheme="minorEastAsia"/>
          <w:b/>
          <w:bCs/>
          <w:sz w:val="24"/>
        </w:rPr>
        <w:t>8.</w:t>
      </w:r>
      <w:r>
        <w:rPr>
          <w:rFonts w:hint="eastAsia" w:ascii="宋体" w:hAnsi="宋体" w:cs="宋体"/>
          <w:b/>
          <w:bCs/>
          <w:sz w:val="24"/>
        </w:rPr>
        <w:t>其他需要补充的资料</w:t>
      </w:r>
      <w:r>
        <w:rPr>
          <w:rFonts w:hint="eastAsia" w:cs="宋体" w:asciiTheme="minorEastAsia" w:hAnsiTheme="minorEastAsia" w:eastAsiaTheme="minorEastAsia"/>
          <w:b/>
          <w:bCs/>
          <w:sz w:val="24"/>
        </w:rPr>
        <w:br w:type="page"/>
      </w:r>
    </w:p>
    <w:p>
      <w:pPr>
        <w:tabs>
          <w:tab w:val="left" w:pos="7665"/>
        </w:tabs>
        <w:spacing w:line="360" w:lineRule="auto"/>
        <w:ind w:firstLine="480" w:firstLineChars="200"/>
        <w:rPr>
          <w:rFonts w:cs="宋体" w:asciiTheme="minorEastAsia" w:hAnsiTheme="minorEastAsia" w:eastAsiaTheme="minorEastAsia"/>
          <w:sz w:val="24"/>
        </w:rPr>
      </w:pPr>
      <w:bookmarkStart w:id="232" w:name="_Toc16434_WPSOffice_Level1"/>
    </w:p>
    <w:bookmarkEnd w:id="232"/>
    <w:p>
      <w:pPr>
        <w:tabs>
          <w:tab w:val="left" w:pos="7665"/>
        </w:tabs>
        <w:spacing w:line="360" w:lineRule="auto"/>
        <w:jc w:val="left"/>
        <w:rPr>
          <w:rFonts w:cs="宋体" w:asciiTheme="minorEastAsia" w:hAnsiTheme="minorEastAsia" w:eastAsiaTheme="minorEastAsia"/>
          <w:sz w:val="24"/>
        </w:rPr>
      </w:pPr>
      <w:r>
        <w:rPr>
          <w:rFonts w:hint="eastAsia" w:cs="宋体" w:asciiTheme="minorEastAsia" w:hAnsiTheme="minorEastAsia" w:eastAsiaTheme="minorEastAsia"/>
          <w:b/>
          <w:bCs/>
          <w:sz w:val="24"/>
        </w:rPr>
        <w:t>项目编号：</w:t>
      </w:r>
      <w:r>
        <w:rPr>
          <w:rFonts w:hint="eastAsia" w:cs="宋体" w:asciiTheme="minorEastAsia" w:hAnsiTheme="minorEastAsia" w:eastAsiaTheme="minorEastAsia"/>
          <w:b/>
          <w:sz w:val="24"/>
        </w:rPr>
        <w:t>YFC2022-GP-009H</w:t>
      </w:r>
      <w:bookmarkStart w:id="233" w:name="_Toc13996_WPSOffice_Level1"/>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sz w:val="24"/>
        </w:rPr>
        <w:t>正本/副本</w:t>
      </w:r>
      <w:bookmarkEnd w:id="233"/>
    </w:p>
    <w:p>
      <w:pPr>
        <w:spacing w:line="360" w:lineRule="auto"/>
        <w:rPr>
          <w:rFonts w:cs="宋体" w:asciiTheme="minorEastAsia" w:hAnsiTheme="minorEastAsia" w:eastAsiaTheme="minorEastAsia"/>
          <w:b/>
          <w:sz w:val="28"/>
          <w:szCs w:val="28"/>
        </w:rPr>
      </w:pPr>
    </w:p>
    <w:p>
      <w:pPr>
        <w:tabs>
          <w:tab w:val="left" w:pos="7665"/>
        </w:tabs>
        <w:spacing w:line="360" w:lineRule="auto"/>
        <w:ind w:firstLine="562" w:firstLineChars="200"/>
        <w:rPr>
          <w:rFonts w:cs="宋体" w:asciiTheme="minorEastAsia" w:hAnsiTheme="minorEastAsia" w:eastAsiaTheme="minorEastAsia"/>
          <w:b/>
          <w:bCs/>
          <w:sz w:val="28"/>
          <w:szCs w:val="28"/>
        </w:rPr>
      </w:pPr>
    </w:p>
    <w:p>
      <w:pPr>
        <w:pStyle w:val="2"/>
      </w:pPr>
    </w:p>
    <w:p>
      <w:pPr>
        <w:tabs>
          <w:tab w:val="left" w:pos="7665"/>
        </w:tabs>
        <w:spacing w:line="360" w:lineRule="auto"/>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陕西省无线电管理委员会</w:t>
      </w:r>
    </w:p>
    <w:p>
      <w:pPr>
        <w:tabs>
          <w:tab w:val="left" w:pos="7665"/>
        </w:tabs>
        <w:spacing w:line="360" w:lineRule="auto"/>
        <w:jc w:val="center"/>
        <w:rPr>
          <w:rFonts w:cs="宋体" w:asciiTheme="minorEastAsia" w:hAnsiTheme="minorEastAsia" w:eastAsiaTheme="minorEastAsia"/>
          <w:b/>
          <w:bCs/>
          <w:sz w:val="44"/>
          <w:szCs w:val="44"/>
        </w:rPr>
      </w:pPr>
      <w:r>
        <w:rPr>
          <w:rFonts w:hint="eastAsia" w:cs="宋体" w:asciiTheme="minorEastAsia" w:hAnsiTheme="minorEastAsia" w:eastAsiaTheme="minorEastAsia"/>
          <w:b/>
          <w:bCs/>
          <w:sz w:val="44"/>
          <w:szCs w:val="44"/>
        </w:rPr>
        <w:t>多功能移动式宽带监测测向系统采购项目</w:t>
      </w:r>
    </w:p>
    <w:p>
      <w:pPr>
        <w:tabs>
          <w:tab w:val="left" w:pos="7665"/>
        </w:tabs>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bCs/>
          <w:sz w:val="44"/>
          <w:szCs w:val="44"/>
        </w:rPr>
        <w:t>投标文件</w:t>
      </w:r>
    </w:p>
    <w:p>
      <w:pPr>
        <w:tabs>
          <w:tab w:val="left" w:pos="7665"/>
        </w:tabs>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（商务、技术部分）</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2"/>
        <w:rPr>
          <w:rFonts w:cs="宋体" w:asciiTheme="minorEastAsia" w:hAnsiTheme="minorEastAsia" w:eastAsiaTheme="minorEastAsia"/>
          <w:sz w:val="24"/>
        </w:rPr>
      </w:pPr>
    </w:p>
    <w:p/>
    <w:p>
      <w:pPr>
        <w:tabs>
          <w:tab w:val="left" w:pos="7665"/>
        </w:tabs>
        <w:spacing w:line="360" w:lineRule="auto"/>
        <w:ind w:firstLine="1205" w:firstLineChars="500"/>
        <w:rPr>
          <w:rFonts w:cs="宋体" w:asciiTheme="minorEastAsia" w:hAnsiTheme="minorEastAsia" w:eastAsiaTheme="minorEastAsia"/>
          <w:b/>
          <w:bCs/>
          <w:sz w:val="24"/>
        </w:rPr>
      </w:pPr>
      <w:bookmarkStart w:id="234" w:name="_Toc29073_WPSOffice_Level1"/>
      <w:r>
        <w:rPr>
          <w:rFonts w:hint="eastAsia" w:cs="宋体" w:asciiTheme="minorEastAsia" w:hAnsiTheme="minorEastAsia" w:eastAsiaTheme="minorEastAsia"/>
          <w:b/>
          <w:bCs/>
          <w:sz w:val="24"/>
        </w:rPr>
        <w:t>投标供应商：                        （盖单位章）</w:t>
      </w:r>
      <w:bookmarkEnd w:id="234"/>
    </w:p>
    <w:p>
      <w:pPr>
        <w:tabs>
          <w:tab w:val="left" w:pos="7665"/>
        </w:tabs>
        <w:spacing w:line="360" w:lineRule="auto"/>
        <w:ind w:firstLine="1205" w:firstLineChars="500"/>
        <w:rPr>
          <w:rFonts w:cs="宋体" w:asciiTheme="minorEastAsia" w:hAnsiTheme="minorEastAsia" w:eastAsiaTheme="minorEastAsia"/>
          <w:b/>
          <w:bCs/>
          <w:sz w:val="24"/>
        </w:rPr>
      </w:pPr>
      <w:bookmarkStart w:id="235" w:name="_Toc11565_WPSOffice_Level1"/>
      <w:r>
        <w:rPr>
          <w:rFonts w:hint="eastAsia" w:cs="宋体" w:asciiTheme="minorEastAsia" w:hAnsiTheme="minorEastAsia" w:eastAsiaTheme="minorEastAsia"/>
          <w:b/>
          <w:bCs/>
          <w:sz w:val="24"/>
        </w:rPr>
        <w:t>法定代表人或其委托代理人：          （签字）</w:t>
      </w:r>
      <w:bookmarkEnd w:id="235"/>
    </w:p>
    <w:p>
      <w:pPr>
        <w:tabs>
          <w:tab w:val="left" w:pos="7665"/>
        </w:tabs>
        <w:spacing w:line="360" w:lineRule="auto"/>
        <w:ind w:firstLine="1205" w:firstLineChars="500"/>
        <w:rPr>
          <w:rFonts w:cs="宋体" w:asciiTheme="minorEastAsia" w:hAnsiTheme="minorEastAsia" w:eastAsiaTheme="minorEastAsia"/>
          <w:b/>
          <w:bCs/>
          <w:sz w:val="24"/>
        </w:rPr>
      </w:pPr>
      <w:bookmarkStart w:id="236" w:name="_Toc31205_WPSOffice_Level1"/>
      <w:r>
        <w:rPr>
          <w:rFonts w:hint="eastAsia" w:cs="宋体" w:asciiTheme="minorEastAsia" w:hAnsiTheme="minorEastAsia" w:eastAsiaTheme="minorEastAsia"/>
          <w:b/>
          <w:bCs/>
          <w:sz w:val="24"/>
        </w:rPr>
        <w:t>时  间：   年   月   日</w:t>
      </w:r>
      <w:bookmarkEnd w:id="236"/>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60" w:firstLineChars="200"/>
        <w:jc w:val="center"/>
        <w:rPr>
          <w:rFonts w:cs="宋体" w:asciiTheme="minorEastAsia" w:hAnsiTheme="minorEastAsia" w:eastAsiaTheme="minorEastAsia"/>
          <w:sz w:val="28"/>
          <w:szCs w:val="28"/>
        </w:rPr>
      </w:pPr>
      <w:bookmarkStart w:id="237" w:name="_Toc11770_WPSOffice_Level1"/>
      <w:r>
        <w:rPr>
          <w:rFonts w:hint="eastAsia" w:cs="宋体" w:asciiTheme="minorEastAsia" w:hAnsiTheme="minorEastAsia" w:eastAsiaTheme="minorEastAsia"/>
          <w:sz w:val="28"/>
          <w:szCs w:val="28"/>
        </w:rPr>
        <w:t>目录</w:t>
      </w:r>
    </w:p>
    <w:bookmarkEnd w:id="237"/>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（2）开标一览表</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（3）分项报价明细表</w:t>
      </w:r>
    </w:p>
    <w:p>
      <w:pPr>
        <w:tabs>
          <w:tab w:val="left" w:pos="7665"/>
        </w:tabs>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（4）</w:t>
      </w:r>
      <w:r>
        <w:rPr>
          <w:rFonts w:hint="eastAsia" w:asciiTheme="minorEastAsia" w:hAnsiTheme="minorEastAsia" w:eastAsiaTheme="minorEastAsia"/>
          <w:sz w:val="24"/>
        </w:rPr>
        <w:t>技术偏离表</w:t>
      </w:r>
    </w:p>
    <w:p>
      <w:pPr>
        <w:pStyle w:val="8"/>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（5）投标方案</w:t>
      </w:r>
    </w:p>
    <w:p>
      <w:pPr>
        <w:pStyle w:val="8"/>
        <w:spacing w:line="360" w:lineRule="auto"/>
        <w:ind w:firstLine="480"/>
        <w:rPr>
          <w:rFonts w:cs="宋体" w:asciiTheme="minorEastAsia" w:hAnsiTheme="minorEastAsia" w:eastAsiaTheme="minorEastAsia"/>
          <w:bCs/>
          <w:sz w:val="24"/>
        </w:rPr>
      </w:pPr>
      <w:r>
        <w:rPr>
          <w:rFonts w:hint="eastAsia" w:asciiTheme="minorEastAsia" w:hAnsiTheme="minorEastAsia" w:eastAsiaTheme="minorEastAsia"/>
          <w:sz w:val="24"/>
          <w:szCs w:val="24"/>
        </w:rPr>
        <w:t>（6）</w:t>
      </w:r>
      <w:r>
        <w:rPr>
          <w:rFonts w:hint="eastAsia" w:cs="宋体" w:asciiTheme="minorEastAsia" w:hAnsiTheme="minorEastAsia" w:eastAsiaTheme="minorEastAsia"/>
          <w:bCs/>
          <w:sz w:val="24"/>
        </w:rPr>
        <w:t>相关项目业绩一览表</w:t>
      </w:r>
    </w:p>
    <w:p>
      <w:pPr>
        <w:tabs>
          <w:tab w:val="left" w:pos="7665"/>
        </w:tabs>
        <w:spacing w:line="360" w:lineRule="auto"/>
        <w:ind w:firstLine="480" w:firstLineChars="200"/>
        <w:rPr>
          <w:rFonts w:cs="宋体" w:asciiTheme="minorEastAsia" w:hAnsiTheme="minorEastAsia" w:eastAsiaTheme="minorEastAsia"/>
          <w:bCs/>
          <w:sz w:val="24"/>
          <w:szCs w:val="20"/>
        </w:rPr>
      </w:pPr>
      <w:r>
        <w:rPr>
          <w:rFonts w:hint="eastAsia" w:cs="宋体" w:asciiTheme="minorEastAsia" w:hAnsiTheme="minorEastAsia" w:eastAsiaTheme="minorEastAsia"/>
          <w:bCs/>
          <w:sz w:val="24"/>
        </w:rPr>
        <w:t>（7</w:t>
      </w:r>
      <w:r>
        <w:rPr>
          <w:rFonts w:hint="eastAsia" w:cs="宋体" w:asciiTheme="minorEastAsia" w:hAnsiTheme="minorEastAsia" w:eastAsiaTheme="minorEastAsia"/>
          <w:bCs/>
          <w:sz w:val="24"/>
          <w:szCs w:val="20"/>
        </w:rPr>
        <w:t>）供应商认为需要补充的其它资料</w:t>
      </w:r>
    </w:p>
    <w:p>
      <w:pPr>
        <w:pStyle w:val="20"/>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（8）投标供应商满足政府采购相关优惠政策的声明或证明材料</w:t>
      </w:r>
    </w:p>
    <w:p>
      <w:pPr>
        <w:pStyle w:val="8"/>
        <w:spacing w:line="360" w:lineRule="auto"/>
        <w:ind w:firstLine="480"/>
        <w:rPr>
          <w:rFonts w:cs="宋体" w:asciiTheme="minorEastAsia" w:hAnsiTheme="minorEastAsia" w:eastAsiaTheme="minorEastAsia"/>
          <w:bCs/>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38" w:name="_Toc6960_WPSOffice_Level1"/>
      <w:r>
        <w:rPr>
          <w:rFonts w:hint="eastAsia" w:cs="宋体" w:asciiTheme="minorEastAsia" w:hAnsiTheme="minorEastAsia" w:eastAsiaTheme="minorEastAsia"/>
          <w:b/>
          <w:bCs/>
          <w:sz w:val="24"/>
        </w:rPr>
        <w:t>1.投 标 函</w:t>
      </w:r>
      <w:bookmarkEnd w:id="238"/>
    </w:p>
    <w:p>
      <w:pPr>
        <w:tabs>
          <w:tab w:val="left" w:pos="7665"/>
        </w:tabs>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陕西源丰成工程项目管理有限公司：</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的招标文件（政府采购项目编号：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）的全部内容，知悉参加投标的风险，我方承诺接受招标文件的全部条款且无任何异议，决定参加贵单位组织的本项目招标。</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一、我方提交投标文件正本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本）和副本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套（资格审查、商务技术文件各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本），电子文件2份。</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二、我方投标总价为人民币（大写）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 （</w:t>
      </w:r>
      <w:r>
        <w:rPr>
          <w:rFonts w:cs="Arial"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），交货安装期限为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三、我方承诺除技术偏离表列出的偏离外，我方响应招标文件的全部要求。</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四、我方愿意向贵方提供任何与本项采购有关的样品、数据、情况和技术资料。若贵方需要，我方愿意提供我方作出的一切承诺的证明材料。</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五、我方承诺在招标文件规定的投标有效期内不撤销投标文件。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六、我方承诺遵守《中华人民共和国政府采购法》及其实施条例的有关规定，保证在获得中标资格后：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（1）在收到中标通知书后，在中标通知书规定的期限内与采购人签订合同；</w:t>
      </w:r>
    </w:p>
    <w:p>
      <w:pPr>
        <w:tabs>
          <w:tab w:val="left" w:pos="7665"/>
        </w:tabs>
        <w:spacing w:line="360" w:lineRule="auto"/>
        <w:ind w:firstLine="480" w:firstLineChars="200"/>
        <w:rPr>
          <w:rFonts w:cs="宋体" w:asciiTheme="minorEastAsia" w:hAnsiTheme="minorEastAsia" w:eastAsiaTheme="minorEastAsia"/>
          <w:sz w:val="24"/>
          <w:u w:val="single"/>
        </w:rPr>
      </w:pPr>
      <w:r>
        <w:rPr>
          <w:rFonts w:hint="eastAsia" w:cs="宋体" w:asciiTheme="minorEastAsia" w:hAnsiTheme="minorEastAsia" w:eastAsiaTheme="minorEastAsia"/>
          <w:sz w:val="24"/>
        </w:rPr>
        <w:t>（2）在签订合同时，不向采购人提出附加条件；</w:t>
      </w:r>
      <w:r>
        <w:rPr>
          <w:rFonts w:hint="eastAsia" w:cs="宋体" w:asciiTheme="minorEastAsia" w:hAnsiTheme="minorEastAsia" w:eastAsiaTheme="minorEastAsia"/>
          <w:sz w:val="24"/>
          <w:u w:val="single"/>
        </w:rPr>
        <w:t>并完全响应采购人规定的付款方式；</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（3）按照招标文件规定和标准向贵方交纳招标代理服务费；</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（4）在合同约定的交货安装期限内完成合同规定的全部义务。</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七、我方完全理解并同意招标文件中有关不退还投标保证金条款所规定的情形。</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八、我方完全理解最低报价不是中标的唯一条件，并尊重评标委员会的评审结论和中标结果。</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我方在此声明，所递交的投标文件及有关资料内容完整、真实和准确，且不存在第二章“投标供应商须知”第1.3.2条款规定的任何一种情形。否则，愿承担《中华人民共和国政府采购法》第七十七条规定的法律责任。</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十、我方投标有效期为</w:t>
      </w:r>
      <w:r>
        <w:rPr>
          <w:rFonts w:hint="eastAsia" w:cs="宋体" w:asciiTheme="minorEastAsia" w:hAnsiTheme="minorEastAsia" w:eastAsiaTheme="minorEastAsia"/>
          <w:sz w:val="24"/>
          <w:u w:val="single"/>
        </w:rPr>
        <w:t>投标截止起90日历天</w:t>
      </w:r>
      <w:r>
        <w:rPr>
          <w:rFonts w:hint="eastAsia" w:cs="宋体" w:asciiTheme="minorEastAsia" w:hAnsiTheme="minorEastAsia" w:eastAsiaTheme="minorEastAsia"/>
          <w:sz w:val="24"/>
        </w:rPr>
        <w:t>。</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十一、有关本项目的所有函电，请按下列地址联系：</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                        （签字）</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通讯地址：</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电子邮件：</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账    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sz w:val="24"/>
        </w:rPr>
      </w:pPr>
      <w:bookmarkStart w:id="239" w:name="_Toc8415_WPSOffice_Level1"/>
      <w:r>
        <w:rPr>
          <w:rFonts w:hint="eastAsia" w:cs="宋体" w:asciiTheme="minorEastAsia" w:hAnsiTheme="minorEastAsia" w:eastAsiaTheme="minorEastAsia"/>
          <w:b/>
          <w:bCs/>
          <w:sz w:val="24"/>
        </w:rPr>
        <w:t>2.开标一览表</w:t>
      </w:r>
      <w:bookmarkEnd w:id="239"/>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bl>
      <w:tblPr>
        <w:tblStyle w:val="29"/>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99"/>
        <w:gridCol w:w="62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采购项目名称</w:t>
            </w:r>
          </w:p>
        </w:tc>
        <w:tc>
          <w:tcPr>
            <w:tcW w:w="6232" w:type="dxa"/>
            <w:vAlign w:val="center"/>
          </w:tcPr>
          <w:p>
            <w:pPr>
              <w:tabs>
                <w:tab w:val="left" w:pos="7665"/>
              </w:tabs>
              <w:spacing w:line="360" w:lineRule="auto"/>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rPr>
        <w:tc>
          <w:tcPr>
            <w:tcW w:w="2699"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采购项目编号</w:t>
            </w:r>
          </w:p>
        </w:tc>
        <w:tc>
          <w:tcPr>
            <w:tcW w:w="6232" w:type="dxa"/>
            <w:tcBorders>
              <w:bottom w:val="single" w:color="auto" w:sz="4" w:space="0"/>
            </w:tcBorders>
            <w:vAlign w:val="center"/>
          </w:tcPr>
          <w:p>
            <w:pPr>
              <w:tabs>
                <w:tab w:val="left" w:pos="7665"/>
              </w:tabs>
              <w:spacing w:line="360" w:lineRule="auto"/>
              <w:ind w:firstLine="480" w:firstLineChars="200"/>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0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投标供应商名称</w:t>
            </w:r>
          </w:p>
        </w:tc>
        <w:tc>
          <w:tcPr>
            <w:tcW w:w="6232"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87"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（人民币/元）</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 xml:space="preserve">      </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总价</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大写：            元</w:t>
            </w:r>
          </w:p>
          <w:p>
            <w:pPr>
              <w:tabs>
                <w:tab w:val="left" w:pos="7665"/>
              </w:tabs>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小写：            元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交货安装期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776" w:hRule="atLeast"/>
        </w:trPr>
        <w:tc>
          <w:tcPr>
            <w:tcW w:w="2699" w:type="dxa"/>
            <w:vAlign w:val="center"/>
          </w:tcPr>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质保期</w:t>
            </w:r>
          </w:p>
        </w:tc>
        <w:tc>
          <w:tcPr>
            <w:tcW w:w="6232" w:type="dxa"/>
            <w:vAlign w:val="center"/>
          </w:tcPr>
          <w:p>
            <w:pPr>
              <w:tabs>
                <w:tab w:val="left" w:pos="7665"/>
              </w:tabs>
              <w:spacing w:line="360" w:lineRule="auto"/>
              <w:ind w:firstLine="480" w:firstLineChars="200"/>
              <w:jc w:val="left"/>
              <w:rPr>
                <w:rFonts w:cs="宋体" w:asciiTheme="minorEastAsia" w:hAnsiTheme="minorEastAsia" w:eastAsiaTheme="minorEastAsia"/>
                <w:sz w:val="24"/>
              </w:rPr>
            </w:pPr>
          </w:p>
        </w:tc>
      </w:tr>
    </w:tbl>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5040" w:firstLineChars="2100"/>
        <w:rPr>
          <w:rFonts w:cs="宋体" w:asciiTheme="minorEastAsia" w:hAnsiTheme="minorEastAsia" w:eastAsiaTheme="minorEastAsia"/>
          <w:sz w:val="24"/>
        </w:rPr>
      </w:pPr>
    </w:p>
    <w:p>
      <w:pPr>
        <w:tabs>
          <w:tab w:val="left" w:pos="7665"/>
        </w:tabs>
        <w:spacing w:line="360" w:lineRule="auto"/>
        <w:ind w:firstLine="4560" w:firstLineChars="1900"/>
        <w:rPr>
          <w:rFonts w:cs="宋体" w:asciiTheme="minorEastAsia" w:hAnsiTheme="minorEastAsia" w:eastAsiaTheme="minorEastAsia"/>
          <w:sz w:val="24"/>
        </w:rPr>
      </w:pPr>
      <w:r>
        <w:rPr>
          <w:rFonts w:hint="eastAsia" w:cs="宋体" w:asciiTheme="minorEastAsia" w:hAnsiTheme="minorEastAsia" w:eastAsiaTheme="minorEastAsia"/>
          <w:sz w:val="24"/>
        </w:rPr>
        <w:t>投标供应商：          （盖单位章）</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法定代表人或委托代理人：（签字）</w:t>
      </w:r>
    </w:p>
    <w:p>
      <w:pPr>
        <w:tabs>
          <w:tab w:val="left" w:pos="7665"/>
        </w:tabs>
        <w:spacing w:line="360" w:lineRule="auto"/>
        <w:ind w:firstLine="5040" w:firstLineChars="2100"/>
        <w:rPr>
          <w:rFonts w:cs="宋体" w:asciiTheme="minorEastAsia" w:hAnsiTheme="minorEastAsia" w:eastAsiaTheme="minorEastAsia"/>
          <w:sz w:val="24"/>
        </w:rPr>
      </w:pPr>
      <w:r>
        <w:rPr>
          <w:rFonts w:hint="eastAsia" w:cs="宋体" w:asciiTheme="minorEastAsia" w:hAnsiTheme="minorEastAsia" w:eastAsiaTheme="minorEastAsia"/>
          <w:sz w:val="24"/>
        </w:rPr>
        <w:t>日    期：20  年   月   日</w:t>
      </w: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titlePg/>
        </w:sectPr>
      </w:pPr>
    </w:p>
    <w:p>
      <w:pPr>
        <w:tabs>
          <w:tab w:val="left" w:pos="7665"/>
        </w:tabs>
        <w:spacing w:line="360" w:lineRule="auto"/>
        <w:rPr>
          <w:rFonts w:cs="宋体" w:asciiTheme="minorEastAsia" w:hAnsiTheme="minorEastAsia" w:eastAsiaTheme="minorEastAsia"/>
          <w:b/>
          <w:bCs/>
          <w:sz w:val="24"/>
        </w:rPr>
      </w:pPr>
      <w:bookmarkStart w:id="240" w:name="_Toc6017_WPSOffice_Level1"/>
      <w:bookmarkStart w:id="241" w:name="_Toc217446086"/>
      <w:r>
        <w:rPr>
          <w:rFonts w:hint="eastAsia" w:cs="宋体" w:asciiTheme="minorEastAsia" w:hAnsiTheme="minorEastAsia" w:eastAsiaTheme="minorEastAsia"/>
          <w:b/>
          <w:bCs/>
          <w:sz w:val="24"/>
        </w:rPr>
        <w:t>3.分项明细报价表</w:t>
      </w:r>
      <w:bookmarkEnd w:id="240"/>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（格式自拟）</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1.投标供应商必须按本表的格式详细报出投标总价的各个组成部分的报价，否则作无效投标处理；报价精确到小数点后两位；</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2.本表各分项报价合计应当与“开标一览表”总报价相等；如果按单价计算的结果与报价不一致时，以单价为准修正总价；</w:t>
      </w: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3.本表为多页的，每页均需盖投标供应商印章。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 xml:space="preserve"> 投标供应商：            （盖单位章）</w:t>
      </w:r>
    </w:p>
    <w:p>
      <w:pPr>
        <w:spacing w:line="360" w:lineRule="auto"/>
        <w:ind w:firstLine="480" w:firstLineChars="200"/>
        <w:jc w:val="right"/>
        <w:rPr>
          <w:rFonts w:asciiTheme="minorEastAsia" w:hAnsiTheme="minorEastAsia" w:eastAsiaTheme="minorEastAsia"/>
          <w:sz w:val="24"/>
        </w:rPr>
      </w:pPr>
      <w:r>
        <w:rPr>
          <w:rFonts w:hint="eastAsia" w:asciiTheme="minorEastAsia" w:hAnsiTheme="minorEastAsia" w:eastAsiaTheme="minorEastAsia"/>
          <w:sz w:val="24"/>
        </w:rPr>
        <w:t>法定代表人或委托代理人：  （签字）</w:t>
      </w:r>
    </w:p>
    <w:p>
      <w:pPr>
        <w:tabs>
          <w:tab w:val="left" w:pos="7665"/>
        </w:tabs>
        <w:spacing w:line="360" w:lineRule="auto"/>
        <w:ind w:firstLine="480" w:firstLineChars="200"/>
        <w:jc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                                       日   期：20  年   月   日</w:t>
      </w:r>
      <w:bookmarkEnd w:id="241"/>
      <w:bookmarkStart w:id="242" w:name="_Toc217446087"/>
    </w:p>
    <w:p>
      <w:pPr>
        <w:tabs>
          <w:tab w:val="left" w:pos="7665"/>
        </w:tabs>
        <w:spacing w:line="360" w:lineRule="auto"/>
        <w:ind w:firstLine="480" w:firstLineChars="200"/>
        <w:rPr>
          <w:rFonts w:cs="宋体" w:asciiTheme="minorEastAsia" w:hAnsiTheme="minorEastAsia" w:eastAsiaTheme="minorEastAsia"/>
          <w:sz w:val="24"/>
        </w:rPr>
        <w:sectPr>
          <w:pgSz w:w="11907" w:h="16840"/>
          <w:pgMar w:top="1587" w:right="1474" w:bottom="1587" w:left="1474" w:header="851" w:footer="992" w:gutter="0"/>
          <w:cols w:space="720" w:num="1"/>
          <w:docGrid w:linePitch="312" w:charSpace="0"/>
        </w:sectPr>
      </w:pPr>
    </w:p>
    <w:bookmarkEnd w:id="242"/>
    <w:p>
      <w:pPr>
        <w:tabs>
          <w:tab w:val="left" w:pos="7665"/>
        </w:tabs>
        <w:spacing w:line="360" w:lineRule="auto"/>
        <w:rPr>
          <w:rFonts w:cs="宋体" w:asciiTheme="minorEastAsia" w:hAnsiTheme="minorEastAsia" w:eastAsiaTheme="minorEastAsia"/>
          <w:b/>
          <w:bCs/>
          <w:sz w:val="24"/>
        </w:rPr>
      </w:pPr>
      <w:bookmarkStart w:id="243" w:name="_Toc23798"/>
      <w:bookmarkStart w:id="244" w:name="_Toc19818"/>
      <w:bookmarkStart w:id="245" w:name="_Toc22633"/>
      <w:r>
        <w:rPr>
          <w:rFonts w:hint="eastAsia" w:cs="宋体" w:asciiTheme="minorEastAsia" w:hAnsiTheme="minorEastAsia" w:eastAsiaTheme="minorEastAsia"/>
          <w:b/>
          <w:bCs/>
          <w:sz w:val="24"/>
        </w:rPr>
        <w:t>4.技术偏离表</w:t>
      </w:r>
      <w:bookmarkEnd w:id="243"/>
      <w:bookmarkEnd w:id="244"/>
      <w:bookmarkEnd w:id="245"/>
    </w:p>
    <w:p>
      <w:pPr>
        <w:pStyle w:val="20"/>
        <w:rPr>
          <w:sz w:val="24"/>
          <w:szCs w:val="24"/>
        </w:rPr>
      </w:pPr>
      <w:r>
        <w:rPr>
          <w:sz w:val="24"/>
          <w:szCs w:val="24"/>
        </w:rPr>
        <w:t>项目名称：                              项目编号：</w:t>
      </w:r>
    </w:p>
    <w:p>
      <w:pPr>
        <w:pStyle w:val="20"/>
      </w:pPr>
    </w:p>
    <w:tbl>
      <w:tblPr>
        <w:tblStyle w:val="29"/>
        <w:tblW w:w="9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20"/>
        <w:gridCol w:w="3045"/>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r>
              <w:rPr>
                <w:rFonts w:hint="eastAsia" w:ascii="宋体" w:hAnsi="宋体"/>
                <w:b/>
                <w:szCs w:val="21"/>
              </w:rPr>
              <w:t>序号</w:t>
            </w:r>
          </w:p>
        </w:tc>
        <w:tc>
          <w:tcPr>
            <w:tcW w:w="2720" w:type="dxa"/>
            <w:vAlign w:val="center"/>
          </w:tcPr>
          <w:p>
            <w:pPr>
              <w:jc w:val="center"/>
              <w:rPr>
                <w:rFonts w:ascii="宋体" w:hAnsi="宋体"/>
                <w:b/>
                <w:szCs w:val="21"/>
              </w:rPr>
            </w:pPr>
            <w:r>
              <w:rPr>
                <w:rFonts w:hint="eastAsia" w:ascii="宋体" w:hAnsi="宋体"/>
                <w:b/>
                <w:szCs w:val="21"/>
              </w:rPr>
              <w:t>招标要求</w:t>
            </w:r>
          </w:p>
        </w:tc>
        <w:tc>
          <w:tcPr>
            <w:tcW w:w="3045" w:type="dxa"/>
            <w:vAlign w:val="center"/>
          </w:tcPr>
          <w:p>
            <w:pPr>
              <w:jc w:val="center"/>
              <w:rPr>
                <w:rFonts w:ascii="宋体" w:hAnsi="宋体"/>
                <w:b/>
                <w:szCs w:val="21"/>
              </w:rPr>
            </w:pPr>
            <w:r>
              <w:rPr>
                <w:rFonts w:hint="eastAsia" w:ascii="宋体" w:hAnsi="宋体"/>
                <w:b/>
                <w:szCs w:val="21"/>
              </w:rPr>
              <w:t>投标响应</w:t>
            </w:r>
          </w:p>
        </w:tc>
        <w:tc>
          <w:tcPr>
            <w:tcW w:w="2585" w:type="dxa"/>
            <w:vAlign w:val="center"/>
          </w:tcPr>
          <w:p>
            <w:pPr>
              <w:jc w:val="center"/>
              <w:rPr>
                <w:rFonts w:ascii="宋体" w:hAnsi="宋体"/>
                <w:b/>
                <w:szCs w:val="21"/>
              </w:rPr>
            </w:pPr>
            <w:r>
              <w:rPr>
                <w:rFonts w:hint="eastAsia" w:ascii="宋体" w:hAnsi="宋体"/>
                <w:b/>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56" w:type="dxa"/>
            <w:vAlign w:val="center"/>
          </w:tcPr>
          <w:p>
            <w:pPr>
              <w:jc w:val="center"/>
              <w:rPr>
                <w:rFonts w:ascii="宋体" w:hAnsi="宋体"/>
                <w:b/>
                <w:szCs w:val="21"/>
              </w:rPr>
            </w:pPr>
          </w:p>
        </w:tc>
        <w:tc>
          <w:tcPr>
            <w:tcW w:w="2720" w:type="dxa"/>
            <w:vAlign w:val="center"/>
          </w:tcPr>
          <w:p>
            <w:pPr>
              <w:jc w:val="center"/>
              <w:rPr>
                <w:rFonts w:ascii="宋体" w:hAnsi="宋体"/>
                <w:b/>
                <w:szCs w:val="21"/>
              </w:rPr>
            </w:pPr>
          </w:p>
        </w:tc>
        <w:tc>
          <w:tcPr>
            <w:tcW w:w="3045" w:type="dxa"/>
            <w:vAlign w:val="center"/>
          </w:tcPr>
          <w:p>
            <w:pPr>
              <w:jc w:val="center"/>
              <w:rPr>
                <w:rFonts w:ascii="宋体" w:hAnsi="宋体"/>
                <w:b/>
                <w:szCs w:val="21"/>
              </w:rPr>
            </w:pPr>
          </w:p>
        </w:tc>
        <w:tc>
          <w:tcPr>
            <w:tcW w:w="2585" w:type="dxa"/>
            <w:vAlign w:val="center"/>
          </w:tcPr>
          <w:p>
            <w:pPr>
              <w:jc w:val="center"/>
              <w:rPr>
                <w:rFonts w:ascii="宋体" w:hAnsi="宋体"/>
                <w:b/>
                <w:szCs w:val="21"/>
              </w:rPr>
            </w:pPr>
          </w:p>
        </w:tc>
      </w:tr>
    </w:tbl>
    <w:p>
      <w:pPr>
        <w:tabs>
          <w:tab w:val="left" w:pos="7665"/>
        </w:tabs>
        <w:spacing w:line="360" w:lineRule="auto"/>
        <w:jc w:val="left"/>
        <w:rPr>
          <w:rFonts w:ascii="宋体" w:hAnsi="宋体" w:cs="宋体"/>
          <w:sz w:val="24"/>
        </w:rPr>
      </w:pPr>
      <w:r>
        <w:rPr>
          <w:rFonts w:hint="eastAsia" w:ascii="宋体" w:hAnsi="宋体" w:cs="宋体"/>
          <w:sz w:val="24"/>
        </w:rPr>
        <w:t>注：1.请投标供应商参照采购内容逐条响应，优于采购需求（正偏离），需要提供佐证资料，否则将判定为虚假信息；</w:t>
      </w:r>
      <w:r>
        <w:rPr>
          <w:rFonts w:ascii="宋体" w:hAnsi="宋体" w:cs="宋体"/>
          <w:sz w:val="24"/>
        </w:rPr>
        <w:t xml:space="preserve"> </w:t>
      </w:r>
    </w:p>
    <w:p>
      <w:pPr>
        <w:pStyle w:val="2"/>
        <w:ind w:firstLine="480" w:firstLineChars="200"/>
      </w:pPr>
      <w:r>
        <w:rPr>
          <w:rFonts w:hint="eastAsia" w:ascii="宋体" w:hAnsi="宋体" w:cs="宋体"/>
          <w:sz w:val="24"/>
        </w:rPr>
        <w:t>2.若投标供应商提供盖章的空白表视为完全响应。</w:t>
      </w:r>
    </w:p>
    <w:p>
      <w:pPr>
        <w:tabs>
          <w:tab w:val="left" w:pos="7665"/>
        </w:tabs>
        <w:spacing w:line="360" w:lineRule="auto"/>
        <w:jc w:val="center"/>
        <w:rPr>
          <w:rFonts w:ascii="宋体" w:hAnsi="宋体" w:cs="宋体"/>
          <w:sz w:val="24"/>
        </w:rPr>
      </w:pPr>
      <w:r>
        <w:rPr>
          <w:rFonts w:hint="eastAsia" w:ascii="宋体" w:hAnsi="宋体" w:cs="宋体"/>
          <w:sz w:val="24"/>
        </w:rPr>
        <w:t xml:space="preserve">                 </w:t>
      </w:r>
    </w:p>
    <w:p>
      <w:pPr>
        <w:tabs>
          <w:tab w:val="left" w:pos="7665"/>
        </w:tabs>
        <w:spacing w:line="360" w:lineRule="auto"/>
        <w:jc w:val="center"/>
        <w:rPr>
          <w:rFonts w:ascii="宋体" w:hAnsi="宋体" w:cs="宋体"/>
          <w:sz w:val="24"/>
        </w:rPr>
      </w:pPr>
      <w:r>
        <w:rPr>
          <w:rFonts w:hint="eastAsia" w:ascii="宋体" w:hAnsi="宋体" w:cs="宋体"/>
          <w:sz w:val="24"/>
        </w:rPr>
        <w:t xml:space="preserve">                 供应商（公章）：</w:t>
      </w:r>
    </w:p>
    <w:p>
      <w:pPr>
        <w:tabs>
          <w:tab w:val="left" w:pos="7665"/>
        </w:tabs>
        <w:spacing w:line="360" w:lineRule="auto"/>
        <w:jc w:val="right"/>
        <w:rPr>
          <w:rFonts w:ascii="宋体" w:hAnsi="宋体" w:cs="宋体"/>
          <w:sz w:val="24"/>
        </w:rPr>
      </w:pPr>
      <w:r>
        <w:rPr>
          <w:rFonts w:hint="eastAsia" w:ascii="宋体" w:hAnsi="宋体" w:cs="宋体"/>
          <w:sz w:val="24"/>
        </w:rPr>
        <w:t>法定代表人或授权代表（签字或盖章）：</w:t>
      </w:r>
    </w:p>
    <w:p>
      <w:pPr>
        <w:tabs>
          <w:tab w:val="left" w:pos="7665"/>
        </w:tabs>
        <w:spacing w:line="360" w:lineRule="auto"/>
        <w:jc w:val="center"/>
        <w:rPr>
          <w:rFonts w:ascii="宋体" w:hAnsi="宋体" w:cs="宋体"/>
          <w:sz w:val="24"/>
        </w:rPr>
      </w:pPr>
      <w:r>
        <w:rPr>
          <w:rFonts w:hint="eastAsia" w:ascii="宋体" w:hAnsi="宋体" w:cs="宋体"/>
          <w:sz w:val="24"/>
        </w:rPr>
        <w:t xml:space="preserve">           日    期：</w:t>
      </w:r>
    </w:p>
    <w:p>
      <w:pPr>
        <w:rPr>
          <w:rFonts w:cs="宋体" w:asciiTheme="minorEastAsia" w:hAnsiTheme="minorEastAsia" w:eastAsiaTheme="minorEastAsia"/>
          <w:b/>
          <w:bCs/>
          <w:sz w:val="24"/>
        </w:rPr>
      </w:pPr>
      <w:r>
        <w:rPr>
          <w:rFonts w:hint="eastAsia" w:cs="宋体" w:asciiTheme="minorEastAsia" w:hAnsiTheme="minorEastAsia" w:eastAsiaTheme="minorEastAsia"/>
          <w:bCs/>
          <w:sz w:val="24"/>
        </w:rPr>
        <w:br w:type="page"/>
      </w:r>
      <w:r>
        <w:rPr>
          <w:rFonts w:hint="eastAsia" w:cs="宋体" w:asciiTheme="minorEastAsia" w:hAnsiTheme="minorEastAsia" w:eastAsiaTheme="minorEastAsia"/>
          <w:b/>
          <w:bCs/>
          <w:sz w:val="24"/>
        </w:rPr>
        <w:t>5.投标方案</w:t>
      </w:r>
    </w:p>
    <w:p>
      <w:pPr>
        <w:rPr>
          <w:rFonts w:cs="宋体" w:asciiTheme="minorEastAsia" w:hAnsiTheme="minorEastAsia" w:eastAsiaTheme="minorEastAsia"/>
          <w:b/>
          <w:bCs/>
          <w:sz w:val="24"/>
        </w:rPr>
      </w:pPr>
    </w:p>
    <w:p>
      <w:pPr>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包括但不限于：技术方案、实施方案、履约能力、售后服务及培训</w:t>
      </w: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p>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（根据本次采购内容及综合评分明细表综合考虑自行编制，格式自拟）</w:t>
      </w: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pStyle w:val="57"/>
        <w:widowControl/>
        <w:tabs>
          <w:tab w:val="left" w:pos="576"/>
        </w:tabs>
        <w:spacing w:before="0" w:after="0" w:line="416" w:lineRule="atLeast"/>
        <w:rPr>
          <w:rFonts w:cs="宋体" w:asciiTheme="minorEastAsia" w:hAnsiTheme="minorEastAsia" w:eastAsiaTheme="minorEastAsia"/>
          <w:bCs/>
          <w:sz w:val="24"/>
        </w:rPr>
      </w:pPr>
      <w:r>
        <w:rPr>
          <w:rFonts w:hint="eastAsia" w:cs="宋体" w:asciiTheme="minorEastAsia" w:hAnsiTheme="minorEastAsia" w:eastAsiaTheme="minorEastAsia"/>
          <w:bCs/>
          <w:sz w:val="24"/>
        </w:rPr>
        <w:t>6.相关项目业绩一览表</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供应商名称：</w:t>
      </w:r>
      <w:r>
        <w:rPr>
          <w:rStyle w:val="81"/>
          <w:rFonts w:hint="eastAsia" w:asciiTheme="minorEastAsia" w:hAnsiTheme="minorEastAsia" w:eastAsiaTheme="minorEastAsia"/>
          <w:sz w:val="24"/>
          <w:u w:val="single"/>
        </w:rPr>
        <w:t xml:space="preserve">                       </w:t>
      </w:r>
      <w:r>
        <w:rPr>
          <w:rStyle w:val="81"/>
          <w:rFonts w:asciiTheme="minorEastAsia" w:hAnsiTheme="minorEastAsia" w:eastAsiaTheme="minorEastAsia"/>
          <w:sz w:val="24"/>
          <w:u w:val="single"/>
        </w:rPr>
        <w:t xml:space="preserve"> </w:t>
      </w:r>
    </w:p>
    <w:p>
      <w:pPr>
        <w:spacing w:line="360" w:lineRule="auto"/>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采购项目编号：</w:t>
      </w:r>
      <w:r>
        <w:rPr>
          <w:rStyle w:val="81"/>
          <w:rFonts w:asciiTheme="minorEastAsia" w:hAnsiTheme="minorEastAsia" w:eastAsiaTheme="minorEastAsia"/>
          <w:sz w:val="24"/>
          <w:u w:val="single"/>
        </w:rPr>
        <w:t xml:space="preserve">                      </w:t>
      </w:r>
    </w:p>
    <w:tbl>
      <w:tblPr>
        <w:tblStyle w:val="29"/>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48"/>
        <w:gridCol w:w="1980"/>
        <w:gridCol w:w="1800"/>
        <w:gridCol w:w="1441"/>
        <w:gridCol w:w="27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p>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序号</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项目名称</w:t>
            </w: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合同金额（万元）</w:t>
            </w: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完成日期</w:t>
            </w:r>
          </w:p>
        </w:tc>
        <w:tc>
          <w:tcPr>
            <w:tcW w:w="270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cs="仿宋" w:asciiTheme="minorEastAsia" w:hAnsiTheme="minorEastAsia" w:eastAsiaTheme="minorEastAsia"/>
                <w:b/>
                <w:bCs/>
                <w:sz w:val="24"/>
              </w:rPr>
            </w:pPr>
            <w:r>
              <w:rPr>
                <w:rStyle w:val="81"/>
                <w:rFonts w:cs="仿宋" w:asciiTheme="minorEastAsia" w:hAnsiTheme="minorEastAsia" w:eastAsiaTheme="minorEastAsia"/>
                <w:b/>
                <w:bCs/>
                <w:sz w:val="24"/>
              </w:rPr>
              <w:t>业主名称、联系人及电话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1</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3</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4</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5</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w:t>
            </w: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740" w:hRule="atLeast"/>
        </w:trPr>
        <w:tc>
          <w:tcPr>
            <w:tcW w:w="748"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980"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1800" w:type="dxa"/>
            <w:tcBorders>
              <w:top w:val="single" w:color="000000" w:sz="6" w:space="0"/>
              <w:left w:val="single" w:color="000000" w:sz="4" w:space="0"/>
              <w:bottom w:val="single" w:color="000000" w:sz="6" w:space="0"/>
              <w:right w:val="single" w:color="000000" w:sz="4" w:space="0"/>
            </w:tcBorders>
            <w:vAlign w:val="center"/>
          </w:tcPr>
          <w:p>
            <w:pPr>
              <w:jc w:val="center"/>
              <w:textAlignment w:val="baseline"/>
              <w:rPr>
                <w:rStyle w:val="81"/>
                <w:rFonts w:asciiTheme="minorEastAsia" w:hAnsiTheme="minorEastAsia" w:eastAsiaTheme="minorEastAsia"/>
                <w:sz w:val="24"/>
              </w:rPr>
            </w:pPr>
          </w:p>
        </w:tc>
        <w:tc>
          <w:tcPr>
            <w:tcW w:w="1441" w:type="dxa"/>
            <w:tcBorders>
              <w:top w:val="single" w:color="000000" w:sz="6" w:space="0"/>
              <w:left w:val="single" w:color="000000" w:sz="6" w:space="0"/>
              <w:bottom w:val="single" w:color="000000" w:sz="6" w:space="0"/>
              <w:right w:val="single" w:color="000000" w:sz="6" w:space="0"/>
            </w:tcBorders>
            <w:vAlign w:val="center"/>
          </w:tcPr>
          <w:p>
            <w:pPr>
              <w:jc w:val="center"/>
              <w:textAlignment w:val="baseline"/>
              <w:rPr>
                <w:rStyle w:val="81"/>
                <w:rFonts w:asciiTheme="minorEastAsia" w:hAnsiTheme="minorEastAsia" w:eastAsiaTheme="minorEastAsia"/>
                <w:sz w:val="24"/>
              </w:rPr>
            </w:pPr>
          </w:p>
        </w:tc>
        <w:tc>
          <w:tcPr>
            <w:tcW w:w="2700" w:type="dxa"/>
            <w:tcBorders>
              <w:top w:val="single" w:color="000000" w:sz="6" w:space="0"/>
              <w:left w:val="single" w:color="000000" w:sz="6" w:space="0"/>
              <w:bottom w:val="single" w:color="000000" w:sz="6" w:space="0"/>
              <w:right w:val="single" w:color="000000" w:sz="6" w:space="0"/>
            </w:tcBorders>
          </w:tcPr>
          <w:p>
            <w:pPr>
              <w:jc w:val="center"/>
              <w:textAlignment w:val="baseline"/>
              <w:rPr>
                <w:rStyle w:val="81"/>
                <w:rFonts w:asciiTheme="minorEastAsia" w:hAnsiTheme="minorEastAsia" w:eastAsiaTheme="minorEastAsia"/>
                <w:sz w:val="24"/>
              </w:rPr>
            </w:pPr>
          </w:p>
        </w:tc>
      </w:tr>
    </w:tbl>
    <w:p>
      <w:pPr>
        <w:snapToGrid w:val="0"/>
        <w:ind w:left="398" w:hanging="398" w:hangingChars="166"/>
        <w:jc w:val="left"/>
        <w:textAlignment w:val="baseline"/>
        <w:rPr>
          <w:rStyle w:val="81"/>
          <w:rFonts w:asciiTheme="minorEastAsia" w:hAnsiTheme="minorEastAsia" w:eastAsiaTheme="minorEastAsia"/>
          <w:sz w:val="24"/>
        </w:rPr>
      </w:pPr>
    </w:p>
    <w:p>
      <w:pPr>
        <w:snapToGrid w:val="0"/>
        <w:ind w:left="398" w:hanging="398" w:hangingChars="166"/>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注：1、供应商应如实列出以上情况，如有隐瞒，一经查实将导致其投标申请被拒绝。</w:t>
      </w:r>
    </w:p>
    <w:p>
      <w:pPr>
        <w:ind w:left="917" w:leftChars="208" w:hanging="480" w:hangingChars="200"/>
        <w:jc w:val="left"/>
        <w:textAlignment w:val="baseline"/>
        <w:rPr>
          <w:rStyle w:val="81"/>
          <w:rFonts w:asciiTheme="minorEastAsia" w:hAnsiTheme="minorEastAsia" w:eastAsiaTheme="minorEastAsia"/>
          <w:sz w:val="24"/>
        </w:rPr>
      </w:pPr>
      <w:r>
        <w:rPr>
          <w:rStyle w:val="81"/>
          <w:rFonts w:asciiTheme="minorEastAsia" w:hAnsiTheme="minorEastAsia" w:eastAsiaTheme="minorEastAsia"/>
          <w:sz w:val="24"/>
        </w:rPr>
        <w:t>2、供应商应随此表附上相关的业绩证明。</w:t>
      </w:r>
    </w:p>
    <w:p>
      <w:pPr>
        <w:snapToGrid w:val="0"/>
        <w:ind w:firstLine="105" w:firstLineChars="50"/>
        <w:textAlignment w:val="baseline"/>
        <w:rPr>
          <w:rStyle w:val="81"/>
          <w:rFonts w:asciiTheme="minorEastAsia" w:hAnsiTheme="minorEastAsia" w:eastAsiaTheme="minorEastAsia"/>
        </w:rPr>
      </w:pPr>
      <w:r>
        <w:rPr>
          <w:rStyle w:val="81"/>
          <w:rFonts w:asciiTheme="minorEastAsia" w:hAnsiTheme="minorEastAsia" w:eastAsiaTheme="minorEastAsia"/>
        </w:rPr>
        <w:t xml:space="preserve">  </w:t>
      </w:r>
    </w:p>
    <w:p>
      <w:pPr>
        <w:textAlignment w:val="baseline"/>
        <w:rPr>
          <w:rStyle w:val="81"/>
          <w:rFonts w:asciiTheme="minorEastAsia" w:hAnsiTheme="minorEastAsia" w:eastAsiaTheme="minorEastAsia"/>
          <w:b/>
          <w:sz w:val="28"/>
        </w:rPr>
      </w:pPr>
    </w:p>
    <w:p>
      <w:pPr>
        <w:ind w:firstLine="3840" w:firstLineChars="1600"/>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 xml:space="preserve">供应商： </w:t>
      </w:r>
      <w:r>
        <w:rPr>
          <w:rStyle w:val="81"/>
          <w:rFonts w:asciiTheme="minorEastAsia" w:hAnsiTheme="minorEastAsia" w:eastAsiaTheme="minorEastAsia"/>
          <w:sz w:val="24"/>
          <w:u w:val="single"/>
        </w:rPr>
        <w:t xml:space="preserve">          （盖章）             </w:t>
      </w:r>
    </w:p>
    <w:p>
      <w:pPr>
        <w:ind w:right="360"/>
        <w:jc w:val="right"/>
        <w:textAlignment w:val="baseline"/>
        <w:rPr>
          <w:rStyle w:val="81"/>
          <w:rFonts w:asciiTheme="minorEastAsia" w:hAnsiTheme="minorEastAsia" w:eastAsiaTheme="minorEastAsia"/>
          <w:sz w:val="24"/>
        </w:rPr>
      </w:pPr>
    </w:p>
    <w:p>
      <w:pPr>
        <w:ind w:right="240"/>
        <w:jc w:val="right"/>
        <w:textAlignment w:val="baseline"/>
        <w:rPr>
          <w:rStyle w:val="81"/>
          <w:rFonts w:asciiTheme="minorEastAsia" w:hAnsiTheme="minorEastAsia" w:eastAsiaTheme="minorEastAsia"/>
          <w:sz w:val="24"/>
          <w:u w:val="single"/>
        </w:rPr>
      </w:pPr>
      <w:r>
        <w:rPr>
          <w:rStyle w:val="81"/>
          <w:rFonts w:asciiTheme="minorEastAsia" w:hAnsiTheme="minorEastAsia" w:eastAsiaTheme="minorEastAsia"/>
          <w:sz w:val="24"/>
        </w:rPr>
        <w:t>法定代表人或其授权代理人：</w:t>
      </w:r>
      <w:r>
        <w:rPr>
          <w:rStyle w:val="81"/>
          <w:rFonts w:asciiTheme="minorEastAsia" w:hAnsiTheme="minorEastAsia" w:eastAsiaTheme="minorEastAsia"/>
          <w:sz w:val="24"/>
          <w:u w:val="single"/>
        </w:rPr>
        <w:t>（签字或盖章）</w:t>
      </w:r>
    </w:p>
    <w:p>
      <w:pPr>
        <w:jc w:val="right"/>
        <w:textAlignment w:val="baseline"/>
        <w:rPr>
          <w:rStyle w:val="81"/>
          <w:rFonts w:asciiTheme="minorEastAsia" w:hAnsiTheme="minorEastAsia" w:eastAsiaTheme="minorEastAsia"/>
          <w:sz w:val="24"/>
          <w:u w:val="single"/>
        </w:rPr>
      </w:pPr>
    </w:p>
    <w:p>
      <w:pPr>
        <w:ind w:right="360"/>
        <w:jc w:val="center"/>
        <w:textAlignment w:val="baseline"/>
        <w:rPr>
          <w:rStyle w:val="81"/>
          <w:rFonts w:asciiTheme="minorEastAsia" w:hAnsiTheme="minorEastAsia" w:eastAsiaTheme="minorEastAsia"/>
          <w:sz w:val="24"/>
          <w:u w:val="single"/>
        </w:rPr>
      </w:pPr>
      <w:r>
        <w:rPr>
          <w:rStyle w:val="81"/>
          <w:rFonts w:hint="eastAsia" w:asciiTheme="minorEastAsia" w:hAnsiTheme="minorEastAsia" w:eastAsiaTheme="minorEastAsia"/>
          <w:sz w:val="24"/>
        </w:rPr>
        <w:t xml:space="preserve">  </w:t>
      </w:r>
      <w:r>
        <w:rPr>
          <w:rStyle w:val="81"/>
          <w:rFonts w:asciiTheme="minorEastAsia" w:hAnsiTheme="minorEastAsia" w:eastAsiaTheme="minorEastAsia"/>
          <w:sz w:val="24"/>
        </w:rPr>
        <w:t>日   期：</w:t>
      </w:r>
      <w:r>
        <w:rPr>
          <w:rStyle w:val="81"/>
          <w:rFonts w:asciiTheme="minorEastAsia" w:hAnsiTheme="minorEastAsia" w:eastAsiaTheme="minorEastAsia"/>
          <w:sz w:val="24"/>
          <w:u w:val="single"/>
        </w:rPr>
        <w:t xml:space="preserve">                              </w:t>
      </w:r>
    </w:p>
    <w:p>
      <w:pPr>
        <w:pStyle w:val="20"/>
        <w:widowControl/>
        <w:textAlignment w:val="baseline"/>
        <w:rPr>
          <w:rStyle w:val="81"/>
          <w:rFonts w:asciiTheme="minorEastAsia" w:hAnsiTheme="minorEastAsia" w:eastAsiaTheme="minorEastAsia"/>
          <w:sz w:val="24"/>
          <w:u w:val="single"/>
        </w:rPr>
      </w:pPr>
    </w:p>
    <w:p>
      <w:pPr>
        <w:pStyle w:val="20"/>
        <w:widowControl/>
        <w:textAlignment w:val="baseline"/>
        <w:rPr>
          <w:rStyle w:val="81"/>
          <w:rFonts w:asciiTheme="minorEastAsia" w:hAnsiTheme="minorEastAsia" w:eastAsiaTheme="minorEastAsia"/>
          <w:sz w:val="24"/>
          <w:u w:val="single"/>
        </w:rPr>
      </w:pPr>
    </w:p>
    <w:p>
      <w:pPr>
        <w:tabs>
          <w:tab w:val="left" w:pos="7665"/>
        </w:tabs>
        <w:spacing w:line="360" w:lineRule="auto"/>
        <w:rPr>
          <w:rFonts w:cs="宋体" w:asciiTheme="minorEastAsia" w:hAnsiTheme="minorEastAsia" w:eastAsiaTheme="minorEastAsia"/>
          <w:b/>
          <w:sz w:val="24"/>
        </w:rPr>
      </w:pPr>
    </w:p>
    <w:p>
      <w:pPr>
        <w:tabs>
          <w:tab w:val="left" w:pos="7665"/>
        </w:tabs>
        <w:spacing w:line="360" w:lineRule="auto"/>
        <w:rPr>
          <w:rFonts w:cs="宋体" w:asciiTheme="minorEastAsia" w:hAnsiTheme="minorEastAsia" w:eastAsiaTheme="minorEastAsia"/>
          <w:bCs/>
          <w:sz w:val="24"/>
        </w:rPr>
      </w:pPr>
      <w:r>
        <w:rPr>
          <w:rFonts w:hint="eastAsia" w:cs="宋体" w:asciiTheme="minorEastAsia" w:hAnsiTheme="minorEastAsia" w:eastAsiaTheme="minorEastAsia"/>
          <w:b/>
          <w:sz w:val="24"/>
        </w:rPr>
        <w:t>7.供应商认为需要补充的其它资料</w:t>
      </w: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sectPr>
          <w:pgSz w:w="11907" w:h="16840"/>
          <w:pgMar w:top="1474" w:right="1587" w:bottom="1474" w:left="1587" w:header="851" w:footer="992" w:gutter="0"/>
          <w:cols w:space="720" w:num="1"/>
          <w:docGrid w:linePitch="312" w:charSpace="0"/>
        </w:sectPr>
      </w:pPr>
    </w:p>
    <w:p>
      <w:pPr>
        <w:jc w:val="left"/>
        <w:rPr>
          <w:rFonts w:cs="宋体" w:asciiTheme="minorEastAsia" w:hAnsiTheme="minorEastAsia" w:eastAsiaTheme="minorEastAsia"/>
          <w:b/>
          <w:bCs/>
          <w:sz w:val="24"/>
        </w:rPr>
      </w:pPr>
      <w:bookmarkStart w:id="246" w:name="_Toc13350"/>
      <w:r>
        <w:rPr>
          <w:rFonts w:hint="eastAsia" w:cs="宋体" w:asciiTheme="minorEastAsia" w:hAnsiTheme="minorEastAsia" w:eastAsiaTheme="minorEastAsia"/>
          <w:b/>
          <w:bCs/>
          <w:sz w:val="24"/>
        </w:rPr>
        <w:t>8.投标供应商满足政府采购相关优惠政策的声明或证明材料</w:t>
      </w:r>
      <w:bookmarkEnd w:id="246"/>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（1）中小企业声明函格式见附件；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（2）残疾人福利性单位声明函格式见附件；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（3）监狱企业证明文件见附件；</w:t>
      </w:r>
    </w:p>
    <w:p>
      <w:pPr>
        <w:adjustRightInd w:val="0"/>
        <w:snapToGrid w:val="0"/>
        <w:spacing w:line="360" w:lineRule="auto"/>
        <w:ind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（4）“节能产品”、“环境标志产品”证明材料格式见附件。</w:t>
      </w: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b/>
          <w:sz w:val="24"/>
          <w:szCs w:val="24"/>
        </w:rPr>
      </w:pPr>
    </w:p>
    <w:p>
      <w:pPr>
        <w:pStyle w:val="48"/>
        <w:spacing w:line="400" w:lineRule="exact"/>
        <w:rPr>
          <w:rFonts w:cs="宋体" w:asciiTheme="minorEastAsia" w:hAnsiTheme="minorEastAsia" w:eastAsiaTheme="minorEastAsia"/>
          <w:sz w:val="24"/>
          <w:szCs w:val="24"/>
        </w:rPr>
        <w:sectPr>
          <w:pgSz w:w="11907" w:h="16840"/>
          <w:pgMar w:top="1440" w:right="1474" w:bottom="1440" w:left="1474" w:header="851" w:footer="992" w:gutter="0"/>
          <w:cols w:space="720" w:num="1"/>
          <w:docGrid w:linePitch="312" w:charSpace="0"/>
        </w:sectPr>
      </w:pPr>
    </w:p>
    <w:p>
      <w:pPr>
        <w:spacing w:line="360" w:lineRule="auto"/>
        <w:rPr>
          <w:rFonts w:ascii="宋体" w:hAnsi="宋体" w:cs="宋体"/>
          <w:b/>
          <w:sz w:val="24"/>
        </w:rPr>
      </w:pPr>
      <w:r>
        <w:rPr>
          <w:rFonts w:hint="eastAsia" w:cs="宋体" w:asciiTheme="minorEastAsia" w:hAnsiTheme="minorEastAsia" w:eastAsiaTheme="minorEastAsia"/>
          <w:sz w:val="24"/>
        </w:rPr>
        <w:t xml:space="preserve">附件1                      </w:t>
      </w:r>
      <w:r>
        <w:rPr>
          <w:rFonts w:hint="eastAsia" w:ascii="宋体" w:hAnsi="宋体" w:cs="宋体"/>
          <w:sz w:val="24"/>
        </w:rPr>
        <w:t xml:space="preserve"> </w:t>
      </w:r>
      <w:r>
        <w:rPr>
          <w:rFonts w:hint="eastAsia" w:ascii="宋体" w:hAnsi="宋体" w:cs="宋体"/>
          <w:b/>
          <w:sz w:val="24"/>
        </w:rPr>
        <w:t>中小企业声明函（货物）</w:t>
      </w:r>
    </w:p>
    <w:p>
      <w:pPr>
        <w:spacing w:line="360" w:lineRule="auto"/>
        <w:ind w:firstLine="424" w:firstLineChars="177"/>
        <w:rPr>
          <w:rFonts w:ascii="宋体" w:hAnsi="宋体" w:cs="宋体"/>
          <w:sz w:val="24"/>
        </w:rPr>
      </w:pPr>
    </w:p>
    <w:p>
      <w:pPr>
        <w:spacing w:line="360" w:lineRule="auto"/>
        <w:ind w:firstLine="424" w:firstLineChars="177"/>
        <w:rPr>
          <w:rFonts w:ascii="宋体" w:hAnsi="宋体" w:cs="宋体"/>
          <w:sz w:val="24"/>
        </w:rPr>
      </w:pPr>
      <w:r>
        <w:rPr>
          <w:rFonts w:hint="eastAsia" w:ascii="宋体" w:hAnsi="宋体" w:cs="宋体"/>
          <w:sz w:val="24"/>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pPr>
        <w:spacing w:line="360" w:lineRule="auto"/>
        <w:ind w:firstLine="424" w:firstLineChars="177"/>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w:t>
      </w:r>
    </w:p>
    <w:p>
      <w:pPr>
        <w:spacing w:line="360" w:lineRule="auto"/>
        <w:ind w:firstLine="424" w:firstLineChars="177"/>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24" w:firstLineChars="177"/>
        <w:rPr>
          <w:rFonts w:ascii="宋体" w:hAnsi="宋体" w:cs="宋体"/>
          <w:sz w:val="24"/>
        </w:rPr>
      </w:pPr>
      <w:r>
        <w:rPr>
          <w:rFonts w:hint="eastAsia" w:ascii="宋体" w:hAnsi="宋体" w:cs="宋体"/>
          <w:sz w:val="24"/>
        </w:rPr>
        <w:t>本企业对上述声明内容的真实性负责。如有虚假，将依法承担相应责任。</w:t>
      </w:r>
    </w:p>
    <w:p>
      <w:pPr>
        <w:wordWrap w:val="0"/>
        <w:spacing w:line="360" w:lineRule="auto"/>
        <w:jc w:val="right"/>
        <w:rPr>
          <w:rFonts w:ascii="宋体" w:hAnsi="宋体" w:cs="宋体"/>
          <w:sz w:val="24"/>
        </w:rPr>
      </w:pPr>
      <w:r>
        <w:rPr>
          <w:rFonts w:hint="eastAsia" w:ascii="宋体" w:hAnsi="宋体" w:cs="宋体"/>
          <w:sz w:val="24"/>
        </w:rPr>
        <w:t xml:space="preserve">企业名称（盖章）：         </w:t>
      </w:r>
    </w:p>
    <w:p>
      <w:pPr>
        <w:wordWrap w:val="0"/>
        <w:spacing w:line="360" w:lineRule="auto"/>
        <w:jc w:val="right"/>
        <w:rPr>
          <w:rFonts w:ascii="仿宋_GB2312" w:hAnsi="仿宋_GB2312" w:eastAsia="仿宋_GB2312" w:cs="仿宋_GB2312"/>
          <w:sz w:val="24"/>
        </w:rPr>
      </w:pPr>
      <w:r>
        <w:rPr>
          <w:rFonts w:hint="eastAsia" w:ascii="宋体" w:hAnsi="宋体" w:cs="宋体"/>
          <w:sz w:val="24"/>
        </w:rPr>
        <w:t xml:space="preserve">日 期：          </w:t>
      </w:r>
      <w:r>
        <w:rPr>
          <w:rFonts w:hint="eastAsia" w:ascii="仿宋_GB2312" w:hAnsi="仿宋_GB2312" w:eastAsia="仿宋_GB2312" w:cs="仿宋_GB2312"/>
          <w:sz w:val="24"/>
        </w:rPr>
        <w:t xml:space="preserve">             </w:t>
      </w:r>
    </w:p>
    <w:p>
      <w:pPr>
        <w:spacing w:line="360" w:lineRule="auto"/>
        <w:ind w:firstLine="6552" w:firstLineChars="2600"/>
        <w:rPr>
          <w:rFonts w:cs="宋体" w:asciiTheme="minorEastAsia" w:hAnsiTheme="minorEastAsia" w:eastAsiaTheme="minorEastAsia"/>
          <w:spacing w:val="6"/>
          <w:sz w:val="24"/>
        </w:rPr>
      </w:pPr>
    </w:p>
    <w:p>
      <w:pP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附件2</w:t>
      </w:r>
      <w:bookmarkStart w:id="247" w:name="OLE_LINK14"/>
      <w:bookmarkStart w:id="248" w:name="OLE_LINK13"/>
      <w:r>
        <w:rPr>
          <w:rFonts w:hint="eastAsia" w:cs="宋体" w:asciiTheme="minorEastAsia" w:hAnsiTheme="minorEastAsia" w:eastAsiaTheme="minorEastAsia"/>
          <w:b/>
          <w:bCs/>
          <w:sz w:val="24"/>
        </w:rPr>
        <w:t xml:space="preserve">                     残疾人福利性单位声明函</w:t>
      </w:r>
    </w:p>
    <w:bookmarkEnd w:id="247"/>
    <w:bookmarkEnd w:id="248"/>
    <w:p>
      <w:pPr>
        <w:spacing w:line="588" w:lineRule="exact"/>
        <w:rPr>
          <w:rFonts w:cs="宋体" w:asciiTheme="minorEastAsia" w:hAnsiTheme="minorEastAsia" w:eastAsiaTheme="minorEastAsia"/>
          <w:b/>
          <w:spacing w:val="6"/>
          <w:sz w:val="24"/>
        </w:rPr>
      </w:pP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本单位郑重声明，根据《财政部 民政部 中国残疾人联合会关于促进残疾人就业政府采购政策的通知》（财库</w:t>
      </w:r>
      <w:r>
        <w:rPr>
          <w:rFonts w:hint="eastAsia" w:cs="宋体" w:asciiTheme="minorEastAsia" w:hAnsiTheme="minorEastAsia" w:eastAsiaTheme="minorEastAsia"/>
          <w:sz w:val="24"/>
        </w:rPr>
        <w:t>〔2017〕 141</w:t>
      </w:r>
      <w:r>
        <w:rPr>
          <w:rFonts w:hint="eastAsia" w:cs="宋体" w:asciiTheme="minorEastAsia" w:hAnsiTheme="minorEastAsia" w:eastAsiaTheme="minor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本单位对上述声明的真实性负责。如有虚假，将依法承担相应责任。</w:t>
      </w:r>
    </w:p>
    <w:p>
      <w:pPr>
        <w:spacing w:line="360" w:lineRule="auto"/>
        <w:ind w:firstLine="504" w:firstLineChars="200"/>
        <w:rPr>
          <w:rFonts w:cs="宋体" w:asciiTheme="minorEastAsia" w:hAnsiTheme="minorEastAsia" w:eastAsiaTheme="minorEastAsia"/>
          <w:spacing w:val="6"/>
          <w:sz w:val="24"/>
        </w:rPr>
      </w:pPr>
    </w:p>
    <w:p>
      <w:pPr>
        <w:spacing w:line="360" w:lineRule="auto"/>
        <w:ind w:firstLine="504" w:firstLineChars="200"/>
        <w:rPr>
          <w:rFonts w:cs="宋体" w:asciiTheme="minorEastAsia" w:hAnsiTheme="minorEastAsia" w:eastAsiaTheme="minorEastAsia"/>
          <w:spacing w:val="6"/>
          <w:sz w:val="24"/>
        </w:rPr>
      </w:pP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单位名称：</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（盖单位章）：</w:t>
      </w:r>
    </w:p>
    <w:p>
      <w:pPr>
        <w:tabs>
          <w:tab w:val="left" w:pos="4860"/>
        </w:tabs>
        <w:spacing w:line="360" w:lineRule="auto"/>
        <w:ind w:right="1560" w:firstLine="504" w:firstLineChars="20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w:t>
      </w:r>
    </w:p>
    <w:p>
      <w:pPr>
        <w:tabs>
          <w:tab w:val="left" w:pos="4860"/>
        </w:tabs>
        <w:spacing w:line="360" w:lineRule="auto"/>
        <w:ind w:right="1560" w:firstLine="504" w:firstLineChars="200"/>
        <w:jc w:val="center"/>
        <w:rPr>
          <w:rFonts w:cs="宋体" w:asciiTheme="minorEastAsia" w:hAnsiTheme="minorEastAsia" w:eastAsiaTheme="minorEastAsia"/>
          <w:sz w:val="24"/>
        </w:rPr>
      </w:pPr>
      <w:r>
        <w:rPr>
          <w:rFonts w:hint="eastAsia" w:cs="宋体" w:asciiTheme="minorEastAsia" w:hAnsiTheme="minorEastAsia" w:eastAsiaTheme="minorEastAsia"/>
          <w:spacing w:val="6"/>
          <w:sz w:val="24"/>
        </w:rPr>
        <w:t xml:space="preserve">                   日  期：    年   月  日</w:t>
      </w:r>
    </w:p>
    <w:p>
      <w:pPr>
        <w:adjustRightInd w:val="0"/>
        <w:snapToGrid w:val="0"/>
        <w:spacing w:line="360" w:lineRule="auto"/>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before="50" w:line="360" w:lineRule="auto"/>
        <w:jc w:val="center"/>
        <w:rPr>
          <w:rFonts w:cs="宋体" w:asciiTheme="minorEastAsia" w:hAnsiTheme="minorEastAsia" w:eastAsiaTheme="minorEastAsia"/>
          <w:b/>
          <w:sz w:val="24"/>
        </w:rPr>
      </w:pPr>
    </w:p>
    <w:p>
      <w:pPr>
        <w:adjustRightInd w:val="0"/>
        <w:snapToGrid w:val="0"/>
        <w:spacing w:line="360" w:lineRule="auto"/>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附件3                          </w:t>
      </w:r>
      <w:r>
        <w:rPr>
          <w:rFonts w:hint="eastAsia" w:cs="宋体" w:asciiTheme="minorEastAsia" w:hAnsiTheme="minorEastAsia" w:eastAsiaTheme="minorEastAsia"/>
          <w:b/>
          <w:bCs/>
          <w:sz w:val="24"/>
        </w:rPr>
        <w:t>监狱企业证明文件</w:t>
      </w:r>
    </w:p>
    <w:p>
      <w:pPr>
        <w:adjustRightInd w:val="0"/>
        <w:snapToGrid w:val="0"/>
        <w:spacing w:before="50"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525"/>
        <w:rPr>
          <w:rFonts w:cs="宋体" w:asciiTheme="minorEastAsia" w:hAnsiTheme="minorEastAsia" w:eastAsiaTheme="minorEastAsia"/>
          <w:bCs/>
          <w:sz w:val="24"/>
        </w:rPr>
      </w:pPr>
      <w:r>
        <w:rPr>
          <w:rFonts w:hint="eastAsia" w:cs="宋体" w:asciiTheme="minorEastAsia" w:hAnsiTheme="minorEastAsia" w:eastAsiaTheme="minorEastAsia"/>
          <w:bCs/>
          <w:sz w:val="24"/>
        </w:rPr>
        <w:t>1.无格式要求，由出具监狱企业证明的单位自行拟定；</w:t>
      </w:r>
    </w:p>
    <w:p>
      <w:pPr>
        <w:adjustRightInd w:val="0"/>
        <w:snapToGrid w:val="0"/>
        <w:spacing w:line="360" w:lineRule="auto"/>
        <w:ind w:firstLine="525"/>
        <w:rPr>
          <w:rFonts w:cs="宋体" w:asciiTheme="minorEastAsia" w:hAnsiTheme="minorEastAsia" w:eastAsiaTheme="minorEastAsia"/>
          <w:sz w:val="24"/>
        </w:rPr>
      </w:pPr>
      <w:r>
        <w:rPr>
          <w:rFonts w:hint="eastAsia" w:cs="宋体" w:asciiTheme="minorEastAsia" w:hAnsiTheme="minorEastAsia" w:eastAsiaTheme="minorEastAsia"/>
          <w:sz w:val="24"/>
        </w:rPr>
        <w:t>2.响应人如实填写本表。符合条件的响应人未按上述要求提供、填写的，评审时不予以考虑。</w:t>
      </w:r>
    </w:p>
    <w:p>
      <w:pPr>
        <w:adjustRightInd w:val="0"/>
        <w:snapToGrid w:val="0"/>
        <w:spacing w:before="50" w:line="360" w:lineRule="auto"/>
        <w:jc w:val="left"/>
        <w:rPr>
          <w:rFonts w:cs="宋体" w:asciiTheme="minorEastAsia" w:hAnsiTheme="minorEastAsia" w:eastAsiaTheme="minorEastAsia"/>
          <w:b/>
          <w:sz w:val="24"/>
        </w:rPr>
        <w:sectPr>
          <w:pgSz w:w="11907" w:h="16840"/>
          <w:pgMar w:top="1440" w:right="1474" w:bottom="1440" w:left="1474" w:header="851" w:footer="992" w:gutter="0"/>
          <w:cols w:space="720" w:num="1"/>
          <w:docGrid w:linePitch="312" w:charSpace="0"/>
        </w:sectPr>
      </w:pPr>
      <w:r>
        <w:rPr>
          <w:rFonts w:hint="eastAsia" w:cs="宋体" w:asciiTheme="minorEastAsia" w:hAnsiTheme="minorEastAsia" w:eastAsiaTheme="minorEastAsia"/>
          <w:b/>
          <w:sz w:val="24"/>
        </w:rPr>
        <w:t>不符合条件的供应商无需填写。如果出现虚假应标，由此产生的后果由供应商自行负责。</w:t>
      </w:r>
    </w:p>
    <w:p>
      <w:pPr>
        <w:rPr>
          <w:rFonts w:cs="宋体" w:asciiTheme="minorEastAsia" w:hAnsiTheme="minorEastAsia" w:eastAsiaTheme="minorEastAsia"/>
          <w:b/>
          <w:bCs/>
          <w:sz w:val="24"/>
        </w:rPr>
      </w:pPr>
      <w:r>
        <w:rPr>
          <w:rFonts w:hint="eastAsia" w:cs="宋体" w:asciiTheme="minorEastAsia" w:hAnsiTheme="minorEastAsia" w:eastAsiaTheme="minorEastAsia"/>
          <w:sz w:val="24"/>
        </w:rPr>
        <w:t xml:space="preserve">附件4       </w:t>
      </w:r>
      <w:r>
        <w:rPr>
          <w:rFonts w:hint="eastAsia" w:cs="宋体" w:asciiTheme="minorEastAsia" w:hAnsiTheme="minorEastAsia" w:eastAsiaTheme="minorEastAsia"/>
          <w:b/>
          <w:bCs/>
          <w:sz w:val="24"/>
        </w:rPr>
        <w:t>“节能产品”、“环境标志产品”证明材料</w:t>
      </w:r>
    </w:p>
    <w:p>
      <w:pPr>
        <w:spacing w:line="360" w:lineRule="auto"/>
        <w:rPr>
          <w:rFonts w:cs="宋体" w:asciiTheme="minorEastAsia" w:hAnsiTheme="minorEastAsia" w:eastAsiaTheme="minorEastAsia"/>
          <w:sz w:val="24"/>
        </w:rPr>
      </w:pPr>
    </w:p>
    <w:p>
      <w:pPr>
        <w:adjustRightInd w:val="0"/>
        <w:snapToGrid w:val="0"/>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说明：</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1.</w:t>
      </w:r>
      <w:r>
        <w:rPr>
          <w:rFonts w:hint="eastAsia" w:cs="宋体" w:asciiTheme="minorEastAsia" w:hAnsiTheme="minorEastAsia" w:eastAsiaTheme="minorEastAsia"/>
          <w:sz w:val="24"/>
        </w:rPr>
        <w:t>响应人提供的产品</w:t>
      </w:r>
      <w:r>
        <w:rPr>
          <w:rFonts w:hint="eastAsia" w:cs="宋体" w:asciiTheme="minorEastAsia" w:hAnsiTheme="minorEastAsia" w:eastAsiaTheme="minorEastAsia"/>
          <w:bCs/>
          <w:sz w:val="24"/>
        </w:rPr>
        <w:t>属于节能产品或环境标志产品的</w:t>
      </w:r>
      <w:r>
        <w:rPr>
          <w:rFonts w:hint="eastAsia" w:cs="宋体" w:asciiTheme="minorEastAsia" w:hAnsiTheme="minorEastAsia" w:eastAsiaTheme="minorEastAsia"/>
          <w:sz w:val="24"/>
        </w:rPr>
        <w:t>，应按响应人须知第3.4.1项规定提供相关证明材料，并在《货物（产品）分项报价表》中填写相应的证书编号；</w:t>
      </w:r>
    </w:p>
    <w:p>
      <w:pPr>
        <w:adjustRightInd w:val="0"/>
        <w:snapToGrid w:val="0"/>
        <w:spacing w:line="360" w:lineRule="auto"/>
        <w:ind w:firstLine="600" w:firstLineChars="250"/>
        <w:rPr>
          <w:rFonts w:cs="宋体" w:asciiTheme="minorEastAsia" w:hAnsiTheme="minorEastAsia" w:eastAsiaTheme="minorEastAsia"/>
          <w:bCs/>
          <w:sz w:val="24"/>
        </w:rPr>
      </w:pPr>
      <w:r>
        <w:rPr>
          <w:rFonts w:hint="eastAsia" w:cs="宋体" w:asciiTheme="minorEastAsia" w:hAnsiTheme="minorEastAsia" w:eastAsiaTheme="minorEastAsia"/>
          <w:bCs/>
          <w:sz w:val="24"/>
        </w:rPr>
        <w:t>2.响应人未按上述要求提供、</w:t>
      </w:r>
      <w:r>
        <w:rPr>
          <w:rFonts w:hint="eastAsia" w:cs="宋体" w:asciiTheme="minorEastAsia" w:hAnsiTheme="minorEastAsia" w:eastAsiaTheme="minorEastAsia"/>
          <w:sz w:val="24"/>
        </w:rPr>
        <w:t>填写</w:t>
      </w:r>
      <w:r>
        <w:rPr>
          <w:rFonts w:hint="eastAsia" w:cs="宋体" w:asciiTheme="minorEastAsia" w:hAnsiTheme="minorEastAsia" w:eastAsiaTheme="minorEastAsia"/>
          <w:bCs/>
          <w:sz w:val="24"/>
        </w:rPr>
        <w:t>的，评标时不予加分。</w:t>
      </w:r>
    </w:p>
    <w:p>
      <w:pPr>
        <w:adjustRightInd w:val="0"/>
        <w:snapToGrid w:val="0"/>
        <w:spacing w:line="360" w:lineRule="auto"/>
        <w:ind w:firstLine="525" w:firstLineChars="250"/>
        <w:rPr>
          <w:rFonts w:cs="宋体" w:asciiTheme="minorEastAsia" w:hAnsiTheme="minorEastAsia" w:eastAsiaTheme="minorEastAsia"/>
          <w:bCs/>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p>
    <w:p>
      <w:pPr>
        <w:tabs>
          <w:tab w:val="left" w:pos="7665"/>
        </w:tabs>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p>
    <w:sectPr>
      <w:pgSz w:w="11907" w:h="16840"/>
      <w:pgMar w:top="1474" w:right="1587" w:bottom="147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rFonts w:hint="eastAsia"/>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3"/>
      </w:rPr>
    </w:pPr>
    <w:r>
      <w:fldChar w:fldCharType="begin"/>
    </w:r>
    <w:r>
      <w:rPr>
        <w:rStyle w:val="33"/>
      </w:rPr>
      <w:instrText xml:space="preserve">PAGE  </w:instrText>
    </w:r>
    <w:r>
      <w:fldChar w:fldCharType="separate"/>
    </w:r>
    <w:r>
      <w:rPr>
        <w:rStyle w:val="33"/>
      </w:rPr>
      <w:t>4</w:t>
    </w:r>
    <w:r>
      <w:fldChar w:fldCharType="end"/>
    </w:r>
  </w:p>
  <w:p>
    <w:pPr>
      <w:pStyle w:val="20"/>
      <w:pBdr>
        <w:bottom w:val="single" w:color="auto" w:sz="6" w:space="1"/>
      </w:pBdr>
      <w:ind w:right="360"/>
      <w:rPr>
        <w:kern w:val="0"/>
        <w:szCs w:val="21"/>
      </w:rPr>
    </w:pPr>
  </w:p>
  <w:p>
    <w:pPr>
      <w:pStyle w:val="20"/>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93</w:t>
    </w:r>
    <w:r>
      <w:rPr>
        <w:kern w:val="0"/>
        <w:szCs w:val="21"/>
      </w:rPr>
      <w:fldChar w:fldCharType="end"/>
    </w:r>
    <w:r>
      <w:rPr>
        <w:rFonts w:hint="eastAsia"/>
        <w:kern w:val="0"/>
        <w:szCs w:val="21"/>
      </w:rPr>
      <w:t xml:space="preserve"> 页</w:t>
    </w:r>
  </w:p>
  <w:p>
    <w:pPr>
      <w:pStyle w:val="20"/>
      <w:jc w:val="both"/>
    </w:pPr>
    <w:r>
      <w:rPr>
        <w:rFonts w:hint="eastAsia"/>
        <w:kern w:val="0"/>
        <w:szCs w:val="21"/>
      </w:rPr>
      <w:t>联系电话：029-88472386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rPr>
        <w:b/>
        <w:kern w:val="0"/>
        <w:szCs w:val="21"/>
      </w:rPr>
    </w:pP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QwGwWdABAACl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v:textbox>
            </v:shape>
          </w:pict>
        </mc:Fallback>
      </mc:AlternateContent>
    </w:r>
    <w:r>
      <w:rPr>
        <w:rFonts w:hint="eastAsia"/>
        <w:kern w:val="0"/>
        <w:szCs w:val="21"/>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vyuZmNABAAClAwAADgAAAAAAAAABACAAAAAeAQAAZHJz&#10;L2Uyb0RvYy54bWxQSwUGAAAAAAYABgBZAQAAYAUAAAAA&#10;">
              <v:fill on="f" focussize="0,0"/>
              <v:stroke on="f"/>
              <v:imagedata o:title=""/>
              <o:lock v:ext="edit" aspectratio="f"/>
              <v:textbox inset="0mm,0mm,0mm,0mm" style="mso-fit-shape-to-text:t;">
                <w:txbxContent>
                  <w:p>
                    <w:pPr>
                      <w:pStyle w:val="2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szCs w:val="18"/>
      </w:rPr>
    </w:pPr>
    <w:r>
      <w:rPr>
        <w:rFonts w:hint="eastAsia"/>
        <w:szCs w:val="18"/>
      </w:rPr>
      <w:t>陕西省无线电管理委员会多功能移动式宽带监测测向系统采购项目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szCs w:val="18"/>
      </w:rPr>
    </w:pPr>
    <w:r>
      <w:rPr>
        <w:rFonts w:hint="eastAsia"/>
        <w:szCs w:val="18"/>
      </w:rPr>
      <w:t>陕西省无线电管理委员会多功能移动式宽带监测测向系统采购项目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93BD0"/>
    <w:multiLevelType w:val="singleLevel"/>
    <w:tmpl w:val="88893BD0"/>
    <w:lvl w:ilvl="0" w:tentative="0">
      <w:start w:val="12"/>
      <w:numFmt w:val="decimal"/>
      <w:suff w:val="space"/>
      <w:lvlText w:val="%1."/>
      <w:lvlJc w:val="left"/>
    </w:lvl>
  </w:abstractNum>
  <w:abstractNum w:abstractNumId="1">
    <w:nsid w:val="A5A65F6B"/>
    <w:multiLevelType w:val="singleLevel"/>
    <w:tmpl w:val="A5A65F6B"/>
    <w:lvl w:ilvl="0" w:tentative="0">
      <w:start w:val="6"/>
      <w:numFmt w:val="chineseCounting"/>
      <w:suff w:val="nothing"/>
      <w:lvlText w:val="%1、"/>
      <w:lvlJc w:val="left"/>
      <w:rPr>
        <w:rFonts w:hint="eastAsia"/>
      </w:rPr>
    </w:lvl>
  </w:abstractNum>
  <w:abstractNum w:abstractNumId="2">
    <w:nsid w:val="A9DF0726"/>
    <w:multiLevelType w:val="singleLevel"/>
    <w:tmpl w:val="A9DF0726"/>
    <w:lvl w:ilvl="0" w:tentative="0">
      <w:start w:val="1"/>
      <w:numFmt w:val="decimal"/>
      <w:suff w:val="nothing"/>
      <w:lvlText w:val="（%1）"/>
      <w:lvlJc w:val="left"/>
    </w:lvl>
  </w:abstractNum>
  <w:abstractNum w:abstractNumId="3">
    <w:nsid w:val="B2DB323D"/>
    <w:multiLevelType w:val="singleLevel"/>
    <w:tmpl w:val="B2DB323D"/>
    <w:lvl w:ilvl="0" w:tentative="0">
      <w:start w:val="1"/>
      <w:numFmt w:val="decimal"/>
      <w:suff w:val="space"/>
      <w:lvlText w:val="%1."/>
      <w:lvlJc w:val="left"/>
    </w:lvl>
  </w:abstractNum>
  <w:abstractNum w:abstractNumId="4">
    <w:nsid w:val="B73FB29C"/>
    <w:multiLevelType w:val="singleLevel"/>
    <w:tmpl w:val="B73FB29C"/>
    <w:lvl w:ilvl="0" w:tentative="0">
      <w:start w:val="6"/>
      <w:numFmt w:val="decimal"/>
      <w:suff w:val="nothing"/>
      <w:lvlText w:val="%1、"/>
      <w:lvlJc w:val="left"/>
    </w:lvl>
  </w:abstractNum>
  <w:abstractNum w:abstractNumId="5">
    <w:nsid w:val="BA2E846F"/>
    <w:multiLevelType w:val="singleLevel"/>
    <w:tmpl w:val="BA2E846F"/>
    <w:lvl w:ilvl="0" w:tentative="0">
      <w:start w:val="1"/>
      <w:numFmt w:val="chineseCounting"/>
      <w:suff w:val="space"/>
      <w:lvlText w:val="第%1章"/>
      <w:lvlJc w:val="left"/>
      <w:rPr>
        <w:rFonts w:hint="eastAsia"/>
      </w:rPr>
    </w:lvl>
  </w:abstractNum>
  <w:abstractNum w:abstractNumId="6">
    <w:nsid w:val="C399F842"/>
    <w:multiLevelType w:val="singleLevel"/>
    <w:tmpl w:val="C399F842"/>
    <w:lvl w:ilvl="0" w:tentative="0">
      <w:start w:val="1"/>
      <w:numFmt w:val="decimal"/>
      <w:suff w:val="nothing"/>
      <w:lvlText w:val="%1、"/>
      <w:lvlJc w:val="left"/>
    </w:lvl>
  </w:abstractNum>
  <w:abstractNum w:abstractNumId="7">
    <w:nsid w:val="F49317F2"/>
    <w:multiLevelType w:val="singleLevel"/>
    <w:tmpl w:val="F49317F2"/>
    <w:lvl w:ilvl="0" w:tentative="0">
      <w:start w:val="1"/>
      <w:numFmt w:val="decimal"/>
      <w:suff w:val="space"/>
      <w:lvlText w:val="%1."/>
      <w:lvlJc w:val="left"/>
    </w:lvl>
  </w:abstractNum>
  <w:abstractNum w:abstractNumId="8">
    <w:nsid w:val="FF4C5691"/>
    <w:multiLevelType w:val="singleLevel"/>
    <w:tmpl w:val="FF4C5691"/>
    <w:lvl w:ilvl="0" w:tentative="0">
      <w:start w:val="16"/>
      <w:numFmt w:val="chineseCounting"/>
      <w:suff w:val="nothing"/>
      <w:lvlText w:val="%1、"/>
      <w:lvlJc w:val="left"/>
      <w:rPr>
        <w:rFonts w:hint="eastAsia"/>
      </w:r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0">
    <w:nsid w:val="42EB8BD4"/>
    <w:multiLevelType w:val="singleLevel"/>
    <w:tmpl w:val="42EB8BD4"/>
    <w:lvl w:ilvl="0" w:tentative="0">
      <w:start w:val="1"/>
      <w:numFmt w:val="decimal"/>
      <w:suff w:val="nothing"/>
      <w:lvlText w:val="（%1）"/>
      <w:lvlJc w:val="left"/>
    </w:lvl>
  </w:abstractNum>
  <w:abstractNum w:abstractNumId="11">
    <w:nsid w:val="531D060C"/>
    <w:multiLevelType w:val="singleLevel"/>
    <w:tmpl w:val="531D060C"/>
    <w:lvl w:ilvl="0" w:tentative="0">
      <w:start w:val="2"/>
      <w:numFmt w:val="chineseCounting"/>
      <w:suff w:val="space"/>
      <w:lvlText w:val="第%1章"/>
      <w:lvlJc w:val="left"/>
      <w:rPr>
        <w:rFonts w:hint="eastAsia"/>
      </w:rPr>
    </w:lvl>
  </w:abstractNum>
  <w:abstractNum w:abstractNumId="12">
    <w:nsid w:val="5847DFF0"/>
    <w:multiLevelType w:val="singleLevel"/>
    <w:tmpl w:val="5847DFF0"/>
    <w:lvl w:ilvl="0" w:tentative="0">
      <w:start w:val="10"/>
      <w:numFmt w:val="chineseCounting"/>
      <w:suff w:val="nothing"/>
      <w:lvlText w:val="%1、"/>
      <w:lvlJc w:val="left"/>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11"/>
  </w:num>
  <w:num w:numId="6">
    <w:abstractNumId w:val="7"/>
  </w:num>
  <w:num w:numId="7">
    <w:abstractNumId w:val="0"/>
  </w:num>
  <w:num w:numId="8">
    <w:abstractNumId w:val="10"/>
  </w:num>
  <w:num w:numId="9">
    <w:abstractNumId w:val="2"/>
  </w:num>
  <w:num w:numId="10">
    <w:abstractNumId w:val="3"/>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E8D"/>
    <w:rsid w:val="0000016D"/>
    <w:rsid w:val="000022B9"/>
    <w:rsid w:val="0000261C"/>
    <w:rsid w:val="000026CA"/>
    <w:rsid w:val="00002731"/>
    <w:rsid w:val="00002F7A"/>
    <w:rsid w:val="00002F9F"/>
    <w:rsid w:val="000037C9"/>
    <w:rsid w:val="00003C7F"/>
    <w:rsid w:val="00004ED1"/>
    <w:rsid w:val="00005385"/>
    <w:rsid w:val="00007C41"/>
    <w:rsid w:val="00007D47"/>
    <w:rsid w:val="00010863"/>
    <w:rsid w:val="0001090E"/>
    <w:rsid w:val="00010C6B"/>
    <w:rsid w:val="00010F17"/>
    <w:rsid w:val="000112F4"/>
    <w:rsid w:val="00011C96"/>
    <w:rsid w:val="0001236F"/>
    <w:rsid w:val="00016B35"/>
    <w:rsid w:val="00016CC4"/>
    <w:rsid w:val="00016DF8"/>
    <w:rsid w:val="00016FEF"/>
    <w:rsid w:val="00017B77"/>
    <w:rsid w:val="00017F51"/>
    <w:rsid w:val="000200BB"/>
    <w:rsid w:val="00020477"/>
    <w:rsid w:val="00022627"/>
    <w:rsid w:val="0002333B"/>
    <w:rsid w:val="0002418E"/>
    <w:rsid w:val="000261A3"/>
    <w:rsid w:val="00026B21"/>
    <w:rsid w:val="000273A1"/>
    <w:rsid w:val="0003048D"/>
    <w:rsid w:val="00031029"/>
    <w:rsid w:val="0003181B"/>
    <w:rsid w:val="00031D3B"/>
    <w:rsid w:val="00033240"/>
    <w:rsid w:val="00033D8C"/>
    <w:rsid w:val="000342F8"/>
    <w:rsid w:val="000349A2"/>
    <w:rsid w:val="000359FE"/>
    <w:rsid w:val="00036BD5"/>
    <w:rsid w:val="00037195"/>
    <w:rsid w:val="00040272"/>
    <w:rsid w:val="00040F1A"/>
    <w:rsid w:val="0004115D"/>
    <w:rsid w:val="00041C0E"/>
    <w:rsid w:val="000420AB"/>
    <w:rsid w:val="00042719"/>
    <w:rsid w:val="0004281A"/>
    <w:rsid w:val="000433B9"/>
    <w:rsid w:val="0004390A"/>
    <w:rsid w:val="00043B25"/>
    <w:rsid w:val="000443F3"/>
    <w:rsid w:val="000448F4"/>
    <w:rsid w:val="0004577D"/>
    <w:rsid w:val="00046582"/>
    <w:rsid w:val="00047F96"/>
    <w:rsid w:val="000500AF"/>
    <w:rsid w:val="000501D5"/>
    <w:rsid w:val="00052F51"/>
    <w:rsid w:val="00053172"/>
    <w:rsid w:val="00053FEA"/>
    <w:rsid w:val="000544AB"/>
    <w:rsid w:val="00054888"/>
    <w:rsid w:val="000561CD"/>
    <w:rsid w:val="000569F5"/>
    <w:rsid w:val="00056EC0"/>
    <w:rsid w:val="000578D3"/>
    <w:rsid w:val="00060B4C"/>
    <w:rsid w:val="0006207C"/>
    <w:rsid w:val="00063CD5"/>
    <w:rsid w:val="0006604A"/>
    <w:rsid w:val="000668A3"/>
    <w:rsid w:val="0006703E"/>
    <w:rsid w:val="0007012B"/>
    <w:rsid w:val="00070648"/>
    <w:rsid w:val="00070F80"/>
    <w:rsid w:val="0007142D"/>
    <w:rsid w:val="0007190E"/>
    <w:rsid w:val="00072537"/>
    <w:rsid w:val="00072590"/>
    <w:rsid w:val="000727D1"/>
    <w:rsid w:val="00072FDD"/>
    <w:rsid w:val="000731E2"/>
    <w:rsid w:val="00073752"/>
    <w:rsid w:val="00075104"/>
    <w:rsid w:val="00075E0B"/>
    <w:rsid w:val="00076076"/>
    <w:rsid w:val="00076569"/>
    <w:rsid w:val="00076ACA"/>
    <w:rsid w:val="00076AF5"/>
    <w:rsid w:val="0007760B"/>
    <w:rsid w:val="00077933"/>
    <w:rsid w:val="000779F1"/>
    <w:rsid w:val="000803B2"/>
    <w:rsid w:val="00080440"/>
    <w:rsid w:val="00080D77"/>
    <w:rsid w:val="00081035"/>
    <w:rsid w:val="000825C8"/>
    <w:rsid w:val="0008287C"/>
    <w:rsid w:val="00082B87"/>
    <w:rsid w:val="00082E20"/>
    <w:rsid w:val="0008344F"/>
    <w:rsid w:val="000837F0"/>
    <w:rsid w:val="000842D1"/>
    <w:rsid w:val="00086728"/>
    <w:rsid w:val="000868AC"/>
    <w:rsid w:val="00086E98"/>
    <w:rsid w:val="00087097"/>
    <w:rsid w:val="0009005B"/>
    <w:rsid w:val="00090B1B"/>
    <w:rsid w:val="00090CA3"/>
    <w:rsid w:val="000910D1"/>
    <w:rsid w:val="00093400"/>
    <w:rsid w:val="00093E47"/>
    <w:rsid w:val="00093FAD"/>
    <w:rsid w:val="0009400A"/>
    <w:rsid w:val="000941EA"/>
    <w:rsid w:val="000945C6"/>
    <w:rsid w:val="00095192"/>
    <w:rsid w:val="00095796"/>
    <w:rsid w:val="00095EC0"/>
    <w:rsid w:val="00096778"/>
    <w:rsid w:val="00096E8E"/>
    <w:rsid w:val="0009711C"/>
    <w:rsid w:val="00097367"/>
    <w:rsid w:val="00097AD1"/>
    <w:rsid w:val="000A0566"/>
    <w:rsid w:val="000A0A10"/>
    <w:rsid w:val="000A1612"/>
    <w:rsid w:val="000A17A5"/>
    <w:rsid w:val="000A20AD"/>
    <w:rsid w:val="000A2C28"/>
    <w:rsid w:val="000A3CF2"/>
    <w:rsid w:val="000A3D69"/>
    <w:rsid w:val="000A403F"/>
    <w:rsid w:val="000A45DB"/>
    <w:rsid w:val="000A4FE4"/>
    <w:rsid w:val="000A6CAA"/>
    <w:rsid w:val="000A79D4"/>
    <w:rsid w:val="000B0B6E"/>
    <w:rsid w:val="000B0E51"/>
    <w:rsid w:val="000B12AF"/>
    <w:rsid w:val="000B13B7"/>
    <w:rsid w:val="000B2517"/>
    <w:rsid w:val="000B2925"/>
    <w:rsid w:val="000B50ED"/>
    <w:rsid w:val="000B5F7E"/>
    <w:rsid w:val="000B6C05"/>
    <w:rsid w:val="000C0130"/>
    <w:rsid w:val="000C03C2"/>
    <w:rsid w:val="000C18DA"/>
    <w:rsid w:val="000C18FE"/>
    <w:rsid w:val="000C1A60"/>
    <w:rsid w:val="000C1D68"/>
    <w:rsid w:val="000C252A"/>
    <w:rsid w:val="000C31D9"/>
    <w:rsid w:val="000C36DF"/>
    <w:rsid w:val="000C38BF"/>
    <w:rsid w:val="000C3E68"/>
    <w:rsid w:val="000C45B5"/>
    <w:rsid w:val="000C5B36"/>
    <w:rsid w:val="000C6149"/>
    <w:rsid w:val="000C6174"/>
    <w:rsid w:val="000C6BD2"/>
    <w:rsid w:val="000C6D58"/>
    <w:rsid w:val="000D028A"/>
    <w:rsid w:val="000D09C2"/>
    <w:rsid w:val="000D0AC8"/>
    <w:rsid w:val="000D11D7"/>
    <w:rsid w:val="000D14D4"/>
    <w:rsid w:val="000D211D"/>
    <w:rsid w:val="000D216A"/>
    <w:rsid w:val="000D21F1"/>
    <w:rsid w:val="000D38CA"/>
    <w:rsid w:val="000D407A"/>
    <w:rsid w:val="000D48DB"/>
    <w:rsid w:val="000D4B8F"/>
    <w:rsid w:val="000D4E6D"/>
    <w:rsid w:val="000D6378"/>
    <w:rsid w:val="000D769C"/>
    <w:rsid w:val="000E000E"/>
    <w:rsid w:val="000E00BC"/>
    <w:rsid w:val="000E45DD"/>
    <w:rsid w:val="000E49DF"/>
    <w:rsid w:val="000E4FFE"/>
    <w:rsid w:val="000E62FD"/>
    <w:rsid w:val="000E6451"/>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4770"/>
    <w:rsid w:val="000F6F99"/>
    <w:rsid w:val="000F70E0"/>
    <w:rsid w:val="000F733B"/>
    <w:rsid w:val="000F780C"/>
    <w:rsid w:val="000F7EF6"/>
    <w:rsid w:val="001009D9"/>
    <w:rsid w:val="00101938"/>
    <w:rsid w:val="00102BC2"/>
    <w:rsid w:val="00103381"/>
    <w:rsid w:val="00104A32"/>
    <w:rsid w:val="00104D09"/>
    <w:rsid w:val="00104DCA"/>
    <w:rsid w:val="00107250"/>
    <w:rsid w:val="00107DB4"/>
    <w:rsid w:val="001101E6"/>
    <w:rsid w:val="001102CC"/>
    <w:rsid w:val="001108AF"/>
    <w:rsid w:val="00110D6A"/>
    <w:rsid w:val="00111706"/>
    <w:rsid w:val="0011178F"/>
    <w:rsid w:val="00113423"/>
    <w:rsid w:val="00113F51"/>
    <w:rsid w:val="00115001"/>
    <w:rsid w:val="00115838"/>
    <w:rsid w:val="00116557"/>
    <w:rsid w:val="00116653"/>
    <w:rsid w:val="00116CE8"/>
    <w:rsid w:val="001174C6"/>
    <w:rsid w:val="0011788F"/>
    <w:rsid w:val="00117A78"/>
    <w:rsid w:val="00120BA6"/>
    <w:rsid w:val="001215FD"/>
    <w:rsid w:val="00121B3E"/>
    <w:rsid w:val="00121C31"/>
    <w:rsid w:val="0012286F"/>
    <w:rsid w:val="00122E1A"/>
    <w:rsid w:val="00123B12"/>
    <w:rsid w:val="0012561F"/>
    <w:rsid w:val="00126512"/>
    <w:rsid w:val="00126766"/>
    <w:rsid w:val="001267D4"/>
    <w:rsid w:val="0012717F"/>
    <w:rsid w:val="00131051"/>
    <w:rsid w:val="001317B6"/>
    <w:rsid w:val="00131AF9"/>
    <w:rsid w:val="00133913"/>
    <w:rsid w:val="00135D48"/>
    <w:rsid w:val="001361C5"/>
    <w:rsid w:val="00136B8B"/>
    <w:rsid w:val="00136E30"/>
    <w:rsid w:val="00136F6F"/>
    <w:rsid w:val="001376FA"/>
    <w:rsid w:val="00137E4B"/>
    <w:rsid w:val="00140600"/>
    <w:rsid w:val="00140B9B"/>
    <w:rsid w:val="00140D50"/>
    <w:rsid w:val="001419B6"/>
    <w:rsid w:val="00141B50"/>
    <w:rsid w:val="00142FBD"/>
    <w:rsid w:val="0014361E"/>
    <w:rsid w:val="001437ED"/>
    <w:rsid w:val="0014405E"/>
    <w:rsid w:val="001441BB"/>
    <w:rsid w:val="0014435D"/>
    <w:rsid w:val="001449BE"/>
    <w:rsid w:val="00145FE4"/>
    <w:rsid w:val="001475B0"/>
    <w:rsid w:val="00150FD4"/>
    <w:rsid w:val="00151A8A"/>
    <w:rsid w:val="001520A4"/>
    <w:rsid w:val="001521FF"/>
    <w:rsid w:val="001531CC"/>
    <w:rsid w:val="001542EC"/>
    <w:rsid w:val="0015590F"/>
    <w:rsid w:val="0015668B"/>
    <w:rsid w:val="001566A1"/>
    <w:rsid w:val="0015744E"/>
    <w:rsid w:val="00160013"/>
    <w:rsid w:val="00160C06"/>
    <w:rsid w:val="001615ED"/>
    <w:rsid w:val="00161BC5"/>
    <w:rsid w:val="001623AB"/>
    <w:rsid w:val="00162E7B"/>
    <w:rsid w:val="00163B7B"/>
    <w:rsid w:val="0016427A"/>
    <w:rsid w:val="00164C1D"/>
    <w:rsid w:val="00166C9F"/>
    <w:rsid w:val="0017046B"/>
    <w:rsid w:val="001706FD"/>
    <w:rsid w:val="001707E5"/>
    <w:rsid w:val="0017094C"/>
    <w:rsid w:val="00171298"/>
    <w:rsid w:val="0017230B"/>
    <w:rsid w:val="001726D5"/>
    <w:rsid w:val="001728AA"/>
    <w:rsid w:val="00172CDB"/>
    <w:rsid w:val="001730A8"/>
    <w:rsid w:val="00173830"/>
    <w:rsid w:val="0017384A"/>
    <w:rsid w:val="001749C9"/>
    <w:rsid w:val="00174F76"/>
    <w:rsid w:val="0017522E"/>
    <w:rsid w:val="00175CF9"/>
    <w:rsid w:val="00176668"/>
    <w:rsid w:val="00176BEF"/>
    <w:rsid w:val="00176D84"/>
    <w:rsid w:val="00177691"/>
    <w:rsid w:val="00177A77"/>
    <w:rsid w:val="00181155"/>
    <w:rsid w:val="001831B0"/>
    <w:rsid w:val="00183545"/>
    <w:rsid w:val="00183C97"/>
    <w:rsid w:val="0018453A"/>
    <w:rsid w:val="00184641"/>
    <w:rsid w:val="00184DB2"/>
    <w:rsid w:val="0018523A"/>
    <w:rsid w:val="00187096"/>
    <w:rsid w:val="0018716C"/>
    <w:rsid w:val="00187946"/>
    <w:rsid w:val="001905BD"/>
    <w:rsid w:val="00190FA0"/>
    <w:rsid w:val="0019113C"/>
    <w:rsid w:val="001919B3"/>
    <w:rsid w:val="001926DC"/>
    <w:rsid w:val="00192BA5"/>
    <w:rsid w:val="00192D0E"/>
    <w:rsid w:val="00193643"/>
    <w:rsid w:val="001941A7"/>
    <w:rsid w:val="001947A6"/>
    <w:rsid w:val="001969A6"/>
    <w:rsid w:val="00197033"/>
    <w:rsid w:val="0019724F"/>
    <w:rsid w:val="00197CA6"/>
    <w:rsid w:val="001A0594"/>
    <w:rsid w:val="001A0C64"/>
    <w:rsid w:val="001A0C7A"/>
    <w:rsid w:val="001A14AA"/>
    <w:rsid w:val="001A1E76"/>
    <w:rsid w:val="001A25B5"/>
    <w:rsid w:val="001A2859"/>
    <w:rsid w:val="001A31E7"/>
    <w:rsid w:val="001A4167"/>
    <w:rsid w:val="001A4223"/>
    <w:rsid w:val="001A48D6"/>
    <w:rsid w:val="001A5341"/>
    <w:rsid w:val="001A5705"/>
    <w:rsid w:val="001A7453"/>
    <w:rsid w:val="001A7948"/>
    <w:rsid w:val="001B06FF"/>
    <w:rsid w:val="001B0F19"/>
    <w:rsid w:val="001B10A4"/>
    <w:rsid w:val="001B1BCC"/>
    <w:rsid w:val="001B2966"/>
    <w:rsid w:val="001B2A3F"/>
    <w:rsid w:val="001B3139"/>
    <w:rsid w:val="001B4452"/>
    <w:rsid w:val="001B45AB"/>
    <w:rsid w:val="001B4995"/>
    <w:rsid w:val="001B49A1"/>
    <w:rsid w:val="001B591F"/>
    <w:rsid w:val="001B62A7"/>
    <w:rsid w:val="001B6719"/>
    <w:rsid w:val="001B7859"/>
    <w:rsid w:val="001B7D96"/>
    <w:rsid w:val="001C057A"/>
    <w:rsid w:val="001C09C6"/>
    <w:rsid w:val="001C1B0E"/>
    <w:rsid w:val="001C20D1"/>
    <w:rsid w:val="001C25F7"/>
    <w:rsid w:val="001C299E"/>
    <w:rsid w:val="001C35C3"/>
    <w:rsid w:val="001C3F13"/>
    <w:rsid w:val="001C4011"/>
    <w:rsid w:val="001C455E"/>
    <w:rsid w:val="001C466D"/>
    <w:rsid w:val="001C4881"/>
    <w:rsid w:val="001C5087"/>
    <w:rsid w:val="001C52AA"/>
    <w:rsid w:val="001C6628"/>
    <w:rsid w:val="001C66A1"/>
    <w:rsid w:val="001C6C77"/>
    <w:rsid w:val="001C7A24"/>
    <w:rsid w:val="001D0A8F"/>
    <w:rsid w:val="001D0EB8"/>
    <w:rsid w:val="001D19F9"/>
    <w:rsid w:val="001D336D"/>
    <w:rsid w:val="001D4463"/>
    <w:rsid w:val="001D44A2"/>
    <w:rsid w:val="001D4A63"/>
    <w:rsid w:val="001D5987"/>
    <w:rsid w:val="001D6CB4"/>
    <w:rsid w:val="001D7177"/>
    <w:rsid w:val="001D73CF"/>
    <w:rsid w:val="001D7DBF"/>
    <w:rsid w:val="001E0E68"/>
    <w:rsid w:val="001E1D56"/>
    <w:rsid w:val="001E304C"/>
    <w:rsid w:val="001E374A"/>
    <w:rsid w:val="001E3C15"/>
    <w:rsid w:val="001E41B0"/>
    <w:rsid w:val="001E4E6C"/>
    <w:rsid w:val="001E5476"/>
    <w:rsid w:val="001E6720"/>
    <w:rsid w:val="001E7B6D"/>
    <w:rsid w:val="001F090D"/>
    <w:rsid w:val="001F1C43"/>
    <w:rsid w:val="001F2354"/>
    <w:rsid w:val="001F23D0"/>
    <w:rsid w:val="001F3490"/>
    <w:rsid w:val="001F4EE5"/>
    <w:rsid w:val="001F5579"/>
    <w:rsid w:val="001F58EA"/>
    <w:rsid w:val="001F59C5"/>
    <w:rsid w:val="001F5CC9"/>
    <w:rsid w:val="001F652E"/>
    <w:rsid w:val="001F6596"/>
    <w:rsid w:val="001F65A6"/>
    <w:rsid w:val="001F6BF1"/>
    <w:rsid w:val="001F6C15"/>
    <w:rsid w:val="001F7B87"/>
    <w:rsid w:val="001F7CCB"/>
    <w:rsid w:val="001F7D2E"/>
    <w:rsid w:val="00200934"/>
    <w:rsid w:val="00201BA6"/>
    <w:rsid w:val="00203D56"/>
    <w:rsid w:val="00204FE7"/>
    <w:rsid w:val="002059A6"/>
    <w:rsid w:val="002073EA"/>
    <w:rsid w:val="0021048F"/>
    <w:rsid w:val="00210C98"/>
    <w:rsid w:val="00210DAA"/>
    <w:rsid w:val="00210FD7"/>
    <w:rsid w:val="002124EA"/>
    <w:rsid w:val="0021293B"/>
    <w:rsid w:val="00213954"/>
    <w:rsid w:val="00214AC7"/>
    <w:rsid w:val="002154A7"/>
    <w:rsid w:val="0021575B"/>
    <w:rsid w:val="00215876"/>
    <w:rsid w:val="00216193"/>
    <w:rsid w:val="00217C56"/>
    <w:rsid w:val="00217D62"/>
    <w:rsid w:val="00220101"/>
    <w:rsid w:val="002203C9"/>
    <w:rsid w:val="0022061B"/>
    <w:rsid w:val="002207BF"/>
    <w:rsid w:val="0022111A"/>
    <w:rsid w:val="0022472C"/>
    <w:rsid w:val="00226424"/>
    <w:rsid w:val="00226FD0"/>
    <w:rsid w:val="00227D9A"/>
    <w:rsid w:val="0023127E"/>
    <w:rsid w:val="00232898"/>
    <w:rsid w:val="00232C3F"/>
    <w:rsid w:val="00233069"/>
    <w:rsid w:val="0023523C"/>
    <w:rsid w:val="00235B94"/>
    <w:rsid w:val="00237472"/>
    <w:rsid w:val="0023791B"/>
    <w:rsid w:val="002400C2"/>
    <w:rsid w:val="002404A5"/>
    <w:rsid w:val="00240926"/>
    <w:rsid w:val="0024224A"/>
    <w:rsid w:val="00243721"/>
    <w:rsid w:val="002439C7"/>
    <w:rsid w:val="00244126"/>
    <w:rsid w:val="00244286"/>
    <w:rsid w:val="00245557"/>
    <w:rsid w:val="002455CE"/>
    <w:rsid w:val="0024631A"/>
    <w:rsid w:val="00246A70"/>
    <w:rsid w:val="00250BB4"/>
    <w:rsid w:val="002510CD"/>
    <w:rsid w:val="0025136F"/>
    <w:rsid w:val="00252085"/>
    <w:rsid w:val="002534BD"/>
    <w:rsid w:val="0025374C"/>
    <w:rsid w:val="00253790"/>
    <w:rsid w:val="002537EF"/>
    <w:rsid w:val="00253C49"/>
    <w:rsid w:val="0025480E"/>
    <w:rsid w:val="00255656"/>
    <w:rsid w:val="00255CE9"/>
    <w:rsid w:val="00255E9D"/>
    <w:rsid w:val="002561AA"/>
    <w:rsid w:val="00256A01"/>
    <w:rsid w:val="00256FFE"/>
    <w:rsid w:val="002609B6"/>
    <w:rsid w:val="00263176"/>
    <w:rsid w:val="0026319C"/>
    <w:rsid w:val="0026321C"/>
    <w:rsid w:val="00263316"/>
    <w:rsid w:val="00263B9C"/>
    <w:rsid w:val="002645AE"/>
    <w:rsid w:val="00265263"/>
    <w:rsid w:val="002652BE"/>
    <w:rsid w:val="00265869"/>
    <w:rsid w:val="00267067"/>
    <w:rsid w:val="00267232"/>
    <w:rsid w:val="002679A3"/>
    <w:rsid w:val="00267B37"/>
    <w:rsid w:val="002702A3"/>
    <w:rsid w:val="00270756"/>
    <w:rsid w:val="00270806"/>
    <w:rsid w:val="00271E32"/>
    <w:rsid w:val="002722D6"/>
    <w:rsid w:val="00272B4C"/>
    <w:rsid w:val="00272CB3"/>
    <w:rsid w:val="002731DD"/>
    <w:rsid w:val="002738FA"/>
    <w:rsid w:val="00274E96"/>
    <w:rsid w:val="00275BB1"/>
    <w:rsid w:val="00277256"/>
    <w:rsid w:val="0027758B"/>
    <w:rsid w:val="00277EDC"/>
    <w:rsid w:val="002801F8"/>
    <w:rsid w:val="00280B19"/>
    <w:rsid w:val="00281B5F"/>
    <w:rsid w:val="002828E0"/>
    <w:rsid w:val="00283591"/>
    <w:rsid w:val="00285581"/>
    <w:rsid w:val="00285C02"/>
    <w:rsid w:val="00287A5A"/>
    <w:rsid w:val="00287ADA"/>
    <w:rsid w:val="00292458"/>
    <w:rsid w:val="00293B34"/>
    <w:rsid w:val="002945D4"/>
    <w:rsid w:val="002960C1"/>
    <w:rsid w:val="002967BB"/>
    <w:rsid w:val="00296B0A"/>
    <w:rsid w:val="002A1572"/>
    <w:rsid w:val="002A1D82"/>
    <w:rsid w:val="002A31EA"/>
    <w:rsid w:val="002A3C56"/>
    <w:rsid w:val="002A4996"/>
    <w:rsid w:val="002A4CE9"/>
    <w:rsid w:val="002A4F1B"/>
    <w:rsid w:val="002A58F0"/>
    <w:rsid w:val="002A59F9"/>
    <w:rsid w:val="002A5EB1"/>
    <w:rsid w:val="002A663E"/>
    <w:rsid w:val="002A6C08"/>
    <w:rsid w:val="002A6D8D"/>
    <w:rsid w:val="002A7679"/>
    <w:rsid w:val="002A7D6D"/>
    <w:rsid w:val="002A7F13"/>
    <w:rsid w:val="002B0071"/>
    <w:rsid w:val="002B0285"/>
    <w:rsid w:val="002B09A4"/>
    <w:rsid w:val="002B1570"/>
    <w:rsid w:val="002B174E"/>
    <w:rsid w:val="002B28C2"/>
    <w:rsid w:val="002B32B4"/>
    <w:rsid w:val="002B4586"/>
    <w:rsid w:val="002B51AE"/>
    <w:rsid w:val="002B550E"/>
    <w:rsid w:val="002B6304"/>
    <w:rsid w:val="002B7783"/>
    <w:rsid w:val="002B78CB"/>
    <w:rsid w:val="002B7BA4"/>
    <w:rsid w:val="002C0FA9"/>
    <w:rsid w:val="002C10AB"/>
    <w:rsid w:val="002C2EAA"/>
    <w:rsid w:val="002C40AF"/>
    <w:rsid w:val="002C6C5B"/>
    <w:rsid w:val="002C6CBA"/>
    <w:rsid w:val="002D15A8"/>
    <w:rsid w:val="002D225C"/>
    <w:rsid w:val="002D2922"/>
    <w:rsid w:val="002D3D09"/>
    <w:rsid w:val="002D4DE3"/>
    <w:rsid w:val="002D5000"/>
    <w:rsid w:val="002D5597"/>
    <w:rsid w:val="002D59EF"/>
    <w:rsid w:val="002E0128"/>
    <w:rsid w:val="002E0157"/>
    <w:rsid w:val="002E03AA"/>
    <w:rsid w:val="002E141C"/>
    <w:rsid w:val="002E23C3"/>
    <w:rsid w:val="002E2AC3"/>
    <w:rsid w:val="002E2DA7"/>
    <w:rsid w:val="002E479E"/>
    <w:rsid w:val="002E5DF0"/>
    <w:rsid w:val="002E6576"/>
    <w:rsid w:val="002E74E9"/>
    <w:rsid w:val="002E75EE"/>
    <w:rsid w:val="002F0BD9"/>
    <w:rsid w:val="002F19E0"/>
    <w:rsid w:val="002F38AF"/>
    <w:rsid w:val="002F4EAA"/>
    <w:rsid w:val="002F5C37"/>
    <w:rsid w:val="002F6540"/>
    <w:rsid w:val="002F68B7"/>
    <w:rsid w:val="002F767A"/>
    <w:rsid w:val="002F773B"/>
    <w:rsid w:val="002F7E65"/>
    <w:rsid w:val="00300B25"/>
    <w:rsid w:val="00300C60"/>
    <w:rsid w:val="00300E08"/>
    <w:rsid w:val="0030216B"/>
    <w:rsid w:val="003028C1"/>
    <w:rsid w:val="00302E62"/>
    <w:rsid w:val="00302EB7"/>
    <w:rsid w:val="00304E15"/>
    <w:rsid w:val="00306C8E"/>
    <w:rsid w:val="00306F67"/>
    <w:rsid w:val="00311258"/>
    <w:rsid w:val="00312335"/>
    <w:rsid w:val="0031245E"/>
    <w:rsid w:val="003127A7"/>
    <w:rsid w:val="00312F5E"/>
    <w:rsid w:val="00314B35"/>
    <w:rsid w:val="003153E0"/>
    <w:rsid w:val="0031584E"/>
    <w:rsid w:val="00316001"/>
    <w:rsid w:val="00316476"/>
    <w:rsid w:val="0031669D"/>
    <w:rsid w:val="003168D8"/>
    <w:rsid w:val="00316BFC"/>
    <w:rsid w:val="00317594"/>
    <w:rsid w:val="00317E54"/>
    <w:rsid w:val="003207E9"/>
    <w:rsid w:val="0032082E"/>
    <w:rsid w:val="0032193A"/>
    <w:rsid w:val="00321DC8"/>
    <w:rsid w:val="00321F4F"/>
    <w:rsid w:val="003224B5"/>
    <w:rsid w:val="0032275F"/>
    <w:rsid w:val="00323B8D"/>
    <w:rsid w:val="0032421B"/>
    <w:rsid w:val="00324E24"/>
    <w:rsid w:val="0032564D"/>
    <w:rsid w:val="00326524"/>
    <w:rsid w:val="00326B10"/>
    <w:rsid w:val="00327B51"/>
    <w:rsid w:val="0033018B"/>
    <w:rsid w:val="00330458"/>
    <w:rsid w:val="00331884"/>
    <w:rsid w:val="00331FCB"/>
    <w:rsid w:val="0033375D"/>
    <w:rsid w:val="003340E9"/>
    <w:rsid w:val="003348CA"/>
    <w:rsid w:val="00334E7E"/>
    <w:rsid w:val="00335F4C"/>
    <w:rsid w:val="00336E42"/>
    <w:rsid w:val="003370AA"/>
    <w:rsid w:val="0034048B"/>
    <w:rsid w:val="0034165E"/>
    <w:rsid w:val="003422DB"/>
    <w:rsid w:val="003429CD"/>
    <w:rsid w:val="00345094"/>
    <w:rsid w:val="0034553C"/>
    <w:rsid w:val="00345683"/>
    <w:rsid w:val="00345692"/>
    <w:rsid w:val="003464B9"/>
    <w:rsid w:val="003471A3"/>
    <w:rsid w:val="0035081B"/>
    <w:rsid w:val="00350F67"/>
    <w:rsid w:val="00354CA1"/>
    <w:rsid w:val="00354DAD"/>
    <w:rsid w:val="00355956"/>
    <w:rsid w:val="00356291"/>
    <w:rsid w:val="00356B8F"/>
    <w:rsid w:val="00356F5F"/>
    <w:rsid w:val="0035753F"/>
    <w:rsid w:val="00360127"/>
    <w:rsid w:val="003601E4"/>
    <w:rsid w:val="00360E33"/>
    <w:rsid w:val="00360E4C"/>
    <w:rsid w:val="00361DFA"/>
    <w:rsid w:val="00362AF0"/>
    <w:rsid w:val="00363707"/>
    <w:rsid w:val="00363E11"/>
    <w:rsid w:val="00364144"/>
    <w:rsid w:val="00364A60"/>
    <w:rsid w:val="00364F98"/>
    <w:rsid w:val="00366681"/>
    <w:rsid w:val="00366AA8"/>
    <w:rsid w:val="00366B35"/>
    <w:rsid w:val="00367797"/>
    <w:rsid w:val="00370727"/>
    <w:rsid w:val="00370B8D"/>
    <w:rsid w:val="00370BD8"/>
    <w:rsid w:val="003730E3"/>
    <w:rsid w:val="003734F9"/>
    <w:rsid w:val="003737D2"/>
    <w:rsid w:val="003758F9"/>
    <w:rsid w:val="00375A53"/>
    <w:rsid w:val="00375F93"/>
    <w:rsid w:val="00376346"/>
    <w:rsid w:val="003776D6"/>
    <w:rsid w:val="00377D8C"/>
    <w:rsid w:val="00380116"/>
    <w:rsid w:val="003801E0"/>
    <w:rsid w:val="00381776"/>
    <w:rsid w:val="00381C6B"/>
    <w:rsid w:val="00382597"/>
    <w:rsid w:val="003828F3"/>
    <w:rsid w:val="003835ED"/>
    <w:rsid w:val="00383BAA"/>
    <w:rsid w:val="00384258"/>
    <w:rsid w:val="00385552"/>
    <w:rsid w:val="00385662"/>
    <w:rsid w:val="00386494"/>
    <w:rsid w:val="00386B30"/>
    <w:rsid w:val="00390284"/>
    <w:rsid w:val="00390FBC"/>
    <w:rsid w:val="003931D3"/>
    <w:rsid w:val="0039357D"/>
    <w:rsid w:val="003935F3"/>
    <w:rsid w:val="003939EC"/>
    <w:rsid w:val="00395374"/>
    <w:rsid w:val="0039540F"/>
    <w:rsid w:val="00395D86"/>
    <w:rsid w:val="00396215"/>
    <w:rsid w:val="003962D6"/>
    <w:rsid w:val="00396E08"/>
    <w:rsid w:val="00397274"/>
    <w:rsid w:val="00397DC1"/>
    <w:rsid w:val="003A0323"/>
    <w:rsid w:val="003A1CEA"/>
    <w:rsid w:val="003A2E3C"/>
    <w:rsid w:val="003A42CD"/>
    <w:rsid w:val="003A4618"/>
    <w:rsid w:val="003A4A8E"/>
    <w:rsid w:val="003A4E23"/>
    <w:rsid w:val="003A5A10"/>
    <w:rsid w:val="003A5B35"/>
    <w:rsid w:val="003A71F2"/>
    <w:rsid w:val="003A77FD"/>
    <w:rsid w:val="003A7F4E"/>
    <w:rsid w:val="003B0C4B"/>
    <w:rsid w:val="003B1145"/>
    <w:rsid w:val="003B18A1"/>
    <w:rsid w:val="003B269B"/>
    <w:rsid w:val="003B2BB8"/>
    <w:rsid w:val="003B3993"/>
    <w:rsid w:val="003B3E57"/>
    <w:rsid w:val="003B5071"/>
    <w:rsid w:val="003B657B"/>
    <w:rsid w:val="003B7CE6"/>
    <w:rsid w:val="003C01C8"/>
    <w:rsid w:val="003C0712"/>
    <w:rsid w:val="003C1179"/>
    <w:rsid w:val="003C35EF"/>
    <w:rsid w:val="003C3870"/>
    <w:rsid w:val="003C5994"/>
    <w:rsid w:val="003C5BCD"/>
    <w:rsid w:val="003C6D25"/>
    <w:rsid w:val="003C6FCC"/>
    <w:rsid w:val="003C7534"/>
    <w:rsid w:val="003C7EB1"/>
    <w:rsid w:val="003D1A2A"/>
    <w:rsid w:val="003D204F"/>
    <w:rsid w:val="003D2439"/>
    <w:rsid w:val="003D2DFD"/>
    <w:rsid w:val="003D3692"/>
    <w:rsid w:val="003D503F"/>
    <w:rsid w:val="003D5B5A"/>
    <w:rsid w:val="003D647A"/>
    <w:rsid w:val="003D6C1A"/>
    <w:rsid w:val="003D71F7"/>
    <w:rsid w:val="003D7ECE"/>
    <w:rsid w:val="003E088B"/>
    <w:rsid w:val="003E102C"/>
    <w:rsid w:val="003E1127"/>
    <w:rsid w:val="003E1937"/>
    <w:rsid w:val="003E2B17"/>
    <w:rsid w:val="003E2C08"/>
    <w:rsid w:val="003E3662"/>
    <w:rsid w:val="003E4D9A"/>
    <w:rsid w:val="003E5191"/>
    <w:rsid w:val="003E6352"/>
    <w:rsid w:val="003E6A8D"/>
    <w:rsid w:val="003E6CA8"/>
    <w:rsid w:val="003E734C"/>
    <w:rsid w:val="003E7F03"/>
    <w:rsid w:val="003F0EF5"/>
    <w:rsid w:val="003F0F03"/>
    <w:rsid w:val="003F1830"/>
    <w:rsid w:val="003F1C35"/>
    <w:rsid w:val="003F1E78"/>
    <w:rsid w:val="003F261D"/>
    <w:rsid w:val="003F2DD7"/>
    <w:rsid w:val="003F2F37"/>
    <w:rsid w:val="003F3EF7"/>
    <w:rsid w:val="003F432C"/>
    <w:rsid w:val="003F4413"/>
    <w:rsid w:val="003F4D4F"/>
    <w:rsid w:val="003F51EA"/>
    <w:rsid w:val="003F5710"/>
    <w:rsid w:val="003F583B"/>
    <w:rsid w:val="003F599D"/>
    <w:rsid w:val="003F5B25"/>
    <w:rsid w:val="003F6893"/>
    <w:rsid w:val="003F6944"/>
    <w:rsid w:val="003F69AB"/>
    <w:rsid w:val="004002F8"/>
    <w:rsid w:val="00400C99"/>
    <w:rsid w:val="0040176E"/>
    <w:rsid w:val="00402433"/>
    <w:rsid w:val="00402F62"/>
    <w:rsid w:val="00403FF7"/>
    <w:rsid w:val="00404385"/>
    <w:rsid w:val="00404D1D"/>
    <w:rsid w:val="004053F8"/>
    <w:rsid w:val="004054C9"/>
    <w:rsid w:val="00405703"/>
    <w:rsid w:val="0040583E"/>
    <w:rsid w:val="0040622E"/>
    <w:rsid w:val="0040660C"/>
    <w:rsid w:val="004071EB"/>
    <w:rsid w:val="00412BF2"/>
    <w:rsid w:val="00413CCA"/>
    <w:rsid w:val="00414961"/>
    <w:rsid w:val="004152DE"/>
    <w:rsid w:val="00415AF8"/>
    <w:rsid w:val="00416B0F"/>
    <w:rsid w:val="0042069B"/>
    <w:rsid w:val="00421C89"/>
    <w:rsid w:val="0042350E"/>
    <w:rsid w:val="00424B74"/>
    <w:rsid w:val="00424D63"/>
    <w:rsid w:val="00424D73"/>
    <w:rsid w:val="004255C3"/>
    <w:rsid w:val="004257D6"/>
    <w:rsid w:val="00425A66"/>
    <w:rsid w:val="00425BD4"/>
    <w:rsid w:val="004267E6"/>
    <w:rsid w:val="00426A31"/>
    <w:rsid w:val="00426CEC"/>
    <w:rsid w:val="00427282"/>
    <w:rsid w:val="0043058C"/>
    <w:rsid w:val="00430E97"/>
    <w:rsid w:val="0043135E"/>
    <w:rsid w:val="00432A06"/>
    <w:rsid w:val="00432C83"/>
    <w:rsid w:val="004331E2"/>
    <w:rsid w:val="004339C6"/>
    <w:rsid w:val="004360B2"/>
    <w:rsid w:val="004360B8"/>
    <w:rsid w:val="00436E8D"/>
    <w:rsid w:val="00436FAC"/>
    <w:rsid w:val="00437CB7"/>
    <w:rsid w:val="00437FF0"/>
    <w:rsid w:val="004401D2"/>
    <w:rsid w:val="004415F7"/>
    <w:rsid w:val="00443714"/>
    <w:rsid w:val="0044391F"/>
    <w:rsid w:val="00444619"/>
    <w:rsid w:val="004447BE"/>
    <w:rsid w:val="00444944"/>
    <w:rsid w:val="00444B30"/>
    <w:rsid w:val="00444D0A"/>
    <w:rsid w:val="00444FC2"/>
    <w:rsid w:val="00445D24"/>
    <w:rsid w:val="004460E6"/>
    <w:rsid w:val="004461C3"/>
    <w:rsid w:val="00446646"/>
    <w:rsid w:val="004466CE"/>
    <w:rsid w:val="00447167"/>
    <w:rsid w:val="004476EC"/>
    <w:rsid w:val="0045042F"/>
    <w:rsid w:val="00450FE3"/>
    <w:rsid w:val="00451FA0"/>
    <w:rsid w:val="0045374C"/>
    <w:rsid w:val="00453A33"/>
    <w:rsid w:val="00453B16"/>
    <w:rsid w:val="00454ACA"/>
    <w:rsid w:val="00454CBF"/>
    <w:rsid w:val="00455495"/>
    <w:rsid w:val="00456115"/>
    <w:rsid w:val="0045662D"/>
    <w:rsid w:val="00460AA0"/>
    <w:rsid w:val="00460C45"/>
    <w:rsid w:val="00460CA0"/>
    <w:rsid w:val="0046109C"/>
    <w:rsid w:val="00461945"/>
    <w:rsid w:val="00461FEB"/>
    <w:rsid w:val="00462B50"/>
    <w:rsid w:val="00464643"/>
    <w:rsid w:val="00464C8D"/>
    <w:rsid w:val="00465044"/>
    <w:rsid w:val="00465286"/>
    <w:rsid w:val="00465D98"/>
    <w:rsid w:val="00466CEE"/>
    <w:rsid w:val="0046753F"/>
    <w:rsid w:val="00467947"/>
    <w:rsid w:val="0047215C"/>
    <w:rsid w:val="00473494"/>
    <w:rsid w:val="00474115"/>
    <w:rsid w:val="0047515B"/>
    <w:rsid w:val="0047539E"/>
    <w:rsid w:val="00475901"/>
    <w:rsid w:val="004761BC"/>
    <w:rsid w:val="004762A2"/>
    <w:rsid w:val="004767C6"/>
    <w:rsid w:val="00476C4E"/>
    <w:rsid w:val="00476D82"/>
    <w:rsid w:val="00476E19"/>
    <w:rsid w:val="00480925"/>
    <w:rsid w:val="00482C88"/>
    <w:rsid w:val="00482CDE"/>
    <w:rsid w:val="00484134"/>
    <w:rsid w:val="00485ABC"/>
    <w:rsid w:val="0048608C"/>
    <w:rsid w:val="00486603"/>
    <w:rsid w:val="00486680"/>
    <w:rsid w:val="00486BF3"/>
    <w:rsid w:val="004908BA"/>
    <w:rsid w:val="0049298C"/>
    <w:rsid w:val="0049313A"/>
    <w:rsid w:val="004940F8"/>
    <w:rsid w:val="004950C6"/>
    <w:rsid w:val="004952CB"/>
    <w:rsid w:val="00495A7B"/>
    <w:rsid w:val="00497878"/>
    <w:rsid w:val="00497D21"/>
    <w:rsid w:val="004A0F19"/>
    <w:rsid w:val="004A18B9"/>
    <w:rsid w:val="004A3EA7"/>
    <w:rsid w:val="004A4D6D"/>
    <w:rsid w:val="004A5475"/>
    <w:rsid w:val="004A5792"/>
    <w:rsid w:val="004A57EE"/>
    <w:rsid w:val="004A5EBC"/>
    <w:rsid w:val="004A6033"/>
    <w:rsid w:val="004A6510"/>
    <w:rsid w:val="004A70C2"/>
    <w:rsid w:val="004A7867"/>
    <w:rsid w:val="004A7FAA"/>
    <w:rsid w:val="004B005F"/>
    <w:rsid w:val="004B0201"/>
    <w:rsid w:val="004B0302"/>
    <w:rsid w:val="004B16A2"/>
    <w:rsid w:val="004B1BB8"/>
    <w:rsid w:val="004B3A91"/>
    <w:rsid w:val="004B4595"/>
    <w:rsid w:val="004B4B29"/>
    <w:rsid w:val="004B51E5"/>
    <w:rsid w:val="004B52CF"/>
    <w:rsid w:val="004B54FD"/>
    <w:rsid w:val="004B5ED1"/>
    <w:rsid w:val="004B65CF"/>
    <w:rsid w:val="004B6613"/>
    <w:rsid w:val="004B685F"/>
    <w:rsid w:val="004B6A2A"/>
    <w:rsid w:val="004C0E2B"/>
    <w:rsid w:val="004C11F4"/>
    <w:rsid w:val="004C1CB1"/>
    <w:rsid w:val="004C2755"/>
    <w:rsid w:val="004C2C94"/>
    <w:rsid w:val="004C32A8"/>
    <w:rsid w:val="004C3404"/>
    <w:rsid w:val="004C4992"/>
    <w:rsid w:val="004C4F9F"/>
    <w:rsid w:val="004C50BB"/>
    <w:rsid w:val="004C512E"/>
    <w:rsid w:val="004C55DE"/>
    <w:rsid w:val="004C5B27"/>
    <w:rsid w:val="004C6ACC"/>
    <w:rsid w:val="004C79AE"/>
    <w:rsid w:val="004C7B72"/>
    <w:rsid w:val="004C7D1F"/>
    <w:rsid w:val="004C7E85"/>
    <w:rsid w:val="004D14D1"/>
    <w:rsid w:val="004D1F27"/>
    <w:rsid w:val="004D20A2"/>
    <w:rsid w:val="004D235F"/>
    <w:rsid w:val="004D24D5"/>
    <w:rsid w:val="004D313D"/>
    <w:rsid w:val="004D38F2"/>
    <w:rsid w:val="004D500E"/>
    <w:rsid w:val="004D7200"/>
    <w:rsid w:val="004D77C4"/>
    <w:rsid w:val="004E07E3"/>
    <w:rsid w:val="004E08ED"/>
    <w:rsid w:val="004E0ECD"/>
    <w:rsid w:val="004E0FC9"/>
    <w:rsid w:val="004E1B5C"/>
    <w:rsid w:val="004E2ADC"/>
    <w:rsid w:val="004E33C6"/>
    <w:rsid w:val="004E33EA"/>
    <w:rsid w:val="004E34F0"/>
    <w:rsid w:val="004E3B76"/>
    <w:rsid w:val="004E46B3"/>
    <w:rsid w:val="004E4920"/>
    <w:rsid w:val="004E4AB3"/>
    <w:rsid w:val="004E4EED"/>
    <w:rsid w:val="004E5AF9"/>
    <w:rsid w:val="004E62E6"/>
    <w:rsid w:val="004E697E"/>
    <w:rsid w:val="004E6AFB"/>
    <w:rsid w:val="004E6F08"/>
    <w:rsid w:val="004F090F"/>
    <w:rsid w:val="004F1362"/>
    <w:rsid w:val="004F16D5"/>
    <w:rsid w:val="004F1E27"/>
    <w:rsid w:val="004F2968"/>
    <w:rsid w:val="004F2F26"/>
    <w:rsid w:val="004F3576"/>
    <w:rsid w:val="004F402B"/>
    <w:rsid w:val="004F4F72"/>
    <w:rsid w:val="004F625E"/>
    <w:rsid w:val="004F7720"/>
    <w:rsid w:val="004F7B43"/>
    <w:rsid w:val="0050001B"/>
    <w:rsid w:val="00500607"/>
    <w:rsid w:val="00501225"/>
    <w:rsid w:val="005027CB"/>
    <w:rsid w:val="00503387"/>
    <w:rsid w:val="00503C30"/>
    <w:rsid w:val="00503C4B"/>
    <w:rsid w:val="005045EC"/>
    <w:rsid w:val="00504DFC"/>
    <w:rsid w:val="00505502"/>
    <w:rsid w:val="00505802"/>
    <w:rsid w:val="0050588D"/>
    <w:rsid w:val="00505AC2"/>
    <w:rsid w:val="00505D90"/>
    <w:rsid w:val="00506B5E"/>
    <w:rsid w:val="00506BD8"/>
    <w:rsid w:val="00506FAD"/>
    <w:rsid w:val="00511CCC"/>
    <w:rsid w:val="00513198"/>
    <w:rsid w:val="0051361C"/>
    <w:rsid w:val="00513B63"/>
    <w:rsid w:val="00514198"/>
    <w:rsid w:val="0051494F"/>
    <w:rsid w:val="00514CF6"/>
    <w:rsid w:val="005160AF"/>
    <w:rsid w:val="00516A69"/>
    <w:rsid w:val="00516E40"/>
    <w:rsid w:val="00520163"/>
    <w:rsid w:val="0052282F"/>
    <w:rsid w:val="00523070"/>
    <w:rsid w:val="00523DF3"/>
    <w:rsid w:val="0052428A"/>
    <w:rsid w:val="00524C54"/>
    <w:rsid w:val="0052531E"/>
    <w:rsid w:val="005259C2"/>
    <w:rsid w:val="005259D4"/>
    <w:rsid w:val="00527033"/>
    <w:rsid w:val="00527506"/>
    <w:rsid w:val="0053002D"/>
    <w:rsid w:val="00530755"/>
    <w:rsid w:val="0053082B"/>
    <w:rsid w:val="005342DF"/>
    <w:rsid w:val="00534357"/>
    <w:rsid w:val="00537088"/>
    <w:rsid w:val="00537490"/>
    <w:rsid w:val="00537D00"/>
    <w:rsid w:val="0054046A"/>
    <w:rsid w:val="00542489"/>
    <w:rsid w:val="00543045"/>
    <w:rsid w:val="00543443"/>
    <w:rsid w:val="00543500"/>
    <w:rsid w:val="00543AF7"/>
    <w:rsid w:val="00543FAB"/>
    <w:rsid w:val="005440B5"/>
    <w:rsid w:val="00545664"/>
    <w:rsid w:val="00545A3F"/>
    <w:rsid w:val="00547F3F"/>
    <w:rsid w:val="0055161E"/>
    <w:rsid w:val="005524D6"/>
    <w:rsid w:val="00552538"/>
    <w:rsid w:val="00552B5E"/>
    <w:rsid w:val="005531F6"/>
    <w:rsid w:val="00553211"/>
    <w:rsid w:val="00553DD3"/>
    <w:rsid w:val="00554F15"/>
    <w:rsid w:val="005562E1"/>
    <w:rsid w:val="005563FE"/>
    <w:rsid w:val="0055654C"/>
    <w:rsid w:val="00556780"/>
    <w:rsid w:val="00556AB5"/>
    <w:rsid w:val="00557611"/>
    <w:rsid w:val="0056136E"/>
    <w:rsid w:val="0056190B"/>
    <w:rsid w:val="00562397"/>
    <w:rsid w:val="00562CB9"/>
    <w:rsid w:val="00562F7C"/>
    <w:rsid w:val="00564717"/>
    <w:rsid w:val="00566DB9"/>
    <w:rsid w:val="005710C4"/>
    <w:rsid w:val="0057163E"/>
    <w:rsid w:val="00572082"/>
    <w:rsid w:val="005731F8"/>
    <w:rsid w:val="005748D4"/>
    <w:rsid w:val="00574AA1"/>
    <w:rsid w:val="00575080"/>
    <w:rsid w:val="00575180"/>
    <w:rsid w:val="005759A5"/>
    <w:rsid w:val="00575AA4"/>
    <w:rsid w:val="00575D28"/>
    <w:rsid w:val="005765EC"/>
    <w:rsid w:val="00576F56"/>
    <w:rsid w:val="005813B3"/>
    <w:rsid w:val="00581D82"/>
    <w:rsid w:val="00582D3A"/>
    <w:rsid w:val="00582FE1"/>
    <w:rsid w:val="00583009"/>
    <w:rsid w:val="005839D2"/>
    <w:rsid w:val="00583E0F"/>
    <w:rsid w:val="00584EBA"/>
    <w:rsid w:val="00585B02"/>
    <w:rsid w:val="00585C02"/>
    <w:rsid w:val="0058635D"/>
    <w:rsid w:val="005866A7"/>
    <w:rsid w:val="005871FE"/>
    <w:rsid w:val="005875D4"/>
    <w:rsid w:val="00587646"/>
    <w:rsid w:val="00587756"/>
    <w:rsid w:val="005907B1"/>
    <w:rsid w:val="00590DF7"/>
    <w:rsid w:val="00591217"/>
    <w:rsid w:val="00591677"/>
    <w:rsid w:val="00592DD8"/>
    <w:rsid w:val="005947C5"/>
    <w:rsid w:val="00594CED"/>
    <w:rsid w:val="00595B3F"/>
    <w:rsid w:val="00595E39"/>
    <w:rsid w:val="005962A3"/>
    <w:rsid w:val="00596731"/>
    <w:rsid w:val="005978C9"/>
    <w:rsid w:val="00597D47"/>
    <w:rsid w:val="005A099C"/>
    <w:rsid w:val="005A21D8"/>
    <w:rsid w:val="005A290C"/>
    <w:rsid w:val="005A2A2F"/>
    <w:rsid w:val="005A2FDC"/>
    <w:rsid w:val="005A46F9"/>
    <w:rsid w:val="005A4877"/>
    <w:rsid w:val="005A6F64"/>
    <w:rsid w:val="005A7039"/>
    <w:rsid w:val="005B003D"/>
    <w:rsid w:val="005B045F"/>
    <w:rsid w:val="005B1110"/>
    <w:rsid w:val="005B27A8"/>
    <w:rsid w:val="005B28C0"/>
    <w:rsid w:val="005B316F"/>
    <w:rsid w:val="005B395B"/>
    <w:rsid w:val="005B3C5C"/>
    <w:rsid w:val="005B40E9"/>
    <w:rsid w:val="005B45A1"/>
    <w:rsid w:val="005B4B95"/>
    <w:rsid w:val="005B5479"/>
    <w:rsid w:val="005B5A57"/>
    <w:rsid w:val="005B5DE4"/>
    <w:rsid w:val="005B5F16"/>
    <w:rsid w:val="005B62ED"/>
    <w:rsid w:val="005B761C"/>
    <w:rsid w:val="005B797F"/>
    <w:rsid w:val="005C0128"/>
    <w:rsid w:val="005C03A5"/>
    <w:rsid w:val="005C07C7"/>
    <w:rsid w:val="005C0B2F"/>
    <w:rsid w:val="005C0DDA"/>
    <w:rsid w:val="005C11D0"/>
    <w:rsid w:val="005C1371"/>
    <w:rsid w:val="005C1D74"/>
    <w:rsid w:val="005C3A92"/>
    <w:rsid w:val="005C3D15"/>
    <w:rsid w:val="005C45D9"/>
    <w:rsid w:val="005C5884"/>
    <w:rsid w:val="005C60A3"/>
    <w:rsid w:val="005C659C"/>
    <w:rsid w:val="005C6C55"/>
    <w:rsid w:val="005C7F33"/>
    <w:rsid w:val="005D12D1"/>
    <w:rsid w:val="005D4E46"/>
    <w:rsid w:val="005D53A0"/>
    <w:rsid w:val="005D5875"/>
    <w:rsid w:val="005D5C35"/>
    <w:rsid w:val="005D5D7C"/>
    <w:rsid w:val="005D5EC0"/>
    <w:rsid w:val="005D723A"/>
    <w:rsid w:val="005D7467"/>
    <w:rsid w:val="005D74EA"/>
    <w:rsid w:val="005D761E"/>
    <w:rsid w:val="005E03F1"/>
    <w:rsid w:val="005E086E"/>
    <w:rsid w:val="005E0A69"/>
    <w:rsid w:val="005E23EE"/>
    <w:rsid w:val="005E269D"/>
    <w:rsid w:val="005E2F5F"/>
    <w:rsid w:val="005E489C"/>
    <w:rsid w:val="005E6146"/>
    <w:rsid w:val="005E6A92"/>
    <w:rsid w:val="005E6B24"/>
    <w:rsid w:val="005E6F02"/>
    <w:rsid w:val="005E7147"/>
    <w:rsid w:val="005E7720"/>
    <w:rsid w:val="005E792C"/>
    <w:rsid w:val="005E7DDB"/>
    <w:rsid w:val="005F0357"/>
    <w:rsid w:val="005F0384"/>
    <w:rsid w:val="005F11B0"/>
    <w:rsid w:val="005F1A30"/>
    <w:rsid w:val="005F1ABF"/>
    <w:rsid w:val="005F1E19"/>
    <w:rsid w:val="005F2B29"/>
    <w:rsid w:val="005F37D0"/>
    <w:rsid w:val="005F3A84"/>
    <w:rsid w:val="005F3C34"/>
    <w:rsid w:val="005F450B"/>
    <w:rsid w:val="005F4892"/>
    <w:rsid w:val="005F4903"/>
    <w:rsid w:val="005F6533"/>
    <w:rsid w:val="005F662D"/>
    <w:rsid w:val="005F6CFA"/>
    <w:rsid w:val="005F7239"/>
    <w:rsid w:val="005F7298"/>
    <w:rsid w:val="005F74F5"/>
    <w:rsid w:val="005F7BD5"/>
    <w:rsid w:val="006003B1"/>
    <w:rsid w:val="0060064A"/>
    <w:rsid w:val="00600F1B"/>
    <w:rsid w:val="00605E0E"/>
    <w:rsid w:val="006061D0"/>
    <w:rsid w:val="00606C65"/>
    <w:rsid w:val="00606ED2"/>
    <w:rsid w:val="0060742D"/>
    <w:rsid w:val="006079F5"/>
    <w:rsid w:val="00610930"/>
    <w:rsid w:val="00610E59"/>
    <w:rsid w:val="00611740"/>
    <w:rsid w:val="006124EC"/>
    <w:rsid w:val="00612C9D"/>
    <w:rsid w:val="00613005"/>
    <w:rsid w:val="00614CDE"/>
    <w:rsid w:val="00614F32"/>
    <w:rsid w:val="00615010"/>
    <w:rsid w:val="00615077"/>
    <w:rsid w:val="006156C4"/>
    <w:rsid w:val="00615EC6"/>
    <w:rsid w:val="00615FE0"/>
    <w:rsid w:val="00617184"/>
    <w:rsid w:val="00617260"/>
    <w:rsid w:val="00620CF0"/>
    <w:rsid w:val="00621BDA"/>
    <w:rsid w:val="00623574"/>
    <w:rsid w:val="006235E6"/>
    <w:rsid w:val="006244E4"/>
    <w:rsid w:val="006244F1"/>
    <w:rsid w:val="006250BE"/>
    <w:rsid w:val="006259B3"/>
    <w:rsid w:val="006277D4"/>
    <w:rsid w:val="0063012A"/>
    <w:rsid w:val="006306EA"/>
    <w:rsid w:val="00630A1C"/>
    <w:rsid w:val="00630F29"/>
    <w:rsid w:val="0063153A"/>
    <w:rsid w:val="00631769"/>
    <w:rsid w:val="00632414"/>
    <w:rsid w:val="0063258C"/>
    <w:rsid w:val="00632AE3"/>
    <w:rsid w:val="0063317D"/>
    <w:rsid w:val="006346DF"/>
    <w:rsid w:val="00634D97"/>
    <w:rsid w:val="00635F55"/>
    <w:rsid w:val="00636488"/>
    <w:rsid w:val="00636903"/>
    <w:rsid w:val="00637D4A"/>
    <w:rsid w:val="006400D4"/>
    <w:rsid w:val="0064080D"/>
    <w:rsid w:val="0064089D"/>
    <w:rsid w:val="006409D0"/>
    <w:rsid w:val="00640BE0"/>
    <w:rsid w:val="00640BFF"/>
    <w:rsid w:val="0064174C"/>
    <w:rsid w:val="00642453"/>
    <w:rsid w:val="00642AF6"/>
    <w:rsid w:val="00643CD5"/>
    <w:rsid w:val="00644DD9"/>
    <w:rsid w:val="00645AEE"/>
    <w:rsid w:val="006464B6"/>
    <w:rsid w:val="0064652E"/>
    <w:rsid w:val="00647BB6"/>
    <w:rsid w:val="00652750"/>
    <w:rsid w:val="00652BBD"/>
    <w:rsid w:val="00652C42"/>
    <w:rsid w:val="0065332E"/>
    <w:rsid w:val="00654B37"/>
    <w:rsid w:val="00654DDD"/>
    <w:rsid w:val="00654E8A"/>
    <w:rsid w:val="006551F4"/>
    <w:rsid w:val="00657EE7"/>
    <w:rsid w:val="0066026A"/>
    <w:rsid w:val="0066067B"/>
    <w:rsid w:val="0066109A"/>
    <w:rsid w:val="00661604"/>
    <w:rsid w:val="00662A44"/>
    <w:rsid w:val="00662F00"/>
    <w:rsid w:val="00664BDB"/>
    <w:rsid w:val="006657E1"/>
    <w:rsid w:val="006659F0"/>
    <w:rsid w:val="006667A9"/>
    <w:rsid w:val="00667133"/>
    <w:rsid w:val="00667D84"/>
    <w:rsid w:val="00667DB9"/>
    <w:rsid w:val="006701C1"/>
    <w:rsid w:val="0067025A"/>
    <w:rsid w:val="006702AC"/>
    <w:rsid w:val="00670913"/>
    <w:rsid w:val="0067167D"/>
    <w:rsid w:val="00672AAC"/>
    <w:rsid w:val="00672BD0"/>
    <w:rsid w:val="00673537"/>
    <w:rsid w:val="00674A4A"/>
    <w:rsid w:val="006754F4"/>
    <w:rsid w:val="00675AC3"/>
    <w:rsid w:val="00676904"/>
    <w:rsid w:val="00676956"/>
    <w:rsid w:val="00677802"/>
    <w:rsid w:val="00677F0B"/>
    <w:rsid w:val="006802D5"/>
    <w:rsid w:val="00680551"/>
    <w:rsid w:val="00680D7E"/>
    <w:rsid w:val="0068122C"/>
    <w:rsid w:val="0068230E"/>
    <w:rsid w:val="0068258A"/>
    <w:rsid w:val="00685309"/>
    <w:rsid w:val="00685BF6"/>
    <w:rsid w:val="00685C6C"/>
    <w:rsid w:val="00691A43"/>
    <w:rsid w:val="00692F1A"/>
    <w:rsid w:val="00695754"/>
    <w:rsid w:val="00695991"/>
    <w:rsid w:val="00695A43"/>
    <w:rsid w:val="00695ECA"/>
    <w:rsid w:val="0069636D"/>
    <w:rsid w:val="00696A90"/>
    <w:rsid w:val="00697165"/>
    <w:rsid w:val="006A0ED6"/>
    <w:rsid w:val="006A0F19"/>
    <w:rsid w:val="006A1A83"/>
    <w:rsid w:val="006A31A3"/>
    <w:rsid w:val="006A3508"/>
    <w:rsid w:val="006A3DA6"/>
    <w:rsid w:val="006A3EEA"/>
    <w:rsid w:val="006A5636"/>
    <w:rsid w:val="006A5B36"/>
    <w:rsid w:val="006A6903"/>
    <w:rsid w:val="006A77DF"/>
    <w:rsid w:val="006A7D41"/>
    <w:rsid w:val="006B02E0"/>
    <w:rsid w:val="006B10C6"/>
    <w:rsid w:val="006B141B"/>
    <w:rsid w:val="006B1D66"/>
    <w:rsid w:val="006B2616"/>
    <w:rsid w:val="006B2A5C"/>
    <w:rsid w:val="006B2D09"/>
    <w:rsid w:val="006B3303"/>
    <w:rsid w:val="006B4489"/>
    <w:rsid w:val="006B49BB"/>
    <w:rsid w:val="006B4B26"/>
    <w:rsid w:val="006B5E4E"/>
    <w:rsid w:val="006C063F"/>
    <w:rsid w:val="006C2DBC"/>
    <w:rsid w:val="006C3433"/>
    <w:rsid w:val="006C525B"/>
    <w:rsid w:val="006C578D"/>
    <w:rsid w:val="006C5B27"/>
    <w:rsid w:val="006C698F"/>
    <w:rsid w:val="006D1083"/>
    <w:rsid w:val="006D208A"/>
    <w:rsid w:val="006D346A"/>
    <w:rsid w:val="006D39C1"/>
    <w:rsid w:val="006D420C"/>
    <w:rsid w:val="006D4581"/>
    <w:rsid w:val="006D691A"/>
    <w:rsid w:val="006D6B94"/>
    <w:rsid w:val="006D7314"/>
    <w:rsid w:val="006E2109"/>
    <w:rsid w:val="006E27D9"/>
    <w:rsid w:val="006E3113"/>
    <w:rsid w:val="006E3DE4"/>
    <w:rsid w:val="006E4300"/>
    <w:rsid w:val="006E491C"/>
    <w:rsid w:val="006E571B"/>
    <w:rsid w:val="006E583F"/>
    <w:rsid w:val="006E5F7D"/>
    <w:rsid w:val="006E616B"/>
    <w:rsid w:val="006E64CA"/>
    <w:rsid w:val="006E6B65"/>
    <w:rsid w:val="006E6C70"/>
    <w:rsid w:val="006E6F2E"/>
    <w:rsid w:val="006E7235"/>
    <w:rsid w:val="006E7399"/>
    <w:rsid w:val="006E73E2"/>
    <w:rsid w:val="006E7421"/>
    <w:rsid w:val="006F0344"/>
    <w:rsid w:val="006F04B9"/>
    <w:rsid w:val="006F054C"/>
    <w:rsid w:val="006F181F"/>
    <w:rsid w:val="006F2478"/>
    <w:rsid w:val="006F2D28"/>
    <w:rsid w:val="006F406F"/>
    <w:rsid w:val="007009DC"/>
    <w:rsid w:val="00701000"/>
    <w:rsid w:val="00701470"/>
    <w:rsid w:val="007015E1"/>
    <w:rsid w:val="00701AD6"/>
    <w:rsid w:val="00701DAC"/>
    <w:rsid w:val="00701F39"/>
    <w:rsid w:val="00702A85"/>
    <w:rsid w:val="0070370C"/>
    <w:rsid w:val="007039D0"/>
    <w:rsid w:val="00703C05"/>
    <w:rsid w:val="00703EBB"/>
    <w:rsid w:val="0070482A"/>
    <w:rsid w:val="007055A1"/>
    <w:rsid w:val="007066F9"/>
    <w:rsid w:val="007072E5"/>
    <w:rsid w:val="00710044"/>
    <w:rsid w:val="007109BD"/>
    <w:rsid w:val="00710A35"/>
    <w:rsid w:val="0071157D"/>
    <w:rsid w:val="0071222F"/>
    <w:rsid w:val="00712A2C"/>
    <w:rsid w:val="00712A89"/>
    <w:rsid w:val="007134EB"/>
    <w:rsid w:val="00713714"/>
    <w:rsid w:val="00713895"/>
    <w:rsid w:val="00713BF0"/>
    <w:rsid w:val="00714DEC"/>
    <w:rsid w:val="00714F19"/>
    <w:rsid w:val="00714FB3"/>
    <w:rsid w:val="00716185"/>
    <w:rsid w:val="00716334"/>
    <w:rsid w:val="007172A8"/>
    <w:rsid w:val="00717780"/>
    <w:rsid w:val="00717B5D"/>
    <w:rsid w:val="00720F17"/>
    <w:rsid w:val="00721D94"/>
    <w:rsid w:val="007221F4"/>
    <w:rsid w:val="0072254A"/>
    <w:rsid w:val="007225CB"/>
    <w:rsid w:val="00722C87"/>
    <w:rsid w:val="00725E0C"/>
    <w:rsid w:val="007262AF"/>
    <w:rsid w:val="007263D1"/>
    <w:rsid w:val="007265B3"/>
    <w:rsid w:val="00726CCB"/>
    <w:rsid w:val="00726D29"/>
    <w:rsid w:val="00726FA5"/>
    <w:rsid w:val="00727202"/>
    <w:rsid w:val="00727C13"/>
    <w:rsid w:val="007302DC"/>
    <w:rsid w:val="007308DB"/>
    <w:rsid w:val="00730FAE"/>
    <w:rsid w:val="00731958"/>
    <w:rsid w:val="007319E3"/>
    <w:rsid w:val="0073323C"/>
    <w:rsid w:val="00733853"/>
    <w:rsid w:val="00733EE3"/>
    <w:rsid w:val="007358C4"/>
    <w:rsid w:val="00735D24"/>
    <w:rsid w:val="00735D41"/>
    <w:rsid w:val="00736341"/>
    <w:rsid w:val="007364DF"/>
    <w:rsid w:val="00740965"/>
    <w:rsid w:val="00741160"/>
    <w:rsid w:val="00741F54"/>
    <w:rsid w:val="0074214A"/>
    <w:rsid w:val="00742645"/>
    <w:rsid w:val="00742D37"/>
    <w:rsid w:val="00743296"/>
    <w:rsid w:val="00744033"/>
    <w:rsid w:val="00745220"/>
    <w:rsid w:val="00745D04"/>
    <w:rsid w:val="007461C0"/>
    <w:rsid w:val="00746452"/>
    <w:rsid w:val="00746511"/>
    <w:rsid w:val="00746629"/>
    <w:rsid w:val="00747A69"/>
    <w:rsid w:val="00747E6E"/>
    <w:rsid w:val="00747E72"/>
    <w:rsid w:val="00747F44"/>
    <w:rsid w:val="00752B74"/>
    <w:rsid w:val="00752CFE"/>
    <w:rsid w:val="00752E74"/>
    <w:rsid w:val="00753164"/>
    <w:rsid w:val="00753273"/>
    <w:rsid w:val="00753436"/>
    <w:rsid w:val="00753EED"/>
    <w:rsid w:val="007546C5"/>
    <w:rsid w:val="00755C3E"/>
    <w:rsid w:val="00755FCB"/>
    <w:rsid w:val="00756498"/>
    <w:rsid w:val="007565F0"/>
    <w:rsid w:val="00756C0A"/>
    <w:rsid w:val="00756FCF"/>
    <w:rsid w:val="00760165"/>
    <w:rsid w:val="00760596"/>
    <w:rsid w:val="007625E6"/>
    <w:rsid w:val="00762772"/>
    <w:rsid w:val="00762BB0"/>
    <w:rsid w:val="007633D5"/>
    <w:rsid w:val="0076379B"/>
    <w:rsid w:val="00764071"/>
    <w:rsid w:val="00764571"/>
    <w:rsid w:val="007646F5"/>
    <w:rsid w:val="00764BD8"/>
    <w:rsid w:val="00765275"/>
    <w:rsid w:val="00765277"/>
    <w:rsid w:val="007653C0"/>
    <w:rsid w:val="00765E94"/>
    <w:rsid w:val="00766168"/>
    <w:rsid w:val="00766281"/>
    <w:rsid w:val="007665EA"/>
    <w:rsid w:val="00767113"/>
    <w:rsid w:val="007672CA"/>
    <w:rsid w:val="007674FB"/>
    <w:rsid w:val="00770716"/>
    <w:rsid w:val="0077095E"/>
    <w:rsid w:val="007712AC"/>
    <w:rsid w:val="007718E8"/>
    <w:rsid w:val="00771A25"/>
    <w:rsid w:val="00771D5D"/>
    <w:rsid w:val="00772156"/>
    <w:rsid w:val="0077242E"/>
    <w:rsid w:val="00772EED"/>
    <w:rsid w:val="00772F33"/>
    <w:rsid w:val="00773F25"/>
    <w:rsid w:val="00775216"/>
    <w:rsid w:val="00775F13"/>
    <w:rsid w:val="007767FF"/>
    <w:rsid w:val="007777C9"/>
    <w:rsid w:val="00777B68"/>
    <w:rsid w:val="00782325"/>
    <w:rsid w:val="00782A72"/>
    <w:rsid w:val="007831FE"/>
    <w:rsid w:val="0078387B"/>
    <w:rsid w:val="00783924"/>
    <w:rsid w:val="007859C9"/>
    <w:rsid w:val="00785BDC"/>
    <w:rsid w:val="007868D3"/>
    <w:rsid w:val="007876DC"/>
    <w:rsid w:val="00787AC4"/>
    <w:rsid w:val="0079062B"/>
    <w:rsid w:val="00790EE1"/>
    <w:rsid w:val="00790F10"/>
    <w:rsid w:val="007925C4"/>
    <w:rsid w:val="007938D9"/>
    <w:rsid w:val="007940CE"/>
    <w:rsid w:val="007950E9"/>
    <w:rsid w:val="00795695"/>
    <w:rsid w:val="00795702"/>
    <w:rsid w:val="0079643D"/>
    <w:rsid w:val="007979BE"/>
    <w:rsid w:val="00797BF8"/>
    <w:rsid w:val="007A08DD"/>
    <w:rsid w:val="007A140D"/>
    <w:rsid w:val="007A15D2"/>
    <w:rsid w:val="007A3108"/>
    <w:rsid w:val="007A42E2"/>
    <w:rsid w:val="007A511E"/>
    <w:rsid w:val="007A5B53"/>
    <w:rsid w:val="007A5DE1"/>
    <w:rsid w:val="007A67C1"/>
    <w:rsid w:val="007B01F0"/>
    <w:rsid w:val="007B04D6"/>
    <w:rsid w:val="007B0FD5"/>
    <w:rsid w:val="007B2235"/>
    <w:rsid w:val="007B3489"/>
    <w:rsid w:val="007B3D7B"/>
    <w:rsid w:val="007B4732"/>
    <w:rsid w:val="007B5609"/>
    <w:rsid w:val="007B587E"/>
    <w:rsid w:val="007B5CA3"/>
    <w:rsid w:val="007B5F76"/>
    <w:rsid w:val="007B5F8A"/>
    <w:rsid w:val="007B6BAD"/>
    <w:rsid w:val="007C0D99"/>
    <w:rsid w:val="007C0E9C"/>
    <w:rsid w:val="007C3344"/>
    <w:rsid w:val="007C3EA7"/>
    <w:rsid w:val="007C4B71"/>
    <w:rsid w:val="007C52CB"/>
    <w:rsid w:val="007C649E"/>
    <w:rsid w:val="007C69DB"/>
    <w:rsid w:val="007C755D"/>
    <w:rsid w:val="007C7FFE"/>
    <w:rsid w:val="007D022D"/>
    <w:rsid w:val="007D0F57"/>
    <w:rsid w:val="007D177D"/>
    <w:rsid w:val="007D1EFE"/>
    <w:rsid w:val="007D2103"/>
    <w:rsid w:val="007D2A12"/>
    <w:rsid w:val="007D3F9C"/>
    <w:rsid w:val="007D4410"/>
    <w:rsid w:val="007D45BB"/>
    <w:rsid w:val="007D4CF0"/>
    <w:rsid w:val="007D5264"/>
    <w:rsid w:val="007D58EA"/>
    <w:rsid w:val="007D5B46"/>
    <w:rsid w:val="007D7907"/>
    <w:rsid w:val="007D7ADD"/>
    <w:rsid w:val="007E072F"/>
    <w:rsid w:val="007E0D0F"/>
    <w:rsid w:val="007E10F5"/>
    <w:rsid w:val="007E1347"/>
    <w:rsid w:val="007E1478"/>
    <w:rsid w:val="007E2598"/>
    <w:rsid w:val="007E2F46"/>
    <w:rsid w:val="007E447F"/>
    <w:rsid w:val="007E4DF9"/>
    <w:rsid w:val="007E5288"/>
    <w:rsid w:val="007E562F"/>
    <w:rsid w:val="007E589A"/>
    <w:rsid w:val="007E5FFB"/>
    <w:rsid w:val="007E64E8"/>
    <w:rsid w:val="007E672A"/>
    <w:rsid w:val="007E704E"/>
    <w:rsid w:val="007E7067"/>
    <w:rsid w:val="007F0324"/>
    <w:rsid w:val="007F07C5"/>
    <w:rsid w:val="007F0C83"/>
    <w:rsid w:val="007F0FB7"/>
    <w:rsid w:val="007F108E"/>
    <w:rsid w:val="007F1872"/>
    <w:rsid w:val="007F2999"/>
    <w:rsid w:val="007F32F2"/>
    <w:rsid w:val="007F3F08"/>
    <w:rsid w:val="007F4AD2"/>
    <w:rsid w:val="007F4B95"/>
    <w:rsid w:val="007F5636"/>
    <w:rsid w:val="007F69AB"/>
    <w:rsid w:val="007F6A94"/>
    <w:rsid w:val="007F6F2D"/>
    <w:rsid w:val="00800145"/>
    <w:rsid w:val="008017D1"/>
    <w:rsid w:val="00802B13"/>
    <w:rsid w:val="00802B86"/>
    <w:rsid w:val="0080392A"/>
    <w:rsid w:val="008040D1"/>
    <w:rsid w:val="00804615"/>
    <w:rsid w:val="00804D3F"/>
    <w:rsid w:val="00805C68"/>
    <w:rsid w:val="008061E0"/>
    <w:rsid w:val="00806351"/>
    <w:rsid w:val="00807519"/>
    <w:rsid w:val="00807DD1"/>
    <w:rsid w:val="008100AF"/>
    <w:rsid w:val="00810A37"/>
    <w:rsid w:val="008111B2"/>
    <w:rsid w:val="00811C9D"/>
    <w:rsid w:val="00813F8B"/>
    <w:rsid w:val="00814422"/>
    <w:rsid w:val="00814AE4"/>
    <w:rsid w:val="00815032"/>
    <w:rsid w:val="00817808"/>
    <w:rsid w:val="00820351"/>
    <w:rsid w:val="008208CE"/>
    <w:rsid w:val="00820A9A"/>
    <w:rsid w:val="00820C0A"/>
    <w:rsid w:val="00820CD0"/>
    <w:rsid w:val="0082115C"/>
    <w:rsid w:val="008214F6"/>
    <w:rsid w:val="00821CE6"/>
    <w:rsid w:val="00822504"/>
    <w:rsid w:val="00822706"/>
    <w:rsid w:val="0082285F"/>
    <w:rsid w:val="008246AA"/>
    <w:rsid w:val="00825597"/>
    <w:rsid w:val="00826313"/>
    <w:rsid w:val="00826ABE"/>
    <w:rsid w:val="00827914"/>
    <w:rsid w:val="00827C7B"/>
    <w:rsid w:val="00830293"/>
    <w:rsid w:val="008315F2"/>
    <w:rsid w:val="00832ACA"/>
    <w:rsid w:val="00832EC9"/>
    <w:rsid w:val="008335AE"/>
    <w:rsid w:val="0083384F"/>
    <w:rsid w:val="00833FED"/>
    <w:rsid w:val="00834950"/>
    <w:rsid w:val="00835BEE"/>
    <w:rsid w:val="00835DFD"/>
    <w:rsid w:val="008364D3"/>
    <w:rsid w:val="008369AE"/>
    <w:rsid w:val="00837AF4"/>
    <w:rsid w:val="00837C76"/>
    <w:rsid w:val="0084015C"/>
    <w:rsid w:val="008402F1"/>
    <w:rsid w:val="00840C76"/>
    <w:rsid w:val="00841C75"/>
    <w:rsid w:val="008425D4"/>
    <w:rsid w:val="00844158"/>
    <w:rsid w:val="008441F2"/>
    <w:rsid w:val="00844BCE"/>
    <w:rsid w:val="0084579F"/>
    <w:rsid w:val="00845FA1"/>
    <w:rsid w:val="00846655"/>
    <w:rsid w:val="00847C9D"/>
    <w:rsid w:val="00850A88"/>
    <w:rsid w:val="00850E8A"/>
    <w:rsid w:val="0085127D"/>
    <w:rsid w:val="008518D0"/>
    <w:rsid w:val="00851AFC"/>
    <w:rsid w:val="00851D87"/>
    <w:rsid w:val="00852A7F"/>
    <w:rsid w:val="008531DE"/>
    <w:rsid w:val="00853E5C"/>
    <w:rsid w:val="00855072"/>
    <w:rsid w:val="008557B8"/>
    <w:rsid w:val="00856073"/>
    <w:rsid w:val="00857B87"/>
    <w:rsid w:val="00857E4A"/>
    <w:rsid w:val="00857F62"/>
    <w:rsid w:val="008604E9"/>
    <w:rsid w:val="008605E4"/>
    <w:rsid w:val="0086129F"/>
    <w:rsid w:val="0086204D"/>
    <w:rsid w:val="008637D6"/>
    <w:rsid w:val="00863FCF"/>
    <w:rsid w:val="008657B0"/>
    <w:rsid w:val="008672E9"/>
    <w:rsid w:val="00867E38"/>
    <w:rsid w:val="00870112"/>
    <w:rsid w:val="0087044E"/>
    <w:rsid w:val="00870A48"/>
    <w:rsid w:val="00871AE1"/>
    <w:rsid w:val="00871C8D"/>
    <w:rsid w:val="00871CA4"/>
    <w:rsid w:val="00872F3E"/>
    <w:rsid w:val="00876AD9"/>
    <w:rsid w:val="00876F92"/>
    <w:rsid w:val="008771FD"/>
    <w:rsid w:val="0087780E"/>
    <w:rsid w:val="00877AA3"/>
    <w:rsid w:val="00877E9A"/>
    <w:rsid w:val="0088027E"/>
    <w:rsid w:val="008815B3"/>
    <w:rsid w:val="00881EE9"/>
    <w:rsid w:val="00882C4D"/>
    <w:rsid w:val="00884B50"/>
    <w:rsid w:val="008874D7"/>
    <w:rsid w:val="00890453"/>
    <w:rsid w:val="008923A3"/>
    <w:rsid w:val="0089341C"/>
    <w:rsid w:val="00893700"/>
    <w:rsid w:val="00894526"/>
    <w:rsid w:val="00896738"/>
    <w:rsid w:val="0089777D"/>
    <w:rsid w:val="008A055A"/>
    <w:rsid w:val="008A06AB"/>
    <w:rsid w:val="008A2846"/>
    <w:rsid w:val="008A2EE9"/>
    <w:rsid w:val="008A2F71"/>
    <w:rsid w:val="008A3181"/>
    <w:rsid w:val="008A41D6"/>
    <w:rsid w:val="008A5303"/>
    <w:rsid w:val="008A5461"/>
    <w:rsid w:val="008A56BD"/>
    <w:rsid w:val="008A6067"/>
    <w:rsid w:val="008A688B"/>
    <w:rsid w:val="008A6ADF"/>
    <w:rsid w:val="008A7A19"/>
    <w:rsid w:val="008B046E"/>
    <w:rsid w:val="008B0541"/>
    <w:rsid w:val="008B0720"/>
    <w:rsid w:val="008B1F92"/>
    <w:rsid w:val="008B25B1"/>
    <w:rsid w:val="008B28C2"/>
    <w:rsid w:val="008B2C04"/>
    <w:rsid w:val="008B2D66"/>
    <w:rsid w:val="008B2E3D"/>
    <w:rsid w:val="008B33BD"/>
    <w:rsid w:val="008B4A90"/>
    <w:rsid w:val="008B565B"/>
    <w:rsid w:val="008B59E2"/>
    <w:rsid w:val="008B5AEE"/>
    <w:rsid w:val="008B68C0"/>
    <w:rsid w:val="008B6AF4"/>
    <w:rsid w:val="008B6EF1"/>
    <w:rsid w:val="008B716C"/>
    <w:rsid w:val="008B734C"/>
    <w:rsid w:val="008B7DB1"/>
    <w:rsid w:val="008C01B4"/>
    <w:rsid w:val="008C0B03"/>
    <w:rsid w:val="008C0B59"/>
    <w:rsid w:val="008C0B5E"/>
    <w:rsid w:val="008C0D7E"/>
    <w:rsid w:val="008C0DF0"/>
    <w:rsid w:val="008C19E0"/>
    <w:rsid w:val="008C311B"/>
    <w:rsid w:val="008C32E1"/>
    <w:rsid w:val="008C54E6"/>
    <w:rsid w:val="008C5FD2"/>
    <w:rsid w:val="008C648E"/>
    <w:rsid w:val="008C6563"/>
    <w:rsid w:val="008C75E4"/>
    <w:rsid w:val="008C7883"/>
    <w:rsid w:val="008D0FD6"/>
    <w:rsid w:val="008D136D"/>
    <w:rsid w:val="008D13A1"/>
    <w:rsid w:val="008D197B"/>
    <w:rsid w:val="008D19C0"/>
    <w:rsid w:val="008D1BBF"/>
    <w:rsid w:val="008D25FE"/>
    <w:rsid w:val="008D279D"/>
    <w:rsid w:val="008D2C6D"/>
    <w:rsid w:val="008D2E4E"/>
    <w:rsid w:val="008D302A"/>
    <w:rsid w:val="008D32D0"/>
    <w:rsid w:val="008D3BFE"/>
    <w:rsid w:val="008D3CFF"/>
    <w:rsid w:val="008D3D40"/>
    <w:rsid w:val="008D5371"/>
    <w:rsid w:val="008D53A3"/>
    <w:rsid w:val="008D67E0"/>
    <w:rsid w:val="008E035F"/>
    <w:rsid w:val="008E15F8"/>
    <w:rsid w:val="008E1AF9"/>
    <w:rsid w:val="008E2306"/>
    <w:rsid w:val="008E2370"/>
    <w:rsid w:val="008E28FA"/>
    <w:rsid w:val="008E2B3F"/>
    <w:rsid w:val="008E2B7A"/>
    <w:rsid w:val="008E2D9D"/>
    <w:rsid w:val="008E3319"/>
    <w:rsid w:val="008E3C0C"/>
    <w:rsid w:val="008E43D3"/>
    <w:rsid w:val="008E44EF"/>
    <w:rsid w:val="008E4A27"/>
    <w:rsid w:val="008E4AFB"/>
    <w:rsid w:val="008E534E"/>
    <w:rsid w:val="008E63B8"/>
    <w:rsid w:val="008F07C4"/>
    <w:rsid w:val="008F16ED"/>
    <w:rsid w:val="008F2528"/>
    <w:rsid w:val="008F367C"/>
    <w:rsid w:val="008F3CE7"/>
    <w:rsid w:val="008F3ED0"/>
    <w:rsid w:val="008F57CE"/>
    <w:rsid w:val="008F7921"/>
    <w:rsid w:val="00900141"/>
    <w:rsid w:val="009002FE"/>
    <w:rsid w:val="00900361"/>
    <w:rsid w:val="009015F3"/>
    <w:rsid w:val="00901D57"/>
    <w:rsid w:val="009023C8"/>
    <w:rsid w:val="00903BF3"/>
    <w:rsid w:val="00904C64"/>
    <w:rsid w:val="00905827"/>
    <w:rsid w:val="00905C24"/>
    <w:rsid w:val="00906775"/>
    <w:rsid w:val="00907BCF"/>
    <w:rsid w:val="0091161A"/>
    <w:rsid w:val="00912224"/>
    <w:rsid w:val="00912A7B"/>
    <w:rsid w:val="00912EC9"/>
    <w:rsid w:val="0091308B"/>
    <w:rsid w:val="0091365F"/>
    <w:rsid w:val="00914319"/>
    <w:rsid w:val="00914934"/>
    <w:rsid w:val="00914EC6"/>
    <w:rsid w:val="009155C3"/>
    <w:rsid w:val="00916049"/>
    <w:rsid w:val="009170A1"/>
    <w:rsid w:val="00917329"/>
    <w:rsid w:val="009178E5"/>
    <w:rsid w:val="00920F08"/>
    <w:rsid w:val="00922C83"/>
    <w:rsid w:val="009230F0"/>
    <w:rsid w:val="0092585F"/>
    <w:rsid w:val="00926094"/>
    <w:rsid w:val="00926DAD"/>
    <w:rsid w:val="00927330"/>
    <w:rsid w:val="009273ED"/>
    <w:rsid w:val="009279FF"/>
    <w:rsid w:val="0093038C"/>
    <w:rsid w:val="00930806"/>
    <w:rsid w:val="009322A8"/>
    <w:rsid w:val="00933440"/>
    <w:rsid w:val="009335B2"/>
    <w:rsid w:val="009335E9"/>
    <w:rsid w:val="00934749"/>
    <w:rsid w:val="00934A34"/>
    <w:rsid w:val="00935061"/>
    <w:rsid w:val="0093514D"/>
    <w:rsid w:val="009366F4"/>
    <w:rsid w:val="009368D5"/>
    <w:rsid w:val="00936B94"/>
    <w:rsid w:val="00937C70"/>
    <w:rsid w:val="00941F07"/>
    <w:rsid w:val="00942570"/>
    <w:rsid w:val="00942E5F"/>
    <w:rsid w:val="009431D4"/>
    <w:rsid w:val="0094387C"/>
    <w:rsid w:val="00943AB4"/>
    <w:rsid w:val="0094454F"/>
    <w:rsid w:val="00944AFD"/>
    <w:rsid w:val="009456AF"/>
    <w:rsid w:val="009465A9"/>
    <w:rsid w:val="00950999"/>
    <w:rsid w:val="00950AE8"/>
    <w:rsid w:val="00950D53"/>
    <w:rsid w:val="00951AAA"/>
    <w:rsid w:val="00952070"/>
    <w:rsid w:val="00952E76"/>
    <w:rsid w:val="00954509"/>
    <w:rsid w:val="00954C38"/>
    <w:rsid w:val="00963E89"/>
    <w:rsid w:val="00964F80"/>
    <w:rsid w:val="00966274"/>
    <w:rsid w:val="00966ED9"/>
    <w:rsid w:val="00967429"/>
    <w:rsid w:val="009716C8"/>
    <w:rsid w:val="00972064"/>
    <w:rsid w:val="009736FE"/>
    <w:rsid w:val="00973E00"/>
    <w:rsid w:val="009750DE"/>
    <w:rsid w:val="00975360"/>
    <w:rsid w:val="009763E1"/>
    <w:rsid w:val="009766CD"/>
    <w:rsid w:val="009773E9"/>
    <w:rsid w:val="009804D0"/>
    <w:rsid w:val="00980914"/>
    <w:rsid w:val="00980F62"/>
    <w:rsid w:val="0098132F"/>
    <w:rsid w:val="00981831"/>
    <w:rsid w:val="00981A9D"/>
    <w:rsid w:val="009821B9"/>
    <w:rsid w:val="00984FFE"/>
    <w:rsid w:val="00986262"/>
    <w:rsid w:val="009871CE"/>
    <w:rsid w:val="00987804"/>
    <w:rsid w:val="00990333"/>
    <w:rsid w:val="00991A10"/>
    <w:rsid w:val="00993336"/>
    <w:rsid w:val="00993887"/>
    <w:rsid w:val="00993EAA"/>
    <w:rsid w:val="00994A2F"/>
    <w:rsid w:val="009952FE"/>
    <w:rsid w:val="00995485"/>
    <w:rsid w:val="009956D0"/>
    <w:rsid w:val="00996508"/>
    <w:rsid w:val="00996D38"/>
    <w:rsid w:val="009970AD"/>
    <w:rsid w:val="00997755"/>
    <w:rsid w:val="00997895"/>
    <w:rsid w:val="009A06A2"/>
    <w:rsid w:val="009A0EC3"/>
    <w:rsid w:val="009A3B2D"/>
    <w:rsid w:val="009A3D81"/>
    <w:rsid w:val="009A3E31"/>
    <w:rsid w:val="009A46FE"/>
    <w:rsid w:val="009A4DCE"/>
    <w:rsid w:val="009A58C5"/>
    <w:rsid w:val="009A5C0B"/>
    <w:rsid w:val="009A5C66"/>
    <w:rsid w:val="009A6426"/>
    <w:rsid w:val="009A7393"/>
    <w:rsid w:val="009B05C7"/>
    <w:rsid w:val="009B0E3E"/>
    <w:rsid w:val="009B13C2"/>
    <w:rsid w:val="009B2667"/>
    <w:rsid w:val="009B2FDB"/>
    <w:rsid w:val="009B36BE"/>
    <w:rsid w:val="009B3D13"/>
    <w:rsid w:val="009B4BC4"/>
    <w:rsid w:val="009B6B21"/>
    <w:rsid w:val="009B6F36"/>
    <w:rsid w:val="009B7EF4"/>
    <w:rsid w:val="009C059E"/>
    <w:rsid w:val="009C12B2"/>
    <w:rsid w:val="009C1E6F"/>
    <w:rsid w:val="009C263F"/>
    <w:rsid w:val="009C27DC"/>
    <w:rsid w:val="009C2D3A"/>
    <w:rsid w:val="009C3521"/>
    <w:rsid w:val="009C3C59"/>
    <w:rsid w:val="009C4538"/>
    <w:rsid w:val="009C550B"/>
    <w:rsid w:val="009C5CE3"/>
    <w:rsid w:val="009C5FD4"/>
    <w:rsid w:val="009C70D7"/>
    <w:rsid w:val="009C7CD7"/>
    <w:rsid w:val="009C7FD7"/>
    <w:rsid w:val="009D105F"/>
    <w:rsid w:val="009D3985"/>
    <w:rsid w:val="009D42A7"/>
    <w:rsid w:val="009D446C"/>
    <w:rsid w:val="009D478B"/>
    <w:rsid w:val="009D49A1"/>
    <w:rsid w:val="009D5510"/>
    <w:rsid w:val="009D5C75"/>
    <w:rsid w:val="009E0879"/>
    <w:rsid w:val="009E1794"/>
    <w:rsid w:val="009E1CCF"/>
    <w:rsid w:val="009E1D88"/>
    <w:rsid w:val="009E1DB5"/>
    <w:rsid w:val="009E273E"/>
    <w:rsid w:val="009E280A"/>
    <w:rsid w:val="009E2BBD"/>
    <w:rsid w:val="009E3661"/>
    <w:rsid w:val="009E42A6"/>
    <w:rsid w:val="009E4FC6"/>
    <w:rsid w:val="009E5605"/>
    <w:rsid w:val="009E6AAD"/>
    <w:rsid w:val="009E6AC2"/>
    <w:rsid w:val="009E70A8"/>
    <w:rsid w:val="009E7106"/>
    <w:rsid w:val="009E7236"/>
    <w:rsid w:val="009E7424"/>
    <w:rsid w:val="009E7C61"/>
    <w:rsid w:val="009F18BB"/>
    <w:rsid w:val="009F3266"/>
    <w:rsid w:val="009F4D23"/>
    <w:rsid w:val="009F5626"/>
    <w:rsid w:val="009F5F95"/>
    <w:rsid w:val="009F6189"/>
    <w:rsid w:val="00A003A8"/>
    <w:rsid w:val="00A00528"/>
    <w:rsid w:val="00A00926"/>
    <w:rsid w:val="00A00BB9"/>
    <w:rsid w:val="00A01FCE"/>
    <w:rsid w:val="00A02006"/>
    <w:rsid w:val="00A02D16"/>
    <w:rsid w:val="00A041FF"/>
    <w:rsid w:val="00A048F1"/>
    <w:rsid w:val="00A04A2A"/>
    <w:rsid w:val="00A052A3"/>
    <w:rsid w:val="00A05E9A"/>
    <w:rsid w:val="00A06603"/>
    <w:rsid w:val="00A07011"/>
    <w:rsid w:val="00A0757F"/>
    <w:rsid w:val="00A078E3"/>
    <w:rsid w:val="00A101E5"/>
    <w:rsid w:val="00A10322"/>
    <w:rsid w:val="00A10840"/>
    <w:rsid w:val="00A11F66"/>
    <w:rsid w:val="00A12258"/>
    <w:rsid w:val="00A12876"/>
    <w:rsid w:val="00A1315B"/>
    <w:rsid w:val="00A138AF"/>
    <w:rsid w:val="00A13AE1"/>
    <w:rsid w:val="00A13BE9"/>
    <w:rsid w:val="00A13CE5"/>
    <w:rsid w:val="00A14B97"/>
    <w:rsid w:val="00A14BC4"/>
    <w:rsid w:val="00A14D98"/>
    <w:rsid w:val="00A15522"/>
    <w:rsid w:val="00A15A1C"/>
    <w:rsid w:val="00A15B1C"/>
    <w:rsid w:val="00A161A3"/>
    <w:rsid w:val="00A16778"/>
    <w:rsid w:val="00A17BED"/>
    <w:rsid w:val="00A17DF9"/>
    <w:rsid w:val="00A20575"/>
    <w:rsid w:val="00A20BB1"/>
    <w:rsid w:val="00A2150C"/>
    <w:rsid w:val="00A225FC"/>
    <w:rsid w:val="00A244CC"/>
    <w:rsid w:val="00A24AEE"/>
    <w:rsid w:val="00A24C29"/>
    <w:rsid w:val="00A24DB6"/>
    <w:rsid w:val="00A2513B"/>
    <w:rsid w:val="00A25B9E"/>
    <w:rsid w:val="00A25EF6"/>
    <w:rsid w:val="00A27C72"/>
    <w:rsid w:val="00A301FC"/>
    <w:rsid w:val="00A30DE4"/>
    <w:rsid w:val="00A328F0"/>
    <w:rsid w:val="00A32BF3"/>
    <w:rsid w:val="00A32C2B"/>
    <w:rsid w:val="00A3325E"/>
    <w:rsid w:val="00A353C8"/>
    <w:rsid w:val="00A35CB2"/>
    <w:rsid w:val="00A37148"/>
    <w:rsid w:val="00A401D5"/>
    <w:rsid w:val="00A41293"/>
    <w:rsid w:val="00A42024"/>
    <w:rsid w:val="00A4325A"/>
    <w:rsid w:val="00A4335C"/>
    <w:rsid w:val="00A4363C"/>
    <w:rsid w:val="00A440C1"/>
    <w:rsid w:val="00A4417E"/>
    <w:rsid w:val="00A443E3"/>
    <w:rsid w:val="00A446C9"/>
    <w:rsid w:val="00A447C6"/>
    <w:rsid w:val="00A44A9A"/>
    <w:rsid w:val="00A455CE"/>
    <w:rsid w:val="00A45934"/>
    <w:rsid w:val="00A45C7A"/>
    <w:rsid w:val="00A46050"/>
    <w:rsid w:val="00A463CE"/>
    <w:rsid w:val="00A46C36"/>
    <w:rsid w:val="00A46F0E"/>
    <w:rsid w:val="00A47127"/>
    <w:rsid w:val="00A472B7"/>
    <w:rsid w:val="00A47A8C"/>
    <w:rsid w:val="00A47E71"/>
    <w:rsid w:val="00A505BC"/>
    <w:rsid w:val="00A50B3E"/>
    <w:rsid w:val="00A51DF4"/>
    <w:rsid w:val="00A53297"/>
    <w:rsid w:val="00A537E5"/>
    <w:rsid w:val="00A54137"/>
    <w:rsid w:val="00A5417C"/>
    <w:rsid w:val="00A54517"/>
    <w:rsid w:val="00A55BF6"/>
    <w:rsid w:val="00A563D2"/>
    <w:rsid w:val="00A570DB"/>
    <w:rsid w:val="00A57594"/>
    <w:rsid w:val="00A60289"/>
    <w:rsid w:val="00A60A3C"/>
    <w:rsid w:val="00A60A67"/>
    <w:rsid w:val="00A60CAD"/>
    <w:rsid w:val="00A6179C"/>
    <w:rsid w:val="00A6202B"/>
    <w:rsid w:val="00A6213A"/>
    <w:rsid w:val="00A62464"/>
    <w:rsid w:val="00A6333A"/>
    <w:rsid w:val="00A63BDA"/>
    <w:rsid w:val="00A660B2"/>
    <w:rsid w:val="00A66515"/>
    <w:rsid w:val="00A665C7"/>
    <w:rsid w:val="00A666A6"/>
    <w:rsid w:val="00A716A5"/>
    <w:rsid w:val="00A71F60"/>
    <w:rsid w:val="00A726F4"/>
    <w:rsid w:val="00A73B52"/>
    <w:rsid w:val="00A741AC"/>
    <w:rsid w:val="00A749B3"/>
    <w:rsid w:val="00A76BD6"/>
    <w:rsid w:val="00A77326"/>
    <w:rsid w:val="00A80876"/>
    <w:rsid w:val="00A80D8E"/>
    <w:rsid w:val="00A8101A"/>
    <w:rsid w:val="00A81492"/>
    <w:rsid w:val="00A820B9"/>
    <w:rsid w:val="00A82B11"/>
    <w:rsid w:val="00A82CE4"/>
    <w:rsid w:val="00A82FCA"/>
    <w:rsid w:val="00A8437B"/>
    <w:rsid w:val="00A84684"/>
    <w:rsid w:val="00A8526C"/>
    <w:rsid w:val="00A85539"/>
    <w:rsid w:val="00A86306"/>
    <w:rsid w:val="00A86C1C"/>
    <w:rsid w:val="00A86DF9"/>
    <w:rsid w:val="00A87116"/>
    <w:rsid w:val="00A871A2"/>
    <w:rsid w:val="00A872C3"/>
    <w:rsid w:val="00A874CC"/>
    <w:rsid w:val="00A87A2C"/>
    <w:rsid w:val="00A90180"/>
    <w:rsid w:val="00A90D70"/>
    <w:rsid w:val="00A90D8B"/>
    <w:rsid w:val="00A90F88"/>
    <w:rsid w:val="00A91865"/>
    <w:rsid w:val="00A91DA1"/>
    <w:rsid w:val="00A93D88"/>
    <w:rsid w:val="00A93FD9"/>
    <w:rsid w:val="00A94220"/>
    <w:rsid w:val="00A94245"/>
    <w:rsid w:val="00A944A1"/>
    <w:rsid w:val="00A94ECD"/>
    <w:rsid w:val="00A95176"/>
    <w:rsid w:val="00A9595F"/>
    <w:rsid w:val="00A96491"/>
    <w:rsid w:val="00A96F86"/>
    <w:rsid w:val="00A9740F"/>
    <w:rsid w:val="00AA3B24"/>
    <w:rsid w:val="00AA4561"/>
    <w:rsid w:val="00AA4686"/>
    <w:rsid w:val="00AA4E5C"/>
    <w:rsid w:val="00AA5BDB"/>
    <w:rsid w:val="00AA7AD9"/>
    <w:rsid w:val="00AB14F4"/>
    <w:rsid w:val="00AB281A"/>
    <w:rsid w:val="00AB33A8"/>
    <w:rsid w:val="00AB391A"/>
    <w:rsid w:val="00AB3AE1"/>
    <w:rsid w:val="00AB3E04"/>
    <w:rsid w:val="00AB4221"/>
    <w:rsid w:val="00AB4330"/>
    <w:rsid w:val="00AB49C0"/>
    <w:rsid w:val="00AB4C1B"/>
    <w:rsid w:val="00AB5119"/>
    <w:rsid w:val="00AB5350"/>
    <w:rsid w:val="00AB53E8"/>
    <w:rsid w:val="00AB6205"/>
    <w:rsid w:val="00AB639A"/>
    <w:rsid w:val="00AB6AB3"/>
    <w:rsid w:val="00AB6B1E"/>
    <w:rsid w:val="00AB7B5D"/>
    <w:rsid w:val="00AC002B"/>
    <w:rsid w:val="00AC10D1"/>
    <w:rsid w:val="00AC146C"/>
    <w:rsid w:val="00AC17A8"/>
    <w:rsid w:val="00AC3434"/>
    <w:rsid w:val="00AC347E"/>
    <w:rsid w:val="00AC48CB"/>
    <w:rsid w:val="00AC556B"/>
    <w:rsid w:val="00AD0A8D"/>
    <w:rsid w:val="00AD0E04"/>
    <w:rsid w:val="00AD121E"/>
    <w:rsid w:val="00AD2195"/>
    <w:rsid w:val="00AD2A71"/>
    <w:rsid w:val="00AD2AD5"/>
    <w:rsid w:val="00AD2B87"/>
    <w:rsid w:val="00AD4375"/>
    <w:rsid w:val="00AD5577"/>
    <w:rsid w:val="00AD598C"/>
    <w:rsid w:val="00AD5EA1"/>
    <w:rsid w:val="00AD5F45"/>
    <w:rsid w:val="00AD6EC2"/>
    <w:rsid w:val="00AD7028"/>
    <w:rsid w:val="00AD7396"/>
    <w:rsid w:val="00AD7A0E"/>
    <w:rsid w:val="00AE0E01"/>
    <w:rsid w:val="00AE2490"/>
    <w:rsid w:val="00AE28B0"/>
    <w:rsid w:val="00AE3E1D"/>
    <w:rsid w:val="00AE403E"/>
    <w:rsid w:val="00AE45C0"/>
    <w:rsid w:val="00AE58C7"/>
    <w:rsid w:val="00AE5C15"/>
    <w:rsid w:val="00AE6092"/>
    <w:rsid w:val="00AE6A05"/>
    <w:rsid w:val="00AE6D97"/>
    <w:rsid w:val="00AE74AD"/>
    <w:rsid w:val="00AF00E7"/>
    <w:rsid w:val="00AF0B5D"/>
    <w:rsid w:val="00AF2B37"/>
    <w:rsid w:val="00AF3838"/>
    <w:rsid w:val="00AF421B"/>
    <w:rsid w:val="00AF454C"/>
    <w:rsid w:val="00AF60EA"/>
    <w:rsid w:val="00AF6E96"/>
    <w:rsid w:val="00B00B73"/>
    <w:rsid w:val="00B00E5B"/>
    <w:rsid w:val="00B00EBA"/>
    <w:rsid w:val="00B01AE4"/>
    <w:rsid w:val="00B01F6C"/>
    <w:rsid w:val="00B02AEB"/>
    <w:rsid w:val="00B03481"/>
    <w:rsid w:val="00B04048"/>
    <w:rsid w:val="00B04147"/>
    <w:rsid w:val="00B04174"/>
    <w:rsid w:val="00B04A39"/>
    <w:rsid w:val="00B05C07"/>
    <w:rsid w:val="00B06654"/>
    <w:rsid w:val="00B066BF"/>
    <w:rsid w:val="00B06F77"/>
    <w:rsid w:val="00B07890"/>
    <w:rsid w:val="00B07D7C"/>
    <w:rsid w:val="00B10A88"/>
    <w:rsid w:val="00B10C69"/>
    <w:rsid w:val="00B11788"/>
    <w:rsid w:val="00B127B5"/>
    <w:rsid w:val="00B127C7"/>
    <w:rsid w:val="00B128DF"/>
    <w:rsid w:val="00B13131"/>
    <w:rsid w:val="00B131DE"/>
    <w:rsid w:val="00B15809"/>
    <w:rsid w:val="00B16B74"/>
    <w:rsid w:val="00B1798A"/>
    <w:rsid w:val="00B20D57"/>
    <w:rsid w:val="00B2132C"/>
    <w:rsid w:val="00B21D49"/>
    <w:rsid w:val="00B22C6D"/>
    <w:rsid w:val="00B22DD5"/>
    <w:rsid w:val="00B232A6"/>
    <w:rsid w:val="00B2477C"/>
    <w:rsid w:val="00B250E2"/>
    <w:rsid w:val="00B265E3"/>
    <w:rsid w:val="00B2707F"/>
    <w:rsid w:val="00B27AC2"/>
    <w:rsid w:val="00B27C32"/>
    <w:rsid w:val="00B30468"/>
    <w:rsid w:val="00B3092B"/>
    <w:rsid w:val="00B31434"/>
    <w:rsid w:val="00B31657"/>
    <w:rsid w:val="00B34578"/>
    <w:rsid w:val="00B3492B"/>
    <w:rsid w:val="00B34E62"/>
    <w:rsid w:val="00B34FC7"/>
    <w:rsid w:val="00B359EB"/>
    <w:rsid w:val="00B36161"/>
    <w:rsid w:val="00B361E3"/>
    <w:rsid w:val="00B37A5E"/>
    <w:rsid w:val="00B37E1B"/>
    <w:rsid w:val="00B40783"/>
    <w:rsid w:val="00B407B3"/>
    <w:rsid w:val="00B40CDB"/>
    <w:rsid w:val="00B40DEC"/>
    <w:rsid w:val="00B412E2"/>
    <w:rsid w:val="00B4130C"/>
    <w:rsid w:val="00B4192C"/>
    <w:rsid w:val="00B42D84"/>
    <w:rsid w:val="00B43151"/>
    <w:rsid w:val="00B431B8"/>
    <w:rsid w:val="00B440DD"/>
    <w:rsid w:val="00B451F7"/>
    <w:rsid w:val="00B454F1"/>
    <w:rsid w:val="00B45DDA"/>
    <w:rsid w:val="00B45E3A"/>
    <w:rsid w:val="00B47C83"/>
    <w:rsid w:val="00B5022D"/>
    <w:rsid w:val="00B51ED3"/>
    <w:rsid w:val="00B5455F"/>
    <w:rsid w:val="00B54FBC"/>
    <w:rsid w:val="00B5501F"/>
    <w:rsid w:val="00B56701"/>
    <w:rsid w:val="00B56DCE"/>
    <w:rsid w:val="00B5706D"/>
    <w:rsid w:val="00B62605"/>
    <w:rsid w:val="00B62C62"/>
    <w:rsid w:val="00B6357F"/>
    <w:rsid w:val="00B63614"/>
    <w:rsid w:val="00B63AB7"/>
    <w:rsid w:val="00B63F40"/>
    <w:rsid w:val="00B64248"/>
    <w:rsid w:val="00B642AB"/>
    <w:rsid w:val="00B648D1"/>
    <w:rsid w:val="00B6545F"/>
    <w:rsid w:val="00B6554F"/>
    <w:rsid w:val="00B66555"/>
    <w:rsid w:val="00B6680B"/>
    <w:rsid w:val="00B66B87"/>
    <w:rsid w:val="00B66E2A"/>
    <w:rsid w:val="00B677E4"/>
    <w:rsid w:val="00B702AB"/>
    <w:rsid w:val="00B71972"/>
    <w:rsid w:val="00B71AF4"/>
    <w:rsid w:val="00B71C54"/>
    <w:rsid w:val="00B724F1"/>
    <w:rsid w:val="00B7259B"/>
    <w:rsid w:val="00B725A1"/>
    <w:rsid w:val="00B72897"/>
    <w:rsid w:val="00B72E63"/>
    <w:rsid w:val="00B73F60"/>
    <w:rsid w:val="00B744C2"/>
    <w:rsid w:val="00B74998"/>
    <w:rsid w:val="00B75406"/>
    <w:rsid w:val="00B76408"/>
    <w:rsid w:val="00B816E0"/>
    <w:rsid w:val="00B81D52"/>
    <w:rsid w:val="00B822BE"/>
    <w:rsid w:val="00B82725"/>
    <w:rsid w:val="00B83349"/>
    <w:rsid w:val="00B83901"/>
    <w:rsid w:val="00B863A6"/>
    <w:rsid w:val="00B86732"/>
    <w:rsid w:val="00B86839"/>
    <w:rsid w:val="00B869AA"/>
    <w:rsid w:val="00B86F1F"/>
    <w:rsid w:val="00B87244"/>
    <w:rsid w:val="00B902A1"/>
    <w:rsid w:val="00B90C53"/>
    <w:rsid w:val="00B90EA7"/>
    <w:rsid w:val="00B94305"/>
    <w:rsid w:val="00B959ED"/>
    <w:rsid w:val="00B95B8C"/>
    <w:rsid w:val="00B96B82"/>
    <w:rsid w:val="00B96FA5"/>
    <w:rsid w:val="00B9731D"/>
    <w:rsid w:val="00B97FE9"/>
    <w:rsid w:val="00BA17E0"/>
    <w:rsid w:val="00BA1808"/>
    <w:rsid w:val="00BA1BBB"/>
    <w:rsid w:val="00BA221A"/>
    <w:rsid w:val="00BA38C7"/>
    <w:rsid w:val="00BA50E2"/>
    <w:rsid w:val="00BA5269"/>
    <w:rsid w:val="00BA5485"/>
    <w:rsid w:val="00BA6269"/>
    <w:rsid w:val="00BA6BE8"/>
    <w:rsid w:val="00BA6F4F"/>
    <w:rsid w:val="00BA778F"/>
    <w:rsid w:val="00BB07FD"/>
    <w:rsid w:val="00BB0DD3"/>
    <w:rsid w:val="00BB16DE"/>
    <w:rsid w:val="00BB1E8E"/>
    <w:rsid w:val="00BB2DD9"/>
    <w:rsid w:val="00BB3351"/>
    <w:rsid w:val="00BB3561"/>
    <w:rsid w:val="00BB3A11"/>
    <w:rsid w:val="00BB3D8C"/>
    <w:rsid w:val="00BB54B0"/>
    <w:rsid w:val="00BB63A3"/>
    <w:rsid w:val="00BB74EC"/>
    <w:rsid w:val="00BB75F2"/>
    <w:rsid w:val="00BB7C6C"/>
    <w:rsid w:val="00BC27EC"/>
    <w:rsid w:val="00BC3413"/>
    <w:rsid w:val="00BC38D5"/>
    <w:rsid w:val="00BC3D5F"/>
    <w:rsid w:val="00BC41CA"/>
    <w:rsid w:val="00BC59EA"/>
    <w:rsid w:val="00BC628A"/>
    <w:rsid w:val="00BC66B8"/>
    <w:rsid w:val="00BD0584"/>
    <w:rsid w:val="00BD07F3"/>
    <w:rsid w:val="00BD15B9"/>
    <w:rsid w:val="00BD1BBF"/>
    <w:rsid w:val="00BD1EFE"/>
    <w:rsid w:val="00BD3FAC"/>
    <w:rsid w:val="00BD45A8"/>
    <w:rsid w:val="00BD4858"/>
    <w:rsid w:val="00BD50C5"/>
    <w:rsid w:val="00BD58D5"/>
    <w:rsid w:val="00BD7186"/>
    <w:rsid w:val="00BE044C"/>
    <w:rsid w:val="00BE06EF"/>
    <w:rsid w:val="00BE0A92"/>
    <w:rsid w:val="00BE0C57"/>
    <w:rsid w:val="00BE2C19"/>
    <w:rsid w:val="00BE2D89"/>
    <w:rsid w:val="00BE3077"/>
    <w:rsid w:val="00BE3BFA"/>
    <w:rsid w:val="00BE3C14"/>
    <w:rsid w:val="00BE43A5"/>
    <w:rsid w:val="00BE4AE9"/>
    <w:rsid w:val="00BE5767"/>
    <w:rsid w:val="00BE5795"/>
    <w:rsid w:val="00BE64FB"/>
    <w:rsid w:val="00BE74FA"/>
    <w:rsid w:val="00BE7FAD"/>
    <w:rsid w:val="00BF0B35"/>
    <w:rsid w:val="00BF0C85"/>
    <w:rsid w:val="00BF145A"/>
    <w:rsid w:val="00BF1780"/>
    <w:rsid w:val="00BF188D"/>
    <w:rsid w:val="00BF209C"/>
    <w:rsid w:val="00BF2AF5"/>
    <w:rsid w:val="00BF3179"/>
    <w:rsid w:val="00BF329E"/>
    <w:rsid w:val="00BF43D0"/>
    <w:rsid w:val="00BF444A"/>
    <w:rsid w:val="00BF48A6"/>
    <w:rsid w:val="00BF49AF"/>
    <w:rsid w:val="00BF5B4D"/>
    <w:rsid w:val="00BF616F"/>
    <w:rsid w:val="00BF65BE"/>
    <w:rsid w:val="00BF6E7E"/>
    <w:rsid w:val="00BF7D31"/>
    <w:rsid w:val="00C010F7"/>
    <w:rsid w:val="00C01482"/>
    <w:rsid w:val="00C015C7"/>
    <w:rsid w:val="00C02412"/>
    <w:rsid w:val="00C024BE"/>
    <w:rsid w:val="00C028C8"/>
    <w:rsid w:val="00C0392C"/>
    <w:rsid w:val="00C03C74"/>
    <w:rsid w:val="00C03CC9"/>
    <w:rsid w:val="00C03CD7"/>
    <w:rsid w:val="00C04460"/>
    <w:rsid w:val="00C0489F"/>
    <w:rsid w:val="00C0521B"/>
    <w:rsid w:val="00C06A45"/>
    <w:rsid w:val="00C06FEB"/>
    <w:rsid w:val="00C100E1"/>
    <w:rsid w:val="00C1050B"/>
    <w:rsid w:val="00C10D86"/>
    <w:rsid w:val="00C110BC"/>
    <w:rsid w:val="00C116F3"/>
    <w:rsid w:val="00C11ED2"/>
    <w:rsid w:val="00C11F2B"/>
    <w:rsid w:val="00C125E7"/>
    <w:rsid w:val="00C148E3"/>
    <w:rsid w:val="00C15122"/>
    <w:rsid w:val="00C15308"/>
    <w:rsid w:val="00C158A1"/>
    <w:rsid w:val="00C17130"/>
    <w:rsid w:val="00C175C5"/>
    <w:rsid w:val="00C17886"/>
    <w:rsid w:val="00C17AA3"/>
    <w:rsid w:val="00C2040A"/>
    <w:rsid w:val="00C2050D"/>
    <w:rsid w:val="00C2059F"/>
    <w:rsid w:val="00C209EB"/>
    <w:rsid w:val="00C2150B"/>
    <w:rsid w:val="00C2165B"/>
    <w:rsid w:val="00C21C12"/>
    <w:rsid w:val="00C22A28"/>
    <w:rsid w:val="00C22AE1"/>
    <w:rsid w:val="00C22B69"/>
    <w:rsid w:val="00C23DE7"/>
    <w:rsid w:val="00C24D32"/>
    <w:rsid w:val="00C250E5"/>
    <w:rsid w:val="00C252E6"/>
    <w:rsid w:val="00C25346"/>
    <w:rsid w:val="00C25E01"/>
    <w:rsid w:val="00C25E5B"/>
    <w:rsid w:val="00C25F35"/>
    <w:rsid w:val="00C26D69"/>
    <w:rsid w:val="00C271A7"/>
    <w:rsid w:val="00C3098B"/>
    <w:rsid w:val="00C30EDC"/>
    <w:rsid w:val="00C30F9D"/>
    <w:rsid w:val="00C31D4C"/>
    <w:rsid w:val="00C320A9"/>
    <w:rsid w:val="00C326B2"/>
    <w:rsid w:val="00C32AE5"/>
    <w:rsid w:val="00C32C3E"/>
    <w:rsid w:val="00C32DC4"/>
    <w:rsid w:val="00C33E5C"/>
    <w:rsid w:val="00C34075"/>
    <w:rsid w:val="00C34252"/>
    <w:rsid w:val="00C342A2"/>
    <w:rsid w:val="00C34689"/>
    <w:rsid w:val="00C34B80"/>
    <w:rsid w:val="00C3624F"/>
    <w:rsid w:val="00C36E8F"/>
    <w:rsid w:val="00C376E9"/>
    <w:rsid w:val="00C3784A"/>
    <w:rsid w:val="00C37E05"/>
    <w:rsid w:val="00C37E70"/>
    <w:rsid w:val="00C413B6"/>
    <w:rsid w:val="00C41416"/>
    <w:rsid w:val="00C42418"/>
    <w:rsid w:val="00C42F82"/>
    <w:rsid w:val="00C43605"/>
    <w:rsid w:val="00C43854"/>
    <w:rsid w:val="00C43A18"/>
    <w:rsid w:val="00C43AC0"/>
    <w:rsid w:val="00C43E04"/>
    <w:rsid w:val="00C447BB"/>
    <w:rsid w:val="00C44E15"/>
    <w:rsid w:val="00C45C2B"/>
    <w:rsid w:val="00C46C86"/>
    <w:rsid w:val="00C4719F"/>
    <w:rsid w:val="00C47DB3"/>
    <w:rsid w:val="00C519B0"/>
    <w:rsid w:val="00C51BFC"/>
    <w:rsid w:val="00C5268A"/>
    <w:rsid w:val="00C54647"/>
    <w:rsid w:val="00C54EB8"/>
    <w:rsid w:val="00C54F31"/>
    <w:rsid w:val="00C56359"/>
    <w:rsid w:val="00C60974"/>
    <w:rsid w:val="00C61406"/>
    <w:rsid w:val="00C6209A"/>
    <w:rsid w:val="00C620BA"/>
    <w:rsid w:val="00C621E3"/>
    <w:rsid w:val="00C63820"/>
    <w:rsid w:val="00C63BB4"/>
    <w:rsid w:val="00C6465C"/>
    <w:rsid w:val="00C65071"/>
    <w:rsid w:val="00C6617D"/>
    <w:rsid w:val="00C6624F"/>
    <w:rsid w:val="00C662FE"/>
    <w:rsid w:val="00C67FDF"/>
    <w:rsid w:val="00C70D01"/>
    <w:rsid w:val="00C70D06"/>
    <w:rsid w:val="00C71F8D"/>
    <w:rsid w:val="00C732C2"/>
    <w:rsid w:val="00C73CB9"/>
    <w:rsid w:val="00C7407D"/>
    <w:rsid w:val="00C74D73"/>
    <w:rsid w:val="00C75552"/>
    <w:rsid w:val="00C7559D"/>
    <w:rsid w:val="00C757C9"/>
    <w:rsid w:val="00C75901"/>
    <w:rsid w:val="00C75B23"/>
    <w:rsid w:val="00C761DF"/>
    <w:rsid w:val="00C76256"/>
    <w:rsid w:val="00C76C3D"/>
    <w:rsid w:val="00C76FF7"/>
    <w:rsid w:val="00C77195"/>
    <w:rsid w:val="00C7745B"/>
    <w:rsid w:val="00C776FE"/>
    <w:rsid w:val="00C77A17"/>
    <w:rsid w:val="00C77ED9"/>
    <w:rsid w:val="00C803ED"/>
    <w:rsid w:val="00C80CB5"/>
    <w:rsid w:val="00C81B82"/>
    <w:rsid w:val="00C82569"/>
    <w:rsid w:val="00C828B9"/>
    <w:rsid w:val="00C82922"/>
    <w:rsid w:val="00C842F8"/>
    <w:rsid w:val="00C84375"/>
    <w:rsid w:val="00C862D3"/>
    <w:rsid w:val="00C864F3"/>
    <w:rsid w:val="00C86756"/>
    <w:rsid w:val="00C86E69"/>
    <w:rsid w:val="00C87813"/>
    <w:rsid w:val="00C902B7"/>
    <w:rsid w:val="00C90346"/>
    <w:rsid w:val="00C90EA9"/>
    <w:rsid w:val="00C918B1"/>
    <w:rsid w:val="00C94116"/>
    <w:rsid w:val="00C95525"/>
    <w:rsid w:val="00C96349"/>
    <w:rsid w:val="00C9720B"/>
    <w:rsid w:val="00CA01DD"/>
    <w:rsid w:val="00CA0C18"/>
    <w:rsid w:val="00CA1EB7"/>
    <w:rsid w:val="00CA271F"/>
    <w:rsid w:val="00CA30BE"/>
    <w:rsid w:val="00CA37B6"/>
    <w:rsid w:val="00CA3867"/>
    <w:rsid w:val="00CA4EC4"/>
    <w:rsid w:val="00CA4ECC"/>
    <w:rsid w:val="00CA609B"/>
    <w:rsid w:val="00CA7F3F"/>
    <w:rsid w:val="00CB04E6"/>
    <w:rsid w:val="00CB0C70"/>
    <w:rsid w:val="00CB106C"/>
    <w:rsid w:val="00CB197D"/>
    <w:rsid w:val="00CB23D1"/>
    <w:rsid w:val="00CB2AE8"/>
    <w:rsid w:val="00CB2E7C"/>
    <w:rsid w:val="00CB2F71"/>
    <w:rsid w:val="00CB3D4D"/>
    <w:rsid w:val="00CB407A"/>
    <w:rsid w:val="00CB49B3"/>
    <w:rsid w:val="00CB5612"/>
    <w:rsid w:val="00CB6A48"/>
    <w:rsid w:val="00CB7148"/>
    <w:rsid w:val="00CC0916"/>
    <w:rsid w:val="00CC0BE3"/>
    <w:rsid w:val="00CC146D"/>
    <w:rsid w:val="00CC16BC"/>
    <w:rsid w:val="00CC2256"/>
    <w:rsid w:val="00CC245F"/>
    <w:rsid w:val="00CC32BB"/>
    <w:rsid w:val="00CC3A71"/>
    <w:rsid w:val="00CC3C62"/>
    <w:rsid w:val="00CC3E1E"/>
    <w:rsid w:val="00CC5C5F"/>
    <w:rsid w:val="00CC65B7"/>
    <w:rsid w:val="00CC66A6"/>
    <w:rsid w:val="00CC6CD8"/>
    <w:rsid w:val="00CC6D7B"/>
    <w:rsid w:val="00CC6FED"/>
    <w:rsid w:val="00CC7593"/>
    <w:rsid w:val="00CD04BC"/>
    <w:rsid w:val="00CD0BE8"/>
    <w:rsid w:val="00CD2855"/>
    <w:rsid w:val="00CD3D2B"/>
    <w:rsid w:val="00CD43B2"/>
    <w:rsid w:val="00CD49C2"/>
    <w:rsid w:val="00CD669D"/>
    <w:rsid w:val="00CD71EE"/>
    <w:rsid w:val="00CD7B34"/>
    <w:rsid w:val="00CE08AF"/>
    <w:rsid w:val="00CE17CE"/>
    <w:rsid w:val="00CE1E6E"/>
    <w:rsid w:val="00CE1FAF"/>
    <w:rsid w:val="00CE2153"/>
    <w:rsid w:val="00CE2BA1"/>
    <w:rsid w:val="00CE4FBD"/>
    <w:rsid w:val="00CE5545"/>
    <w:rsid w:val="00CE5BC9"/>
    <w:rsid w:val="00CE7260"/>
    <w:rsid w:val="00CE7C1C"/>
    <w:rsid w:val="00CE7E6E"/>
    <w:rsid w:val="00CF12BA"/>
    <w:rsid w:val="00CF1407"/>
    <w:rsid w:val="00CF174B"/>
    <w:rsid w:val="00CF1896"/>
    <w:rsid w:val="00CF37F0"/>
    <w:rsid w:val="00CF5528"/>
    <w:rsid w:val="00CF5CC5"/>
    <w:rsid w:val="00CF6567"/>
    <w:rsid w:val="00CF6D31"/>
    <w:rsid w:val="00CF7449"/>
    <w:rsid w:val="00CF798C"/>
    <w:rsid w:val="00D002F8"/>
    <w:rsid w:val="00D00885"/>
    <w:rsid w:val="00D00A6A"/>
    <w:rsid w:val="00D00C76"/>
    <w:rsid w:val="00D018D7"/>
    <w:rsid w:val="00D0195A"/>
    <w:rsid w:val="00D019E9"/>
    <w:rsid w:val="00D02C7C"/>
    <w:rsid w:val="00D031B3"/>
    <w:rsid w:val="00D03206"/>
    <w:rsid w:val="00D04011"/>
    <w:rsid w:val="00D04ADB"/>
    <w:rsid w:val="00D04FB8"/>
    <w:rsid w:val="00D051D6"/>
    <w:rsid w:val="00D054BA"/>
    <w:rsid w:val="00D058F8"/>
    <w:rsid w:val="00D05C37"/>
    <w:rsid w:val="00D05C72"/>
    <w:rsid w:val="00D0689D"/>
    <w:rsid w:val="00D06F8C"/>
    <w:rsid w:val="00D0773F"/>
    <w:rsid w:val="00D0796F"/>
    <w:rsid w:val="00D10CC1"/>
    <w:rsid w:val="00D11A9F"/>
    <w:rsid w:val="00D11B21"/>
    <w:rsid w:val="00D12131"/>
    <w:rsid w:val="00D125F0"/>
    <w:rsid w:val="00D126DB"/>
    <w:rsid w:val="00D130B9"/>
    <w:rsid w:val="00D1488A"/>
    <w:rsid w:val="00D151EA"/>
    <w:rsid w:val="00D155E9"/>
    <w:rsid w:val="00D1576E"/>
    <w:rsid w:val="00D166C0"/>
    <w:rsid w:val="00D167D2"/>
    <w:rsid w:val="00D172D1"/>
    <w:rsid w:val="00D2034E"/>
    <w:rsid w:val="00D22C3F"/>
    <w:rsid w:val="00D22DEB"/>
    <w:rsid w:val="00D24582"/>
    <w:rsid w:val="00D24732"/>
    <w:rsid w:val="00D24E12"/>
    <w:rsid w:val="00D24F63"/>
    <w:rsid w:val="00D25129"/>
    <w:rsid w:val="00D2522F"/>
    <w:rsid w:val="00D2581C"/>
    <w:rsid w:val="00D262DE"/>
    <w:rsid w:val="00D317BC"/>
    <w:rsid w:val="00D31B7A"/>
    <w:rsid w:val="00D32B30"/>
    <w:rsid w:val="00D33B10"/>
    <w:rsid w:val="00D345F9"/>
    <w:rsid w:val="00D349B4"/>
    <w:rsid w:val="00D34D6F"/>
    <w:rsid w:val="00D34F00"/>
    <w:rsid w:val="00D351C6"/>
    <w:rsid w:val="00D35805"/>
    <w:rsid w:val="00D35942"/>
    <w:rsid w:val="00D3743F"/>
    <w:rsid w:val="00D37778"/>
    <w:rsid w:val="00D406EA"/>
    <w:rsid w:val="00D41F7A"/>
    <w:rsid w:val="00D4300D"/>
    <w:rsid w:val="00D4550A"/>
    <w:rsid w:val="00D46CFB"/>
    <w:rsid w:val="00D473DC"/>
    <w:rsid w:val="00D51FBA"/>
    <w:rsid w:val="00D52514"/>
    <w:rsid w:val="00D526E3"/>
    <w:rsid w:val="00D52DE4"/>
    <w:rsid w:val="00D534A7"/>
    <w:rsid w:val="00D53E14"/>
    <w:rsid w:val="00D542B7"/>
    <w:rsid w:val="00D54B76"/>
    <w:rsid w:val="00D54F45"/>
    <w:rsid w:val="00D553DC"/>
    <w:rsid w:val="00D554C8"/>
    <w:rsid w:val="00D56861"/>
    <w:rsid w:val="00D5761C"/>
    <w:rsid w:val="00D5786D"/>
    <w:rsid w:val="00D57F7C"/>
    <w:rsid w:val="00D60973"/>
    <w:rsid w:val="00D61B47"/>
    <w:rsid w:val="00D61CB1"/>
    <w:rsid w:val="00D61D71"/>
    <w:rsid w:val="00D62FF7"/>
    <w:rsid w:val="00D636E5"/>
    <w:rsid w:val="00D638D2"/>
    <w:rsid w:val="00D64498"/>
    <w:rsid w:val="00D652D4"/>
    <w:rsid w:val="00D658BB"/>
    <w:rsid w:val="00D65F79"/>
    <w:rsid w:val="00D66CA4"/>
    <w:rsid w:val="00D66F8D"/>
    <w:rsid w:val="00D715A4"/>
    <w:rsid w:val="00D71CC0"/>
    <w:rsid w:val="00D71F0E"/>
    <w:rsid w:val="00D72845"/>
    <w:rsid w:val="00D72D8E"/>
    <w:rsid w:val="00D74BF9"/>
    <w:rsid w:val="00D74C40"/>
    <w:rsid w:val="00D7758E"/>
    <w:rsid w:val="00D808DB"/>
    <w:rsid w:val="00D80C2B"/>
    <w:rsid w:val="00D81B45"/>
    <w:rsid w:val="00D82034"/>
    <w:rsid w:val="00D8250B"/>
    <w:rsid w:val="00D82F4C"/>
    <w:rsid w:val="00D83002"/>
    <w:rsid w:val="00D845C9"/>
    <w:rsid w:val="00D84BF3"/>
    <w:rsid w:val="00D84CB2"/>
    <w:rsid w:val="00D84CEA"/>
    <w:rsid w:val="00D855C3"/>
    <w:rsid w:val="00D8621A"/>
    <w:rsid w:val="00D86BCE"/>
    <w:rsid w:val="00D873AB"/>
    <w:rsid w:val="00D874B3"/>
    <w:rsid w:val="00D876A4"/>
    <w:rsid w:val="00D87A83"/>
    <w:rsid w:val="00D902FC"/>
    <w:rsid w:val="00D9041A"/>
    <w:rsid w:val="00D90458"/>
    <w:rsid w:val="00D90532"/>
    <w:rsid w:val="00D90BE3"/>
    <w:rsid w:val="00D914AE"/>
    <w:rsid w:val="00D91C2A"/>
    <w:rsid w:val="00D93CCF"/>
    <w:rsid w:val="00D93F23"/>
    <w:rsid w:val="00D93F5C"/>
    <w:rsid w:val="00D94AA2"/>
    <w:rsid w:val="00D94B73"/>
    <w:rsid w:val="00D94F6E"/>
    <w:rsid w:val="00D955E3"/>
    <w:rsid w:val="00D959D7"/>
    <w:rsid w:val="00D95A4C"/>
    <w:rsid w:val="00D96260"/>
    <w:rsid w:val="00D962E1"/>
    <w:rsid w:val="00D967C9"/>
    <w:rsid w:val="00D96946"/>
    <w:rsid w:val="00D97103"/>
    <w:rsid w:val="00D97979"/>
    <w:rsid w:val="00D97F14"/>
    <w:rsid w:val="00DA0CAE"/>
    <w:rsid w:val="00DA15E3"/>
    <w:rsid w:val="00DA3532"/>
    <w:rsid w:val="00DA39EE"/>
    <w:rsid w:val="00DA4B3A"/>
    <w:rsid w:val="00DA50AB"/>
    <w:rsid w:val="00DA5206"/>
    <w:rsid w:val="00DA521A"/>
    <w:rsid w:val="00DA605D"/>
    <w:rsid w:val="00DA6872"/>
    <w:rsid w:val="00DA6B91"/>
    <w:rsid w:val="00DA6F75"/>
    <w:rsid w:val="00DA744D"/>
    <w:rsid w:val="00DA7826"/>
    <w:rsid w:val="00DA7D6B"/>
    <w:rsid w:val="00DB03D2"/>
    <w:rsid w:val="00DB06D1"/>
    <w:rsid w:val="00DB0A03"/>
    <w:rsid w:val="00DB0EB5"/>
    <w:rsid w:val="00DB1480"/>
    <w:rsid w:val="00DB155F"/>
    <w:rsid w:val="00DB1708"/>
    <w:rsid w:val="00DB1B1C"/>
    <w:rsid w:val="00DB2016"/>
    <w:rsid w:val="00DB2B74"/>
    <w:rsid w:val="00DB2E19"/>
    <w:rsid w:val="00DB2F15"/>
    <w:rsid w:val="00DB328C"/>
    <w:rsid w:val="00DB3938"/>
    <w:rsid w:val="00DB3AD2"/>
    <w:rsid w:val="00DB3C70"/>
    <w:rsid w:val="00DB3CBA"/>
    <w:rsid w:val="00DB3E4B"/>
    <w:rsid w:val="00DB56F7"/>
    <w:rsid w:val="00DB7199"/>
    <w:rsid w:val="00DB760D"/>
    <w:rsid w:val="00DC030A"/>
    <w:rsid w:val="00DC03FC"/>
    <w:rsid w:val="00DC0981"/>
    <w:rsid w:val="00DC189F"/>
    <w:rsid w:val="00DC1C8F"/>
    <w:rsid w:val="00DC1EE6"/>
    <w:rsid w:val="00DC1F9B"/>
    <w:rsid w:val="00DC28AF"/>
    <w:rsid w:val="00DC300A"/>
    <w:rsid w:val="00DC3999"/>
    <w:rsid w:val="00DC424E"/>
    <w:rsid w:val="00DC5730"/>
    <w:rsid w:val="00DC5C2C"/>
    <w:rsid w:val="00DC5C34"/>
    <w:rsid w:val="00DC79A9"/>
    <w:rsid w:val="00DD054F"/>
    <w:rsid w:val="00DD058B"/>
    <w:rsid w:val="00DD08B5"/>
    <w:rsid w:val="00DD0F66"/>
    <w:rsid w:val="00DD19DE"/>
    <w:rsid w:val="00DD22B5"/>
    <w:rsid w:val="00DD2316"/>
    <w:rsid w:val="00DD28FD"/>
    <w:rsid w:val="00DD2926"/>
    <w:rsid w:val="00DD2B74"/>
    <w:rsid w:val="00DD4F63"/>
    <w:rsid w:val="00DD54EF"/>
    <w:rsid w:val="00DD670F"/>
    <w:rsid w:val="00DD6BC7"/>
    <w:rsid w:val="00DD720E"/>
    <w:rsid w:val="00DD7897"/>
    <w:rsid w:val="00DD7CA0"/>
    <w:rsid w:val="00DD7CF5"/>
    <w:rsid w:val="00DE173B"/>
    <w:rsid w:val="00DE1FAC"/>
    <w:rsid w:val="00DE393D"/>
    <w:rsid w:val="00DE3F07"/>
    <w:rsid w:val="00DE4A2C"/>
    <w:rsid w:val="00DE4AFF"/>
    <w:rsid w:val="00DE5FCB"/>
    <w:rsid w:val="00DE63FE"/>
    <w:rsid w:val="00DE6A41"/>
    <w:rsid w:val="00DE6CB3"/>
    <w:rsid w:val="00DE79B2"/>
    <w:rsid w:val="00DF067A"/>
    <w:rsid w:val="00DF0E8D"/>
    <w:rsid w:val="00DF13B1"/>
    <w:rsid w:val="00DF245B"/>
    <w:rsid w:val="00DF4096"/>
    <w:rsid w:val="00DF42FE"/>
    <w:rsid w:val="00DF4D3E"/>
    <w:rsid w:val="00DF6A8B"/>
    <w:rsid w:val="00DF745E"/>
    <w:rsid w:val="00DF7883"/>
    <w:rsid w:val="00E00989"/>
    <w:rsid w:val="00E00FE9"/>
    <w:rsid w:val="00E048FC"/>
    <w:rsid w:val="00E049F5"/>
    <w:rsid w:val="00E04AF3"/>
    <w:rsid w:val="00E04C0A"/>
    <w:rsid w:val="00E060EF"/>
    <w:rsid w:val="00E066BA"/>
    <w:rsid w:val="00E0679B"/>
    <w:rsid w:val="00E07E8D"/>
    <w:rsid w:val="00E10EDC"/>
    <w:rsid w:val="00E1106F"/>
    <w:rsid w:val="00E129B4"/>
    <w:rsid w:val="00E15405"/>
    <w:rsid w:val="00E157F9"/>
    <w:rsid w:val="00E162D5"/>
    <w:rsid w:val="00E16BD2"/>
    <w:rsid w:val="00E16F7E"/>
    <w:rsid w:val="00E170CB"/>
    <w:rsid w:val="00E17AB5"/>
    <w:rsid w:val="00E2146C"/>
    <w:rsid w:val="00E214B9"/>
    <w:rsid w:val="00E21501"/>
    <w:rsid w:val="00E22AC6"/>
    <w:rsid w:val="00E22B16"/>
    <w:rsid w:val="00E231DF"/>
    <w:rsid w:val="00E24730"/>
    <w:rsid w:val="00E24A71"/>
    <w:rsid w:val="00E2566E"/>
    <w:rsid w:val="00E25A02"/>
    <w:rsid w:val="00E265DA"/>
    <w:rsid w:val="00E267D9"/>
    <w:rsid w:val="00E268FA"/>
    <w:rsid w:val="00E26E72"/>
    <w:rsid w:val="00E26FA7"/>
    <w:rsid w:val="00E27FA9"/>
    <w:rsid w:val="00E30157"/>
    <w:rsid w:val="00E30D1E"/>
    <w:rsid w:val="00E320B6"/>
    <w:rsid w:val="00E323BB"/>
    <w:rsid w:val="00E3394F"/>
    <w:rsid w:val="00E346AB"/>
    <w:rsid w:val="00E34A51"/>
    <w:rsid w:val="00E350A2"/>
    <w:rsid w:val="00E354E7"/>
    <w:rsid w:val="00E35963"/>
    <w:rsid w:val="00E364C9"/>
    <w:rsid w:val="00E36CE6"/>
    <w:rsid w:val="00E3791F"/>
    <w:rsid w:val="00E4052D"/>
    <w:rsid w:val="00E408E0"/>
    <w:rsid w:val="00E4184A"/>
    <w:rsid w:val="00E425C4"/>
    <w:rsid w:val="00E42D13"/>
    <w:rsid w:val="00E43A35"/>
    <w:rsid w:val="00E44FB7"/>
    <w:rsid w:val="00E45338"/>
    <w:rsid w:val="00E460B3"/>
    <w:rsid w:val="00E473CC"/>
    <w:rsid w:val="00E4749B"/>
    <w:rsid w:val="00E506B6"/>
    <w:rsid w:val="00E50BB9"/>
    <w:rsid w:val="00E51997"/>
    <w:rsid w:val="00E51A5B"/>
    <w:rsid w:val="00E51B76"/>
    <w:rsid w:val="00E52673"/>
    <w:rsid w:val="00E526B9"/>
    <w:rsid w:val="00E5435D"/>
    <w:rsid w:val="00E5447D"/>
    <w:rsid w:val="00E5521A"/>
    <w:rsid w:val="00E56153"/>
    <w:rsid w:val="00E56175"/>
    <w:rsid w:val="00E5655D"/>
    <w:rsid w:val="00E576AC"/>
    <w:rsid w:val="00E6039D"/>
    <w:rsid w:val="00E603C0"/>
    <w:rsid w:val="00E6050A"/>
    <w:rsid w:val="00E60CD3"/>
    <w:rsid w:val="00E60EAB"/>
    <w:rsid w:val="00E60EE0"/>
    <w:rsid w:val="00E60F0D"/>
    <w:rsid w:val="00E61669"/>
    <w:rsid w:val="00E618E0"/>
    <w:rsid w:val="00E620CD"/>
    <w:rsid w:val="00E64B88"/>
    <w:rsid w:val="00E6527F"/>
    <w:rsid w:val="00E65654"/>
    <w:rsid w:val="00E65EE3"/>
    <w:rsid w:val="00E66016"/>
    <w:rsid w:val="00E660B3"/>
    <w:rsid w:val="00E67672"/>
    <w:rsid w:val="00E705B1"/>
    <w:rsid w:val="00E70C4C"/>
    <w:rsid w:val="00E71510"/>
    <w:rsid w:val="00E71569"/>
    <w:rsid w:val="00E726CA"/>
    <w:rsid w:val="00E72C97"/>
    <w:rsid w:val="00E73043"/>
    <w:rsid w:val="00E73532"/>
    <w:rsid w:val="00E75719"/>
    <w:rsid w:val="00E774FB"/>
    <w:rsid w:val="00E7788A"/>
    <w:rsid w:val="00E80424"/>
    <w:rsid w:val="00E80555"/>
    <w:rsid w:val="00E814F4"/>
    <w:rsid w:val="00E81EDC"/>
    <w:rsid w:val="00E82DF1"/>
    <w:rsid w:val="00E83157"/>
    <w:rsid w:val="00E838B7"/>
    <w:rsid w:val="00E85389"/>
    <w:rsid w:val="00E8604F"/>
    <w:rsid w:val="00E87095"/>
    <w:rsid w:val="00E87598"/>
    <w:rsid w:val="00E87826"/>
    <w:rsid w:val="00E916D4"/>
    <w:rsid w:val="00E91983"/>
    <w:rsid w:val="00E9242C"/>
    <w:rsid w:val="00E93C06"/>
    <w:rsid w:val="00E94742"/>
    <w:rsid w:val="00E9481C"/>
    <w:rsid w:val="00E954E4"/>
    <w:rsid w:val="00E957CB"/>
    <w:rsid w:val="00E97F29"/>
    <w:rsid w:val="00EA0072"/>
    <w:rsid w:val="00EA01A9"/>
    <w:rsid w:val="00EA081D"/>
    <w:rsid w:val="00EA0C14"/>
    <w:rsid w:val="00EA1906"/>
    <w:rsid w:val="00EA2777"/>
    <w:rsid w:val="00EA463B"/>
    <w:rsid w:val="00EA4FBE"/>
    <w:rsid w:val="00EA60D8"/>
    <w:rsid w:val="00EA6458"/>
    <w:rsid w:val="00EA76BF"/>
    <w:rsid w:val="00EA7727"/>
    <w:rsid w:val="00EA77E7"/>
    <w:rsid w:val="00EA7CB9"/>
    <w:rsid w:val="00EB1304"/>
    <w:rsid w:val="00EB190A"/>
    <w:rsid w:val="00EB31F7"/>
    <w:rsid w:val="00EB33EA"/>
    <w:rsid w:val="00EB3765"/>
    <w:rsid w:val="00EB397F"/>
    <w:rsid w:val="00EB3D52"/>
    <w:rsid w:val="00EB4AAA"/>
    <w:rsid w:val="00EB4D93"/>
    <w:rsid w:val="00EB4E08"/>
    <w:rsid w:val="00EB5386"/>
    <w:rsid w:val="00EB53C5"/>
    <w:rsid w:val="00EB5862"/>
    <w:rsid w:val="00EB5AD7"/>
    <w:rsid w:val="00EB5C24"/>
    <w:rsid w:val="00EB7C31"/>
    <w:rsid w:val="00EB7DCA"/>
    <w:rsid w:val="00EB7E0B"/>
    <w:rsid w:val="00EC00BA"/>
    <w:rsid w:val="00EC0968"/>
    <w:rsid w:val="00EC1160"/>
    <w:rsid w:val="00EC16B6"/>
    <w:rsid w:val="00EC1EAC"/>
    <w:rsid w:val="00EC1FA6"/>
    <w:rsid w:val="00EC1FE2"/>
    <w:rsid w:val="00EC23A0"/>
    <w:rsid w:val="00EC29B9"/>
    <w:rsid w:val="00EC2A22"/>
    <w:rsid w:val="00EC3450"/>
    <w:rsid w:val="00EC4A57"/>
    <w:rsid w:val="00EC77A9"/>
    <w:rsid w:val="00EC7B23"/>
    <w:rsid w:val="00ED0BC4"/>
    <w:rsid w:val="00ED1D37"/>
    <w:rsid w:val="00ED2C75"/>
    <w:rsid w:val="00ED3558"/>
    <w:rsid w:val="00ED4E2C"/>
    <w:rsid w:val="00ED536D"/>
    <w:rsid w:val="00ED6479"/>
    <w:rsid w:val="00ED682E"/>
    <w:rsid w:val="00ED6B9F"/>
    <w:rsid w:val="00ED6E30"/>
    <w:rsid w:val="00ED794E"/>
    <w:rsid w:val="00EE158F"/>
    <w:rsid w:val="00EE19E7"/>
    <w:rsid w:val="00EE1B92"/>
    <w:rsid w:val="00EE20C4"/>
    <w:rsid w:val="00EE39DD"/>
    <w:rsid w:val="00EE5169"/>
    <w:rsid w:val="00EE51A7"/>
    <w:rsid w:val="00EE5EEB"/>
    <w:rsid w:val="00EE5F32"/>
    <w:rsid w:val="00EE6144"/>
    <w:rsid w:val="00EE64E8"/>
    <w:rsid w:val="00EE74C8"/>
    <w:rsid w:val="00EF01F6"/>
    <w:rsid w:val="00EF022A"/>
    <w:rsid w:val="00EF03A0"/>
    <w:rsid w:val="00EF0BE0"/>
    <w:rsid w:val="00EF0D4B"/>
    <w:rsid w:val="00EF1880"/>
    <w:rsid w:val="00EF3376"/>
    <w:rsid w:val="00EF3CAA"/>
    <w:rsid w:val="00EF4493"/>
    <w:rsid w:val="00EF469A"/>
    <w:rsid w:val="00EF4D12"/>
    <w:rsid w:val="00EF5134"/>
    <w:rsid w:val="00EF54E1"/>
    <w:rsid w:val="00EF579B"/>
    <w:rsid w:val="00EF58C2"/>
    <w:rsid w:val="00F0104A"/>
    <w:rsid w:val="00F01065"/>
    <w:rsid w:val="00F01492"/>
    <w:rsid w:val="00F02F4F"/>
    <w:rsid w:val="00F03932"/>
    <w:rsid w:val="00F04074"/>
    <w:rsid w:val="00F0413B"/>
    <w:rsid w:val="00F04890"/>
    <w:rsid w:val="00F05236"/>
    <w:rsid w:val="00F06353"/>
    <w:rsid w:val="00F0772A"/>
    <w:rsid w:val="00F109D6"/>
    <w:rsid w:val="00F109E9"/>
    <w:rsid w:val="00F10D00"/>
    <w:rsid w:val="00F11022"/>
    <w:rsid w:val="00F110E9"/>
    <w:rsid w:val="00F11130"/>
    <w:rsid w:val="00F14060"/>
    <w:rsid w:val="00F14338"/>
    <w:rsid w:val="00F14E13"/>
    <w:rsid w:val="00F17871"/>
    <w:rsid w:val="00F17EF8"/>
    <w:rsid w:val="00F22401"/>
    <w:rsid w:val="00F22F80"/>
    <w:rsid w:val="00F22F9B"/>
    <w:rsid w:val="00F236B5"/>
    <w:rsid w:val="00F2372A"/>
    <w:rsid w:val="00F250C1"/>
    <w:rsid w:val="00F251AE"/>
    <w:rsid w:val="00F26293"/>
    <w:rsid w:val="00F26C46"/>
    <w:rsid w:val="00F273DA"/>
    <w:rsid w:val="00F27796"/>
    <w:rsid w:val="00F31049"/>
    <w:rsid w:val="00F31AFF"/>
    <w:rsid w:val="00F31DB6"/>
    <w:rsid w:val="00F325B4"/>
    <w:rsid w:val="00F32B38"/>
    <w:rsid w:val="00F32D3E"/>
    <w:rsid w:val="00F3393D"/>
    <w:rsid w:val="00F33A7D"/>
    <w:rsid w:val="00F3479B"/>
    <w:rsid w:val="00F35386"/>
    <w:rsid w:val="00F354D8"/>
    <w:rsid w:val="00F354EC"/>
    <w:rsid w:val="00F3645A"/>
    <w:rsid w:val="00F36466"/>
    <w:rsid w:val="00F37542"/>
    <w:rsid w:val="00F4023E"/>
    <w:rsid w:val="00F40C26"/>
    <w:rsid w:val="00F4124A"/>
    <w:rsid w:val="00F4175F"/>
    <w:rsid w:val="00F41A91"/>
    <w:rsid w:val="00F421AC"/>
    <w:rsid w:val="00F43B68"/>
    <w:rsid w:val="00F44195"/>
    <w:rsid w:val="00F444E4"/>
    <w:rsid w:val="00F45193"/>
    <w:rsid w:val="00F45AA2"/>
    <w:rsid w:val="00F46BAF"/>
    <w:rsid w:val="00F47AF8"/>
    <w:rsid w:val="00F50449"/>
    <w:rsid w:val="00F512D6"/>
    <w:rsid w:val="00F51CAA"/>
    <w:rsid w:val="00F51CFE"/>
    <w:rsid w:val="00F520EA"/>
    <w:rsid w:val="00F529B6"/>
    <w:rsid w:val="00F53687"/>
    <w:rsid w:val="00F53DAA"/>
    <w:rsid w:val="00F53DCD"/>
    <w:rsid w:val="00F54E62"/>
    <w:rsid w:val="00F55694"/>
    <w:rsid w:val="00F56DE6"/>
    <w:rsid w:val="00F56F50"/>
    <w:rsid w:val="00F60A27"/>
    <w:rsid w:val="00F60B3F"/>
    <w:rsid w:val="00F60C57"/>
    <w:rsid w:val="00F61357"/>
    <w:rsid w:val="00F61742"/>
    <w:rsid w:val="00F61B0E"/>
    <w:rsid w:val="00F62005"/>
    <w:rsid w:val="00F62095"/>
    <w:rsid w:val="00F62A61"/>
    <w:rsid w:val="00F62C4B"/>
    <w:rsid w:val="00F63324"/>
    <w:rsid w:val="00F63B0C"/>
    <w:rsid w:val="00F64D68"/>
    <w:rsid w:val="00F64F4F"/>
    <w:rsid w:val="00F657AE"/>
    <w:rsid w:val="00F65B68"/>
    <w:rsid w:val="00F65F59"/>
    <w:rsid w:val="00F66DEF"/>
    <w:rsid w:val="00F66E7B"/>
    <w:rsid w:val="00F67CB0"/>
    <w:rsid w:val="00F7045A"/>
    <w:rsid w:val="00F711B4"/>
    <w:rsid w:val="00F711B5"/>
    <w:rsid w:val="00F714EC"/>
    <w:rsid w:val="00F7171F"/>
    <w:rsid w:val="00F71CE9"/>
    <w:rsid w:val="00F72D08"/>
    <w:rsid w:val="00F7424E"/>
    <w:rsid w:val="00F74545"/>
    <w:rsid w:val="00F74882"/>
    <w:rsid w:val="00F74FC2"/>
    <w:rsid w:val="00F75837"/>
    <w:rsid w:val="00F76669"/>
    <w:rsid w:val="00F76BA1"/>
    <w:rsid w:val="00F77A49"/>
    <w:rsid w:val="00F80507"/>
    <w:rsid w:val="00F80EF1"/>
    <w:rsid w:val="00F81031"/>
    <w:rsid w:val="00F815A6"/>
    <w:rsid w:val="00F822E6"/>
    <w:rsid w:val="00F8262C"/>
    <w:rsid w:val="00F8276E"/>
    <w:rsid w:val="00F82877"/>
    <w:rsid w:val="00F84F2A"/>
    <w:rsid w:val="00F85055"/>
    <w:rsid w:val="00F856C5"/>
    <w:rsid w:val="00F8736C"/>
    <w:rsid w:val="00F87A9A"/>
    <w:rsid w:val="00F87AB7"/>
    <w:rsid w:val="00F90288"/>
    <w:rsid w:val="00F90983"/>
    <w:rsid w:val="00F919ED"/>
    <w:rsid w:val="00F9301F"/>
    <w:rsid w:val="00F935A6"/>
    <w:rsid w:val="00F94243"/>
    <w:rsid w:val="00F94903"/>
    <w:rsid w:val="00F9617E"/>
    <w:rsid w:val="00F9752A"/>
    <w:rsid w:val="00F97A2B"/>
    <w:rsid w:val="00FA054E"/>
    <w:rsid w:val="00FA158B"/>
    <w:rsid w:val="00FA2093"/>
    <w:rsid w:val="00FA25B3"/>
    <w:rsid w:val="00FA27B9"/>
    <w:rsid w:val="00FA28B0"/>
    <w:rsid w:val="00FA2B69"/>
    <w:rsid w:val="00FA2D89"/>
    <w:rsid w:val="00FA311D"/>
    <w:rsid w:val="00FA3682"/>
    <w:rsid w:val="00FA3E35"/>
    <w:rsid w:val="00FA43E8"/>
    <w:rsid w:val="00FA689D"/>
    <w:rsid w:val="00FA72BC"/>
    <w:rsid w:val="00FA7DAE"/>
    <w:rsid w:val="00FB02A8"/>
    <w:rsid w:val="00FB13D7"/>
    <w:rsid w:val="00FB145B"/>
    <w:rsid w:val="00FB1B76"/>
    <w:rsid w:val="00FB1C45"/>
    <w:rsid w:val="00FB1EF0"/>
    <w:rsid w:val="00FB39A5"/>
    <w:rsid w:val="00FB3B23"/>
    <w:rsid w:val="00FB473B"/>
    <w:rsid w:val="00FB5736"/>
    <w:rsid w:val="00FB5FF8"/>
    <w:rsid w:val="00FB6D77"/>
    <w:rsid w:val="00FB7308"/>
    <w:rsid w:val="00FB775E"/>
    <w:rsid w:val="00FC0A41"/>
    <w:rsid w:val="00FC1275"/>
    <w:rsid w:val="00FC1332"/>
    <w:rsid w:val="00FC1427"/>
    <w:rsid w:val="00FC1774"/>
    <w:rsid w:val="00FC28EA"/>
    <w:rsid w:val="00FC298B"/>
    <w:rsid w:val="00FC2CB4"/>
    <w:rsid w:val="00FC44F3"/>
    <w:rsid w:val="00FC4EA6"/>
    <w:rsid w:val="00FC5A4F"/>
    <w:rsid w:val="00FC6000"/>
    <w:rsid w:val="00FC6BAD"/>
    <w:rsid w:val="00FD004B"/>
    <w:rsid w:val="00FD037C"/>
    <w:rsid w:val="00FD0C36"/>
    <w:rsid w:val="00FD16B2"/>
    <w:rsid w:val="00FD1779"/>
    <w:rsid w:val="00FD19F5"/>
    <w:rsid w:val="00FD21A3"/>
    <w:rsid w:val="00FD237A"/>
    <w:rsid w:val="00FD2580"/>
    <w:rsid w:val="00FD3ADE"/>
    <w:rsid w:val="00FD43CA"/>
    <w:rsid w:val="00FD4FFB"/>
    <w:rsid w:val="00FD51F2"/>
    <w:rsid w:val="00FD5557"/>
    <w:rsid w:val="00FD5EFD"/>
    <w:rsid w:val="00FD6174"/>
    <w:rsid w:val="00FD6E14"/>
    <w:rsid w:val="00FD7035"/>
    <w:rsid w:val="00FE1201"/>
    <w:rsid w:val="00FE4559"/>
    <w:rsid w:val="00FE4A89"/>
    <w:rsid w:val="00FE4A9B"/>
    <w:rsid w:val="00FE5937"/>
    <w:rsid w:val="00FE6424"/>
    <w:rsid w:val="00FE6887"/>
    <w:rsid w:val="00FF053C"/>
    <w:rsid w:val="00FF0549"/>
    <w:rsid w:val="00FF0574"/>
    <w:rsid w:val="00FF0815"/>
    <w:rsid w:val="00FF08FE"/>
    <w:rsid w:val="00FF0E06"/>
    <w:rsid w:val="00FF12AB"/>
    <w:rsid w:val="00FF191C"/>
    <w:rsid w:val="00FF4202"/>
    <w:rsid w:val="00FF5792"/>
    <w:rsid w:val="00FF5F95"/>
    <w:rsid w:val="00FF6BEA"/>
    <w:rsid w:val="00FF6C22"/>
    <w:rsid w:val="015D3A0A"/>
    <w:rsid w:val="035941AB"/>
    <w:rsid w:val="036D286B"/>
    <w:rsid w:val="03D5136E"/>
    <w:rsid w:val="03DE4803"/>
    <w:rsid w:val="03FA4B86"/>
    <w:rsid w:val="040300D0"/>
    <w:rsid w:val="047C559E"/>
    <w:rsid w:val="04F1119D"/>
    <w:rsid w:val="04FD3A4F"/>
    <w:rsid w:val="055F4103"/>
    <w:rsid w:val="05BC11C9"/>
    <w:rsid w:val="05F357D0"/>
    <w:rsid w:val="063A7DB1"/>
    <w:rsid w:val="063C64F5"/>
    <w:rsid w:val="068D34A2"/>
    <w:rsid w:val="0691031A"/>
    <w:rsid w:val="071776EA"/>
    <w:rsid w:val="07550729"/>
    <w:rsid w:val="07E745B3"/>
    <w:rsid w:val="089E34F5"/>
    <w:rsid w:val="09C63D96"/>
    <w:rsid w:val="0A073E44"/>
    <w:rsid w:val="0AA20EDF"/>
    <w:rsid w:val="0B252D26"/>
    <w:rsid w:val="0B38656F"/>
    <w:rsid w:val="0BB20188"/>
    <w:rsid w:val="0C132289"/>
    <w:rsid w:val="0CB657C6"/>
    <w:rsid w:val="0D407795"/>
    <w:rsid w:val="0E790013"/>
    <w:rsid w:val="0E7E3011"/>
    <w:rsid w:val="0EB765CD"/>
    <w:rsid w:val="0EC358ED"/>
    <w:rsid w:val="0EDA4B0D"/>
    <w:rsid w:val="0EFC7001"/>
    <w:rsid w:val="0F156F83"/>
    <w:rsid w:val="0F6B6953"/>
    <w:rsid w:val="0F707843"/>
    <w:rsid w:val="10004DA3"/>
    <w:rsid w:val="100F0F06"/>
    <w:rsid w:val="10133CEC"/>
    <w:rsid w:val="10471B90"/>
    <w:rsid w:val="10CE0ABD"/>
    <w:rsid w:val="10FF683C"/>
    <w:rsid w:val="116A08C3"/>
    <w:rsid w:val="11A33C0D"/>
    <w:rsid w:val="11B973F8"/>
    <w:rsid w:val="127B43B6"/>
    <w:rsid w:val="13680C0A"/>
    <w:rsid w:val="13A04ADA"/>
    <w:rsid w:val="13BD7F7E"/>
    <w:rsid w:val="14EA6FA1"/>
    <w:rsid w:val="152D3131"/>
    <w:rsid w:val="15BF7B05"/>
    <w:rsid w:val="15E22820"/>
    <w:rsid w:val="160D6B43"/>
    <w:rsid w:val="16872EBB"/>
    <w:rsid w:val="16D042ED"/>
    <w:rsid w:val="17BA0C20"/>
    <w:rsid w:val="18BD6938"/>
    <w:rsid w:val="19E87FDB"/>
    <w:rsid w:val="1AC11F8B"/>
    <w:rsid w:val="1B05209B"/>
    <w:rsid w:val="1B0B329C"/>
    <w:rsid w:val="1BA230FD"/>
    <w:rsid w:val="1BA634C6"/>
    <w:rsid w:val="1BB67EAD"/>
    <w:rsid w:val="1C2025FB"/>
    <w:rsid w:val="1C635AC0"/>
    <w:rsid w:val="1CEE3C8E"/>
    <w:rsid w:val="1E930565"/>
    <w:rsid w:val="1E9C1534"/>
    <w:rsid w:val="1EA33558"/>
    <w:rsid w:val="1ED52605"/>
    <w:rsid w:val="1F6D75A9"/>
    <w:rsid w:val="200759D0"/>
    <w:rsid w:val="20CD2F2D"/>
    <w:rsid w:val="20D05411"/>
    <w:rsid w:val="21301249"/>
    <w:rsid w:val="21590C6F"/>
    <w:rsid w:val="21600162"/>
    <w:rsid w:val="230954A7"/>
    <w:rsid w:val="23444524"/>
    <w:rsid w:val="23575B67"/>
    <w:rsid w:val="23754123"/>
    <w:rsid w:val="242A46F0"/>
    <w:rsid w:val="24CE3299"/>
    <w:rsid w:val="253B76A6"/>
    <w:rsid w:val="25FA16A4"/>
    <w:rsid w:val="260C6ABC"/>
    <w:rsid w:val="26874BD1"/>
    <w:rsid w:val="26CC4DFF"/>
    <w:rsid w:val="26CE0A8C"/>
    <w:rsid w:val="273A0BF1"/>
    <w:rsid w:val="27605C0F"/>
    <w:rsid w:val="282C0B4D"/>
    <w:rsid w:val="29A61AF6"/>
    <w:rsid w:val="29A62909"/>
    <w:rsid w:val="29E95322"/>
    <w:rsid w:val="29EC0AC1"/>
    <w:rsid w:val="2AE2377A"/>
    <w:rsid w:val="2D2E581F"/>
    <w:rsid w:val="2E54239A"/>
    <w:rsid w:val="2ED86341"/>
    <w:rsid w:val="2F7512DC"/>
    <w:rsid w:val="2F9D053B"/>
    <w:rsid w:val="31126690"/>
    <w:rsid w:val="311745F7"/>
    <w:rsid w:val="319369D6"/>
    <w:rsid w:val="333A1DBF"/>
    <w:rsid w:val="35D85E66"/>
    <w:rsid w:val="36EE4E57"/>
    <w:rsid w:val="37150697"/>
    <w:rsid w:val="39260332"/>
    <w:rsid w:val="39454C35"/>
    <w:rsid w:val="39A55E66"/>
    <w:rsid w:val="39E51EF7"/>
    <w:rsid w:val="3A4E5378"/>
    <w:rsid w:val="3A8A7049"/>
    <w:rsid w:val="3BEB5AC1"/>
    <w:rsid w:val="3C7075E4"/>
    <w:rsid w:val="3C73358E"/>
    <w:rsid w:val="3CB215BE"/>
    <w:rsid w:val="3DE22A9D"/>
    <w:rsid w:val="3FD37425"/>
    <w:rsid w:val="40B23823"/>
    <w:rsid w:val="40EC55EA"/>
    <w:rsid w:val="41806924"/>
    <w:rsid w:val="420F2347"/>
    <w:rsid w:val="42D1119D"/>
    <w:rsid w:val="432D61BB"/>
    <w:rsid w:val="4354380F"/>
    <w:rsid w:val="437F5F72"/>
    <w:rsid w:val="43EE4B89"/>
    <w:rsid w:val="43F33D10"/>
    <w:rsid w:val="447103A1"/>
    <w:rsid w:val="44727557"/>
    <w:rsid w:val="455D7376"/>
    <w:rsid w:val="45B4341C"/>
    <w:rsid w:val="463D62BC"/>
    <w:rsid w:val="46AE76A0"/>
    <w:rsid w:val="475442BC"/>
    <w:rsid w:val="479A273C"/>
    <w:rsid w:val="47C87427"/>
    <w:rsid w:val="484A2925"/>
    <w:rsid w:val="48EA3FA2"/>
    <w:rsid w:val="491175F8"/>
    <w:rsid w:val="49F53A7E"/>
    <w:rsid w:val="4A45381C"/>
    <w:rsid w:val="4A7936AE"/>
    <w:rsid w:val="4B6A2015"/>
    <w:rsid w:val="4BA74278"/>
    <w:rsid w:val="4BBD645C"/>
    <w:rsid w:val="4BF66658"/>
    <w:rsid w:val="4DCB2AF5"/>
    <w:rsid w:val="4F1A3CB3"/>
    <w:rsid w:val="4F1E0BD4"/>
    <w:rsid w:val="4F601247"/>
    <w:rsid w:val="4FCB3D3E"/>
    <w:rsid w:val="4FFB4B92"/>
    <w:rsid w:val="502B5B04"/>
    <w:rsid w:val="509311B2"/>
    <w:rsid w:val="51E86350"/>
    <w:rsid w:val="530818C9"/>
    <w:rsid w:val="53865DE2"/>
    <w:rsid w:val="53F35333"/>
    <w:rsid w:val="548B0CB9"/>
    <w:rsid w:val="55BA5565"/>
    <w:rsid w:val="561B5434"/>
    <w:rsid w:val="56443236"/>
    <w:rsid w:val="56B82C96"/>
    <w:rsid w:val="574C149B"/>
    <w:rsid w:val="588D7247"/>
    <w:rsid w:val="59D54599"/>
    <w:rsid w:val="5BE17A7D"/>
    <w:rsid w:val="5BEC3839"/>
    <w:rsid w:val="5D620088"/>
    <w:rsid w:val="5DAE6B9E"/>
    <w:rsid w:val="5E3C37E3"/>
    <w:rsid w:val="5FE14611"/>
    <w:rsid w:val="5FFC5679"/>
    <w:rsid w:val="60864AEA"/>
    <w:rsid w:val="61B27A4F"/>
    <w:rsid w:val="6258504E"/>
    <w:rsid w:val="62E47122"/>
    <w:rsid w:val="63946143"/>
    <w:rsid w:val="639623A8"/>
    <w:rsid w:val="63CE7891"/>
    <w:rsid w:val="63EA6BD0"/>
    <w:rsid w:val="645857BB"/>
    <w:rsid w:val="647F59A0"/>
    <w:rsid w:val="65064810"/>
    <w:rsid w:val="66BB6825"/>
    <w:rsid w:val="67347A3D"/>
    <w:rsid w:val="678E1852"/>
    <w:rsid w:val="68617A2A"/>
    <w:rsid w:val="69085720"/>
    <w:rsid w:val="697C1803"/>
    <w:rsid w:val="6A4D2293"/>
    <w:rsid w:val="6AD52733"/>
    <w:rsid w:val="6BBC2756"/>
    <w:rsid w:val="6BF821B7"/>
    <w:rsid w:val="6C81295D"/>
    <w:rsid w:val="6CFA100B"/>
    <w:rsid w:val="6D0D6C71"/>
    <w:rsid w:val="6DE70BD3"/>
    <w:rsid w:val="6E0020C4"/>
    <w:rsid w:val="6F611730"/>
    <w:rsid w:val="6F961959"/>
    <w:rsid w:val="70192BA2"/>
    <w:rsid w:val="701C1CFC"/>
    <w:rsid w:val="703E6B44"/>
    <w:rsid w:val="70982274"/>
    <w:rsid w:val="70A53E40"/>
    <w:rsid w:val="70F24E9E"/>
    <w:rsid w:val="72371A7B"/>
    <w:rsid w:val="723727D8"/>
    <w:rsid w:val="729675C6"/>
    <w:rsid w:val="72D368B7"/>
    <w:rsid w:val="72DD7DFC"/>
    <w:rsid w:val="73BC5805"/>
    <w:rsid w:val="74112BA1"/>
    <w:rsid w:val="745970CB"/>
    <w:rsid w:val="74AF3325"/>
    <w:rsid w:val="74B31B32"/>
    <w:rsid w:val="75595D22"/>
    <w:rsid w:val="761F16F3"/>
    <w:rsid w:val="767037DF"/>
    <w:rsid w:val="7674692B"/>
    <w:rsid w:val="767513B0"/>
    <w:rsid w:val="767A1F53"/>
    <w:rsid w:val="76B02787"/>
    <w:rsid w:val="76EF6628"/>
    <w:rsid w:val="77121824"/>
    <w:rsid w:val="784D5C4E"/>
    <w:rsid w:val="78CA53F2"/>
    <w:rsid w:val="79A663CC"/>
    <w:rsid w:val="7A5D1E54"/>
    <w:rsid w:val="7A954B61"/>
    <w:rsid w:val="7B4D3ED6"/>
    <w:rsid w:val="7BC84BB5"/>
    <w:rsid w:val="7C805C05"/>
    <w:rsid w:val="7CD73633"/>
    <w:rsid w:val="7D1843AA"/>
    <w:rsid w:val="7D6D5948"/>
    <w:rsid w:val="7D810325"/>
    <w:rsid w:val="7D9C50BC"/>
    <w:rsid w:val="7DE4748C"/>
    <w:rsid w:val="7F654E40"/>
    <w:rsid w:val="7FA37366"/>
    <w:rsid w:val="7FE14E84"/>
    <w:rsid w:val="7FF23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99"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6"/>
    <w:qFormat/>
    <w:uiPriority w:val="0"/>
    <w:pPr>
      <w:keepNext/>
      <w:keepLines/>
      <w:spacing w:before="340" w:after="330" w:line="576" w:lineRule="auto"/>
      <w:outlineLvl w:val="0"/>
    </w:pPr>
    <w:rPr>
      <w:b/>
      <w:kern w:val="44"/>
      <w:sz w:val="36"/>
      <w:szCs w:val="20"/>
    </w:rPr>
  </w:style>
  <w:style w:type="paragraph" w:styleId="4">
    <w:name w:val="heading 2"/>
    <w:basedOn w:val="1"/>
    <w:next w:val="1"/>
    <w:link w:val="99"/>
    <w:qFormat/>
    <w:uiPriority w:val="9"/>
    <w:pPr>
      <w:keepNext/>
      <w:keepLines/>
      <w:spacing w:before="260" w:after="260" w:line="500" w:lineRule="exact"/>
      <w:outlineLvl w:val="1"/>
    </w:pPr>
    <w:rPr>
      <w:rFonts w:ascii="Arial" w:hAnsi="Arial" w:eastAsia="黑体"/>
      <w:b/>
      <w:sz w:val="28"/>
      <w:szCs w:val="20"/>
    </w:rPr>
  </w:style>
  <w:style w:type="paragraph" w:styleId="5">
    <w:name w:val="heading 3"/>
    <w:basedOn w:val="1"/>
    <w:next w:val="1"/>
    <w:qFormat/>
    <w:uiPriority w:val="9"/>
    <w:pPr>
      <w:keepNext/>
      <w:keepLines/>
      <w:spacing w:before="260" w:after="260" w:line="412" w:lineRule="auto"/>
      <w:outlineLvl w:val="2"/>
    </w:pPr>
    <w:rPr>
      <w:b/>
      <w:sz w:val="32"/>
      <w:szCs w:val="20"/>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qFormat/>
    <w:uiPriority w:val="9"/>
    <w:pPr>
      <w:keepNext/>
      <w:keepLines/>
      <w:numPr>
        <w:ilvl w:val="4"/>
        <w:numId w:val="1"/>
      </w:numPr>
      <w:spacing w:before="280" w:after="290" w:line="372" w:lineRule="auto"/>
      <w:outlineLvl w:val="4"/>
    </w:pPr>
    <w:rPr>
      <w:b/>
      <w:sz w:val="28"/>
    </w:rPr>
  </w:style>
  <w:style w:type="paragraph" w:styleId="9">
    <w:name w:val="heading 6"/>
    <w:basedOn w:val="1"/>
    <w:next w:val="8"/>
    <w:qFormat/>
    <w:uiPriority w:val="0"/>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8"/>
    <w:qFormat/>
    <w:uiPriority w:val="0"/>
    <w:pPr>
      <w:keepNext/>
      <w:keepLines/>
      <w:numPr>
        <w:ilvl w:val="6"/>
        <w:numId w:val="1"/>
      </w:numPr>
      <w:spacing w:before="240" w:after="64" w:line="316" w:lineRule="auto"/>
      <w:outlineLvl w:val="6"/>
    </w:pPr>
    <w:rPr>
      <w:b/>
      <w:sz w:val="24"/>
    </w:rPr>
  </w:style>
  <w:style w:type="paragraph" w:styleId="11">
    <w:name w:val="heading 8"/>
    <w:basedOn w:val="1"/>
    <w:next w:val="8"/>
    <w:qFormat/>
    <w:uiPriority w:val="0"/>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8"/>
    <w:qFormat/>
    <w:uiPriority w:val="0"/>
    <w:pPr>
      <w:keepNext/>
      <w:keepLines/>
      <w:numPr>
        <w:ilvl w:val="8"/>
        <w:numId w:val="1"/>
      </w:numPr>
      <w:spacing w:before="240" w:after="64" w:line="316"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8">
    <w:name w:val="Normal Indent"/>
    <w:basedOn w:val="1"/>
    <w:link w:val="88"/>
    <w:qFormat/>
    <w:uiPriority w:val="0"/>
    <w:pPr>
      <w:ind w:firstLine="420"/>
    </w:pPr>
    <w:rPr>
      <w:szCs w:val="20"/>
    </w:rPr>
  </w:style>
  <w:style w:type="paragraph" w:styleId="13">
    <w:name w:val="annotation text"/>
    <w:basedOn w:val="1"/>
    <w:link w:val="87"/>
    <w:qFormat/>
    <w:uiPriority w:val="0"/>
    <w:pPr>
      <w:jc w:val="left"/>
    </w:pPr>
  </w:style>
  <w:style w:type="paragraph" w:styleId="14">
    <w:name w:val="Body Text Indent"/>
    <w:basedOn w:val="1"/>
    <w:link w:val="78"/>
    <w:qFormat/>
    <w:uiPriority w:val="0"/>
    <w:pPr>
      <w:ind w:firstLine="630"/>
    </w:pPr>
    <w:rPr>
      <w:sz w:val="32"/>
      <w:szCs w:val="20"/>
    </w:rPr>
  </w:style>
  <w:style w:type="paragraph" w:styleId="15">
    <w:name w:val="toc 3"/>
    <w:basedOn w:val="1"/>
    <w:next w:val="1"/>
    <w:qFormat/>
    <w:uiPriority w:val="39"/>
    <w:pPr>
      <w:ind w:left="840" w:leftChars="400"/>
    </w:pPr>
  </w:style>
  <w:style w:type="paragraph" w:styleId="16">
    <w:name w:val="Plain Text"/>
    <w:basedOn w:val="1"/>
    <w:link w:val="9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link w:val="100"/>
    <w:qFormat/>
    <w:uiPriority w:val="0"/>
    <w:pPr>
      <w:ind w:firstLine="630"/>
    </w:pPr>
    <w:rPr>
      <w:sz w:val="32"/>
      <w:szCs w:val="20"/>
    </w:rPr>
  </w:style>
  <w:style w:type="paragraph" w:styleId="19">
    <w:name w:val="Balloon Text"/>
    <w:basedOn w:val="1"/>
    <w:link w:val="66"/>
    <w:qFormat/>
    <w:uiPriority w:val="0"/>
    <w:rPr>
      <w:sz w:val="18"/>
      <w:szCs w:val="18"/>
    </w:rPr>
  </w:style>
  <w:style w:type="paragraph" w:styleId="20">
    <w:name w:val="footer"/>
    <w:basedOn w:val="1"/>
    <w:link w:val="101"/>
    <w:qFormat/>
    <w:uiPriority w:val="0"/>
    <w:pPr>
      <w:tabs>
        <w:tab w:val="center" w:pos="4153"/>
        <w:tab w:val="right" w:pos="8306"/>
      </w:tabs>
      <w:snapToGrid w:val="0"/>
      <w:jc w:val="left"/>
    </w:pPr>
    <w:rPr>
      <w:sz w:val="18"/>
      <w:szCs w:val="20"/>
    </w:rPr>
  </w:style>
  <w:style w:type="paragraph" w:styleId="21">
    <w:name w:val="header"/>
    <w:basedOn w:val="1"/>
    <w:link w:val="73"/>
    <w:qFormat/>
    <w:uiPriority w:val="99"/>
    <w:pPr>
      <w:pBdr>
        <w:bottom w:val="single" w:color="auto" w:sz="6" w:space="1"/>
      </w:pBdr>
      <w:tabs>
        <w:tab w:val="center" w:pos="4153"/>
        <w:tab w:val="right" w:pos="8306"/>
      </w:tabs>
      <w:snapToGrid w:val="0"/>
      <w:jc w:val="center"/>
    </w:pPr>
    <w:rPr>
      <w:sz w:val="18"/>
      <w:szCs w:val="20"/>
    </w:rPr>
  </w:style>
  <w:style w:type="paragraph" w:styleId="22">
    <w:name w:val="toc 1"/>
    <w:basedOn w:val="1"/>
    <w:next w:val="1"/>
    <w:qFormat/>
    <w:uiPriority w:val="39"/>
  </w:style>
  <w:style w:type="paragraph" w:styleId="23">
    <w:name w:val="Body Text Indent 3"/>
    <w:basedOn w:val="1"/>
    <w:link w:val="86"/>
    <w:qFormat/>
    <w:uiPriority w:val="0"/>
    <w:pPr>
      <w:adjustRightInd w:val="0"/>
      <w:snapToGrid w:val="0"/>
      <w:spacing w:line="360" w:lineRule="auto"/>
      <w:ind w:firstLine="600" w:firstLineChars="200"/>
    </w:pPr>
    <w:rPr>
      <w:rFonts w:ascii="黑体" w:eastAsia="黑体"/>
      <w:sz w:val="30"/>
      <w:szCs w:val="28"/>
    </w:rPr>
  </w:style>
  <w:style w:type="paragraph" w:styleId="24">
    <w:name w:val="toc 2"/>
    <w:basedOn w:val="1"/>
    <w:next w:val="1"/>
    <w:qFormat/>
    <w:uiPriority w:val="39"/>
    <w:pPr>
      <w:ind w:left="420" w:leftChars="200"/>
    </w:pPr>
  </w:style>
  <w:style w:type="paragraph" w:styleId="2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7">
    <w:name w:val="annotation subject"/>
    <w:basedOn w:val="13"/>
    <w:next w:val="13"/>
    <w:link w:val="64"/>
    <w:qFormat/>
    <w:uiPriority w:val="0"/>
    <w:rPr>
      <w:b/>
      <w:bCs/>
    </w:rPr>
  </w:style>
  <w:style w:type="paragraph" w:styleId="28">
    <w:name w:val="Body Text First Indent 2"/>
    <w:basedOn w:val="14"/>
    <w:next w:val="1"/>
    <w:qFormat/>
    <w:uiPriority w:val="0"/>
    <w:pPr>
      <w:ind w:firstLine="420" w:firstLineChars="2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page number"/>
    <w:basedOn w:val="31"/>
    <w:qFormat/>
    <w:uiPriority w:val="0"/>
  </w:style>
  <w:style w:type="character" w:styleId="34">
    <w:name w:val="FollowedHyperlink"/>
    <w:qFormat/>
    <w:uiPriority w:val="0"/>
    <w:rPr>
      <w:color w:val="800080"/>
      <w:u w:val="none"/>
    </w:rPr>
  </w:style>
  <w:style w:type="character" w:styleId="35">
    <w:name w:val="Emphasis"/>
    <w:qFormat/>
    <w:uiPriority w:val="0"/>
    <w:rPr>
      <w:b/>
    </w:rPr>
  </w:style>
  <w:style w:type="character" w:styleId="36">
    <w:name w:val="HTML Definition"/>
    <w:qFormat/>
    <w:uiPriority w:val="99"/>
  </w:style>
  <w:style w:type="character" w:styleId="37">
    <w:name w:val="HTML Typewriter"/>
    <w:qFormat/>
    <w:uiPriority w:val="0"/>
    <w:rPr>
      <w:rFonts w:hint="default" w:ascii="monospace" w:hAnsi="monospace" w:eastAsia="monospace" w:cs="monospace"/>
      <w:sz w:val="20"/>
    </w:rPr>
  </w:style>
  <w:style w:type="character" w:styleId="38">
    <w:name w:val="HTML Acronym"/>
    <w:basedOn w:val="31"/>
    <w:qFormat/>
    <w:uiPriority w:val="0"/>
  </w:style>
  <w:style w:type="character" w:styleId="39">
    <w:name w:val="HTML Variable"/>
    <w:qFormat/>
    <w:uiPriority w:val="0"/>
  </w:style>
  <w:style w:type="character" w:styleId="40">
    <w:name w:val="Hyperlink"/>
    <w:qFormat/>
    <w:uiPriority w:val="99"/>
    <w:rPr>
      <w:color w:val="136EC2"/>
      <w:u w:val="single"/>
    </w:rPr>
  </w:style>
  <w:style w:type="character" w:styleId="41">
    <w:name w:val="HTML Code"/>
    <w:qFormat/>
    <w:uiPriority w:val="0"/>
    <w:rPr>
      <w:rFonts w:hint="default" w:ascii="monospace" w:hAnsi="monospace" w:eastAsia="monospace" w:cs="monospace"/>
      <w:sz w:val="20"/>
    </w:rPr>
  </w:style>
  <w:style w:type="character" w:styleId="42">
    <w:name w:val="annotation reference"/>
    <w:qFormat/>
    <w:uiPriority w:val="0"/>
    <w:rPr>
      <w:sz w:val="21"/>
      <w:szCs w:val="21"/>
    </w:rPr>
  </w:style>
  <w:style w:type="character" w:styleId="43">
    <w:name w:val="HTML Cite"/>
    <w:qFormat/>
    <w:uiPriority w:val="0"/>
  </w:style>
  <w:style w:type="character" w:styleId="44">
    <w:name w:val="HTML Keyboard"/>
    <w:qFormat/>
    <w:uiPriority w:val="0"/>
    <w:rPr>
      <w:rFonts w:ascii="monospace" w:hAnsi="monospace" w:eastAsia="monospace" w:cs="monospace"/>
      <w:sz w:val="20"/>
    </w:rPr>
  </w:style>
  <w:style w:type="character" w:styleId="45">
    <w:name w:val="HTML Sample"/>
    <w:qFormat/>
    <w:uiPriority w:val="0"/>
    <w:rPr>
      <w:rFonts w:hint="default" w:ascii="monospace" w:hAnsi="monospace" w:eastAsia="monospace" w:cs="monospace"/>
    </w:rPr>
  </w:style>
  <w:style w:type="paragraph" w:customStyle="1" w:styleId="46">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47">
    <w:name w:val="表格文字"/>
    <w:basedOn w:val="1"/>
    <w:qFormat/>
    <w:uiPriority w:val="0"/>
    <w:pPr>
      <w:spacing w:before="25" w:after="25"/>
      <w:jc w:val="left"/>
    </w:pPr>
    <w:rPr>
      <w:rFonts w:ascii="Calibri" w:hAnsi="Calibri"/>
      <w:bCs/>
      <w:spacing w:val="10"/>
      <w:kern w:val="0"/>
      <w:sz w:val="24"/>
    </w:rPr>
  </w:style>
  <w:style w:type="paragraph" w:customStyle="1" w:styleId="48">
    <w:name w:val="Char1"/>
    <w:basedOn w:val="1"/>
    <w:qFormat/>
    <w:uiPriority w:val="0"/>
    <w:rPr>
      <w:szCs w:val="21"/>
    </w:rPr>
  </w:style>
  <w:style w:type="paragraph" w:customStyle="1" w:styleId="49">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0">
    <w:name w:val="Char Char Char Char"/>
    <w:basedOn w:val="1"/>
    <w:qFormat/>
    <w:uiPriority w:val="0"/>
    <w:rPr>
      <w:rFonts w:ascii="Tahoma" w:hAnsi="Tahoma"/>
      <w:sz w:val="24"/>
      <w:szCs w:val="20"/>
    </w:rPr>
  </w:style>
  <w:style w:type="paragraph" w:customStyle="1" w:styleId="51">
    <w:name w:val="p0"/>
    <w:basedOn w:val="1"/>
    <w:link w:val="72"/>
    <w:qFormat/>
    <w:uiPriority w:val="0"/>
    <w:pPr>
      <w:widowControl/>
    </w:pPr>
    <w:rPr>
      <w:kern w:val="0"/>
      <w:szCs w:val="21"/>
    </w:rPr>
  </w:style>
  <w:style w:type="paragraph" w:styleId="52">
    <w:name w:val="List Paragraph"/>
    <w:basedOn w:val="1"/>
    <w:link w:val="103"/>
    <w:qFormat/>
    <w:uiPriority w:val="34"/>
    <w:pPr>
      <w:ind w:firstLine="420" w:firstLineChars="200"/>
    </w:pPr>
    <w:rPr>
      <w:sz w:val="18"/>
      <w:szCs w:val="18"/>
    </w:rPr>
  </w:style>
  <w:style w:type="paragraph" w:customStyle="1" w:styleId="53">
    <w:name w:val="title12"/>
    <w:basedOn w:val="1"/>
    <w:qFormat/>
    <w:uiPriority w:val="0"/>
    <w:pPr>
      <w:spacing w:before="150"/>
      <w:jc w:val="left"/>
    </w:pPr>
    <w:rPr>
      <w:b/>
      <w:kern w:val="0"/>
      <w:sz w:val="22"/>
      <w:szCs w:val="22"/>
    </w:rPr>
  </w:style>
  <w:style w:type="paragraph" w:customStyle="1" w:styleId="54">
    <w:name w:val="表格"/>
    <w:basedOn w:val="1"/>
    <w:qFormat/>
    <w:uiPriority w:val="0"/>
    <w:pPr>
      <w:spacing w:line="400" w:lineRule="exact"/>
    </w:pPr>
    <w:rPr>
      <w:sz w:val="24"/>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7">
    <w:name w:val="Heading2"/>
    <w:basedOn w:val="1"/>
    <w:next w:val="1"/>
    <w:qFormat/>
    <w:uiPriority w:val="0"/>
    <w:pPr>
      <w:keepNext/>
      <w:keepLines/>
      <w:spacing w:before="260" w:after="260" w:line="415" w:lineRule="auto"/>
      <w:textAlignment w:val="baseline"/>
    </w:pPr>
    <w:rPr>
      <w:rFonts w:ascii="Arial" w:hAnsi="Arial" w:eastAsia="黑体"/>
      <w:b/>
      <w:sz w:val="32"/>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customStyle="1" w:styleId="5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title1"/>
    <w:basedOn w:val="1"/>
    <w:qFormat/>
    <w:uiPriority w:val="0"/>
    <w:pPr>
      <w:spacing w:before="150"/>
      <w:jc w:val="left"/>
    </w:pPr>
    <w:rPr>
      <w:b/>
      <w:kern w:val="0"/>
      <w:sz w:val="22"/>
      <w:szCs w:val="22"/>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默认段落字体 Para Char Char Char Char Char Char Char"/>
    <w:basedOn w:val="1"/>
    <w:qFormat/>
    <w:uiPriority w:val="0"/>
    <w:rPr>
      <w:rFonts w:ascii="Tahoma" w:hAnsi="Tahoma"/>
      <w:sz w:val="24"/>
      <w:szCs w:val="20"/>
    </w:rPr>
  </w:style>
  <w:style w:type="character" w:customStyle="1" w:styleId="64">
    <w:name w:val="批注主题 Char"/>
    <w:link w:val="27"/>
    <w:qFormat/>
    <w:uiPriority w:val="0"/>
    <w:rPr>
      <w:b/>
      <w:bCs/>
      <w:kern w:val="2"/>
      <w:sz w:val="21"/>
      <w:szCs w:val="24"/>
    </w:rPr>
  </w:style>
  <w:style w:type="character" w:customStyle="1" w:styleId="65">
    <w:name w:val="stclosebtn"/>
    <w:basedOn w:val="31"/>
    <w:qFormat/>
    <w:uiPriority w:val="0"/>
  </w:style>
  <w:style w:type="character" w:customStyle="1" w:styleId="66">
    <w:name w:val="批注框文本 Char"/>
    <w:link w:val="19"/>
    <w:qFormat/>
    <w:uiPriority w:val="0"/>
    <w:rPr>
      <w:kern w:val="2"/>
      <w:sz w:val="18"/>
      <w:szCs w:val="18"/>
    </w:rPr>
  </w:style>
  <w:style w:type="character" w:customStyle="1" w:styleId="67">
    <w:name w:val="beforeinfotext"/>
    <w:basedOn w:val="31"/>
    <w:qFormat/>
    <w:uiPriority w:val="0"/>
    <w:rPr>
      <w:color w:val="666666"/>
    </w:rPr>
  </w:style>
  <w:style w:type="character" w:customStyle="1" w:styleId="68">
    <w:name w:val="hour_am"/>
    <w:basedOn w:val="31"/>
    <w:qFormat/>
    <w:uiPriority w:val="0"/>
  </w:style>
  <w:style w:type="character" w:customStyle="1" w:styleId="69">
    <w:name w:val="Char Char14"/>
    <w:qFormat/>
    <w:uiPriority w:val="0"/>
    <w:rPr>
      <w:rFonts w:ascii="Arial" w:hAnsi="Arial" w:eastAsia="黑体"/>
      <w:b/>
      <w:bCs/>
      <w:sz w:val="28"/>
      <w:szCs w:val="28"/>
      <w:lang w:val="en-US" w:eastAsia="zh-CN" w:bidi="ar-SA"/>
    </w:rPr>
  </w:style>
  <w:style w:type="character" w:customStyle="1" w:styleId="70">
    <w:name w:val="active"/>
    <w:basedOn w:val="31"/>
    <w:qFormat/>
    <w:uiPriority w:val="0"/>
    <w:rPr>
      <w:color w:val="00FF00"/>
      <w:shd w:val="clear" w:color="auto" w:fill="000000"/>
    </w:rPr>
  </w:style>
  <w:style w:type="character" w:customStyle="1" w:styleId="71">
    <w:name w:val="普通文字1 Char"/>
    <w:qFormat/>
    <w:uiPriority w:val="0"/>
    <w:rPr>
      <w:rFonts w:ascii="宋体" w:hAnsi="Courier New" w:eastAsia="宋体"/>
      <w:kern w:val="2"/>
      <w:sz w:val="21"/>
      <w:lang w:val="en-US" w:eastAsia="zh-CN" w:bidi="ar-SA"/>
    </w:rPr>
  </w:style>
  <w:style w:type="character" w:customStyle="1" w:styleId="72">
    <w:name w:val="p0 Char"/>
    <w:link w:val="51"/>
    <w:qFormat/>
    <w:uiPriority w:val="0"/>
    <w:rPr>
      <w:rFonts w:eastAsia="宋体"/>
      <w:sz w:val="21"/>
      <w:szCs w:val="21"/>
      <w:lang w:val="en-US" w:eastAsia="zh-CN" w:bidi="ar-SA"/>
    </w:rPr>
  </w:style>
  <w:style w:type="character" w:customStyle="1" w:styleId="73">
    <w:name w:val="页眉 Char"/>
    <w:link w:val="21"/>
    <w:qFormat/>
    <w:uiPriority w:val="99"/>
    <w:rPr>
      <w:rFonts w:eastAsia="宋体"/>
      <w:kern w:val="2"/>
      <w:sz w:val="18"/>
      <w:lang w:val="en-US" w:eastAsia="zh-CN" w:bidi="ar-SA"/>
    </w:rPr>
  </w:style>
  <w:style w:type="character" w:customStyle="1" w:styleId="74">
    <w:name w:val="indent"/>
    <w:basedOn w:val="31"/>
    <w:qFormat/>
    <w:uiPriority w:val="0"/>
  </w:style>
  <w:style w:type="character" w:customStyle="1" w:styleId="75">
    <w:name w:val="hour_pm"/>
    <w:basedOn w:val="31"/>
    <w:qFormat/>
    <w:uiPriority w:val="0"/>
  </w:style>
  <w:style w:type="character" w:customStyle="1" w:styleId="76">
    <w:name w:val="button"/>
    <w:basedOn w:val="31"/>
    <w:qFormat/>
    <w:uiPriority w:val="0"/>
  </w:style>
  <w:style w:type="character" w:customStyle="1" w:styleId="77">
    <w:name w:val="正文文本缩进 字符1"/>
    <w:semiHidden/>
    <w:qFormat/>
    <w:locked/>
    <w:uiPriority w:val="0"/>
    <w:rPr>
      <w:kern w:val="2"/>
      <w:sz w:val="32"/>
    </w:rPr>
  </w:style>
  <w:style w:type="character" w:customStyle="1" w:styleId="78">
    <w:name w:val="正文文本缩进 Char"/>
    <w:link w:val="14"/>
    <w:qFormat/>
    <w:uiPriority w:val="0"/>
    <w:rPr>
      <w:kern w:val="2"/>
      <w:sz w:val="32"/>
    </w:rPr>
  </w:style>
  <w:style w:type="character" w:customStyle="1" w:styleId="79">
    <w:name w:val="hover3"/>
    <w:basedOn w:val="31"/>
    <w:qFormat/>
    <w:uiPriority w:val="0"/>
    <w:rPr>
      <w:shd w:val="clear" w:color="auto" w:fill="EEEEEE"/>
    </w:rPr>
  </w:style>
  <w:style w:type="character" w:customStyle="1" w:styleId="80">
    <w:name w:val="mini-outputtext1"/>
    <w:basedOn w:val="31"/>
    <w:qFormat/>
    <w:uiPriority w:val="0"/>
  </w:style>
  <w:style w:type="character" w:customStyle="1" w:styleId="81">
    <w:name w:val="NormalCharacter"/>
    <w:qFormat/>
    <w:uiPriority w:val="0"/>
  </w:style>
  <w:style w:type="character" w:customStyle="1" w:styleId="82">
    <w:name w:val="tmpztreemove_arrow"/>
    <w:basedOn w:val="31"/>
    <w:qFormat/>
    <w:uiPriority w:val="0"/>
    <w:rPr>
      <w:shd w:val="clear" w:color="auto" w:fill="FFFFFF"/>
    </w:rPr>
  </w:style>
  <w:style w:type="character" w:customStyle="1" w:styleId="83">
    <w:name w:val="input-direction"/>
    <w:basedOn w:val="31"/>
    <w:qFormat/>
    <w:uiPriority w:val="0"/>
    <w:rPr>
      <w:color w:val="FF6600"/>
    </w:rPr>
  </w:style>
  <w:style w:type="character" w:customStyle="1" w:styleId="84">
    <w:name w:val="bds_nopic2"/>
    <w:qFormat/>
    <w:uiPriority w:val="0"/>
    <w:rPr>
      <w:rFonts w:ascii="Times New Roman" w:hAnsi="Times New Roman" w:eastAsia="宋体"/>
    </w:rPr>
  </w:style>
  <w:style w:type="character" w:customStyle="1" w:styleId="85">
    <w:name w:val="hilite"/>
    <w:basedOn w:val="31"/>
    <w:qFormat/>
    <w:uiPriority w:val="0"/>
    <w:rPr>
      <w:color w:val="FFFFFF"/>
      <w:shd w:val="clear" w:color="auto" w:fill="666677"/>
    </w:rPr>
  </w:style>
  <w:style w:type="character" w:customStyle="1" w:styleId="86">
    <w:name w:val="正文文本缩进 3 Char"/>
    <w:link w:val="23"/>
    <w:qFormat/>
    <w:uiPriority w:val="0"/>
    <w:rPr>
      <w:rFonts w:ascii="黑体" w:eastAsia="黑体"/>
      <w:kern w:val="2"/>
      <w:sz w:val="30"/>
      <w:szCs w:val="28"/>
    </w:rPr>
  </w:style>
  <w:style w:type="character" w:customStyle="1" w:styleId="87">
    <w:name w:val="批注文字 Char"/>
    <w:link w:val="13"/>
    <w:qFormat/>
    <w:uiPriority w:val="0"/>
    <w:rPr>
      <w:kern w:val="2"/>
      <w:sz w:val="21"/>
      <w:szCs w:val="24"/>
    </w:rPr>
  </w:style>
  <w:style w:type="character" w:customStyle="1" w:styleId="88">
    <w:name w:val="正文缩进 Char"/>
    <w:link w:val="8"/>
    <w:qFormat/>
    <w:uiPriority w:val="0"/>
    <w:rPr>
      <w:rFonts w:eastAsia="宋体"/>
      <w:kern w:val="2"/>
      <w:sz w:val="21"/>
      <w:lang w:val="en-US" w:eastAsia="zh-CN" w:bidi="ar-SA"/>
    </w:rPr>
  </w:style>
  <w:style w:type="character" w:customStyle="1" w:styleId="89">
    <w:name w:val="span-long"/>
    <w:basedOn w:val="31"/>
    <w:qFormat/>
    <w:uiPriority w:val="0"/>
  </w:style>
  <w:style w:type="character" w:customStyle="1" w:styleId="90">
    <w:name w:val="hilite6"/>
    <w:basedOn w:val="31"/>
    <w:qFormat/>
    <w:uiPriority w:val="0"/>
    <w:rPr>
      <w:color w:val="FFFFFF"/>
      <w:shd w:val="clear" w:color="auto" w:fill="666677"/>
    </w:rPr>
  </w:style>
  <w:style w:type="character" w:customStyle="1" w:styleId="91">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92">
    <w:name w:val="glyphicon4"/>
    <w:basedOn w:val="31"/>
    <w:qFormat/>
    <w:uiPriority w:val="0"/>
  </w:style>
  <w:style w:type="character" w:customStyle="1" w:styleId="93">
    <w:name w:val="active6"/>
    <w:basedOn w:val="31"/>
    <w:qFormat/>
    <w:uiPriority w:val="0"/>
    <w:rPr>
      <w:color w:val="00FF00"/>
      <w:shd w:val="clear" w:color="auto" w:fill="000000"/>
    </w:rPr>
  </w:style>
  <w:style w:type="character" w:customStyle="1" w:styleId="94">
    <w:name w:val="proollist"/>
    <w:basedOn w:val="31"/>
    <w:qFormat/>
    <w:uiPriority w:val="0"/>
  </w:style>
  <w:style w:type="character" w:customStyle="1" w:styleId="95">
    <w:name w:val="number"/>
    <w:basedOn w:val="31"/>
    <w:qFormat/>
    <w:uiPriority w:val="0"/>
    <w:rPr>
      <w:color w:val="FF8833"/>
      <w:sz w:val="18"/>
      <w:szCs w:val="18"/>
    </w:rPr>
  </w:style>
  <w:style w:type="character" w:customStyle="1" w:styleId="96">
    <w:name w:val="标题 1 Char"/>
    <w:link w:val="3"/>
    <w:qFormat/>
    <w:uiPriority w:val="0"/>
    <w:rPr>
      <w:rFonts w:ascii="Times New Roman" w:hAnsi="Times New Roman" w:eastAsia="宋体"/>
      <w:b/>
      <w:kern w:val="44"/>
      <w:sz w:val="36"/>
      <w:szCs w:val="20"/>
    </w:rPr>
  </w:style>
  <w:style w:type="character" w:customStyle="1" w:styleId="97">
    <w:name w:val="phone"/>
    <w:basedOn w:val="31"/>
    <w:qFormat/>
    <w:uiPriority w:val="0"/>
    <w:rPr>
      <w:color w:val="FF8833"/>
      <w:sz w:val="18"/>
      <w:szCs w:val="18"/>
    </w:rPr>
  </w:style>
  <w:style w:type="character" w:customStyle="1" w:styleId="98">
    <w:name w:val="old"/>
    <w:basedOn w:val="31"/>
    <w:qFormat/>
    <w:uiPriority w:val="0"/>
    <w:rPr>
      <w:color w:val="999999"/>
    </w:rPr>
  </w:style>
  <w:style w:type="character" w:customStyle="1" w:styleId="99">
    <w:name w:val="标题 2 Char"/>
    <w:link w:val="4"/>
    <w:qFormat/>
    <w:uiPriority w:val="0"/>
    <w:rPr>
      <w:rFonts w:ascii="Arial" w:hAnsi="Arial" w:eastAsia="黑体"/>
      <w:b/>
      <w:kern w:val="2"/>
      <w:sz w:val="28"/>
    </w:rPr>
  </w:style>
  <w:style w:type="character" w:customStyle="1" w:styleId="100">
    <w:name w:val="正文文本缩进 2 Char"/>
    <w:link w:val="18"/>
    <w:qFormat/>
    <w:uiPriority w:val="0"/>
    <w:rPr>
      <w:kern w:val="2"/>
      <w:sz w:val="32"/>
    </w:rPr>
  </w:style>
  <w:style w:type="character" w:customStyle="1" w:styleId="101">
    <w:name w:val="页脚 Char"/>
    <w:link w:val="20"/>
    <w:qFormat/>
    <w:uiPriority w:val="0"/>
    <w:rPr>
      <w:rFonts w:eastAsia="宋体"/>
      <w:kern w:val="2"/>
      <w:sz w:val="18"/>
      <w:lang w:val="en-US" w:eastAsia="zh-CN" w:bidi="ar-SA"/>
    </w:rPr>
  </w:style>
  <w:style w:type="paragraph" w:customStyle="1" w:styleId="102">
    <w:name w:val="正文缩进1"/>
    <w:basedOn w:val="1"/>
    <w:qFormat/>
    <w:uiPriority w:val="0"/>
    <w:pPr>
      <w:ind w:firstLine="420" w:firstLineChars="200"/>
    </w:pPr>
  </w:style>
  <w:style w:type="character" w:customStyle="1" w:styleId="103">
    <w:name w:val="列出段落 Char"/>
    <w:link w:val="52"/>
    <w:qFormat/>
    <w:locked/>
    <w:uiPriority w:val="34"/>
    <w:rPr>
      <w:kern w:val="2"/>
      <w:sz w:val="18"/>
      <w:szCs w:val="18"/>
    </w:rPr>
  </w:style>
  <w:style w:type="paragraph" w:customStyle="1" w:styleId="104">
    <w:name w:val="*正文"/>
    <w:basedOn w:val="1"/>
    <w:link w:val="105"/>
    <w:qFormat/>
    <w:uiPriority w:val="0"/>
    <w:pPr>
      <w:spacing w:line="360" w:lineRule="auto"/>
      <w:ind w:firstLine="200" w:firstLineChars="200"/>
    </w:pPr>
    <w:rPr>
      <w:rFonts w:ascii="宋体" w:hAnsi="宋体" w:eastAsia="仿宋" w:cstheme="minorBidi"/>
      <w:kern w:val="0"/>
      <w:sz w:val="28"/>
      <w:szCs w:val="22"/>
    </w:rPr>
  </w:style>
  <w:style w:type="character" w:customStyle="1" w:styleId="105">
    <w:name w:val="*正文 Char"/>
    <w:link w:val="104"/>
    <w:qFormat/>
    <w:uiPriority w:val="0"/>
    <w:rPr>
      <w:rFonts w:ascii="宋体" w:hAnsi="宋体" w:eastAsia="仿宋" w:cstheme="minorBidi"/>
      <w:sz w:val="28"/>
      <w:szCs w:val="22"/>
    </w:rPr>
  </w:style>
  <w:style w:type="paragraph" w:customStyle="1" w:styleId="106">
    <w:name w:val="样式 首行缩进:  0 字符"/>
    <w:basedOn w:val="1"/>
    <w:link w:val="107"/>
    <w:qFormat/>
    <w:uiPriority w:val="0"/>
    <w:pPr>
      <w:spacing w:line="360" w:lineRule="auto"/>
      <w:ind w:firstLine="200" w:firstLineChars="200"/>
    </w:pPr>
    <w:rPr>
      <w:rFonts w:cs="宋体"/>
      <w:sz w:val="24"/>
    </w:rPr>
  </w:style>
  <w:style w:type="character" w:customStyle="1" w:styleId="107">
    <w:name w:val="样式 首行缩进:  0 字符 Char"/>
    <w:link w:val="106"/>
    <w:qFormat/>
    <w:uiPriority w:val="0"/>
    <w:rPr>
      <w:rFonts w:cs="宋体"/>
      <w:kern w:val="2"/>
      <w:sz w:val="24"/>
      <w:szCs w:val="24"/>
    </w:rPr>
  </w:style>
  <w:style w:type="paragraph" w:customStyle="1" w:styleId="108">
    <w:name w:val="标号"/>
    <w:basedOn w:val="1"/>
    <w:qFormat/>
    <w:uiPriority w:val="99"/>
    <w:pPr>
      <w:spacing w:line="360" w:lineRule="auto"/>
    </w:pPr>
    <w:rPr>
      <w:rFonts w:ascii="宋体" w:hAnsi="宋体"/>
      <w:sz w:val="24"/>
    </w:rPr>
  </w:style>
  <w:style w:type="paragraph" w:customStyle="1" w:styleId="10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89</Pages>
  <Words>45276</Words>
  <Characters>48417</Characters>
  <Lines>386</Lines>
  <Paragraphs>108</Paragraphs>
  <TotalTime>4</TotalTime>
  <ScaleCrop>false</ScaleCrop>
  <LinksUpToDate>false</LinksUpToDate>
  <CharactersWithSpaces>51109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源丰成</dc:creator>
  <cp:lastModifiedBy>萌哒哒</cp:lastModifiedBy>
  <cp:lastPrinted>2022-04-06T08:45:00Z</cp:lastPrinted>
  <dcterms:modified xsi:type="dcterms:W3CDTF">2022-04-12T06:59:19Z</dcterms:modified>
  <dc:title>省无线委 薛科</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79701B24D81C41B6B7DA427941CAF6E9</vt:lpwstr>
  </property>
</Properties>
</file>