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仿宋_GB2312" w:hAnsi="仿宋_GB2312" w:eastAsia="仿宋_GB2312" w:cs="仿宋_GB2312"/>
          <w:b/>
          <w:bCs/>
          <w:color w:val="auto"/>
          <w:sz w:val="30"/>
          <w:szCs w:val="30"/>
          <w:highlight w:val="none"/>
          <w:lang w:val="zh-CN"/>
        </w:rPr>
      </w:pPr>
      <w:r>
        <w:rPr>
          <w:rFonts w:hint="eastAsia" w:ascii="仿宋_GB2312" w:hAnsi="仿宋_GB2312" w:eastAsia="仿宋_GB2312" w:cs="仿宋_GB2312"/>
          <w:b/>
          <w:bCs/>
          <w:color w:val="auto"/>
          <w:sz w:val="30"/>
          <w:szCs w:val="30"/>
          <w:highlight w:val="none"/>
          <w:lang w:val="zh-CN"/>
        </w:rPr>
        <w:t>政府采购项目</w:t>
      </w:r>
    </w:p>
    <w:p>
      <w:pPr>
        <w:autoSpaceDE w:val="0"/>
        <w:autoSpaceDN w:val="0"/>
        <w:adjustRightInd w:val="0"/>
        <w:snapToGrid w:val="0"/>
        <w:spacing w:line="360" w:lineRule="auto"/>
        <w:jc w:val="left"/>
        <w:rPr>
          <w:rFonts w:ascii="仿宋_GB2312" w:hAnsi="仿宋_GB2312" w:eastAsia="仿宋_GB2312" w:cs="仿宋_GB2312"/>
          <w:b/>
          <w:bCs/>
          <w:color w:val="auto"/>
          <w:sz w:val="30"/>
          <w:szCs w:val="30"/>
          <w:highlight w:val="none"/>
          <w:lang w:val="zh-CN"/>
        </w:rPr>
      </w:pPr>
      <w:r>
        <w:rPr>
          <w:rFonts w:hint="eastAsia" w:ascii="仿宋_GB2312" w:hAnsi="仿宋_GB2312" w:eastAsia="仿宋_GB2312" w:cs="仿宋_GB2312"/>
          <w:b/>
          <w:bCs/>
          <w:color w:val="auto"/>
          <w:sz w:val="30"/>
          <w:szCs w:val="30"/>
          <w:highlight w:val="none"/>
          <w:lang w:val="zh-CN"/>
        </w:rPr>
        <w:t>采购项目编号：SCZC2022-CS-1208/001</w:t>
      </w: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0"/>
          <w:szCs w:val="30"/>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highlight w:val="none"/>
        </w:rPr>
      </w:pPr>
    </w:p>
    <w:p>
      <w:pPr>
        <w:autoSpaceDE w:val="0"/>
        <w:autoSpaceDN w:val="0"/>
        <w:adjustRightInd w:val="0"/>
        <w:snapToGrid w:val="0"/>
        <w:spacing w:line="360" w:lineRule="auto"/>
        <w:jc w:val="center"/>
        <w:rPr>
          <w:rFonts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陕西省文化和旅游厅2022年部省合作项目</w:t>
      </w: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52"/>
          <w:szCs w:val="52"/>
          <w:highlight w:val="none"/>
          <w:lang w:val="zh-CN"/>
        </w:rPr>
      </w:pPr>
      <w:r>
        <w:rPr>
          <w:rFonts w:hint="eastAsia" w:ascii="仿宋_GB2312" w:hAnsi="仿宋_GB2312" w:eastAsia="仿宋_GB2312" w:cs="仿宋_GB2312"/>
          <w:b/>
          <w:bCs/>
          <w:color w:val="auto"/>
          <w:sz w:val="52"/>
          <w:szCs w:val="52"/>
          <w:highlight w:val="none"/>
          <w:lang w:val="zh-CN"/>
        </w:rPr>
        <w:t>竞争性磋商文件</w:t>
      </w: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val="zh-CN"/>
        </w:rPr>
        <w:t xml:space="preserve"> 陕西省采购招标有限责任公司</w:t>
      </w:r>
      <w:r>
        <w:rPr>
          <w:rFonts w:hint="eastAsia" w:ascii="仿宋_GB2312" w:hAnsi="仿宋_GB2312" w:eastAsia="仿宋_GB2312" w:cs="仿宋_GB2312"/>
          <w:b/>
          <w:bCs/>
          <w:color w:val="auto"/>
          <w:sz w:val="30"/>
          <w:szCs w:val="30"/>
          <w:highlight w:val="none"/>
        </w:rPr>
        <w:t xml:space="preserve"> </w:t>
      </w:r>
    </w:p>
    <w:p>
      <w:pPr>
        <w:tabs>
          <w:tab w:val="left" w:pos="5460"/>
        </w:tabs>
        <w:autoSpaceDE w:val="0"/>
        <w:autoSpaceDN w:val="0"/>
        <w:adjustRightInd w:val="0"/>
        <w:snapToGrid w:val="0"/>
        <w:spacing w:line="360" w:lineRule="auto"/>
        <w:jc w:val="center"/>
        <w:rPr>
          <w:rFonts w:ascii="仿宋_GB2312" w:hAnsi="仿宋_GB2312" w:eastAsia="仿宋_GB2312" w:cs="仿宋_GB2312"/>
          <w:b/>
          <w:bCs/>
          <w:color w:val="auto"/>
          <w:sz w:val="30"/>
          <w:szCs w:val="30"/>
          <w:highlight w:val="none"/>
          <w:lang w:val="zh-CN"/>
        </w:rPr>
      </w:pPr>
      <w:r>
        <w:rPr>
          <w:rFonts w:hint="eastAsia" w:ascii="仿宋_GB2312" w:hAnsi="仿宋_GB2312" w:eastAsia="仿宋_GB2312" w:cs="仿宋_GB2312"/>
          <w:b/>
          <w:bCs/>
          <w:color w:val="auto"/>
          <w:sz w:val="30"/>
          <w:szCs w:val="30"/>
          <w:highlight w:val="none"/>
          <w:lang w:val="zh-CN"/>
        </w:rPr>
        <w:t>二〇二</w:t>
      </w:r>
      <w:r>
        <w:rPr>
          <w:rFonts w:hint="eastAsia" w:ascii="仿宋_GB2312" w:hAnsi="仿宋_GB2312" w:eastAsia="仿宋_GB2312" w:cs="仿宋_GB2312"/>
          <w:b/>
          <w:bCs/>
          <w:color w:val="auto"/>
          <w:sz w:val="30"/>
          <w:szCs w:val="30"/>
          <w:highlight w:val="none"/>
          <w:lang w:val="en-US" w:eastAsia="zh-CN"/>
        </w:rPr>
        <w:t>二</w:t>
      </w:r>
      <w:r>
        <w:rPr>
          <w:rFonts w:hint="eastAsia" w:ascii="仿宋_GB2312" w:hAnsi="仿宋_GB2312" w:eastAsia="仿宋_GB2312" w:cs="仿宋_GB2312"/>
          <w:b/>
          <w:bCs/>
          <w:color w:val="auto"/>
          <w:sz w:val="30"/>
          <w:szCs w:val="30"/>
          <w:highlight w:val="none"/>
          <w:lang w:val="zh-CN"/>
        </w:rPr>
        <w:t>年</w:t>
      </w:r>
      <w:r>
        <w:rPr>
          <w:rFonts w:hint="eastAsia" w:ascii="仿宋_GB2312" w:hAnsi="仿宋_GB2312" w:eastAsia="仿宋_GB2312" w:cs="仿宋_GB2312"/>
          <w:b/>
          <w:bCs/>
          <w:color w:val="auto"/>
          <w:sz w:val="30"/>
          <w:szCs w:val="30"/>
          <w:highlight w:val="none"/>
          <w:lang w:val="en-US" w:eastAsia="zh-CN"/>
        </w:rPr>
        <w:t>六</w:t>
      </w:r>
      <w:r>
        <w:rPr>
          <w:rFonts w:hint="eastAsia" w:ascii="仿宋_GB2312" w:hAnsi="仿宋_GB2312" w:eastAsia="仿宋_GB2312" w:cs="仿宋_GB2312"/>
          <w:b/>
          <w:bCs/>
          <w:color w:val="auto"/>
          <w:sz w:val="30"/>
          <w:szCs w:val="30"/>
          <w:highlight w:val="none"/>
          <w:lang w:val="zh-CN"/>
        </w:rPr>
        <w:t>月</w:t>
      </w:r>
    </w:p>
    <w:p>
      <w:pPr>
        <w:tabs>
          <w:tab w:val="left" w:pos="3739"/>
        </w:tabs>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pStyle w:val="2"/>
        <w:rPr>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pPr>
        <w:pStyle w:val="15"/>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pStyle w:val="35"/>
        <w:tabs>
          <w:tab w:val="right" w:leader="dot" w:pos="8306"/>
          <w:tab w:val="clear" w:pos="9344"/>
        </w:tabs>
        <w:rPr>
          <w:rFonts w:hint="eastAsia" w:ascii="仿宋" w:hAnsi="仿宋" w:eastAsia="仿宋" w:cs="仿宋"/>
          <w:color w:val="auto"/>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TOC \o "1-2" \h \z \u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_Toc14439 </w:instrText>
      </w:r>
      <w:r>
        <w:rPr>
          <w:rFonts w:hint="eastAsia" w:ascii="仿宋" w:hAnsi="仿宋" w:eastAsia="仿宋" w:cs="仿宋"/>
          <w:bCs w:val="0"/>
          <w:color w:val="auto"/>
          <w:szCs w:val="28"/>
          <w:highlight w:val="none"/>
        </w:rPr>
        <w:fldChar w:fldCharType="separate"/>
      </w:r>
      <w:r>
        <w:rPr>
          <w:rFonts w:hint="eastAsia" w:ascii="仿宋" w:hAnsi="仿宋" w:eastAsia="仿宋" w:cs="仿宋"/>
          <w:color w:val="auto"/>
          <w:szCs w:val="36"/>
          <w:highlight w:val="none"/>
        </w:rPr>
        <w:t>第一章  磋商公告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_Toc14439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val="0"/>
          <w:color w:val="auto"/>
          <w:szCs w:val="28"/>
          <w:highlight w:val="none"/>
        </w:rPr>
        <w:fldChar w:fldCharType="end"/>
      </w:r>
    </w:p>
    <w:p>
      <w:pPr>
        <w:pStyle w:val="35"/>
        <w:tabs>
          <w:tab w:val="right" w:leader="dot" w:pos="8306"/>
          <w:tab w:val="clear" w:pos="9344"/>
        </w:tabs>
        <w:rPr>
          <w:rFonts w:hint="eastAsia" w:ascii="仿宋" w:hAnsi="仿宋" w:eastAsia="仿宋" w:cs="仿宋"/>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_Toc10808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zCs w:val="36"/>
          <w:highlight w:val="none"/>
        </w:rPr>
        <w:t>第二章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_Toc10808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28"/>
          <w:highlight w:val="none"/>
        </w:rPr>
        <w:fldChar w:fldCharType="end"/>
      </w:r>
    </w:p>
    <w:p>
      <w:pPr>
        <w:pStyle w:val="35"/>
        <w:tabs>
          <w:tab w:val="right" w:leader="dot" w:pos="8306"/>
          <w:tab w:val="clear" w:pos="9344"/>
        </w:tabs>
        <w:rPr>
          <w:rFonts w:hint="eastAsia" w:ascii="仿宋" w:hAnsi="仿宋" w:eastAsia="仿宋" w:cs="仿宋"/>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_Toc27022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zCs w:val="36"/>
          <w:highlight w:val="none"/>
        </w:rPr>
        <w:t>第三章  评审办法和标准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_Toc27022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szCs w:val="28"/>
          <w:highlight w:val="none"/>
        </w:rPr>
        <w:fldChar w:fldCharType="end"/>
      </w:r>
    </w:p>
    <w:p>
      <w:pPr>
        <w:pStyle w:val="35"/>
        <w:tabs>
          <w:tab w:val="right" w:leader="dot" w:pos="8306"/>
          <w:tab w:val="clear" w:pos="9344"/>
        </w:tabs>
        <w:rPr>
          <w:rFonts w:hint="eastAsia" w:ascii="仿宋" w:hAnsi="仿宋" w:eastAsia="仿宋" w:cs="仿宋"/>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_Toc21131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zCs w:val="36"/>
          <w:highlight w:val="none"/>
        </w:rPr>
        <w:t>第四章  合同草案条款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szCs w:val="28"/>
          <w:highlight w:val="none"/>
        </w:rPr>
        <w:fldChar w:fldCharType="end"/>
      </w:r>
    </w:p>
    <w:p>
      <w:pPr>
        <w:pStyle w:val="35"/>
        <w:tabs>
          <w:tab w:val="right" w:leader="dot" w:pos="8306"/>
          <w:tab w:val="clear" w:pos="9344"/>
        </w:tabs>
        <w:rPr>
          <w:rFonts w:hint="eastAsia" w:ascii="仿宋" w:hAnsi="仿宋" w:eastAsia="仿宋" w:cs="仿宋"/>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_Toc25769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zCs w:val="36"/>
          <w:highlight w:val="none"/>
        </w:rPr>
        <w:t>第五章  采购内容及要求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_Toc25769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szCs w:val="28"/>
          <w:highlight w:val="none"/>
        </w:rPr>
        <w:fldChar w:fldCharType="end"/>
      </w:r>
    </w:p>
    <w:p>
      <w:pPr>
        <w:pStyle w:val="35"/>
        <w:tabs>
          <w:tab w:val="right" w:leader="dot" w:pos="8306"/>
          <w:tab w:val="clear" w:pos="9344"/>
        </w:tabs>
        <w:rPr>
          <w:rFonts w:hint="eastAsia" w:ascii="仿宋" w:hAnsi="仿宋" w:eastAsia="仿宋" w:cs="仿宋"/>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_Toc18339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zCs w:val="36"/>
          <w:highlight w:val="none"/>
        </w:rPr>
        <w:t>第六章  磋商响应文件格式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color w:val="auto"/>
          <w:szCs w:val="28"/>
          <w:highlight w:val="none"/>
        </w:rPr>
        <w:fldChar w:fldCharType="end"/>
      </w:r>
    </w:p>
    <w:p>
      <w:pPr>
        <w:tabs>
          <w:tab w:val="center" w:pos="4677"/>
          <w:tab w:val="left" w:pos="5040"/>
        </w:tabs>
        <w:adjustRightInd w:val="0"/>
        <w:snapToGrid w:val="0"/>
        <w:spacing w:line="360" w:lineRule="auto"/>
        <w:jc w:val="left"/>
        <w:rPr>
          <w:rFonts w:ascii="仿宋_GB2312" w:hAnsi="仿宋_GB2312" w:eastAsia="仿宋_GB2312" w:cs="仿宋_GB2312"/>
          <w:color w:val="auto"/>
          <w:szCs w:val="20"/>
          <w:highlight w:val="none"/>
        </w:rPr>
      </w:pPr>
      <w:r>
        <w:rPr>
          <w:rFonts w:hint="eastAsia" w:ascii="仿宋" w:hAnsi="仿宋" w:eastAsia="仿宋" w:cs="仿宋"/>
          <w:color w:val="auto"/>
          <w:szCs w:val="28"/>
          <w:highlight w:val="none"/>
        </w:rPr>
        <w:fldChar w:fldCharType="end"/>
      </w:r>
    </w:p>
    <w:p>
      <w:pPr>
        <w:rPr>
          <w:rFonts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br w:type="page"/>
      </w:r>
    </w:p>
    <w:p>
      <w:pPr>
        <w:pStyle w:val="2"/>
        <w:rPr>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pPr>
        <w:pStyle w:val="46"/>
        <w:spacing w:line="360" w:lineRule="auto"/>
        <w:rPr>
          <w:rStyle w:val="203"/>
          <w:rFonts w:ascii="宋体" w:hAnsi="宋体" w:eastAsia="宋体"/>
          <w:color w:val="auto"/>
          <w:sz w:val="36"/>
          <w:szCs w:val="36"/>
          <w:highlight w:val="none"/>
        </w:rPr>
      </w:pPr>
      <w:bookmarkStart w:id="0" w:name="_Toc14439"/>
      <w:bookmarkStart w:id="1" w:name="_Toc415499894"/>
      <w:bookmarkStart w:id="2" w:name="_Toc21755"/>
      <w:bookmarkStart w:id="3" w:name="_Toc58504445"/>
      <w:bookmarkStart w:id="4" w:name="_Toc176882541"/>
      <w:bookmarkStart w:id="5" w:name="_Toc70687138"/>
      <w:bookmarkStart w:id="6" w:name="_Toc177189234"/>
      <w:bookmarkStart w:id="7" w:name="_Toc499711882"/>
      <w:bookmarkStart w:id="8" w:name="_Toc496324577"/>
      <w:bookmarkStart w:id="9" w:name="_Toc500747187"/>
      <w:bookmarkStart w:id="10" w:name="_Toc503063420"/>
      <w:bookmarkStart w:id="11" w:name="_Toc500746964"/>
      <w:bookmarkStart w:id="12" w:name="_Toc53722839"/>
      <w:bookmarkStart w:id="13" w:name="_Toc492955413"/>
      <w:bookmarkStart w:id="14" w:name="_Toc500747060"/>
      <w:bookmarkStart w:id="15" w:name="_Toc177995472"/>
      <w:bookmarkStart w:id="16" w:name="_Toc499711041"/>
      <w:bookmarkStart w:id="17" w:name="_Toc177817333"/>
      <w:bookmarkStart w:id="18" w:name="_Toc385992325"/>
      <w:bookmarkStart w:id="19" w:name="_Toc385992324"/>
      <w:r>
        <w:rPr>
          <w:rStyle w:val="203"/>
          <w:rFonts w:hint="eastAsia" w:ascii="宋体" w:hAnsi="宋体" w:eastAsia="宋体"/>
          <w:color w:val="auto"/>
          <w:sz w:val="36"/>
          <w:szCs w:val="36"/>
          <w:highlight w:val="none"/>
        </w:rPr>
        <w:t>第一章  磋商公告</w:t>
      </w:r>
      <w:bookmarkEnd w:id="0"/>
      <w:bookmarkEnd w:id="1"/>
      <w:bookmarkEnd w:id="2"/>
      <w:bookmarkEnd w:id="3"/>
    </w:p>
    <w:p>
      <w:pPr>
        <w:spacing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陕西省文化和旅游厅2022年部省合作项目竞争性磋商公告</w:t>
      </w:r>
    </w:p>
    <w:p>
      <w:pPr>
        <w:widowControl/>
        <w:snapToGrid w:val="0"/>
        <w:spacing w:line="360" w:lineRule="auto"/>
        <w:ind w:right="-197" w:rightChars="-94"/>
        <w:jc w:val="left"/>
        <w:rPr>
          <w:rFonts w:hint="eastAsia" w:ascii="仿宋_GB2312" w:hAnsi="仿宋_GB2312" w:eastAsia="仿宋_GB2312" w:cs="仿宋_GB2312"/>
          <w:color w:val="auto"/>
          <w:kern w:val="0"/>
          <w:sz w:val="24"/>
          <w:highlight w:val="none"/>
          <w:lang w:val="en-US" w:eastAsia="zh-CN"/>
        </w:rPr>
      </w:pP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255905</wp:posOffset>
                </wp:positionV>
                <wp:extent cx="6187440" cy="969645"/>
                <wp:effectExtent l="4445" t="4445" r="18415" b="16510"/>
                <wp:wrapNone/>
                <wp:docPr id="5" name="文本框 5"/>
                <wp:cNvGraphicFramePr/>
                <a:graphic xmlns:a="http://schemas.openxmlformats.org/drawingml/2006/main">
                  <a:graphicData uri="http://schemas.microsoft.com/office/word/2010/wordprocessingShape">
                    <wps:wsp>
                      <wps:cNvSpPr txBox="1"/>
                      <wps:spPr>
                        <a:xfrm>
                          <a:off x="892175" y="2137410"/>
                          <a:ext cx="6187440" cy="969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napToGrid w:val="0"/>
                              <w:spacing w:line="360" w:lineRule="auto"/>
                              <w:ind w:right="-197" w:rightChars="-94" w:firstLine="480" w:firstLineChars="200"/>
                              <w:jc w:val="left"/>
                            </w:pPr>
                            <w:r>
                              <w:rPr>
                                <w:rFonts w:hint="eastAsia" w:ascii="仿宋_GB2312" w:hAnsi="仿宋_GB2312" w:eastAsia="仿宋_GB2312" w:cs="仿宋_GB2312"/>
                                <w:kern w:val="0"/>
                                <w:sz w:val="24"/>
                                <w:u w:val="single"/>
                              </w:rPr>
                              <w:t>陕西省文化和旅游厅2022年部省合作项目</w:t>
                            </w:r>
                            <w:r>
                              <w:rPr>
                                <w:rFonts w:hint="eastAsia" w:ascii="仿宋_GB2312" w:hAnsi="仿宋_GB2312" w:eastAsia="仿宋_GB2312" w:cs="仿宋_GB2312"/>
                                <w:kern w:val="0"/>
                                <w:sz w:val="24"/>
                              </w:rPr>
                              <w:t>潜在的供应商可在</w:t>
                            </w:r>
                            <w:r>
                              <w:rPr>
                                <w:rFonts w:hint="eastAsia" w:ascii="仿宋_GB2312" w:hAnsi="仿宋_GB2312" w:eastAsia="仿宋_GB2312" w:cs="仿宋_GB2312"/>
                                <w:kern w:val="0"/>
                                <w:sz w:val="24"/>
                                <w:u w:val="single"/>
                              </w:rPr>
                              <w:t>西安市高新二路2号山西</w:t>
                            </w:r>
                            <w:r>
                              <w:rPr>
                                <w:rFonts w:hint="eastAsia" w:ascii="仿宋_GB2312" w:hAnsi="仿宋_GB2312" w:eastAsia="仿宋_GB2312" w:cs="仿宋_GB2312"/>
                                <w:kern w:val="0"/>
                                <w:sz w:val="24"/>
                                <w:u w:val="single"/>
                                <w:lang w:eastAsia="zh-CN"/>
                              </w:rPr>
                              <w:t>证券</w:t>
                            </w:r>
                            <w:r>
                              <w:rPr>
                                <w:rFonts w:hint="eastAsia" w:ascii="仿宋_GB2312" w:hAnsi="仿宋_GB2312" w:eastAsia="仿宋_GB2312" w:cs="仿宋_GB2312"/>
                                <w:kern w:val="0"/>
                                <w:sz w:val="24"/>
                                <w:u w:val="single"/>
                              </w:rPr>
                              <w:t>大厦</w:t>
                            </w:r>
                            <w:r>
                              <w:rPr>
                                <w:rFonts w:hint="eastAsia" w:ascii="仿宋_GB2312" w:hAnsi="仿宋_GB2312" w:eastAsia="仿宋_GB2312" w:cs="仿宋_GB2312"/>
                                <w:kern w:val="0"/>
                                <w:sz w:val="24"/>
                                <w:u w:val="single"/>
                                <w:lang w:val="en-US" w:eastAsia="zh-CN"/>
                              </w:rPr>
                              <w:t>8</w:t>
                            </w:r>
                            <w:r>
                              <w:rPr>
                                <w:rFonts w:hint="eastAsia" w:ascii="仿宋_GB2312" w:hAnsi="仿宋_GB2312" w:eastAsia="仿宋_GB2312" w:cs="仿宋_GB2312"/>
                                <w:kern w:val="0"/>
                                <w:sz w:val="24"/>
                                <w:u w:val="single"/>
                              </w:rPr>
                              <w:t>层</w:t>
                            </w:r>
                            <w:r>
                              <w:rPr>
                                <w:rFonts w:hint="eastAsia" w:ascii="仿宋_GB2312" w:hAnsi="仿宋_GB2312" w:eastAsia="仿宋_GB2312" w:cs="仿宋_GB2312"/>
                                <w:kern w:val="0"/>
                                <w:sz w:val="24"/>
                                <w:u w:val="single"/>
                                <w:lang w:val="en-US" w:eastAsia="zh-CN"/>
                              </w:rPr>
                              <w:t>招标三部</w:t>
                            </w:r>
                            <w:r>
                              <w:rPr>
                                <w:rFonts w:hint="eastAsia" w:ascii="仿宋_GB2312" w:hAnsi="仿宋_GB2312" w:eastAsia="仿宋_GB2312" w:cs="仿宋_GB2312"/>
                                <w:kern w:val="0"/>
                                <w:sz w:val="24"/>
                                <w:u w:val="single"/>
                              </w:rPr>
                              <w:t>（或电子邮箱</w:t>
                            </w:r>
                            <w:r>
                              <w:rPr>
                                <w:rFonts w:hint="eastAsia" w:ascii="仿宋_GB2312" w:hAnsi="仿宋_GB2312" w:eastAsia="仿宋_GB2312" w:cs="仿宋_GB2312"/>
                                <w:kern w:val="0"/>
                                <w:sz w:val="24"/>
                                <w:u w:val="single"/>
                                <w:lang w:val="en-US" w:eastAsia="zh-CN"/>
                              </w:rPr>
                              <w:t>970726338@qq.com</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rPr>
                              <w:t>获取采购文件，并于</w:t>
                            </w:r>
                            <w:r>
                              <w:rPr>
                                <w:rFonts w:hint="eastAsia" w:ascii="仿宋_GB2312" w:hAnsi="仿宋_GB2312" w:eastAsia="仿宋_GB2312" w:cs="仿宋_GB2312"/>
                                <w:kern w:val="0"/>
                                <w:sz w:val="24"/>
                                <w:u w:val="single"/>
                              </w:rPr>
                              <w:t>20</w:t>
                            </w:r>
                            <w:r>
                              <w:rPr>
                                <w:rFonts w:hint="eastAsia" w:ascii="仿宋_GB2312" w:hAnsi="仿宋_GB2312" w:eastAsia="仿宋_GB2312" w:cs="仿宋_GB2312"/>
                                <w:kern w:val="0"/>
                                <w:sz w:val="24"/>
                                <w:u w:val="single"/>
                                <w:lang w:val="en-US" w:eastAsia="zh-CN"/>
                              </w:rPr>
                              <w:t>22</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u w:val="single"/>
                                <w:lang w:val="en-US" w:eastAsia="zh-CN"/>
                              </w:rPr>
                              <w:t>07</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u w:val="single"/>
                                <w:lang w:val="en-US" w:eastAsia="zh-CN"/>
                              </w:rPr>
                              <w:t>05</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lang w:val="en-US" w:eastAsia="zh-CN"/>
                              </w:rPr>
                              <w:t>14</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u w:val="single"/>
                                <w:lang w:val="en-US" w:eastAsia="zh-CN"/>
                              </w:rPr>
                              <w:t>30</w:t>
                            </w:r>
                            <w:r>
                              <w:rPr>
                                <w:rFonts w:hint="eastAsia" w:ascii="仿宋_GB2312" w:hAnsi="仿宋_GB2312" w:eastAsia="仿宋_GB2312" w:cs="仿宋_GB2312"/>
                                <w:kern w:val="0"/>
                                <w:sz w:val="24"/>
                                <w:u w:val="single"/>
                              </w:rPr>
                              <w:t xml:space="preserve">:00 </w:t>
                            </w:r>
                            <w:r>
                              <w:rPr>
                                <w:rFonts w:hint="eastAsia" w:ascii="仿宋_GB2312" w:hAnsi="仿宋_GB2312" w:eastAsia="仿宋_GB2312" w:cs="仿宋_GB2312"/>
                                <w:kern w:val="0"/>
                                <w:sz w:val="24"/>
                              </w:rPr>
                              <w:t xml:space="preserve">前递交响应文件。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20.15pt;height:76.35pt;width:487.2pt;z-index:251659264;mso-width-relative:page;mso-height-relative:page;" fillcolor="#FFFFFF [3201]" filled="t" stroked="t" coordsize="21600,21600" o:gfxdata="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3AZjXtYAAAAJAQAADwAAAAAAAAABACAAAAAiAAAAZHJzL2Rvd25yZXYueG1sUEsBAhQAFAAA&#10;AAgAh07iQGSYnURjAgAAwgQAAA4AAAAAAAAAAQAgAAAAJQEAAGRycy9lMm9Eb2MueG1sUEsFBgAA&#10;AAAGAAYAWQEAAPoFAAAAAA==&#10;">
                <v:fill on="t" focussize="0,0"/>
                <v:stroke weight="0.5pt" color="#000000 [3204]" joinstyle="round"/>
                <v:imagedata o:title=""/>
                <o:lock v:ext="edit" aspectratio="f"/>
                <v:textbox>
                  <w:txbxContent>
                    <w:p>
                      <w:pPr>
                        <w:widowControl/>
                        <w:snapToGrid w:val="0"/>
                        <w:spacing w:line="360" w:lineRule="auto"/>
                        <w:ind w:right="-197" w:rightChars="-94" w:firstLine="480" w:firstLineChars="200"/>
                        <w:jc w:val="left"/>
                      </w:pPr>
                      <w:r>
                        <w:rPr>
                          <w:rFonts w:hint="eastAsia" w:ascii="仿宋_GB2312" w:hAnsi="仿宋_GB2312" w:eastAsia="仿宋_GB2312" w:cs="仿宋_GB2312"/>
                          <w:kern w:val="0"/>
                          <w:sz w:val="24"/>
                          <w:u w:val="single"/>
                        </w:rPr>
                        <w:t>陕西省文化和旅游厅2022年部省合作项目</w:t>
                      </w:r>
                      <w:r>
                        <w:rPr>
                          <w:rFonts w:hint="eastAsia" w:ascii="仿宋_GB2312" w:hAnsi="仿宋_GB2312" w:eastAsia="仿宋_GB2312" w:cs="仿宋_GB2312"/>
                          <w:kern w:val="0"/>
                          <w:sz w:val="24"/>
                        </w:rPr>
                        <w:t>潜在的供应商可在</w:t>
                      </w:r>
                      <w:r>
                        <w:rPr>
                          <w:rFonts w:hint="eastAsia" w:ascii="仿宋_GB2312" w:hAnsi="仿宋_GB2312" w:eastAsia="仿宋_GB2312" w:cs="仿宋_GB2312"/>
                          <w:kern w:val="0"/>
                          <w:sz w:val="24"/>
                          <w:u w:val="single"/>
                        </w:rPr>
                        <w:t>西安市高新二路2号山西</w:t>
                      </w:r>
                      <w:r>
                        <w:rPr>
                          <w:rFonts w:hint="eastAsia" w:ascii="仿宋_GB2312" w:hAnsi="仿宋_GB2312" w:eastAsia="仿宋_GB2312" w:cs="仿宋_GB2312"/>
                          <w:kern w:val="0"/>
                          <w:sz w:val="24"/>
                          <w:u w:val="single"/>
                          <w:lang w:eastAsia="zh-CN"/>
                        </w:rPr>
                        <w:t>证券</w:t>
                      </w:r>
                      <w:r>
                        <w:rPr>
                          <w:rFonts w:hint="eastAsia" w:ascii="仿宋_GB2312" w:hAnsi="仿宋_GB2312" w:eastAsia="仿宋_GB2312" w:cs="仿宋_GB2312"/>
                          <w:kern w:val="0"/>
                          <w:sz w:val="24"/>
                          <w:u w:val="single"/>
                        </w:rPr>
                        <w:t>大厦</w:t>
                      </w:r>
                      <w:r>
                        <w:rPr>
                          <w:rFonts w:hint="eastAsia" w:ascii="仿宋_GB2312" w:hAnsi="仿宋_GB2312" w:eastAsia="仿宋_GB2312" w:cs="仿宋_GB2312"/>
                          <w:kern w:val="0"/>
                          <w:sz w:val="24"/>
                          <w:u w:val="single"/>
                          <w:lang w:val="en-US" w:eastAsia="zh-CN"/>
                        </w:rPr>
                        <w:t>8</w:t>
                      </w:r>
                      <w:r>
                        <w:rPr>
                          <w:rFonts w:hint="eastAsia" w:ascii="仿宋_GB2312" w:hAnsi="仿宋_GB2312" w:eastAsia="仿宋_GB2312" w:cs="仿宋_GB2312"/>
                          <w:kern w:val="0"/>
                          <w:sz w:val="24"/>
                          <w:u w:val="single"/>
                        </w:rPr>
                        <w:t>层</w:t>
                      </w:r>
                      <w:r>
                        <w:rPr>
                          <w:rFonts w:hint="eastAsia" w:ascii="仿宋_GB2312" w:hAnsi="仿宋_GB2312" w:eastAsia="仿宋_GB2312" w:cs="仿宋_GB2312"/>
                          <w:kern w:val="0"/>
                          <w:sz w:val="24"/>
                          <w:u w:val="single"/>
                          <w:lang w:val="en-US" w:eastAsia="zh-CN"/>
                        </w:rPr>
                        <w:t>招标三部</w:t>
                      </w:r>
                      <w:r>
                        <w:rPr>
                          <w:rFonts w:hint="eastAsia" w:ascii="仿宋_GB2312" w:hAnsi="仿宋_GB2312" w:eastAsia="仿宋_GB2312" w:cs="仿宋_GB2312"/>
                          <w:kern w:val="0"/>
                          <w:sz w:val="24"/>
                          <w:u w:val="single"/>
                        </w:rPr>
                        <w:t>（或电子邮箱</w:t>
                      </w:r>
                      <w:r>
                        <w:rPr>
                          <w:rFonts w:hint="eastAsia" w:ascii="仿宋_GB2312" w:hAnsi="仿宋_GB2312" w:eastAsia="仿宋_GB2312" w:cs="仿宋_GB2312"/>
                          <w:kern w:val="0"/>
                          <w:sz w:val="24"/>
                          <w:u w:val="single"/>
                          <w:lang w:val="en-US" w:eastAsia="zh-CN"/>
                        </w:rPr>
                        <w:t>970726338@qq.com</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rPr>
                        <w:t>获取采购文件，并于</w:t>
                      </w:r>
                      <w:r>
                        <w:rPr>
                          <w:rFonts w:hint="eastAsia" w:ascii="仿宋_GB2312" w:hAnsi="仿宋_GB2312" w:eastAsia="仿宋_GB2312" w:cs="仿宋_GB2312"/>
                          <w:kern w:val="0"/>
                          <w:sz w:val="24"/>
                          <w:u w:val="single"/>
                        </w:rPr>
                        <w:t>20</w:t>
                      </w:r>
                      <w:r>
                        <w:rPr>
                          <w:rFonts w:hint="eastAsia" w:ascii="仿宋_GB2312" w:hAnsi="仿宋_GB2312" w:eastAsia="仿宋_GB2312" w:cs="仿宋_GB2312"/>
                          <w:kern w:val="0"/>
                          <w:sz w:val="24"/>
                          <w:u w:val="single"/>
                          <w:lang w:val="en-US" w:eastAsia="zh-CN"/>
                        </w:rPr>
                        <w:t>22</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u w:val="single"/>
                          <w:lang w:val="en-US" w:eastAsia="zh-CN"/>
                        </w:rPr>
                        <w:t>07</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u w:val="single"/>
                          <w:lang w:val="en-US" w:eastAsia="zh-CN"/>
                        </w:rPr>
                        <w:t>05</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lang w:val="en-US" w:eastAsia="zh-CN"/>
                        </w:rPr>
                        <w:t>14</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u w:val="single"/>
                          <w:lang w:val="en-US" w:eastAsia="zh-CN"/>
                        </w:rPr>
                        <w:t>30</w:t>
                      </w:r>
                      <w:r>
                        <w:rPr>
                          <w:rFonts w:hint="eastAsia" w:ascii="仿宋_GB2312" w:hAnsi="仿宋_GB2312" w:eastAsia="仿宋_GB2312" w:cs="仿宋_GB2312"/>
                          <w:kern w:val="0"/>
                          <w:sz w:val="24"/>
                          <w:u w:val="single"/>
                        </w:rPr>
                        <w:t xml:space="preserve">:00 </w:t>
                      </w:r>
                      <w:r>
                        <w:rPr>
                          <w:rFonts w:hint="eastAsia" w:ascii="仿宋_GB2312" w:hAnsi="仿宋_GB2312" w:eastAsia="仿宋_GB2312" w:cs="仿宋_GB2312"/>
                          <w:kern w:val="0"/>
                          <w:sz w:val="24"/>
                        </w:rPr>
                        <w:t xml:space="preserve">前递交响应文件。 </w:t>
                      </w:r>
                    </w:p>
                  </w:txbxContent>
                </v:textbox>
              </v:shape>
            </w:pict>
          </mc:Fallback>
        </mc:AlternateContent>
      </w:r>
      <w:r>
        <w:rPr>
          <w:rFonts w:hint="eastAsia" w:ascii="仿宋_GB2312" w:hAnsi="仿宋_GB2312" w:eastAsia="仿宋_GB2312" w:cs="仿宋_GB2312"/>
          <w:color w:val="auto"/>
          <w:kern w:val="0"/>
          <w:sz w:val="24"/>
          <w:highlight w:val="none"/>
          <w:lang w:val="en-US" w:eastAsia="zh-CN"/>
        </w:rPr>
        <w:t>项目概况</w:t>
      </w:r>
    </w:p>
    <w:p>
      <w:pPr>
        <w:pStyle w:val="2"/>
        <w:rPr>
          <w:rFonts w:hint="eastAsia" w:ascii="仿宋_GB2312" w:hAnsi="仿宋_GB2312" w:eastAsia="仿宋_GB2312" w:cs="仿宋_GB2312"/>
          <w:color w:val="auto"/>
          <w:kern w:val="0"/>
          <w:sz w:val="24"/>
          <w:highlight w:val="none"/>
          <w:lang w:val="en-US" w:eastAsia="zh-CN"/>
        </w:rPr>
      </w:pPr>
    </w:p>
    <w:p>
      <w:pPr>
        <w:rPr>
          <w:rFonts w:hint="eastAsia" w:ascii="仿宋_GB2312" w:hAnsi="仿宋_GB2312" w:eastAsia="仿宋_GB2312" w:cs="仿宋_GB2312"/>
          <w:color w:val="auto"/>
          <w:kern w:val="0"/>
          <w:sz w:val="24"/>
          <w:highlight w:val="none"/>
          <w:lang w:val="en-US" w:eastAsia="zh-CN"/>
        </w:rPr>
      </w:pPr>
    </w:p>
    <w:p>
      <w:pPr>
        <w:pStyle w:val="2"/>
        <w:rPr>
          <w:rFonts w:hint="eastAsia" w:ascii="仿宋_GB2312" w:hAnsi="仿宋_GB2312" w:eastAsia="仿宋_GB2312" w:cs="仿宋_GB2312"/>
          <w:color w:val="auto"/>
          <w:kern w:val="0"/>
          <w:sz w:val="24"/>
          <w:highlight w:val="none"/>
          <w:lang w:val="en-US" w:eastAsia="zh-CN"/>
        </w:rPr>
      </w:pPr>
    </w:p>
    <w:p>
      <w:pPr>
        <w:rPr>
          <w:rFonts w:hint="eastAsia" w:ascii="仿宋_GB2312" w:hAnsi="仿宋_GB2312" w:eastAsia="仿宋_GB2312" w:cs="仿宋_GB2312"/>
          <w:color w:val="auto"/>
          <w:kern w:val="0"/>
          <w:sz w:val="24"/>
          <w:highlight w:val="none"/>
          <w:lang w:val="en-US" w:eastAsia="zh-CN"/>
        </w:rPr>
      </w:pP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一、项目基本情况：</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1、项目编号：SCZC2022-CS-1208/001</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2、项目名称：陕西省文化和旅游厅2022年部省合作项目 </w:t>
      </w:r>
    </w:p>
    <w:p>
      <w:pPr>
        <w:widowControl/>
        <w:snapToGrid w:val="0"/>
        <w:spacing w:line="360" w:lineRule="auto"/>
        <w:ind w:right="-197" w:rightChars="-94" w:firstLine="480" w:firstLineChars="200"/>
        <w:jc w:val="left"/>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、采购方式：竞争性磋商</w:t>
      </w:r>
    </w:p>
    <w:p>
      <w:pPr>
        <w:widowControl/>
        <w:snapToGrid w:val="0"/>
        <w:spacing w:line="360" w:lineRule="auto"/>
        <w:ind w:right="-197" w:rightChars="-94" w:firstLine="480" w:firstLineChars="200"/>
        <w:jc w:val="left"/>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rPr>
        <w:t>、预算金额：</w:t>
      </w:r>
      <w:r>
        <w:rPr>
          <w:rFonts w:hint="eastAsia" w:ascii="仿宋_GB2312" w:hAnsi="仿宋_GB2312" w:eastAsia="仿宋_GB2312" w:cs="仿宋_GB2312"/>
          <w:color w:val="auto"/>
          <w:kern w:val="0"/>
          <w:sz w:val="24"/>
          <w:highlight w:val="none"/>
          <w:lang w:val="en-US" w:eastAsia="zh-CN"/>
        </w:rPr>
        <w:t>980000.00元</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rPr>
        <w:t>5、采购需求：</w:t>
      </w:r>
      <w:r>
        <w:rPr>
          <w:rFonts w:hint="eastAsia" w:ascii="仿宋_GB2312" w:hAnsi="仿宋_GB2312" w:eastAsia="仿宋_GB2312" w:cs="仿宋_GB2312"/>
          <w:color w:val="auto"/>
          <w:kern w:val="0"/>
          <w:sz w:val="24"/>
          <w:highlight w:val="none"/>
          <w:u w:val="single"/>
        </w:rPr>
        <w:t>陕西省文化和旅游厅2022年部省合作项目</w:t>
      </w:r>
      <w:r>
        <w:rPr>
          <w:rFonts w:hint="eastAsia" w:ascii="仿宋_GB2312" w:hAnsi="仿宋_GB2312" w:eastAsia="仿宋_GB2312" w:cs="仿宋_GB2312"/>
          <w:color w:val="auto"/>
          <w:kern w:val="0"/>
          <w:sz w:val="24"/>
          <w:highlight w:val="none"/>
        </w:rPr>
        <w:t>，1项， 采购预算：</w:t>
      </w:r>
      <w:r>
        <w:rPr>
          <w:rFonts w:hint="eastAsia" w:ascii="仿宋_GB2312" w:hAnsi="仿宋_GB2312" w:eastAsia="仿宋_GB2312" w:cs="仿宋_GB2312"/>
          <w:color w:val="auto"/>
          <w:kern w:val="0"/>
          <w:sz w:val="24"/>
          <w:highlight w:val="none"/>
          <w:lang w:val="en-US" w:eastAsia="zh-CN"/>
        </w:rPr>
        <w:t>980000.00</w:t>
      </w:r>
      <w:r>
        <w:rPr>
          <w:rFonts w:hint="eastAsia" w:ascii="仿宋_GB2312" w:hAnsi="仿宋_GB2312" w:eastAsia="仿宋_GB2312" w:cs="仿宋_GB2312"/>
          <w:color w:val="auto"/>
          <w:kern w:val="0"/>
          <w:sz w:val="24"/>
          <w:highlight w:val="none"/>
        </w:rPr>
        <w:t>元， 项目概况：</w:t>
      </w:r>
      <w:r>
        <w:rPr>
          <w:rFonts w:hint="eastAsia" w:ascii="仿宋_GB2312" w:hAnsi="仿宋_GB2312" w:eastAsia="仿宋_GB2312" w:cs="仿宋_GB2312"/>
          <w:color w:val="auto"/>
          <w:kern w:val="0"/>
          <w:sz w:val="24"/>
          <w:highlight w:val="none"/>
          <w:lang w:val="en-US" w:eastAsia="zh-CN"/>
        </w:rPr>
        <w:t>拟举办《秦QIN-兵马俑的前世今生》现代艺术展等5个线上展、秦腔《杨贵妃》线上视频展及《古法新作--陕西文化艺术展》线下展等活动</w:t>
      </w:r>
      <w:r>
        <w:rPr>
          <w:rFonts w:hint="eastAsia" w:ascii="仿宋_GB2312" w:hAnsi="仿宋_GB2312" w:eastAsia="仿宋_GB2312" w:cs="仿宋_GB2312"/>
          <w:color w:val="auto"/>
          <w:kern w:val="0"/>
          <w:sz w:val="24"/>
          <w:highlight w:val="none"/>
        </w:rPr>
        <w:t>，具体内容详见竞争性磋商文件，简要技术要求、用途：</w:t>
      </w:r>
      <w:r>
        <w:rPr>
          <w:rFonts w:hint="eastAsia" w:ascii="仿宋_GB2312" w:hAnsi="仿宋_GB2312" w:eastAsia="仿宋_GB2312" w:cs="仿宋_GB2312"/>
          <w:color w:val="auto"/>
          <w:kern w:val="0"/>
          <w:sz w:val="24"/>
          <w:highlight w:val="none"/>
          <w:lang w:val="en-US" w:eastAsia="zh-CN"/>
        </w:rPr>
        <w:t>采购人自用</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6、合同履行期限：</w:t>
      </w:r>
      <w:r>
        <w:rPr>
          <w:rFonts w:hint="eastAsia" w:ascii="仿宋_GB2312" w:hAnsi="仿宋_GB2312" w:eastAsia="仿宋_GB2312" w:cs="仿宋_GB2312"/>
          <w:color w:val="auto"/>
          <w:kern w:val="0"/>
          <w:sz w:val="24"/>
          <w:highlight w:val="none"/>
          <w:lang w:val="en-US" w:eastAsia="zh-CN"/>
        </w:rPr>
        <w:t>6个月</w:t>
      </w:r>
      <w:r>
        <w:rPr>
          <w:rFonts w:hint="eastAsia" w:ascii="仿宋_GB2312" w:hAnsi="仿宋_GB2312" w:eastAsia="仿宋_GB2312" w:cs="仿宋_GB2312"/>
          <w:color w:val="auto"/>
          <w:kern w:val="0"/>
          <w:sz w:val="24"/>
          <w:highlight w:val="none"/>
        </w:rPr>
        <w:t>（具体服务起止日期可随合同签订时间相应顺延）</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7、本项目是否接受联合体投标：否</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二、响应供应商的资格要求 </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1、满足《中华人民共和国政府采购法》第二十二条规定；</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2、落实政府采购政策需满足的资格要求：</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 《政府采购促进中小企业发展管理办法》（财库〔2020〕46号）；</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2.2 《财政部</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rPr>
        <w:t>司法部关于政府采购支持监狱企业发展有关问题的通知》（财库〔2014〕68号）；</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2.3 《财政部 民政部 中国残疾人联合会关于促进残疾人就业政府采购政策的通知》（财库〔2017〕141号）；</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2.4 《财政部</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rPr>
        <w:t>国家发展改革委关于印发(节能产品政府采购实施意见)的通知》(财库〔2004〕185号)；</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2.5 《国务院办公厅关于建立政府强制采购节能产品制度的通知》(国办发〔2007〕51号)；</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2.6 《财政部</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rPr>
        <w:t>环保总局关于环境标志产品政府采购实施的意见》(财库〔2006〕90号)</w:t>
      </w:r>
      <w:r>
        <w:rPr>
          <w:rFonts w:hint="eastAsia" w:ascii="仿宋_GB2312" w:hAnsi="仿宋_GB2312" w:eastAsia="仿宋_GB2312" w:cs="仿宋_GB2312"/>
          <w:color w:val="auto"/>
          <w:kern w:val="0"/>
          <w:sz w:val="24"/>
          <w:highlight w:val="none"/>
          <w:lang w:eastAsia="zh-CN"/>
        </w:rPr>
        <w:t>；</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2.7 《财政部 发展改革委 生态环境部 市场监管总局关于调整优化节能产品、环境标志产品政府采购执行机制的通知》（财库〔2019〕9号）</w:t>
      </w:r>
      <w:r>
        <w:rPr>
          <w:rFonts w:hint="eastAsia" w:ascii="仿宋_GB2312" w:hAnsi="仿宋_GB2312" w:eastAsia="仿宋_GB2312" w:cs="仿宋_GB2312"/>
          <w:color w:val="auto"/>
          <w:kern w:val="0"/>
          <w:sz w:val="24"/>
          <w:highlight w:val="none"/>
          <w:lang w:eastAsia="zh-CN"/>
        </w:rPr>
        <w:t>；</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2.8 《关于印发环境标志产品政府采购品目清单的通知》（财库〔2019〕18号）</w:t>
      </w:r>
      <w:r>
        <w:rPr>
          <w:rFonts w:hint="eastAsia" w:ascii="仿宋_GB2312" w:hAnsi="仿宋_GB2312" w:eastAsia="仿宋_GB2312" w:cs="仿宋_GB2312"/>
          <w:color w:val="auto"/>
          <w:kern w:val="0"/>
          <w:sz w:val="24"/>
          <w:highlight w:val="none"/>
          <w:lang w:eastAsia="zh-CN"/>
        </w:rPr>
        <w:t>；</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2.9 《关于印发节能产品政府采购品目清单的通知》（财库〔2019〕19号）</w:t>
      </w:r>
      <w:r>
        <w:rPr>
          <w:rFonts w:hint="eastAsia" w:ascii="仿宋_GB2312" w:hAnsi="仿宋_GB2312" w:eastAsia="仿宋_GB2312" w:cs="仿宋_GB2312"/>
          <w:color w:val="auto"/>
          <w:kern w:val="0"/>
          <w:sz w:val="24"/>
          <w:highlight w:val="none"/>
          <w:lang w:eastAsia="zh-CN"/>
        </w:rPr>
        <w:t>；</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2.10 《财政部 农业农村部 国家乡村振兴局关于运用政府采购政策支持乡村产业振兴的通知》（财库〔2021〕19号）</w:t>
      </w:r>
      <w:r>
        <w:rPr>
          <w:rFonts w:hint="eastAsia" w:ascii="仿宋_GB2312" w:hAnsi="仿宋_GB2312" w:eastAsia="仿宋_GB2312" w:cs="仿宋_GB2312"/>
          <w:color w:val="auto"/>
          <w:kern w:val="0"/>
          <w:sz w:val="24"/>
          <w:highlight w:val="none"/>
          <w:lang w:eastAsia="zh-CN"/>
        </w:rPr>
        <w:t>；</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2.11 《陕西省财政厅关于印发陕西省中小企业政府采购信用融资办法》（陕财办采〔2018〕23号）</w:t>
      </w:r>
      <w:r>
        <w:rPr>
          <w:rFonts w:hint="eastAsia" w:ascii="仿宋_GB2312" w:hAnsi="仿宋_GB2312" w:eastAsia="仿宋_GB2312" w:cs="仿宋_GB2312"/>
          <w:color w:val="auto"/>
          <w:kern w:val="0"/>
          <w:sz w:val="24"/>
          <w:highlight w:val="none"/>
          <w:lang w:eastAsia="zh-CN"/>
        </w:rPr>
        <w:t>；</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2.12 《陕西省财政厅关于加快推进我省中小企业政府采购信用融资工作的通知》（陕财办采〔2020〕15号）</w:t>
      </w:r>
      <w:r>
        <w:rPr>
          <w:rFonts w:hint="eastAsia" w:ascii="仿宋_GB2312" w:hAnsi="仿宋_GB2312" w:eastAsia="仿宋_GB2312" w:cs="仿宋_GB2312"/>
          <w:color w:val="auto"/>
          <w:kern w:val="0"/>
          <w:sz w:val="24"/>
          <w:highlight w:val="none"/>
          <w:lang w:eastAsia="zh-CN"/>
        </w:rPr>
        <w:t>。</w:t>
      </w:r>
    </w:p>
    <w:p>
      <w:pPr>
        <w:widowControl/>
        <w:snapToGrid w:val="0"/>
        <w:spacing w:line="360" w:lineRule="auto"/>
        <w:ind w:right="-197" w:rightChars="-94" w:firstLine="480" w:firstLineChars="200"/>
        <w:jc w:val="left"/>
        <w:rPr>
          <w:rFonts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color w:val="auto"/>
          <w:sz w:val="24"/>
          <w:highlight w:val="none"/>
        </w:rPr>
        <w:t>本项目为专门面向中小企业的项目，</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应为中小微企业、监狱企业或残疾人福利性单位</w:t>
      </w:r>
      <w:r>
        <w:rPr>
          <w:rFonts w:hint="eastAsia" w:ascii="仿宋_GB2312" w:hAnsi="仿宋_GB2312" w:eastAsia="仿宋_GB2312" w:cs="仿宋_GB2312"/>
          <w:b w:val="0"/>
          <w:bCs w:val="0"/>
          <w:color w:val="auto"/>
          <w:kern w:val="0"/>
          <w:sz w:val="24"/>
          <w:highlight w:val="none"/>
        </w:rPr>
        <w:t>。</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3、本项目的特定资格要求：</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3.1供应商在递交响应文件截止时间前被“信用中国”网站（www.creditchina.gov.cn）和中国政府采购网（www.ccgp.gov.cn）上被列入失信被执行人、重大税收违法案件当事人名单、政府采购严重违法失信行为记录名单的，不得参加磋商；</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3.2供应商应授权合法的人员参加投标，其中法定代表人直接参加的须出具法人身份证并与营业执照上信息一致，法定代表人授权代表参加的须出具法定代表人授权书及被授权人本单位证明（社保或劳动合同）；</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3.3供应商不得存在下列情形之一：</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（1）单位负责人为同一人或者存在直接控股、管理关系的不同供应商，不得参加本次采购活动；</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（2）为本项目提供整体设计、规范编制或者项目管理、监理、检测等服务的供应商，不得再参加该采购项目的其他采购活动。</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3.4需向采购代理机构购买磋商文件并登记备案，未向采购代理机构购买磋商文件并登记备案的供应商均无资格参加磋商。</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三、采购文件的获取方式 </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时间：2022年06月</w:t>
      </w:r>
      <w:r>
        <w:rPr>
          <w:rFonts w:hint="eastAsia" w:ascii="仿宋_GB2312" w:hAnsi="仿宋_GB2312" w:eastAsia="仿宋_GB2312" w:cs="仿宋_GB2312"/>
          <w:color w:val="auto"/>
          <w:kern w:val="0"/>
          <w:sz w:val="24"/>
          <w:highlight w:val="none"/>
          <w:lang w:val="en-US" w:eastAsia="zh-CN"/>
        </w:rPr>
        <w:t>23</w:t>
      </w:r>
      <w:r>
        <w:rPr>
          <w:rFonts w:hint="eastAsia" w:ascii="仿宋_GB2312" w:hAnsi="仿宋_GB2312" w:eastAsia="仿宋_GB2312" w:cs="仿宋_GB2312"/>
          <w:color w:val="auto"/>
          <w:kern w:val="0"/>
          <w:sz w:val="24"/>
          <w:highlight w:val="none"/>
        </w:rPr>
        <w:t>日至2022年06月</w:t>
      </w:r>
      <w:r>
        <w:rPr>
          <w:rFonts w:hint="eastAsia" w:ascii="仿宋_GB2312" w:hAnsi="仿宋_GB2312" w:eastAsia="仿宋_GB2312" w:cs="仿宋_GB2312"/>
          <w:color w:val="auto"/>
          <w:kern w:val="0"/>
          <w:sz w:val="24"/>
          <w:highlight w:val="none"/>
          <w:lang w:val="en-US" w:eastAsia="zh-CN"/>
        </w:rPr>
        <w:t>30</w:t>
      </w:r>
      <w:r>
        <w:rPr>
          <w:rFonts w:hint="eastAsia" w:ascii="仿宋_GB2312" w:hAnsi="仿宋_GB2312" w:eastAsia="仿宋_GB2312" w:cs="仿宋_GB2312"/>
          <w:color w:val="auto"/>
          <w:kern w:val="0"/>
          <w:sz w:val="24"/>
          <w:highlight w:val="none"/>
        </w:rPr>
        <w:t>日，每天上午</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:00:00至12:00:00，下午12:00:00至</w:t>
      </w:r>
      <w:r>
        <w:rPr>
          <w:rFonts w:hint="eastAsia" w:ascii="仿宋_GB2312" w:hAnsi="仿宋_GB2312" w:eastAsia="仿宋_GB2312" w:cs="仿宋_GB2312"/>
          <w:color w:val="auto"/>
          <w:kern w:val="0"/>
          <w:sz w:val="24"/>
          <w:highlight w:val="none"/>
          <w:lang w:val="en-US" w:eastAsia="zh-CN"/>
        </w:rPr>
        <w:t>18</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00</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00</w:t>
      </w:r>
      <w:r>
        <w:rPr>
          <w:rFonts w:hint="eastAsia" w:ascii="仿宋_GB2312" w:hAnsi="仿宋_GB2312" w:eastAsia="仿宋_GB2312" w:cs="仿宋_GB2312"/>
          <w:color w:val="auto"/>
          <w:kern w:val="0"/>
          <w:sz w:val="24"/>
          <w:highlight w:val="none"/>
        </w:rPr>
        <w:t>（北京时间,法定节假日除外）</w:t>
      </w:r>
      <w:bookmarkStart w:id="512" w:name="_GoBack"/>
      <w:bookmarkEnd w:id="512"/>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地点：西安市高新二路2号山西</w:t>
      </w:r>
      <w:r>
        <w:rPr>
          <w:rFonts w:hint="eastAsia" w:ascii="仿宋_GB2312" w:hAnsi="仿宋_GB2312" w:eastAsia="仿宋_GB2312" w:cs="仿宋_GB2312"/>
          <w:color w:val="auto"/>
          <w:kern w:val="0"/>
          <w:sz w:val="24"/>
          <w:highlight w:val="none"/>
          <w:lang w:eastAsia="zh-CN"/>
        </w:rPr>
        <w:t>证券</w:t>
      </w:r>
      <w:r>
        <w:rPr>
          <w:rFonts w:hint="eastAsia" w:ascii="仿宋_GB2312" w:hAnsi="仿宋_GB2312" w:eastAsia="仿宋_GB2312" w:cs="仿宋_GB2312"/>
          <w:color w:val="auto"/>
          <w:kern w:val="0"/>
          <w:sz w:val="24"/>
          <w:highlight w:val="none"/>
        </w:rPr>
        <w:t>大厦</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层招标</w:t>
      </w:r>
      <w:r>
        <w:rPr>
          <w:rFonts w:hint="eastAsia" w:ascii="仿宋_GB2312" w:hAnsi="仿宋_GB2312" w:eastAsia="仿宋_GB2312" w:cs="仿宋_GB2312"/>
          <w:color w:val="auto"/>
          <w:kern w:val="0"/>
          <w:sz w:val="24"/>
          <w:highlight w:val="none"/>
          <w:lang w:val="en-US" w:eastAsia="zh-CN"/>
        </w:rPr>
        <w:t>三</w:t>
      </w:r>
      <w:r>
        <w:rPr>
          <w:rFonts w:hint="eastAsia" w:ascii="仿宋_GB2312" w:hAnsi="仿宋_GB2312" w:eastAsia="仿宋_GB2312" w:cs="仿宋_GB2312"/>
          <w:color w:val="auto"/>
          <w:kern w:val="0"/>
          <w:sz w:val="24"/>
          <w:highlight w:val="none"/>
        </w:rPr>
        <w:t>部（或电子邮箱：</w:t>
      </w:r>
      <w:r>
        <w:rPr>
          <w:rFonts w:hint="eastAsia" w:ascii="仿宋_GB2312" w:hAnsi="仿宋_GB2312" w:eastAsia="仿宋_GB2312" w:cs="仿宋_GB2312"/>
          <w:color w:val="auto"/>
          <w:kern w:val="0"/>
          <w:sz w:val="24"/>
          <w:highlight w:val="none"/>
          <w:lang w:val="en-US" w:eastAsia="zh-CN"/>
        </w:rPr>
        <w:t>970726338@qq.com</w:t>
      </w:r>
      <w:r>
        <w:rPr>
          <w:rFonts w:hint="eastAsia" w:ascii="仿宋_GB2312" w:hAnsi="仿宋_GB2312" w:eastAsia="仿宋_GB2312" w:cs="仿宋_GB2312"/>
          <w:color w:val="auto"/>
          <w:kern w:val="0"/>
          <w:sz w:val="24"/>
          <w:highlight w:val="none"/>
        </w:rPr>
        <w:t>）</w:t>
      </w:r>
    </w:p>
    <w:p>
      <w:pPr>
        <w:pStyle w:val="2"/>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kern w:val="0"/>
          <w:sz w:val="24"/>
          <w:highlight w:val="none"/>
        </w:rPr>
        <w:t>方式：现场购买/邮寄</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售价：每套</w:t>
      </w:r>
      <w:r>
        <w:rPr>
          <w:rFonts w:hint="eastAsia" w:ascii="仿宋_GB2312" w:hAnsi="仿宋_GB2312" w:eastAsia="仿宋_GB2312" w:cs="仿宋_GB2312"/>
          <w:color w:val="auto"/>
          <w:kern w:val="0"/>
          <w:sz w:val="24"/>
          <w:highlight w:val="none"/>
          <w:lang w:val="en-US" w:eastAsia="zh-CN"/>
        </w:rPr>
        <w:t>500</w:t>
      </w:r>
      <w:r>
        <w:rPr>
          <w:rFonts w:hint="eastAsia" w:ascii="仿宋_GB2312" w:hAnsi="仿宋_GB2312" w:eastAsia="仿宋_GB2312" w:cs="仿宋_GB2312"/>
          <w:color w:val="auto"/>
          <w:kern w:val="0"/>
          <w:sz w:val="24"/>
          <w:highlight w:val="none"/>
        </w:rPr>
        <w:t>元（人民币），售后不退</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注：购买文件时须携带单位介绍信（原件）及身份证（复印件加盖公章）或（在采购文件获取时间内通过电子邮箱发送电子版资料的方式获取竞争性磋商文件，请将单位介绍信、身份证复印件加盖公章发至</w:t>
      </w:r>
      <w:r>
        <w:rPr>
          <w:rFonts w:hint="eastAsia" w:ascii="仿宋_GB2312" w:hAnsi="仿宋_GB2312" w:eastAsia="仿宋_GB2312" w:cs="仿宋_GB2312"/>
          <w:color w:val="auto"/>
          <w:kern w:val="0"/>
          <w:sz w:val="24"/>
          <w:highlight w:val="none"/>
          <w:lang w:val="en-US" w:eastAsia="zh-CN"/>
        </w:rPr>
        <w:t>970726338</w:t>
      </w:r>
      <w:r>
        <w:rPr>
          <w:rFonts w:hint="eastAsia" w:ascii="仿宋_GB2312" w:hAnsi="仿宋_GB2312" w:eastAsia="仿宋_GB2312" w:cs="仿宋_GB2312"/>
          <w:color w:val="auto"/>
          <w:kern w:val="0"/>
          <w:sz w:val="24"/>
          <w:highlight w:val="none"/>
        </w:rPr>
        <w:t>@qq.com邮箱，邮箱标题请以项目名称-单位名称-联系人-联系电话的方式命名。）</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四、响应文件递交 </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截止时间：20</w:t>
      </w:r>
      <w:r>
        <w:rPr>
          <w:rFonts w:hint="eastAsia" w:ascii="仿宋_GB2312" w:hAnsi="仿宋_GB2312" w:eastAsia="仿宋_GB2312" w:cs="仿宋_GB2312"/>
          <w:color w:val="auto"/>
          <w:kern w:val="0"/>
          <w:sz w:val="24"/>
          <w:highlight w:val="none"/>
          <w:lang w:val="en-US" w:eastAsia="zh-CN"/>
        </w:rPr>
        <w:t>22</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07</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05</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en-US" w:eastAsia="zh-CN"/>
        </w:rPr>
        <w:t>14</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30</w:t>
      </w:r>
      <w:r>
        <w:rPr>
          <w:rFonts w:hint="eastAsia" w:ascii="仿宋_GB2312" w:hAnsi="仿宋_GB2312" w:eastAsia="仿宋_GB2312" w:cs="仿宋_GB2312"/>
          <w:color w:val="auto"/>
          <w:kern w:val="0"/>
          <w:sz w:val="24"/>
          <w:highlight w:val="none"/>
        </w:rPr>
        <w:t xml:space="preserve">:00 </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地点：西安市高新二路2号山西</w:t>
      </w:r>
      <w:r>
        <w:rPr>
          <w:rFonts w:hint="eastAsia" w:ascii="仿宋_GB2312" w:hAnsi="仿宋_GB2312" w:eastAsia="仿宋_GB2312" w:cs="仿宋_GB2312"/>
          <w:color w:val="auto"/>
          <w:kern w:val="0"/>
          <w:sz w:val="24"/>
          <w:highlight w:val="none"/>
          <w:lang w:eastAsia="zh-CN"/>
        </w:rPr>
        <w:t>证券</w:t>
      </w:r>
      <w:r>
        <w:rPr>
          <w:rFonts w:hint="eastAsia" w:ascii="仿宋_GB2312" w:hAnsi="仿宋_GB2312" w:eastAsia="仿宋_GB2312" w:cs="仿宋_GB2312"/>
          <w:color w:val="auto"/>
          <w:kern w:val="0"/>
          <w:sz w:val="24"/>
          <w:highlight w:val="none"/>
        </w:rPr>
        <w:t>大厦</w:t>
      </w:r>
      <w:r>
        <w:rPr>
          <w:rFonts w:hint="eastAsia" w:ascii="仿宋_GB2312" w:hAnsi="仿宋_GB2312" w:eastAsia="仿宋_GB2312" w:cs="仿宋_GB2312"/>
          <w:color w:val="auto"/>
          <w:kern w:val="0"/>
          <w:sz w:val="24"/>
          <w:highlight w:val="none"/>
          <w:lang w:val="en-US" w:eastAsia="zh-CN"/>
        </w:rPr>
        <w:t>21</w:t>
      </w:r>
      <w:r>
        <w:rPr>
          <w:rFonts w:hint="eastAsia" w:ascii="仿宋_GB2312" w:hAnsi="仿宋_GB2312" w:eastAsia="仿宋_GB2312" w:cs="仿宋_GB2312"/>
          <w:color w:val="auto"/>
          <w:kern w:val="0"/>
          <w:sz w:val="24"/>
          <w:highlight w:val="none"/>
        </w:rPr>
        <w:t>层第</w:t>
      </w:r>
      <w:r>
        <w:rPr>
          <w:rFonts w:hint="eastAsia" w:ascii="仿宋_GB2312" w:hAnsi="仿宋_GB2312" w:eastAsia="仿宋_GB2312" w:cs="仿宋_GB2312"/>
          <w:color w:val="auto"/>
          <w:kern w:val="0"/>
          <w:sz w:val="24"/>
          <w:highlight w:val="none"/>
          <w:lang w:val="en-US" w:eastAsia="zh-CN"/>
        </w:rPr>
        <w:t>九</w:t>
      </w:r>
      <w:r>
        <w:rPr>
          <w:rFonts w:hint="eastAsia" w:ascii="仿宋_GB2312" w:hAnsi="仿宋_GB2312" w:eastAsia="仿宋_GB2312" w:cs="仿宋_GB2312"/>
          <w:color w:val="auto"/>
          <w:kern w:val="0"/>
          <w:sz w:val="24"/>
          <w:highlight w:val="none"/>
        </w:rPr>
        <w:t xml:space="preserve">会议室 </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五、公告期限</w:t>
      </w:r>
    </w:p>
    <w:p>
      <w:pPr>
        <w:widowControl/>
        <w:snapToGrid w:val="0"/>
        <w:spacing w:line="360" w:lineRule="auto"/>
        <w:ind w:right="-197" w:rightChars="-94" w:firstLine="480" w:firstLineChars="200"/>
        <w:jc w:val="left"/>
        <w:rPr>
          <w:color w:val="auto"/>
          <w:highlight w:val="none"/>
        </w:rPr>
      </w:pPr>
      <w:r>
        <w:rPr>
          <w:rFonts w:hint="eastAsia" w:ascii="仿宋_GB2312" w:hAnsi="仿宋_GB2312" w:eastAsia="仿宋_GB2312" w:cs="仿宋_GB2312"/>
          <w:i w:val="0"/>
          <w:iCs/>
          <w:color w:val="auto"/>
          <w:kern w:val="0"/>
          <w:sz w:val="24"/>
          <w:highlight w:val="none"/>
        </w:rPr>
        <w:t>自本公告发布之日起</w:t>
      </w:r>
      <w:r>
        <w:rPr>
          <w:rFonts w:hint="eastAsia" w:ascii="仿宋_GB2312" w:hAnsi="仿宋_GB2312" w:eastAsia="仿宋_GB2312" w:cs="仿宋_GB2312"/>
          <w:i w:val="0"/>
          <w:iCs/>
          <w:color w:val="auto"/>
          <w:kern w:val="0"/>
          <w:sz w:val="24"/>
          <w:highlight w:val="none"/>
          <w:lang w:val="en-US" w:eastAsia="zh-CN"/>
        </w:rPr>
        <w:t>3</w:t>
      </w:r>
      <w:r>
        <w:rPr>
          <w:rFonts w:hint="eastAsia" w:ascii="仿宋_GB2312" w:hAnsi="仿宋_GB2312" w:eastAsia="仿宋_GB2312" w:cs="仿宋_GB2312"/>
          <w:i w:val="0"/>
          <w:iCs/>
          <w:color w:val="auto"/>
          <w:kern w:val="0"/>
          <w:sz w:val="24"/>
          <w:highlight w:val="none"/>
        </w:rPr>
        <w:t>个工作日。</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六、其他补充事宜</w:t>
      </w:r>
    </w:p>
    <w:p>
      <w:pPr>
        <w:widowControl/>
        <w:snapToGrid w:val="0"/>
        <w:spacing w:line="360" w:lineRule="auto"/>
        <w:ind w:right="-197" w:rightChars="-94" w:firstLine="480" w:firstLineChars="200"/>
        <w:jc w:val="left"/>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u w:val="none"/>
        </w:rPr>
        <w:t>本项目</w:t>
      </w:r>
      <w:r>
        <w:rPr>
          <w:rFonts w:hint="eastAsia" w:ascii="仿宋_GB2312" w:hAnsi="仿宋_GB2312" w:eastAsia="仿宋_GB2312" w:cs="仿宋_GB2312"/>
          <w:color w:val="auto"/>
          <w:kern w:val="0"/>
          <w:sz w:val="24"/>
          <w:highlight w:val="none"/>
          <w:u w:val="none"/>
          <w:lang w:val="en-US" w:eastAsia="zh-CN"/>
        </w:rPr>
        <w:t>为</w:t>
      </w:r>
      <w:r>
        <w:rPr>
          <w:rFonts w:hint="eastAsia" w:ascii="仿宋_GB2312" w:hAnsi="仿宋_GB2312" w:eastAsia="仿宋_GB2312" w:cs="仿宋_GB2312"/>
          <w:color w:val="auto"/>
          <w:kern w:val="0"/>
          <w:sz w:val="24"/>
          <w:highlight w:val="none"/>
          <w:u w:val="none"/>
        </w:rPr>
        <w:t>专门面向中小企业的项目</w:t>
      </w:r>
      <w:r>
        <w:rPr>
          <w:rFonts w:hint="eastAsia" w:ascii="仿宋_GB2312" w:hAnsi="仿宋_GB2312" w:eastAsia="仿宋_GB2312" w:cs="仿宋_GB2312"/>
          <w:color w:val="auto"/>
          <w:kern w:val="0"/>
          <w:sz w:val="24"/>
          <w:highlight w:val="none"/>
        </w:rPr>
        <w:t>。</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七、对本次采购提出询问，请按以下方式联系。 </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1、采购人信息：陕西省文化和旅游厅</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地</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rPr>
        <w:t>址：西安市</w:t>
      </w:r>
      <w:r>
        <w:rPr>
          <w:rFonts w:hint="eastAsia" w:ascii="仿宋_GB2312" w:hAnsi="仿宋_GB2312" w:eastAsia="仿宋_GB2312" w:cs="仿宋_GB2312"/>
          <w:color w:val="auto"/>
          <w:kern w:val="0"/>
          <w:sz w:val="24"/>
          <w:highlight w:val="none"/>
          <w:lang w:eastAsia="zh-CN"/>
        </w:rPr>
        <w:t>碑林</w:t>
      </w:r>
      <w:r>
        <w:rPr>
          <w:rFonts w:hint="eastAsia" w:ascii="仿宋_GB2312" w:hAnsi="仿宋_GB2312" w:eastAsia="仿宋_GB2312" w:cs="仿宋_GB2312"/>
          <w:color w:val="auto"/>
          <w:kern w:val="0"/>
          <w:sz w:val="24"/>
          <w:highlight w:val="none"/>
        </w:rPr>
        <w:t>区</w:t>
      </w:r>
      <w:r>
        <w:rPr>
          <w:rFonts w:hint="eastAsia" w:ascii="仿宋_GB2312" w:hAnsi="仿宋_GB2312" w:eastAsia="仿宋_GB2312" w:cs="仿宋_GB2312"/>
          <w:color w:val="auto"/>
          <w:kern w:val="0"/>
          <w:sz w:val="24"/>
          <w:highlight w:val="none"/>
          <w:lang w:eastAsia="zh-CN"/>
        </w:rPr>
        <w:t>长安北路</w:t>
      </w:r>
      <w:r>
        <w:rPr>
          <w:rFonts w:hint="eastAsia" w:ascii="仿宋_GB2312" w:hAnsi="仿宋_GB2312" w:eastAsia="仿宋_GB2312" w:cs="仿宋_GB2312"/>
          <w:color w:val="auto"/>
          <w:kern w:val="0"/>
          <w:sz w:val="24"/>
          <w:highlight w:val="none"/>
          <w:lang w:val="en-US" w:eastAsia="zh-CN"/>
        </w:rPr>
        <w:t>15</w:t>
      </w:r>
      <w:r>
        <w:rPr>
          <w:rFonts w:hint="eastAsia" w:ascii="仿宋_GB2312" w:hAnsi="仿宋_GB2312" w:eastAsia="仿宋_GB2312" w:cs="仿宋_GB2312"/>
          <w:color w:val="auto"/>
          <w:kern w:val="0"/>
          <w:sz w:val="24"/>
          <w:highlight w:val="none"/>
        </w:rPr>
        <w:t xml:space="preserve">号 </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联系人：梁老师</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rPr>
        <w:t>话：029-85567295</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2、项目联系方式</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项目联系人：</w:t>
      </w:r>
      <w:r>
        <w:rPr>
          <w:rFonts w:hint="eastAsia" w:ascii="仿宋_GB2312" w:hAnsi="仿宋_GB2312" w:eastAsia="仿宋_GB2312" w:cs="仿宋_GB2312"/>
          <w:color w:val="auto"/>
          <w:kern w:val="0"/>
          <w:sz w:val="24"/>
          <w:highlight w:val="none"/>
          <w:lang w:val="en-US" w:eastAsia="zh-CN"/>
        </w:rPr>
        <w:t>白新岩、桑乐</w:t>
      </w:r>
      <w:r>
        <w:rPr>
          <w:rFonts w:hint="eastAsia" w:ascii="仿宋_GB2312" w:hAnsi="仿宋_GB2312" w:eastAsia="仿宋_GB2312" w:cs="仿宋_GB2312"/>
          <w:color w:val="auto"/>
          <w:kern w:val="0"/>
          <w:sz w:val="24"/>
          <w:highlight w:val="none"/>
        </w:rPr>
        <w:t xml:space="preserve"> </w:t>
      </w:r>
    </w:p>
    <w:p>
      <w:pPr>
        <w:widowControl/>
        <w:snapToGrid w:val="0"/>
        <w:spacing w:line="360" w:lineRule="auto"/>
        <w:ind w:right="-197" w:rightChars="-94" w:firstLine="480" w:firstLineChars="200"/>
        <w:jc w:val="left"/>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rPr>
        <w:t>电话：</w:t>
      </w:r>
      <w:r>
        <w:rPr>
          <w:rFonts w:hint="eastAsia" w:ascii="仿宋_GB2312" w:hAnsi="仿宋_GB2312" w:eastAsia="仿宋_GB2312" w:cs="仿宋_GB2312"/>
          <w:color w:val="auto"/>
          <w:kern w:val="0"/>
          <w:sz w:val="24"/>
          <w:highlight w:val="none"/>
          <w:lang w:val="en-US" w:eastAsia="zh-CN"/>
        </w:rPr>
        <w:t>029-85257505</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邮箱</w:t>
      </w:r>
      <w:r>
        <w:rPr>
          <w:rFonts w:hint="eastAsia" w:ascii="仿宋_GB2312" w:hAnsi="仿宋_GB2312" w:eastAsia="仿宋_GB2312" w:cs="仿宋_GB2312"/>
          <w:color w:val="auto"/>
          <w:kern w:val="0"/>
          <w:sz w:val="24"/>
          <w:highlight w:val="none"/>
        </w:rPr>
        <w:t>：970726338@qq.com</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3、采购代理机构信息</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名称：陕西省采购招标有限责任公司</w:t>
      </w:r>
    </w:p>
    <w:p>
      <w:pPr>
        <w:widowControl/>
        <w:snapToGrid w:val="0"/>
        <w:spacing w:line="360" w:lineRule="auto"/>
        <w:ind w:right="-197" w:rightChars="-94" w:firstLine="480" w:firstLineChars="20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rPr>
        <w:t>联系地址：西安市高新二路山西证券大厦</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楼</w:t>
      </w:r>
      <w:r>
        <w:rPr>
          <w:rFonts w:hint="eastAsia" w:ascii="仿宋_GB2312" w:hAnsi="仿宋_GB2312" w:eastAsia="仿宋_GB2312" w:cs="仿宋_GB2312"/>
          <w:color w:val="auto"/>
          <w:kern w:val="0"/>
          <w:sz w:val="24"/>
          <w:highlight w:val="none"/>
          <w:lang w:val="en-US" w:eastAsia="zh-CN"/>
        </w:rPr>
        <w:t>招标三部</w:t>
      </w:r>
    </w:p>
    <w:p>
      <w:pPr>
        <w:widowControl/>
        <w:snapToGrid w:val="0"/>
        <w:spacing w:line="360" w:lineRule="auto"/>
        <w:ind w:right="-197" w:rightChars="-94"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联系方式：http://www.ccgp.gov.cn/agency/a_agencylist.html</w:t>
      </w:r>
    </w:p>
    <w:p>
      <w:pPr>
        <w:widowControl/>
        <w:snapToGrid w:val="0"/>
        <w:spacing w:before="167"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八、附件</w:t>
      </w:r>
    </w:p>
    <w:p>
      <w:pPr>
        <w:pStyle w:val="2"/>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46"/>
        <w:spacing w:line="360" w:lineRule="auto"/>
        <w:rPr>
          <w:rStyle w:val="203"/>
          <w:rFonts w:ascii="宋体" w:hAnsi="宋体" w:eastAsia="宋体"/>
          <w:color w:val="auto"/>
          <w:sz w:val="36"/>
          <w:szCs w:val="36"/>
          <w:highlight w:val="none"/>
        </w:rPr>
      </w:pPr>
      <w:bookmarkStart w:id="20" w:name="_Toc230099796"/>
      <w:bookmarkStart w:id="21" w:name="_Toc230583540"/>
      <w:bookmarkStart w:id="22" w:name="_Toc232395211"/>
      <w:bookmarkStart w:id="23" w:name="_Toc256342142"/>
      <w:bookmarkStart w:id="24" w:name="_Toc249515277"/>
      <w:bookmarkStart w:id="25" w:name="_Toc21126"/>
      <w:bookmarkStart w:id="26" w:name="_Toc249515389"/>
      <w:bookmarkStart w:id="27" w:name="_Toc10808"/>
      <w:bookmarkStart w:id="28" w:name="_Toc249525158"/>
      <w:bookmarkStart w:id="29" w:name="_Toc232176271"/>
      <w:bookmarkStart w:id="30" w:name="_Toc415499895"/>
      <w:bookmarkStart w:id="31" w:name="_Toc184043011"/>
      <w:bookmarkStart w:id="32" w:name="_Toc58504446"/>
      <w:bookmarkStart w:id="33" w:name="_Toc230013631"/>
      <w:bookmarkStart w:id="34" w:name="_Toc230013632"/>
      <w:bookmarkStart w:id="35" w:name="_Toc70687139"/>
      <w:bookmarkStart w:id="36" w:name="_Toc232395212"/>
      <w:bookmarkStart w:id="37" w:name="_Toc230583541"/>
      <w:bookmarkStart w:id="38" w:name="_Toc249525159"/>
      <w:bookmarkStart w:id="39" w:name="_Toc256342143"/>
      <w:bookmarkStart w:id="40" w:name="_Toc499711042"/>
      <w:bookmarkStart w:id="41" w:name="_Toc249515278"/>
      <w:bookmarkStart w:id="42" w:name="_Toc500746965"/>
      <w:bookmarkStart w:id="43" w:name="_Toc176882542"/>
      <w:bookmarkStart w:id="44" w:name="_Toc496324578"/>
      <w:bookmarkStart w:id="45" w:name="_Toc177189235"/>
      <w:bookmarkStart w:id="46" w:name="_Toc177995473"/>
      <w:bookmarkStart w:id="47" w:name="_Toc500747188"/>
      <w:bookmarkStart w:id="48" w:name="_Toc230099797"/>
      <w:bookmarkStart w:id="49" w:name="_Toc53722840"/>
      <w:bookmarkStart w:id="50" w:name="_Toc499711883"/>
      <w:bookmarkStart w:id="51" w:name="_Toc232176272"/>
      <w:bookmarkStart w:id="52" w:name="_Toc503063421"/>
      <w:bookmarkStart w:id="53" w:name="_Toc184043012"/>
      <w:bookmarkStart w:id="54" w:name="_Toc500747061"/>
      <w:bookmarkStart w:id="55" w:name="_Toc177817334"/>
      <w:bookmarkStart w:id="56" w:name="_Toc249515390"/>
      <w:bookmarkStart w:id="57" w:name="_Toc492955414"/>
      <w:r>
        <w:rPr>
          <w:rStyle w:val="203"/>
          <w:rFonts w:hint="eastAsia" w:ascii="宋体" w:hAnsi="宋体" w:eastAsia="宋体"/>
          <w:color w:val="auto"/>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77"/>
        <w:spacing w:before="240" w:beforeLines="100" w:after="24"/>
        <w:jc w:val="center"/>
        <w:rPr>
          <w:rFonts w:ascii="仿宋_GB2312" w:hAnsi="仿宋_GB2312" w:eastAsia="仿宋_GB2312" w:cs="仿宋_GB2312"/>
          <w:color w:val="auto"/>
          <w:sz w:val="28"/>
          <w:szCs w:val="28"/>
          <w:highlight w:val="none"/>
        </w:rPr>
      </w:pPr>
      <w:bookmarkStart w:id="58" w:name="_Toc68590967"/>
      <w:bookmarkStart w:id="59" w:name="_Toc15272"/>
      <w:r>
        <w:rPr>
          <w:rFonts w:hint="eastAsia" w:ascii="仿宋_GB2312" w:hAnsi="仿宋_GB2312" w:eastAsia="仿宋_GB2312" w:cs="仿宋_GB2312"/>
          <w:color w:val="auto"/>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rPr>
          <w:rFonts w:ascii="仿宋_GB2312" w:hAnsi="仿宋_GB2312" w:eastAsia="仿宋_GB2312" w:cs="仿宋_GB2312"/>
          <w:color w:val="auto"/>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本表是对供应商须知的具体补充和修改，如有矛盾，均以本表为准。</w:t>
      </w:r>
    </w:p>
    <w:p>
      <w:pPr>
        <w:ind w:left="720" w:hanging="720" w:hangingChars="343"/>
        <w:rPr>
          <w:rFonts w:ascii="仿宋_GB2312" w:hAnsi="仿宋_GB2312" w:eastAsia="仿宋_GB2312" w:cs="仿宋_GB2312"/>
          <w:b/>
          <w:color w:val="auto"/>
          <w:sz w:val="20"/>
          <w:szCs w:val="20"/>
          <w:highlight w:val="none"/>
        </w:rPr>
      </w:pPr>
      <w:r>
        <w:rPr>
          <w:rFonts w:hint="eastAsia" w:ascii="仿宋_GB2312" w:hAnsi="仿宋_GB2312" w:eastAsia="仿宋_GB2312" w:cs="仿宋_GB2312"/>
          <w:color w:val="auto"/>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b/>
                <w:color w:val="auto"/>
                <w:sz w:val="24"/>
                <w:szCs w:val="24"/>
                <w:highlight w:val="none"/>
              </w:rPr>
            </w:pPr>
            <w:bookmarkStart w:id="60" w:name="_Hlt14560610"/>
            <w:bookmarkEnd w:id="60"/>
            <w:bookmarkStart w:id="61" w:name="_Toc503063423"/>
            <w:bookmarkStart w:id="62" w:name="_Toc492955416"/>
            <w:bookmarkStart w:id="63" w:name="_Toc499711885"/>
            <w:bookmarkStart w:id="64" w:name="_Toc389620165"/>
            <w:bookmarkStart w:id="65" w:name="_Toc500747063"/>
            <w:bookmarkStart w:id="66" w:name="_Toc500746967"/>
            <w:bookmarkStart w:id="67" w:name="_Toc499711044"/>
            <w:bookmarkStart w:id="68" w:name="_Toc385992326"/>
            <w:bookmarkStart w:id="69" w:name="_Toc496324580"/>
            <w:bookmarkStart w:id="70" w:name="_Toc500747190"/>
            <w:r>
              <w:rPr>
                <w:rFonts w:hint="eastAsia" w:ascii="仿宋_GB2312" w:hAnsi="仿宋_GB2312" w:eastAsia="仿宋_GB2312" w:cs="仿宋_GB2312"/>
                <w:b/>
                <w:color w:val="auto"/>
                <w:sz w:val="24"/>
                <w:szCs w:val="24"/>
                <w:highlight w:val="none"/>
              </w:rPr>
              <w:t>条款号</w:t>
            </w:r>
          </w:p>
        </w:tc>
        <w:tc>
          <w:tcPr>
            <w:tcW w:w="7650" w:type="dxa"/>
            <w:vAlign w:val="center"/>
          </w:tcPr>
          <w:p>
            <w:pPr>
              <w:pStyle w:val="28"/>
              <w:adjustRightInd w:val="0"/>
              <w:snapToGrid w:val="0"/>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7650" w:type="dxa"/>
            <w:vAlign w:val="center"/>
          </w:tcPr>
          <w:p>
            <w:pPr>
              <w:pStyle w:val="28"/>
              <w:adjustRightInd w:val="0"/>
              <w:snapToGrid w:val="0"/>
              <w:spacing w:line="24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项目名称：陕西省文化和旅游厅2022年部省合作项目</w:t>
            </w:r>
          </w:p>
          <w:p>
            <w:pPr>
              <w:pStyle w:val="28"/>
              <w:adjustRightInd w:val="0"/>
              <w:snapToGrid w:val="0"/>
              <w:spacing w:line="24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项目编号：SCZC2022-CS-1208/001</w:t>
            </w:r>
          </w:p>
          <w:p>
            <w:pPr>
              <w:pStyle w:val="28"/>
              <w:adjustRightInd w:val="0"/>
              <w:snapToGrid w:val="0"/>
              <w:spacing w:line="24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资金来源：财政资金</w:t>
            </w:r>
          </w:p>
          <w:p>
            <w:pPr>
              <w:pStyle w:val="28"/>
              <w:adjustRightInd w:val="0"/>
              <w:snapToGrid w:val="0"/>
              <w:spacing w:line="240" w:lineRule="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预算金额：</w:t>
            </w:r>
            <w:r>
              <w:rPr>
                <w:rFonts w:hint="eastAsia" w:ascii="仿宋_GB2312" w:hAnsi="仿宋_GB2312" w:eastAsia="仿宋_GB2312" w:cs="仿宋_GB2312"/>
                <w:color w:val="auto"/>
                <w:sz w:val="24"/>
                <w:szCs w:val="24"/>
                <w:highlight w:val="none"/>
                <w:lang w:val="en-US" w:eastAsia="zh-CN"/>
              </w:rPr>
              <w:t>980000.00元</w:t>
            </w:r>
          </w:p>
          <w:p>
            <w:pPr>
              <w:pStyle w:val="28"/>
              <w:adjustRightInd w:val="0"/>
              <w:snapToGri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采购方式：竞争性磋商</w:t>
            </w:r>
          </w:p>
          <w:p>
            <w:pPr>
              <w:pStyle w:val="28"/>
              <w:adjustRightInd w:val="0"/>
              <w:snapToGrid w:val="0"/>
              <w:spacing w:line="240" w:lineRule="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采购内容：详见本磋商文件第五章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p>
        </w:tc>
        <w:tc>
          <w:tcPr>
            <w:tcW w:w="7650" w:type="dxa"/>
            <w:vAlign w:val="center"/>
          </w:tcPr>
          <w:p>
            <w:pPr>
              <w:pStyle w:val="28"/>
              <w:adjustRightInd w:val="0"/>
              <w:snapToGrid w:val="0"/>
              <w:spacing w:line="24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采购人：陕西省文化和旅游厅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p>
        </w:tc>
        <w:tc>
          <w:tcPr>
            <w:tcW w:w="7650" w:type="dxa"/>
            <w:vAlign w:val="center"/>
          </w:tcPr>
          <w:p>
            <w:pPr>
              <w:pStyle w:val="28"/>
              <w:adjustRightInd w:val="0"/>
              <w:snapToGrid w:val="0"/>
              <w:spacing w:line="24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w:t>
            </w:r>
          </w:p>
        </w:tc>
        <w:tc>
          <w:tcPr>
            <w:tcW w:w="7650" w:type="dxa"/>
            <w:vAlign w:val="center"/>
          </w:tcPr>
          <w:p>
            <w:pPr>
              <w:pStyle w:val="28"/>
              <w:adjustRightInd w:val="0"/>
              <w:snapToGrid w:val="0"/>
              <w:spacing w:line="24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邀请供应商的方式：</w:t>
            </w:r>
          </w:p>
          <w:p>
            <w:pPr>
              <w:pStyle w:val="28"/>
              <w:adjustRightInd w:val="0"/>
              <w:snapToGrid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（1）发布磋商公告</w:t>
            </w:r>
          </w:p>
          <w:p>
            <w:pPr>
              <w:pStyle w:val="28"/>
              <w:adjustRightInd w:val="0"/>
              <w:snapToGrid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（2）采购人和评审专家分别书面推荐的方式邀请不少于3 家</w:t>
            </w:r>
          </w:p>
          <w:p>
            <w:pPr>
              <w:pStyle w:val="28"/>
              <w:adjustRightInd w:val="0"/>
              <w:snapToGrid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符合相应资格条件的供应商</w:t>
            </w:r>
          </w:p>
          <w:p>
            <w:pPr>
              <w:pStyle w:val="28"/>
              <w:adjustRightInd w:val="0"/>
              <w:snapToGrid w:val="0"/>
              <w:spacing w:line="24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p>
        </w:tc>
        <w:tc>
          <w:tcPr>
            <w:tcW w:w="7650" w:type="dxa"/>
            <w:vAlign w:val="center"/>
          </w:tcPr>
          <w:p>
            <w:pPr>
              <w:pStyle w:val="14"/>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2"/>
                <w:highlight w:val="none"/>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w:t>
            </w:r>
          </w:p>
        </w:tc>
        <w:tc>
          <w:tcPr>
            <w:tcW w:w="7650" w:type="dxa"/>
            <w:vAlign w:val="center"/>
          </w:tcPr>
          <w:p>
            <w:pPr>
              <w:pStyle w:val="14"/>
              <w:spacing w:line="360" w:lineRule="auto"/>
              <w:jc w:val="left"/>
              <w:rPr>
                <w:rFonts w:ascii="仿宋_GB2312" w:hAnsi="仿宋_GB2312" w:eastAsia="仿宋_GB2312" w:cs="仿宋_GB2312"/>
                <w:color w:val="auto"/>
                <w:kern w:val="2"/>
                <w:highlight w:val="none"/>
              </w:rPr>
            </w:pPr>
            <w:r>
              <w:rPr>
                <w:rFonts w:hint="eastAsia" w:ascii="仿宋_GB2312" w:hAnsi="仿宋_GB2312" w:eastAsia="仿宋_GB2312" w:cs="仿宋_GB2312"/>
                <w:color w:val="auto"/>
                <w:kern w:val="2"/>
                <w:highlight w:val="none"/>
              </w:rPr>
              <w:t>是否允许采购进口产品：</w:t>
            </w:r>
            <w:r>
              <w:rPr>
                <w:rFonts w:hint="eastAsia" w:ascii="仿宋_GB2312" w:hAnsi="仿宋_GB2312" w:eastAsia="仿宋_GB2312" w:cs="仿宋_GB2312"/>
                <w:color w:val="auto"/>
                <w:kern w:val="2"/>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3.7</w:t>
            </w:r>
          </w:p>
        </w:tc>
        <w:tc>
          <w:tcPr>
            <w:tcW w:w="7650" w:type="dxa"/>
            <w:vAlign w:val="center"/>
          </w:tcPr>
          <w:p>
            <w:pPr>
              <w:pStyle w:val="14"/>
              <w:spacing w:line="360" w:lineRule="auto"/>
              <w:jc w:val="left"/>
              <w:rPr>
                <w:rFonts w:ascii="仿宋_GB2312" w:hAnsi="仿宋_GB2312" w:eastAsia="仿宋_GB2312" w:cs="仿宋_GB2312"/>
                <w:color w:val="auto"/>
                <w:kern w:val="2"/>
                <w:highlight w:val="none"/>
              </w:rPr>
            </w:pPr>
            <w:r>
              <w:rPr>
                <w:rFonts w:hint="eastAsia" w:ascii="仿宋_GB2312" w:hAnsi="仿宋_GB2312" w:eastAsia="仿宋_GB2312" w:cs="仿宋_GB2312"/>
                <w:color w:val="auto"/>
                <w:kern w:val="2"/>
                <w:highlight w:val="none"/>
              </w:rPr>
              <w:t>是否允许联合体磋商：否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3.8</w:t>
            </w:r>
          </w:p>
        </w:tc>
        <w:tc>
          <w:tcPr>
            <w:tcW w:w="7650" w:type="dxa"/>
            <w:vAlign w:val="center"/>
          </w:tcPr>
          <w:p>
            <w:pPr>
              <w:pStyle w:val="14"/>
              <w:spacing w:line="360" w:lineRule="auto"/>
              <w:jc w:val="left"/>
              <w:rPr>
                <w:rFonts w:hint="eastAsia" w:ascii="仿宋_GB2312" w:hAnsi="仿宋_GB2312" w:eastAsia="仿宋_GB2312" w:cs="仿宋_GB2312"/>
                <w:color w:val="auto"/>
                <w:kern w:val="2"/>
                <w:highlight w:val="none"/>
                <w:lang w:eastAsia="zh-CN"/>
              </w:rPr>
            </w:pPr>
            <w:r>
              <w:rPr>
                <w:rFonts w:hint="eastAsia" w:ascii="仿宋_GB2312" w:eastAsia="仿宋_GB2312"/>
                <w:color w:val="auto"/>
                <w:sz w:val="24"/>
                <w:highlight w:val="none"/>
              </w:rPr>
              <w:t>是否为专门面向</w:t>
            </w:r>
            <w:r>
              <w:rPr>
                <w:rFonts w:ascii="仿宋_GB2312" w:hAnsi="宋体" w:eastAsia="仿宋_GB2312"/>
                <w:color w:val="auto"/>
                <w:sz w:val="24"/>
                <w:highlight w:val="none"/>
              </w:rPr>
              <w:t>中小企业采购</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w:t>
            </w:r>
          </w:p>
        </w:tc>
        <w:tc>
          <w:tcPr>
            <w:tcW w:w="7650" w:type="dxa"/>
            <w:vAlign w:val="center"/>
          </w:tcPr>
          <w:p>
            <w:pPr>
              <w:spacing w:line="312" w:lineRule="auto"/>
              <w:rPr>
                <w:rFonts w:ascii="仿宋_GB2312" w:hAnsi="仿宋_GB2312" w:eastAsia="仿宋_GB2312" w:cs="仿宋_GB2312"/>
                <w:i w:val="0"/>
                <w:iCs/>
                <w:color w:val="auto"/>
                <w:sz w:val="24"/>
                <w:highlight w:val="none"/>
              </w:rPr>
            </w:pPr>
            <w:r>
              <w:rPr>
                <w:rFonts w:hint="eastAsia" w:ascii="仿宋_GB2312" w:hAnsi="仿宋_GB2312" w:eastAsia="仿宋_GB2312" w:cs="仿宋_GB2312"/>
                <w:i w:val="0"/>
                <w:iCs/>
                <w:color w:val="auto"/>
                <w:sz w:val="24"/>
                <w:highlight w:val="none"/>
              </w:rPr>
              <w:t>服务响应报价为提供磋商文件要求服务的所有费用，包括但不限于提供项目实施费、人工费、材料费、供应商应缴纳的所有税费、保险费（如果有）等全部费用。</w:t>
            </w:r>
          </w:p>
          <w:p>
            <w:pPr>
              <w:pStyle w:val="28"/>
              <w:adjustRightInd w:val="0"/>
              <w:snapToGrid w:val="0"/>
              <w:spacing w:line="240" w:lineRule="auto"/>
              <w:rPr>
                <w:rFonts w:ascii="仿宋_GB2312" w:hAnsi="仿宋_GB2312" w:eastAsia="仿宋_GB2312" w:cs="仿宋_GB2312"/>
                <w:i w:val="0"/>
                <w:iCs/>
                <w:color w:val="auto"/>
                <w:sz w:val="24"/>
                <w:highlight w:val="none"/>
              </w:rPr>
            </w:pPr>
            <w:r>
              <w:rPr>
                <w:rFonts w:hint="eastAsia" w:ascii="仿宋_GB2312" w:hAnsi="仿宋_GB2312" w:eastAsia="仿宋_GB2312" w:cs="仿宋_GB2312"/>
                <w:i w:val="0"/>
                <w:iCs/>
                <w:color w:val="auto"/>
                <w:sz w:val="24"/>
                <w:highlight w:val="none"/>
              </w:rPr>
              <w:t>（1）报价货币：人民币；</w:t>
            </w:r>
          </w:p>
          <w:p>
            <w:pPr>
              <w:pStyle w:val="28"/>
              <w:adjustRightInd w:val="0"/>
              <w:snapToGrid w:val="0"/>
              <w:spacing w:line="240" w:lineRule="auto"/>
              <w:rPr>
                <w:rFonts w:ascii="仿宋_GB2312" w:hAnsi="仿宋_GB2312" w:eastAsia="仿宋_GB2312" w:cs="仿宋_GB2312"/>
                <w:color w:val="auto"/>
                <w:sz w:val="24"/>
                <w:highlight w:val="none"/>
              </w:rPr>
            </w:pPr>
            <w:r>
              <w:rPr>
                <w:rFonts w:hint="eastAsia" w:ascii="仿宋_GB2312" w:hAnsi="仿宋_GB2312" w:eastAsia="仿宋_GB2312" w:cs="仿宋_GB2312"/>
                <w:i w:val="0"/>
                <w:iCs/>
                <w:color w:val="auto"/>
                <w:sz w:val="24"/>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p>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w:t>
            </w:r>
          </w:p>
          <w:p>
            <w:pPr>
              <w:pStyle w:val="28"/>
              <w:adjustRightInd w:val="0"/>
              <w:snapToGrid w:val="0"/>
              <w:spacing w:line="240" w:lineRule="auto"/>
              <w:rPr>
                <w:rFonts w:ascii="仿宋_GB2312" w:hAnsi="仿宋_GB2312" w:eastAsia="仿宋_GB2312" w:cs="仿宋_GB2312"/>
                <w:color w:val="auto"/>
                <w:sz w:val="24"/>
                <w:szCs w:val="24"/>
                <w:highlight w:val="none"/>
              </w:rPr>
            </w:pPr>
          </w:p>
        </w:tc>
        <w:tc>
          <w:tcPr>
            <w:tcW w:w="7650" w:type="dxa"/>
            <w:vAlign w:val="center"/>
          </w:tcPr>
          <w:p>
            <w:pPr>
              <w:pStyle w:val="28"/>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本项目须提供磋商保证金人民币</w:t>
            </w:r>
            <w:r>
              <w:rPr>
                <w:rFonts w:hint="eastAsia" w:ascii="仿宋_GB2312" w:hAnsi="仿宋_GB2312" w:eastAsia="仿宋_GB2312" w:cs="仿宋_GB2312"/>
                <w:color w:val="auto"/>
                <w:sz w:val="24"/>
                <w:szCs w:val="24"/>
                <w:highlight w:val="none"/>
                <w:lang w:val="en-US" w:eastAsia="zh-CN"/>
              </w:rPr>
              <w:t>壹万玖仟</w:t>
            </w:r>
            <w:r>
              <w:rPr>
                <w:rFonts w:hint="eastAsia" w:ascii="仿宋_GB2312" w:hAnsi="仿宋_GB2312" w:eastAsia="仿宋_GB2312" w:cs="仿宋_GB2312"/>
                <w:color w:val="auto"/>
                <w:sz w:val="24"/>
                <w:szCs w:val="24"/>
                <w:highlight w:val="none"/>
              </w:rPr>
              <w:t>元整（人民币¥</w:t>
            </w:r>
            <w:r>
              <w:rPr>
                <w:rFonts w:hint="eastAsia" w:ascii="仿宋_GB2312" w:hAnsi="仿宋_GB2312" w:eastAsia="仿宋_GB2312" w:cs="仿宋_GB2312"/>
                <w:color w:val="auto"/>
                <w:sz w:val="24"/>
                <w:szCs w:val="24"/>
                <w:highlight w:val="none"/>
                <w:lang w:val="en-US" w:eastAsia="zh-CN"/>
              </w:rPr>
              <w:t>19000</w:t>
            </w:r>
            <w:r>
              <w:rPr>
                <w:rFonts w:hint="eastAsia" w:ascii="仿宋_GB2312" w:hAnsi="仿宋_GB2312" w:eastAsia="仿宋_GB2312" w:cs="仿宋_GB2312"/>
                <w:color w:val="auto"/>
                <w:sz w:val="24"/>
                <w:szCs w:val="24"/>
                <w:highlight w:val="none"/>
              </w:rPr>
              <w:t>.00元）。</w:t>
            </w:r>
          </w:p>
          <w:p>
            <w:pPr>
              <w:pStyle w:val="28"/>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保证金可自主选择采用电汇、银行转账、支票、汇票、本票、金融机构或担保机构出具的保函等非现金形式。</w:t>
            </w:r>
          </w:p>
          <w:p>
            <w:pPr>
              <w:pStyle w:val="28"/>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保证金户名：陕西省采购招标有限责任公司</w:t>
            </w:r>
          </w:p>
          <w:p>
            <w:pPr>
              <w:pStyle w:val="28"/>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开户银行：中国银行西安南郊支行营业部 </w:t>
            </w:r>
          </w:p>
          <w:p>
            <w:pPr>
              <w:pStyle w:val="28"/>
              <w:adjustRightInd w:val="0"/>
              <w:snapToGrid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账    号：</w:t>
            </w:r>
            <w:r>
              <w:rPr>
                <w:rFonts w:hint="eastAsia" w:ascii="仿宋_GB2312" w:hAnsi="仿宋_GB2312" w:eastAsia="仿宋_GB2312" w:cs="仿宋_GB2312"/>
                <w:color w:val="auto"/>
                <w:sz w:val="24"/>
                <w:szCs w:val="24"/>
                <w:highlight w:val="none"/>
                <w:lang w:val="en-US" w:eastAsia="zh-CN"/>
              </w:rPr>
              <w:t>102861184631</w:t>
            </w:r>
          </w:p>
          <w:p>
            <w:pPr>
              <w:pStyle w:val="28"/>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人：侯娜  电话：029-85256853</w:t>
            </w:r>
          </w:p>
          <w:p>
            <w:pPr>
              <w:pStyle w:val="28"/>
              <w:adjustRightInd w:val="0"/>
              <w:snapToGrid w:val="0"/>
              <w:spacing w:line="24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备注：</w:t>
            </w:r>
          </w:p>
          <w:p>
            <w:pPr>
              <w:pStyle w:val="28"/>
              <w:adjustRightInd w:val="0"/>
              <w:snapToGrid w:val="0"/>
              <w:spacing w:line="240" w:lineRule="auto"/>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1、在汇款时务必注明所响应项目的项目编号，否则，因款项用途不明导致磋商无效等后果由供应商自行承担；</w:t>
            </w:r>
          </w:p>
          <w:p>
            <w:pPr>
              <w:pStyle w:val="28"/>
              <w:adjustRightInd w:val="0"/>
              <w:snapToGrid w:val="0"/>
              <w:spacing w:line="240" w:lineRule="auto"/>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2、请各供应商在响应文件递交截止时间前，按文件的要求向招标代理机构递交磋商保证金；</w:t>
            </w:r>
          </w:p>
          <w:p>
            <w:pPr>
              <w:pStyle w:val="28"/>
              <w:adjustRightInd w:val="0"/>
              <w:snapToGrid w:val="0"/>
              <w:spacing w:line="240" w:lineRule="auto"/>
              <w:ind w:firstLine="42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highlight w:val="none"/>
              </w:rPr>
              <w:t>3、磋商保证金有效期同磋商有效期。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15.1</w:t>
            </w:r>
          </w:p>
        </w:tc>
        <w:tc>
          <w:tcPr>
            <w:tcW w:w="7650" w:type="dxa"/>
            <w:vAlign w:val="center"/>
          </w:tcPr>
          <w:p>
            <w:pPr>
              <w:pStyle w:val="28"/>
              <w:adjustRightInd w:val="0"/>
              <w:snapToGrid w:val="0"/>
              <w:spacing w:line="24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磋商有效期：自响应文件递交之日起</w:t>
            </w:r>
            <w:r>
              <w:rPr>
                <w:rFonts w:hint="eastAsia" w:ascii="仿宋_GB2312" w:hAnsi="仿宋_GB2312" w:eastAsia="仿宋_GB2312" w:cs="仿宋_GB2312"/>
                <w:color w:val="auto"/>
                <w:sz w:val="24"/>
                <w:szCs w:val="24"/>
                <w:highlight w:val="none"/>
                <w:u w:val="single"/>
              </w:rPr>
              <w:t xml:space="preserve">  60  </w:t>
            </w:r>
            <w:r>
              <w:rPr>
                <w:rFonts w:hint="eastAsia" w:ascii="仿宋_GB2312" w:hAnsi="仿宋_GB2312" w:eastAsia="仿宋_GB2312" w:cs="仿宋_GB2312"/>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w:t>
            </w:r>
          </w:p>
        </w:tc>
        <w:tc>
          <w:tcPr>
            <w:tcW w:w="7650" w:type="dxa"/>
            <w:vAlign w:val="center"/>
          </w:tcPr>
          <w:p>
            <w:pPr>
              <w:pStyle w:val="28"/>
              <w:adjustRightInd w:val="0"/>
              <w:snapToGrid w:val="0"/>
              <w:spacing w:line="24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响应文件的份数：正本1份，副本2份</w:t>
            </w:r>
            <w:r>
              <w:rPr>
                <w:rFonts w:hint="eastAsia" w:ascii="仿宋_GB2312" w:hAnsi="仿宋_GB2312" w:eastAsia="仿宋_GB2312" w:cs="仿宋_GB2312"/>
                <w:i/>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w:t>
            </w:r>
          </w:p>
        </w:tc>
        <w:tc>
          <w:tcPr>
            <w:tcW w:w="7650" w:type="dxa"/>
            <w:vAlign w:val="center"/>
          </w:tcPr>
          <w:p>
            <w:pPr>
              <w:pStyle w:val="28"/>
              <w:adjustRightInd w:val="0"/>
              <w:snapToGrid w:val="0"/>
              <w:spacing w:line="240" w:lineRule="auto"/>
              <w:rPr>
                <w:rFonts w:ascii="仿宋_GB2312" w:hAnsi="仿宋_GB2312" w:eastAsia="仿宋_GB2312" w:cs="仿宋_GB2312"/>
                <w:color w:val="auto"/>
                <w:sz w:val="24"/>
                <w:szCs w:val="24"/>
                <w:highlight w:val="none"/>
              </w:rPr>
            </w:pPr>
          </w:p>
          <w:p>
            <w:pPr>
              <w:pStyle w:val="28"/>
              <w:adjustRightInd w:val="0"/>
              <w:snapToGrid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密封袋（箱）上须标注：</w:t>
            </w:r>
          </w:p>
          <w:p>
            <w:pPr>
              <w:pStyle w:val="28"/>
              <w:adjustRightInd w:val="0"/>
              <w:snapToGrid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（l）采购项目编号：</w:t>
            </w:r>
          </w:p>
          <w:p>
            <w:pPr>
              <w:pStyle w:val="28"/>
              <w:adjustRightInd w:val="0"/>
              <w:snapToGrid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（2）项目名称：</w:t>
            </w:r>
          </w:p>
          <w:p>
            <w:pPr>
              <w:pStyle w:val="28"/>
              <w:adjustRightInd w:val="0"/>
              <w:snapToGrid w:val="0"/>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（3）供应商的名称、地址、联系人、电话和传真。</w:t>
            </w:r>
          </w:p>
          <w:p>
            <w:pPr>
              <w:pStyle w:val="28"/>
              <w:adjustRightInd w:val="0"/>
              <w:snapToGrid w:val="0"/>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（4）在  ******（北京时间）之前不得启封</w:t>
            </w:r>
          </w:p>
          <w:p>
            <w:pPr>
              <w:pStyle w:val="28"/>
              <w:adjustRightInd w:val="0"/>
              <w:snapToGrid w:val="0"/>
              <w:spacing w:line="240" w:lineRule="auto"/>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w:t>
            </w:r>
          </w:p>
        </w:tc>
        <w:tc>
          <w:tcPr>
            <w:tcW w:w="7650" w:type="dxa"/>
            <w:vAlign w:val="center"/>
          </w:tcPr>
          <w:p>
            <w:pPr>
              <w:pStyle w:val="28"/>
              <w:adjustRightInd w:val="0"/>
              <w:snapToGrid w:val="0"/>
              <w:ind w:firstLine="120" w:firstLineChars="5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本项目不要求提交样品。</w:t>
            </w:r>
          </w:p>
          <w:p>
            <w:pPr>
              <w:pStyle w:val="28"/>
              <w:adjustRightInd w:val="0"/>
              <w:snapToGrid w:val="0"/>
              <w:ind w:firstLine="120" w:firstLineChars="5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□本项目要求提交样品。样品为响应文件的一部分，随响应文件同时递交。</w:t>
            </w:r>
          </w:p>
          <w:p>
            <w:pPr>
              <w:pStyle w:val="28"/>
              <w:adjustRightInd w:val="0"/>
              <w:snapToGrid w:val="0"/>
              <w:ind w:firstLine="360" w:firstLineChars="15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（1）样品需标明：项目名称、供应商名称、样品名称等内容。</w:t>
            </w:r>
          </w:p>
          <w:p>
            <w:pPr>
              <w:pStyle w:val="28"/>
              <w:adjustRightInd w:val="0"/>
              <w:snapToGrid w:val="0"/>
              <w:ind w:firstLine="360" w:firstLineChars="15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18.1</w:t>
            </w:r>
          </w:p>
        </w:tc>
        <w:tc>
          <w:tcPr>
            <w:tcW w:w="7650" w:type="dxa"/>
            <w:vAlign w:val="center"/>
          </w:tcPr>
          <w:p>
            <w:pPr>
              <w:tabs>
                <w:tab w:val="left" w:pos="588"/>
              </w:tabs>
              <w:spacing w:line="360" w:lineRule="auto"/>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响应文件递交截止时间：20</w:t>
            </w:r>
            <w:r>
              <w:rPr>
                <w:rFonts w:hint="eastAsia" w:ascii="仿宋_GB2312" w:hAnsi="仿宋_GB2312" w:eastAsia="仿宋_GB2312" w:cs="仿宋_GB2312"/>
                <w:color w:val="auto"/>
                <w:kern w:val="24"/>
                <w:sz w:val="24"/>
                <w:szCs w:val="21"/>
                <w:highlight w:val="none"/>
                <w:lang w:val="en-US" w:eastAsia="zh-CN"/>
              </w:rPr>
              <w:t>22</w:t>
            </w:r>
            <w:r>
              <w:rPr>
                <w:rFonts w:hint="eastAsia" w:ascii="仿宋_GB2312" w:hAnsi="仿宋_GB2312" w:eastAsia="仿宋_GB2312" w:cs="仿宋_GB2312"/>
                <w:color w:val="auto"/>
                <w:kern w:val="24"/>
                <w:sz w:val="24"/>
                <w:szCs w:val="21"/>
                <w:highlight w:val="none"/>
              </w:rPr>
              <w:t>年</w:t>
            </w:r>
            <w:r>
              <w:rPr>
                <w:rFonts w:hint="eastAsia" w:ascii="仿宋_GB2312" w:hAnsi="仿宋_GB2312" w:eastAsia="仿宋_GB2312" w:cs="仿宋_GB2312"/>
                <w:color w:val="auto"/>
                <w:kern w:val="24"/>
                <w:sz w:val="24"/>
                <w:szCs w:val="21"/>
                <w:highlight w:val="none"/>
                <w:lang w:val="en-US" w:eastAsia="zh-CN"/>
              </w:rPr>
              <w:t>07</w:t>
            </w:r>
            <w:r>
              <w:rPr>
                <w:rFonts w:hint="eastAsia" w:ascii="仿宋_GB2312" w:hAnsi="仿宋_GB2312" w:eastAsia="仿宋_GB2312" w:cs="仿宋_GB2312"/>
                <w:color w:val="auto"/>
                <w:kern w:val="24"/>
                <w:sz w:val="24"/>
                <w:szCs w:val="21"/>
                <w:highlight w:val="none"/>
              </w:rPr>
              <w:t>月</w:t>
            </w:r>
            <w:r>
              <w:rPr>
                <w:rFonts w:hint="eastAsia" w:ascii="仿宋_GB2312" w:hAnsi="仿宋_GB2312" w:eastAsia="仿宋_GB2312" w:cs="仿宋_GB2312"/>
                <w:color w:val="auto"/>
                <w:kern w:val="24"/>
                <w:sz w:val="24"/>
                <w:szCs w:val="21"/>
                <w:highlight w:val="none"/>
                <w:lang w:val="en-US" w:eastAsia="zh-CN"/>
              </w:rPr>
              <w:t>05</w:t>
            </w:r>
            <w:r>
              <w:rPr>
                <w:rFonts w:hint="eastAsia" w:ascii="仿宋_GB2312" w:hAnsi="仿宋_GB2312" w:eastAsia="仿宋_GB2312" w:cs="仿宋_GB2312"/>
                <w:color w:val="auto"/>
                <w:kern w:val="24"/>
                <w:sz w:val="24"/>
                <w:szCs w:val="21"/>
                <w:highlight w:val="none"/>
              </w:rPr>
              <w:t>日</w:t>
            </w:r>
            <w:r>
              <w:rPr>
                <w:rFonts w:hint="eastAsia" w:ascii="仿宋_GB2312" w:hAnsi="仿宋_GB2312" w:eastAsia="仿宋_GB2312" w:cs="仿宋_GB2312"/>
                <w:color w:val="auto"/>
                <w:kern w:val="24"/>
                <w:sz w:val="24"/>
                <w:szCs w:val="21"/>
                <w:highlight w:val="none"/>
                <w:lang w:val="en-US" w:eastAsia="zh-CN"/>
              </w:rPr>
              <w:t>14</w:t>
            </w:r>
            <w:r>
              <w:rPr>
                <w:rFonts w:hint="eastAsia" w:ascii="仿宋_GB2312" w:hAnsi="仿宋_GB2312" w:eastAsia="仿宋_GB2312" w:cs="仿宋_GB2312"/>
                <w:color w:val="auto"/>
                <w:kern w:val="24"/>
                <w:sz w:val="24"/>
                <w:szCs w:val="21"/>
                <w:highlight w:val="none"/>
              </w:rPr>
              <w:t>:</w:t>
            </w:r>
            <w:r>
              <w:rPr>
                <w:rFonts w:hint="eastAsia" w:ascii="仿宋_GB2312" w:hAnsi="仿宋_GB2312" w:eastAsia="仿宋_GB2312" w:cs="仿宋_GB2312"/>
                <w:color w:val="auto"/>
                <w:kern w:val="24"/>
                <w:sz w:val="24"/>
                <w:szCs w:val="21"/>
                <w:highlight w:val="none"/>
                <w:lang w:val="en-US" w:eastAsia="zh-CN"/>
              </w:rPr>
              <w:t>3</w:t>
            </w:r>
            <w:r>
              <w:rPr>
                <w:rFonts w:hint="eastAsia" w:ascii="仿宋_GB2312" w:hAnsi="仿宋_GB2312" w:eastAsia="仿宋_GB2312" w:cs="仿宋_GB2312"/>
                <w:color w:val="auto"/>
                <w:kern w:val="24"/>
                <w:sz w:val="24"/>
                <w:szCs w:val="21"/>
                <w:highlight w:val="none"/>
              </w:rPr>
              <w:t>0（北京时间）。</w:t>
            </w:r>
          </w:p>
          <w:p>
            <w:pPr>
              <w:tabs>
                <w:tab w:val="left" w:pos="588"/>
              </w:tabs>
              <w:spacing w:line="360" w:lineRule="auto"/>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响应文件递交地点：</w:t>
            </w:r>
            <w:r>
              <w:rPr>
                <w:rFonts w:hint="eastAsia" w:ascii="仿宋_GB2312" w:hAnsi="仿宋_GB2312" w:eastAsia="仿宋_GB2312" w:cs="仿宋_GB2312"/>
                <w:color w:val="auto"/>
                <w:kern w:val="24"/>
                <w:sz w:val="24"/>
                <w:szCs w:val="21"/>
                <w:highlight w:val="none"/>
                <w:lang w:val="en-US" w:eastAsia="zh-CN"/>
              </w:rPr>
              <w:t>西安市高新二路山西证券大厦21层第九</w:t>
            </w:r>
            <w:r>
              <w:rPr>
                <w:rFonts w:hint="eastAsia" w:ascii="仿宋_GB2312" w:hAnsi="仿宋_GB2312" w:eastAsia="仿宋_GB2312" w:cs="仿宋_GB2312"/>
                <w:color w:val="auto"/>
                <w:kern w:val="24"/>
                <w:sz w:val="24"/>
                <w:szCs w:val="21"/>
                <w:highlight w:val="none"/>
              </w:rPr>
              <w:t>会议室。</w:t>
            </w:r>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24"/>
                <w:sz w:val="24"/>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adjustRightInd w:val="0"/>
              <w:snapToGrid w:val="0"/>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w:t>
            </w:r>
          </w:p>
        </w:tc>
        <w:tc>
          <w:tcPr>
            <w:tcW w:w="7650" w:type="dxa"/>
            <w:vAlign w:val="center"/>
          </w:tcPr>
          <w:p>
            <w:pPr>
              <w:spacing w:line="3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磋商小组由</w:t>
            </w:r>
            <w:r>
              <w:rPr>
                <w:rFonts w:hint="eastAsia" w:ascii="仿宋_GB2312" w:hAnsi="仿宋_GB2312" w:eastAsia="仿宋_GB2312" w:cs="仿宋_GB2312"/>
                <w:b/>
                <w:bCs/>
                <w:color w:val="auto"/>
                <w:sz w:val="24"/>
                <w:highlight w:val="none"/>
                <w:u w:val="single"/>
                <w:lang w:val="en-US" w:eastAsia="zh-CN"/>
              </w:rPr>
              <w:t xml:space="preserve">3 </w:t>
            </w:r>
            <w:r>
              <w:rPr>
                <w:rFonts w:hint="eastAsia" w:ascii="仿宋_GB2312" w:hAnsi="仿宋_GB2312" w:eastAsia="仿宋_GB2312" w:cs="仿宋_GB2312"/>
                <w:b w:val="0"/>
                <w:bCs w:val="0"/>
                <w:color w:val="auto"/>
                <w:sz w:val="24"/>
                <w:highlight w:val="none"/>
                <w:u w:val="none"/>
                <w:lang w:val="en-US" w:eastAsia="zh-CN"/>
              </w:rPr>
              <w:t>人或以上单数组成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28.1</w:t>
            </w:r>
          </w:p>
        </w:tc>
        <w:tc>
          <w:tcPr>
            <w:tcW w:w="7650" w:type="dxa"/>
            <w:vAlign w:val="center"/>
          </w:tcPr>
          <w:p>
            <w:pPr>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本项目要求履约保证金，金额为成交合同金额的</w:t>
            </w:r>
            <w:r>
              <w:rPr>
                <w:rFonts w:hint="eastAsia" w:ascii="仿宋_GB2312" w:hAnsi="仿宋_GB2312" w:eastAsia="仿宋_GB2312" w:cs="仿宋_GB2312"/>
                <w:b/>
                <w:color w:val="auto"/>
                <w:sz w:val="24"/>
                <w:highlight w:val="none"/>
                <w:u w:val="single"/>
              </w:rPr>
              <w:t xml:space="preserve">5% </w:t>
            </w:r>
            <w:r>
              <w:rPr>
                <w:rFonts w:hint="eastAsia" w:ascii="仿宋_GB2312" w:hAnsi="仿宋_GB2312" w:eastAsia="仿宋_GB2312" w:cs="仿宋_GB2312"/>
                <w:b/>
                <w:i/>
                <w:color w:val="auto"/>
                <w:sz w:val="24"/>
                <w:highlight w:val="none"/>
              </w:rPr>
              <w:t>（</w:t>
            </w:r>
            <w:r>
              <w:rPr>
                <w:rFonts w:hint="eastAsia" w:ascii="仿宋_GB2312" w:hAnsi="仿宋_GB2312" w:eastAsia="仿宋_GB2312" w:cs="仿宋_GB2312"/>
                <w:b/>
                <w:i/>
                <w:color w:val="auto"/>
                <w:sz w:val="24"/>
                <w:highlight w:val="none"/>
                <w:u w:val="single"/>
              </w:rPr>
              <w:t xml:space="preserve"> 或10% </w:t>
            </w:r>
            <w:r>
              <w:rPr>
                <w:rFonts w:hint="eastAsia" w:ascii="仿宋_GB2312" w:hAnsi="仿宋_GB2312" w:eastAsia="仿宋_GB2312" w:cs="仿宋_GB2312"/>
                <w:b/>
                <w:i/>
                <w:color w:val="auto"/>
                <w:sz w:val="24"/>
                <w:highlight w:val="none"/>
              </w:rPr>
              <w:t>）</w:t>
            </w:r>
          </w:p>
          <w:p>
            <w:pPr>
              <w:pStyle w:val="2"/>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本项目不要求履约保证金。</w:t>
            </w:r>
          </w:p>
        </w:tc>
      </w:tr>
    </w:tbl>
    <w:p>
      <w:pPr>
        <w:rPr>
          <w:rFonts w:ascii="仿宋_GB2312" w:hAnsi="仿宋_GB2312" w:eastAsia="仿宋_GB2312" w:cs="仿宋_GB2312"/>
          <w:color w:val="auto"/>
          <w:sz w:val="30"/>
          <w:szCs w:val="30"/>
          <w:highlight w:val="none"/>
        </w:rPr>
      </w:pPr>
      <w:bookmarkStart w:id="71" w:name="_Toc230013633"/>
      <w:bookmarkStart w:id="72" w:name="_Toc70687140"/>
      <w:bookmarkStart w:id="73" w:name="_Toc177817335"/>
      <w:bookmarkStart w:id="74" w:name="_Toc230583542"/>
      <w:bookmarkStart w:id="75" w:name="_Toc184043013"/>
      <w:bookmarkStart w:id="76" w:name="_Toc249515279"/>
      <w:bookmarkStart w:id="77" w:name="_Toc53722841"/>
      <w:bookmarkStart w:id="78" w:name="_Toc256342144"/>
      <w:bookmarkStart w:id="79" w:name="_Toc249515391"/>
      <w:bookmarkStart w:id="80" w:name="_Toc177189236"/>
      <w:bookmarkStart w:id="81" w:name="_Toc232176273"/>
      <w:bookmarkStart w:id="82" w:name="_Toc177995474"/>
      <w:bookmarkStart w:id="83" w:name="_Toc249525160"/>
      <w:bookmarkStart w:id="84" w:name="_Toc232395213"/>
      <w:bookmarkStart w:id="85" w:name="_Toc176882543"/>
      <w:bookmarkStart w:id="86" w:name="_Toc230099798"/>
      <w:r>
        <w:rPr>
          <w:rFonts w:hint="eastAsia" w:ascii="仿宋_GB2312" w:hAnsi="仿宋_GB2312" w:eastAsia="仿宋_GB2312" w:cs="仿宋_GB2312"/>
          <w:color w:val="auto"/>
          <w:sz w:val="30"/>
          <w:szCs w:val="30"/>
          <w:highlight w:val="none"/>
        </w:rPr>
        <w:br w:type="page"/>
      </w:r>
    </w:p>
    <w:p>
      <w:pPr>
        <w:pStyle w:val="77"/>
        <w:spacing w:before="24" w:after="24"/>
        <w:jc w:val="center"/>
        <w:rPr>
          <w:rFonts w:ascii="仿宋_GB2312" w:hAnsi="仿宋_GB2312" w:eastAsia="仿宋_GB2312" w:cs="仿宋_GB2312"/>
          <w:color w:val="auto"/>
          <w:szCs w:val="32"/>
          <w:highlight w:val="none"/>
        </w:rPr>
      </w:pPr>
      <w:bookmarkStart w:id="87" w:name="_Toc9885"/>
      <w:bookmarkStart w:id="88" w:name="_Toc68590968"/>
      <w:r>
        <w:rPr>
          <w:rFonts w:hint="eastAsia" w:ascii="仿宋_GB2312" w:hAnsi="仿宋_GB2312" w:eastAsia="仿宋_GB2312" w:cs="仿宋_GB2312"/>
          <w:color w:val="auto"/>
          <w:szCs w:val="32"/>
          <w:highlight w:val="none"/>
        </w:rPr>
        <w:t>（二）供应商须知</w:t>
      </w:r>
      <w:bookmarkEnd w:id="87"/>
      <w:bookmarkEnd w:id="88"/>
    </w:p>
    <w:p>
      <w:pPr>
        <w:pStyle w:val="77"/>
        <w:spacing w:before="24" w:after="24"/>
        <w:jc w:val="center"/>
        <w:rPr>
          <w:rFonts w:ascii="仿宋_GB2312" w:hAnsi="仿宋_GB2312" w:eastAsia="仿宋_GB2312" w:cs="仿宋_GB2312"/>
          <w:color w:val="auto"/>
          <w:sz w:val="30"/>
          <w:szCs w:val="30"/>
          <w:highlight w:val="none"/>
        </w:rPr>
      </w:pPr>
      <w:bookmarkStart w:id="89" w:name="_Toc19492"/>
      <w:bookmarkStart w:id="90" w:name="_Toc68590969"/>
      <w:r>
        <w:rPr>
          <w:rFonts w:hint="eastAsia" w:ascii="仿宋_GB2312" w:hAnsi="仿宋_GB2312" w:eastAsia="仿宋_GB2312" w:cs="仿宋_GB2312"/>
          <w:color w:val="auto"/>
          <w:sz w:val="30"/>
          <w:szCs w:val="30"/>
          <w:highlight w:val="none"/>
        </w:rPr>
        <w:t>一、总  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9"/>
      <w:bookmarkEnd w:id="90"/>
    </w:p>
    <w:p>
      <w:pPr>
        <w:rPr>
          <w:rFonts w:ascii="仿宋_GB2312" w:hAnsi="仿宋_GB2312" w:eastAsia="仿宋_GB2312" w:cs="仿宋_GB2312"/>
          <w:color w:val="auto"/>
          <w:highlight w:val="none"/>
        </w:rPr>
      </w:pPr>
    </w:p>
    <w:p>
      <w:pPr>
        <w:pStyle w:val="5"/>
        <w:rPr>
          <w:rFonts w:ascii="仿宋_GB2312" w:hAnsi="仿宋_GB2312" w:eastAsia="仿宋_GB2312" w:cs="仿宋_GB2312"/>
          <w:b/>
          <w:color w:val="auto"/>
          <w:sz w:val="24"/>
          <w:szCs w:val="21"/>
          <w:highlight w:val="none"/>
        </w:rPr>
      </w:pPr>
      <w:bookmarkStart w:id="91" w:name="_Hlt14560612"/>
      <w:bookmarkEnd w:id="91"/>
      <w:bookmarkStart w:id="92" w:name="_Toc184043014"/>
      <w:bookmarkStart w:id="93" w:name="_Toc249515392"/>
      <w:bookmarkStart w:id="94" w:name="_Toc249515280"/>
      <w:bookmarkStart w:id="95" w:name="_Toc25504"/>
      <w:bookmarkStart w:id="96" w:name="_Toc249525161"/>
      <w:r>
        <w:rPr>
          <w:rFonts w:hint="eastAsia" w:ascii="仿宋_GB2312" w:hAnsi="仿宋_GB2312" w:eastAsia="仿宋_GB2312" w:cs="仿宋_GB2312"/>
          <w:b/>
          <w:color w:val="auto"/>
          <w:sz w:val="24"/>
          <w:szCs w:val="21"/>
          <w:highlight w:val="none"/>
        </w:rPr>
        <w:t>1.     项目说明</w:t>
      </w:r>
      <w:bookmarkEnd w:id="92"/>
      <w:bookmarkEnd w:id="93"/>
      <w:bookmarkEnd w:id="94"/>
      <w:bookmarkEnd w:id="95"/>
      <w:bookmarkEnd w:id="96"/>
    </w:p>
    <w:p>
      <w:pPr>
        <w:pStyle w:val="63"/>
        <w:widowControl w:val="0"/>
        <w:tabs>
          <w:tab w:val="left" w:pos="588"/>
        </w:tabs>
        <w:spacing w:before="0" w:beforeAutospacing="0" w:after="0" w:afterAutospacing="0"/>
        <w:textAlignment w:val="auto"/>
        <w:rPr>
          <w:rFonts w:ascii="仿宋_GB2312" w:hAnsi="仿宋_GB2312" w:eastAsia="仿宋_GB2312" w:cs="仿宋_GB2312"/>
          <w:color w:val="auto"/>
          <w:kern w:val="24"/>
          <w:szCs w:val="21"/>
          <w:highlight w:val="none"/>
        </w:rPr>
      </w:pPr>
      <w:r>
        <w:rPr>
          <w:rFonts w:hint="eastAsia" w:ascii="仿宋_GB2312" w:hAnsi="仿宋_GB2312" w:eastAsia="仿宋_GB2312" w:cs="仿宋_GB2312"/>
          <w:color w:val="auto"/>
          <w:kern w:val="24"/>
          <w:szCs w:val="21"/>
          <w:highlight w:val="none"/>
        </w:rPr>
        <w:t>1.1    项目说明：</w:t>
      </w:r>
      <w:r>
        <w:rPr>
          <w:rFonts w:hint="eastAsia" w:ascii="仿宋_GB2312" w:hAnsi="仿宋_GB2312" w:eastAsia="仿宋_GB2312" w:cs="仿宋_GB2312"/>
          <w:b/>
          <w:color w:val="auto"/>
          <w:kern w:val="24"/>
          <w:szCs w:val="21"/>
          <w:highlight w:val="none"/>
        </w:rPr>
        <w:t>见供应商须知前附表</w:t>
      </w:r>
      <w:r>
        <w:rPr>
          <w:rFonts w:hint="eastAsia" w:ascii="仿宋_GB2312" w:hAnsi="仿宋_GB2312" w:eastAsia="仿宋_GB2312" w:cs="仿宋_GB2312"/>
          <w:color w:val="auto"/>
          <w:kern w:val="24"/>
          <w:szCs w:val="21"/>
          <w:highlight w:val="none"/>
        </w:rPr>
        <w:t>。</w:t>
      </w:r>
    </w:p>
    <w:p>
      <w:pPr>
        <w:pStyle w:val="5"/>
        <w:rPr>
          <w:rFonts w:ascii="仿宋_GB2312" w:hAnsi="仿宋_GB2312" w:eastAsia="仿宋_GB2312" w:cs="仿宋_GB2312"/>
          <w:b/>
          <w:color w:val="auto"/>
          <w:sz w:val="24"/>
          <w:szCs w:val="21"/>
          <w:highlight w:val="none"/>
        </w:rPr>
      </w:pPr>
      <w:bookmarkStart w:id="97" w:name="_Toc249525162"/>
      <w:bookmarkStart w:id="98" w:name="_Toc249515281"/>
      <w:bookmarkStart w:id="99" w:name="_Toc70687142"/>
      <w:bookmarkStart w:id="100" w:name="_Toc31509"/>
      <w:bookmarkStart w:id="101" w:name="_Toc249515393"/>
      <w:bookmarkStart w:id="102" w:name="_Toc184043015"/>
      <w:r>
        <w:rPr>
          <w:rFonts w:hint="eastAsia" w:ascii="仿宋_GB2312" w:hAnsi="仿宋_GB2312" w:eastAsia="仿宋_GB2312" w:cs="仿宋_GB2312"/>
          <w:b/>
          <w:color w:val="auto"/>
          <w:sz w:val="24"/>
          <w:szCs w:val="21"/>
          <w:highlight w:val="none"/>
        </w:rPr>
        <w:t>2.     定义</w:t>
      </w:r>
      <w:bookmarkEnd w:id="97"/>
      <w:bookmarkEnd w:id="98"/>
      <w:bookmarkEnd w:id="99"/>
      <w:bookmarkEnd w:id="100"/>
      <w:bookmarkEnd w:id="101"/>
      <w:bookmarkEnd w:id="102"/>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采购人：</w:t>
      </w:r>
      <w:r>
        <w:rPr>
          <w:rFonts w:hint="eastAsia" w:ascii="仿宋_GB2312" w:hAnsi="仿宋_GB2312" w:eastAsia="仿宋_GB2312" w:cs="仿宋_GB2312"/>
          <w:b/>
          <w:color w:val="auto"/>
          <w:sz w:val="24"/>
          <w:highlight w:val="none"/>
        </w:rPr>
        <w:t>见供应商须知前附表</w:t>
      </w:r>
      <w:r>
        <w:rPr>
          <w:rFonts w:hint="eastAsia" w:ascii="仿宋_GB2312" w:hAnsi="仿宋_GB2312" w:eastAsia="仿宋_GB2312" w:cs="仿宋_GB2312"/>
          <w:color w:val="auto"/>
          <w:sz w:val="24"/>
          <w:highlight w:val="none"/>
        </w:rPr>
        <w:t>。</w:t>
      </w:r>
    </w:p>
    <w:p>
      <w:pPr>
        <w:pStyle w:val="2"/>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2.2    采购代理机构：</w:t>
      </w:r>
      <w:r>
        <w:rPr>
          <w:rFonts w:hint="eastAsia" w:ascii="仿宋_GB2312" w:hAnsi="仿宋_GB2312" w:eastAsia="仿宋_GB2312" w:cs="仿宋_GB2312"/>
          <w:b/>
          <w:color w:val="auto"/>
          <w:kern w:val="24"/>
          <w:sz w:val="24"/>
          <w:szCs w:val="21"/>
          <w:highlight w:val="none"/>
        </w:rPr>
        <w:t>见供应商须知前附表</w:t>
      </w:r>
      <w:r>
        <w:rPr>
          <w:rFonts w:hint="eastAsia" w:ascii="仿宋_GB2312" w:hAnsi="仿宋_GB2312" w:eastAsia="仿宋_GB2312" w:cs="仿宋_GB2312"/>
          <w:color w:val="auto"/>
          <w:kern w:val="24"/>
          <w:sz w:val="24"/>
          <w:szCs w:val="21"/>
          <w:highlight w:val="none"/>
        </w:rPr>
        <w:t>。</w:t>
      </w:r>
    </w:p>
    <w:p>
      <w:pPr>
        <w:pStyle w:val="2"/>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供应商：指响应磋商文件要求、参加竞争性磋商采购的法人、其他组织或者自然人。本次政府采购项目邀请供应商方式见</w:t>
      </w:r>
      <w:r>
        <w:rPr>
          <w:rFonts w:hint="eastAsia" w:ascii="仿宋_GB2312" w:hAnsi="仿宋_GB2312" w:eastAsia="仿宋_GB2312" w:cs="仿宋_GB2312"/>
          <w:b/>
          <w:color w:val="auto"/>
          <w:sz w:val="24"/>
          <w:highlight w:val="none"/>
        </w:rPr>
        <w:t>供应商须知前附表。</w:t>
      </w:r>
    </w:p>
    <w:p>
      <w:pPr>
        <w:pStyle w:val="2"/>
        <w:tabs>
          <w:tab w:val="left" w:pos="360"/>
        </w:tabs>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磋商小组：指依据《中华人民共和国政府采购法》和财政部《政府采购竞争性磋商采购方式管理暂行办法》有关规定组建，依法依规履行其职责和义务的机构。</w:t>
      </w:r>
    </w:p>
    <w:p>
      <w:pPr>
        <w:pStyle w:val="5"/>
        <w:rPr>
          <w:rFonts w:ascii="仿宋_GB2312" w:hAnsi="仿宋_GB2312" w:eastAsia="仿宋_GB2312" w:cs="仿宋_GB2312"/>
          <w:b/>
          <w:color w:val="auto"/>
          <w:sz w:val="24"/>
          <w:szCs w:val="21"/>
          <w:highlight w:val="none"/>
        </w:rPr>
      </w:pPr>
      <w:bookmarkStart w:id="103" w:name="_Toc385992329"/>
      <w:bookmarkStart w:id="104" w:name="_Toc70687143"/>
      <w:bookmarkStart w:id="105" w:name="_Toc184043016"/>
      <w:bookmarkStart w:id="106" w:name="_Toc249515282"/>
      <w:bookmarkStart w:id="107" w:name="_Toc249525163"/>
      <w:bookmarkStart w:id="108" w:name="_Toc389620168"/>
      <w:bookmarkStart w:id="109" w:name="_Toc249515394"/>
      <w:bookmarkStart w:id="110" w:name="_Toc23705"/>
      <w:r>
        <w:rPr>
          <w:rFonts w:hint="eastAsia" w:ascii="仿宋_GB2312" w:hAnsi="仿宋_GB2312" w:eastAsia="仿宋_GB2312" w:cs="仿宋_GB2312"/>
          <w:b/>
          <w:color w:val="auto"/>
          <w:sz w:val="24"/>
          <w:szCs w:val="21"/>
          <w:highlight w:val="none"/>
        </w:rPr>
        <w:t>3.     合格的供应商</w:t>
      </w:r>
      <w:bookmarkEnd w:id="103"/>
      <w:bookmarkEnd w:id="104"/>
      <w:bookmarkEnd w:id="105"/>
      <w:bookmarkEnd w:id="106"/>
      <w:bookmarkEnd w:id="107"/>
      <w:bookmarkEnd w:id="108"/>
      <w:bookmarkEnd w:id="109"/>
      <w:bookmarkEnd w:id="110"/>
    </w:p>
    <w:p>
      <w:pPr>
        <w:tabs>
          <w:tab w:val="left" w:pos="588"/>
        </w:tabs>
        <w:spacing w:line="360" w:lineRule="auto"/>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3.1    供应商基本资质要求详见</w:t>
      </w:r>
      <w:r>
        <w:rPr>
          <w:rFonts w:hint="eastAsia" w:ascii="仿宋_GB2312" w:hAnsi="仿宋_GB2312" w:eastAsia="仿宋_GB2312" w:cs="仿宋_GB2312"/>
          <w:b/>
          <w:color w:val="auto"/>
          <w:kern w:val="24"/>
          <w:sz w:val="24"/>
          <w:szCs w:val="21"/>
          <w:highlight w:val="none"/>
        </w:rPr>
        <w:t>供应商须知前附表</w:t>
      </w:r>
      <w:r>
        <w:rPr>
          <w:rFonts w:hint="eastAsia" w:ascii="仿宋_GB2312" w:hAnsi="仿宋_GB2312" w:eastAsia="仿宋_GB2312" w:cs="仿宋_GB2312"/>
          <w:color w:val="auto"/>
          <w:kern w:val="24"/>
          <w:sz w:val="24"/>
          <w:szCs w:val="21"/>
          <w:highlight w:val="none"/>
        </w:rPr>
        <w:t>。</w:t>
      </w:r>
    </w:p>
    <w:p>
      <w:pPr>
        <w:tabs>
          <w:tab w:val="left" w:pos="588"/>
        </w:tabs>
        <w:spacing w:line="360" w:lineRule="auto"/>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3.2    本项目将执行在政府采购活动中查询及使用信用记录的规定，具体要求为：</w:t>
      </w:r>
    </w:p>
    <w:p>
      <w:pPr>
        <w:tabs>
          <w:tab w:val="left" w:pos="588"/>
        </w:tabs>
        <w:spacing w:line="360" w:lineRule="auto"/>
        <w:ind w:left="840" w:leftChars="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3.2.1  供应商应当未被列入失信被执行人、重大税收违法案件当事人名单、政府采购严重违法失信行为记录名单，否则不得参与政府采购活动。</w:t>
      </w:r>
    </w:p>
    <w:p>
      <w:pPr>
        <w:tabs>
          <w:tab w:val="left" w:pos="588"/>
        </w:tabs>
        <w:spacing w:line="360" w:lineRule="auto"/>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3.2.2  信用信息查询的时间：响应文件递交截止时间之后至磋商</w:t>
      </w:r>
      <w:r>
        <w:rPr>
          <w:rFonts w:hint="eastAsia" w:ascii="仿宋_GB2312" w:hAnsi="仿宋_GB2312" w:eastAsia="仿宋_GB2312" w:cs="仿宋_GB2312"/>
          <w:color w:val="auto"/>
          <w:sz w:val="24"/>
          <w:highlight w:val="none"/>
        </w:rPr>
        <w:t>资格性检查结束</w:t>
      </w:r>
      <w:r>
        <w:rPr>
          <w:rFonts w:hint="eastAsia" w:ascii="仿宋_GB2312" w:hAnsi="仿宋_GB2312" w:eastAsia="仿宋_GB2312" w:cs="仿宋_GB2312"/>
          <w:color w:val="auto"/>
          <w:kern w:val="24"/>
          <w:sz w:val="24"/>
          <w:szCs w:val="21"/>
          <w:highlight w:val="none"/>
        </w:rPr>
        <w:t xml:space="preserve">。 </w:t>
      </w:r>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 xml:space="preserve">3.2.3  查询渠道：“信用中国”网站（www.creditchina.gov.cn）和中国政府采购网（www.ccgp.gov.cn）； </w:t>
      </w:r>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3.3.5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3.4    供应商必须向采购人领取磋商文件并登记备案，未向采购人领取磋商文件并登记备案的潜在供应商均无资格参加本次采购。</w:t>
      </w:r>
    </w:p>
    <w:p>
      <w:pPr>
        <w:tabs>
          <w:tab w:val="left" w:pos="588"/>
        </w:tabs>
        <w:spacing w:line="360" w:lineRule="auto"/>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3.5    供应商应遵守《中华人民共和国政府采购法》及其它有关的中国法律和法规。</w:t>
      </w:r>
    </w:p>
    <w:p>
      <w:pPr>
        <w:pStyle w:val="2"/>
        <w:ind w:left="840" w:leftChars="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3.6    若前附表中写明允许采购进口产品，供应商应保证所投产品可履行合法报通关手续进入中国关境内。</w:t>
      </w:r>
    </w:p>
    <w:p>
      <w:pPr>
        <w:pStyle w:val="2"/>
        <w:ind w:left="838" w:leftChars="399" w:firstLine="0" w:firstLineChars="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若前附表中不允许采购进口产品，如供应商所投产品为进口产品，其响应文件将被认定为无效。</w:t>
      </w:r>
    </w:p>
    <w:p>
      <w:pPr>
        <w:pStyle w:val="2"/>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3.7    如须知前附表中允许联合体投标，对联合体规定如下：</w:t>
      </w:r>
    </w:p>
    <w:p>
      <w:pPr>
        <w:pStyle w:val="2"/>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3.7.1  两个及以上供应商可以组成一个投标联合体，以一个供应商的身份投标。</w:t>
      </w:r>
    </w:p>
    <w:p>
      <w:pPr>
        <w:pStyle w:val="2"/>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3.7.2  联合体各方均应符合本须知规定。</w:t>
      </w:r>
    </w:p>
    <w:p>
      <w:pPr>
        <w:pStyle w:val="2"/>
        <w:ind w:left="840" w:leftChars="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3.7.3  采购人根据采购项目对供应商的特殊要求，联合体中至少应当有一方符合相关规定。</w:t>
      </w:r>
    </w:p>
    <w:p>
      <w:pPr>
        <w:pStyle w:val="2"/>
        <w:ind w:left="840" w:leftChars="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3.7.4  联合体各方应签订共同磋商响应协议，明确约定联合体各方承担的工作和相应的责任，并将共同响应协议作为响应文件的内容提交。</w:t>
      </w:r>
    </w:p>
    <w:p>
      <w:pPr>
        <w:pStyle w:val="2"/>
        <w:ind w:left="840" w:leftChars="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3.7.5  大中型企业、其他自然人、法人或者其他组织与小型、微型企业组成联合体共同参加磋商，共同响应协议中应写明小型、微型企业的协议合同金额占到共同响应协议报价总金额的比例。</w:t>
      </w:r>
    </w:p>
    <w:p>
      <w:pPr>
        <w:pStyle w:val="2"/>
        <w:ind w:left="840" w:leftChars="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3.7.6  以联合体形式参加政府采购活动的，联合体各方不得再单独参加或者与其他供应商另外组成联合体参加本项目同一合同项下的磋商，否则相关响应文件将被认定为无效。</w:t>
      </w:r>
    </w:p>
    <w:p>
      <w:pPr>
        <w:pStyle w:val="2"/>
        <w:rPr>
          <w:rFonts w:hint="eastAsia"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3.7.7  对联合体磋商的其他资格要求见须知前附表。</w:t>
      </w:r>
    </w:p>
    <w:p>
      <w:pPr>
        <w:pStyle w:val="2"/>
        <w:ind w:left="840" w:leftChars="0" w:hanging="840" w:hangingChars="350"/>
        <w:rPr>
          <w:rFonts w:hint="default" w:ascii="仿宋_GB2312" w:hAnsi="仿宋_GB2312" w:eastAsia="仿宋_GB2312" w:cs="仿宋_GB2312"/>
          <w:color w:val="auto"/>
          <w:kern w:val="24"/>
          <w:sz w:val="24"/>
          <w:szCs w:val="21"/>
          <w:highlight w:val="none"/>
          <w:lang w:val="en-US" w:eastAsia="zh-CN"/>
        </w:rPr>
      </w:pPr>
      <w:r>
        <w:rPr>
          <w:rFonts w:hint="eastAsia" w:ascii="仿宋_GB2312" w:hAnsi="仿宋_GB2312" w:eastAsia="仿宋_GB2312" w:cs="仿宋_GB2312"/>
          <w:color w:val="auto"/>
          <w:kern w:val="24"/>
          <w:sz w:val="24"/>
          <w:szCs w:val="21"/>
          <w:highlight w:val="none"/>
          <w:lang w:val="en-US" w:eastAsia="zh-CN"/>
        </w:rPr>
        <w:t xml:space="preserve">3.8    </w:t>
      </w:r>
      <w:r>
        <w:rPr>
          <w:rFonts w:hint="eastAsia" w:ascii="仿宋_GB2312" w:hAnsi="宋体" w:eastAsia="仿宋_GB2312"/>
          <w:color w:val="auto"/>
          <w:sz w:val="24"/>
          <w:highlight w:val="none"/>
        </w:rPr>
        <w:t>若前附表中写明专门面向中小企业采购的，如供应商为非中小企业，其响应文件将被认定为无效。</w:t>
      </w:r>
    </w:p>
    <w:p>
      <w:pPr>
        <w:pStyle w:val="5"/>
        <w:rPr>
          <w:rFonts w:ascii="仿宋_GB2312" w:hAnsi="仿宋_GB2312" w:eastAsia="仿宋_GB2312" w:cs="仿宋_GB2312"/>
          <w:b/>
          <w:color w:val="auto"/>
          <w:sz w:val="24"/>
          <w:szCs w:val="21"/>
          <w:highlight w:val="none"/>
        </w:rPr>
      </w:pPr>
      <w:bookmarkStart w:id="111" w:name="_Toc70687144"/>
      <w:bookmarkStart w:id="112" w:name="_Toc385992330"/>
      <w:bookmarkStart w:id="113" w:name="_Toc184043017"/>
      <w:bookmarkStart w:id="114" w:name="_Toc249525164"/>
      <w:bookmarkStart w:id="115" w:name="_Toc389620169"/>
      <w:bookmarkStart w:id="116" w:name="_Toc249515395"/>
      <w:bookmarkStart w:id="117" w:name="_Toc26580"/>
      <w:bookmarkStart w:id="118" w:name="_Toc249515283"/>
      <w:r>
        <w:rPr>
          <w:rFonts w:hint="eastAsia" w:ascii="仿宋_GB2312" w:hAnsi="仿宋_GB2312" w:eastAsia="仿宋_GB2312" w:cs="仿宋_GB2312"/>
          <w:b/>
          <w:color w:val="auto"/>
          <w:sz w:val="24"/>
          <w:szCs w:val="21"/>
          <w:highlight w:val="none"/>
        </w:rPr>
        <w:t>4.     磋商费用</w:t>
      </w:r>
      <w:bookmarkEnd w:id="111"/>
      <w:bookmarkEnd w:id="112"/>
      <w:bookmarkEnd w:id="113"/>
      <w:bookmarkEnd w:id="114"/>
      <w:bookmarkEnd w:id="115"/>
      <w:bookmarkEnd w:id="116"/>
      <w:bookmarkEnd w:id="117"/>
      <w:bookmarkEnd w:id="118"/>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4.1    供应商应承担所有与编写和提交响应文件有关的费用，无论磋商过程和结果如何，采购人在任何情况下均无义务和责任承担这些费用。</w:t>
      </w:r>
    </w:p>
    <w:p>
      <w:pPr>
        <w:pStyle w:val="2"/>
        <w:rPr>
          <w:rFonts w:ascii="仿宋_GB2312" w:hAnsi="仿宋_GB2312" w:eastAsia="仿宋_GB2312" w:cs="仿宋_GB2312"/>
          <w:color w:val="auto"/>
          <w:highlight w:val="none"/>
        </w:rPr>
      </w:pPr>
    </w:p>
    <w:p>
      <w:pPr>
        <w:pStyle w:val="77"/>
        <w:spacing w:before="24" w:after="24"/>
        <w:ind w:left="3313"/>
        <w:rPr>
          <w:rFonts w:ascii="仿宋_GB2312" w:hAnsi="仿宋_GB2312" w:eastAsia="仿宋_GB2312" w:cs="仿宋_GB2312"/>
          <w:color w:val="auto"/>
          <w:sz w:val="30"/>
          <w:szCs w:val="30"/>
          <w:highlight w:val="none"/>
        </w:rPr>
      </w:pPr>
      <w:bookmarkStart w:id="119" w:name="_Toc7115"/>
      <w:bookmarkStart w:id="120" w:name="_Toc68590970"/>
      <w:r>
        <w:rPr>
          <w:rFonts w:hint="eastAsia" w:ascii="仿宋_GB2312" w:hAnsi="仿宋_GB2312" w:eastAsia="仿宋_GB2312" w:cs="仿宋_GB2312"/>
          <w:color w:val="auto"/>
          <w:sz w:val="30"/>
          <w:szCs w:val="30"/>
          <w:highlight w:val="none"/>
        </w:rPr>
        <w:t>二、磋商文件说明</w:t>
      </w:r>
      <w:bookmarkEnd w:id="119"/>
      <w:bookmarkEnd w:id="120"/>
    </w:p>
    <w:p>
      <w:pPr>
        <w:rPr>
          <w:rFonts w:ascii="仿宋_GB2312" w:hAnsi="仿宋_GB2312" w:eastAsia="仿宋_GB2312" w:cs="仿宋_GB2312"/>
          <w:color w:val="auto"/>
          <w:highlight w:val="none"/>
        </w:rPr>
      </w:pPr>
    </w:p>
    <w:p>
      <w:pPr>
        <w:pStyle w:val="5"/>
        <w:numPr>
          <w:ilvl w:val="0"/>
          <w:numId w:val="5"/>
        </w:numPr>
        <w:rPr>
          <w:rFonts w:ascii="仿宋_GB2312" w:hAnsi="仿宋_GB2312" w:eastAsia="仿宋_GB2312" w:cs="仿宋_GB2312"/>
          <w:b/>
          <w:color w:val="auto"/>
          <w:sz w:val="24"/>
          <w:szCs w:val="21"/>
          <w:highlight w:val="none"/>
        </w:rPr>
      </w:pPr>
      <w:bookmarkStart w:id="121" w:name="_Toc128"/>
      <w:bookmarkStart w:id="122" w:name="_Toc249515285"/>
      <w:bookmarkStart w:id="123" w:name="_Toc385992332"/>
      <w:bookmarkStart w:id="124" w:name="_Toc70687146"/>
      <w:bookmarkStart w:id="125" w:name="_Toc184043019"/>
      <w:bookmarkStart w:id="126" w:name="_Toc249525166"/>
      <w:bookmarkStart w:id="127" w:name="_Toc249515397"/>
      <w:bookmarkStart w:id="128" w:name="_Toc389620171"/>
      <w:r>
        <w:rPr>
          <w:rFonts w:hint="eastAsia" w:ascii="仿宋_GB2312" w:hAnsi="仿宋_GB2312" w:eastAsia="仿宋_GB2312" w:cs="仿宋_GB2312"/>
          <w:b/>
          <w:color w:val="auto"/>
          <w:sz w:val="24"/>
          <w:szCs w:val="21"/>
          <w:highlight w:val="none"/>
        </w:rPr>
        <w:t xml:space="preserve">    通知</w:t>
      </w:r>
      <w:bookmarkEnd w:id="121"/>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5"/>
        <w:rPr>
          <w:rFonts w:ascii="仿宋_GB2312" w:hAnsi="仿宋_GB2312" w:eastAsia="仿宋_GB2312" w:cs="仿宋_GB2312"/>
          <w:b/>
          <w:color w:val="auto"/>
          <w:sz w:val="24"/>
          <w:szCs w:val="21"/>
          <w:highlight w:val="none"/>
        </w:rPr>
      </w:pPr>
      <w:bookmarkStart w:id="129" w:name="_Toc27223"/>
      <w:r>
        <w:rPr>
          <w:rFonts w:hint="eastAsia" w:ascii="仿宋_GB2312" w:hAnsi="仿宋_GB2312" w:eastAsia="仿宋_GB2312" w:cs="仿宋_GB2312"/>
          <w:b/>
          <w:color w:val="auto"/>
          <w:sz w:val="24"/>
          <w:szCs w:val="21"/>
          <w:highlight w:val="none"/>
        </w:rPr>
        <w:t>6.     磋商文件的构成</w:t>
      </w:r>
      <w:bookmarkEnd w:id="122"/>
      <w:bookmarkEnd w:id="123"/>
      <w:bookmarkEnd w:id="124"/>
      <w:bookmarkEnd w:id="125"/>
      <w:bookmarkEnd w:id="126"/>
      <w:bookmarkEnd w:id="127"/>
      <w:bookmarkEnd w:id="128"/>
      <w:bookmarkEnd w:id="129"/>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    磋商文件用以阐明供应商所需提供的服务以及其它类似的义务、采购响应程序和合同条款。磋商文件包括如下五章内容：</w:t>
      </w:r>
    </w:p>
    <w:p>
      <w:pPr>
        <w:pStyle w:val="2"/>
        <w:ind w:left="838" w:leftChars="39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第一章</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磋商公告</w:t>
      </w:r>
    </w:p>
    <w:p>
      <w:pPr>
        <w:pStyle w:val="2"/>
        <w:ind w:left="838" w:leftChars="39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第二章</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供应商须知</w:t>
      </w:r>
    </w:p>
    <w:p>
      <w:pPr>
        <w:pStyle w:val="2"/>
        <w:ind w:left="838" w:leftChars="39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第三章</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评审办法和标准</w:t>
      </w:r>
    </w:p>
    <w:p>
      <w:pPr>
        <w:pStyle w:val="2"/>
        <w:ind w:left="838" w:leftChars="39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第四章</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合同草案条款</w:t>
      </w:r>
    </w:p>
    <w:p>
      <w:pPr>
        <w:pStyle w:val="2"/>
        <w:ind w:left="838" w:leftChars="39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第五章</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采购内容及要求</w:t>
      </w:r>
    </w:p>
    <w:p>
      <w:pPr>
        <w:pStyle w:val="2"/>
        <w:ind w:left="838" w:leftChars="39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第六章</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磋商响应文件格式</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rPr>
          <w:rFonts w:ascii="仿宋_GB2312" w:hAnsi="仿宋_GB2312" w:eastAsia="仿宋_GB2312" w:cs="仿宋_GB2312"/>
          <w:b/>
          <w:color w:val="auto"/>
          <w:sz w:val="24"/>
          <w:szCs w:val="21"/>
          <w:highlight w:val="none"/>
        </w:rPr>
      </w:pPr>
      <w:bookmarkStart w:id="130" w:name="_Toc249525167"/>
      <w:bookmarkStart w:id="131" w:name="_Toc249515286"/>
      <w:bookmarkStart w:id="132" w:name="_Toc249515398"/>
      <w:bookmarkStart w:id="133" w:name="_Toc70687147"/>
      <w:bookmarkStart w:id="134" w:name="_Toc184043020"/>
      <w:bookmarkStart w:id="135" w:name="_Toc389620172"/>
      <w:bookmarkStart w:id="136" w:name="_Toc385992333"/>
      <w:bookmarkStart w:id="137" w:name="_Toc10350"/>
      <w:r>
        <w:rPr>
          <w:rFonts w:hint="eastAsia" w:ascii="仿宋_GB2312" w:hAnsi="仿宋_GB2312" w:eastAsia="仿宋_GB2312" w:cs="仿宋_GB2312"/>
          <w:b/>
          <w:color w:val="auto"/>
          <w:sz w:val="24"/>
          <w:szCs w:val="21"/>
          <w:highlight w:val="none"/>
        </w:rPr>
        <w:t>7.     磋商文件的澄清</w:t>
      </w:r>
      <w:bookmarkEnd w:id="130"/>
      <w:bookmarkEnd w:id="131"/>
      <w:bookmarkEnd w:id="132"/>
      <w:bookmarkEnd w:id="133"/>
      <w:bookmarkEnd w:id="134"/>
      <w:bookmarkEnd w:id="135"/>
      <w:bookmarkEnd w:id="136"/>
      <w:r>
        <w:rPr>
          <w:rFonts w:hint="eastAsia" w:ascii="仿宋_GB2312" w:hAnsi="仿宋_GB2312" w:eastAsia="仿宋_GB2312" w:cs="仿宋_GB2312"/>
          <w:b/>
          <w:color w:val="auto"/>
          <w:sz w:val="24"/>
          <w:szCs w:val="21"/>
          <w:highlight w:val="none"/>
        </w:rPr>
        <w:t>和修改</w:t>
      </w:r>
      <w:bookmarkEnd w:id="137"/>
    </w:p>
    <w:p>
      <w:pPr>
        <w:tabs>
          <w:tab w:val="left" w:pos="588"/>
        </w:tabs>
        <w:spacing w:line="360" w:lineRule="auto"/>
        <w:ind w:left="840" w:hanging="840" w:hangingChars="350"/>
        <w:rPr>
          <w:rFonts w:ascii="仿宋_GB2312" w:hAnsi="仿宋_GB2312" w:eastAsia="仿宋_GB2312" w:cs="仿宋_GB2312"/>
          <w:color w:val="auto"/>
          <w:sz w:val="24"/>
          <w:highlight w:val="none"/>
        </w:rPr>
      </w:pPr>
      <w:bookmarkStart w:id="138" w:name="_Toc389620173"/>
      <w:bookmarkStart w:id="139" w:name="_Toc70687148"/>
      <w:bookmarkStart w:id="140" w:name="_Toc385992334"/>
      <w:r>
        <w:rPr>
          <w:rFonts w:hint="eastAsia" w:ascii="仿宋_GB2312" w:hAnsi="仿宋_GB2312" w:eastAsia="仿宋_GB2312" w:cs="仿宋_GB2312"/>
          <w:color w:val="auto"/>
          <w:sz w:val="24"/>
          <w:highlight w:val="none"/>
        </w:rPr>
        <w:t xml:space="preserve">7.1    </w:t>
      </w:r>
      <w:bookmarkEnd w:id="138"/>
      <w:bookmarkEnd w:id="139"/>
      <w:bookmarkEnd w:id="140"/>
      <w:bookmarkStart w:id="141" w:name="_Toc500747065"/>
      <w:bookmarkStart w:id="142" w:name="_Toc53722843"/>
      <w:bookmarkStart w:id="143" w:name="_Toc70687149"/>
      <w:bookmarkStart w:id="144" w:name="_Toc500747192"/>
      <w:bookmarkStart w:id="145" w:name="_Toc503063425"/>
      <w:bookmarkStart w:id="146" w:name="_Toc496324582"/>
      <w:bookmarkStart w:id="147" w:name="_Toc499711887"/>
      <w:bookmarkStart w:id="148" w:name="_Toc385992335"/>
      <w:bookmarkStart w:id="149" w:name="_Toc492955418"/>
      <w:bookmarkStart w:id="150" w:name="_Toc500746969"/>
      <w:bookmarkStart w:id="151" w:name="_Toc499711046"/>
      <w:bookmarkStart w:id="152" w:name="_Toc389620174"/>
      <w:r>
        <w:rPr>
          <w:rFonts w:hint="eastAsia" w:ascii="仿宋_GB2312" w:hAnsi="仿宋_GB2312" w:eastAsia="仿宋_GB2312" w:cs="仿宋_GB2312"/>
          <w:color w:val="auto"/>
          <w:sz w:val="24"/>
          <w:highlight w:val="none"/>
        </w:rPr>
        <w:t>在首次响应文件递交截止时间前，采购人或采购代理机构可以对已发出的磋商文件进行必要的澄清或修改，澄清或修改的内容为磋商文件的组成部分。</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    磋商文件的修改将以书面形式通知所有领取磋商文件的供应商，并对其具有约束力。供应商在收到上述通知后，应立即向采购人回函确认。</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7.3    澄清或修改的内容可能影响响应文件编制的，采购人或采购代理机构可适当延长首次响应文件递交截止时间，并以书面形式通知所有领取磋商文件的供应商。</w:t>
      </w:r>
    </w:p>
    <w:p>
      <w:pPr>
        <w:pStyle w:val="77"/>
        <w:spacing w:before="24" w:after="24"/>
        <w:ind w:left="3313"/>
        <w:rPr>
          <w:rFonts w:ascii="仿宋_GB2312" w:hAnsi="仿宋_GB2312" w:eastAsia="仿宋_GB2312" w:cs="仿宋_GB2312"/>
          <w:color w:val="auto"/>
          <w:sz w:val="30"/>
          <w:szCs w:val="30"/>
          <w:highlight w:val="none"/>
        </w:rPr>
      </w:pPr>
      <w:bookmarkStart w:id="153" w:name="_Toc230013635"/>
      <w:bookmarkStart w:id="154" w:name="_Toc20942"/>
      <w:bookmarkStart w:id="155" w:name="_Toc232395215"/>
      <w:bookmarkStart w:id="156" w:name="_Toc249515400"/>
      <w:bookmarkStart w:id="157" w:name="_Toc177995476"/>
      <w:bookmarkStart w:id="158" w:name="_Toc230583544"/>
      <w:bookmarkStart w:id="159" w:name="_Toc232176275"/>
      <w:bookmarkStart w:id="160" w:name="_Toc249515288"/>
      <w:bookmarkStart w:id="161" w:name="_Toc177817337"/>
      <w:bookmarkStart w:id="162" w:name="_Toc256342146"/>
      <w:bookmarkStart w:id="163" w:name="_Toc176882545"/>
      <w:bookmarkStart w:id="164" w:name="_Toc230099800"/>
      <w:bookmarkStart w:id="165" w:name="_Toc184043022"/>
      <w:bookmarkStart w:id="166" w:name="_Toc68590971"/>
      <w:bookmarkStart w:id="167" w:name="_Toc177189238"/>
      <w:bookmarkStart w:id="168" w:name="_Toc249525169"/>
      <w:r>
        <w:rPr>
          <w:rFonts w:hint="eastAsia" w:ascii="仿宋_GB2312" w:hAnsi="仿宋_GB2312" w:eastAsia="仿宋_GB2312" w:cs="仿宋_GB2312"/>
          <w:color w:val="auto"/>
          <w:sz w:val="30"/>
          <w:szCs w:val="30"/>
          <w:highlight w:val="none"/>
        </w:rPr>
        <w:t>三、响应文件的编写</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5"/>
        <w:rPr>
          <w:rFonts w:ascii="仿宋_GB2312" w:hAnsi="仿宋_GB2312" w:eastAsia="仿宋_GB2312" w:cs="仿宋_GB2312"/>
          <w:b/>
          <w:color w:val="auto"/>
          <w:sz w:val="24"/>
          <w:szCs w:val="21"/>
          <w:highlight w:val="none"/>
        </w:rPr>
      </w:pPr>
      <w:bookmarkStart w:id="169" w:name="_Toc184043023"/>
      <w:bookmarkStart w:id="170" w:name="_Toc249525170"/>
      <w:bookmarkStart w:id="171" w:name="_Toc249515401"/>
      <w:bookmarkStart w:id="172" w:name="_Toc249515289"/>
      <w:bookmarkStart w:id="173" w:name="_Toc30150"/>
      <w:bookmarkStart w:id="174" w:name="_Toc70687150"/>
      <w:bookmarkStart w:id="175" w:name="_Toc389620176"/>
      <w:bookmarkStart w:id="176" w:name="_Toc385992337"/>
      <w:r>
        <w:rPr>
          <w:rFonts w:hint="eastAsia" w:ascii="仿宋_GB2312" w:hAnsi="仿宋_GB2312" w:eastAsia="仿宋_GB2312" w:cs="仿宋_GB2312"/>
          <w:b/>
          <w:color w:val="auto"/>
          <w:sz w:val="24"/>
          <w:szCs w:val="21"/>
          <w:highlight w:val="none"/>
        </w:rPr>
        <w:t>8.     响应文件语言</w:t>
      </w:r>
      <w:bookmarkEnd w:id="169"/>
      <w:bookmarkEnd w:id="170"/>
      <w:bookmarkEnd w:id="171"/>
      <w:bookmarkEnd w:id="172"/>
      <w:bookmarkEnd w:id="173"/>
      <w:bookmarkEnd w:id="174"/>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8.1    响应文件及与响应相关的所有文件均应以中文书写。</w:t>
      </w:r>
    </w:p>
    <w:p>
      <w:pPr>
        <w:pStyle w:val="5"/>
        <w:rPr>
          <w:rFonts w:ascii="仿宋_GB2312" w:hAnsi="仿宋_GB2312" w:eastAsia="仿宋_GB2312" w:cs="仿宋_GB2312"/>
          <w:b/>
          <w:color w:val="auto"/>
          <w:sz w:val="24"/>
          <w:szCs w:val="21"/>
          <w:highlight w:val="none"/>
        </w:rPr>
      </w:pPr>
      <w:bookmarkStart w:id="177" w:name="_Toc249515290"/>
      <w:bookmarkStart w:id="178" w:name="_Toc70687151"/>
      <w:bookmarkStart w:id="179" w:name="_Toc249525171"/>
      <w:bookmarkStart w:id="180" w:name="_Toc18327"/>
      <w:bookmarkStart w:id="181" w:name="_Toc249515402"/>
      <w:bookmarkStart w:id="182" w:name="_Toc184043024"/>
      <w:r>
        <w:rPr>
          <w:rFonts w:hint="eastAsia" w:ascii="仿宋_GB2312" w:hAnsi="仿宋_GB2312" w:eastAsia="仿宋_GB2312" w:cs="仿宋_GB2312"/>
          <w:b/>
          <w:color w:val="auto"/>
          <w:sz w:val="24"/>
          <w:szCs w:val="21"/>
          <w:highlight w:val="none"/>
        </w:rPr>
        <w:t>9.     计量单位</w:t>
      </w:r>
      <w:bookmarkEnd w:id="175"/>
      <w:bookmarkEnd w:id="176"/>
      <w:bookmarkEnd w:id="177"/>
      <w:bookmarkEnd w:id="178"/>
      <w:bookmarkEnd w:id="179"/>
      <w:bookmarkEnd w:id="180"/>
      <w:bookmarkEnd w:id="181"/>
      <w:bookmarkEnd w:id="182"/>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    除在磋商文件的技术规格中另有规定外，计量单位应使用中华人民共和国法定计量单位。</w:t>
      </w:r>
    </w:p>
    <w:p>
      <w:pPr>
        <w:pStyle w:val="5"/>
        <w:rPr>
          <w:rFonts w:ascii="仿宋_GB2312" w:hAnsi="仿宋_GB2312" w:eastAsia="仿宋_GB2312" w:cs="仿宋_GB2312"/>
          <w:b/>
          <w:color w:val="auto"/>
          <w:sz w:val="24"/>
          <w:szCs w:val="21"/>
          <w:highlight w:val="none"/>
        </w:rPr>
      </w:pPr>
      <w:bookmarkStart w:id="183" w:name="_Toc389620177"/>
      <w:bookmarkStart w:id="184" w:name="_Toc249515291"/>
      <w:bookmarkStart w:id="185" w:name="_Toc249525172"/>
      <w:bookmarkStart w:id="186" w:name="_Toc29318"/>
      <w:bookmarkStart w:id="187" w:name="_Toc249515403"/>
      <w:bookmarkStart w:id="188" w:name="_Toc70687152"/>
      <w:bookmarkStart w:id="189" w:name="_Toc184043025"/>
      <w:bookmarkStart w:id="190" w:name="_Toc385992338"/>
      <w:r>
        <w:rPr>
          <w:rFonts w:hint="eastAsia" w:ascii="仿宋_GB2312" w:hAnsi="仿宋_GB2312" w:eastAsia="仿宋_GB2312" w:cs="仿宋_GB2312"/>
          <w:b/>
          <w:color w:val="auto"/>
          <w:sz w:val="24"/>
          <w:szCs w:val="21"/>
          <w:highlight w:val="none"/>
        </w:rPr>
        <w:t>10.    响应文件的组成</w:t>
      </w:r>
      <w:bookmarkEnd w:id="183"/>
      <w:bookmarkEnd w:id="184"/>
      <w:bookmarkEnd w:id="185"/>
      <w:bookmarkEnd w:id="186"/>
      <w:bookmarkEnd w:id="187"/>
      <w:bookmarkEnd w:id="188"/>
      <w:bookmarkEnd w:id="189"/>
      <w:bookmarkEnd w:id="190"/>
    </w:p>
    <w:p>
      <w:pPr>
        <w:tabs>
          <w:tab w:val="left" w:pos="588"/>
        </w:tabs>
        <w:spacing w:line="360" w:lineRule="auto"/>
        <w:ind w:left="840" w:leftChars="0" w:hanging="840" w:hangingChars="350"/>
        <w:rPr>
          <w:rFonts w:ascii="仿宋_GB2312" w:hAnsi="仿宋_GB2312" w:eastAsia="仿宋_GB2312" w:cs="仿宋_GB2312"/>
          <w:i/>
          <w:color w:val="auto"/>
          <w:sz w:val="24"/>
          <w:highlight w:val="none"/>
        </w:rPr>
      </w:pPr>
      <w:r>
        <w:rPr>
          <w:rFonts w:hint="eastAsia" w:ascii="仿宋_GB2312" w:hAnsi="仿宋_GB2312" w:eastAsia="仿宋_GB2312" w:cs="仿宋_GB2312"/>
          <w:color w:val="auto"/>
          <w:sz w:val="24"/>
          <w:highlight w:val="none"/>
        </w:rPr>
        <w:t>10.1   供应商编写的响应文件</w:t>
      </w:r>
      <w:r>
        <w:rPr>
          <w:rFonts w:hint="eastAsia" w:ascii="仿宋_GB2312" w:hAnsi="仿宋_GB2312" w:eastAsia="仿宋_GB2312" w:cs="仿宋_GB2312"/>
          <w:b/>
          <w:color w:val="auto"/>
          <w:sz w:val="24"/>
          <w:highlight w:val="none"/>
        </w:rPr>
        <w:t>由《资格证明文件》、《商务及技术文件》两部分</w:t>
      </w:r>
      <w:r>
        <w:rPr>
          <w:rFonts w:hint="eastAsia" w:ascii="仿宋_GB2312" w:hAnsi="仿宋_GB2312" w:eastAsia="仿宋_GB2312" w:cs="仿宋_GB2312"/>
          <w:color w:val="auto"/>
          <w:sz w:val="24"/>
          <w:highlight w:val="none"/>
        </w:rPr>
        <w:t>组成。供应商应完整地按照磋商文件提供的响应文件格式及要求编写响应文件。响应文件中资格审查和符合性审查涉及的事项不满足要求的，其响应文件将被认定为无效。</w:t>
      </w:r>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10.2   供应商提供的以上材料必须真实有效，任何一项的虚假将导致其响应被拒绝。</w:t>
      </w:r>
    </w:p>
    <w:p>
      <w:pPr>
        <w:pStyle w:val="5"/>
        <w:rPr>
          <w:rFonts w:ascii="仿宋_GB2312" w:hAnsi="仿宋_GB2312" w:eastAsia="仿宋_GB2312" w:cs="仿宋_GB2312"/>
          <w:b/>
          <w:color w:val="auto"/>
          <w:sz w:val="24"/>
          <w:szCs w:val="21"/>
          <w:highlight w:val="none"/>
        </w:rPr>
      </w:pPr>
      <w:bookmarkStart w:id="191" w:name="_Toc249515404"/>
      <w:bookmarkStart w:id="192" w:name="_Toc249525173"/>
      <w:bookmarkStart w:id="193" w:name="_Toc249515292"/>
      <w:bookmarkStart w:id="194" w:name="_Toc26312"/>
      <w:bookmarkStart w:id="195" w:name="_Toc385992339"/>
      <w:bookmarkStart w:id="196" w:name="_Toc389620178"/>
      <w:bookmarkStart w:id="197" w:name="_Toc184043026"/>
      <w:bookmarkStart w:id="198" w:name="_Toc70687153"/>
      <w:r>
        <w:rPr>
          <w:rFonts w:hint="eastAsia" w:ascii="仿宋_GB2312" w:hAnsi="仿宋_GB2312" w:eastAsia="仿宋_GB2312" w:cs="仿宋_GB2312"/>
          <w:b/>
          <w:color w:val="auto"/>
          <w:sz w:val="24"/>
          <w:highlight w:val="none"/>
        </w:rPr>
        <w:t>11.    响应文件格式</w:t>
      </w:r>
      <w:bookmarkEnd w:id="191"/>
      <w:bookmarkEnd w:id="192"/>
      <w:bookmarkEnd w:id="193"/>
      <w:bookmarkEnd w:id="194"/>
      <w:bookmarkEnd w:id="195"/>
      <w:bookmarkEnd w:id="196"/>
      <w:bookmarkEnd w:id="197"/>
      <w:bookmarkEnd w:id="198"/>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11.1   对于磋商文件第六章中已经提供了格式的响应文件内容，供应商必须按提供的响应文件格式进行填写和编制，没有提供格式的可自行设计。</w:t>
      </w:r>
    </w:p>
    <w:p>
      <w:pPr>
        <w:pStyle w:val="5"/>
        <w:rPr>
          <w:rFonts w:ascii="仿宋_GB2312" w:hAnsi="仿宋_GB2312" w:eastAsia="仿宋_GB2312" w:cs="仿宋_GB2312"/>
          <w:b/>
          <w:color w:val="auto"/>
          <w:sz w:val="24"/>
          <w:szCs w:val="21"/>
          <w:highlight w:val="none"/>
        </w:rPr>
      </w:pPr>
      <w:bookmarkStart w:id="199" w:name="_Toc26688"/>
      <w:r>
        <w:rPr>
          <w:rFonts w:hint="eastAsia" w:ascii="仿宋_GB2312" w:hAnsi="仿宋_GB2312" w:eastAsia="仿宋_GB2312" w:cs="仿宋_GB2312"/>
          <w:b/>
          <w:color w:val="auto"/>
          <w:sz w:val="24"/>
          <w:szCs w:val="21"/>
          <w:highlight w:val="none"/>
        </w:rPr>
        <w:t>12.    响应报价</w:t>
      </w:r>
      <w:bookmarkEnd w:id="199"/>
    </w:p>
    <w:p>
      <w:pPr>
        <w:tabs>
          <w:tab w:val="left" w:pos="0"/>
          <w:tab w:val="left" w:pos="540"/>
          <w:tab w:val="left" w:pos="720"/>
        </w:tabs>
        <w:spacing w:line="360" w:lineRule="auto"/>
        <w:ind w:left="840" w:hanging="840" w:hangingChars="350"/>
        <w:rPr>
          <w:rFonts w:ascii="仿宋_GB2312" w:hAnsi="仿宋_GB2312" w:eastAsia="仿宋_GB2312" w:cs="仿宋_GB2312"/>
          <w:color w:val="auto"/>
          <w:highlight w:val="none"/>
        </w:rPr>
      </w:pPr>
      <w:r>
        <w:rPr>
          <w:rFonts w:hint="eastAsia" w:ascii="仿宋_GB2312" w:hAnsi="仿宋_GB2312" w:eastAsia="仿宋_GB2312" w:cs="仿宋_GB2312"/>
          <w:color w:val="auto"/>
          <w:kern w:val="24"/>
          <w:sz w:val="24"/>
          <w:szCs w:val="21"/>
          <w:highlight w:val="none"/>
        </w:rPr>
        <w:t>12.1   响应报价应包括供应商为完成磋商文件中规定的本项目采购内容和范围所需要的全部费用，以及与所报服务相关的所有税费，具体包括但不限于第五章列出的内容。供应商估算错误或漏项的风险一律由供应商承担。见</w:t>
      </w:r>
      <w:r>
        <w:rPr>
          <w:rFonts w:hint="eastAsia" w:ascii="仿宋_GB2312" w:hAnsi="仿宋_GB2312" w:eastAsia="仿宋_GB2312" w:cs="仿宋_GB2312"/>
          <w:b/>
          <w:color w:val="auto"/>
          <w:kern w:val="24"/>
          <w:sz w:val="24"/>
          <w:szCs w:val="21"/>
          <w:highlight w:val="none"/>
        </w:rPr>
        <w:t>供应商须知前附表。</w:t>
      </w:r>
    </w:p>
    <w:p>
      <w:pPr>
        <w:tabs>
          <w:tab w:val="left" w:pos="540"/>
          <w:tab w:val="left" w:pos="840"/>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12.2   供应商应在响应分项报价表中详细列出所报</w:t>
      </w:r>
      <w:r>
        <w:rPr>
          <w:rFonts w:hint="eastAsia" w:ascii="仿宋_GB2312" w:hAnsi="仿宋_GB2312" w:eastAsia="仿宋_GB2312" w:cs="仿宋_GB2312"/>
          <w:color w:val="auto"/>
          <w:sz w:val="24"/>
          <w:highlight w:val="none"/>
        </w:rPr>
        <w:t>服务</w:t>
      </w:r>
      <w:r>
        <w:rPr>
          <w:rFonts w:hint="eastAsia" w:ascii="仿宋_GB2312" w:hAnsi="仿宋_GB2312" w:eastAsia="仿宋_GB2312" w:cs="仿宋_GB2312"/>
          <w:color w:val="auto"/>
          <w:kern w:val="24"/>
          <w:sz w:val="24"/>
          <w:szCs w:val="21"/>
          <w:highlight w:val="none"/>
        </w:rPr>
        <w:t>的单价（如适用）和总价，并由法定代表人或其授权代表签署并加盖公章。响应分项报价表上的价格应按磋商文件第六章的格式填写。</w:t>
      </w:r>
    </w:p>
    <w:p>
      <w:pPr>
        <w:tabs>
          <w:tab w:val="left" w:pos="180"/>
          <w:tab w:val="left" w:pos="540"/>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jc w:val="left"/>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12.5   供应商每次对每种</w:t>
      </w:r>
      <w:r>
        <w:rPr>
          <w:rFonts w:hint="eastAsia" w:ascii="仿宋_GB2312" w:hAnsi="仿宋_GB2312" w:eastAsia="仿宋_GB2312" w:cs="仿宋_GB2312"/>
          <w:color w:val="auto"/>
          <w:kern w:val="24"/>
          <w:sz w:val="24"/>
          <w:szCs w:val="21"/>
          <w:highlight w:val="none"/>
          <w:u w:val="none"/>
        </w:rPr>
        <w:t>服务</w:t>
      </w:r>
      <w:r>
        <w:rPr>
          <w:rFonts w:hint="eastAsia" w:ascii="仿宋_GB2312" w:hAnsi="仿宋_GB2312" w:eastAsia="仿宋_GB2312" w:cs="仿宋_GB2312"/>
          <w:color w:val="auto"/>
          <w:kern w:val="24"/>
          <w:sz w:val="24"/>
          <w:szCs w:val="21"/>
          <w:highlight w:val="none"/>
        </w:rPr>
        <w:t>只允许有一个报价，采购人不接受有任何选择的报价。</w:t>
      </w:r>
    </w:p>
    <w:p>
      <w:pPr>
        <w:tabs>
          <w:tab w:val="left" w:pos="180"/>
          <w:tab w:val="left" w:pos="540"/>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sz w:val="24"/>
          <w:highlight w:val="none"/>
        </w:rPr>
        <w:t>12.6   供应商根据本须知12.2条规定将响应报价分成几部分并按</w:t>
      </w:r>
      <w:r>
        <w:rPr>
          <w:rFonts w:hint="eastAsia" w:ascii="仿宋_GB2312" w:hAnsi="仿宋_GB2312" w:eastAsia="仿宋_GB2312" w:cs="仿宋_GB2312"/>
          <w:color w:val="auto"/>
          <w:kern w:val="24"/>
          <w:sz w:val="24"/>
          <w:szCs w:val="21"/>
          <w:highlight w:val="none"/>
        </w:rPr>
        <w:t>磋商文件第六章提供的格式填写“响应分项报价表”，只是为了方便采购人对响应文件进行比较，并不限制采购人以其它方式签订合同的权力。</w:t>
      </w:r>
    </w:p>
    <w:p>
      <w:pPr>
        <w:pStyle w:val="5"/>
        <w:rPr>
          <w:rFonts w:ascii="仿宋_GB2312" w:hAnsi="仿宋_GB2312" w:eastAsia="仿宋_GB2312" w:cs="仿宋_GB2312"/>
          <w:b/>
          <w:color w:val="auto"/>
          <w:sz w:val="24"/>
          <w:szCs w:val="21"/>
          <w:highlight w:val="none"/>
        </w:rPr>
      </w:pPr>
      <w:bookmarkStart w:id="200" w:name="_Toc249515294"/>
      <w:bookmarkStart w:id="201" w:name="_Toc20687"/>
      <w:bookmarkStart w:id="202" w:name="_Toc249515406"/>
      <w:bookmarkStart w:id="203" w:name="_Toc385992341"/>
      <w:bookmarkStart w:id="204" w:name="_Toc249525175"/>
      <w:bookmarkStart w:id="205" w:name="_Toc389620180"/>
      <w:bookmarkStart w:id="206" w:name="_Toc184043028"/>
      <w:bookmarkStart w:id="207" w:name="_Toc70687155"/>
      <w:r>
        <w:rPr>
          <w:rFonts w:hint="eastAsia" w:ascii="仿宋_GB2312" w:hAnsi="仿宋_GB2312" w:eastAsia="仿宋_GB2312" w:cs="仿宋_GB2312"/>
          <w:b/>
          <w:color w:val="auto"/>
          <w:sz w:val="24"/>
          <w:szCs w:val="21"/>
          <w:highlight w:val="none"/>
        </w:rPr>
        <w:t>13.    报价货币</w:t>
      </w:r>
      <w:bookmarkEnd w:id="200"/>
      <w:bookmarkEnd w:id="201"/>
      <w:bookmarkEnd w:id="202"/>
      <w:bookmarkEnd w:id="203"/>
      <w:bookmarkEnd w:id="204"/>
      <w:bookmarkEnd w:id="205"/>
      <w:bookmarkEnd w:id="206"/>
      <w:bookmarkEnd w:id="207"/>
    </w:p>
    <w:p>
      <w:pPr>
        <w:tabs>
          <w:tab w:val="left" w:pos="180"/>
          <w:tab w:val="left" w:pos="540"/>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12.3   磋商响应函、响应报价一览表、响应分项报价表、最后报价表等所有报价一律用人民币填报。采购人不接受任何非人民币币种的报价。</w:t>
      </w:r>
      <w:bookmarkStart w:id="208" w:name="_Toc389620181"/>
      <w:bookmarkStart w:id="209" w:name="_Toc385992342"/>
    </w:p>
    <w:bookmarkEnd w:id="208"/>
    <w:bookmarkEnd w:id="209"/>
    <w:p>
      <w:pPr>
        <w:pStyle w:val="5"/>
        <w:rPr>
          <w:rFonts w:ascii="仿宋_GB2312" w:hAnsi="仿宋_GB2312" w:eastAsia="仿宋_GB2312" w:cs="仿宋_GB2312"/>
          <w:b/>
          <w:color w:val="auto"/>
          <w:kern w:val="24"/>
          <w:sz w:val="24"/>
          <w:szCs w:val="21"/>
          <w:highlight w:val="none"/>
        </w:rPr>
      </w:pPr>
      <w:bookmarkStart w:id="210" w:name="止观"/>
      <w:bookmarkEnd w:id="210"/>
      <w:r>
        <w:rPr>
          <w:rFonts w:hint="eastAsia" w:ascii="仿宋_GB2312" w:hAnsi="仿宋_GB2312" w:eastAsia="仿宋_GB2312" w:cs="仿宋_GB2312"/>
          <w:b/>
          <w:color w:val="auto"/>
          <w:sz w:val="24"/>
          <w:szCs w:val="21"/>
          <w:highlight w:val="none"/>
        </w:rPr>
        <w:t>14.    磋商保证金</w:t>
      </w:r>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sz w:val="24"/>
          <w:szCs w:val="21"/>
          <w:highlight w:val="none"/>
        </w:rPr>
        <w:t>14.1   本项目须在磋商前向采购代理机构提供</w:t>
      </w:r>
      <w:r>
        <w:rPr>
          <w:rFonts w:hint="eastAsia" w:ascii="仿宋_GB2312" w:hAnsi="仿宋_GB2312" w:eastAsia="仿宋_GB2312" w:cs="仿宋_GB2312"/>
          <w:b/>
          <w:color w:val="auto"/>
          <w:sz w:val="24"/>
          <w:szCs w:val="21"/>
          <w:highlight w:val="none"/>
        </w:rPr>
        <w:t>供应商须知前附表</w:t>
      </w:r>
      <w:r>
        <w:rPr>
          <w:rFonts w:hint="eastAsia" w:ascii="仿宋_GB2312" w:hAnsi="仿宋_GB2312" w:eastAsia="仿宋_GB2312" w:cs="仿宋_GB2312"/>
          <w:color w:val="auto"/>
          <w:sz w:val="24"/>
          <w:szCs w:val="21"/>
          <w:highlight w:val="none"/>
        </w:rPr>
        <w:t>规定金额的保证金，并作为其响应文件的一部分。</w:t>
      </w:r>
    </w:p>
    <w:p>
      <w:pPr>
        <w:tabs>
          <w:tab w:val="left" w:pos="588"/>
        </w:tabs>
        <w:spacing w:line="360" w:lineRule="auto"/>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14.2   保证金的货币为人民币，并采用下列任何一种非现金形式向采购代理机构递交：</w:t>
      </w:r>
    </w:p>
    <w:p>
      <w:pPr>
        <w:numPr>
          <w:ilvl w:val="0"/>
          <w:numId w:val="6"/>
        </w:numPr>
        <w:tabs>
          <w:tab w:val="left" w:pos="588"/>
        </w:tabs>
        <w:spacing w:line="360" w:lineRule="auto"/>
        <w:ind w:hanging="5"/>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电汇；</w:t>
      </w:r>
    </w:p>
    <w:p>
      <w:pPr>
        <w:numPr>
          <w:ilvl w:val="0"/>
          <w:numId w:val="6"/>
        </w:numPr>
        <w:tabs>
          <w:tab w:val="left" w:pos="588"/>
        </w:tabs>
        <w:spacing w:line="360" w:lineRule="auto"/>
        <w:ind w:hanging="5"/>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银行转账；</w:t>
      </w:r>
    </w:p>
    <w:p>
      <w:pPr>
        <w:numPr>
          <w:ilvl w:val="0"/>
          <w:numId w:val="6"/>
        </w:numPr>
        <w:tabs>
          <w:tab w:val="left" w:pos="588"/>
        </w:tabs>
        <w:spacing w:line="360" w:lineRule="auto"/>
        <w:ind w:hanging="5"/>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支票、汇票、本票、金融机构或担保机构出具的保函等非现金形式。</w:t>
      </w:r>
    </w:p>
    <w:p>
      <w:pPr>
        <w:tabs>
          <w:tab w:val="left" w:pos="588"/>
        </w:tabs>
        <w:spacing w:line="360" w:lineRule="auto"/>
        <w:ind w:left="840" w:hanging="840" w:hangingChars="350"/>
        <w:rPr>
          <w:rFonts w:hint="eastAsia"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14.3   保证金以保函形式交纳的，供应商须按磋商文件附件1格式和内容开具保函，并将保函原件附在磋商响应文件中或随磋商响应文件同时递交，否则视为无效文件。</w:t>
      </w:r>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14.4   凡没有根据本须知第14.1条的规定随附保证金的响应文件，将被视为非响应性予以拒绝。</w:t>
      </w:r>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14.5   未成交供应商的保证金, 采购代理机构将在成交通知书发出后5个工作日内退还。</w:t>
      </w:r>
    </w:p>
    <w:p>
      <w:pPr>
        <w:tabs>
          <w:tab w:val="left" w:pos="588"/>
        </w:tabs>
        <w:spacing w:line="360" w:lineRule="auto"/>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14.6   成交供应商的保证金在按本须知第26条规定签订合同后5个工作日退还。</w:t>
      </w:r>
    </w:p>
    <w:p>
      <w:pPr>
        <w:tabs>
          <w:tab w:val="left" w:pos="588"/>
        </w:tabs>
        <w:spacing w:line="360" w:lineRule="auto"/>
        <w:ind w:left="840" w:hanging="840" w:hangingChars="350"/>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7"/>
        </w:numPr>
        <w:tabs>
          <w:tab w:val="left" w:pos="588"/>
        </w:tabs>
        <w:spacing w:line="360" w:lineRule="auto"/>
        <w:ind w:hanging="5"/>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供应商在提交响应文件截止时间后撤销响应文件的；</w:t>
      </w:r>
    </w:p>
    <w:p>
      <w:pPr>
        <w:numPr>
          <w:ilvl w:val="0"/>
          <w:numId w:val="7"/>
        </w:numPr>
        <w:tabs>
          <w:tab w:val="left" w:pos="588"/>
        </w:tabs>
        <w:spacing w:line="360" w:lineRule="auto"/>
        <w:ind w:hanging="5"/>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供应商在响应文件中提供虚假材料的；</w:t>
      </w:r>
    </w:p>
    <w:p>
      <w:pPr>
        <w:numPr>
          <w:ilvl w:val="0"/>
          <w:numId w:val="7"/>
        </w:numPr>
        <w:tabs>
          <w:tab w:val="left" w:pos="588"/>
        </w:tabs>
        <w:spacing w:line="360" w:lineRule="auto"/>
        <w:ind w:hanging="5"/>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 xml:space="preserve">除因不可抗力外，成交供应商在规定期限内未能根据本须知第26条规定签订合同； </w:t>
      </w:r>
    </w:p>
    <w:p>
      <w:pPr>
        <w:numPr>
          <w:ilvl w:val="0"/>
          <w:numId w:val="7"/>
        </w:numPr>
        <w:tabs>
          <w:tab w:val="left" w:pos="588"/>
        </w:tabs>
        <w:spacing w:line="360" w:lineRule="auto"/>
        <w:ind w:hanging="5"/>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供应商与采购人、其他供应商或者采购代理机构恶意串通的；</w:t>
      </w:r>
    </w:p>
    <w:p>
      <w:pPr>
        <w:numPr>
          <w:ilvl w:val="0"/>
          <w:numId w:val="7"/>
        </w:numPr>
        <w:tabs>
          <w:tab w:val="left" w:pos="588"/>
        </w:tabs>
        <w:spacing w:line="360" w:lineRule="auto"/>
        <w:ind w:hanging="5"/>
        <w:rPr>
          <w:rFonts w:ascii="仿宋_GB2312" w:hAnsi="仿宋_GB2312" w:eastAsia="仿宋_GB2312" w:cs="仿宋_GB2312"/>
          <w:color w:val="auto"/>
          <w:kern w:val="24"/>
          <w:sz w:val="24"/>
          <w:szCs w:val="21"/>
          <w:highlight w:val="none"/>
        </w:rPr>
      </w:pPr>
      <w:r>
        <w:rPr>
          <w:rFonts w:hint="eastAsia" w:ascii="仿宋_GB2312" w:hAnsi="仿宋_GB2312" w:eastAsia="仿宋_GB2312" w:cs="仿宋_GB2312"/>
          <w:color w:val="auto"/>
          <w:kern w:val="24"/>
          <w:sz w:val="24"/>
          <w:szCs w:val="21"/>
          <w:highlight w:val="none"/>
        </w:rPr>
        <w:t>成交供应商未按本须知第29条规定缴纳服务费。</w:t>
      </w:r>
    </w:p>
    <w:p>
      <w:pPr>
        <w:pStyle w:val="5"/>
        <w:rPr>
          <w:rFonts w:ascii="仿宋_GB2312" w:hAnsi="仿宋_GB2312" w:eastAsia="仿宋_GB2312" w:cs="仿宋_GB2312"/>
          <w:b/>
          <w:color w:val="auto"/>
          <w:sz w:val="24"/>
          <w:szCs w:val="21"/>
          <w:highlight w:val="none"/>
        </w:rPr>
      </w:pPr>
      <w:bookmarkStart w:id="211" w:name="_Toc249525177"/>
      <w:bookmarkStart w:id="212" w:name="_Toc249515296"/>
      <w:bookmarkStart w:id="213" w:name="_Toc7949"/>
      <w:bookmarkStart w:id="214" w:name="_Toc249515408"/>
      <w:r>
        <w:rPr>
          <w:rFonts w:hint="eastAsia" w:ascii="仿宋_GB2312" w:hAnsi="仿宋_GB2312" w:eastAsia="仿宋_GB2312" w:cs="仿宋_GB2312"/>
          <w:b/>
          <w:color w:val="auto"/>
          <w:sz w:val="24"/>
          <w:szCs w:val="21"/>
          <w:highlight w:val="none"/>
        </w:rPr>
        <w:t>15.    磋商有效期</w:t>
      </w:r>
      <w:bookmarkEnd w:id="211"/>
      <w:bookmarkEnd w:id="212"/>
      <w:bookmarkEnd w:id="213"/>
      <w:bookmarkEnd w:id="214"/>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15.1   磋商有效期见</w:t>
      </w:r>
      <w:r>
        <w:rPr>
          <w:rFonts w:hint="eastAsia" w:ascii="仿宋_GB2312" w:hAnsi="仿宋_GB2312" w:eastAsia="仿宋_GB2312" w:cs="仿宋_GB2312"/>
          <w:b/>
          <w:color w:val="auto"/>
          <w:sz w:val="24"/>
          <w:highlight w:val="none"/>
        </w:rPr>
        <w:t>本须知前附表</w:t>
      </w:r>
      <w:r>
        <w:rPr>
          <w:rFonts w:hint="eastAsia" w:ascii="仿宋_GB2312" w:hAnsi="仿宋_GB2312" w:eastAsia="仿宋_GB2312" w:cs="仿宋_GB2312"/>
          <w:color w:val="auto"/>
          <w:sz w:val="24"/>
          <w:highlight w:val="none"/>
        </w:rPr>
        <w:t>。在磋商有效期内，所有响应文件均保持有效。响应文件的有效期比本须知规定的有效期短的，将被视为非实质响应，采购人有权拒绝。</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pStyle w:val="5"/>
        <w:rPr>
          <w:rFonts w:ascii="仿宋_GB2312" w:hAnsi="仿宋_GB2312" w:eastAsia="仿宋_GB2312" w:cs="仿宋_GB2312"/>
          <w:b/>
          <w:color w:val="auto"/>
          <w:sz w:val="24"/>
          <w:szCs w:val="21"/>
          <w:highlight w:val="none"/>
        </w:rPr>
      </w:pPr>
      <w:bookmarkStart w:id="215" w:name="_Toc249525178"/>
      <w:bookmarkStart w:id="216" w:name="_Toc70687160"/>
      <w:bookmarkStart w:id="217" w:name="_Toc249515297"/>
      <w:bookmarkStart w:id="218" w:name="_Toc16612"/>
      <w:bookmarkStart w:id="219" w:name="_Toc249515409"/>
      <w:bookmarkStart w:id="220" w:name="_Toc385992346"/>
      <w:bookmarkStart w:id="221" w:name="_Toc184043033"/>
      <w:bookmarkStart w:id="222" w:name="_Toc389620185"/>
      <w:r>
        <w:rPr>
          <w:rFonts w:hint="eastAsia" w:ascii="仿宋_GB2312" w:hAnsi="仿宋_GB2312" w:eastAsia="仿宋_GB2312" w:cs="仿宋_GB2312"/>
          <w:b/>
          <w:color w:val="auto"/>
          <w:sz w:val="24"/>
          <w:szCs w:val="21"/>
          <w:highlight w:val="none"/>
        </w:rPr>
        <w:t>16.    响应文件的制作和签署</w:t>
      </w:r>
      <w:bookmarkEnd w:id="215"/>
      <w:bookmarkEnd w:id="216"/>
      <w:bookmarkEnd w:id="217"/>
      <w:bookmarkEnd w:id="218"/>
      <w:bookmarkEnd w:id="219"/>
      <w:bookmarkEnd w:id="220"/>
      <w:bookmarkEnd w:id="221"/>
      <w:bookmarkEnd w:id="222"/>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16.1   供应商应准备一份响应文件正本和“</w:t>
      </w:r>
      <w:r>
        <w:rPr>
          <w:rFonts w:hint="eastAsia" w:ascii="仿宋_GB2312" w:hAnsi="仿宋_GB2312" w:eastAsia="仿宋_GB2312" w:cs="仿宋_GB2312"/>
          <w:b/>
          <w:color w:val="auto"/>
          <w:sz w:val="24"/>
          <w:highlight w:val="none"/>
        </w:rPr>
        <w:t>供应商须知前附表</w:t>
      </w:r>
      <w:r>
        <w:rPr>
          <w:rFonts w:hint="eastAsia" w:ascii="仿宋_GB2312" w:hAnsi="仿宋_GB2312" w:eastAsia="仿宋_GB2312" w:cs="仿宋_GB2312"/>
          <w:color w:val="auto"/>
          <w:sz w:val="24"/>
          <w:highlight w:val="none"/>
        </w:rPr>
        <w:t>”中规定数目的副本，每套响应文件须清楚地标明“正本”、“副本”。若正本和副本不符，以正本为准。</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16.2   响应文件须用中文编写，并采用A4纸张装订成册。装订须牢固，不易拆散和换页，采用软胶装，不得采用活页方式装订，封面不建议硬装。</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16.4   任何行间插字、涂改或增删，必须由响应文件签字人将姓或首字母在旁边签字才有效。</w:t>
      </w:r>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16.5   采购人不接受以电报、电话、传真、电子邮件形式递交的响应文件。</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ascii="仿宋_GB2312" w:hAnsi="仿宋_GB2312" w:eastAsia="仿宋_GB2312" w:cs="仿宋_GB2312"/>
          <w:color w:val="auto"/>
          <w:sz w:val="24"/>
          <w:highlight w:val="none"/>
        </w:rPr>
      </w:pPr>
      <w:bookmarkStart w:id="223" w:name="_Hlt491765640"/>
      <w:bookmarkEnd w:id="223"/>
      <w:bookmarkStart w:id="224" w:name="_Toc389620186"/>
      <w:bookmarkStart w:id="225" w:name="_Toc230583545"/>
      <w:bookmarkStart w:id="226" w:name="_Toc492955419"/>
      <w:bookmarkStart w:id="227" w:name="_Toc385992347"/>
      <w:bookmarkStart w:id="228" w:name="_Toc53722844"/>
      <w:bookmarkStart w:id="229" w:name="_Toc230099801"/>
      <w:bookmarkStart w:id="230" w:name="_Toc230013636"/>
      <w:bookmarkStart w:id="231" w:name="_Toc177995477"/>
      <w:bookmarkStart w:id="232" w:name="_Toc249515410"/>
      <w:bookmarkStart w:id="233" w:name="_Toc500747066"/>
      <w:bookmarkStart w:id="234" w:name="_Toc503063426"/>
      <w:bookmarkStart w:id="235" w:name="_Toc496324583"/>
      <w:bookmarkStart w:id="236" w:name="_Toc70687161"/>
      <w:bookmarkStart w:id="237" w:name="_Toc256342147"/>
      <w:bookmarkStart w:id="238" w:name="_Toc499711888"/>
      <w:bookmarkStart w:id="239" w:name="_Toc184043034"/>
      <w:bookmarkStart w:id="240" w:name="_Toc500746970"/>
      <w:bookmarkStart w:id="241" w:name="_Toc232395216"/>
      <w:bookmarkStart w:id="242" w:name="_Toc177817338"/>
      <w:bookmarkStart w:id="243" w:name="_Toc177189239"/>
      <w:bookmarkStart w:id="244" w:name="_Toc499711047"/>
      <w:bookmarkStart w:id="245" w:name="_Toc232176276"/>
      <w:bookmarkStart w:id="246" w:name="_Toc249525179"/>
      <w:bookmarkStart w:id="247" w:name="_Toc249515298"/>
      <w:bookmarkStart w:id="248" w:name="_Toc176882546"/>
      <w:bookmarkStart w:id="249" w:name="_Toc500747193"/>
      <w:r>
        <w:rPr>
          <w:rFonts w:hint="eastAsia" w:ascii="仿宋_GB2312" w:hAnsi="仿宋_GB2312" w:eastAsia="仿宋_GB2312" w:cs="仿宋_GB2312"/>
          <w:color w:val="auto"/>
          <w:sz w:val="24"/>
          <w:highlight w:val="none"/>
        </w:rPr>
        <w:t>16.7   响应文件应按照“资格证明文件”和“商务及技术文件”分成两部分，并用不可拆装的方式分别装订成册。</w:t>
      </w:r>
    </w:p>
    <w:p>
      <w:pPr>
        <w:pStyle w:val="77"/>
        <w:spacing w:before="24" w:after="24"/>
        <w:jc w:val="center"/>
        <w:rPr>
          <w:rFonts w:ascii="仿宋_GB2312" w:hAnsi="仿宋_GB2312" w:eastAsia="仿宋_GB2312" w:cs="仿宋_GB2312"/>
          <w:color w:val="auto"/>
          <w:sz w:val="30"/>
          <w:szCs w:val="30"/>
          <w:highlight w:val="none"/>
        </w:rPr>
      </w:pPr>
      <w:bookmarkStart w:id="250" w:name="_Toc68590972"/>
      <w:bookmarkStart w:id="251" w:name="_Toc20431"/>
      <w:r>
        <w:rPr>
          <w:rFonts w:hint="eastAsia" w:ascii="仿宋_GB2312" w:hAnsi="仿宋_GB2312" w:eastAsia="仿宋_GB2312" w:cs="仿宋_GB2312"/>
          <w:color w:val="auto"/>
          <w:sz w:val="30"/>
          <w:szCs w:val="30"/>
          <w:highlight w:val="none"/>
        </w:rPr>
        <w:t>四、响应文件的密封和递交</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rPr>
          <w:rFonts w:ascii="仿宋_GB2312" w:hAnsi="仿宋_GB2312" w:eastAsia="仿宋_GB2312" w:cs="仿宋_GB2312"/>
          <w:color w:val="auto"/>
          <w:highlight w:val="none"/>
        </w:rPr>
      </w:pPr>
    </w:p>
    <w:p>
      <w:pPr>
        <w:pStyle w:val="5"/>
        <w:rPr>
          <w:rFonts w:ascii="仿宋_GB2312" w:hAnsi="仿宋_GB2312" w:eastAsia="仿宋_GB2312" w:cs="仿宋_GB2312"/>
          <w:b/>
          <w:color w:val="auto"/>
          <w:sz w:val="24"/>
          <w:szCs w:val="21"/>
          <w:highlight w:val="none"/>
        </w:rPr>
      </w:pPr>
      <w:bookmarkStart w:id="252" w:name="_Toc4042"/>
      <w:bookmarkStart w:id="253" w:name="_Toc249515299"/>
      <w:bookmarkStart w:id="254" w:name="_Toc249515411"/>
      <w:bookmarkStart w:id="255" w:name="_Toc385992348"/>
      <w:bookmarkStart w:id="256" w:name="_Toc184043035"/>
      <w:bookmarkStart w:id="257" w:name="_Toc389620187"/>
      <w:bookmarkStart w:id="258" w:name="_Toc70687162"/>
      <w:bookmarkStart w:id="259" w:name="_Toc249525180"/>
      <w:r>
        <w:rPr>
          <w:rFonts w:hint="eastAsia" w:ascii="仿宋_GB2312" w:hAnsi="仿宋_GB2312" w:eastAsia="仿宋_GB2312" w:cs="仿宋_GB2312"/>
          <w:b/>
          <w:color w:val="auto"/>
          <w:sz w:val="24"/>
          <w:szCs w:val="21"/>
          <w:highlight w:val="none"/>
        </w:rPr>
        <w:t>17.    响应文件的密封和标记</w:t>
      </w:r>
      <w:bookmarkEnd w:id="252"/>
      <w:bookmarkEnd w:id="253"/>
      <w:bookmarkEnd w:id="254"/>
      <w:bookmarkEnd w:id="255"/>
      <w:bookmarkEnd w:id="256"/>
      <w:bookmarkEnd w:id="257"/>
      <w:bookmarkEnd w:id="258"/>
      <w:bookmarkEnd w:id="259"/>
    </w:p>
    <w:p>
      <w:pPr>
        <w:tabs>
          <w:tab w:val="left" w:pos="588"/>
        </w:tabs>
        <w:spacing w:line="360" w:lineRule="auto"/>
        <w:ind w:left="840" w:hanging="840" w:hangingChars="350"/>
        <w:rPr>
          <w:rFonts w:ascii="仿宋_GB2312" w:hAnsi="仿宋_GB2312" w:eastAsia="仿宋_GB2312" w:cs="仿宋_GB2312"/>
          <w:color w:val="auto"/>
          <w:sz w:val="24"/>
          <w:highlight w:val="none"/>
        </w:rPr>
      </w:pPr>
      <w:bookmarkStart w:id="260" w:name="_Toc389620188"/>
      <w:bookmarkStart w:id="261" w:name="_Toc385992349"/>
      <w:bookmarkStart w:id="262" w:name="_Toc70687163"/>
      <w:bookmarkStart w:id="263" w:name="_Toc184043036"/>
      <w:r>
        <w:rPr>
          <w:rFonts w:hint="eastAsia" w:ascii="仿宋_GB2312" w:hAnsi="仿宋_GB2312" w:eastAsia="仿宋_GB2312" w:cs="仿宋_GB2312"/>
          <w:color w:val="auto"/>
          <w:kern w:val="0"/>
          <w:sz w:val="24"/>
          <w:szCs w:val="21"/>
          <w:highlight w:val="none"/>
        </w:rPr>
        <w:t>17.1   供应商应将响应文件“资格证明文件”和“商务及技术文件”分别密封在两个密封袋（箱）中，并在密封袋（箱）上标明“资格证明文件”和“商务及技术文件”字样，封口处应加盖公章或授权代表签字。</w:t>
      </w:r>
    </w:p>
    <w:p>
      <w:pPr>
        <w:tabs>
          <w:tab w:val="left" w:pos="588"/>
        </w:tabs>
        <w:autoSpaceDE w:val="0"/>
        <w:autoSpaceDN w:val="0"/>
        <w:adjustRightInd w:val="0"/>
        <w:spacing w:line="360" w:lineRule="auto"/>
        <w:ind w:left="840" w:hanging="840" w:hangingChars="350"/>
        <w:rPr>
          <w:rFonts w:ascii="仿宋_GB2312" w:hAnsi="仿宋_GB2312" w:eastAsia="仿宋_GB2312" w:cs="仿宋_GB2312"/>
          <w:color w:val="auto"/>
          <w:sz w:val="24"/>
          <w:szCs w:val="21"/>
          <w:highlight w:val="none"/>
        </w:rPr>
      </w:pPr>
      <w:r>
        <w:rPr>
          <w:rFonts w:hint="eastAsia" w:ascii="仿宋_GB2312" w:hAnsi="仿宋_GB2312" w:eastAsia="仿宋_GB2312" w:cs="仿宋_GB2312"/>
          <w:color w:val="auto"/>
          <w:kern w:val="0"/>
          <w:sz w:val="24"/>
          <w:szCs w:val="21"/>
          <w:highlight w:val="none"/>
        </w:rPr>
        <w:t>17.2   密封袋（箱）上标识的内容见</w:t>
      </w:r>
      <w:r>
        <w:rPr>
          <w:rFonts w:hint="eastAsia" w:ascii="仿宋_GB2312" w:hAnsi="仿宋_GB2312" w:eastAsia="仿宋_GB2312" w:cs="仿宋_GB2312"/>
          <w:b/>
          <w:color w:val="auto"/>
          <w:sz w:val="24"/>
          <w:highlight w:val="none"/>
        </w:rPr>
        <w:t>供应商须知前附表。</w:t>
      </w:r>
      <w:r>
        <w:rPr>
          <w:rFonts w:hint="eastAsia" w:ascii="仿宋_GB2312" w:hAnsi="仿宋_GB2312" w:eastAsia="仿宋_GB2312" w:cs="仿宋_GB2312"/>
          <w:color w:val="auto"/>
          <w:sz w:val="24"/>
          <w:szCs w:val="21"/>
          <w:highlight w:val="none"/>
        </w:rPr>
        <w:t>响应文件</w:t>
      </w:r>
      <w:r>
        <w:rPr>
          <w:rFonts w:hint="eastAsia" w:ascii="仿宋_GB2312" w:hAnsi="仿宋_GB2312" w:eastAsia="仿宋_GB2312" w:cs="仿宋_GB2312"/>
          <w:color w:val="auto"/>
          <w:kern w:val="0"/>
          <w:sz w:val="24"/>
          <w:szCs w:val="21"/>
          <w:highlight w:val="none"/>
        </w:rPr>
        <w:t>如果</w:t>
      </w:r>
      <w:r>
        <w:rPr>
          <w:rFonts w:hint="eastAsia" w:ascii="仿宋_GB2312" w:hAnsi="仿宋_GB2312" w:eastAsia="仿宋_GB2312" w:cs="仿宋_GB2312"/>
          <w:color w:val="auto"/>
          <w:sz w:val="24"/>
          <w:szCs w:val="21"/>
          <w:highlight w:val="none"/>
        </w:rPr>
        <w:t>未按上述规定密封和标记，采购代理机构应当拒绝接收。</w:t>
      </w:r>
    </w:p>
    <w:p>
      <w:pPr>
        <w:pStyle w:val="2"/>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_GB2312" w:hAnsi="仿宋_GB2312" w:eastAsia="仿宋_GB2312" w:cs="仿宋_GB2312"/>
          <w:b/>
          <w:color w:val="auto"/>
          <w:sz w:val="24"/>
          <w:highlight w:val="none"/>
        </w:rPr>
        <w:t>供应商须知前附表</w:t>
      </w:r>
      <w:r>
        <w:rPr>
          <w:rFonts w:hint="eastAsia" w:ascii="仿宋_GB2312" w:hAnsi="仿宋_GB2312" w:eastAsia="仿宋_GB2312" w:cs="仿宋_GB2312"/>
          <w:color w:val="auto"/>
          <w:sz w:val="24"/>
          <w:highlight w:val="none"/>
        </w:rPr>
        <w:t>。</w:t>
      </w:r>
    </w:p>
    <w:bookmarkEnd w:id="260"/>
    <w:bookmarkEnd w:id="261"/>
    <w:p>
      <w:pPr>
        <w:pStyle w:val="5"/>
        <w:rPr>
          <w:rFonts w:ascii="仿宋_GB2312" w:hAnsi="仿宋_GB2312" w:eastAsia="仿宋_GB2312" w:cs="仿宋_GB2312"/>
          <w:b/>
          <w:color w:val="auto"/>
          <w:sz w:val="24"/>
          <w:szCs w:val="21"/>
          <w:highlight w:val="none"/>
        </w:rPr>
      </w:pPr>
      <w:bookmarkStart w:id="264" w:name="_Toc249515412"/>
      <w:bookmarkStart w:id="265" w:name="_Toc249525181"/>
      <w:bookmarkStart w:id="266" w:name="_Toc249515300"/>
      <w:bookmarkStart w:id="267" w:name="_Toc31171"/>
      <w:r>
        <w:rPr>
          <w:rFonts w:hint="eastAsia" w:ascii="仿宋_GB2312" w:hAnsi="仿宋_GB2312" w:eastAsia="仿宋_GB2312" w:cs="仿宋_GB2312"/>
          <w:b/>
          <w:color w:val="auto"/>
          <w:sz w:val="24"/>
          <w:szCs w:val="21"/>
          <w:highlight w:val="none"/>
        </w:rPr>
        <w:t>18.    响应文件递交截止时间</w:t>
      </w:r>
      <w:bookmarkEnd w:id="262"/>
      <w:bookmarkEnd w:id="263"/>
      <w:bookmarkEnd w:id="264"/>
      <w:bookmarkEnd w:id="265"/>
      <w:bookmarkEnd w:id="266"/>
      <w:bookmarkEnd w:id="267"/>
    </w:p>
    <w:p>
      <w:pPr>
        <w:tabs>
          <w:tab w:val="left" w:pos="588"/>
        </w:tabs>
        <w:spacing w:line="360" w:lineRule="auto"/>
        <w:rPr>
          <w:rFonts w:ascii="仿宋_GB2312" w:hAnsi="仿宋_GB2312" w:eastAsia="仿宋_GB2312" w:cs="仿宋_GB2312"/>
          <w:color w:val="auto"/>
          <w:sz w:val="24"/>
          <w:highlight w:val="none"/>
        </w:rPr>
      </w:pPr>
      <w:bookmarkStart w:id="268" w:name="_Toc70687164"/>
      <w:bookmarkStart w:id="269" w:name="_Toc385992350"/>
      <w:bookmarkStart w:id="270" w:name="_Toc184043037"/>
      <w:bookmarkStart w:id="271" w:name="_Toc389620189"/>
      <w:r>
        <w:rPr>
          <w:rFonts w:hint="eastAsia" w:ascii="仿宋_GB2312" w:hAnsi="仿宋_GB2312" w:eastAsia="仿宋_GB2312" w:cs="仿宋_GB2312"/>
          <w:color w:val="auto"/>
          <w:sz w:val="24"/>
          <w:highlight w:val="none"/>
        </w:rPr>
        <w:t>18.1   响应文件递交截止时间和地点见</w:t>
      </w:r>
      <w:r>
        <w:rPr>
          <w:rFonts w:hint="eastAsia" w:ascii="仿宋_GB2312" w:hAnsi="仿宋_GB2312" w:eastAsia="仿宋_GB2312" w:cs="仿宋_GB2312"/>
          <w:b/>
          <w:color w:val="auto"/>
          <w:sz w:val="24"/>
          <w:highlight w:val="none"/>
        </w:rPr>
        <w:t>供应商须知前附表</w:t>
      </w:r>
      <w:r>
        <w:rPr>
          <w:rFonts w:hint="eastAsia" w:ascii="仿宋_GB2312" w:hAnsi="仿宋_GB2312" w:eastAsia="仿宋_GB2312" w:cs="仿宋_GB2312"/>
          <w:color w:val="auto"/>
          <w:sz w:val="24"/>
          <w:highlight w:val="none"/>
        </w:rPr>
        <w:t>。</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pPr>
        <w:pStyle w:val="5"/>
        <w:rPr>
          <w:rFonts w:ascii="仿宋_GB2312" w:hAnsi="仿宋_GB2312" w:eastAsia="仿宋_GB2312" w:cs="仿宋_GB2312"/>
          <w:b/>
          <w:color w:val="auto"/>
          <w:sz w:val="24"/>
          <w:szCs w:val="21"/>
          <w:highlight w:val="none"/>
        </w:rPr>
      </w:pPr>
      <w:bookmarkStart w:id="272" w:name="_Toc249525182"/>
      <w:bookmarkStart w:id="273" w:name="_Toc7175"/>
      <w:bookmarkStart w:id="274" w:name="_Toc249515301"/>
      <w:bookmarkStart w:id="275" w:name="_Toc249515413"/>
      <w:r>
        <w:rPr>
          <w:rFonts w:hint="eastAsia" w:ascii="仿宋_GB2312" w:hAnsi="仿宋_GB2312" w:eastAsia="仿宋_GB2312" w:cs="仿宋_GB2312"/>
          <w:b/>
          <w:color w:val="auto"/>
          <w:sz w:val="24"/>
          <w:szCs w:val="21"/>
          <w:highlight w:val="none"/>
        </w:rPr>
        <w:t>19.    迟交的响应文件</w:t>
      </w:r>
      <w:bookmarkEnd w:id="268"/>
      <w:bookmarkEnd w:id="269"/>
      <w:bookmarkEnd w:id="270"/>
      <w:bookmarkEnd w:id="271"/>
      <w:bookmarkEnd w:id="272"/>
      <w:bookmarkEnd w:id="273"/>
      <w:bookmarkEnd w:id="274"/>
      <w:bookmarkEnd w:id="275"/>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   采购人将拒绝接收第18条规定的响应文件递交截止时间后递交的任何响应文件。</w:t>
      </w:r>
    </w:p>
    <w:p>
      <w:pPr>
        <w:pStyle w:val="5"/>
        <w:rPr>
          <w:rFonts w:ascii="仿宋_GB2312" w:hAnsi="仿宋_GB2312" w:eastAsia="仿宋_GB2312" w:cs="仿宋_GB2312"/>
          <w:b/>
          <w:color w:val="auto"/>
          <w:sz w:val="24"/>
          <w:szCs w:val="21"/>
          <w:highlight w:val="none"/>
        </w:rPr>
      </w:pPr>
      <w:bookmarkStart w:id="276" w:name="_Toc249515414"/>
      <w:bookmarkStart w:id="277" w:name="_Toc249515302"/>
      <w:bookmarkStart w:id="278" w:name="_Toc184043038"/>
      <w:bookmarkStart w:id="279" w:name="_Toc385992351"/>
      <w:bookmarkStart w:id="280" w:name="_Toc389620190"/>
      <w:bookmarkStart w:id="281" w:name="_Toc10272"/>
      <w:bookmarkStart w:id="282" w:name="_Toc249525183"/>
      <w:bookmarkStart w:id="283" w:name="_Toc70687165"/>
      <w:r>
        <w:rPr>
          <w:rFonts w:hint="eastAsia" w:ascii="仿宋_GB2312" w:hAnsi="仿宋_GB2312" w:eastAsia="仿宋_GB2312" w:cs="仿宋_GB2312"/>
          <w:b/>
          <w:color w:val="auto"/>
          <w:sz w:val="24"/>
          <w:szCs w:val="21"/>
          <w:highlight w:val="none"/>
        </w:rPr>
        <w:t>20.    响应文件的修改和撤</w:t>
      </w:r>
      <w:bookmarkEnd w:id="276"/>
      <w:bookmarkEnd w:id="277"/>
      <w:bookmarkEnd w:id="278"/>
      <w:bookmarkEnd w:id="279"/>
      <w:bookmarkEnd w:id="280"/>
      <w:bookmarkEnd w:id="281"/>
      <w:bookmarkEnd w:id="282"/>
      <w:bookmarkEnd w:id="283"/>
      <w:r>
        <w:rPr>
          <w:rFonts w:hint="eastAsia" w:ascii="仿宋_GB2312" w:hAnsi="仿宋_GB2312" w:eastAsia="仿宋_GB2312" w:cs="仿宋_GB2312"/>
          <w:b/>
          <w:color w:val="auto"/>
          <w:sz w:val="24"/>
          <w:szCs w:val="21"/>
          <w:highlight w:val="none"/>
        </w:rPr>
        <w:t>回</w:t>
      </w:r>
    </w:p>
    <w:p>
      <w:pPr>
        <w:tabs>
          <w:tab w:val="left" w:pos="588"/>
        </w:tabs>
        <w:spacing w:line="360" w:lineRule="auto"/>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   供应商对响应文件修改的书面材料或撤回的通知应按第16和17条规定进行编写、密封、标注和递送，并注明“修改响应文件”或“撤回响应文件”字样。</w:t>
      </w:r>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   在响应文件递交截止时间之后，供应商不得对其响应文件做任何修改。</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20.3   供应商不得在响应文件递交截止时间起至响应文件有效期期满前撤销其响应文件。</w:t>
      </w:r>
    </w:p>
    <w:p>
      <w:pPr>
        <w:pStyle w:val="77"/>
        <w:spacing w:before="24" w:after="24"/>
        <w:ind w:left="3313"/>
        <w:rPr>
          <w:rFonts w:ascii="仿宋_GB2312" w:hAnsi="仿宋_GB2312" w:eastAsia="仿宋_GB2312" w:cs="仿宋_GB2312"/>
          <w:color w:val="auto"/>
          <w:sz w:val="30"/>
          <w:szCs w:val="30"/>
          <w:highlight w:val="none"/>
        </w:rPr>
      </w:pPr>
      <w:bookmarkStart w:id="284" w:name="_Hlt497729441"/>
      <w:bookmarkEnd w:id="284"/>
      <w:bookmarkStart w:id="285" w:name="_Hlt491765712"/>
      <w:bookmarkEnd w:id="285"/>
      <w:bookmarkStart w:id="286" w:name="_Toc249525184"/>
      <w:bookmarkStart w:id="287" w:name="_Toc256342148"/>
      <w:bookmarkStart w:id="288" w:name="_Toc249515415"/>
      <w:bookmarkStart w:id="289" w:name="_Toc249515303"/>
      <w:bookmarkStart w:id="290" w:name="_Toc2269"/>
      <w:bookmarkStart w:id="291" w:name="_Toc68590973"/>
      <w:bookmarkStart w:id="292" w:name="_Toc177189240"/>
      <w:bookmarkStart w:id="293" w:name="_Toc500747067"/>
      <w:bookmarkStart w:id="294" w:name="_Toc499711048"/>
      <w:bookmarkStart w:id="295" w:name="_Toc184043039"/>
      <w:bookmarkStart w:id="296" w:name="_Toc177995478"/>
      <w:bookmarkStart w:id="297" w:name="_Toc503063427"/>
      <w:bookmarkStart w:id="298" w:name="_Toc492955420"/>
      <w:bookmarkStart w:id="299" w:name="_Toc389620191"/>
      <w:bookmarkStart w:id="300" w:name="_Toc177817339"/>
      <w:bookmarkStart w:id="301" w:name="_Toc53722845"/>
      <w:bookmarkStart w:id="302" w:name="_Toc385992352"/>
      <w:bookmarkStart w:id="303" w:name="_Toc499711889"/>
      <w:bookmarkStart w:id="304" w:name="_Toc496324584"/>
      <w:bookmarkStart w:id="305" w:name="_Toc500746971"/>
      <w:bookmarkStart w:id="306" w:name="_Toc176882547"/>
      <w:bookmarkStart w:id="307" w:name="_Toc500747194"/>
      <w:bookmarkStart w:id="308" w:name="_Toc70687166"/>
      <w:r>
        <w:rPr>
          <w:rFonts w:hint="eastAsia" w:ascii="仿宋_GB2312" w:hAnsi="仿宋_GB2312" w:eastAsia="仿宋_GB2312" w:cs="仿宋_GB2312"/>
          <w:color w:val="auto"/>
          <w:sz w:val="30"/>
          <w:szCs w:val="30"/>
          <w:highlight w:val="none"/>
        </w:rPr>
        <w:t>五、评审与</w:t>
      </w:r>
      <w:bookmarkEnd w:id="286"/>
      <w:bookmarkEnd w:id="287"/>
      <w:bookmarkEnd w:id="288"/>
      <w:bookmarkEnd w:id="289"/>
      <w:r>
        <w:rPr>
          <w:rFonts w:hint="eastAsia" w:ascii="仿宋_GB2312" w:hAnsi="仿宋_GB2312" w:eastAsia="仿宋_GB2312" w:cs="仿宋_GB2312"/>
          <w:color w:val="auto"/>
          <w:sz w:val="30"/>
          <w:szCs w:val="30"/>
          <w:highlight w:val="none"/>
        </w:rPr>
        <w:t>磋商</w:t>
      </w:r>
      <w:bookmarkEnd w:id="290"/>
      <w:bookmarkEnd w:id="291"/>
    </w:p>
    <w:p>
      <w:pPr>
        <w:pStyle w:val="5"/>
        <w:numPr>
          <w:ilvl w:val="0"/>
          <w:numId w:val="8"/>
        </w:numPr>
        <w:rPr>
          <w:rFonts w:ascii="仿宋_GB2312" w:hAnsi="仿宋_GB2312" w:eastAsia="仿宋_GB2312" w:cs="仿宋_GB2312"/>
          <w:b/>
          <w:color w:val="auto"/>
          <w:sz w:val="24"/>
          <w:highlight w:val="none"/>
        </w:rPr>
      </w:pPr>
      <w:bookmarkStart w:id="309" w:name="_Toc249515417"/>
      <w:bookmarkStart w:id="310" w:name="_Toc249515305"/>
      <w:bookmarkStart w:id="311" w:name="_Toc16042"/>
      <w:bookmarkStart w:id="312" w:name="_Toc249525186"/>
      <w:r>
        <w:rPr>
          <w:rFonts w:hint="eastAsia" w:ascii="仿宋_GB2312" w:hAnsi="仿宋_GB2312" w:eastAsia="仿宋_GB2312" w:cs="仿宋_GB2312"/>
          <w:b/>
          <w:color w:val="auto"/>
          <w:sz w:val="24"/>
          <w:highlight w:val="none"/>
        </w:rPr>
        <w:t xml:space="preserve">   磋商小组</w:t>
      </w:r>
      <w:bookmarkEnd w:id="309"/>
      <w:bookmarkEnd w:id="310"/>
      <w:bookmarkEnd w:id="311"/>
      <w:bookmarkEnd w:id="312"/>
    </w:p>
    <w:p>
      <w:pPr>
        <w:pStyle w:val="28"/>
        <w:adjustRightInd w:val="0"/>
        <w:snapToGrid w:val="0"/>
        <w:ind w:left="840" w:hanging="840" w:hangingChars="35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szCs w:val="24"/>
          <w:highlight w:val="none"/>
        </w:rPr>
        <w:t>21.1   在磋商开始前组建磋商小组，磋商小组由采购人代表和有关专家组成。专家从政府采购评审专家库相关专业中随机抽取。磋商小组组成见</w:t>
      </w:r>
      <w:r>
        <w:rPr>
          <w:rFonts w:hint="eastAsia" w:ascii="仿宋_GB2312" w:hAnsi="仿宋_GB2312" w:eastAsia="仿宋_GB2312" w:cs="仿宋_GB2312"/>
          <w:b/>
          <w:color w:val="auto"/>
          <w:sz w:val="24"/>
          <w:highlight w:val="none"/>
        </w:rPr>
        <w:t>供应商须知前附表。</w:t>
      </w:r>
    </w:p>
    <w:p>
      <w:pPr>
        <w:pStyle w:val="28"/>
        <w:adjustRightInd w:val="0"/>
        <w:snapToGrid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21.2   磋商小组职责</w:t>
      </w:r>
    </w:p>
    <w:p>
      <w:pPr>
        <w:pStyle w:val="28"/>
        <w:adjustRightInd w:val="0"/>
        <w:snapToGrid w:val="0"/>
        <w:ind w:left="840" w:left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（1）确认竞争性磋商文件；</w:t>
      </w:r>
    </w:p>
    <w:p>
      <w:pPr>
        <w:pStyle w:val="28"/>
        <w:adjustRightInd w:val="0"/>
        <w:snapToGrid w:val="0"/>
        <w:ind w:left="840" w:left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（2）审查通过了资格审查的供应商响应文件并做出评价；</w:t>
      </w:r>
    </w:p>
    <w:p>
      <w:pPr>
        <w:pStyle w:val="28"/>
        <w:adjustRightInd w:val="0"/>
        <w:snapToGrid w:val="0"/>
        <w:ind w:left="840" w:left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（3）要求供应商解释或者澄清其响应文件；</w:t>
      </w:r>
    </w:p>
    <w:p>
      <w:pPr>
        <w:pStyle w:val="28"/>
        <w:adjustRightInd w:val="0"/>
        <w:snapToGrid w:val="0"/>
        <w:ind w:left="840" w:left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（4）编写评审报告；</w:t>
      </w:r>
    </w:p>
    <w:p>
      <w:pPr>
        <w:pStyle w:val="28"/>
        <w:adjustRightInd w:val="0"/>
        <w:snapToGrid w:val="0"/>
        <w:ind w:left="840" w:left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（5）告知采购人、采购代理机构在评审过程中发现的供应商的违法违规行为。</w:t>
      </w:r>
    </w:p>
    <w:p>
      <w:pPr>
        <w:pStyle w:val="28"/>
        <w:adjustRightInd w:val="0"/>
        <w:snapToGrid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   磋商小组义务</w:t>
      </w:r>
    </w:p>
    <w:p>
      <w:pPr>
        <w:pStyle w:val="28"/>
        <w:adjustRightInd w:val="0"/>
        <w:snapToGrid w:val="0"/>
        <w:ind w:left="838" w:leftChars="399"/>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（1）遵纪客观、公正、审慎的原则；</w:t>
      </w:r>
    </w:p>
    <w:p>
      <w:pPr>
        <w:pStyle w:val="28"/>
        <w:adjustRightInd w:val="0"/>
        <w:snapToGrid w:val="0"/>
        <w:ind w:left="838" w:leftChars="399"/>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（2）根据磋商文件的规定评审程序、评审方法和评审标准独立进行评审，对个人的评审意见承担法律责任；</w:t>
      </w:r>
    </w:p>
    <w:p>
      <w:pPr>
        <w:pStyle w:val="28"/>
        <w:adjustRightInd w:val="0"/>
        <w:snapToGrid w:val="0"/>
        <w:ind w:left="838" w:leftChars="399"/>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（3）参与评审报告的起草；</w:t>
      </w:r>
    </w:p>
    <w:p>
      <w:pPr>
        <w:pStyle w:val="28"/>
        <w:adjustRightInd w:val="0"/>
        <w:snapToGrid w:val="0"/>
        <w:ind w:left="838" w:leftChars="399"/>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（4）配合采购人、采购代理机构答复供应商提出的质疑；</w:t>
      </w:r>
    </w:p>
    <w:p>
      <w:pPr>
        <w:pStyle w:val="28"/>
        <w:adjustRightInd w:val="0"/>
        <w:snapToGrid w:val="0"/>
        <w:ind w:left="838" w:leftChars="399"/>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（5）配合财政部门的投诉处理和监督检查工作。</w:t>
      </w:r>
    </w:p>
    <w:p>
      <w:pPr>
        <w:pStyle w:val="28"/>
        <w:adjustRightInd w:val="0"/>
        <w:snapToGrid w:val="0"/>
        <w:ind w:left="840" w:hanging="840" w:hangingChars="35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21.4   确认磋商文件：磋商小组对磋商文件进行审阅，无修改进行签字确认，有修改，修改内容经采购人确认后，磋商小组以书面形式通知所有供应商。</w:t>
      </w:r>
    </w:p>
    <w:p>
      <w:pPr>
        <w:pStyle w:val="5"/>
        <w:rPr>
          <w:rFonts w:ascii="仿宋_GB2312" w:hAnsi="仿宋_GB2312" w:eastAsia="仿宋_GB2312" w:cs="仿宋_GB2312"/>
          <w:b/>
          <w:color w:val="auto"/>
          <w:sz w:val="24"/>
          <w:szCs w:val="21"/>
          <w:highlight w:val="none"/>
        </w:rPr>
      </w:pPr>
      <w:r>
        <w:rPr>
          <w:rFonts w:hint="eastAsia" w:ascii="仿宋_GB2312" w:hAnsi="仿宋_GB2312" w:eastAsia="仿宋_GB2312" w:cs="仿宋_GB2312"/>
          <w:b/>
          <w:color w:val="auto"/>
          <w:sz w:val="24"/>
          <w:szCs w:val="21"/>
          <w:highlight w:val="none"/>
        </w:rPr>
        <w:t>22.    磋商小组成员有下列情形之一的，应当回避：</w:t>
      </w:r>
    </w:p>
    <w:p>
      <w:pPr>
        <w:pStyle w:val="5"/>
        <w:tabs>
          <w:tab w:val="left" w:pos="360"/>
        </w:tabs>
        <w:rPr>
          <w:rFonts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22.1   参加采购活动前3年内与供应商存在劳动关系；</w:t>
      </w:r>
    </w:p>
    <w:p>
      <w:pPr>
        <w:pStyle w:val="5"/>
        <w:tabs>
          <w:tab w:val="left" w:pos="360"/>
        </w:tabs>
        <w:rPr>
          <w:rFonts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22.2   参加采购活动前3年内担任供应商的董事、监事；</w:t>
      </w:r>
    </w:p>
    <w:p>
      <w:pPr>
        <w:pStyle w:val="5"/>
        <w:tabs>
          <w:tab w:val="left" w:pos="360"/>
        </w:tabs>
        <w:rPr>
          <w:rFonts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22.3   参加采购活动前3年内是供应商的控股股东或者实际控制人；</w:t>
      </w:r>
    </w:p>
    <w:p>
      <w:pPr>
        <w:pStyle w:val="5"/>
        <w:tabs>
          <w:tab w:val="left" w:pos="360"/>
        </w:tabs>
        <w:ind w:left="840" w:hanging="840" w:hangingChars="350"/>
        <w:rPr>
          <w:rFonts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22.4   与供应商的法定代表人或者负责人有夫妻、直系血亲、三代以内旁系血亲或者近姻亲关系；</w:t>
      </w:r>
    </w:p>
    <w:p>
      <w:pPr>
        <w:pStyle w:val="5"/>
        <w:tabs>
          <w:tab w:val="left" w:pos="360"/>
        </w:tabs>
        <w:rPr>
          <w:rFonts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22.5   与供应商有其他可能影响政府采购活动公平、公正进行的关系。</w:t>
      </w:r>
    </w:p>
    <w:p>
      <w:pPr>
        <w:pStyle w:val="5"/>
        <w:rPr>
          <w:rFonts w:ascii="仿宋_GB2312" w:hAnsi="仿宋_GB2312" w:eastAsia="仿宋_GB2312" w:cs="仿宋_GB2312"/>
          <w:b/>
          <w:color w:val="auto"/>
          <w:sz w:val="24"/>
          <w:szCs w:val="21"/>
          <w:highlight w:val="none"/>
        </w:rPr>
      </w:pPr>
      <w:bookmarkStart w:id="313" w:name="_Toc249515306"/>
      <w:bookmarkStart w:id="314" w:name="_Toc249515418"/>
      <w:bookmarkStart w:id="315" w:name="_Toc83547667"/>
      <w:bookmarkStart w:id="316" w:name="_Toc249525187"/>
      <w:bookmarkStart w:id="317" w:name="_Toc20608"/>
      <w:r>
        <w:rPr>
          <w:rFonts w:hint="eastAsia" w:ascii="仿宋_GB2312" w:hAnsi="仿宋_GB2312" w:eastAsia="仿宋_GB2312" w:cs="仿宋_GB2312"/>
          <w:b/>
          <w:color w:val="auto"/>
          <w:sz w:val="24"/>
          <w:szCs w:val="21"/>
          <w:highlight w:val="none"/>
        </w:rPr>
        <w:t>23.    磋商程序</w:t>
      </w:r>
    </w:p>
    <w:p>
      <w:pPr>
        <w:pStyle w:val="5"/>
        <w:tabs>
          <w:tab w:val="left" w:pos="360"/>
        </w:tabs>
        <w:rPr>
          <w:rFonts w:ascii="仿宋_GB2312" w:hAnsi="仿宋_GB2312" w:eastAsia="仿宋_GB2312" w:cs="仿宋_GB2312"/>
          <w:b/>
          <w:color w:val="auto"/>
          <w:sz w:val="24"/>
          <w:szCs w:val="21"/>
          <w:highlight w:val="none"/>
        </w:rPr>
      </w:pPr>
      <w:bookmarkStart w:id="318" w:name="_Toc58504507"/>
      <w:r>
        <w:rPr>
          <w:rFonts w:hint="eastAsia" w:ascii="仿宋_GB2312" w:hAnsi="仿宋_GB2312" w:eastAsia="仿宋_GB2312" w:cs="仿宋_GB2312"/>
          <w:b/>
          <w:color w:val="auto"/>
          <w:sz w:val="24"/>
          <w:szCs w:val="21"/>
          <w:highlight w:val="none"/>
        </w:rPr>
        <w:t>23.1   磋商会议</w:t>
      </w:r>
      <w:bookmarkEnd w:id="318"/>
    </w:p>
    <w:p>
      <w:pPr>
        <w:pStyle w:val="2"/>
        <w:ind w:left="840" w:leftChars="400"/>
        <w:rPr>
          <w:rFonts w:ascii="仿宋_GB2312" w:hAnsi="仿宋_GB2312" w:eastAsia="仿宋_GB2312" w:cs="仿宋_GB2312"/>
          <w:color w:val="auto"/>
          <w:sz w:val="24"/>
          <w:szCs w:val="32"/>
          <w:highlight w:val="none"/>
        </w:rPr>
      </w:pPr>
      <w:bookmarkStart w:id="319" w:name="_Toc58504508"/>
      <w:r>
        <w:rPr>
          <w:rFonts w:hint="eastAsia" w:ascii="仿宋_GB2312" w:hAnsi="仿宋_GB2312" w:eastAsia="仿宋_GB2312" w:cs="仿宋_GB2312"/>
          <w:color w:val="auto"/>
          <w:sz w:val="24"/>
          <w:szCs w:val="32"/>
          <w:highlight w:val="none"/>
        </w:rPr>
        <w:t>（1）在磋商文件规定的时间和地点，由采购代理机构组织磋商工作，供应商须委派代表参加，签名以证明其出席。</w:t>
      </w:r>
      <w:bookmarkEnd w:id="319"/>
    </w:p>
    <w:p>
      <w:pPr>
        <w:pStyle w:val="2"/>
        <w:ind w:left="840" w:leftChars="400"/>
        <w:rPr>
          <w:rFonts w:ascii="仿宋_GB2312" w:hAnsi="仿宋_GB2312" w:eastAsia="仿宋_GB2312" w:cs="仿宋_GB2312"/>
          <w:color w:val="auto"/>
          <w:sz w:val="24"/>
          <w:szCs w:val="32"/>
          <w:highlight w:val="none"/>
        </w:rPr>
      </w:pPr>
      <w:bookmarkStart w:id="320" w:name="_Toc58504509"/>
      <w:r>
        <w:rPr>
          <w:rFonts w:hint="eastAsia" w:ascii="仿宋_GB2312" w:hAnsi="仿宋_GB2312" w:eastAsia="仿宋_GB2312" w:cs="仿宋_GB2312"/>
          <w:color w:val="auto"/>
          <w:sz w:val="24"/>
          <w:szCs w:val="32"/>
          <w:highlight w:val="none"/>
        </w:rPr>
        <w:t>（2）各供应商或其推荐的代表与采购监督人共同检查响应文件的密封情况，经检查无误后，签字确认。</w:t>
      </w:r>
      <w:bookmarkEnd w:id="320"/>
    </w:p>
    <w:p>
      <w:pPr>
        <w:pStyle w:val="2"/>
        <w:ind w:left="840" w:leftChars="400"/>
        <w:rPr>
          <w:rFonts w:ascii="仿宋_GB2312" w:hAnsi="仿宋_GB2312" w:eastAsia="仿宋_GB2312" w:cs="仿宋_GB2312"/>
          <w:color w:val="auto"/>
          <w:sz w:val="24"/>
          <w:szCs w:val="32"/>
          <w:highlight w:val="none"/>
        </w:rPr>
      </w:pPr>
      <w:bookmarkStart w:id="321" w:name="_Toc58504510"/>
      <w:r>
        <w:rPr>
          <w:rFonts w:hint="eastAsia" w:ascii="仿宋_GB2312" w:hAnsi="仿宋_GB2312" w:eastAsia="仿宋_GB2312" w:cs="仿宋_GB2312"/>
          <w:color w:val="auto"/>
          <w:sz w:val="24"/>
          <w:szCs w:val="32"/>
          <w:highlight w:val="none"/>
        </w:rPr>
        <w:t>（3）采购代理机构工作人员按照顺序，将各供应商首次响应文件的份数等内容公布，无异议后，由供应商法定代表人（或授权代表人）和监督人签字确认。</w:t>
      </w:r>
      <w:bookmarkEnd w:id="321"/>
    </w:p>
    <w:p>
      <w:pPr>
        <w:pStyle w:val="5"/>
        <w:tabs>
          <w:tab w:val="left" w:pos="360"/>
        </w:tabs>
        <w:rPr>
          <w:rFonts w:ascii="仿宋_GB2312" w:hAnsi="仿宋_GB2312" w:eastAsia="仿宋_GB2312" w:cs="仿宋_GB2312"/>
          <w:b/>
          <w:color w:val="auto"/>
          <w:sz w:val="24"/>
          <w:szCs w:val="21"/>
          <w:highlight w:val="none"/>
        </w:rPr>
      </w:pPr>
      <w:bookmarkStart w:id="322" w:name="_Toc58504511"/>
      <w:r>
        <w:rPr>
          <w:rFonts w:hint="eastAsia" w:ascii="仿宋_GB2312" w:hAnsi="仿宋_GB2312" w:eastAsia="仿宋_GB2312" w:cs="仿宋_GB2312"/>
          <w:b/>
          <w:color w:val="auto"/>
          <w:sz w:val="24"/>
          <w:szCs w:val="21"/>
          <w:highlight w:val="none"/>
        </w:rPr>
        <w:t>23.2   响应文件</w:t>
      </w:r>
      <w:bookmarkEnd w:id="313"/>
      <w:bookmarkEnd w:id="314"/>
      <w:bookmarkEnd w:id="315"/>
      <w:bookmarkEnd w:id="316"/>
      <w:bookmarkEnd w:id="317"/>
      <w:r>
        <w:rPr>
          <w:rFonts w:hint="eastAsia" w:ascii="仿宋_GB2312" w:hAnsi="仿宋_GB2312" w:eastAsia="仿宋_GB2312" w:cs="仿宋_GB2312"/>
          <w:b/>
          <w:color w:val="auto"/>
          <w:sz w:val="24"/>
          <w:szCs w:val="21"/>
          <w:highlight w:val="none"/>
        </w:rPr>
        <w:t>评审</w:t>
      </w:r>
      <w:bookmarkEnd w:id="322"/>
    </w:p>
    <w:p>
      <w:pPr>
        <w:tabs>
          <w:tab w:val="left" w:pos="360"/>
          <w:tab w:val="left" w:pos="588"/>
        </w:tabs>
        <w:spacing w:line="360" w:lineRule="auto"/>
        <w:ind w:left="843" w:hanging="843" w:hangingChars="350"/>
        <w:rPr>
          <w:rFonts w:ascii="仿宋_GB2312" w:hAnsi="仿宋_GB2312" w:eastAsia="仿宋_GB2312" w:cs="仿宋_GB2312"/>
          <w:color w:val="auto"/>
          <w:sz w:val="24"/>
          <w:highlight w:val="none"/>
        </w:rPr>
      </w:pPr>
      <w:bookmarkStart w:id="323" w:name="_Toc83547671"/>
      <w:r>
        <w:rPr>
          <w:rFonts w:hint="eastAsia" w:ascii="仿宋_GB2312" w:hAnsi="仿宋_GB2312" w:eastAsia="仿宋_GB2312" w:cs="仿宋_GB2312"/>
          <w:b/>
          <w:color w:val="auto"/>
          <w:sz w:val="24"/>
          <w:highlight w:val="none"/>
        </w:rPr>
        <w:t>23.2.1</w:t>
      </w:r>
      <w:r>
        <w:rPr>
          <w:rFonts w:hint="eastAsia" w:ascii="仿宋_GB2312" w:hAnsi="仿宋_GB2312" w:eastAsia="仿宋_GB2312" w:cs="仿宋_GB2312"/>
          <w:b/>
          <w:i/>
          <w:color w:val="auto"/>
          <w:sz w:val="24"/>
          <w:highlight w:val="none"/>
        </w:rPr>
        <w:t xml:space="preserve"> </w:t>
      </w:r>
      <w:r>
        <w:rPr>
          <w:rFonts w:hint="eastAsia" w:ascii="仿宋_GB2312" w:hAnsi="仿宋_GB2312" w:eastAsia="仿宋_GB2312" w:cs="仿宋_GB2312"/>
          <w:b/>
          <w:color w:val="auto"/>
          <w:sz w:val="24"/>
          <w:highlight w:val="none"/>
        </w:rPr>
        <w:t>响应文件的资格性审查</w:t>
      </w:r>
      <w:r>
        <w:rPr>
          <w:rFonts w:hint="eastAsia" w:ascii="仿宋_GB2312" w:hAnsi="仿宋_GB2312" w:eastAsia="仿宋_GB2312" w:cs="仿宋_GB2312"/>
          <w:color w:val="auto"/>
          <w:sz w:val="24"/>
          <w:highlight w:val="none"/>
        </w:rPr>
        <w:t>。依据《政府采购法》第二十三条和磋商文件的规定，</w:t>
      </w:r>
      <w:r>
        <w:rPr>
          <w:rFonts w:hint="eastAsia" w:ascii="仿宋_GB2312" w:hAnsi="仿宋_GB2312" w:eastAsia="仿宋_GB2312" w:cs="仿宋_GB2312"/>
          <w:b/>
          <w:color w:val="auto"/>
          <w:sz w:val="24"/>
          <w:highlight w:val="none"/>
        </w:rPr>
        <w:t>采购人或采购代理机构负责</w:t>
      </w:r>
      <w:r>
        <w:rPr>
          <w:rFonts w:hint="eastAsia" w:ascii="仿宋_GB2312" w:hAnsi="仿宋_GB2312" w:eastAsia="仿宋_GB2312" w:cs="仿宋_GB2312"/>
          <w:color w:val="auto"/>
          <w:sz w:val="24"/>
          <w:highlight w:val="none"/>
        </w:rPr>
        <w:t>对响应文件中的资格证明文件、信用查询记录等进行审查，以确认供应商具备相应资格。资格性审查出现下列情况者（但不限于），按无效文件处理：</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1）供应商不符合《中华人民共和国政府采购法》第二十二条的规定和特定资格条件要求的。</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（2）供应商没有经过正常渠道购买磋商文件或供应商的名称与登记领取磋商文件单位的名称不符。</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（4）信用查询中列入失信被执行人、重大税收违法案件当事人名单、政府采购严重违法失信行为记录名单及其他不符合《中华人民共和国政府采购法》第二十二条规定条件的供应商。</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（5）采购人或采购代理机构通过“信用中国”网站(www.creditchina.gov.cn)、中国政府采购网(www.ccgp.gov.cn) 等查询相关主体信用记录，并将查询网页打印、存档备查。</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（6）查询时间为磋商文件发售期至评审截止时间前，此段时间段外，网站信息发生的任何变更均不作为资格审查依据。</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供应商不良信用记录以采购人或采购代理机构查询结果为准。供应商自行提供的与网站信息不一致的其他证明材料亦不作为资格审查依据。</w:t>
      </w:r>
    </w:p>
    <w:p>
      <w:pPr>
        <w:pStyle w:val="2"/>
        <w:ind w:left="843" w:hanging="843" w:hangingChars="35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23.2.2 磋商响应文件有效性、完整性和响应程度审查：磋商小组</w:t>
      </w:r>
      <w:r>
        <w:rPr>
          <w:rFonts w:hint="eastAsia" w:ascii="仿宋_GB2312" w:hAnsi="仿宋_GB2312" w:eastAsia="仿宋_GB2312" w:cs="仿宋_GB2312"/>
          <w:color w:val="auto"/>
          <w:sz w:val="24"/>
          <w:highlight w:val="none"/>
        </w:rPr>
        <w:t>负责对通过资格审查的响应文件的有效性、完整性和响应性进行审查，以确定是否满足磋商文件要求，出现下列情况者（但不限于），按无效文件处理。</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（1）供应商未按磋商文件要求加盖单位公章；</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（2）磋商响应文件未按磋商文件要求进行法定代表人或其授权代表签字；</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（3）无有效期或有效期达不到磋商文件的要求。</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（4）供应商首次磋商报价出现选择性报价。</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（5）首次磋商报价超出采购预算；</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（6）响应文件中对合同草案条款附加了采购人难以接受的条件。</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（7）磋商内容出现漏项或数量与要求不符，出现重大负偏差。</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（8）响应文件中</w:t>
      </w:r>
      <w:r>
        <w:rPr>
          <w:rFonts w:hint="eastAsia" w:ascii="仿宋_GB2312" w:hAnsi="仿宋_GB2312" w:eastAsia="仿宋_GB2312" w:cs="仿宋_GB2312"/>
          <w:color w:val="auto"/>
          <w:sz w:val="24"/>
          <w:highlight w:val="none"/>
          <w:lang w:val="en-US" w:eastAsia="zh-CN"/>
        </w:rPr>
        <w:t>服务</w:t>
      </w:r>
      <w:r>
        <w:rPr>
          <w:rFonts w:hint="eastAsia" w:ascii="仿宋_GB2312" w:hAnsi="仿宋_GB2312" w:eastAsia="仿宋_GB2312" w:cs="仿宋_GB2312"/>
          <w:color w:val="auto"/>
          <w:sz w:val="24"/>
          <w:highlight w:val="none"/>
        </w:rPr>
        <w:t>指标达不到采购要求，降低了</w:t>
      </w:r>
      <w:r>
        <w:rPr>
          <w:rFonts w:hint="eastAsia" w:ascii="仿宋_GB2312" w:hAnsi="仿宋_GB2312" w:eastAsia="仿宋_GB2312" w:cs="仿宋_GB2312"/>
          <w:color w:val="auto"/>
          <w:sz w:val="24"/>
          <w:highlight w:val="none"/>
          <w:lang w:val="en-US" w:eastAsia="zh-CN"/>
        </w:rPr>
        <w:t>服务</w:t>
      </w:r>
      <w:r>
        <w:rPr>
          <w:rFonts w:hint="eastAsia" w:ascii="仿宋_GB2312" w:hAnsi="仿宋_GB2312" w:eastAsia="仿宋_GB2312" w:cs="仿宋_GB2312"/>
          <w:color w:val="auto"/>
          <w:sz w:val="24"/>
          <w:highlight w:val="none"/>
        </w:rPr>
        <w:t>档次或影响</w:t>
      </w:r>
      <w:r>
        <w:rPr>
          <w:rFonts w:hint="eastAsia" w:ascii="仿宋_GB2312" w:hAnsi="仿宋_GB2312" w:eastAsia="仿宋_GB2312" w:cs="仿宋_GB2312"/>
          <w:color w:val="auto"/>
          <w:sz w:val="24"/>
          <w:highlight w:val="none"/>
          <w:lang w:val="en-US" w:eastAsia="zh-CN"/>
        </w:rPr>
        <w:t>服务质量</w:t>
      </w:r>
      <w:r>
        <w:rPr>
          <w:rFonts w:hint="eastAsia" w:ascii="仿宋_GB2312" w:hAnsi="仿宋_GB2312" w:eastAsia="仿宋_GB2312" w:cs="仿宋_GB2312"/>
          <w:color w:val="auto"/>
          <w:sz w:val="24"/>
          <w:highlight w:val="none"/>
        </w:rPr>
        <w:t>。</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（9）响应报价与市场价偏离较大，低于成本，形成不正当竞争。</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（10）供应商提供虚假证明，开具虚假资质，出现虚假应答或故意隐瞒行为。</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（11）保证金未提交或未提交至指定账户、或提交保证金不符合磋商文件要求的。 </w:t>
      </w:r>
    </w:p>
    <w:p>
      <w:pPr>
        <w:pStyle w:val="5"/>
        <w:tabs>
          <w:tab w:val="left" w:pos="360"/>
        </w:tabs>
        <w:rPr>
          <w:rFonts w:ascii="仿宋_GB2312" w:hAnsi="仿宋_GB2312" w:eastAsia="仿宋_GB2312" w:cs="仿宋_GB2312"/>
          <w:b/>
          <w:color w:val="auto"/>
          <w:sz w:val="24"/>
          <w:szCs w:val="21"/>
          <w:highlight w:val="none"/>
        </w:rPr>
      </w:pPr>
      <w:bookmarkStart w:id="324" w:name="_Toc58504512"/>
      <w:r>
        <w:rPr>
          <w:rFonts w:hint="eastAsia" w:ascii="仿宋_GB2312" w:hAnsi="仿宋_GB2312" w:eastAsia="仿宋_GB2312" w:cs="仿宋_GB2312"/>
          <w:b/>
          <w:color w:val="auto"/>
          <w:sz w:val="24"/>
          <w:szCs w:val="21"/>
          <w:highlight w:val="none"/>
        </w:rPr>
        <w:t>23.3   磋商</w:t>
      </w:r>
      <w:bookmarkEnd w:id="324"/>
    </w:p>
    <w:p>
      <w:pPr>
        <w:pStyle w:val="2"/>
        <w:ind w:left="840" w:hanging="840" w:hangingChars="350"/>
        <w:rPr>
          <w:rFonts w:ascii="仿宋_GB2312" w:hAnsi="仿宋_GB2312" w:eastAsia="仿宋_GB2312" w:cs="仿宋_GB2312"/>
          <w:color w:val="auto"/>
          <w:sz w:val="24"/>
          <w:highlight w:val="none"/>
        </w:rPr>
      </w:pPr>
      <w:bookmarkStart w:id="325" w:name="_Toc58504513"/>
      <w:r>
        <w:rPr>
          <w:rFonts w:hint="eastAsia" w:ascii="仿宋_GB2312" w:hAnsi="仿宋_GB2312" w:eastAsia="仿宋_GB2312" w:cs="仿宋_GB2312"/>
          <w:color w:val="auto"/>
          <w:sz w:val="24"/>
          <w:highlight w:val="none"/>
        </w:rPr>
        <w:t>23.3.1 磋商小组集中与各供应商分别进行磋商，并给所有参加磋商供应商平等的磋商机会。</w:t>
      </w:r>
      <w:bookmarkEnd w:id="325"/>
    </w:p>
    <w:p>
      <w:pPr>
        <w:pStyle w:val="2"/>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23.3.2 磋商小组在对响应文件的有效性、完整性和响应程度进行审核时，以</w:t>
      </w:r>
      <w:r>
        <w:rPr>
          <w:rFonts w:hint="eastAsia" w:ascii="仿宋_GB2312" w:hAnsi="仿宋_GB2312" w:eastAsia="仿宋_GB2312" w:cs="仿宋_GB2312"/>
          <w:b/>
          <w:color w:val="auto"/>
          <w:sz w:val="24"/>
          <w:highlight w:val="none"/>
        </w:rPr>
        <w:t>书面形式</w:t>
      </w:r>
      <w:r>
        <w:rPr>
          <w:rFonts w:hint="eastAsia" w:ascii="仿宋_GB2312" w:hAnsi="仿宋_GB2312" w:eastAsia="仿宋_GB2312" w:cs="仿宋_GB2312"/>
          <w:color w:val="auto"/>
          <w:sz w:val="24"/>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23.3.3 磋商过程中，磋商小组可以根据磋商文件和磋商情况实质性变动采购需求中的服务要求以及合同草案条款，但不得变动磋商文件中的其他内容。实质性变动的内容，须经采购人代表确认，并成为磋商文件的有效组成部分。</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23.3.4 如出现下述情形之一的，视为供应商主动退出磋商，其响应将被拒绝：</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（1）供应商未按要求确认磋商小组确定的本项目最终技术需求的；</w:t>
      </w:r>
    </w:p>
    <w:p>
      <w:pPr>
        <w:pStyle w:val="2"/>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（2）最后报价未实质性响应磋商小组确定的本项目最终技术需求的，或附有采购人无法接受的条件的。</w:t>
      </w:r>
    </w:p>
    <w:p>
      <w:pPr>
        <w:pStyle w:val="2"/>
        <w:rPr>
          <w:rFonts w:ascii="仿宋_GB2312" w:hAnsi="仿宋_GB2312" w:eastAsia="仿宋_GB2312" w:cs="仿宋_GB2312"/>
          <w:b/>
          <w:color w:val="auto"/>
          <w:sz w:val="24"/>
          <w:szCs w:val="21"/>
          <w:highlight w:val="none"/>
        </w:rPr>
      </w:pPr>
      <w:r>
        <w:rPr>
          <w:rFonts w:hint="eastAsia" w:ascii="仿宋_GB2312" w:hAnsi="仿宋_GB2312" w:eastAsia="仿宋_GB2312" w:cs="仿宋_GB2312"/>
          <w:b/>
          <w:color w:val="auto"/>
          <w:sz w:val="24"/>
          <w:szCs w:val="21"/>
          <w:highlight w:val="none"/>
        </w:rPr>
        <w:t>23.4   最后报价</w:t>
      </w:r>
    </w:p>
    <w:p>
      <w:pPr>
        <w:pStyle w:val="2"/>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23.4.1 磋商结束后，磋商小组要求所有实质性响应的供应商在规定时间内提交最后报价，提交最后报价的供应商不少于3家。最后报价是供应商响应文件的有效组成部分。</w:t>
      </w:r>
    </w:p>
    <w:p>
      <w:pPr>
        <w:pStyle w:val="2"/>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23.4.2 最后报价应按报价的格式内容填写，并且同时提交最后响应报价表、最后报价明细表等内容。各供应商在提交响应文件时，应对最后报价加盖供应商红色公章，且由法定代表人（或授权代表人）签字。</w:t>
      </w:r>
    </w:p>
    <w:p>
      <w:pPr>
        <w:pStyle w:val="5"/>
        <w:rPr>
          <w:rFonts w:ascii="仿宋_GB2312" w:hAnsi="仿宋_GB2312" w:eastAsia="仿宋_GB2312" w:cs="仿宋_GB2312"/>
          <w:b/>
          <w:bCs/>
          <w:color w:val="auto"/>
          <w:sz w:val="24"/>
          <w:szCs w:val="21"/>
          <w:highlight w:val="none"/>
        </w:rPr>
      </w:pPr>
      <w:bookmarkStart w:id="326" w:name="_Toc164229241"/>
      <w:bookmarkStart w:id="327" w:name="_Toc151193934"/>
      <w:bookmarkStart w:id="328" w:name="_Toc127151747"/>
      <w:bookmarkStart w:id="329" w:name="_Toc249515310"/>
      <w:bookmarkStart w:id="330" w:name="_Toc151193788"/>
      <w:bookmarkStart w:id="331" w:name="_Toc13753"/>
      <w:bookmarkStart w:id="332" w:name="_Toc150774751"/>
      <w:bookmarkStart w:id="333" w:name="_Toc151193716"/>
      <w:bookmarkStart w:id="334" w:name="_Toc150774646"/>
      <w:bookmarkStart w:id="335" w:name="_Toc151193860"/>
      <w:bookmarkStart w:id="336" w:name="_Toc127151546"/>
      <w:bookmarkStart w:id="337" w:name="_Toc195842911"/>
      <w:bookmarkStart w:id="338" w:name="_Toc164608660"/>
      <w:bookmarkStart w:id="339" w:name="_Toc164608815"/>
      <w:bookmarkStart w:id="340" w:name="_Toc142311048"/>
      <w:bookmarkStart w:id="341" w:name="_Toc149720839"/>
      <w:bookmarkStart w:id="342" w:name="_Toc151193644"/>
      <w:bookmarkStart w:id="343" w:name="_Toc150509297"/>
      <w:bookmarkStart w:id="344" w:name="_Toc249525191"/>
      <w:bookmarkStart w:id="345" w:name="_Ref467307010"/>
      <w:bookmarkStart w:id="346" w:name="_Toc150480784"/>
      <w:bookmarkStart w:id="347" w:name="_Toc520356170"/>
      <w:bookmarkStart w:id="348" w:name="_Toc249515422"/>
      <w:bookmarkStart w:id="349" w:name="_Toc164229387"/>
      <w:bookmarkStart w:id="350" w:name="_Toc127161460"/>
      <w:bookmarkStart w:id="351" w:name="_Toc151190173"/>
      <w:bookmarkStart w:id="352" w:name="_Toc164351640"/>
      <w:r>
        <w:rPr>
          <w:rFonts w:hint="eastAsia" w:ascii="仿宋_GB2312" w:hAnsi="仿宋_GB2312" w:eastAsia="仿宋_GB2312" w:cs="仿宋_GB2312"/>
          <w:b/>
          <w:bCs/>
          <w:color w:val="auto"/>
          <w:sz w:val="24"/>
          <w:szCs w:val="21"/>
          <w:highlight w:val="none"/>
        </w:rPr>
        <w:t>24.    评审办法及</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Fonts w:hint="eastAsia" w:ascii="仿宋_GB2312" w:hAnsi="仿宋_GB2312" w:eastAsia="仿宋_GB2312" w:cs="仿宋_GB2312"/>
          <w:b/>
          <w:bCs/>
          <w:color w:val="auto"/>
          <w:sz w:val="24"/>
          <w:szCs w:val="21"/>
          <w:highlight w:val="none"/>
        </w:rPr>
        <w:t>落实政府采购政策，详见第三章。</w:t>
      </w:r>
    </w:p>
    <w:p>
      <w:pPr>
        <w:rPr>
          <w:rFonts w:ascii="仿宋_GB2312" w:hAnsi="仿宋_GB2312" w:eastAsia="仿宋_GB2312" w:cs="仿宋_GB2312"/>
          <w:color w:val="auto"/>
          <w:highlight w:val="none"/>
        </w:rPr>
      </w:pPr>
    </w:p>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23"/>
    <w:p>
      <w:pPr>
        <w:pStyle w:val="77"/>
        <w:spacing w:before="24" w:after="24"/>
        <w:jc w:val="center"/>
        <w:rPr>
          <w:rFonts w:ascii="仿宋_GB2312" w:hAnsi="仿宋_GB2312" w:eastAsia="仿宋_GB2312" w:cs="仿宋_GB2312"/>
          <w:color w:val="auto"/>
          <w:sz w:val="30"/>
          <w:szCs w:val="30"/>
          <w:highlight w:val="none"/>
        </w:rPr>
      </w:pPr>
      <w:bookmarkStart w:id="353" w:name="_Hlt497729446"/>
      <w:bookmarkEnd w:id="353"/>
      <w:bookmarkStart w:id="354" w:name="_Hlt491765714"/>
      <w:bookmarkEnd w:id="354"/>
      <w:bookmarkStart w:id="355" w:name="_Toc249515423"/>
      <w:bookmarkStart w:id="356" w:name="_Toc68590974"/>
      <w:bookmarkStart w:id="357" w:name="_Toc256342149"/>
      <w:bookmarkStart w:id="358" w:name="_Toc249525192"/>
      <w:bookmarkStart w:id="359" w:name="_Toc232395218"/>
      <w:bookmarkStart w:id="360" w:name="_Toc232176278"/>
      <w:bookmarkStart w:id="361" w:name="_Toc19191"/>
      <w:bookmarkStart w:id="362" w:name="_Toc249515311"/>
      <w:bookmarkStart w:id="363" w:name="_Toc176882548"/>
      <w:bookmarkStart w:id="364" w:name="_Toc500747195"/>
      <w:bookmarkStart w:id="365" w:name="_Toc389620199"/>
      <w:bookmarkStart w:id="366" w:name="_Toc70687174"/>
      <w:bookmarkStart w:id="367" w:name="_Toc500746972"/>
      <w:bookmarkStart w:id="368" w:name="_Toc492955421"/>
      <w:bookmarkStart w:id="369" w:name="_Toc500747068"/>
      <w:bookmarkStart w:id="370" w:name="_Toc177995479"/>
      <w:bookmarkStart w:id="371" w:name="_Toc499711049"/>
      <w:bookmarkStart w:id="372" w:name="_Toc499711890"/>
      <w:bookmarkStart w:id="373" w:name="_Toc177189241"/>
      <w:bookmarkStart w:id="374" w:name="_Toc184043047"/>
      <w:bookmarkStart w:id="375" w:name="_Toc385992360"/>
      <w:bookmarkStart w:id="376" w:name="_Toc53722846"/>
      <w:bookmarkStart w:id="377" w:name="_Toc496324585"/>
      <w:bookmarkStart w:id="378" w:name="_Toc177817340"/>
      <w:bookmarkStart w:id="379" w:name="_Toc503063428"/>
      <w:r>
        <w:rPr>
          <w:rFonts w:hint="eastAsia" w:ascii="仿宋_GB2312" w:hAnsi="仿宋_GB2312" w:eastAsia="仿宋_GB2312" w:cs="仿宋_GB2312"/>
          <w:color w:val="auto"/>
          <w:sz w:val="30"/>
          <w:szCs w:val="30"/>
          <w:highlight w:val="none"/>
        </w:rPr>
        <w:t>六、确定成交单位、授予合同</w:t>
      </w:r>
      <w:bookmarkEnd w:id="355"/>
      <w:bookmarkEnd w:id="356"/>
      <w:bookmarkEnd w:id="357"/>
      <w:bookmarkEnd w:id="358"/>
      <w:bookmarkEnd w:id="359"/>
      <w:bookmarkEnd w:id="360"/>
      <w:bookmarkEnd w:id="361"/>
      <w:bookmarkEnd w:id="362"/>
    </w:p>
    <w:p>
      <w:pPr>
        <w:rPr>
          <w:rFonts w:ascii="仿宋_GB2312" w:hAnsi="仿宋_GB2312" w:eastAsia="仿宋_GB2312" w:cs="仿宋_GB2312"/>
          <w:color w:val="auto"/>
          <w:highlight w:val="none"/>
        </w:rPr>
      </w:pPr>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pStyle w:val="5"/>
        <w:numPr>
          <w:ilvl w:val="0"/>
          <w:numId w:val="9"/>
        </w:numPr>
        <w:rPr>
          <w:rFonts w:ascii="仿宋_GB2312" w:hAnsi="仿宋_GB2312" w:eastAsia="仿宋_GB2312" w:cs="仿宋_GB2312"/>
          <w:b/>
          <w:bCs/>
          <w:color w:val="auto"/>
          <w:sz w:val="24"/>
          <w:szCs w:val="21"/>
          <w:highlight w:val="none"/>
        </w:rPr>
      </w:pPr>
      <w:bookmarkStart w:id="380" w:name="_Toc249515424"/>
      <w:bookmarkStart w:id="381" w:name="_Toc249515312"/>
      <w:bookmarkStart w:id="382" w:name="_Toc385992361"/>
      <w:bookmarkStart w:id="383" w:name="_Toc389620200"/>
      <w:bookmarkStart w:id="384" w:name="_Toc249525193"/>
      <w:bookmarkStart w:id="385" w:name="_Toc27151"/>
      <w:bookmarkStart w:id="386" w:name="_Toc184043048"/>
      <w:bookmarkStart w:id="387" w:name="_Toc70687175"/>
      <w:r>
        <w:rPr>
          <w:rFonts w:hint="eastAsia" w:ascii="仿宋_GB2312" w:hAnsi="仿宋_GB2312" w:eastAsia="仿宋_GB2312" w:cs="仿宋_GB2312"/>
          <w:b/>
          <w:bCs/>
          <w:color w:val="auto"/>
          <w:sz w:val="24"/>
          <w:szCs w:val="21"/>
          <w:highlight w:val="none"/>
        </w:rPr>
        <w:t xml:space="preserve">   确定成交</w:t>
      </w:r>
      <w:bookmarkEnd w:id="380"/>
      <w:bookmarkEnd w:id="381"/>
      <w:bookmarkEnd w:id="382"/>
      <w:bookmarkEnd w:id="383"/>
      <w:bookmarkEnd w:id="384"/>
      <w:bookmarkEnd w:id="385"/>
      <w:bookmarkEnd w:id="386"/>
      <w:bookmarkEnd w:id="387"/>
      <w:r>
        <w:rPr>
          <w:rFonts w:hint="eastAsia" w:ascii="仿宋_GB2312" w:hAnsi="仿宋_GB2312" w:eastAsia="仿宋_GB2312" w:cs="仿宋_GB2312"/>
          <w:b/>
          <w:bCs/>
          <w:color w:val="auto"/>
          <w:sz w:val="24"/>
          <w:szCs w:val="21"/>
          <w:highlight w:val="none"/>
        </w:rPr>
        <w:t>单位</w:t>
      </w:r>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25.1   采购代理机构应在评审结束后两个工作日内，将评审报告送采购人。</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   采购人在收到评审报告后五个工作日内，根据评审报告对评审过程及结果进行严格审核后确定成交供应商，复函采购代理机构。</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25.3   采购代理机构在接到采购人的成交复函后，在财政部门指定的政府采购信息发布媒体上公告，公告期限为一个工作日，并向成交供应商发出成交通知书。成交通知书是合同文件的组成部分。</w:t>
      </w:r>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25.4   采购代理机构将评审过程及成交供应商情况书面报监督机构备案。</w:t>
      </w:r>
      <w:bookmarkStart w:id="388" w:name="_Toc389620203"/>
      <w:bookmarkStart w:id="389" w:name="_Toc385992364"/>
    </w:p>
    <w:bookmarkEnd w:id="388"/>
    <w:bookmarkEnd w:id="389"/>
    <w:p>
      <w:pPr>
        <w:pStyle w:val="5"/>
        <w:rPr>
          <w:rFonts w:ascii="仿宋_GB2312" w:hAnsi="仿宋_GB2312" w:eastAsia="仿宋_GB2312" w:cs="仿宋_GB2312"/>
          <w:b/>
          <w:bCs/>
          <w:color w:val="auto"/>
          <w:sz w:val="24"/>
          <w:szCs w:val="21"/>
          <w:highlight w:val="none"/>
        </w:rPr>
      </w:pPr>
      <w:bookmarkStart w:id="390" w:name="_Toc385992365"/>
      <w:bookmarkStart w:id="391" w:name="_Toc389620204"/>
      <w:r>
        <w:rPr>
          <w:rFonts w:hint="eastAsia" w:ascii="仿宋_GB2312" w:hAnsi="仿宋_GB2312" w:eastAsia="仿宋_GB2312" w:cs="仿宋_GB2312"/>
          <w:b/>
          <w:bCs/>
          <w:color w:val="auto"/>
          <w:sz w:val="24"/>
          <w:szCs w:val="21"/>
          <w:highlight w:val="none"/>
        </w:rPr>
        <w:t>26.    合同</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26.1   自成交通知书发出后三十日内，按照磋商文件和成交供应商响应文件的约定，采购人与成交供应商洽谈合同条款，并签订合同。磋商文件及成交供应商的响应文件均作为合同的组成部分。</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26.3   成交供应商签订合同后，持合同原件到采购代理机构，或采购代理机构根据陕西省政府采购网合同备案结果办理保证金退还手续。</w:t>
      </w:r>
    </w:p>
    <w:p>
      <w:pPr>
        <w:pStyle w:val="5"/>
        <w:rPr>
          <w:rFonts w:ascii="仿宋_GB2312" w:hAnsi="仿宋_GB2312" w:eastAsia="仿宋_GB2312" w:cs="仿宋_GB2312"/>
          <w:b/>
          <w:bCs/>
          <w:color w:val="auto"/>
          <w:sz w:val="24"/>
          <w:szCs w:val="21"/>
          <w:highlight w:val="none"/>
        </w:rPr>
      </w:pPr>
      <w:r>
        <w:rPr>
          <w:rFonts w:hint="eastAsia" w:ascii="仿宋_GB2312" w:hAnsi="仿宋_GB2312" w:eastAsia="仿宋_GB2312" w:cs="仿宋_GB2312"/>
          <w:b/>
          <w:bCs/>
          <w:color w:val="auto"/>
          <w:sz w:val="24"/>
          <w:szCs w:val="21"/>
          <w:highlight w:val="none"/>
        </w:rPr>
        <w:t>27.    询问与质疑 </w:t>
      </w:r>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27.1   供应商对政府采购活动事项有疑问的，可以向采购人提出询问。</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27.3   质疑供应商在法定质疑期内须一次性提出针对同一采购程序环节的质疑。</w:t>
      </w:r>
    </w:p>
    <w:p>
      <w:pPr>
        <w:tabs>
          <w:tab w:val="left" w:pos="588"/>
        </w:tabs>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27.4   供应商提出质疑应当提交质疑函和必要的证明材料。质疑函应当包括下列内容：</w:t>
      </w:r>
    </w:p>
    <w:p>
      <w:pPr>
        <w:pStyle w:val="67"/>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供应商的姓名或者名称、地址、邮编、联系人及联系电话；</w:t>
      </w:r>
    </w:p>
    <w:p>
      <w:pPr>
        <w:pStyle w:val="67"/>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质疑项目的名称、编号；</w:t>
      </w:r>
    </w:p>
    <w:p>
      <w:pPr>
        <w:pStyle w:val="67"/>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具体、明确的质疑事项和与质疑事项相关的请求；</w:t>
      </w:r>
    </w:p>
    <w:p>
      <w:pPr>
        <w:pStyle w:val="67"/>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p>
    <w:p>
      <w:pPr>
        <w:pStyle w:val="67"/>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必要的法律依据；</w:t>
      </w:r>
    </w:p>
    <w:p>
      <w:pPr>
        <w:pStyle w:val="67"/>
        <w:numPr>
          <w:ilvl w:val="0"/>
          <w:numId w:val="10"/>
        </w:numPr>
        <w:tabs>
          <w:tab w:val="left" w:pos="588"/>
        </w:tabs>
        <w:spacing w:line="360" w:lineRule="auto"/>
        <w:ind w:left="846" w:hanging="6" w:firstLineChars="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提出质疑的日期。</w:t>
      </w:r>
    </w:p>
    <w:p>
      <w:pPr>
        <w:pStyle w:val="67"/>
        <w:tabs>
          <w:tab w:val="left" w:pos="588"/>
        </w:tabs>
        <w:spacing w:line="360" w:lineRule="auto"/>
        <w:ind w:left="838" w:leftChars="399" w:firstLine="0" w:firstLineChars="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供应商为自然人的，应当由本人签字；供应商为法人或者其他组织的，应当由法定代表人或负责人签字或盖章，同时其授权代表签字，并加盖公章。</w:t>
      </w:r>
    </w:p>
    <w:p>
      <w:pPr>
        <w:tabs>
          <w:tab w:val="left" w:pos="588"/>
        </w:tabs>
        <w:spacing w:line="360" w:lineRule="auto"/>
        <w:ind w:left="960" w:hanging="960" w:hanging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27.5   符合要求的质疑，采购代理机构将予以受理并答复。</w:t>
      </w:r>
    </w:p>
    <w:p>
      <w:pPr>
        <w:tabs>
          <w:tab w:val="left" w:pos="588"/>
        </w:tabs>
        <w:spacing w:line="360" w:lineRule="auto"/>
        <w:ind w:left="840" w:left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联系人：李萍、王亚宁，联系电话：029-85235014</w:t>
      </w:r>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27.6   供应商进行虚假和恶意质疑的，采购代理机构将提供相关资料报监督机构，按其情况进行相应处理。</w:t>
      </w:r>
    </w:p>
    <w:bookmarkEnd w:id="390"/>
    <w:bookmarkEnd w:id="391"/>
    <w:p>
      <w:pPr>
        <w:pStyle w:val="5"/>
        <w:rPr>
          <w:rFonts w:hint="eastAsia" w:ascii="仿宋_GB2312" w:hAnsi="仿宋_GB2312" w:eastAsia="仿宋_GB2312" w:cs="仿宋_GB2312"/>
          <w:b/>
          <w:bCs/>
          <w:color w:val="auto"/>
          <w:sz w:val="24"/>
          <w:szCs w:val="21"/>
          <w:highlight w:val="none"/>
        </w:rPr>
      </w:pPr>
      <w:bookmarkStart w:id="392" w:name="_Toc25547"/>
      <w:r>
        <w:rPr>
          <w:rFonts w:hint="eastAsia" w:ascii="仿宋_GB2312" w:hAnsi="仿宋_GB2312" w:eastAsia="仿宋_GB2312" w:cs="仿宋_GB2312"/>
          <w:b/>
          <w:bCs/>
          <w:color w:val="auto"/>
          <w:sz w:val="24"/>
          <w:szCs w:val="21"/>
          <w:highlight w:val="none"/>
        </w:rPr>
        <w:t>28.    履约保证金</w:t>
      </w:r>
    </w:p>
    <w:p>
      <w:pPr>
        <w:tabs>
          <w:tab w:val="left" w:pos="588"/>
        </w:tabs>
        <w:spacing w:line="360" w:lineRule="auto"/>
        <w:ind w:left="840" w:hanging="840" w:hangingChars="35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本项目不要求履约保证金</w:t>
      </w:r>
    </w:p>
    <w:p>
      <w:pPr>
        <w:pStyle w:val="5"/>
        <w:rPr>
          <w:rFonts w:ascii="仿宋_GB2312" w:hAnsi="仿宋_GB2312" w:eastAsia="仿宋_GB2312" w:cs="仿宋_GB2312"/>
          <w:b/>
          <w:bCs/>
          <w:color w:val="auto"/>
          <w:sz w:val="24"/>
          <w:szCs w:val="21"/>
          <w:highlight w:val="none"/>
        </w:rPr>
      </w:pPr>
      <w:r>
        <w:rPr>
          <w:rFonts w:hint="eastAsia" w:ascii="仿宋_GB2312" w:hAnsi="仿宋_GB2312" w:eastAsia="仿宋_GB2312" w:cs="仿宋_GB2312"/>
          <w:b/>
          <w:bCs/>
          <w:color w:val="auto"/>
          <w:sz w:val="24"/>
          <w:szCs w:val="21"/>
          <w:highlight w:val="none"/>
        </w:rPr>
        <w:t>29.    成交服务费</w:t>
      </w:r>
      <w:bookmarkEnd w:id="392"/>
    </w:p>
    <w:p>
      <w:pPr>
        <w:tabs>
          <w:tab w:val="left" w:pos="588"/>
        </w:tabs>
        <w:spacing w:line="360"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29.1   成交供应商在领取成交通知书前，须向采购代理机构支付成交服务费，服务费由采购人与采购代理机构约定：</w:t>
      </w:r>
    </w:p>
    <w:p>
      <w:pPr>
        <w:snapToGrid w:val="0"/>
        <w:spacing w:line="360" w:lineRule="auto"/>
        <w:ind w:left="840" w:leftChars="400"/>
        <w:rPr>
          <w:rFonts w:ascii="仿宋_GB2312" w:hAnsi="仿宋_GB2312" w:eastAsia="仿宋_GB2312" w:cs="仿宋_GB2312"/>
          <w:i/>
          <w:color w:val="auto"/>
          <w:sz w:val="24"/>
          <w:highlight w:val="none"/>
        </w:rPr>
      </w:pPr>
      <w:r>
        <w:rPr>
          <w:rFonts w:hint="eastAsia" w:ascii="仿宋_GB2312" w:hAnsi="仿宋_GB2312" w:eastAsia="仿宋_GB2312" w:cs="仿宋_GB2312"/>
          <w:color w:val="auto"/>
          <w:sz w:val="24"/>
          <w:highlight w:val="none"/>
        </w:rPr>
        <w:t>参照原国家计委计价格〔2002〕1980号文和国家发改委发改办价格〔200</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〕857号文的计算方法收取</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不足6000元</w:t>
      </w:r>
      <w:r>
        <w:rPr>
          <w:rFonts w:hint="eastAsia" w:ascii="仿宋_GB2312" w:hAnsi="仿宋_GB2312" w:eastAsia="仿宋_GB2312" w:cs="仿宋_GB2312"/>
          <w:color w:val="auto"/>
          <w:sz w:val="24"/>
          <w:highlight w:val="none"/>
        </w:rPr>
        <w:t>，按</w:t>
      </w:r>
      <w:r>
        <w:rPr>
          <w:rFonts w:hint="eastAsia" w:ascii="仿宋_GB2312" w:hAnsi="仿宋_GB2312" w:eastAsia="仿宋_GB2312" w:cs="仿宋_GB2312"/>
          <w:color w:val="auto"/>
          <w:sz w:val="24"/>
          <w:highlight w:val="none"/>
          <w:u w:val="none"/>
          <w:lang w:val="en-US" w:eastAsia="zh-CN"/>
        </w:rPr>
        <w:t>6000</w:t>
      </w:r>
      <w:r>
        <w:rPr>
          <w:rFonts w:hint="eastAsia" w:ascii="仿宋_GB2312" w:hAnsi="仿宋_GB2312" w:eastAsia="仿宋_GB2312" w:cs="仿宋_GB2312"/>
          <w:color w:val="auto"/>
          <w:sz w:val="24"/>
          <w:highlight w:val="none"/>
        </w:rPr>
        <w:t>元收取。</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29.2   成交单位的代理服务费交纳信息</w:t>
      </w:r>
    </w:p>
    <w:p>
      <w:pPr>
        <w:snapToGrid w:val="0"/>
        <w:spacing w:line="360" w:lineRule="auto"/>
        <w:ind w:firstLine="840" w:firstLine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银行户名：陕西省采购招标有限责任公司</w:t>
      </w:r>
    </w:p>
    <w:p>
      <w:pPr>
        <w:snapToGrid w:val="0"/>
        <w:spacing w:line="360" w:lineRule="auto"/>
        <w:ind w:firstLine="840" w:firstLine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开户银行：中国光大银行西安友谊路支行</w:t>
      </w:r>
    </w:p>
    <w:p>
      <w:pPr>
        <w:snapToGrid w:val="0"/>
        <w:spacing w:line="360" w:lineRule="auto"/>
        <w:ind w:firstLine="840" w:firstLine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    号：78560188000095264</w:t>
      </w:r>
    </w:p>
    <w:p>
      <w:pPr>
        <w:snapToGrid w:val="0"/>
        <w:spacing w:line="360" w:lineRule="auto"/>
        <w:ind w:firstLine="840" w:firstLine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人：张婕   联系电话：029-85263975</w:t>
      </w:r>
    </w:p>
    <w:p>
      <w:pPr>
        <w:pStyle w:val="5"/>
        <w:numPr>
          <w:ilvl w:val="0"/>
          <w:numId w:val="11"/>
        </w:numPr>
        <w:rPr>
          <w:rFonts w:ascii="仿宋_GB2312" w:hAnsi="仿宋_GB2312" w:eastAsia="仿宋_GB2312" w:cs="仿宋_GB2312"/>
          <w:b/>
          <w:bCs/>
          <w:color w:val="auto"/>
          <w:sz w:val="24"/>
          <w:szCs w:val="21"/>
          <w:highlight w:val="none"/>
        </w:rPr>
      </w:pPr>
      <w:bookmarkStart w:id="393" w:name="_Toc1585"/>
      <w:r>
        <w:rPr>
          <w:rFonts w:hint="eastAsia" w:ascii="仿宋_GB2312" w:hAnsi="仿宋_GB2312" w:eastAsia="仿宋_GB2312" w:cs="仿宋_GB2312"/>
          <w:b/>
          <w:bCs/>
          <w:color w:val="auto"/>
          <w:sz w:val="24"/>
          <w:szCs w:val="21"/>
          <w:highlight w:val="none"/>
        </w:rPr>
        <w:t xml:space="preserve">  采购人追加采购数量的权力</w:t>
      </w:r>
      <w:bookmarkEnd w:id="393"/>
    </w:p>
    <w:p>
      <w:pPr>
        <w:tabs>
          <w:tab w:val="left" w:pos="588"/>
        </w:tabs>
        <w:spacing w:line="360" w:lineRule="auto"/>
        <w:ind w:left="840" w:leftChars="400"/>
        <w:rPr>
          <w:rFonts w:ascii="仿宋_GB2312" w:hAnsi="仿宋_GB2312" w:eastAsia="仿宋_GB2312" w:cs="仿宋_GB2312"/>
          <w:color w:val="auto"/>
          <w:sz w:val="24"/>
          <w:highlight w:val="none"/>
        </w:rPr>
      </w:pPr>
      <w:bookmarkStart w:id="394" w:name="_Toc385992366"/>
      <w:bookmarkStart w:id="395" w:name="_Toc389620205"/>
      <w:r>
        <w:rPr>
          <w:rFonts w:hint="eastAsia" w:ascii="仿宋_GB2312" w:hAnsi="仿宋_GB2312" w:eastAsia="仿宋_GB2312" w:cs="仿宋_GB2312"/>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pPr>
        <w:pStyle w:val="5"/>
        <w:numPr>
          <w:ilvl w:val="0"/>
          <w:numId w:val="11"/>
        </w:numPr>
        <w:rPr>
          <w:rFonts w:hint="eastAsia" w:ascii="仿宋_GB2312" w:hAnsi="仿宋_GB2312" w:eastAsia="仿宋_GB2312" w:cs="仿宋_GB2312"/>
          <w:b/>
          <w:bCs/>
          <w:color w:val="auto"/>
          <w:sz w:val="24"/>
          <w:szCs w:val="21"/>
          <w:highlight w:val="none"/>
        </w:rPr>
      </w:pPr>
      <w:r>
        <w:rPr>
          <w:rFonts w:hint="eastAsia" w:ascii="仿宋_GB2312" w:hAnsi="仿宋_GB2312" w:eastAsia="仿宋_GB2312" w:cs="仿宋_GB2312"/>
          <w:b/>
          <w:bCs/>
          <w:color w:val="auto"/>
          <w:sz w:val="24"/>
          <w:szCs w:val="21"/>
          <w:highlight w:val="none"/>
        </w:rPr>
        <w:t xml:space="preserve">   其他情况</w:t>
      </w:r>
    </w:p>
    <w:p>
      <w:pPr>
        <w:pStyle w:val="2"/>
        <w:shd w:val="clear" w:color="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pPr>
        <w:pStyle w:val="2"/>
        <w:shd w:val="clear" w:color="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31.2   连续两次进行竞争性磋商活动，因符合磋商要求供应商不足3家，经请示政府采购管理部门同意后，可继续进行竞争性磋商活动。</w:t>
      </w:r>
    </w:p>
    <w:bookmarkEnd w:id="394"/>
    <w:bookmarkEnd w:id="395"/>
    <w:p>
      <w:pPr>
        <w:tabs>
          <w:tab w:val="left" w:pos="588"/>
        </w:tabs>
        <w:spacing w:line="360" w:lineRule="auto"/>
        <w:rPr>
          <w:rFonts w:ascii="仿宋_GB2312" w:hAnsi="仿宋_GB2312" w:eastAsia="仿宋_GB2312" w:cs="仿宋_GB2312"/>
          <w:color w:val="auto"/>
          <w:sz w:val="24"/>
          <w:highlight w:val="none"/>
        </w:rPr>
      </w:pPr>
      <w:bookmarkStart w:id="396" w:name="_Toc184114070"/>
      <w:bookmarkStart w:id="397" w:name="_Toc184025279"/>
      <w:bookmarkStart w:id="398" w:name="_Toc230013637"/>
      <w:bookmarkStart w:id="399" w:name="_Toc230099802"/>
      <w:r>
        <w:rPr>
          <w:rFonts w:hint="eastAsia" w:ascii="仿宋_GB2312" w:hAnsi="仿宋_GB2312" w:eastAsia="仿宋_GB2312" w:cs="仿宋_GB2312"/>
          <w:color w:val="auto"/>
          <w:sz w:val="24"/>
          <w:highlight w:val="none"/>
        </w:rPr>
        <w:br w:type="page"/>
      </w:r>
    </w:p>
    <w:bookmarkEnd w:id="396"/>
    <w:bookmarkEnd w:id="397"/>
    <w:bookmarkEnd w:id="398"/>
    <w:bookmarkEnd w:id="399"/>
    <w:p>
      <w:pPr>
        <w:pStyle w:val="46"/>
        <w:spacing w:line="360" w:lineRule="auto"/>
        <w:rPr>
          <w:rStyle w:val="203"/>
          <w:rFonts w:ascii="宋体" w:hAnsi="宋体" w:eastAsia="宋体"/>
          <w:color w:val="auto"/>
          <w:sz w:val="36"/>
          <w:szCs w:val="36"/>
          <w:highlight w:val="none"/>
        </w:rPr>
      </w:pPr>
      <w:bookmarkStart w:id="400" w:name="_Toc27022"/>
      <w:bookmarkStart w:id="401" w:name="_Toc17469"/>
      <w:bookmarkStart w:id="402" w:name="_Toc58504447"/>
      <w:r>
        <w:rPr>
          <w:rStyle w:val="203"/>
          <w:rFonts w:hint="eastAsia" w:ascii="宋体" w:hAnsi="宋体" w:eastAsia="宋体"/>
          <w:color w:val="auto"/>
          <w:sz w:val="36"/>
          <w:szCs w:val="36"/>
          <w:highlight w:val="none"/>
        </w:rPr>
        <w:t>第三章  评审办法和标准</w:t>
      </w:r>
      <w:bookmarkEnd w:id="400"/>
    </w:p>
    <w:p>
      <w:pPr>
        <w:tabs>
          <w:tab w:val="left" w:pos="360"/>
          <w:tab w:val="left" w:pos="588"/>
        </w:tabs>
        <w:spacing w:line="360" w:lineRule="auto"/>
        <w:ind w:left="840"/>
        <w:rPr>
          <w:rFonts w:ascii="仿宋_GB2312" w:hAnsi="仿宋_GB2312" w:eastAsia="仿宋_GB2312" w:cs="仿宋_GB2312"/>
          <w:color w:val="auto"/>
          <w:sz w:val="24"/>
          <w:highlight w:val="none"/>
        </w:rPr>
      </w:pPr>
    </w:p>
    <w:p>
      <w:pPr>
        <w:pStyle w:val="77"/>
        <w:spacing w:before="24" w:after="24"/>
        <w:rPr>
          <w:rFonts w:ascii="仿宋_GB2312" w:hAnsi="仿宋_GB2312" w:eastAsia="仿宋_GB2312" w:cs="仿宋_GB2312"/>
          <w:color w:val="auto"/>
          <w:sz w:val="28"/>
          <w:szCs w:val="28"/>
          <w:highlight w:val="none"/>
        </w:rPr>
      </w:pPr>
      <w:bookmarkStart w:id="403" w:name="_Toc68590976"/>
      <w:bookmarkStart w:id="404" w:name="_Toc6407"/>
      <w:bookmarkStart w:id="405" w:name="_Toc7005040"/>
      <w:r>
        <w:rPr>
          <w:rFonts w:hint="eastAsia" w:ascii="仿宋_GB2312" w:hAnsi="仿宋_GB2312" w:eastAsia="仿宋_GB2312" w:cs="仿宋_GB2312"/>
          <w:color w:val="auto"/>
          <w:sz w:val="28"/>
          <w:szCs w:val="28"/>
          <w:highlight w:val="none"/>
        </w:rPr>
        <w:t>1.评审方法</w:t>
      </w:r>
      <w:bookmarkEnd w:id="403"/>
      <w:bookmarkEnd w:id="404"/>
      <w:bookmarkEnd w:id="405"/>
    </w:p>
    <w:p>
      <w:pPr>
        <w:pStyle w:val="2"/>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77"/>
        <w:spacing w:before="24" w:after="24"/>
        <w:rPr>
          <w:rFonts w:ascii="仿宋_GB2312" w:hAnsi="仿宋_GB2312" w:eastAsia="仿宋_GB2312" w:cs="仿宋_GB2312"/>
          <w:color w:val="auto"/>
          <w:sz w:val="28"/>
          <w:szCs w:val="28"/>
          <w:highlight w:val="none"/>
        </w:rPr>
      </w:pPr>
      <w:bookmarkStart w:id="406" w:name="_Toc7005041"/>
      <w:bookmarkStart w:id="407" w:name="_Toc31504"/>
      <w:bookmarkStart w:id="408" w:name="_Toc68590977"/>
      <w:r>
        <w:rPr>
          <w:rFonts w:hint="eastAsia" w:ascii="仿宋_GB2312" w:hAnsi="仿宋_GB2312" w:eastAsia="仿宋_GB2312" w:cs="仿宋_GB2312"/>
          <w:color w:val="auto"/>
          <w:sz w:val="28"/>
          <w:szCs w:val="28"/>
          <w:highlight w:val="none"/>
        </w:rPr>
        <w:t>2.评审标准</w:t>
      </w:r>
      <w:bookmarkEnd w:id="406"/>
      <w:bookmarkEnd w:id="407"/>
      <w:bookmarkEnd w:id="408"/>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资格审查和符合性评审标准：见附表一和附表二。</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分值：总分100分</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（1）本项目为专门面向中小企业的项目，</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应为中小微企业</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监狱企业、残疾人福利性单位视同小微企业</w:t>
      </w:r>
      <w:r>
        <w:rPr>
          <w:rFonts w:hint="eastAsia" w:ascii="仿宋_GB2312" w:hAnsi="仿宋_GB2312" w:eastAsia="仿宋_GB2312" w:cs="仿宋_GB2312"/>
          <w:color w:val="auto"/>
          <w:sz w:val="24"/>
          <w:highlight w:val="none"/>
          <w:lang w:eastAsia="zh-CN"/>
        </w:rPr>
        <w:t>，所有供应商均不享受价格折扣</w:t>
      </w:r>
      <w:r>
        <w:rPr>
          <w:rFonts w:hint="eastAsia" w:ascii="仿宋_GB2312" w:hAnsi="仿宋_GB2312" w:eastAsia="仿宋_GB2312" w:cs="仿宋_GB2312"/>
          <w:color w:val="auto"/>
          <w:sz w:val="24"/>
          <w:highlight w:val="none"/>
        </w:rPr>
        <w:t>。</w:t>
      </w:r>
    </w:p>
    <w:p>
      <w:pPr>
        <w:pStyle w:val="2"/>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（2）评审基准价。有效响应文件中的最后报价的最低报价为评审基准价。</w:t>
      </w:r>
    </w:p>
    <w:p>
      <w:pPr>
        <w:pStyle w:val="2"/>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（3）供应商报价得分=(评审基准价／最后报价)×</w:t>
      </w:r>
      <w:r>
        <w:rPr>
          <w:rFonts w:hint="eastAsia" w:ascii="仿宋_GB2312" w:hAnsi="仿宋_GB2312" w:eastAsia="仿宋_GB2312" w:cs="仿宋_GB2312"/>
          <w:color w:val="auto"/>
          <w:sz w:val="24"/>
          <w:highlight w:val="none"/>
          <w:lang w:val="en-US" w:eastAsia="zh-CN"/>
        </w:rPr>
        <w:t>价格权值</w:t>
      </w:r>
    </w:p>
    <w:p>
      <w:pPr>
        <w:tabs>
          <w:tab w:val="left" w:pos="588"/>
        </w:tabs>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响应文件出现下列情况之一者，磋商小组在评审过程中按以下原则修正：</w:t>
      </w:r>
    </w:p>
    <w:p>
      <w:pPr>
        <w:tabs>
          <w:tab w:val="left" w:pos="588"/>
        </w:tabs>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（1）大写金额与小写金额不一致的，以大写金额为准；</w:t>
      </w:r>
    </w:p>
    <w:p>
      <w:pPr>
        <w:tabs>
          <w:tab w:val="left" w:pos="588"/>
        </w:tabs>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（2）总价金额与按单价汇总金额不一致的，以单价金额计算结果为准；</w:t>
      </w:r>
    </w:p>
    <w:p>
      <w:pPr>
        <w:tabs>
          <w:tab w:val="left" w:pos="588"/>
        </w:tabs>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（3）单价金额小数点有明显错位的，应以总价为准，并修改单价；</w:t>
      </w:r>
    </w:p>
    <w:p>
      <w:pPr>
        <w:tabs>
          <w:tab w:val="left" w:pos="588"/>
        </w:tabs>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（4）对不同文字文本响应文件的解释发生异议的，以中文文本为准；</w:t>
      </w:r>
    </w:p>
    <w:p>
      <w:pPr>
        <w:tabs>
          <w:tab w:val="left" w:pos="588"/>
        </w:tabs>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（5）文字与图表不一致的，以文字为准；</w:t>
      </w:r>
    </w:p>
    <w:p>
      <w:pPr>
        <w:tabs>
          <w:tab w:val="left" w:pos="588"/>
        </w:tabs>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（6）正本与副本不一致的，以正本为准；</w:t>
      </w:r>
    </w:p>
    <w:p>
      <w:pPr>
        <w:pStyle w:val="77"/>
        <w:spacing w:before="24" w:after="24"/>
        <w:rPr>
          <w:rFonts w:ascii="仿宋_GB2312" w:hAnsi="仿宋_GB2312" w:eastAsia="仿宋_GB2312" w:cs="仿宋_GB2312"/>
          <w:color w:val="auto"/>
          <w:sz w:val="28"/>
          <w:szCs w:val="28"/>
          <w:highlight w:val="none"/>
        </w:rPr>
      </w:pPr>
      <w:bookmarkStart w:id="409" w:name="_Toc7005042"/>
      <w:bookmarkStart w:id="410" w:name="_Toc68590978"/>
      <w:bookmarkStart w:id="411" w:name="_Toc3339"/>
      <w:r>
        <w:rPr>
          <w:rFonts w:hint="eastAsia" w:ascii="仿宋_GB2312" w:hAnsi="仿宋_GB2312" w:eastAsia="仿宋_GB2312" w:cs="仿宋_GB2312"/>
          <w:color w:val="auto"/>
          <w:sz w:val="28"/>
          <w:szCs w:val="28"/>
          <w:highlight w:val="none"/>
        </w:rPr>
        <w:t>3.评审程序</w:t>
      </w:r>
      <w:bookmarkEnd w:id="409"/>
      <w:bookmarkEnd w:id="410"/>
      <w:bookmarkEnd w:id="411"/>
    </w:p>
    <w:p>
      <w:pPr>
        <w:pStyle w:val="2"/>
        <w:rPr>
          <w:rFonts w:ascii="仿宋_GB2312" w:hAnsi="仿宋_GB2312" w:eastAsia="仿宋_GB2312" w:cs="仿宋_GB2312"/>
          <w:b/>
          <w:color w:val="auto"/>
          <w:sz w:val="24"/>
          <w:highlight w:val="none"/>
        </w:rPr>
      </w:pPr>
      <w:bookmarkStart w:id="412" w:name="_Toc7005043"/>
      <w:r>
        <w:rPr>
          <w:rFonts w:hint="eastAsia" w:ascii="仿宋_GB2312" w:hAnsi="仿宋_GB2312" w:eastAsia="仿宋_GB2312" w:cs="仿宋_GB2312"/>
          <w:b/>
          <w:color w:val="auto"/>
          <w:sz w:val="24"/>
          <w:highlight w:val="none"/>
        </w:rPr>
        <w:t>3.1资格审查及符合性审查</w:t>
      </w:r>
      <w:bookmarkEnd w:id="412"/>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3.1.1 采购人或采购代理机构按附表一所列审查标准对供应商资格进行审查，以确定供应商是否具备磋商资格。</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3.1.2 磋商小组对符合资格要求的响应文件按附表二进行符合性审查，以确定其是否满足磋商文件的实质性要求（见本章内的符合性审查表）。</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磋商小组不接受供应商主动提出的澄清、说明或补正。</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供应商的书面澄清、说明和补正属于响应文件的组成部分。</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磋商小组对供应商提交的澄清、说明或补正有疑问的，可以要求供应商进一步澄清、说明或补正，直至满足评审小组的要求。</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3.1.4 不具备磋商文件要求的资格或未通过符合性审查的供应商，不参与磋商，由磋商小组告知该供应商。</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3.1.5 通过资格审查和符合性审查的合格供应商不足3家的，不再进行评审和磋商。</w:t>
      </w:r>
    </w:p>
    <w:p>
      <w:pPr>
        <w:pStyle w:val="2"/>
        <w:rPr>
          <w:rFonts w:ascii="仿宋_GB2312" w:hAnsi="仿宋_GB2312" w:eastAsia="仿宋_GB2312" w:cs="仿宋_GB2312"/>
          <w:b/>
          <w:color w:val="auto"/>
          <w:sz w:val="24"/>
          <w:highlight w:val="none"/>
        </w:rPr>
      </w:pPr>
      <w:bookmarkStart w:id="413" w:name="_Toc7005044"/>
      <w:r>
        <w:rPr>
          <w:rFonts w:hint="eastAsia" w:ascii="仿宋_GB2312" w:hAnsi="仿宋_GB2312" w:eastAsia="仿宋_GB2312" w:cs="仿宋_GB2312"/>
          <w:b/>
          <w:color w:val="auto"/>
          <w:sz w:val="24"/>
          <w:highlight w:val="none"/>
        </w:rPr>
        <w:t>3.2 磋商</w:t>
      </w:r>
      <w:bookmarkEnd w:id="413"/>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3.2.1按“供应商须知”第五条规定，由磋商小组与供应商进行磋商。</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 磋商结束后，磋商小组可以要求所有继续参加磋商的供应商在规定时间内提交最后报价函，提交最后报价函的供应商不得少于3家。</w:t>
      </w:r>
    </w:p>
    <w:p>
      <w:pPr>
        <w:pStyle w:val="2"/>
        <w:rPr>
          <w:rFonts w:ascii="仿宋_GB2312" w:hAnsi="仿宋_GB2312" w:eastAsia="仿宋_GB2312" w:cs="仿宋_GB2312"/>
          <w:b/>
          <w:color w:val="auto"/>
          <w:sz w:val="24"/>
          <w:highlight w:val="none"/>
        </w:rPr>
      </w:pPr>
      <w:bookmarkStart w:id="414" w:name="_Toc7005045"/>
      <w:r>
        <w:rPr>
          <w:rFonts w:hint="eastAsia" w:ascii="仿宋_GB2312" w:hAnsi="仿宋_GB2312" w:eastAsia="仿宋_GB2312" w:cs="仿宋_GB2312"/>
          <w:b/>
          <w:color w:val="auto"/>
          <w:sz w:val="24"/>
          <w:highlight w:val="none"/>
        </w:rPr>
        <w:t>3.3评审</w:t>
      </w:r>
      <w:bookmarkEnd w:id="414"/>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 比较与评价</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磋商小组按</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商务和技术评审标准]对供应商提交的响应文件（包括最后报价函）进行商务和技术评估，综合比较与评价。</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磋商小组认为供应商的报价明显低于其他参与最后报价的供应商的报价或明显低于采购预算时，有可能影响</w:t>
      </w:r>
      <w:r>
        <w:rPr>
          <w:rFonts w:hint="eastAsia" w:ascii="仿宋_GB2312" w:hAnsi="仿宋_GB2312" w:eastAsia="仿宋_GB2312" w:cs="仿宋_GB2312"/>
          <w:color w:val="auto"/>
          <w:sz w:val="24"/>
          <w:highlight w:val="none"/>
          <w:lang w:val="en-US" w:eastAsia="zh-CN"/>
        </w:rPr>
        <w:t>服务</w:t>
      </w:r>
      <w:r>
        <w:rPr>
          <w:rFonts w:hint="eastAsia" w:ascii="仿宋_GB2312" w:hAnsi="仿宋_GB2312" w:eastAsia="仿宋_GB2312" w:cs="仿宋_GB2312"/>
          <w:color w:val="auto"/>
          <w:sz w:val="24"/>
          <w:highlight w:val="none"/>
        </w:rPr>
        <w:t>质量或者不能诚信履约的，应当要求其在合理的时间内提供书面说明，并提交相关证明材料；供应商不能证明其报价合理性的，磋商小组应当将其作为无效处理。</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 磋商小组按规定的量化因素和分值进行打分，并计算出综合评估得分。</w:t>
      </w:r>
    </w:p>
    <w:p>
      <w:pPr>
        <w:pStyle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3.4 评审结果</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3.4.1 除第二章“供应商须知”前附表授权直接确定成交供应商外，磋商小组按照得分由高到低的顺序推荐3名成交候选人。</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3.4.2 磋商小组完成评审后，应当向采购人提交书面评审报告。</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spacing w:line="360" w:lineRule="auto"/>
        <w:jc w:val="center"/>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附表一 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序号</w:t>
            </w:r>
          </w:p>
        </w:tc>
        <w:tc>
          <w:tcPr>
            <w:tcW w:w="2655" w:type="dxa"/>
            <w:vAlign w:val="center"/>
          </w:tcPr>
          <w:p>
            <w:pPr>
              <w:snapToGrid w:val="0"/>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评审内容</w:t>
            </w:r>
          </w:p>
        </w:tc>
        <w:tc>
          <w:tcPr>
            <w:tcW w:w="4677" w:type="dxa"/>
            <w:vAlign w:val="center"/>
          </w:tcPr>
          <w:p>
            <w:pPr>
              <w:snapToGrid w:val="0"/>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评审合格标准</w:t>
            </w:r>
          </w:p>
        </w:tc>
        <w:tc>
          <w:tcPr>
            <w:tcW w:w="1178" w:type="dxa"/>
            <w:vAlign w:val="center"/>
          </w:tcPr>
          <w:p>
            <w:pPr>
              <w:snapToGrid w:val="0"/>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1</w:t>
            </w:r>
          </w:p>
        </w:tc>
        <w:tc>
          <w:tcPr>
            <w:tcW w:w="2655" w:type="dxa"/>
            <w:vAlign w:val="center"/>
          </w:tcPr>
          <w:p>
            <w:pPr>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供应商名称</w:t>
            </w:r>
          </w:p>
        </w:tc>
        <w:tc>
          <w:tcPr>
            <w:tcW w:w="4677" w:type="dxa"/>
            <w:vAlign w:val="center"/>
          </w:tcPr>
          <w:p>
            <w:pPr>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与磋商登记备案、营业执照一致（符合法定工商变更程序除外）；</w:t>
            </w:r>
          </w:p>
        </w:tc>
        <w:tc>
          <w:tcPr>
            <w:tcW w:w="1178" w:type="dxa"/>
            <w:vAlign w:val="center"/>
          </w:tcPr>
          <w:p>
            <w:pPr>
              <w:snapToGrid w:val="0"/>
              <w:jc w:val="center"/>
              <w:rPr>
                <w:rFonts w:ascii="仿宋_GB2312" w:hAnsi="仿宋_GB2312" w:eastAsia="仿宋_GB2312" w:cs="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655"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具有独立承担民事责任的能力</w:t>
            </w:r>
          </w:p>
        </w:tc>
        <w:tc>
          <w:tcPr>
            <w:tcW w:w="4677" w:type="dxa"/>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提供了有效的法人或者其他组织的营业执照等证明文件，自然人的身份证明</w:t>
            </w:r>
          </w:p>
        </w:tc>
        <w:tc>
          <w:tcPr>
            <w:tcW w:w="1178" w:type="dxa"/>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2655" w:type="dxa"/>
            <w:shd w:val="clear" w:color="auto" w:fill="auto"/>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具有健全的财务会计制度</w:t>
            </w:r>
          </w:p>
        </w:tc>
        <w:tc>
          <w:tcPr>
            <w:tcW w:w="4677" w:type="dxa"/>
            <w:shd w:val="clear" w:color="auto" w:fill="auto"/>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2020或2021年度经审计的财务报告（包括审计报告、资产负债表、利润表、现金流量表、所有者权益变动表及其附注，成立时间至提交响应文件截止时间不足一年的可提供成立后任意时段的资产负债表），或其开标前三个月内银行出具的资信证明，或信用担保机构出具的投标担保函。（以上三种形式的资料提供任何一种即可）</w:t>
            </w:r>
          </w:p>
        </w:tc>
        <w:tc>
          <w:tcPr>
            <w:tcW w:w="1178" w:type="dxa"/>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2655" w:type="dxa"/>
            <w:shd w:val="clear" w:color="auto" w:fill="auto"/>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具有履行合同所必需的设备和专业技术能力</w:t>
            </w:r>
          </w:p>
        </w:tc>
        <w:tc>
          <w:tcPr>
            <w:tcW w:w="4677" w:type="dxa"/>
            <w:shd w:val="clear" w:color="auto" w:fill="auto"/>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shd w:val="clear" w:color="auto"/>
              </w:rPr>
              <w:t>提供了可充分满足履行合同所需设备和专业技术能力的证明材料或承诺</w:t>
            </w:r>
          </w:p>
        </w:tc>
        <w:tc>
          <w:tcPr>
            <w:tcW w:w="1178" w:type="dxa"/>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2655"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有依法缴纳税收和社会保障资金的良好记录</w:t>
            </w:r>
          </w:p>
        </w:tc>
        <w:tc>
          <w:tcPr>
            <w:tcW w:w="4677" w:type="dxa"/>
          </w:tcPr>
          <w:p>
            <w:pPr>
              <w:numPr>
                <w:ilvl w:val="0"/>
                <w:numId w:val="12"/>
              </w:numPr>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提供已缴存的2021年4月1日以来至少一个月的纳税证明或完税证明（提供增值税、企业所得税至少一种）。依法免税的供应商应提供相关文件证明</w:t>
            </w:r>
          </w:p>
          <w:p>
            <w:pPr>
              <w:numPr>
                <w:ilvl w:val="0"/>
                <w:numId w:val="0"/>
              </w:num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提供响应文件递交截止日前一年内已缴存的至少一个月的社会保障资金缴存单据或社保机构开具的社会保险参保缴费情况证明（专用收据或社会保险缴纳清单），并加盖本单位公章。</w:t>
            </w:r>
          </w:p>
        </w:tc>
        <w:tc>
          <w:tcPr>
            <w:tcW w:w="1178" w:type="dxa"/>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2655"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参加政府采购活动前三年内，在经营活动中没有重大违法记录</w:t>
            </w:r>
          </w:p>
        </w:tc>
        <w:tc>
          <w:tcPr>
            <w:tcW w:w="4677" w:type="dxa"/>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提供了有效的参加政府采购活动前3年内在经营活动中没有重大违法记录的书面声明</w:t>
            </w:r>
          </w:p>
        </w:tc>
        <w:tc>
          <w:tcPr>
            <w:tcW w:w="1178" w:type="dxa"/>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2655"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法律、行政法规规定的其他条件</w:t>
            </w:r>
          </w:p>
        </w:tc>
        <w:tc>
          <w:tcPr>
            <w:tcW w:w="4677" w:type="dxa"/>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不存在违反法律、法规的情况</w:t>
            </w:r>
          </w:p>
        </w:tc>
        <w:tc>
          <w:tcPr>
            <w:tcW w:w="1178" w:type="dxa"/>
            <w:vAlign w:val="center"/>
          </w:tcPr>
          <w:p>
            <w:pPr>
              <w:snapToGrid w:val="0"/>
              <w:ind w:left="425"/>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2655"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“信用中国”网站和中国政府采购网（www.ccgp.gov.cn）查询记录</w:t>
            </w:r>
          </w:p>
        </w:tc>
        <w:tc>
          <w:tcPr>
            <w:tcW w:w="4677" w:type="dxa"/>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未被“信用中国”网站（</w:t>
            </w:r>
            <w:r>
              <w:rPr>
                <w:color w:val="auto"/>
                <w:highlight w:val="none"/>
              </w:rPr>
              <w:fldChar w:fldCharType="begin"/>
            </w:r>
            <w:r>
              <w:rPr>
                <w:color w:val="auto"/>
                <w:highlight w:val="none"/>
              </w:rPr>
              <w:instrText xml:space="preserve"> HYPERLINK "http://www.creditchina.gov.cn）中列入失信被执行人和/" </w:instrText>
            </w:r>
            <w:r>
              <w:rPr>
                <w:color w:val="auto"/>
                <w:highlight w:val="none"/>
              </w:rPr>
              <w:fldChar w:fldCharType="separate"/>
            </w:r>
            <w:r>
              <w:rPr>
                <w:rFonts w:hint="eastAsia" w:ascii="仿宋_GB2312" w:hAnsi="仿宋_GB2312" w:eastAsia="仿宋_GB2312" w:cs="仿宋_GB2312"/>
                <w:color w:val="auto"/>
                <w:szCs w:val="21"/>
                <w:highlight w:val="none"/>
              </w:rPr>
              <w:t>www.creditchina.gov.cn）中列入失信被执行人和/</w:t>
            </w:r>
            <w:r>
              <w:rPr>
                <w:rFonts w:hint="eastAsia" w:ascii="仿宋_GB2312" w:hAnsi="仿宋_GB2312" w:eastAsia="仿宋_GB2312" w:cs="仿宋_GB2312"/>
                <w:color w:val="auto"/>
                <w:szCs w:val="21"/>
                <w:highlight w:val="none"/>
              </w:rPr>
              <w:fldChar w:fldCharType="end"/>
            </w:r>
            <w:r>
              <w:rPr>
                <w:rFonts w:hint="eastAsia" w:ascii="仿宋_GB2312" w:hAnsi="仿宋_GB2312" w:eastAsia="仿宋_GB2312" w:cs="仿宋_GB2312"/>
                <w:color w:val="auto"/>
                <w:szCs w:val="21"/>
                <w:highlight w:val="none"/>
              </w:rPr>
              <w:t>或重大税收违法案件当事人名单的供应商、未被中国政府采购网（www.ccgp.gov.cn）列入政府采购严重违法失信行为记录名单中被财政部门禁止参加政府采购活动的供应商（处罚决定规定的时间和地域范围内）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178" w:type="dxa"/>
            <w:vAlign w:val="center"/>
          </w:tcPr>
          <w:p>
            <w:pPr>
              <w:snapToGrid w:val="0"/>
              <w:ind w:left="425"/>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w:t>
            </w:r>
          </w:p>
        </w:tc>
        <w:tc>
          <w:tcPr>
            <w:tcW w:w="2655"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单位负责人为同一人或者存在控股、管理关系的不同单位，不得同时参加本项目的磋商。</w:t>
            </w:r>
          </w:p>
        </w:tc>
        <w:tc>
          <w:tcPr>
            <w:tcW w:w="4677" w:type="dxa"/>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提供了法人代表、控股股东、控股企业及管理、被管理单位情况声明且各供应商之间不存在单位负责人为同一人或者存在控股、管理关系情形。</w:t>
            </w:r>
          </w:p>
        </w:tc>
        <w:tc>
          <w:tcPr>
            <w:tcW w:w="1178" w:type="dxa"/>
            <w:vAlign w:val="center"/>
          </w:tcPr>
          <w:p>
            <w:pPr>
              <w:snapToGrid w:val="0"/>
              <w:ind w:left="425"/>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c>
          <w:tcPr>
            <w:tcW w:w="2655"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为本项目提供整体设计、规范编制或者项目管理、监理、检测等服务的供应商，不得再参加本项目磋商。</w:t>
            </w:r>
          </w:p>
        </w:tc>
        <w:tc>
          <w:tcPr>
            <w:tcW w:w="4677" w:type="dxa"/>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提供了供应商未为本项目提供整体设计、规范编制或者项目管理、监理、检测等服务的声明。</w:t>
            </w:r>
          </w:p>
        </w:tc>
        <w:tc>
          <w:tcPr>
            <w:tcW w:w="1178" w:type="dxa"/>
            <w:vAlign w:val="center"/>
          </w:tcPr>
          <w:p>
            <w:pPr>
              <w:snapToGrid w:val="0"/>
              <w:ind w:left="425"/>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w:t>
            </w:r>
          </w:p>
        </w:tc>
        <w:tc>
          <w:tcPr>
            <w:tcW w:w="2655"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联合体</w:t>
            </w:r>
          </w:p>
        </w:tc>
        <w:tc>
          <w:tcPr>
            <w:tcW w:w="4677" w:type="dxa"/>
          </w:tcPr>
          <w:p>
            <w:pPr>
              <w:snapToGrid w:val="0"/>
              <w:jc w:val="lef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本项目不允许联合体</w:t>
            </w:r>
          </w:p>
        </w:tc>
        <w:tc>
          <w:tcPr>
            <w:tcW w:w="1178" w:type="dxa"/>
            <w:vAlign w:val="center"/>
          </w:tcPr>
          <w:p>
            <w:pPr>
              <w:snapToGrid w:val="0"/>
              <w:ind w:left="425"/>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2" w:type="dxa"/>
            <w:vMerge w:val="restart"/>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w:t>
            </w:r>
          </w:p>
        </w:tc>
        <w:tc>
          <w:tcPr>
            <w:tcW w:w="2655" w:type="dxa"/>
            <w:vMerge w:val="restart"/>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供应商特定资格条件</w:t>
            </w:r>
          </w:p>
        </w:tc>
        <w:tc>
          <w:tcPr>
            <w:tcW w:w="4677" w:type="dxa"/>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1、向采购代理机构购买了磋商文件并登记备案；</w:t>
            </w:r>
          </w:p>
        </w:tc>
        <w:tc>
          <w:tcPr>
            <w:tcW w:w="1178" w:type="dxa"/>
            <w:vMerge w:val="restart"/>
            <w:vAlign w:val="center"/>
          </w:tcPr>
          <w:p>
            <w:pPr>
              <w:snapToGrid w:val="0"/>
              <w:ind w:left="425"/>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2" w:type="dxa"/>
            <w:vMerge w:val="continue"/>
            <w:vAlign w:val="center"/>
          </w:tcPr>
          <w:p>
            <w:pPr>
              <w:snapToGrid w:val="0"/>
              <w:jc w:val="center"/>
              <w:rPr>
                <w:rFonts w:hint="eastAsia" w:ascii="仿宋_GB2312" w:hAnsi="仿宋_GB2312" w:eastAsia="仿宋_GB2312" w:cs="仿宋_GB2312"/>
                <w:color w:val="auto"/>
                <w:szCs w:val="21"/>
                <w:highlight w:val="none"/>
              </w:rPr>
            </w:pPr>
          </w:p>
        </w:tc>
        <w:tc>
          <w:tcPr>
            <w:tcW w:w="2655" w:type="dxa"/>
            <w:vMerge w:val="continue"/>
            <w:vAlign w:val="center"/>
          </w:tcPr>
          <w:p>
            <w:pPr>
              <w:snapToGrid w:val="0"/>
              <w:jc w:val="left"/>
              <w:rPr>
                <w:rFonts w:hint="eastAsia" w:ascii="仿宋_GB2312" w:hAnsi="仿宋_GB2312" w:eastAsia="仿宋_GB2312" w:cs="仿宋_GB2312"/>
                <w:color w:val="auto"/>
                <w:szCs w:val="21"/>
                <w:highlight w:val="none"/>
              </w:rPr>
            </w:pPr>
          </w:p>
        </w:tc>
        <w:tc>
          <w:tcPr>
            <w:tcW w:w="4677" w:type="dxa"/>
          </w:tcPr>
          <w:p>
            <w:pPr>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2.本项目为（专门）面向中小企业的项目，如供应商为非中小企，其响应文件将被认定为无效。</w:t>
            </w:r>
          </w:p>
        </w:tc>
        <w:tc>
          <w:tcPr>
            <w:tcW w:w="1178" w:type="dxa"/>
            <w:vMerge w:val="continue"/>
            <w:vAlign w:val="center"/>
          </w:tcPr>
          <w:p>
            <w:pPr>
              <w:snapToGrid w:val="0"/>
              <w:ind w:left="425"/>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52" w:type="dxa"/>
            <w:vMerge w:val="continue"/>
            <w:vAlign w:val="center"/>
          </w:tcPr>
          <w:p>
            <w:pPr>
              <w:snapToGrid w:val="0"/>
              <w:jc w:val="center"/>
              <w:rPr>
                <w:rFonts w:ascii="仿宋_GB2312" w:hAnsi="仿宋_GB2312" w:eastAsia="仿宋_GB2312" w:cs="仿宋_GB2312"/>
                <w:color w:val="auto"/>
                <w:szCs w:val="21"/>
                <w:highlight w:val="none"/>
              </w:rPr>
            </w:pPr>
          </w:p>
        </w:tc>
        <w:tc>
          <w:tcPr>
            <w:tcW w:w="2655" w:type="dxa"/>
            <w:vMerge w:val="continue"/>
            <w:vAlign w:val="center"/>
          </w:tcPr>
          <w:p>
            <w:pPr>
              <w:snapToGrid w:val="0"/>
              <w:jc w:val="left"/>
              <w:rPr>
                <w:rFonts w:ascii="仿宋_GB2312" w:hAnsi="仿宋_GB2312" w:eastAsia="仿宋_GB2312" w:cs="仿宋_GB2312"/>
                <w:color w:val="auto"/>
                <w:szCs w:val="21"/>
                <w:highlight w:val="none"/>
              </w:rPr>
            </w:pPr>
          </w:p>
        </w:tc>
        <w:tc>
          <w:tcPr>
            <w:tcW w:w="4677" w:type="dxa"/>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、法定代表人直接参加磋商的须出具法人身份证（须与营业执照上信息一致），法定代表人授权代表参加磋商的须出具法定代表人授权书及授权代表本单位身份证明（养老保险缴纳证明或劳动合同）。</w:t>
            </w:r>
          </w:p>
        </w:tc>
        <w:tc>
          <w:tcPr>
            <w:tcW w:w="1178" w:type="dxa"/>
            <w:vMerge w:val="continue"/>
            <w:vAlign w:val="center"/>
          </w:tcPr>
          <w:p>
            <w:pPr>
              <w:snapToGrid w:val="0"/>
              <w:ind w:left="425"/>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2" w:type="dxa"/>
            <w:vAlign w:val="center"/>
          </w:tcPr>
          <w:p>
            <w:pPr>
              <w:snapToGrid w:val="0"/>
              <w:jc w:val="center"/>
              <w:rPr>
                <w:rFonts w:ascii="仿宋_GB2312" w:hAnsi="仿宋_GB2312" w:eastAsia="仿宋_GB2312" w:cs="仿宋_GB2312"/>
                <w:color w:val="auto"/>
                <w:szCs w:val="21"/>
                <w:highlight w:val="none"/>
              </w:rPr>
            </w:pPr>
          </w:p>
        </w:tc>
        <w:tc>
          <w:tcPr>
            <w:tcW w:w="2655" w:type="dxa"/>
            <w:vAlign w:val="center"/>
          </w:tcPr>
          <w:p>
            <w:pPr>
              <w:snapToGrid w:val="0"/>
              <w:ind w:left="425"/>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结论</w:t>
            </w:r>
          </w:p>
        </w:tc>
        <w:tc>
          <w:tcPr>
            <w:tcW w:w="4677" w:type="dxa"/>
          </w:tcPr>
          <w:p>
            <w:pPr>
              <w:snapToGrid w:val="0"/>
              <w:jc w:val="center"/>
              <w:rPr>
                <w:rFonts w:ascii="仿宋_GB2312" w:hAnsi="仿宋_GB2312" w:eastAsia="仿宋_GB2312" w:cs="仿宋_GB2312"/>
                <w:color w:val="auto"/>
                <w:szCs w:val="21"/>
                <w:highlight w:val="none"/>
              </w:rPr>
            </w:pPr>
          </w:p>
        </w:tc>
        <w:tc>
          <w:tcPr>
            <w:tcW w:w="1178" w:type="dxa"/>
            <w:vAlign w:val="center"/>
          </w:tcPr>
          <w:p>
            <w:pPr>
              <w:snapToGrid w:val="0"/>
              <w:ind w:left="425"/>
              <w:jc w:val="center"/>
              <w:rPr>
                <w:rFonts w:ascii="仿宋_GB2312" w:hAnsi="仿宋_GB2312" w:eastAsia="仿宋_GB2312" w:cs="仿宋_GB2312"/>
                <w:color w:val="auto"/>
                <w:szCs w:val="21"/>
                <w:highlight w:val="none"/>
              </w:rPr>
            </w:pPr>
          </w:p>
        </w:tc>
      </w:tr>
    </w:tbl>
    <w:p>
      <w:pPr>
        <w:spacing w:line="0" w:lineRule="atLeast"/>
        <w:ind w:left="42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注：符合要求用“○”表示，不符合用“×”表示。有一项不符合要求，结论为不合格。</w:t>
      </w:r>
    </w:p>
    <w:p>
      <w:pPr>
        <w:spacing w:line="360" w:lineRule="auto"/>
        <w:jc w:val="center"/>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Cs w:val="21"/>
          <w:highlight w:val="none"/>
        </w:rPr>
        <w:br w:type="page"/>
      </w:r>
      <w:r>
        <w:rPr>
          <w:rFonts w:hint="eastAsia" w:ascii="仿宋_GB2312" w:hAnsi="仿宋_GB2312" w:eastAsia="仿宋_GB2312" w:cs="仿宋_GB2312"/>
          <w:b/>
          <w:color w:val="auto"/>
          <w:sz w:val="30"/>
          <w:szCs w:val="30"/>
          <w:highlight w:val="none"/>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序号</w:t>
            </w:r>
          </w:p>
        </w:tc>
        <w:tc>
          <w:tcPr>
            <w:tcW w:w="1723" w:type="dxa"/>
            <w:vAlign w:val="center"/>
          </w:tcPr>
          <w:p>
            <w:pPr>
              <w:tabs>
                <w:tab w:val="left" w:pos="1260"/>
                <w:tab w:val="left" w:pos="1620"/>
              </w:tabs>
              <w:adjustRightInd w:val="0"/>
              <w:snapToGrid w:val="0"/>
              <w:jc w:val="center"/>
              <w:textAlignment w:val="baseline"/>
              <w:rPr>
                <w:rFonts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评审项目</w:t>
            </w:r>
          </w:p>
        </w:tc>
        <w:tc>
          <w:tcPr>
            <w:tcW w:w="5401" w:type="dxa"/>
            <w:vAlign w:val="center"/>
          </w:tcPr>
          <w:p>
            <w:pPr>
              <w:tabs>
                <w:tab w:val="left" w:pos="1260"/>
                <w:tab w:val="left" w:pos="1620"/>
              </w:tabs>
              <w:adjustRightInd w:val="0"/>
              <w:snapToGrid w:val="0"/>
              <w:jc w:val="center"/>
              <w:textAlignment w:val="baseline"/>
              <w:rPr>
                <w:rFonts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评审标准</w:t>
            </w:r>
          </w:p>
        </w:tc>
        <w:tc>
          <w:tcPr>
            <w:tcW w:w="1313" w:type="dxa"/>
            <w:vAlign w:val="center"/>
          </w:tcPr>
          <w:p>
            <w:pPr>
              <w:tabs>
                <w:tab w:val="left" w:pos="1260"/>
                <w:tab w:val="left" w:pos="1620"/>
              </w:tabs>
              <w:adjustRightInd w:val="0"/>
              <w:snapToGrid w:val="0"/>
              <w:jc w:val="center"/>
              <w:textAlignment w:val="baseline"/>
              <w:rPr>
                <w:rFonts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评审结论</w:t>
            </w:r>
          </w:p>
          <w:p>
            <w:pPr>
              <w:tabs>
                <w:tab w:val="left" w:pos="1260"/>
                <w:tab w:val="left" w:pos="1620"/>
              </w:tabs>
              <w:adjustRightInd w:val="0"/>
              <w:snapToGrid w:val="0"/>
              <w:jc w:val="center"/>
              <w:textAlignment w:val="baseline"/>
              <w:rPr>
                <w:rFonts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aps/>
                <w:color w:val="auto"/>
                <w:szCs w:val="21"/>
                <w:highlight w:val="none"/>
              </w:rPr>
              <w:t>/</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aps/>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磋商保证金</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按照磋商文件的规定提交磋商保证金；</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响应文件签署盖章</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按磋商文件格式要求加盖了供应商公章和有法定代表人或其授权代表签字或加盖人名章。</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报价</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供应商报价是固定价且未超过预算金额；</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附加条件</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响应文件不含有采购人不能接受的附加条件；</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公平竞争</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弄虚作假、相互串通的情形见附注</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其他无效情形</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无法律、法规和磋商文件规定的其他无效情形；</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4"/>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响应文件有效期</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有效期满足磋商文件要求的；</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4"/>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响应文件格式</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响应文件按规定的格式填写，内容完整且关键字迹清晰；</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pPr>
              <w:numPr>
                <w:ilvl w:val="0"/>
                <w:numId w:val="14"/>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备选方案</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strike/>
                <w:color w:val="auto"/>
                <w:szCs w:val="21"/>
                <w:highlight w:val="none"/>
              </w:rPr>
            </w:pPr>
            <w:r>
              <w:rPr>
                <w:rFonts w:hint="eastAsia" w:ascii="仿宋_GB2312" w:hAnsi="仿宋_GB2312" w:eastAsia="仿宋_GB2312" w:cs="仿宋_GB2312"/>
                <w:color w:val="auto"/>
                <w:szCs w:val="21"/>
                <w:highlight w:val="none"/>
              </w:rPr>
              <w:t>供应商不得提交两份或者多份内容不同的响应文件，或者在同一份响应文件中对同一磋商项目有两个或者多个报价；</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4"/>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响应文件内容</w:t>
            </w:r>
          </w:p>
        </w:tc>
        <w:tc>
          <w:tcPr>
            <w:tcW w:w="5401" w:type="dxa"/>
            <w:shd w:val="clear" w:color="auto" w:fill="auto"/>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shd w:val="clear" w:color="auto"/>
              </w:rPr>
              <w:t>供应商提供的</w:t>
            </w:r>
            <w:r>
              <w:rPr>
                <w:rFonts w:hint="eastAsia" w:ascii="仿宋_GB2312" w:hAnsi="仿宋_GB2312" w:eastAsia="仿宋_GB2312" w:cs="仿宋_GB2312"/>
                <w:color w:val="auto"/>
                <w:szCs w:val="21"/>
                <w:highlight w:val="none"/>
                <w:shd w:val="clear" w:color="auto"/>
                <w:lang w:val="en-US" w:eastAsia="zh-CN"/>
              </w:rPr>
              <w:t>服务</w:t>
            </w:r>
            <w:r>
              <w:rPr>
                <w:rFonts w:hint="eastAsia" w:ascii="仿宋_GB2312" w:hAnsi="仿宋_GB2312" w:eastAsia="仿宋_GB2312" w:cs="仿宋_GB2312"/>
                <w:color w:val="auto"/>
                <w:szCs w:val="21"/>
                <w:highlight w:val="none"/>
                <w:shd w:val="clear" w:color="auto"/>
              </w:rPr>
              <w:t>无实质性遗漏</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4"/>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技术响应</w:t>
            </w:r>
          </w:p>
        </w:tc>
        <w:tc>
          <w:tcPr>
            <w:tcW w:w="5401" w:type="dxa"/>
            <w:shd w:val="clear" w:color="auto" w:fill="auto"/>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shd w:val="clear" w:color="auto"/>
              </w:rPr>
              <w:t>符合“采购需求”要求，无重大偏差</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4"/>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iCs/>
                <w:color w:val="auto"/>
                <w:szCs w:val="21"/>
                <w:highlight w:val="none"/>
              </w:rPr>
            </w:pPr>
            <w:r>
              <w:rPr>
                <w:rFonts w:hint="eastAsia" w:ascii="仿宋_GB2312" w:hAnsi="仿宋_GB2312" w:eastAsia="仿宋_GB2312" w:cs="仿宋_GB2312"/>
                <w:iCs/>
                <w:color w:val="auto"/>
                <w:szCs w:val="21"/>
                <w:highlight w:val="none"/>
                <w:lang w:val="en-US" w:eastAsia="zh-CN"/>
              </w:rPr>
              <w:t>服务</w:t>
            </w:r>
            <w:r>
              <w:rPr>
                <w:rFonts w:hint="eastAsia" w:ascii="仿宋_GB2312" w:hAnsi="仿宋_GB2312" w:eastAsia="仿宋_GB2312" w:cs="仿宋_GB2312"/>
                <w:iCs/>
                <w:color w:val="auto"/>
                <w:szCs w:val="21"/>
                <w:highlight w:val="none"/>
              </w:rPr>
              <w:t>期和</w:t>
            </w:r>
            <w:r>
              <w:rPr>
                <w:rFonts w:hint="eastAsia" w:ascii="仿宋_GB2312" w:hAnsi="仿宋_GB2312" w:eastAsia="仿宋_GB2312" w:cs="仿宋_GB2312"/>
                <w:iCs/>
                <w:color w:val="auto"/>
                <w:szCs w:val="21"/>
                <w:highlight w:val="none"/>
                <w:lang w:val="en-US" w:eastAsia="zh-CN"/>
              </w:rPr>
              <w:t>服务</w:t>
            </w:r>
            <w:r>
              <w:rPr>
                <w:rFonts w:hint="eastAsia" w:ascii="仿宋_GB2312" w:hAnsi="仿宋_GB2312" w:eastAsia="仿宋_GB2312" w:cs="仿宋_GB2312"/>
                <w:iCs/>
                <w:color w:val="auto"/>
                <w:szCs w:val="21"/>
                <w:highlight w:val="none"/>
              </w:rPr>
              <w:t>地点</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iCs/>
                <w:color w:val="auto"/>
                <w:szCs w:val="21"/>
                <w:highlight w:val="none"/>
              </w:rPr>
            </w:pPr>
            <w:r>
              <w:rPr>
                <w:rFonts w:hint="eastAsia" w:ascii="仿宋_GB2312" w:hAnsi="仿宋_GB2312" w:eastAsia="仿宋_GB2312" w:cs="仿宋_GB2312"/>
                <w:iCs/>
                <w:color w:val="auto"/>
                <w:szCs w:val="21"/>
                <w:highlight w:val="none"/>
              </w:rPr>
              <w:t>满足磋商文件要求；</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4"/>
              </w:num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723" w:type="dxa"/>
            <w:vAlign w:val="center"/>
          </w:tcPr>
          <w:p>
            <w:pPr>
              <w:tabs>
                <w:tab w:val="left" w:pos="1260"/>
                <w:tab w:val="left" w:pos="1620"/>
              </w:tabs>
              <w:adjustRightInd w:val="0"/>
              <w:snapToGrid w:val="0"/>
              <w:textAlignment w:val="baseline"/>
              <w:rPr>
                <w:rFonts w:ascii="仿宋_GB2312" w:hAnsi="仿宋_GB2312" w:eastAsia="仿宋_GB2312" w:cs="仿宋_GB2312"/>
                <w:iCs/>
                <w:color w:val="auto"/>
                <w:kern w:val="2"/>
                <w:sz w:val="21"/>
                <w:szCs w:val="21"/>
                <w:highlight w:val="none"/>
                <w:lang w:val="en-US" w:eastAsia="zh-CN" w:bidi="ar-SA"/>
              </w:rPr>
            </w:pPr>
            <w:r>
              <w:rPr>
                <w:rFonts w:hint="eastAsia" w:ascii="仿宋_GB2312" w:hAnsi="仿宋_GB2312" w:eastAsia="仿宋_GB2312" w:cs="仿宋_GB2312"/>
                <w:iCs/>
                <w:color w:val="auto"/>
                <w:szCs w:val="21"/>
                <w:highlight w:val="none"/>
              </w:rPr>
              <w:t>付款方式</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iCs/>
                <w:color w:val="auto"/>
                <w:kern w:val="2"/>
                <w:sz w:val="21"/>
                <w:szCs w:val="21"/>
                <w:highlight w:val="none"/>
                <w:lang w:val="en-US" w:eastAsia="zh-CN" w:bidi="ar-SA"/>
              </w:rPr>
            </w:pPr>
            <w:r>
              <w:rPr>
                <w:rFonts w:hint="eastAsia" w:ascii="仿宋_GB2312" w:hAnsi="仿宋_GB2312" w:eastAsia="仿宋_GB2312" w:cs="仿宋_GB2312"/>
                <w:iCs/>
                <w:color w:val="auto"/>
                <w:szCs w:val="21"/>
                <w:highlight w:val="none"/>
              </w:rPr>
              <w:t>磋商文件不允许偏差时，响应文件无负偏差；</w:t>
            </w: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结论（通过或未通过）</w:t>
            </w:r>
          </w:p>
        </w:tc>
        <w:tc>
          <w:tcPr>
            <w:tcW w:w="5401"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c>
          <w:tcPr>
            <w:tcW w:w="1313" w:type="dxa"/>
            <w:vAlign w:val="center"/>
          </w:tcPr>
          <w:p>
            <w:pPr>
              <w:tabs>
                <w:tab w:val="left" w:pos="1260"/>
                <w:tab w:val="left" w:pos="1620"/>
              </w:tabs>
              <w:adjustRightInd w:val="0"/>
              <w:snapToGrid w:val="0"/>
              <w:textAlignment w:val="baseline"/>
              <w:rPr>
                <w:rFonts w:ascii="仿宋_GB2312" w:hAnsi="仿宋_GB2312" w:eastAsia="仿宋_GB2312" w:cs="仿宋_GB2312"/>
                <w:color w:val="auto"/>
                <w:szCs w:val="21"/>
                <w:highlight w:val="none"/>
              </w:rPr>
            </w:pPr>
          </w:p>
        </w:tc>
      </w:tr>
    </w:tbl>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注：1、符合磋商文件要求用“○”表示，不符合用“×”表示。有一项不符合要求，结论为不合格。</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2、有下列情形之一的，视为供应商相互串通：</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（1）不同供应商的响应文件由同一单位或者个人编制；</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（2）不同供应商委托同一单位或者个人办理参与磋商事宜；</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（4）不同供应商的响应文件异常一致或者报价呈规律性差异；</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（5）不同供应商的响应文件相互混装；</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（6）不同供应商的磋商保证金从同一单位或者个人的账户转出。</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3、有下列情形之一的，属于提供虚假材料谋取成交的行为：</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（1）使用伪造、变造的许可证件；</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（2）提供虚假的财务状况或者业绩；</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（3）提供虚假的项目负责人或者主要技术人员简历、劳动关系证明；</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（4）提供虚假的信用状况；</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（5）其他弄虚作假的行为。</w:t>
      </w: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p>
    <w:p>
      <w:pPr>
        <w:tabs>
          <w:tab w:val="left" w:pos="1260"/>
          <w:tab w:val="left" w:pos="1620"/>
        </w:tabs>
        <w:adjustRightInd w:val="0"/>
        <w:spacing w:line="360" w:lineRule="auto"/>
        <w:jc w:val="left"/>
        <w:textAlignment w:val="baseline"/>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br w:type="page"/>
      </w:r>
    </w:p>
    <w:p>
      <w:pPr>
        <w:jc w:val="center"/>
        <w:rPr>
          <w:rFonts w:ascii="仿宋_GB2312" w:hAnsi="仿宋_GB2312" w:eastAsia="仿宋_GB2312" w:cs="仿宋_GB2312"/>
          <w:b/>
          <w:color w:val="auto"/>
          <w:sz w:val="30"/>
          <w:szCs w:val="30"/>
          <w:highlight w:val="none"/>
        </w:rPr>
      </w:pPr>
      <w:bookmarkStart w:id="415" w:name="_Toc414446034"/>
      <w:bookmarkStart w:id="416" w:name="_Toc7005048"/>
      <w:bookmarkStart w:id="417" w:name="_Toc410631198"/>
      <w:r>
        <w:rPr>
          <w:rFonts w:hint="eastAsia" w:ascii="仿宋_GB2312" w:hAnsi="仿宋_GB2312" w:eastAsia="仿宋_GB2312" w:cs="仿宋_GB2312"/>
          <w:b/>
          <w:color w:val="auto"/>
          <w:sz w:val="30"/>
          <w:szCs w:val="30"/>
          <w:highlight w:val="none"/>
        </w:rPr>
        <w:t>附表三 评审因素及分值分配表</w:t>
      </w:r>
      <w:bookmarkEnd w:id="415"/>
      <w:bookmarkEnd w:id="416"/>
      <w:bookmarkEnd w:id="417"/>
    </w:p>
    <w:p>
      <w:pPr>
        <w:tabs>
          <w:tab w:val="left" w:pos="-94"/>
          <w:tab w:val="left" w:pos="1620"/>
        </w:tabs>
        <w:adjustRightInd w:val="0"/>
        <w:spacing w:line="360" w:lineRule="auto"/>
        <w:ind w:left="23" w:leftChars="11"/>
        <w:jc w:val="center"/>
        <w:textAlignment w:val="baseline"/>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（满分</w:t>
      </w:r>
      <w:r>
        <w:rPr>
          <w:rFonts w:hint="eastAsia" w:ascii="仿宋_GB2312" w:hAnsi="仿宋_GB2312" w:eastAsia="仿宋_GB2312" w:cs="仿宋_GB2312"/>
          <w:color w:val="auto"/>
          <w:szCs w:val="21"/>
          <w:highlight w:val="none"/>
          <w:lang w:val="en-US" w:eastAsia="zh-CN"/>
        </w:rPr>
        <w:t>100</w:t>
      </w:r>
      <w:r>
        <w:rPr>
          <w:rFonts w:hint="eastAsia" w:ascii="仿宋_GB2312" w:hAnsi="仿宋_GB2312" w:eastAsia="仿宋_GB2312" w:cs="仿宋_GB2312"/>
          <w:color w:val="auto"/>
          <w:szCs w:val="21"/>
          <w:highlight w:val="none"/>
        </w:rPr>
        <w:t>分）</w:t>
      </w:r>
    </w:p>
    <w:tbl>
      <w:tblPr>
        <w:tblStyle w:val="50"/>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65"/>
        <w:gridCol w:w="619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586"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765" w:type="dxa"/>
            <w:noWrap w:val="0"/>
            <w:vAlign w:val="center"/>
          </w:tcPr>
          <w:p>
            <w:pPr>
              <w:jc w:val="center"/>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en-US" w:eastAsia="zh-CN" w:bidi="ar-SA"/>
              </w:rPr>
              <w:t>评审内容</w:t>
            </w:r>
          </w:p>
        </w:tc>
        <w:tc>
          <w:tcPr>
            <w:tcW w:w="6195" w:type="dxa"/>
            <w:noWrap w:val="0"/>
            <w:vAlign w:val="center"/>
          </w:tcPr>
          <w:p>
            <w:pPr>
              <w:jc w:val="center"/>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en-US" w:eastAsia="zh-CN" w:bidi="ar-SA"/>
              </w:rPr>
              <w:t>评  审  标  准</w:t>
            </w:r>
          </w:p>
        </w:tc>
        <w:tc>
          <w:tcPr>
            <w:tcW w:w="839" w:type="dxa"/>
            <w:noWrap w:val="0"/>
            <w:vAlign w:val="center"/>
          </w:tcPr>
          <w:p>
            <w:pPr>
              <w:jc w:val="center"/>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en-US" w:eastAsia="zh-CN" w:bidi="ar-SA"/>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6" w:type="dxa"/>
            <w:noWrap w:val="0"/>
            <w:vAlign w:val="center"/>
          </w:tcPr>
          <w:p>
            <w:pPr>
              <w:widowControl/>
              <w:spacing w:line="46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765" w:type="dxa"/>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磋商</w:t>
            </w:r>
          </w:p>
          <w:p>
            <w:pPr>
              <w:spacing w:line="480" w:lineRule="exact"/>
              <w:ind w:left="-118" w:leftChars="-56" w:right="-94" w:rightChars="-45"/>
              <w:jc w:val="center"/>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rPr>
              <w:t>报价</w:t>
            </w: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满足</w:t>
            </w:r>
            <w:r>
              <w:rPr>
                <w:rFonts w:hint="eastAsia" w:eastAsia="仿宋_GB2312" w:cs="Times New Roman"/>
                <w:color w:val="auto"/>
                <w:sz w:val="24"/>
                <w:highlight w:val="none"/>
                <w:lang w:val="zh-CN" w:eastAsia="zh-CN"/>
              </w:rPr>
              <w:t>磋商</w:t>
            </w:r>
            <w:r>
              <w:rPr>
                <w:rFonts w:hint="eastAsia" w:ascii="Times New Roman" w:hAnsi="Times New Roman" w:eastAsia="仿宋_GB2312" w:cs="Times New Roman"/>
                <w:color w:val="auto"/>
                <w:sz w:val="24"/>
                <w:highlight w:val="none"/>
                <w:lang w:val="zh-CN" w:eastAsia="zh-CN"/>
              </w:rPr>
              <w:t>文件要求且</w:t>
            </w:r>
            <w:r>
              <w:rPr>
                <w:rFonts w:hint="eastAsia" w:eastAsia="仿宋_GB2312" w:cs="Times New Roman"/>
                <w:color w:val="auto"/>
                <w:sz w:val="24"/>
                <w:highlight w:val="none"/>
                <w:lang w:val="zh-CN" w:eastAsia="zh-CN"/>
              </w:rPr>
              <w:t>最终响应</w:t>
            </w:r>
            <w:r>
              <w:rPr>
                <w:rFonts w:hint="eastAsia" w:ascii="Times New Roman" w:hAnsi="Times New Roman" w:eastAsia="仿宋_GB2312" w:cs="Times New Roman"/>
                <w:color w:val="auto"/>
                <w:sz w:val="24"/>
                <w:highlight w:val="none"/>
                <w:lang w:val="zh-CN" w:eastAsia="zh-CN"/>
              </w:rPr>
              <w:t>价格最低的报价为评标基准价，其价格分为满分。其他供应商的价格分统一按照下列公式计算：报价得分=（</w:t>
            </w:r>
            <w:r>
              <w:rPr>
                <w:rFonts w:hint="eastAsia" w:eastAsia="仿宋_GB2312" w:cs="Times New Roman"/>
                <w:color w:val="auto"/>
                <w:sz w:val="24"/>
                <w:highlight w:val="none"/>
                <w:lang w:val="zh-CN" w:eastAsia="zh-CN"/>
              </w:rPr>
              <w:t>评审</w:t>
            </w:r>
            <w:r>
              <w:rPr>
                <w:rFonts w:hint="eastAsia" w:ascii="Times New Roman" w:hAnsi="Times New Roman" w:eastAsia="仿宋_GB2312" w:cs="Times New Roman"/>
                <w:color w:val="auto"/>
                <w:sz w:val="24"/>
                <w:highlight w:val="none"/>
                <w:lang w:val="zh-CN" w:eastAsia="zh-CN"/>
              </w:rPr>
              <w:t>基准价/</w:t>
            </w:r>
            <w:r>
              <w:rPr>
                <w:rFonts w:hint="eastAsia" w:eastAsia="仿宋_GB2312" w:cs="Times New Roman"/>
                <w:color w:val="auto"/>
                <w:sz w:val="24"/>
                <w:highlight w:val="none"/>
                <w:lang w:val="zh-CN" w:eastAsia="zh-CN"/>
              </w:rPr>
              <w:t>最终响应</w:t>
            </w:r>
            <w:r>
              <w:rPr>
                <w:rFonts w:hint="eastAsia" w:ascii="Times New Roman" w:hAnsi="Times New Roman" w:eastAsia="仿宋_GB2312" w:cs="Times New Roman"/>
                <w:color w:val="auto"/>
                <w:sz w:val="24"/>
                <w:highlight w:val="none"/>
                <w:lang w:val="zh-CN" w:eastAsia="zh-CN"/>
              </w:rPr>
              <w:t xml:space="preserve">报价）×价格权值；          </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86" w:type="dxa"/>
            <w:vMerge w:val="restart"/>
            <w:noWrap w:val="0"/>
            <w:vAlign w:val="center"/>
          </w:tcPr>
          <w:p>
            <w:pPr>
              <w:widowControl/>
              <w:spacing w:line="460" w:lineRule="exact"/>
              <w:jc w:val="both"/>
              <w:rPr>
                <w:rFonts w:hint="eastAsia" w:ascii="仿宋" w:hAnsi="仿宋" w:eastAsia="仿宋" w:cs="仿宋"/>
                <w:b w:val="0"/>
                <w:bCs w:val="0"/>
                <w:color w:val="auto"/>
                <w:sz w:val="24"/>
                <w:szCs w:val="24"/>
                <w:highlight w:val="none"/>
                <w:lang w:val="en-US" w:eastAsia="zh-CN"/>
              </w:rPr>
            </w:pPr>
          </w:p>
          <w:p>
            <w:pPr>
              <w:widowControl/>
              <w:spacing w:line="46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765" w:type="dxa"/>
            <w:vMerge w:val="restart"/>
            <w:noWrap w:val="0"/>
            <w:vAlign w:val="center"/>
          </w:tcPr>
          <w:p>
            <w:pPr>
              <w:widowControl/>
              <w:spacing w:line="460" w:lineRule="exact"/>
              <w:jc w:val="center"/>
              <w:rPr>
                <w:rFonts w:hint="eastAsia" w:ascii="仿宋" w:hAnsi="仿宋" w:eastAsia="仿宋" w:cs="仿宋"/>
                <w:b w:val="0"/>
                <w:bCs w:val="0"/>
                <w:color w:val="auto"/>
                <w:sz w:val="24"/>
                <w:szCs w:val="24"/>
                <w:highlight w:val="none"/>
                <w:lang w:val="zh-CN" w:eastAsia="zh-CN"/>
              </w:rPr>
            </w:pPr>
          </w:p>
          <w:p>
            <w:pPr>
              <w:widowControl/>
              <w:spacing w:line="460" w:lineRule="exact"/>
              <w:jc w:val="center"/>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服务方案</w:t>
            </w: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针对采购人服务内容及服务工作要求，制订切实可行的整体服务方案。方案思路清晰、科学合理、切实可行，完全满足采购人需求，根据响应程度计</w:t>
            </w:r>
            <w:r>
              <w:rPr>
                <w:rFonts w:hint="eastAsia" w:ascii="Times New Roman" w:hAnsi="Times New Roman" w:eastAsia="仿宋_GB2312" w:cs="Times New Roman"/>
                <w:color w:val="auto"/>
                <w:sz w:val="24"/>
                <w:highlight w:val="none"/>
                <w:lang w:val="en-US" w:eastAsia="zh-CN"/>
              </w:rPr>
              <w:t>0-5</w:t>
            </w:r>
            <w:r>
              <w:rPr>
                <w:rFonts w:hint="eastAsia" w:ascii="Times New Roman" w:hAnsi="Times New Roman" w:eastAsia="仿宋_GB2312" w:cs="Times New Roman"/>
                <w:color w:val="auto"/>
                <w:sz w:val="24"/>
                <w:highlight w:val="none"/>
                <w:lang w:val="zh-CN" w:eastAsia="zh-CN"/>
              </w:rPr>
              <w:t xml:space="preserve">分。 </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86" w:type="dxa"/>
            <w:vMerge w:val="continue"/>
            <w:noWrap w:val="0"/>
            <w:vAlign w:val="center"/>
          </w:tcPr>
          <w:p>
            <w:pPr>
              <w:pStyle w:val="2"/>
              <w:jc w:val="center"/>
              <w:rPr>
                <w:rFonts w:hint="eastAsia" w:ascii="仿宋" w:hAnsi="仿宋" w:eastAsia="仿宋" w:cs="仿宋"/>
                <w:b/>
                <w:bCs/>
                <w:color w:val="auto"/>
                <w:kern w:val="0"/>
                <w:sz w:val="24"/>
                <w:szCs w:val="24"/>
                <w:highlight w:val="none"/>
                <w:lang w:val="zh-CN"/>
              </w:rPr>
            </w:pPr>
          </w:p>
        </w:tc>
        <w:tc>
          <w:tcPr>
            <w:tcW w:w="765" w:type="dxa"/>
            <w:vMerge w:val="continue"/>
            <w:noWrap w:val="0"/>
            <w:vAlign w:val="center"/>
          </w:tcPr>
          <w:p>
            <w:pPr>
              <w:spacing w:line="480" w:lineRule="exact"/>
              <w:ind w:left="-118" w:leftChars="-56" w:right="-94" w:rightChars="-45"/>
              <w:jc w:val="center"/>
              <w:rPr>
                <w:rFonts w:hint="default" w:ascii="仿宋" w:hAnsi="仿宋" w:eastAsia="仿宋" w:cs="仿宋"/>
                <w:b/>
                <w:bCs/>
                <w:color w:val="auto"/>
                <w:sz w:val="24"/>
                <w:szCs w:val="24"/>
                <w:highlight w:val="none"/>
                <w:lang w:val="en-US"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供应商</w:t>
            </w:r>
            <w:r>
              <w:rPr>
                <w:rFonts w:hint="eastAsia" w:eastAsia="仿宋_GB2312" w:cs="Times New Roman"/>
                <w:color w:val="auto"/>
                <w:sz w:val="24"/>
                <w:highlight w:val="none"/>
                <w:lang w:val="zh-CN" w:eastAsia="zh-CN"/>
              </w:rPr>
              <w:t>针对本项目</w:t>
            </w:r>
            <w:r>
              <w:rPr>
                <w:rFonts w:hint="eastAsia" w:ascii="Times New Roman" w:hAnsi="Times New Roman" w:eastAsia="仿宋_GB2312" w:cs="Times New Roman"/>
                <w:color w:val="auto"/>
                <w:sz w:val="24"/>
                <w:highlight w:val="none"/>
                <w:lang w:val="zh-CN" w:eastAsia="zh-CN"/>
              </w:rPr>
              <w:t>信息安全、系统技术安全以及网络舆情监管，</w:t>
            </w:r>
            <w:r>
              <w:rPr>
                <w:rFonts w:hint="eastAsia" w:eastAsia="仿宋_GB2312" w:cs="Times New Roman"/>
                <w:color w:val="auto"/>
                <w:sz w:val="24"/>
                <w:highlight w:val="none"/>
                <w:lang w:val="zh-CN" w:eastAsia="zh-CN"/>
              </w:rPr>
              <w:t>有完整的服务保障体系，</w:t>
            </w:r>
            <w:r>
              <w:rPr>
                <w:rFonts w:hint="eastAsia" w:ascii="Times New Roman" w:hAnsi="Times New Roman" w:eastAsia="仿宋_GB2312" w:cs="Times New Roman"/>
                <w:color w:val="auto"/>
                <w:sz w:val="24"/>
                <w:highlight w:val="none"/>
                <w:lang w:val="en-US" w:eastAsia="zh-CN"/>
              </w:rPr>
              <w:t>体系完整、可行，方案</w:t>
            </w:r>
            <w:r>
              <w:rPr>
                <w:rFonts w:hint="eastAsia" w:ascii="Times New Roman" w:hAnsi="Times New Roman" w:eastAsia="仿宋_GB2312" w:cs="Times New Roman"/>
                <w:color w:val="auto"/>
                <w:sz w:val="24"/>
                <w:highlight w:val="none"/>
                <w:lang w:val="zh-CN" w:eastAsia="zh-CN"/>
              </w:rPr>
              <w:t>思路清晰、科学合理，根据响应程度计</w:t>
            </w:r>
            <w:r>
              <w:rPr>
                <w:rFonts w:hint="eastAsia" w:ascii="Times New Roman" w:hAnsi="Times New Roman" w:eastAsia="仿宋_GB2312" w:cs="Times New Roman"/>
                <w:color w:val="auto"/>
                <w:sz w:val="24"/>
                <w:highlight w:val="none"/>
                <w:lang w:val="en-US" w:eastAsia="zh-CN"/>
              </w:rPr>
              <w:t>0-5</w:t>
            </w:r>
            <w:r>
              <w:rPr>
                <w:rFonts w:hint="eastAsia" w:ascii="Times New Roman" w:hAnsi="Times New Roman" w:eastAsia="仿宋_GB2312" w:cs="Times New Roman"/>
                <w:color w:val="auto"/>
                <w:sz w:val="24"/>
                <w:highlight w:val="none"/>
                <w:lang w:val="zh-CN" w:eastAsia="zh-CN"/>
              </w:rPr>
              <w:t xml:space="preserve">分。 </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86" w:type="dxa"/>
            <w:vMerge w:val="continue"/>
            <w:noWrap w:val="0"/>
            <w:vAlign w:val="center"/>
          </w:tcPr>
          <w:p>
            <w:pPr>
              <w:widowControl/>
              <w:autoSpaceDE w:val="0"/>
              <w:autoSpaceDN w:val="0"/>
              <w:spacing w:line="460" w:lineRule="exact"/>
              <w:ind w:right="-34"/>
              <w:textAlignment w:val="bottom"/>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zh-CN"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供应商制定完善的各项规章制度，包含人员管理办法、服务质量标准、考核办法等内容，管理规章制度齐全、合理、切实可行，根据响应程度计</w:t>
            </w:r>
            <w:r>
              <w:rPr>
                <w:rFonts w:hint="eastAsia" w:ascii="Times New Roman" w:hAnsi="Times New Roman" w:eastAsia="仿宋_GB2312" w:cs="Times New Roman"/>
                <w:color w:val="auto"/>
                <w:sz w:val="24"/>
                <w:highlight w:val="none"/>
                <w:lang w:val="en-US" w:eastAsia="zh-CN"/>
              </w:rPr>
              <w:t>0-5</w:t>
            </w:r>
            <w:r>
              <w:rPr>
                <w:rFonts w:hint="eastAsia" w:ascii="Times New Roman" w:hAnsi="Times New Roman" w:eastAsia="仿宋_GB2312" w:cs="Times New Roman"/>
                <w:color w:val="auto"/>
                <w:sz w:val="24"/>
                <w:highlight w:val="none"/>
                <w:lang w:val="zh-CN" w:eastAsia="zh-CN"/>
              </w:rPr>
              <w:t xml:space="preserve">分。 </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86" w:type="dxa"/>
            <w:vMerge w:val="continue"/>
            <w:noWrap w:val="0"/>
            <w:vAlign w:val="center"/>
          </w:tcPr>
          <w:p>
            <w:pPr>
              <w:widowControl/>
              <w:autoSpaceDE w:val="0"/>
              <w:autoSpaceDN w:val="0"/>
              <w:spacing w:line="460" w:lineRule="exact"/>
              <w:ind w:right="-34"/>
              <w:textAlignment w:val="bottom"/>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default" w:ascii="仿宋" w:hAnsi="仿宋" w:eastAsia="仿宋" w:cs="仿宋"/>
                <w:b/>
                <w:bCs/>
                <w:color w:val="auto"/>
                <w:sz w:val="24"/>
                <w:szCs w:val="24"/>
                <w:highlight w:val="none"/>
                <w:lang w:val="en-US"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现场陈述：供应商针对本项目</w:t>
            </w:r>
            <w:r>
              <w:rPr>
                <w:rFonts w:hint="eastAsia" w:eastAsia="仿宋_GB2312" w:cs="Times New Roman"/>
                <w:color w:val="auto"/>
                <w:sz w:val="24"/>
                <w:highlight w:val="none"/>
                <w:lang w:val="en-US" w:eastAsia="zh-CN"/>
              </w:rPr>
              <w:t>实施</w:t>
            </w:r>
            <w:r>
              <w:rPr>
                <w:rFonts w:hint="eastAsia" w:ascii="Times New Roman" w:hAnsi="Times New Roman" w:eastAsia="仿宋_GB2312" w:cs="Times New Roman"/>
                <w:color w:val="auto"/>
                <w:sz w:val="24"/>
                <w:highlight w:val="none"/>
                <w:lang w:val="en-US" w:eastAsia="zh-CN"/>
              </w:rPr>
              <w:t>方案进行演讲，表达充分且对评委所提问题作出详细答复，根据响应程度计0-5分。</w:t>
            </w:r>
          </w:p>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陈述时间：不超过十分钟，陈述方式：PPT演示，陈述顺序：现场抽取。</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86" w:type="dxa"/>
            <w:vMerge w:val="continue"/>
            <w:noWrap w:val="0"/>
            <w:vAlign w:val="center"/>
          </w:tcPr>
          <w:p>
            <w:pPr>
              <w:widowControl/>
              <w:autoSpaceDE w:val="0"/>
              <w:autoSpaceDN w:val="0"/>
              <w:spacing w:line="460" w:lineRule="exact"/>
              <w:ind w:right="-34"/>
              <w:textAlignment w:val="bottom"/>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en-US"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供应商针对本项目服务过程突发和临时事件的预计、处理，制定完善、具体、可行的应急预案。应急预案实用，经济，切实可行，根据响应程度计0-5分。</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586" w:type="dxa"/>
            <w:vMerge w:val="continue"/>
            <w:noWrap w:val="0"/>
            <w:vAlign w:val="center"/>
          </w:tcPr>
          <w:p>
            <w:pPr>
              <w:widowControl/>
              <w:autoSpaceDE w:val="0"/>
              <w:autoSpaceDN w:val="0"/>
              <w:spacing w:line="460" w:lineRule="exact"/>
              <w:ind w:right="-34"/>
              <w:textAlignment w:val="bottom"/>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default" w:ascii="仿宋" w:hAnsi="仿宋" w:eastAsia="仿宋" w:cs="仿宋"/>
                <w:b/>
                <w:bCs/>
                <w:color w:val="auto"/>
                <w:sz w:val="24"/>
                <w:szCs w:val="24"/>
                <w:highlight w:val="none"/>
                <w:lang w:val="en-US"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供应商针对“线上展”提供具体的服务方案，</w:t>
            </w:r>
            <w:r>
              <w:rPr>
                <w:rFonts w:hint="eastAsia" w:ascii="Times New Roman" w:hAnsi="Times New Roman" w:eastAsia="仿宋_GB2312" w:cs="Times New Roman"/>
                <w:color w:val="auto"/>
                <w:sz w:val="24"/>
                <w:highlight w:val="none"/>
                <w:lang w:val="zh-CN" w:eastAsia="zh-CN"/>
              </w:rPr>
              <w:t>方案思路清晰、科学合理、切实可行，完全满足采购人需求，根据响应程度计</w:t>
            </w:r>
            <w:r>
              <w:rPr>
                <w:rFonts w:hint="eastAsia" w:ascii="Times New Roman" w:hAnsi="Times New Roman" w:eastAsia="仿宋_GB2312" w:cs="Times New Roman"/>
                <w:color w:val="auto"/>
                <w:sz w:val="24"/>
                <w:highlight w:val="none"/>
                <w:lang w:val="en-US" w:eastAsia="zh-CN"/>
              </w:rPr>
              <w:t>0-5</w:t>
            </w:r>
            <w:r>
              <w:rPr>
                <w:rFonts w:hint="eastAsia" w:ascii="Times New Roman" w:hAnsi="Times New Roman" w:eastAsia="仿宋_GB2312" w:cs="Times New Roman"/>
                <w:color w:val="auto"/>
                <w:sz w:val="24"/>
                <w:highlight w:val="none"/>
                <w:lang w:val="zh-CN" w:eastAsia="zh-CN"/>
              </w:rPr>
              <w:t xml:space="preserve">分。 </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86" w:type="dxa"/>
            <w:vMerge w:val="continue"/>
            <w:noWrap w:val="0"/>
            <w:vAlign w:val="center"/>
          </w:tcPr>
          <w:p>
            <w:pPr>
              <w:widowControl/>
              <w:autoSpaceDE w:val="0"/>
              <w:autoSpaceDN w:val="0"/>
              <w:spacing w:line="460" w:lineRule="exact"/>
              <w:ind w:right="-34"/>
              <w:textAlignment w:val="bottom"/>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en-US"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供应商针对“线上视频展播</w:t>
            </w:r>
            <w:r>
              <w:rPr>
                <w:rFonts w:hint="eastAsia" w:eastAsia="仿宋_GB2312" w:cs="Times New Roman"/>
                <w:color w:val="auto"/>
                <w:sz w:val="24"/>
                <w:highlight w:val="none"/>
                <w:lang w:val="en-US" w:eastAsia="zh-CN"/>
              </w:rPr>
              <w:t>、线下展</w:t>
            </w:r>
            <w:r>
              <w:rPr>
                <w:rFonts w:hint="eastAsia" w:ascii="Times New Roman" w:hAnsi="Times New Roman" w:eastAsia="仿宋_GB2312" w:cs="Times New Roman"/>
                <w:color w:val="auto"/>
                <w:sz w:val="24"/>
                <w:highlight w:val="none"/>
                <w:lang w:val="en-US" w:eastAsia="zh-CN"/>
              </w:rPr>
              <w:t>”提供具体的服务方案，</w:t>
            </w:r>
            <w:r>
              <w:rPr>
                <w:rFonts w:hint="eastAsia" w:ascii="Times New Roman" w:hAnsi="Times New Roman" w:eastAsia="仿宋_GB2312" w:cs="Times New Roman"/>
                <w:color w:val="auto"/>
                <w:sz w:val="24"/>
                <w:highlight w:val="none"/>
                <w:lang w:val="zh-CN" w:eastAsia="zh-CN"/>
              </w:rPr>
              <w:t>方案思路清晰、科学合理、切实可行，完全满足采购人需求，根据响应程度计</w:t>
            </w:r>
            <w:r>
              <w:rPr>
                <w:rFonts w:hint="eastAsia" w:ascii="Times New Roman" w:hAnsi="Times New Roman" w:eastAsia="仿宋_GB2312" w:cs="Times New Roman"/>
                <w:color w:val="auto"/>
                <w:sz w:val="24"/>
                <w:highlight w:val="none"/>
                <w:lang w:val="en-US" w:eastAsia="zh-CN"/>
              </w:rPr>
              <w:t>0-5</w:t>
            </w:r>
            <w:r>
              <w:rPr>
                <w:rFonts w:hint="eastAsia" w:ascii="Times New Roman" w:hAnsi="Times New Roman" w:eastAsia="仿宋_GB2312" w:cs="Times New Roman"/>
                <w:color w:val="auto"/>
                <w:sz w:val="24"/>
                <w:highlight w:val="none"/>
                <w:lang w:val="zh-CN" w:eastAsia="zh-CN"/>
              </w:rPr>
              <w:t>分。</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86" w:type="dxa"/>
            <w:vMerge w:val="continue"/>
            <w:noWrap w:val="0"/>
            <w:vAlign w:val="center"/>
          </w:tcPr>
          <w:p>
            <w:pPr>
              <w:widowControl/>
              <w:autoSpaceDE w:val="0"/>
              <w:autoSpaceDN w:val="0"/>
              <w:spacing w:line="460" w:lineRule="exact"/>
              <w:ind w:right="-34"/>
              <w:textAlignment w:val="bottom"/>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en-US"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供应商针对线上展框架设计、UI设计、编程开发及线上发布</w:t>
            </w:r>
            <w:r>
              <w:rPr>
                <w:rFonts w:hint="eastAsia"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zh-CN" w:eastAsia="zh-CN"/>
              </w:rPr>
              <w:t>满足采购人需求，根据响应程度计</w:t>
            </w:r>
            <w:r>
              <w:rPr>
                <w:rFonts w:hint="eastAsia" w:ascii="Times New Roman" w:hAnsi="Times New Roman" w:eastAsia="仿宋_GB2312" w:cs="Times New Roman"/>
                <w:color w:val="auto"/>
                <w:sz w:val="24"/>
                <w:highlight w:val="none"/>
                <w:lang w:val="en-US" w:eastAsia="zh-CN"/>
              </w:rPr>
              <w:t>0-5</w:t>
            </w:r>
            <w:r>
              <w:rPr>
                <w:rFonts w:hint="eastAsia" w:ascii="Times New Roman" w:hAnsi="Times New Roman" w:eastAsia="仿宋_GB2312" w:cs="Times New Roman"/>
                <w:color w:val="auto"/>
                <w:sz w:val="24"/>
                <w:highlight w:val="none"/>
                <w:lang w:val="zh-CN" w:eastAsia="zh-CN"/>
              </w:rPr>
              <w:t>分。</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86" w:type="dxa"/>
            <w:vMerge w:val="continue"/>
            <w:noWrap w:val="0"/>
            <w:vAlign w:val="center"/>
          </w:tcPr>
          <w:p>
            <w:pPr>
              <w:widowControl/>
              <w:autoSpaceDE w:val="0"/>
              <w:autoSpaceDN w:val="0"/>
              <w:spacing w:line="460" w:lineRule="exact"/>
              <w:ind w:right="-34"/>
              <w:textAlignment w:val="bottom"/>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en-US"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供应商</w:t>
            </w:r>
            <w:r>
              <w:rPr>
                <w:rFonts w:hint="eastAsia" w:ascii="Times New Roman" w:hAnsi="Times New Roman" w:eastAsia="仿宋_GB2312" w:cs="Times New Roman"/>
                <w:color w:val="auto"/>
                <w:sz w:val="24"/>
                <w:highlight w:val="none"/>
                <w:lang w:val="en-US" w:eastAsia="zh-CN"/>
              </w:rPr>
              <w:t>负责本项目策划及执行方案：</w:t>
            </w:r>
            <w:r>
              <w:rPr>
                <w:rFonts w:hint="eastAsia" w:ascii="Times New Roman" w:hAnsi="Times New Roman" w:eastAsia="仿宋_GB2312" w:cs="Times New Roman"/>
                <w:color w:val="auto"/>
                <w:sz w:val="24"/>
                <w:highlight w:val="none"/>
                <w:lang w:val="zh-CN" w:eastAsia="zh-CN"/>
              </w:rPr>
              <w:t>方案合理全面、</w:t>
            </w:r>
            <w:r>
              <w:rPr>
                <w:rFonts w:hint="eastAsia" w:ascii="Times New Roman" w:hAnsi="Times New Roman" w:eastAsia="仿宋_GB2312" w:cs="Times New Roman"/>
                <w:color w:val="auto"/>
                <w:sz w:val="24"/>
                <w:highlight w:val="none"/>
                <w:lang w:val="en-US" w:eastAsia="zh-Hans"/>
              </w:rPr>
              <w:t>设计清晰完整、</w:t>
            </w:r>
            <w:r>
              <w:rPr>
                <w:rFonts w:hint="eastAsia" w:ascii="Times New Roman" w:hAnsi="Times New Roman" w:eastAsia="仿宋_GB2312" w:cs="Times New Roman"/>
                <w:color w:val="auto"/>
                <w:sz w:val="24"/>
                <w:highlight w:val="none"/>
                <w:lang w:val="zh-CN" w:eastAsia="zh-CN"/>
              </w:rPr>
              <w:t>可行性强</w:t>
            </w:r>
            <w:r>
              <w:rPr>
                <w:rFonts w:hint="eastAsia" w:ascii="Times New Roman" w:hAnsi="Times New Roman" w:eastAsia="仿宋_GB2312" w:cs="Times New Roman"/>
                <w:color w:val="auto"/>
                <w:sz w:val="24"/>
                <w:highlight w:val="none"/>
                <w:lang w:val="en-US" w:eastAsia="zh-CN"/>
              </w:rPr>
              <w:t>，根据响应程度计0-5分</w:t>
            </w:r>
            <w:r>
              <w:rPr>
                <w:rFonts w:hint="eastAsia" w:ascii="Times New Roman" w:hAnsi="Times New Roman" w:eastAsia="仿宋_GB2312" w:cs="Times New Roman"/>
                <w:color w:val="auto"/>
                <w:sz w:val="24"/>
                <w:highlight w:val="none"/>
                <w:lang w:val="zh-CN" w:eastAsia="zh-CN"/>
              </w:rPr>
              <w:t>。</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86" w:type="dxa"/>
            <w:vMerge w:val="continue"/>
            <w:noWrap w:val="0"/>
            <w:vAlign w:val="center"/>
          </w:tcPr>
          <w:p>
            <w:pPr>
              <w:widowControl/>
              <w:autoSpaceDE w:val="0"/>
              <w:autoSpaceDN w:val="0"/>
              <w:spacing w:line="460" w:lineRule="exact"/>
              <w:ind w:right="-34"/>
              <w:textAlignment w:val="bottom"/>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en-US"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eastAsia="仿宋_GB2312" w:cs="Times New Roman"/>
                <w:color w:val="auto"/>
                <w:sz w:val="24"/>
                <w:highlight w:val="none"/>
                <w:lang w:val="zh-CN" w:eastAsia="zh-CN"/>
              </w:rPr>
              <w:t>供应商针对国内外疫情形式，提供安全可靠的防疫服务方案，保证项目顺利开展、实施。方案</w:t>
            </w:r>
            <w:r>
              <w:rPr>
                <w:rFonts w:hint="eastAsia" w:ascii="Times New Roman" w:hAnsi="Times New Roman" w:eastAsia="仿宋_GB2312" w:cs="Times New Roman"/>
                <w:color w:val="auto"/>
                <w:sz w:val="24"/>
                <w:highlight w:val="none"/>
                <w:lang w:val="zh-CN" w:eastAsia="zh-CN"/>
              </w:rPr>
              <w:t>科学合理、切实可行，完全满足采购人需求，根据响应程度计</w:t>
            </w:r>
            <w:r>
              <w:rPr>
                <w:rFonts w:hint="eastAsia" w:ascii="Times New Roman" w:hAnsi="Times New Roman" w:eastAsia="仿宋_GB2312" w:cs="Times New Roman"/>
                <w:color w:val="auto"/>
                <w:sz w:val="24"/>
                <w:highlight w:val="none"/>
                <w:lang w:val="en-US" w:eastAsia="zh-CN"/>
              </w:rPr>
              <w:t>0-5</w:t>
            </w:r>
            <w:r>
              <w:rPr>
                <w:rFonts w:hint="eastAsia" w:ascii="Times New Roman" w:hAnsi="Times New Roman" w:eastAsia="仿宋_GB2312" w:cs="Times New Roman"/>
                <w:color w:val="auto"/>
                <w:sz w:val="24"/>
                <w:highlight w:val="none"/>
                <w:lang w:val="zh-CN" w:eastAsia="zh-CN"/>
              </w:rPr>
              <w:t>分。</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586" w:type="dxa"/>
            <w:vMerge w:val="continue"/>
            <w:noWrap w:val="0"/>
            <w:vAlign w:val="center"/>
          </w:tcPr>
          <w:p>
            <w:pPr>
              <w:widowControl/>
              <w:autoSpaceDE w:val="0"/>
              <w:autoSpaceDN w:val="0"/>
              <w:spacing w:line="460" w:lineRule="exact"/>
              <w:ind w:right="-34"/>
              <w:textAlignment w:val="bottom"/>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zh-CN"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供应商须对项目实施过程中存在的难点、重点分析透彻、有预期效果，</w:t>
            </w:r>
            <w:r>
              <w:rPr>
                <w:rFonts w:hint="eastAsia" w:ascii="Times New Roman" w:hAnsi="Times New Roman" w:eastAsia="仿宋_GB2312" w:cs="Times New Roman"/>
                <w:color w:val="auto"/>
                <w:sz w:val="24"/>
                <w:highlight w:val="none"/>
                <w:lang w:val="en-US" w:eastAsia="zh-CN"/>
              </w:rPr>
              <w:t>以及</w:t>
            </w:r>
            <w:r>
              <w:rPr>
                <w:rFonts w:hint="eastAsia" w:ascii="Times New Roman" w:hAnsi="Times New Roman" w:eastAsia="仿宋_GB2312" w:cs="Times New Roman"/>
                <w:color w:val="auto"/>
                <w:sz w:val="24"/>
                <w:highlight w:val="none"/>
                <w:lang w:val="zh-CN" w:eastAsia="zh-CN"/>
              </w:rPr>
              <w:t xml:space="preserve">未达到预期效果的解决措施，并能提供相应处理方案，方案合理全面、可行性强根据响应程度计0-5分。 </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86" w:type="dxa"/>
            <w:vMerge w:val="restart"/>
            <w:noWrap w:val="0"/>
            <w:vAlign w:val="center"/>
          </w:tcPr>
          <w:p>
            <w:pPr>
              <w:spacing w:line="336"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lang w:val="en-US" w:eastAsia="zh-CN"/>
              </w:rPr>
              <w:t>3</w:t>
            </w:r>
          </w:p>
        </w:tc>
        <w:tc>
          <w:tcPr>
            <w:tcW w:w="765" w:type="dxa"/>
            <w:vMerge w:val="restart"/>
            <w:noWrap w:val="0"/>
            <w:vAlign w:val="center"/>
          </w:tcPr>
          <w:p>
            <w:pPr>
              <w:spacing w:line="336" w:lineRule="auto"/>
              <w:jc w:val="center"/>
              <w:rPr>
                <w:rFonts w:hint="eastAsia" w:ascii="仿宋" w:hAnsi="仿宋" w:eastAsia="仿宋" w:cs="仿宋"/>
                <w:b/>
                <w:bCs/>
                <w:color w:val="auto"/>
                <w:sz w:val="24"/>
                <w:szCs w:val="24"/>
                <w:highlight w:val="none"/>
                <w:lang w:val="zh-CN" w:eastAsia="zh-CN"/>
              </w:rPr>
            </w:pPr>
            <w:r>
              <w:rPr>
                <w:rFonts w:hint="eastAsia" w:ascii="仿宋" w:hAnsi="仿宋" w:eastAsia="仿宋" w:cs="仿宋"/>
                <w:b/>
                <w:color w:val="auto"/>
                <w:sz w:val="24"/>
                <w:szCs w:val="24"/>
                <w:highlight w:val="none"/>
              </w:rPr>
              <w:t>履约能力</w:t>
            </w: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供应商</w:t>
            </w:r>
            <w:r>
              <w:rPr>
                <w:rFonts w:hint="eastAsia" w:ascii="Times New Roman" w:hAnsi="Times New Roman" w:eastAsia="仿宋_GB2312" w:cs="Times New Roman"/>
                <w:color w:val="auto"/>
                <w:sz w:val="24"/>
                <w:highlight w:val="none"/>
                <w:lang w:val="zh-CN" w:eastAsia="zh-CN"/>
              </w:rPr>
              <w:t>针对本项目</w:t>
            </w:r>
            <w:r>
              <w:rPr>
                <w:rFonts w:hint="eastAsia" w:ascii="Times New Roman" w:hAnsi="Times New Roman" w:eastAsia="仿宋_GB2312" w:cs="Times New Roman"/>
                <w:color w:val="auto"/>
                <w:sz w:val="24"/>
                <w:highlight w:val="none"/>
                <w:lang w:val="en-US" w:eastAsia="zh-CN"/>
              </w:rPr>
              <w:t>设立专门的</w:t>
            </w:r>
            <w:r>
              <w:rPr>
                <w:rFonts w:hint="eastAsia" w:ascii="Times New Roman" w:hAnsi="Times New Roman" w:eastAsia="仿宋_GB2312" w:cs="Times New Roman"/>
                <w:color w:val="auto"/>
                <w:sz w:val="24"/>
                <w:highlight w:val="none"/>
                <w:lang w:val="zh-CN" w:eastAsia="zh-CN"/>
              </w:rPr>
              <w:t>管理组织架构，</w:t>
            </w:r>
            <w:r>
              <w:rPr>
                <w:rFonts w:hint="eastAsia" w:ascii="Times New Roman" w:hAnsi="Times New Roman" w:eastAsia="仿宋_GB2312" w:cs="Times New Roman"/>
                <w:color w:val="auto"/>
                <w:sz w:val="24"/>
                <w:highlight w:val="none"/>
                <w:lang w:val="en-US" w:eastAsia="zh-CN"/>
              </w:rPr>
              <w:t>针对境内、境外不同环境、地点都能及时到场满足服务需求、提供相关证明材料，根据响应程度计0-5分</w:t>
            </w:r>
            <w:r>
              <w:rPr>
                <w:rFonts w:hint="eastAsia" w:ascii="Times New Roman" w:hAnsi="Times New Roman" w:eastAsia="仿宋_GB2312" w:cs="Times New Roman"/>
                <w:color w:val="auto"/>
                <w:sz w:val="24"/>
                <w:highlight w:val="none"/>
                <w:lang w:val="zh-CN" w:eastAsia="zh-CN"/>
              </w:rPr>
              <w:t>。</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86" w:type="dxa"/>
            <w:vMerge w:val="continue"/>
            <w:noWrap w:val="0"/>
            <w:vAlign w:val="center"/>
          </w:tcPr>
          <w:p>
            <w:pPr>
              <w:spacing w:line="336" w:lineRule="auto"/>
              <w:jc w:val="center"/>
              <w:rPr>
                <w:rFonts w:hint="eastAsia" w:ascii="仿宋" w:hAnsi="仿宋" w:eastAsia="仿宋" w:cs="仿宋"/>
                <w:b/>
                <w:bCs/>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zh-CN"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供应商针对本项目所配备的执行团队、</w:t>
            </w:r>
            <w:r>
              <w:rPr>
                <w:rFonts w:hint="eastAsia" w:ascii="Times New Roman" w:hAnsi="Times New Roman" w:eastAsia="仿宋_GB2312" w:cs="Times New Roman"/>
                <w:color w:val="auto"/>
                <w:sz w:val="24"/>
                <w:highlight w:val="none"/>
                <w:lang w:val="zh-CN" w:eastAsia="zh-CN"/>
              </w:rPr>
              <w:t>项目负责人、项目组人员、</w:t>
            </w:r>
            <w:r>
              <w:rPr>
                <w:rFonts w:hint="eastAsia" w:ascii="Times New Roman" w:hAnsi="Times New Roman" w:eastAsia="仿宋_GB2312" w:cs="Times New Roman"/>
                <w:color w:val="auto"/>
                <w:sz w:val="24"/>
                <w:highlight w:val="none"/>
                <w:lang w:val="en-US" w:eastAsia="zh-CN"/>
              </w:rPr>
              <w:t>技术开发人员、对外信息安全人员、都具有对外交流及线上</w:t>
            </w:r>
            <w:r>
              <w:rPr>
                <w:rFonts w:hint="eastAsia" w:ascii="Times New Roman" w:hAnsi="Times New Roman" w:eastAsia="仿宋_GB2312" w:cs="Times New Roman"/>
                <w:color w:val="auto"/>
                <w:sz w:val="24"/>
                <w:highlight w:val="none"/>
                <w:lang w:val="en-US" w:eastAsia="zh-Hans"/>
              </w:rPr>
              <w:t>线下</w:t>
            </w:r>
            <w:r>
              <w:rPr>
                <w:rFonts w:hint="eastAsia" w:ascii="Times New Roman" w:hAnsi="Times New Roman" w:eastAsia="仿宋_GB2312" w:cs="Times New Roman"/>
                <w:color w:val="auto"/>
                <w:sz w:val="24"/>
                <w:highlight w:val="none"/>
                <w:lang w:val="en-US" w:eastAsia="zh-CN"/>
              </w:rPr>
              <w:t>活动经验。</w:t>
            </w:r>
            <w:r>
              <w:rPr>
                <w:rFonts w:hint="eastAsia" w:ascii="Times New Roman" w:hAnsi="Times New Roman" w:eastAsia="仿宋_GB2312" w:cs="Times New Roman"/>
                <w:color w:val="auto"/>
                <w:sz w:val="24"/>
                <w:highlight w:val="none"/>
                <w:lang w:val="zh-CN" w:eastAsia="zh-CN"/>
              </w:rPr>
              <w:t>提供相关证明材料</w:t>
            </w:r>
            <w:r>
              <w:rPr>
                <w:rFonts w:hint="eastAsia" w:ascii="Times New Roman" w:hAnsi="Times New Roman" w:eastAsia="仿宋_GB2312" w:cs="Times New Roman"/>
                <w:color w:val="auto"/>
                <w:sz w:val="24"/>
                <w:highlight w:val="none"/>
                <w:lang w:val="en-US" w:eastAsia="zh-CN"/>
              </w:rPr>
              <w:t>，根据响应程度计0-5分</w:t>
            </w:r>
            <w:r>
              <w:rPr>
                <w:rFonts w:hint="eastAsia" w:ascii="Times New Roman" w:hAnsi="Times New Roman" w:eastAsia="仿宋_GB2312" w:cs="Times New Roman"/>
                <w:color w:val="auto"/>
                <w:sz w:val="24"/>
                <w:highlight w:val="none"/>
                <w:lang w:val="zh-CN" w:eastAsia="zh-CN"/>
              </w:rPr>
              <w:t>。</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586" w:type="dxa"/>
            <w:vMerge w:val="continue"/>
            <w:noWrap w:val="0"/>
            <w:vAlign w:val="center"/>
          </w:tcPr>
          <w:p>
            <w:pPr>
              <w:spacing w:line="336" w:lineRule="auto"/>
              <w:jc w:val="center"/>
              <w:rPr>
                <w:rFonts w:hint="eastAsia" w:ascii="仿宋" w:hAnsi="仿宋" w:eastAsia="仿宋" w:cs="仿宋"/>
                <w:b/>
                <w:bCs/>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en-US"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供应商提供营业性演出许可证（内资演出经纪机构）、营业性演出许可证（内资文艺表演团体）、海关报关单位注册登记证书、对外贸易经营者备案登记表、出入境检验检疫报检企业备案表、广播电视制作经营许可证</w:t>
            </w:r>
            <w:r>
              <w:rPr>
                <w:rFonts w:hint="eastAsia" w:ascii="Times New Roman" w:hAnsi="Times New Roman" w:eastAsia="仿宋_GB2312" w:cs="Times New Roman"/>
                <w:color w:val="auto"/>
                <w:sz w:val="24"/>
                <w:highlight w:val="none"/>
                <w:lang w:val="en-US" w:eastAsia="zh-Hans"/>
              </w:rPr>
              <w:t>、网络文化经营许可证</w:t>
            </w:r>
            <w:r>
              <w:rPr>
                <w:rFonts w:hint="eastAsia" w:ascii="Times New Roman" w:hAnsi="Times New Roman" w:eastAsia="仿宋_GB2312" w:cs="Times New Roman"/>
                <w:color w:val="auto"/>
                <w:sz w:val="24"/>
                <w:highlight w:val="none"/>
                <w:lang w:val="en-US" w:eastAsia="zh-CN"/>
              </w:rPr>
              <w:t>（每提供一个证加</w:t>
            </w:r>
            <w:r>
              <w:rPr>
                <w:rFonts w:hint="eastAsia" w:eastAsia="仿宋_GB2312" w:cs="Times New Roman"/>
                <w:color w:val="auto"/>
                <w:sz w:val="24"/>
                <w:highlight w:val="none"/>
                <w:lang w:val="en-US" w:eastAsia="zh-CN"/>
              </w:rPr>
              <w:t>1</w:t>
            </w:r>
            <w:r>
              <w:rPr>
                <w:rFonts w:hint="eastAsia" w:ascii="Times New Roman" w:hAnsi="Times New Roman" w:eastAsia="仿宋_GB2312" w:cs="Times New Roman"/>
                <w:color w:val="auto"/>
                <w:sz w:val="24"/>
                <w:highlight w:val="none"/>
                <w:lang w:val="en-US" w:eastAsia="zh-CN"/>
              </w:rPr>
              <w:t>分，满分共</w:t>
            </w:r>
            <w:r>
              <w:rPr>
                <w:rFonts w:hint="eastAsia" w:eastAsia="仿宋_GB2312" w:cs="Times New Roman"/>
                <w:color w:val="auto"/>
                <w:sz w:val="24"/>
                <w:highlight w:val="none"/>
                <w:lang w:val="en-US" w:eastAsia="zh-CN"/>
              </w:rPr>
              <w:t>7</w:t>
            </w:r>
            <w:r>
              <w:rPr>
                <w:rFonts w:hint="eastAsia" w:ascii="Times New Roman" w:hAnsi="Times New Roman" w:eastAsia="仿宋_GB2312" w:cs="Times New Roman"/>
                <w:color w:val="auto"/>
                <w:sz w:val="24"/>
                <w:highlight w:val="none"/>
                <w:lang w:val="en-US" w:eastAsia="zh-CN"/>
              </w:rPr>
              <w:t>分</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86" w:type="dxa"/>
            <w:vMerge w:val="continue"/>
            <w:noWrap w:val="0"/>
            <w:vAlign w:val="center"/>
          </w:tcPr>
          <w:p>
            <w:pPr>
              <w:widowControl/>
              <w:spacing w:line="336" w:lineRule="auto"/>
              <w:jc w:val="left"/>
              <w:rPr>
                <w:rFonts w:hint="eastAsia" w:ascii="仿宋" w:hAnsi="仿宋" w:eastAsia="仿宋" w:cs="仿宋"/>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zh-CN"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供应商</w:t>
            </w:r>
            <w:r>
              <w:rPr>
                <w:rFonts w:hint="eastAsia" w:ascii="Times New Roman" w:hAnsi="Times New Roman" w:eastAsia="仿宋_GB2312" w:cs="Times New Roman"/>
                <w:color w:val="auto"/>
                <w:sz w:val="24"/>
                <w:highlight w:val="none"/>
                <w:lang w:val="en-US" w:eastAsia="zh-CN"/>
              </w:rPr>
              <w:t>提供</w:t>
            </w:r>
            <w:r>
              <w:rPr>
                <w:rFonts w:hint="eastAsia" w:ascii="Times New Roman" w:hAnsi="Times New Roman" w:eastAsia="仿宋_GB2312" w:cs="Times New Roman"/>
                <w:color w:val="auto"/>
                <w:sz w:val="24"/>
                <w:highlight w:val="none"/>
                <w:lang w:val="zh-CN" w:eastAsia="zh-CN"/>
              </w:rPr>
              <w:t>201</w:t>
            </w:r>
            <w:r>
              <w:rPr>
                <w:rFonts w:hint="eastAsia" w:ascii="Times New Roman" w:hAnsi="Times New Roman" w:eastAsia="仿宋_GB2312" w:cs="Times New Roman"/>
                <w:color w:val="auto"/>
                <w:sz w:val="24"/>
                <w:highlight w:val="none"/>
                <w:lang w:val="en-US" w:eastAsia="zh-CN"/>
              </w:rPr>
              <w:t>8</w:t>
            </w:r>
            <w:r>
              <w:rPr>
                <w:rFonts w:hint="eastAsia" w:ascii="Times New Roman" w:hAnsi="Times New Roman" w:eastAsia="仿宋_GB2312" w:cs="Times New Roman"/>
                <w:color w:val="auto"/>
                <w:sz w:val="24"/>
                <w:highlight w:val="none"/>
                <w:lang w:val="zh-CN" w:eastAsia="zh-CN"/>
              </w:rPr>
              <w:t>年</w:t>
            </w:r>
            <w:r>
              <w:rPr>
                <w:rFonts w:hint="eastAsia" w:ascii="Times New Roman" w:hAnsi="Times New Roman" w:eastAsia="仿宋_GB2312" w:cs="Times New Roman"/>
                <w:color w:val="auto"/>
                <w:sz w:val="24"/>
                <w:highlight w:val="none"/>
                <w:lang w:val="en-US" w:eastAsia="zh-CN"/>
              </w:rPr>
              <w:t>4</w:t>
            </w:r>
            <w:r>
              <w:rPr>
                <w:rFonts w:hint="eastAsia" w:ascii="Times New Roman" w:hAnsi="Times New Roman" w:eastAsia="仿宋_GB2312" w:cs="Times New Roman"/>
                <w:color w:val="auto"/>
                <w:sz w:val="24"/>
                <w:highlight w:val="none"/>
                <w:lang w:val="zh-CN" w:eastAsia="zh-CN"/>
              </w:rPr>
              <w:t>月1日至今类似服务业绩项目合同，每提供1个得</w:t>
            </w:r>
            <w:r>
              <w:rPr>
                <w:rFonts w:hint="eastAsia" w:ascii="Times New Roman" w:hAnsi="Times New Roman" w:eastAsia="仿宋_GB2312" w:cs="Times New Roman"/>
                <w:color w:val="auto"/>
                <w:sz w:val="24"/>
                <w:highlight w:val="none"/>
                <w:lang w:val="en-US" w:eastAsia="zh-CN"/>
              </w:rPr>
              <w:t>2</w:t>
            </w:r>
            <w:r>
              <w:rPr>
                <w:rFonts w:hint="eastAsia" w:ascii="Times New Roman" w:hAnsi="Times New Roman" w:eastAsia="仿宋_GB2312" w:cs="Times New Roman"/>
                <w:color w:val="auto"/>
                <w:sz w:val="24"/>
                <w:highlight w:val="none"/>
                <w:lang w:val="zh-CN" w:eastAsia="zh-CN"/>
              </w:rPr>
              <w:t>分，最高得</w:t>
            </w:r>
            <w:r>
              <w:rPr>
                <w:rFonts w:hint="eastAsia" w:ascii="Times New Roman" w:hAnsi="Times New Roman" w:eastAsia="仿宋_GB2312" w:cs="Times New Roman"/>
                <w:color w:val="auto"/>
                <w:sz w:val="24"/>
                <w:highlight w:val="none"/>
                <w:lang w:val="en-US" w:eastAsia="zh-CN"/>
              </w:rPr>
              <w:t>8</w:t>
            </w:r>
            <w:r>
              <w:rPr>
                <w:rFonts w:hint="eastAsia" w:ascii="Times New Roman" w:hAnsi="Times New Roman" w:eastAsia="仿宋_GB2312" w:cs="Times New Roman"/>
                <w:color w:val="auto"/>
                <w:sz w:val="24"/>
                <w:highlight w:val="none"/>
                <w:lang w:val="zh-CN" w:eastAsia="zh-CN"/>
              </w:rPr>
              <w:t>分。（以合同签订日期为准、须提供合同</w:t>
            </w:r>
            <w:r>
              <w:rPr>
                <w:rFonts w:hint="eastAsia" w:ascii="Times New Roman" w:hAnsi="Times New Roman" w:eastAsia="仿宋_GB2312" w:cs="Times New Roman"/>
                <w:color w:val="auto"/>
                <w:sz w:val="24"/>
                <w:highlight w:val="none"/>
                <w:lang w:val="en-US" w:eastAsia="zh-CN"/>
              </w:rPr>
              <w:t>复印件并加</w:t>
            </w:r>
            <w:r>
              <w:rPr>
                <w:rFonts w:hint="eastAsia" w:ascii="Times New Roman" w:hAnsi="Times New Roman" w:eastAsia="仿宋_GB2312" w:cs="Times New Roman"/>
                <w:color w:val="auto"/>
                <w:sz w:val="24"/>
                <w:highlight w:val="none"/>
                <w:lang w:val="zh-CN" w:eastAsia="zh-CN"/>
              </w:rPr>
              <w:t>盖</w:t>
            </w:r>
            <w:r>
              <w:rPr>
                <w:rFonts w:hint="eastAsia" w:ascii="Times New Roman" w:hAnsi="Times New Roman" w:eastAsia="仿宋_GB2312" w:cs="Times New Roman"/>
                <w:color w:val="auto"/>
                <w:sz w:val="24"/>
                <w:highlight w:val="none"/>
                <w:lang w:val="en-US" w:eastAsia="zh-CN"/>
              </w:rPr>
              <w:t>公</w:t>
            </w:r>
            <w:r>
              <w:rPr>
                <w:rFonts w:hint="eastAsia" w:ascii="Times New Roman" w:hAnsi="Times New Roman" w:eastAsia="仿宋_GB2312" w:cs="Times New Roman"/>
                <w:color w:val="auto"/>
                <w:sz w:val="24"/>
                <w:highlight w:val="none"/>
                <w:lang w:val="zh-CN" w:eastAsia="zh-CN"/>
              </w:rPr>
              <w:t>章</w:t>
            </w:r>
            <w:r>
              <w:rPr>
                <w:rFonts w:hint="eastAsia" w:ascii="Times New Roman" w:hAnsi="Times New Roman" w:eastAsia="仿宋_GB2312" w:cs="Times New Roman"/>
                <w:color w:val="auto"/>
                <w:sz w:val="24"/>
                <w:highlight w:val="none"/>
                <w:lang w:val="en-US" w:eastAsia="zh-CN"/>
              </w:rPr>
              <w:t>）。</w:t>
            </w:r>
          </w:p>
        </w:tc>
        <w:tc>
          <w:tcPr>
            <w:tcW w:w="839" w:type="dxa"/>
            <w:noWrap w:val="0"/>
            <w:vAlign w:val="center"/>
          </w:tcPr>
          <w:p>
            <w:pPr>
              <w:adjustRightInd w:val="0"/>
              <w:snapToGrid w:val="0"/>
              <w:spacing w:line="360" w:lineRule="auto"/>
              <w:jc w:val="center"/>
              <w:rPr>
                <w:rFonts w:hint="default"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6" w:type="dxa"/>
            <w:vMerge w:val="restart"/>
            <w:noWrap w:val="0"/>
            <w:vAlign w:val="center"/>
          </w:tcPr>
          <w:p>
            <w:pPr>
              <w:pStyle w:val="2"/>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p>
        </w:tc>
        <w:tc>
          <w:tcPr>
            <w:tcW w:w="765" w:type="dxa"/>
            <w:vMerge w:val="restart"/>
            <w:noWrap w:val="0"/>
            <w:vAlign w:val="center"/>
          </w:tcPr>
          <w:p>
            <w:pPr>
              <w:spacing w:line="4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服务</w:t>
            </w:r>
            <w:r>
              <w:rPr>
                <w:rFonts w:hint="eastAsia" w:ascii="仿宋" w:hAnsi="仿宋" w:eastAsia="仿宋" w:cs="仿宋"/>
                <w:b/>
                <w:bCs/>
                <w:color w:val="auto"/>
                <w:sz w:val="24"/>
                <w:szCs w:val="24"/>
                <w:highlight w:val="none"/>
                <w:lang w:eastAsia="zh-CN"/>
              </w:rPr>
              <w:t>承诺</w:t>
            </w:r>
          </w:p>
          <w:p>
            <w:pPr>
              <w:spacing w:line="480" w:lineRule="exact"/>
              <w:ind w:left="-118" w:leftChars="-56" w:right="-94" w:rightChars="-45"/>
              <w:jc w:val="center"/>
              <w:rPr>
                <w:rFonts w:hint="eastAsia" w:ascii="仿宋" w:hAnsi="仿宋" w:eastAsia="仿宋" w:cs="仿宋"/>
                <w:b/>
                <w:bCs/>
                <w:color w:val="auto"/>
                <w:sz w:val="24"/>
                <w:szCs w:val="24"/>
                <w:highlight w:val="none"/>
                <w:lang w:val="zh-CN"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供应商针对本项目及采购人实际需求提供优质的服务承诺，</w:t>
            </w:r>
            <w:r>
              <w:rPr>
                <w:rFonts w:hint="eastAsia" w:ascii="Times New Roman" w:hAnsi="Times New Roman" w:eastAsia="仿宋_GB2312" w:cs="Times New Roman"/>
                <w:color w:val="auto"/>
                <w:sz w:val="24"/>
                <w:highlight w:val="none"/>
                <w:lang w:val="en-US" w:eastAsia="zh-CN"/>
              </w:rPr>
              <w:t>根据响应程度计0-</w:t>
            </w:r>
            <w:r>
              <w:rPr>
                <w:rFonts w:hint="eastAsia" w:eastAsia="仿宋_GB2312" w:cs="Times New Roman"/>
                <w:color w:val="auto"/>
                <w:sz w:val="24"/>
                <w:highlight w:val="none"/>
                <w:lang w:val="en-US" w:eastAsia="zh-CN"/>
              </w:rPr>
              <w:t>5</w:t>
            </w:r>
            <w:r>
              <w:rPr>
                <w:rFonts w:hint="eastAsia" w:ascii="Times New Roman" w:hAnsi="Times New Roman" w:eastAsia="仿宋_GB2312" w:cs="Times New Roman"/>
                <w:color w:val="auto"/>
                <w:sz w:val="24"/>
                <w:highlight w:val="none"/>
                <w:lang w:val="en-US" w:eastAsia="zh-CN"/>
              </w:rPr>
              <w:t>分</w:t>
            </w:r>
            <w:r>
              <w:rPr>
                <w:rFonts w:hint="eastAsia" w:ascii="Times New Roman" w:hAnsi="Times New Roman" w:eastAsia="仿宋_GB2312" w:cs="Times New Roman"/>
                <w:color w:val="auto"/>
                <w:sz w:val="24"/>
                <w:highlight w:val="none"/>
                <w:lang w:val="zh-CN" w:eastAsia="zh-CN"/>
              </w:rPr>
              <w:t>。</w:t>
            </w:r>
          </w:p>
        </w:tc>
        <w:tc>
          <w:tcPr>
            <w:tcW w:w="839" w:type="dxa"/>
            <w:noWrap w:val="0"/>
            <w:vAlign w:val="center"/>
          </w:tcPr>
          <w:p>
            <w:pPr>
              <w:adjustRightInd w:val="0"/>
              <w:snapToGrid w:val="0"/>
              <w:spacing w:line="360" w:lineRule="auto"/>
              <w:jc w:val="center"/>
              <w:rPr>
                <w:rFonts w:hint="default" w:ascii="Times New Roman" w:hAnsi="Times New Roman"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6" w:type="dxa"/>
            <w:vMerge w:val="continue"/>
            <w:noWrap w:val="0"/>
            <w:vAlign w:val="center"/>
          </w:tcPr>
          <w:p>
            <w:pPr>
              <w:pStyle w:val="2"/>
              <w:jc w:val="center"/>
              <w:rPr>
                <w:rFonts w:hint="eastAsia" w:ascii="仿宋" w:hAnsi="仿宋" w:eastAsia="仿宋" w:cs="仿宋"/>
                <w:b/>
                <w:bCs/>
                <w:color w:val="auto"/>
                <w:sz w:val="24"/>
                <w:szCs w:val="24"/>
                <w:highlight w:val="none"/>
              </w:rPr>
            </w:pPr>
          </w:p>
        </w:tc>
        <w:tc>
          <w:tcPr>
            <w:tcW w:w="765" w:type="dxa"/>
            <w:vMerge w:val="continue"/>
            <w:noWrap w:val="0"/>
            <w:vAlign w:val="center"/>
          </w:tcPr>
          <w:p>
            <w:pPr>
              <w:spacing w:line="480" w:lineRule="exact"/>
              <w:ind w:left="-118" w:leftChars="-56" w:right="-94" w:rightChars="-45"/>
              <w:jc w:val="center"/>
              <w:rPr>
                <w:rFonts w:hint="eastAsia" w:ascii="仿宋" w:hAnsi="仿宋" w:eastAsia="仿宋" w:cs="仿宋"/>
                <w:b/>
                <w:bCs/>
                <w:color w:val="auto"/>
                <w:sz w:val="24"/>
                <w:szCs w:val="24"/>
                <w:highlight w:val="none"/>
                <w:lang w:val="zh-CN" w:eastAsia="zh-CN"/>
              </w:rPr>
            </w:pPr>
          </w:p>
        </w:tc>
        <w:tc>
          <w:tcPr>
            <w:tcW w:w="6195" w:type="dxa"/>
            <w:noWrap w:val="0"/>
            <w:vAlign w:val="center"/>
          </w:tcPr>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lang w:val="zh-CN" w:eastAsia="zh-CN"/>
              </w:rPr>
            </w:pPr>
            <w:r>
              <w:rPr>
                <w:rFonts w:hint="eastAsia" w:ascii="Times New Roman" w:hAnsi="Times New Roman" w:eastAsia="仿宋_GB2312" w:cs="Times New Roman"/>
                <w:color w:val="auto"/>
                <w:sz w:val="24"/>
                <w:highlight w:val="none"/>
                <w:lang w:val="zh-CN" w:eastAsia="zh-CN"/>
              </w:rPr>
              <w:t>供应商针对本项目有良好、积极的工作态度，能够在</w:t>
            </w:r>
            <w:r>
              <w:rPr>
                <w:rFonts w:hint="eastAsia" w:ascii="Times New Roman" w:hAnsi="Times New Roman" w:eastAsia="仿宋_GB2312" w:cs="Times New Roman"/>
                <w:color w:val="auto"/>
                <w:sz w:val="24"/>
                <w:highlight w:val="none"/>
                <w:lang w:val="en-US" w:eastAsia="zh-CN"/>
              </w:rPr>
              <w:t>项目服务过程中</w:t>
            </w:r>
            <w:r>
              <w:rPr>
                <w:rFonts w:hint="eastAsia" w:ascii="Times New Roman" w:hAnsi="Times New Roman" w:eastAsia="仿宋_GB2312" w:cs="Times New Roman"/>
                <w:color w:val="auto"/>
                <w:sz w:val="24"/>
                <w:highlight w:val="none"/>
                <w:lang w:val="zh-CN" w:eastAsia="zh-CN"/>
              </w:rPr>
              <w:t>及时配合采购人的工作</w:t>
            </w:r>
            <w:r>
              <w:rPr>
                <w:rFonts w:hint="eastAsia" w:eastAsia="仿宋_GB2312" w:cs="Times New Roman"/>
                <w:color w:val="auto"/>
                <w:sz w:val="24"/>
                <w:highlight w:val="none"/>
                <w:lang w:val="en-US" w:eastAsia="zh-CN"/>
              </w:rPr>
              <w:t>需求</w:t>
            </w:r>
            <w:r>
              <w:rPr>
                <w:rFonts w:hint="eastAsia" w:ascii="Times New Roman" w:hAnsi="Times New Roman" w:eastAsia="仿宋_GB2312" w:cs="Times New Roman"/>
                <w:color w:val="auto"/>
                <w:sz w:val="24"/>
                <w:highlight w:val="none"/>
                <w:lang w:val="zh-CN" w:eastAsia="zh-CN"/>
              </w:rPr>
              <w:t>，提供相应承诺，根据响应程度计0-</w:t>
            </w:r>
            <w:r>
              <w:rPr>
                <w:rFonts w:hint="eastAsia" w:eastAsia="仿宋_GB2312" w:cs="Times New Roman"/>
                <w:color w:val="auto"/>
                <w:sz w:val="24"/>
                <w:highlight w:val="none"/>
                <w:lang w:val="en-US" w:eastAsia="zh-CN"/>
              </w:rPr>
              <w:t>5</w:t>
            </w:r>
            <w:r>
              <w:rPr>
                <w:rFonts w:hint="eastAsia" w:ascii="Times New Roman" w:hAnsi="Times New Roman" w:eastAsia="仿宋_GB2312" w:cs="Times New Roman"/>
                <w:color w:val="auto"/>
                <w:sz w:val="24"/>
                <w:highlight w:val="none"/>
                <w:lang w:val="zh-CN" w:eastAsia="zh-CN"/>
              </w:rPr>
              <w:t>分。</w:t>
            </w:r>
          </w:p>
        </w:tc>
        <w:tc>
          <w:tcPr>
            <w:tcW w:w="839" w:type="dxa"/>
            <w:noWrap w:val="0"/>
            <w:vAlign w:val="center"/>
          </w:tcPr>
          <w:p>
            <w:pPr>
              <w:adjustRightInd w:val="0"/>
              <w:snapToGrid w:val="0"/>
              <w:spacing w:line="360" w:lineRule="auto"/>
              <w:jc w:val="center"/>
              <w:rPr>
                <w:rFonts w:hint="default" w:ascii="Times New Roman" w:hAnsi="Times New Roman" w:eastAsia="仿宋_GB2312" w:cs="Times New Roman"/>
                <w:color w:val="auto"/>
                <w:sz w:val="24"/>
                <w:highlight w:val="none"/>
                <w:lang w:val="en-US" w:eastAsia="zh-CN"/>
              </w:rPr>
            </w:pPr>
            <w:r>
              <w:rPr>
                <w:rFonts w:hint="eastAsia" w:eastAsia="仿宋_GB2312" w:cs="Times New Roman"/>
                <w:color w:val="auto"/>
                <w:sz w:val="24"/>
                <w:highlight w:val="none"/>
                <w:lang w:val="en-US" w:eastAsia="zh-CN"/>
              </w:rPr>
              <w:t>5分</w:t>
            </w:r>
          </w:p>
        </w:tc>
      </w:tr>
    </w:tbl>
    <w:p>
      <w:pPr>
        <w:tabs>
          <w:tab w:val="left" w:pos="-94"/>
          <w:tab w:val="left" w:pos="1620"/>
        </w:tabs>
        <w:adjustRightInd w:val="0"/>
        <w:spacing w:line="360" w:lineRule="auto"/>
        <w:ind w:left="23" w:leftChars="11"/>
        <w:jc w:val="center"/>
        <w:textAlignment w:val="baseline"/>
        <w:rPr>
          <w:rFonts w:ascii="仿宋_GB2312" w:hAnsi="仿宋_GB2312" w:eastAsia="仿宋_GB2312" w:cs="仿宋_GB2312"/>
          <w:b/>
          <w:color w:val="auto"/>
          <w:szCs w:val="21"/>
          <w:highlight w:val="none"/>
        </w:rPr>
      </w:pPr>
    </w:p>
    <w:p>
      <w:pPr>
        <w:jc w:val="center"/>
        <w:rPr>
          <w:rFonts w:ascii="仿宋_GB2312" w:hAnsi="仿宋_GB2312" w:eastAsia="仿宋_GB2312" w:cs="仿宋_GB2312"/>
          <w:b/>
          <w:color w:val="auto"/>
          <w:kern w:val="0"/>
          <w:sz w:val="30"/>
          <w:szCs w:val="30"/>
          <w:highlight w:val="none"/>
        </w:rPr>
      </w:pPr>
      <w:r>
        <w:rPr>
          <w:rFonts w:hint="eastAsia" w:ascii="仿宋_GB2312" w:hAnsi="仿宋_GB2312" w:eastAsia="仿宋_GB2312" w:cs="仿宋_GB2312"/>
          <w:color w:val="auto"/>
          <w:szCs w:val="21"/>
          <w:highlight w:val="none"/>
        </w:rPr>
        <w:br w:type="page"/>
      </w:r>
    </w:p>
    <w:p>
      <w:pPr>
        <w:pStyle w:val="46"/>
        <w:spacing w:line="360" w:lineRule="auto"/>
        <w:rPr>
          <w:rStyle w:val="203"/>
          <w:rFonts w:ascii="宋体" w:hAnsi="宋体" w:eastAsia="宋体"/>
          <w:color w:val="auto"/>
          <w:sz w:val="36"/>
          <w:szCs w:val="36"/>
          <w:highlight w:val="none"/>
        </w:rPr>
      </w:pPr>
      <w:bookmarkStart w:id="418" w:name="_Toc21131"/>
      <w:r>
        <w:rPr>
          <w:rStyle w:val="203"/>
          <w:rFonts w:hint="eastAsia" w:ascii="宋体" w:hAnsi="宋体" w:eastAsia="宋体"/>
          <w:color w:val="auto"/>
          <w:sz w:val="36"/>
          <w:szCs w:val="36"/>
          <w:highlight w:val="none"/>
        </w:rPr>
        <w:t>第四章  合同草案条款</w:t>
      </w:r>
      <w:bookmarkEnd w:id="19"/>
      <w:bookmarkEnd w:id="401"/>
      <w:bookmarkEnd w:id="402"/>
      <w:bookmarkEnd w:id="418"/>
      <w:bookmarkStart w:id="419" w:name="_Toc177817344"/>
      <w:bookmarkStart w:id="420" w:name="_Toc177995483"/>
      <w:bookmarkStart w:id="421" w:name="_Toc499711928"/>
      <w:bookmarkStart w:id="422" w:name="_Toc249525250"/>
      <w:bookmarkStart w:id="423" w:name="_Toc232395222"/>
      <w:bookmarkStart w:id="424" w:name="_Toc500747010"/>
      <w:bookmarkStart w:id="425" w:name="_Toc53722865"/>
      <w:bookmarkStart w:id="426" w:name="_Toc503063458"/>
      <w:bookmarkStart w:id="427" w:name="_Toc232176282"/>
      <w:bookmarkStart w:id="428" w:name="_Toc176882552"/>
      <w:bookmarkStart w:id="429" w:name="_Toc492955459"/>
      <w:bookmarkStart w:id="430" w:name="_Toc256342152"/>
      <w:bookmarkStart w:id="431" w:name="_Toc28450"/>
      <w:bookmarkStart w:id="432" w:name="_Toc249515369"/>
      <w:bookmarkStart w:id="433" w:name="_Toc177189245"/>
      <w:bookmarkStart w:id="434" w:name="_Toc415499897"/>
      <w:bookmarkStart w:id="435" w:name="_Toc500747106"/>
      <w:bookmarkStart w:id="436" w:name="_Toc230013638"/>
      <w:bookmarkStart w:id="437" w:name="_Toc500747233"/>
      <w:bookmarkStart w:id="438" w:name="_Toc230583552"/>
      <w:bookmarkStart w:id="439" w:name="_Toc230099803"/>
      <w:bookmarkStart w:id="440" w:name="_Toc249515482"/>
      <w:bookmarkStart w:id="441" w:name="_Toc70687202"/>
      <w:bookmarkStart w:id="442" w:name="_Toc184043058"/>
      <w:bookmarkStart w:id="443" w:name="_Toc496324623"/>
      <w:bookmarkStart w:id="444" w:name="_Toc499711087"/>
    </w:p>
    <w:p>
      <w:pPr>
        <w:adjustRightInd w:val="0"/>
        <w:snapToGrid w:val="0"/>
        <w:spacing w:line="360" w:lineRule="auto"/>
        <w:ind w:firstLine="480" w:firstLineChars="200"/>
        <w:rPr>
          <w:rFonts w:ascii="仿宋_GB2312" w:hAnsi="仿宋_GB2312" w:eastAsia="仿宋_GB2312" w:cs="仿宋_GB2312"/>
          <w:color w:val="auto"/>
          <w:sz w:val="24"/>
          <w:highlight w:val="none"/>
        </w:rPr>
      </w:pPr>
    </w:p>
    <w:p>
      <w:pPr>
        <w:tabs>
          <w:tab w:val="left" w:pos="735"/>
        </w:tabs>
        <w:autoSpaceDE w:val="0"/>
        <w:autoSpaceDN w:val="0"/>
        <w:adjustRightInd w:val="0"/>
        <w:snapToGrid w:val="0"/>
        <w:spacing w:beforeLines="100" w:line="360" w:lineRule="auto"/>
        <w:ind w:firstLine="629"/>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甲方：</w:t>
      </w:r>
      <w:r>
        <w:rPr>
          <w:rFonts w:hint="eastAsia" w:ascii="仿宋" w:hAnsi="仿宋" w:eastAsia="仿宋" w:cs="仿宋"/>
          <w:bCs/>
          <w:color w:val="auto"/>
          <w:sz w:val="24"/>
          <w:highlight w:val="none"/>
          <w:lang w:val="zh-CN"/>
        </w:rPr>
        <w:t>（前款所称采购人）         住所：</w:t>
      </w:r>
    </w:p>
    <w:p>
      <w:pPr>
        <w:tabs>
          <w:tab w:val="left" w:pos="735"/>
        </w:tabs>
        <w:autoSpaceDE w:val="0"/>
        <w:autoSpaceDN w:val="0"/>
        <w:adjustRightInd w:val="0"/>
        <w:snapToGrid w:val="0"/>
        <w:spacing w:line="360" w:lineRule="auto"/>
        <w:ind w:firstLine="631"/>
        <w:rPr>
          <w:rFonts w:ascii="仿宋" w:hAnsi="仿宋" w:eastAsia="仿宋" w:cs="仿宋"/>
          <w:bCs/>
          <w:color w:val="auto"/>
          <w:sz w:val="24"/>
          <w:highlight w:val="none"/>
          <w:lang w:val="zh-CN"/>
        </w:rPr>
      </w:pPr>
      <w:r>
        <w:rPr>
          <w:rFonts w:hint="eastAsia" w:ascii="仿宋" w:hAnsi="仿宋" w:eastAsia="仿宋" w:cs="仿宋"/>
          <w:b/>
          <w:bCs/>
          <w:color w:val="auto"/>
          <w:sz w:val="24"/>
          <w:highlight w:val="none"/>
          <w:lang w:val="zh-CN"/>
        </w:rPr>
        <w:t>乙方：</w:t>
      </w:r>
      <w:r>
        <w:rPr>
          <w:rFonts w:hint="eastAsia" w:ascii="仿宋" w:hAnsi="仿宋" w:eastAsia="仿宋" w:cs="仿宋"/>
          <w:bCs/>
          <w:color w:val="auto"/>
          <w:sz w:val="24"/>
          <w:highlight w:val="none"/>
          <w:lang w:val="zh-CN"/>
        </w:rPr>
        <w:t>（前款所称成交供应商）     住所：</w:t>
      </w:r>
    </w:p>
    <w:p>
      <w:pPr>
        <w:tabs>
          <w:tab w:val="left" w:pos="735"/>
        </w:tabs>
        <w:autoSpaceDE w:val="0"/>
        <w:autoSpaceDN w:val="0"/>
        <w:adjustRightInd w:val="0"/>
        <w:snapToGrid w:val="0"/>
        <w:spacing w:line="360" w:lineRule="auto"/>
        <w:ind w:firstLine="482" w:firstLineChars="200"/>
        <w:rPr>
          <w:rFonts w:ascii="仿宋" w:hAnsi="仿宋" w:eastAsia="仿宋" w:cs="仿宋"/>
          <w:b/>
          <w:bCs/>
          <w:color w:val="auto"/>
          <w:sz w:val="24"/>
          <w:highlight w:val="none"/>
          <w:lang w:val="zh-CN"/>
        </w:rPr>
      </w:pPr>
      <w:bookmarkStart w:id="445" w:name="_Toc19515384"/>
      <w:r>
        <w:rPr>
          <w:rFonts w:hint="eastAsia" w:ascii="仿宋" w:hAnsi="仿宋" w:eastAsia="仿宋" w:cs="仿宋"/>
          <w:b/>
          <w:bCs/>
          <w:color w:val="auto"/>
          <w:sz w:val="24"/>
          <w:highlight w:val="none"/>
          <w:lang w:val="zh-CN"/>
        </w:rPr>
        <w:t>一、合同内容:</w:t>
      </w:r>
    </w:p>
    <w:p>
      <w:pPr>
        <w:tabs>
          <w:tab w:val="left" w:pos="735"/>
        </w:tabs>
        <w:autoSpaceDE w:val="0"/>
        <w:autoSpaceDN w:val="0"/>
        <w:adjustRightInd w:val="0"/>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color w:val="auto"/>
          <w:sz w:val="24"/>
          <w:highlight w:val="none"/>
        </w:rPr>
        <w:t>二、合同价款</w:t>
      </w:r>
    </w:p>
    <w:p>
      <w:pPr>
        <w:tabs>
          <w:tab w:val="left" w:pos="735"/>
        </w:tabs>
        <w:autoSpaceDE w:val="0"/>
        <w:autoSpaceDN w:val="0"/>
        <w:adjustRightInd w:val="0"/>
        <w:snapToGrid w:val="0"/>
        <w:spacing w:line="360" w:lineRule="auto"/>
        <w:ind w:firstLine="480" w:firstLineChars="200"/>
        <w:rPr>
          <w:rFonts w:ascii="仿宋" w:hAnsi="仿宋" w:eastAsia="仿宋" w:cs="仿宋"/>
          <w:b/>
          <w:bCs/>
          <w:color w:val="auto"/>
          <w:sz w:val="24"/>
          <w:highlight w:val="none"/>
          <w:lang w:val="zh-CN"/>
        </w:rPr>
      </w:pPr>
      <w:r>
        <w:rPr>
          <w:rFonts w:hint="eastAsia" w:ascii="仿宋" w:hAnsi="仿宋" w:eastAsia="仿宋" w:cs="仿宋"/>
          <w:color w:val="auto"/>
          <w:sz w:val="24"/>
          <w:highlight w:val="none"/>
        </w:rPr>
        <w:t>1、合同总价：</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2、合同总价一次包死，不受市场价变化的影响。</w:t>
      </w:r>
    </w:p>
    <w:p>
      <w:pPr>
        <w:tabs>
          <w:tab w:val="left" w:pos="735"/>
        </w:tabs>
        <w:adjustRightInd w:val="0"/>
        <w:snapToGrid w:val="0"/>
        <w:spacing w:line="360" w:lineRule="auto"/>
        <w:ind w:firstLine="506" w:firstLineChars="210"/>
        <w:rPr>
          <w:rFonts w:ascii="仿宋" w:hAnsi="仿宋" w:eastAsia="仿宋" w:cs="仿宋"/>
          <w:b/>
          <w:color w:val="auto"/>
          <w:sz w:val="24"/>
          <w:highlight w:val="none"/>
        </w:rPr>
      </w:pPr>
      <w:r>
        <w:rPr>
          <w:rFonts w:hint="eastAsia" w:ascii="仿宋" w:hAnsi="仿宋" w:eastAsia="仿宋" w:cs="仿宋"/>
          <w:b/>
          <w:color w:val="auto"/>
          <w:sz w:val="24"/>
          <w:highlight w:val="none"/>
        </w:rPr>
        <w:t>三、合同结算</w:t>
      </w:r>
    </w:p>
    <w:p>
      <w:pPr>
        <w:tabs>
          <w:tab w:val="left" w:pos="735"/>
        </w:tabs>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1、付款比例：</w:t>
      </w:r>
    </w:p>
    <w:p>
      <w:pPr>
        <w:pStyle w:val="2"/>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1-1合同签订后支付总价款的80%</w:t>
      </w:r>
    </w:p>
    <w:p>
      <w:pPr>
        <w:ind w:firstLine="480" w:firstLineChars="200"/>
        <w:rPr>
          <w:rFonts w:hint="default"/>
          <w:color w:val="auto"/>
          <w:highlight w:val="none"/>
          <w:lang w:val="en-US" w:eastAsia="zh-CN"/>
        </w:rPr>
      </w:pPr>
      <w:r>
        <w:rPr>
          <w:rFonts w:hint="eastAsia" w:ascii="仿宋" w:hAnsi="仿宋" w:eastAsia="仿宋" w:cs="仿宋"/>
          <w:color w:val="auto"/>
          <w:sz w:val="24"/>
          <w:highlight w:val="none"/>
          <w:lang w:val="en-US" w:eastAsia="zh-CN"/>
        </w:rPr>
        <w:t>1-2项目实施完成后支付总价款的20%</w:t>
      </w:r>
    </w:p>
    <w:p>
      <w:pPr>
        <w:tabs>
          <w:tab w:val="left" w:pos="735"/>
        </w:tabs>
        <w:autoSpaceDE w:val="0"/>
        <w:autoSpaceDN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2、结算方式：银行转账。</w:t>
      </w:r>
    </w:p>
    <w:p>
      <w:pPr>
        <w:tabs>
          <w:tab w:val="left" w:pos="735"/>
        </w:tabs>
        <w:autoSpaceDE w:val="0"/>
        <w:autoSpaceDN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3、结算单位：由</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负责结算，乙方开具合同总价数的全额发票交采购人。</w:t>
      </w:r>
    </w:p>
    <w:p>
      <w:pPr>
        <w:tabs>
          <w:tab w:val="left" w:pos="735"/>
        </w:tabs>
        <w:autoSpaceDE w:val="0"/>
        <w:autoSpaceDN w:val="0"/>
        <w:adjustRightInd w:val="0"/>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lang w:val="zh-CN"/>
        </w:rPr>
        <w:t>四、</w:t>
      </w:r>
      <w:r>
        <w:rPr>
          <w:rFonts w:hint="eastAsia" w:ascii="仿宋" w:hAnsi="仿宋" w:eastAsia="仿宋" w:cs="仿宋"/>
          <w:b/>
          <w:bCs/>
          <w:color w:val="auto"/>
          <w:sz w:val="24"/>
          <w:highlight w:val="none"/>
          <w:lang w:val="en-US" w:eastAsia="zh-CN"/>
        </w:rPr>
        <w:t>双方的义务和权力</w:t>
      </w:r>
      <w:r>
        <w:rPr>
          <w:rFonts w:hint="eastAsia" w:ascii="仿宋" w:hAnsi="仿宋" w:eastAsia="仿宋" w:cs="仿宋"/>
          <w:b/>
          <w:bCs/>
          <w:color w:val="auto"/>
          <w:sz w:val="24"/>
          <w:highlight w:val="none"/>
          <w:lang w:val="zh-CN"/>
        </w:rPr>
        <w:t>:</w:t>
      </w:r>
    </w:p>
    <w:p>
      <w:pPr>
        <w:tabs>
          <w:tab w:val="left" w:pos="735"/>
        </w:tabs>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（一）甲方的权利和义务</w:t>
      </w:r>
    </w:p>
    <w:p>
      <w:pPr>
        <w:tabs>
          <w:tab w:val="left" w:pos="735"/>
        </w:tabs>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1、明确所需服务要求；</w:t>
      </w:r>
    </w:p>
    <w:p>
      <w:pPr>
        <w:tabs>
          <w:tab w:val="left" w:pos="735"/>
        </w:tabs>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2、对乙方所供服务及成果进行验收；</w:t>
      </w:r>
    </w:p>
    <w:p>
      <w:pPr>
        <w:tabs>
          <w:tab w:val="left" w:pos="735"/>
        </w:tabs>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3、按约支付价款。</w:t>
      </w:r>
    </w:p>
    <w:p>
      <w:pPr>
        <w:tabs>
          <w:tab w:val="left" w:pos="735"/>
        </w:tabs>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（二）乙方的权利和义务</w:t>
      </w:r>
    </w:p>
    <w:p>
      <w:pPr>
        <w:tabs>
          <w:tab w:val="left" w:pos="735"/>
        </w:tabs>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1、保证所供服务符合甲方要求；</w:t>
      </w:r>
    </w:p>
    <w:p>
      <w:pPr>
        <w:tabs>
          <w:tab w:val="left" w:pos="735"/>
        </w:tabs>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2、按时向甲方提供服务；</w:t>
      </w:r>
    </w:p>
    <w:p>
      <w:pPr>
        <w:tabs>
          <w:tab w:val="left" w:pos="735"/>
        </w:tabs>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3、主动通知甲方办理验收，并办理结算手续。</w:t>
      </w:r>
    </w:p>
    <w:p>
      <w:pPr>
        <w:tabs>
          <w:tab w:val="left" w:pos="735"/>
        </w:tabs>
        <w:autoSpaceDE w:val="0"/>
        <w:autoSpaceDN w:val="0"/>
        <w:adjustRightInd w:val="0"/>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lang w:val="zh-CN"/>
        </w:rPr>
        <w:t>、服务条件:</w:t>
      </w:r>
    </w:p>
    <w:p>
      <w:pPr>
        <w:tabs>
          <w:tab w:val="left" w:pos="735"/>
        </w:tabs>
        <w:autoSpaceDE w:val="0"/>
        <w:autoSpaceDN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1、服务地点：</w:t>
      </w:r>
      <w:r>
        <w:rPr>
          <w:rFonts w:hint="eastAsia" w:ascii="仿宋" w:hAnsi="仿宋" w:eastAsia="仿宋" w:cs="仿宋"/>
          <w:color w:val="auto"/>
          <w:sz w:val="24"/>
          <w:highlight w:val="none"/>
          <w:lang w:val="en-US" w:eastAsia="zh-CN"/>
        </w:rPr>
        <w:t>采购人指定服务地点</w:t>
      </w:r>
      <w:r>
        <w:rPr>
          <w:rFonts w:hint="eastAsia" w:ascii="仿宋" w:hAnsi="仿宋" w:eastAsia="仿宋" w:cs="仿宋"/>
          <w:color w:val="auto"/>
          <w:sz w:val="24"/>
          <w:highlight w:val="none"/>
        </w:rPr>
        <w:t>。</w:t>
      </w:r>
    </w:p>
    <w:p>
      <w:pPr>
        <w:tabs>
          <w:tab w:val="left" w:pos="735"/>
        </w:tabs>
        <w:autoSpaceDE w:val="0"/>
        <w:autoSpaceDN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2、服务期：</w:t>
      </w:r>
      <w:r>
        <w:rPr>
          <w:rFonts w:hint="eastAsia" w:ascii="仿宋" w:hAnsi="仿宋" w:eastAsia="仿宋" w:cs="仿宋"/>
          <w:color w:val="auto"/>
          <w:sz w:val="24"/>
          <w:highlight w:val="none"/>
          <w:lang w:val="en-US" w:eastAsia="zh-CN"/>
        </w:rPr>
        <w:t>6个月</w:t>
      </w:r>
      <w:r>
        <w:rPr>
          <w:rFonts w:hint="eastAsia" w:ascii="仿宋" w:hAnsi="仿宋" w:eastAsia="仿宋" w:cs="仿宋"/>
          <w:color w:val="auto"/>
          <w:sz w:val="24"/>
          <w:highlight w:val="none"/>
        </w:rPr>
        <w:t>。</w:t>
      </w:r>
    </w:p>
    <w:bookmarkEnd w:id="445"/>
    <w:p>
      <w:pPr>
        <w:tabs>
          <w:tab w:val="left" w:pos="735"/>
        </w:tabs>
        <w:autoSpaceDE w:val="0"/>
        <w:autoSpaceDN w:val="0"/>
        <w:adjustRightInd w:val="0"/>
        <w:snapToGrid w:val="0"/>
        <w:spacing w:line="360" w:lineRule="auto"/>
        <w:ind w:firstLine="482" w:firstLineChars="200"/>
        <w:rPr>
          <w:rFonts w:ascii="仿宋" w:hAnsi="仿宋" w:eastAsia="仿宋" w:cs="仿宋"/>
          <w:color w:val="auto"/>
          <w:sz w:val="24"/>
          <w:highlight w:val="none"/>
        </w:rPr>
      </w:pPr>
      <w:bookmarkStart w:id="446" w:name="_Toc19515386"/>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、技术服务</w:t>
      </w:r>
    </w:p>
    <w:p>
      <w:pPr>
        <w:tabs>
          <w:tab w:val="left" w:pos="735"/>
        </w:tabs>
        <w:adjustRightInd w:val="0"/>
        <w:snapToGrid w:val="0"/>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1、对技术服务的方案：</w:t>
      </w:r>
    </w:p>
    <w:p>
      <w:pPr>
        <w:tabs>
          <w:tab w:val="left" w:pos="735"/>
        </w:tabs>
        <w:adjustRightInd w:val="0"/>
        <w:snapToGrid w:val="0"/>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2、服务相关资料；</w:t>
      </w:r>
    </w:p>
    <w:p>
      <w:pPr>
        <w:tabs>
          <w:tab w:val="left" w:pos="735"/>
        </w:tabs>
        <w:adjustRightInd w:val="0"/>
        <w:snapToGrid w:val="0"/>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2-3、其它资料。</w:t>
      </w:r>
    </w:p>
    <w:p>
      <w:pPr>
        <w:tabs>
          <w:tab w:val="left" w:pos="735"/>
        </w:tabs>
        <w:adjustRightInd w:val="0"/>
        <w:snapToGrid w:val="0"/>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3、服务内容按符合有关规定。</w:t>
      </w:r>
    </w:p>
    <w:p>
      <w:pPr>
        <w:tabs>
          <w:tab w:val="left" w:pos="735"/>
        </w:tabs>
        <w:adjustRightInd w:val="0"/>
        <w:snapToGrid w:val="0"/>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4、伴随服务的费用已含在合同价中，不单独进行支付。</w:t>
      </w:r>
    </w:p>
    <w:p>
      <w:pPr>
        <w:tabs>
          <w:tab w:val="left" w:pos="735"/>
        </w:tabs>
        <w:adjustRightInd w:val="0"/>
        <w:snapToGrid w:val="0"/>
        <w:spacing w:line="360" w:lineRule="auto"/>
        <w:ind w:firstLine="506" w:firstLineChars="21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、验收</w:t>
      </w:r>
    </w:p>
    <w:p>
      <w:pPr>
        <w:tabs>
          <w:tab w:val="left" w:pos="735"/>
        </w:tabs>
        <w:adjustRightInd w:val="0"/>
        <w:snapToGrid w:val="0"/>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验收依据：</w:t>
      </w:r>
    </w:p>
    <w:p>
      <w:pPr>
        <w:tabs>
          <w:tab w:val="left" w:pos="735"/>
        </w:tabs>
        <w:adjustRightInd w:val="0"/>
        <w:snapToGrid w:val="0"/>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1、合同文本、合同附件、</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文件、响应文件。</w:t>
      </w:r>
    </w:p>
    <w:p>
      <w:pPr>
        <w:tabs>
          <w:tab w:val="left" w:pos="735"/>
        </w:tabs>
        <w:adjustRightInd w:val="0"/>
        <w:snapToGrid w:val="0"/>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2、国内相应的标准、规范。</w:t>
      </w:r>
    </w:p>
    <w:p>
      <w:pPr>
        <w:tabs>
          <w:tab w:val="left" w:pos="735"/>
        </w:tabs>
        <w:adjustRightInd w:val="0"/>
        <w:snapToGrid w:val="0"/>
        <w:spacing w:line="360" w:lineRule="auto"/>
        <w:ind w:firstLine="506" w:firstLineChars="210"/>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、质量保证</w:t>
      </w:r>
    </w:p>
    <w:p>
      <w:pPr>
        <w:tabs>
          <w:tab w:val="left" w:pos="735"/>
        </w:tabs>
        <w:adjustRightInd w:val="0"/>
        <w:snapToGrid w:val="0"/>
        <w:spacing w:line="360" w:lineRule="auto"/>
        <w:ind w:firstLine="504" w:firstLineChars="21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1.服务方案科学、可行，人员配置合理，全面满足要求。</w:t>
      </w:r>
    </w:p>
    <w:p>
      <w:pPr>
        <w:tabs>
          <w:tab w:val="left" w:pos="735"/>
        </w:tabs>
        <w:adjustRightInd w:val="0"/>
        <w:snapToGrid w:val="0"/>
        <w:spacing w:line="360" w:lineRule="auto"/>
        <w:ind w:firstLine="504" w:firstLineChars="21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2.符合国家有关服务规范要求，确保各项服务达到采购文件的服务要求。</w:t>
      </w:r>
    </w:p>
    <w:p>
      <w:pPr>
        <w:tabs>
          <w:tab w:val="left" w:pos="735"/>
        </w:tabs>
        <w:adjustRightInd w:val="0"/>
        <w:snapToGrid w:val="0"/>
        <w:spacing w:line="360" w:lineRule="auto"/>
        <w:ind w:firstLine="504" w:firstLineChars="21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3.乙方提供的技术服务，若发生侵权而产生的一切后果，由乙方负责，甲方保留索赔权力。</w:t>
      </w:r>
    </w:p>
    <w:p>
      <w:pPr>
        <w:tabs>
          <w:tab w:val="left" w:pos="735"/>
        </w:tabs>
        <w:adjustRightInd w:val="0"/>
        <w:snapToGrid w:val="0"/>
        <w:spacing w:line="360" w:lineRule="auto"/>
        <w:ind w:firstLine="506" w:firstLineChars="210"/>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、违约责任</w:t>
      </w:r>
    </w:p>
    <w:p>
      <w:pPr>
        <w:tabs>
          <w:tab w:val="left" w:pos="735"/>
        </w:tabs>
        <w:adjustRightInd w:val="0"/>
        <w:snapToGrid w:val="0"/>
        <w:spacing w:line="360" w:lineRule="auto"/>
        <w:ind w:firstLine="504" w:firstLineChars="210"/>
        <w:rPr>
          <w:rFonts w:ascii="仿宋" w:hAnsi="仿宋" w:eastAsia="仿宋" w:cs="仿宋"/>
          <w:color w:val="auto"/>
          <w:sz w:val="24"/>
          <w:highlight w:val="none"/>
        </w:rPr>
      </w:pPr>
      <w:r>
        <w:rPr>
          <w:rFonts w:hint="eastAsia" w:ascii="仿宋" w:hAnsi="仿宋" w:eastAsia="仿宋" w:cs="仿宋"/>
          <w:color w:val="auto"/>
          <w:sz w:val="24"/>
          <w:highlight w:val="none"/>
        </w:rPr>
        <w:t>1、按《</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》中的相关条款执行。</w:t>
      </w:r>
    </w:p>
    <w:p>
      <w:pPr>
        <w:tabs>
          <w:tab w:val="left" w:pos="735"/>
        </w:tabs>
        <w:adjustRightInd w:val="0"/>
        <w:snapToGrid w:val="0"/>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2、违约终止合同：未按合同要求提供服务或质量不能满足要求，甲方有权终止合同，对乙方违约行为进行追究，同时按有关规定进行相应的处罚。</w:t>
      </w:r>
    </w:p>
    <w:p>
      <w:pPr>
        <w:tabs>
          <w:tab w:val="left" w:pos="480"/>
        </w:tabs>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rPr>
        <w:t>、合同争议解决的方式</w:t>
      </w:r>
    </w:p>
    <w:p>
      <w:pPr>
        <w:tabs>
          <w:tab w:val="left" w:pos="480"/>
        </w:tabs>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本合同在履行过程中发生的争议，由甲、乙方当事人协商解决；也可由当地工商行政管理部门调解；协商或调解不成的依法向甲方所在地人民法院起诉。</w:t>
      </w: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rPr>
        <w:t>、合同组成</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1、成交通知书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2、合同文件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3、国家相关规范及标准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4、技术规格及参数表</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5、采购文件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6、响应文件</w:t>
      </w:r>
    </w:p>
    <w:p>
      <w:pPr>
        <w:widowControl/>
        <w:autoSpaceDE w:val="0"/>
        <w:autoSpaceDN w:val="0"/>
        <w:snapToGrid w:val="0"/>
        <w:spacing w:line="360" w:lineRule="auto"/>
        <w:ind w:right="893" w:firstLine="472" w:firstLineChars="196"/>
        <w:textAlignment w:val="bottom"/>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十二</w:t>
      </w:r>
      <w:r>
        <w:rPr>
          <w:rFonts w:hint="eastAsia" w:ascii="仿宋" w:hAnsi="仿宋" w:eastAsia="仿宋" w:cs="仿宋"/>
          <w:b/>
          <w:color w:val="auto"/>
          <w:kern w:val="0"/>
          <w:sz w:val="24"/>
          <w:highlight w:val="none"/>
        </w:rPr>
        <w:t>、合同生效及其它</w:t>
      </w:r>
    </w:p>
    <w:p>
      <w:pPr>
        <w:widowControl/>
        <w:autoSpaceDE w:val="0"/>
        <w:autoSpaceDN w:val="0"/>
        <w:snapToGrid w:val="0"/>
        <w:spacing w:line="360" w:lineRule="auto"/>
        <w:ind w:right="-110" w:firstLine="480" w:firstLineChars="200"/>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本合同正本一式份，甲方执份、乙方执份。</w:t>
      </w:r>
    </w:p>
    <w:p>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3、合同经甲乙双方盖章、签字后生效，合同签订地点为。</w:t>
      </w:r>
    </w:p>
    <w:p>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4、生效时间：    年  月  日</w:t>
      </w:r>
    </w:p>
    <w:p>
      <w:pPr>
        <w:pStyle w:val="48"/>
        <w:ind w:firstLine="240"/>
        <w:rPr>
          <w:rFonts w:ascii="仿宋" w:hAnsi="仿宋" w:eastAsia="仿宋" w:cs="仿宋"/>
          <w:color w:val="auto"/>
          <w:sz w:val="24"/>
          <w:highlight w:val="none"/>
        </w:rPr>
      </w:pPr>
    </w:p>
    <w:tbl>
      <w:tblPr>
        <w:tblStyle w:val="50"/>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帐号：</w:t>
            </w:r>
          </w:p>
        </w:tc>
        <w:tc>
          <w:tcPr>
            <w:tcW w:w="4643" w:type="dxa"/>
          </w:tcPr>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pPr>
              <w:widowControl/>
              <w:autoSpaceDE w:val="0"/>
              <w:autoSpaceDN w:val="0"/>
              <w:snapToGrid w:val="0"/>
              <w:spacing w:line="360" w:lineRule="auto"/>
              <w:ind w:right="-154"/>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帐号：</w:t>
            </w:r>
          </w:p>
        </w:tc>
      </w:tr>
      <w:bookmarkEnd w:id="446"/>
    </w:tbl>
    <w:p>
      <w:pPr>
        <w:widowControl/>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pStyle w:val="2"/>
        <w:rPr>
          <w:rFonts w:ascii="仿宋_GB2312" w:hAnsi="仿宋_GB2312" w:eastAsia="仿宋_GB2312" w:cs="仿宋_GB2312"/>
          <w:color w:val="auto"/>
          <w:highlight w:val="none"/>
        </w:rPr>
      </w:pP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政府采购项目服务验收报告单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pPr>
              <w:widowControl/>
              <w:jc w:val="left"/>
              <w:rPr>
                <w:rFonts w:ascii="仿宋_GB2312" w:hAnsi="仿宋_GB2312" w:eastAsia="仿宋_GB2312" w:cs="仿宋_GB2312"/>
                <w:b/>
                <w:bCs/>
                <w:color w:val="auto"/>
                <w:kern w:val="0"/>
                <w:sz w:val="24"/>
                <w:highlight w:val="none"/>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 w:val="24"/>
                <w:highlight w:val="none"/>
              </w:rPr>
            </w:pPr>
          </w:p>
        </w:tc>
        <w:tc>
          <w:tcPr>
            <w:tcW w:w="1481" w:type="pct"/>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color w:val="auto"/>
                <w:kern w:val="0"/>
                <w:sz w:val="24"/>
                <w:highlight w:val="none"/>
                <w:lang w:eastAsia="zh-CN"/>
              </w:rPr>
            </w:pPr>
            <w:r>
              <w:rPr>
                <w:rFonts w:hint="eastAsia" w:ascii="仿宋_GB2312" w:hAnsi="仿宋_GB2312" w:eastAsia="仿宋_GB2312" w:cs="仿宋_GB2312"/>
                <w:b/>
                <w:bCs/>
                <w:color w:val="auto"/>
                <w:kern w:val="0"/>
                <w:sz w:val="24"/>
                <w:highlight w:val="none"/>
                <w:lang w:val="en-US" w:eastAsia="zh-CN"/>
              </w:rPr>
              <w:t>供应商</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开户行</w:t>
            </w:r>
          </w:p>
        </w:tc>
        <w:tc>
          <w:tcPr>
            <w:tcW w:w="1349" w:type="pct"/>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账号</w:t>
            </w:r>
          </w:p>
        </w:tc>
        <w:tc>
          <w:tcPr>
            <w:tcW w:w="1248" w:type="pct"/>
            <w:tcBorders>
              <w:top w:val="nil"/>
              <w:left w:val="nil"/>
              <w:bottom w:val="single" w:color="auto" w:sz="4" w:space="0"/>
              <w:right w:val="single" w:color="auto" w:sz="8"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1349" w:type="pct"/>
            <w:tcBorders>
              <w:top w:val="nil"/>
              <w:left w:val="nil"/>
              <w:bottom w:val="nil"/>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w:t>
            </w:r>
          </w:p>
        </w:tc>
        <w:tc>
          <w:tcPr>
            <w:tcW w:w="1481" w:type="pct"/>
            <w:tcBorders>
              <w:top w:val="nil"/>
              <w:left w:val="nil"/>
              <w:bottom w:val="nil"/>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c>
          <w:tcPr>
            <w:tcW w:w="1248" w:type="pct"/>
            <w:tcBorders>
              <w:top w:val="nil"/>
              <w:left w:val="nil"/>
              <w:bottom w:val="nil"/>
              <w:right w:val="single" w:color="auto" w:sz="8"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pPr>
              <w:widowControl/>
              <w:jc w:val="left"/>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 xml:space="preserve">  </w:t>
            </w:r>
            <w:r>
              <w:rPr>
                <w:rFonts w:hint="eastAsia" w:ascii="仿宋_GB2312" w:hAnsi="仿宋_GB2312" w:eastAsia="仿宋_GB2312" w:cs="仿宋_GB2312"/>
                <w:b/>
                <w:bCs/>
                <w:color w:val="auto"/>
                <w:kern w:val="0"/>
                <w:sz w:val="24"/>
                <w:highlight w:val="none"/>
                <w:lang w:val="en-US" w:eastAsia="zh-CN"/>
              </w:rPr>
              <w:t>供应商</w:t>
            </w:r>
            <w:r>
              <w:rPr>
                <w:rFonts w:hint="eastAsia" w:ascii="仿宋_GB2312" w:hAnsi="仿宋_GB2312" w:eastAsia="仿宋_GB2312" w:cs="仿宋_GB2312"/>
                <w:b/>
                <w:bCs/>
                <w:color w:val="auto"/>
                <w:kern w:val="0"/>
                <w:sz w:val="24"/>
                <w:highlight w:val="none"/>
              </w:rPr>
              <w:t>：（盖章）</w:t>
            </w:r>
          </w:p>
        </w:tc>
        <w:tc>
          <w:tcPr>
            <w:tcW w:w="2729" w:type="pct"/>
            <w:gridSpan w:val="2"/>
            <w:tcBorders>
              <w:top w:val="single" w:color="auto" w:sz="4" w:space="0"/>
              <w:left w:val="single" w:color="auto" w:sz="4" w:space="0"/>
              <w:bottom w:val="nil"/>
              <w:right w:val="single" w:color="000000" w:sz="8" w:space="0"/>
            </w:tcBorders>
          </w:tcPr>
          <w:p>
            <w:pPr>
              <w:widowControl/>
              <w:jc w:val="left"/>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 xml:space="preserve">   使用单位验收意见：（盖章）</w:t>
            </w:r>
          </w:p>
          <w:p>
            <w:pPr>
              <w:rPr>
                <w:rFonts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 xml:space="preserve"> 签字：</w:t>
            </w:r>
          </w:p>
        </w:tc>
        <w:tc>
          <w:tcPr>
            <w:tcW w:w="1349" w:type="pct"/>
            <w:tcBorders>
              <w:top w:val="nil"/>
              <w:left w:val="nil"/>
              <w:bottom w:val="nil"/>
              <w:right w:val="nil"/>
            </w:tcBorders>
            <w:noWrap/>
            <w:vAlign w:val="center"/>
          </w:tcPr>
          <w:p>
            <w:pPr>
              <w:widowControl/>
              <w:jc w:val="center"/>
              <w:rPr>
                <w:rFonts w:ascii="仿宋_GB2312" w:hAnsi="仿宋_GB2312" w:eastAsia="仿宋_GB2312" w:cs="仿宋_GB2312"/>
                <w:b/>
                <w:bCs/>
                <w:color w:val="auto"/>
                <w:kern w:val="0"/>
                <w:sz w:val="24"/>
                <w:highlight w:val="none"/>
              </w:rPr>
            </w:pPr>
          </w:p>
        </w:tc>
        <w:tc>
          <w:tcPr>
            <w:tcW w:w="1481" w:type="pct"/>
            <w:tcBorders>
              <w:top w:val="nil"/>
              <w:left w:val="single" w:color="auto" w:sz="4" w:space="0"/>
              <w:bottom w:val="nil"/>
              <w:right w:val="nil"/>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签字：</w:t>
            </w:r>
          </w:p>
        </w:tc>
        <w:tc>
          <w:tcPr>
            <w:tcW w:w="1248" w:type="pct"/>
            <w:tcBorders>
              <w:top w:val="nil"/>
              <w:left w:val="nil"/>
              <w:bottom w:val="nil"/>
              <w:right w:val="single" w:color="auto" w:sz="8" w:space="0"/>
            </w:tcBorders>
          </w:tcPr>
          <w:p>
            <w:pPr>
              <w:widowControl/>
              <w:jc w:val="left"/>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w:t>
            </w:r>
          </w:p>
        </w:tc>
        <w:tc>
          <w:tcPr>
            <w:tcW w:w="1349" w:type="pct"/>
            <w:tcBorders>
              <w:top w:val="nil"/>
              <w:left w:val="nil"/>
              <w:bottom w:val="single" w:color="auto" w:sz="4" w:space="0"/>
              <w:right w:val="nil"/>
            </w:tcBorders>
            <w:vAlign w:val="bottom"/>
          </w:tcPr>
          <w:p>
            <w:pPr>
              <w:widowControl/>
              <w:jc w:val="right"/>
              <w:rPr>
                <w:rFonts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pPr>
              <w:widowControl/>
              <w:jc w:val="left"/>
              <w:rPr>
                <w:rFonts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w:t>
            </w:r>
          </w:p>
        </w:tc>
        <w:tc>
          <w:tcPr>
            <w:tcW w:w="1248" w:type="pct"/>
            <w:tcBorders>
              <w:top w:val="nil"/>
              <w:left w:val="nil"/>
              <w:bottom w:val="single" w:color="auto" w:sz="4" w:space="0"/>
              <w:right w:val="single" w:color="auto" w:sz="8" w:space="0"/>
            </w:tcBorders>
            <w:vAlign w:val="bottom"/>
          </w:tcPr>
          <w:p>
            <w:pPr>
              <w:widowControl/>
              <w:jc w:val="right"/>
              <w:rPr>
                <w:rFonts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ascii="仿宋_GB2312" w:hAnsi="仿宋_GB2312" w:eastAsia="仿宋_GB2312" w:cs="仿宋_GB2312"/>
                <w:b/>
                <w:bCs/>
                <w:color w:val="auto"/>
                <w:kern w:val="0"/>
                <w:sz w:val="22"/>
                <w:szCs w:val="22"/>
                <w:highlight w:val="none"/>
              </w:rPr>
            </w:pPr>
            <w:r>
              <w:rPr>
                <w:rFonts w:hint="eastAsia" w:ascii="仿宋_GB2312" w:hAnsi="仿宋_GB2312" w:eastAsia="仿宋_GB2312" w:cs="仿宋_GB2312"/>
                <w:b/>
                <w:bCs/>
                <w:color w:val="auto"/>
                <w:kern w:val="0"/>
                <w:sz w:val="22"/>
                <w:szCs w:val="22"/>
                <w:highlight w:val="none"/>
                <w:lang w:val="en-US" w:eastAsia="zh-CN"/>
              </w:rPr>
              <w:t>服务</w:t>
            </w:r>
            <w:r>
              <w:rPr>
                <w:rFonts w:hint="eastAsia" w:ascii="仿宋_GB2312" w:hAnsi="仿宋_GB2312" w:eastAsia="仿宋_GB2312" w:cs="仿宋_GB2312"/>
                <w:b/>
                <w:bCs/>
                <w:color w:val="auto"/>
                <w:kern w:val="0"/>
                <w:sz w:val="22"/>
                <w:szCs w:val="22"/>
                <w:highlight w:val="none"/>
              </w:rPr>
              <w:t>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pPr>
              <w:widowControl/>
              <w:jc w:val="center"/>
              <w:rPr>
                <w:rFonts w:ascii="仿宋_GB2312" w:hAnsi="仿宋_GB2312" w:eastAsia="仿宋_GB2312" w:cs="仿宋_GB2312"/>
                <w:b/>
                <w:bCs/>
                <w:color w:val="auto"/>
                <w:kern w:val="0"/>
                <w:sz w:val="28"/>
                <w:szCs w:val="28"/>
                <w:highlight w:val="none"/>
              </w:rPr>
            </w:pPr>
          </w:p>
        </w:tc>
      </w:tr>
    </w:tbl>
    <w:p>
      <w:pPr>
        <w:pStyle w:val="2"/>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br w:type="page"/>
      </w:r>
    </w:p>
    <w:p>
      <w:pPr>
        <w:rPr>
          <w:rFonts w:ascii="仿宋_GB2312" w:hAnsi="仿宋_GB2312" w:eastAsia="仿宋_GB2312" w:cs="仿宋_GB2312"/>
          <w:color w:val="auto"/>
          <w:highlight w:val="none"/>
        </w:rPr>
      </w:pPr>
    </w:p>
    <w:p>
      <w:pPr>
        <w:pStyle w:val="46"/>
        <w:spacing w:line="360" w:lineRule="auto"/>
        <w:rPr>
          <w:rStyle w:val="203"/>
          <w:rFonts w:ascii="宋体" w:hAnsi="宋体" w:eastAsia="宋体"/>
          <w:color w:val="auto"/>
          <w:sz w:val="36"/>
          <w:szCs w:val="36"/>
          <w:highlight w:val="none"/>
        </w:rPr>
      </w:pPr>
      <w:bookmarkStart w:id="447" w:name="_Toc25769"/>
      <w:bookmarkStart w:id="448" w:name="_Toc58504448"/>
      <w:r>
        <w:rPr>
          <w:rStyle w:val="203"/>
          <w:rFonts w:hint="eastAsia" w:ascii="宋体" w:hAnsi="宋体" w:eastAsia="宋体"/>
          <w:color w:val="auto"/>
          <w:sz w:val="36"/>
          <w:szCs w:val="36"/>
          <w:highlight w:val="none"/>
        </w:rPr>
        <w:t>第五章  采购内容及要求</w:t>
      </w:r>
      <w:bookmarkEnd w:id="447"/>
      <w:bookmarkEnd w:id="448"/>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bCs/>
          <w:color w:val="auto"/>
          <w:sz w:val="24"/>
          <w:szCs w:val="24"/>
          <w:highlight w:val="none"/>
          <w:lang w:val="en-US" w:eastAsia="zh-CN"/>
        </w:rPr>
        <w:t>服务内容：</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1.线上展</w:t>
      </w:r>
      <w:r>
        <w:rPr>
          <w:rFonts w:hint="eastAsia" w:ascii="仿宋" w:hAnsi="仿宋" w:eastAsia="仿宋" w:cs="仿宋"/>
          <w:b w:val="0"/>
          <w:bCs w:val="0"/>
          <w:color w:val="auto"/>
          <w:sz w:val="24"/>
          <w:szCs w:val="24"/>
          <w:highlight w:val="none"/>
          <w:lang w:eastAsia="zh-CN"/>
        </w:rPr>
        <w:t>(5</w:t>
      </w:r>
      <w:r>
        <w:rPr>
          <w:rFonts w:hint="eastAsia" w:ascii="仿宋" w:hAnsi="仿宋" w:eastAsia="仿宋" w:cs="仿宋"/>
          <w:b w:val="0"/>
          <w:bCs w:val="0"/>
          <w:color w:val="auto"/>
          <w:sz w:val="24"/>
          <w:szCs w:val="24"/>
          <w:highlight w:val="none"/>
          <w:lang w:val="en-US" w:eastAsia="zh-Hans"/>
        </w:rPr>
        <w:t>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《秦QIN-兵马俑的前世今生》现代艺术展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《食在陕西》线上美食盛宴</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《丝绸之路起点，兵马俑的故乡》主题摄影作品展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《秦岭与黄河的对话》主题摄影作品展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《陕西非遗之美》主题摄影作品展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2.线上视频展播</w:t>
      </w:r>
      <w:r>
        <w:rPr>
          <w:rFonts w:hint="eastAsia" w:ascii="仿宋" w:hAnsi="仿宋" w:eastAsia="仿宋" w:cs="仿宋"/>
          <w:b w:val="0"/>
          <w:bCs w:val="0"/>
          <w:color w:val="auto"/>
          <w:sz w:val="24"/>
          <w:szCs w:val="24"/>
          <w:highlight w:val="none"/>
          <w:lang w:val="en-US" w:eastAsia="zh-Hans"/>
        </w:rPr>
        <w:t>（</w:t>
      </w:r>
      <w:r>
        <w:rPr>
          <w:rFonts w:hint="eastAsia" w:ascii="仿宋" w:hAnsi="仿宋" w:eastAsia="仿宋" w:cs="仿宋"/>
          <w:b w:val="0"/>
          <w:bCs w:val="0"/>
          <w:color w:val="auto"/>
          <w:sz w:val="24"/>
          <w:szCs w:val="24"/>
          <w:highlight w:val="none"/>
          <w:lang w:eastAsia="zh-Hans"/>
        </w:rPr>
        <w:t>1</w:t>
      </w:r>
      <w:r>
        <w:rPr>
          <w:rFonts w:hint="eastAsia" w:ascii="仿宋" w:hAnsi="仿宋" w:eastAsia="仿宋" w:cs="仿宋"/>
          <w:b w:val="0"/>
          <w:bCs w:val="0"/>
          <w:color w:val="auto"/>
          <w:sz w:val="24"/>
          <w:szCs w:val="24"/>
          <w:highlight w:val="none"/>
          <w:lang w:val="en-US" w:eastAsia="zh-Hans"/>
        </w:rPr>
        <w:t>个）</w:t>
      </w:r>
      <w:r>
        <w:rPr>
          <w:rFonts w:hint="eastAsia" w:ascii="仿宋" w:hAnsi="仿宋" w:eastAsia="仿宋" w:cs="仿宋"/>
          <w:b w:val="0"/>
          <w:bCs w:val="0"/>
          <w:color w:val="auto"/>
          <w:sz w:val="24"/>
          <w:szCs w:val="24"/>
          <w:highlight w:val="none"/>
          <w:lang w:val="en-US" w:eastAsia="zh-CN"/>
        </w:rPr>
        <w:t>：秦腔《杨贵妃》</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3.线下展</w:t>
      </w:r>
      <w:r>
        <w:rPr>
          <w:rFonts w:hint="eastAsia" w:ascii="仿宋" w:hAnsi="仿宋" w:eastAsia="仿宋" w:cs="仿宋"/>
          <w:b w:val="0"/>
          <w:bCs w:val="0"/>
          <w:color w:val="auto"/>
          <w:sz w:val="24"/>
          <w:szCs w:val="24"/>
          <w:highlight w:val="none"/>
          <w:lang w:val="en-US" w:eastAsia="zh-Hans"/>
        </w:rPr>
        <w:t>（</w:t>
      </w:r>
      <w:r>
        <w:rPr>
          <w:rFonts w:hint="eastAsia" w:ascii="仿宋" w:hAnsi="仿宋" w:eastAsia="仿宋" w:cs="仿宋"/>
          <w:b w:val="0"/>
          <w:bCs w:val="0"/>
          <w:color w:val="auto"/>
          <w:sz w:val="24"/>
          <w:szCs w:val="24"/>
          <w:highlight w:val="none"/>
          <w:lang w:eastAsia="zh-Hans"/>
        </w:rPr>
        <w:t>1</w:t>
      </w:r>
      <w:r>
        <w:rPr>
          <w:rFonts w:hint="eastAsia" w:ascii="仿宋" w:hAnsi="仿宋" w:eastAsia="仿宋" w:cs="仿宋"/>
          <w:b w:val="0"/>
          <w:bCs w:val="0"/>
          <w:color w:val="auto"/>
          <w:sz w:val="24"/>
          <w:szCs w:val="24"/>
          <w:highlight w:val="none"/>
          <w:lang w:val="en-US" w:eastAsia="zh-Hans"/>
        </w:rPr>
        <w:t>个）</w:t>
      </w:r>
      <w:r>
        <w:rPr>
          <w:rFonts w:hint="eastAsia" w:ascii="仿宋" w:hAnsi="仿宋" w:eastAsia="仿宋" w:cs="仿宋"/>
          <w:b w:val="0"/>
          <w:bCs w:val="0"/>
          <w:color w:val="auto"/>
          <w:sz w:val="24"/>
          <w:szCs w:val="24"/>
          <w:highlight w:val="none"/>
          <w:lang w:val="en-US" w:eastAsia="zh-CN"/>
        </w:rPr>
        <w:t>：在巴黎举办《古法新作--陕西文化艺术展》</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服务要求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1.负责服务内容中线上展、线上视频展播及线下展的组织、协调、执行以及综合保障。</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2.服务内容中全部活动使用语言为中文、法文，负责全部项目的翻译。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3.负责全部活动的策划、文案编写和主视觉设计（含宣传海报、主题形象等）。</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4.负责线上展框架设计、UI设计、编程开发及线上发布。</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5.负责线下展所需全部展品征集与制作、西安至巴黎间往返物流运输、保险、境内外报关报检及在巴黎布展等。</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6.负责全部活动的宣传视频节目的制作，包含：创意、脚本、表演、拍摄、剪辑等。</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7.负责全部活动的新闻宣传报道及网络社交媒体宣传推广。</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8.负责对外信息安全保障、系统技术安全保障以及网络舆情监管和应急。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9.供应商应具备并不局限于省级主管部门批准签发的网络文化经营许可证、广播电视节目制作经营单位许可证、海关报关单位注册登记证书</w:t>
      </w:r>
      <w:r>
        <w:rPr>
          <w:rFonts w:hint="eastAsia" w:ascii="仿宋" w:hAnsi="仿宋" w:eastAsia="仿宋" w:cs="仿宋"/>
          <w:b w:val="0"/>
          <w:bCs w:val="0"/>
          <w:color w:val="auto"/>
          <w:sz w:val="24"/>
          <w:szCs w:val="24"/>
          <w:highlight w:val="none"/>
          <w:lang w:val="en-US" w:eastAsia="zh-Hans"/>
        </w:rPr>
        <w:t>、外贸经营许可证、</w:t>
      </w:r>
      <w:r>
        <w:rPr>
          <w:rFonts w:hint="eastAsia" w:ascii="仿宋" w:hAnsi="仿宋" w:eastAsia="仿宋" w:cs="仿宋"/>
          <w:color w:val="auto"/>
          <w:sz w:val="24"/>
          <w:szCs w:val="24"/>
          <w:highlight w:val="none"/>
          <w:shd w:val="clear" w:color="auto" w:fill="FFFFFF"/>
          <w:lang w:val="en-US" w:eastAsia="zh-CN"/>
        </w:rPr>
        <w:t>演出经纪机构许可证</w:t>
      </w:r>
      <w:r>
        <w:rPr>
          <w:rFonts w:hint="eastAsia" w:ascii="仿宋" w:hAnsi="仿宋" w:eastAsia="仿宋" w:cs="仿宋"/>
          <w:color w:val="auto"/>
          <w:sz w:val="24"/>
          <w:szCs w:val="24"/>
          <w:highlight w:val="none"/>
          <w:shd w:val="clear" w:color="auto" w:fill="FFFFFF"/>
          <w:lang w:val="en-US" w:eastAsia="zh-Hans"/>
        </w:rPr>
        <w:t>等</w:t>
      </w:r>
      <w:r>
        <w:rPr>
          <w:rFonts w:hint="eastAsia" w:ascii="仿宋" w:hAnsi="仿宋" w:eastAsia="仿宋" w:cs="仿宋"/>
          <w:b w:val="0"/>
          <w:bCs w:val="0"/>
          <w:color w:val="auto"/>
          <w:sz w:val="24"/>
          <w:szCs w:val="24"/>
          <w:highlight w:val="none"/>
          <w:lang w:val="en-US" w:eastAsia="zh-CN"/>
        </w:rPr>
        <w:t>相关资质。</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10.每个活动结束7日内向招标方报送工作总结；全部活动结束7个工作日内向招标方报送总体工作总结，14日内报送第三方评估报告。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11.未尽事宜以招标方合理要求为准。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Hans"/>
        </w:rPr>
        <w:t>三</w:t>
      </w:r>
      <w:r>
        <w:rPr>
          <w:rFonts w:hint="eastAsia" w:ascii="仿宋" w:hAnsi="仿宋" w:eastAsia="仿宋" w:cs="仿宋"/>
          <w:b/>
          <w:bCs/>
          <w:color w:val="auto"/>
          <w:sz w:val="24"/>
          <w:szCs w:val="24"/>
          <w:highlight w:val="none"/>
          <w:lang w:val="en-US" w:eastAsia="zh-CN"/>
        </w:rPr>
        <w:t>）版权要求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1.服务内容中包含的线上展、视频展播和线下展内容所需素材需供应商在合法范围内收集，且由此产生的费用已包含在此招标金额范围内。</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2.著作权合法：供应商应保证采购方在使用合同项下工作成果的任何一部分时免受第三方提出的侵犯专利权、著作权、名誉权、肖像权、姓名权、商标权或工业设计权等相关权利的起诉。</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3.侵权纠纷处置：如任何第三方对此提出起诉或者异议，供应商应负责与之交涉并承担由此引起的一切法律责任及经济损失。</w:t>
      </w:r>
    </w:p>
    <w:p>
      <w:pPr>
        <w:rPr>
          <w:rFonts w:ascii="仿宋_GB2312" w:hAnsi="仿宋_GB2312" w:eastAsia="仿宋_GB2312" w:cs="仿宋_GB2312"/>
          <w:bCs/>
          <w:color w:val="auto"/>
          <w:highlight w:val="none"/>
        </w:rPr>
      </w:pPr>
    </w:p>
    <w:p>
      <w:pPr>
        <w:pStyle w:val="46"/>
        <w:spacing w:line="360" w:lineRule="auto"/>
        <w:rPr>
          <w:rStyle w:val="203"/>
          <w:rFonts w:hint="eastAsia" w:ascii="宋体" w:hAnsi="宋体" w:eastAsia="宋体"/>
          <w:color w:val="auto"/>
          <w:sz w:val="36"/>
          <w:szCs w:val="36"/>
          <w:highlight w:val="none"/>
        </w:rPr>
        <w:sectPr>
          <w:footerReference r:id="rId8" w:type="default"/>
          <w:pgSz w:w="11906" w:h="16838"/>
          <w:pgMar w:top="1418" w:right="1418" w:bottom="1418" w:left="1418" w:header="851" w:footer="992" w:gutter="0"/>
          <w:pgNumType w:start="1"/>
          <w:cols w:space="720" w:num="1"/>
          <w:docGrid w:linePitch="312" w:charSpace="0"/>
        </w:sectPr>
      </w:pPr>
      <w:bookmarkStart w:id="449" w:name="_Toc415499899"/>
      <w:bookmarkStart w:id="450" w:name="_Toc58504449"/>
      <w:bookmarkStart w:id="451" w:name="_Toc31008"/>
      <w:bookmarkStart w:id="452" w:name="_Toc385992401"/>
      <w:bookmarkStart w:id="453" w:name="_Toc389620241"/>
    </w:p>
    <w:p>
      <w:pPr>
        <w:pStyle w:val="46"/>
        <w:spacing w:line="360" w:lineRule="auto"/>
        <w:rPr>
          <w:rFonts w:asciiTheme="minorEastAsia" w:hAnsiTheme="minorEastAsia" w:eastAsiaTheme="minorEastAsia"/>
          <w:color w:val="auto"/>
          <w:highlight w:val="none"/>
        </w:rPr>
      </w:pPr>
      <w:bookmarkStart w:id="454" w:name="_Toc18339"/>
      <w:r>
        <w:rPr>
          <w:rStyle w:val="203"/>
          <w:rFonts w:hint="eastAsia" w:ascii="宋体" w:hAnsi="宋体" w:eastAsia="宋体"/>
          <w:color w:val="auto"/>
          <w:sz w:val="36"/>
          <w:szCs w:val="36"/>
          <w:highlight w:val="none"/>
        </w:rPr>
        <w:t>第六章  磋商响应文件格式</w:t>
      </w:r>
      <w:bookmarkEnd w:id="449"/>
      <w:bookmarkEnd w:id="450"/>
      <w:bookmarkEnd w:id="451"/>
      <w:bookmarkEnd w:id="452"/>
      <w:bookmarkEnd w:id="453"/>
      <w:r>
        <w:rPr>
          <w:rFonts w:hint="eastAsia" w:asciiTheme="minorEastAsia" w:hAnsiTheme="minorEastAsia" w:eastAsiaTheme="minorEastAsia"/>
          <w:color w:val="auto"/>
          <w:highlight w:val="none"/>
        </w:rPr>
        <w:br w:type="page"/>
      </w:r>
      <w:bookmarkEnd w:id="454"/>
      <w:r>
        <w:rPr>
          <w:rFonts w:hint="eastAsia" w:asciiTheme="minorEastAsia" w:hAnsiTheme="minorEastAsia" w:eastAsiaTheme="minorEastAsia"/>
          <w:color w:val="auto"/>
          <w:highlight w:val="none"/>
        </w:rPr>
        <w:t xml:space="preserve">                                 </w:t>
      </w:r>
    </w:p>
    <w:p>
      <w:pPr>
        <w:pStyle w:val="158"/>
        <w:ind w:firstLine="6586" w:firstLineChars="2050"/>
        <w:rPr>
          <w:bCs/>
          <w:color w:val="auto"/>
          <w:highlight w:val="none"/>
          <w:lang w:val="zh-CN"/>
        </w:rPr>
      </w:pPr>
      <w:bookmarkStart w:id="455" w:name="_Toc62196433"/>
      <w:r>
        <w:rPr>
          <w:rFonts w:hint="eastAsia"/>
          <w:color w:val="auto"/>
          <w:highlight w:val="none"/>
          <w:lang w:val="zh-CN"/>
        </w:rPr>
        <w:t>正本/副本</w:t>
      </w:r>
      <w:bookmarkEnd w:id="455"/>
    </w:p>
    <w:p>
      <w:pPr>
        <w:autoSpaceDE w:val="0"/>
        <w:autoSpaceDN w:val="0"/>
        <w:adjustRightInd w:val="0"/>
        <w:snapToGrid w:val="0"/>
        <w:spacing w:line="360" w:lineRule="auto"/>
        <w:jc w:val="left"/>
        <w:rPr>
          <w:rFonts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政府采购项目</w:t>
      </w:r>
    </w:p>
    <w:p>
      <w:pPr>
        <w:autoSpaceDE w:val="0"/>
        <w:autoSpaceDN w:val="0"/>
        <w:adjustRightInd w:val="0"/>
        <w:snapToGrid w:val="0"/>
        <w:spacing w:line="360" w:lineRule="auto"/>
        <w:jc w:val="left"/>
        <w:rPr>
          <w:rFonts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采购项目编号：SCZC2022-CS-1208/001</w:t>
      </w: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pPr>
        <w:autoSpaceDE w:val="0"/>
        <w:autoSpaceDN w:val="0"/>
        <w:adjustRightInd w:val="0"/>
        <w:snapToGrid w:val="0"/>
        <w:spacing w:line="360" w:lineRule="auto"/>
        <w:jc w:val="center"/>
        <w:rPr>
          <w:rFonts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陕西省文化和旅游厅2022年部省合作项目</w:t>
      </w: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52"/>
          <w:szCs w:val="52"/>
          <w:highlight w:val="none"/>
          <w:lang w:val="zh-CN"/>
        </w:rPr>
      </w:pPr>
      <w:r>
        <w:rPr>
          <w:rFonts w:hint="eastAsia" w:ascii="仿宋_GB2312" w:hAnsi="仿宋_GB2312" w:eastAsia="仿宋_GB2312" w:cs="仿宋_GB2312"/>
          <w:b/>
          <w:bCs/>
          <w:color w:val="auto"/>
          <w:sz w:val="52"/>
          <w:szCs w:val="52"/>
          <w:highlight w:val="none"/>
          <w:lang w:val="zh-CN"/>
        </w:rPr>
        <w:t>磋商响应文件</w:t>
      </w:r>
    </w:p>
    <w:p>
      <w:pPr>
        <w:pStyle w:val="195"/>
        <w:ind w:firstLine="2891" w:firstLineChars="1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bCs/>
          <w:color w:val="auto"/>
          <w:highlight w:val="none"/>
          <w:lang w:val="zh-CN"/>
        </w:rPr>
        <w:t xml:space="preserve"> </w:t>
      </w:r>
      <w:r>
        <w:rPr>
          <w:rFonts w:hint="eastAsia" w:ascii="仿宋_GB2312" w:hAnsi="仿宋_GB2312" w:eastAsia="仿宋_GB2312" w:cs="仿宋_GB2312"/>
          <w:b/>
          <w:color w:val="auto"/>
          <w:sz w:val="30"/>
          <w:szCs w:val="30"/>
          <w:highlight w:val="none"/>
        </w:rPr>
        <w:t>（</w:t>
      </w:r>
      <w:r>
        <w:rPr>
          <w:rFonts w:hint="eastAsia"/>
          <w:b/>
          <w:color w:val="auto"/>
          <w:sz w:val="30"/>
          <w:szCs w:val="30"/>
          <w:highlight w:val="none"/>
        </w:rPr>
        <w:t>资格证明文件</w:t>
      </w:r>
      <w:r>
        <w:rPr>
          <w:rFonts w:hint="eastAsia" w:ascii="仿宋_GB2312" w:hAnsi="仿宋_GB2312" w:eastAsia="仿宋_GB2312" w:cs="仿宋_GB2312"/>
          <w:b/>
          <w:color w:val="auto"/>
          <w:sz w:val="30"/>
          <w:szCs w:val="30"/>
          <w:highlight w:val="none"/>
        </w:rPr>
        <w:t>）</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autoSpaceDE w:val="0"/>
        <w:autoSpaceDN w:val="0"/>
        <w:adjustRightInd w:val="0"/>
        <w:snapToGrid w:val="0"/>
        <w:spacing w:line="360" w:lineRule="auto"/>
        <w:rPr>
          <w:rFonts w:ascii="仿宋_GB2312" w:hAnsi="仿宋_GB2312" w:eastAsia="仿宋_GB2312" w:cs="仿宋_GB2312"/>
          <w:b/>
          <w:bCs/>
          <w:color w:val="auto"/>
          <w:sz w:val="32"/>
          <w:szCs w:val="32"/>
          <w:highlight w:val="none"/>
          <w:lang w:val="zh-CN"/>
        </w:rPr>
      </w:pPr>
    </w:p>
    <w:p>
      <w:pPr>
        <w:autoSpaceDE w:val="0"/>
        <w:autoSpaceDN w:val="0"/>
        <w:adjustRightInd w:val="0"/>
        <w:snapToGrid w:val="0"/>
        <w:spacing w:line="360" w:lineRule="auto"/>
        <w:rPr>
          <w:rFonts w:ascii="仿宋_GB2312" w:hAnsi="仿宋_GB2312" w:eastAsia="仿宋_GB2312" w:cs="仿宋_GB2312"/>
          <w:b/>
          <w:bCs/>
          <w:color w:val="auto"/>
          <w:sz w:val="32"/>
          <w:szCs w:val="32"/>
          <w:highlight w:val="none"/>
          <w:lang w:val="zh-CN"/>
        </w:rPr>
      </w:pPr>
    </w:p>
    <w:p>
      <w:pPr>
        <w:autoSpaceDE w:val="0"/>
        <w:autoSpaceDN w:val="0"/>
        <w:adjustRightInd w:val="0"/>
        <w:snapToGrid w:val="0"/>
        <w:spacing w:line="360" w:lineRule="auto"/>
        <w:ind w:firstLine="964" w:firstLineChars="3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 xml:space="preserve">   </w:t>
      </w:r>
    </w:p>
    <w:p>
      <w:pPr>
        <w:autoSpaceDE w:val="0"/>
        <w:autoSpaceDN w:val="0"/>
        <w:adjustRightInd w:val="0"/>
        <w:snapToGrid w:val="0"/>
        <w:spacing w:line="360" w:lineRule="auto"/>
        <w:rPr>
          <w:rFonts w:hint="eastAsia" w:ascii="仿宋_GB2312" w:hAnsi="仿宋_GB2312" w:eastAsia="仿宋_GB2312" w:cs="仿宋_GB2312"/>
          <w:b/>
          <w:bCs/>
          <w:color w:val="auto"/>
          <w:sz w:val="32"/>
          <w:szCs w:val="32"/>
          <w:highlight w:val="none"/>
          <w:lang w:val="zh-CN"/>
        </w:rPr>
      </w:pPr>
    </w:p>
    <w:p>
      <w:pPr>
        <w:autoSpaceDE w:val="0"/>
        <w:autoSpaceDN w:val="0"/>
        <w:adjustRightInd w:val="0"/>
        <w:snapToGrid w:val="0"/>
        <w:spacing w:line="360" w:lineRule="auto"/>
        <w:ind w:firstLine="2249" w:firstLineChars="700"/>
        <w:rPr>
          <w:rFonts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lang w:val="zh-CN"/>
        </w:rPr>
        <w:t>供应商：</w:t>
      </w:r>
      <w:r>
        <w:rPr>
          <w:rFonts w:hint="eastAsia" w:ascii="仿宋_GB2312" w:hAnsi="仿宋_GB2312" w:eastAsia="仿宋_GB2312" w:cs="仿宋_GB2312"/>
          <w:b/>
          <w:bCs/>
          <w:color w:val="auto"/>
          <w:sz w:val="32"/>
          <w:szCs w:val="32"/>
          <w:highlight w:val="none"/>
          <w:u w:val="single"/>
        </w:rPr>
        <w:t xml:space="preserve">                   </w:t>
      </w:r>
    </w:p>
    <w:p>
      <w:pPr>
        <w:autoSpaceDE w:val="0"/>
        <w:autoSpaceDN w:val="0"/>
        <w:adjustRightInd w:val="0"/>
        <w:snapToGrid w:val="0"/>
        <w:spacing w:line="360" w:lineRule="auto"/>
        <w:rPr>
          <w:rFonts w:ascii="仿宋_GB2312" w:hAnsi="仿宋_GB2312" w:eastAsia="仿宋_GB2312" w:cs="仿宋_GB2312"/>
          <w:b/>
          <w:bCs/>
          <w:color w:val="auto"/>
          <w:sz w:val="32"/>
          <w:szCs w:val="32"/>
          <w:highlight w:val="none"/>
        </w:rPr>
      </w:pPr>
    </w:p>
    <w:p>
      <w:pPr>
        <w:autoSpaceDE w:val="0"/>
        <w:autoSpaceDN w:val="0"/>
        <w:adjustRightInd w:val="0"/>
        <w:snapToGrid w:val="0"/>
        <w:spacing w:line="360" w:lineRule="auto"/>
        <w:ind w:firstLine="2249" w:firstLineChars="700"/>
        <w:rPr>
          <w:rFonts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lang w:val="zh-CN"/>
        </w:rPr>
        <w:t>时</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bCs/>
          <w:color w:val="auto"/>
          <w:sz w:val="32"/>
          <w:szCs w:val="32"/>
          <w:highlight w:val="none"/>
          <w:lang w:val="zh-CN"/>
        </w:rPr>
        <w:t>间：</w:t>
      </w:r>
      <w:r>
        <w:rPr>
          <w:rFonts w:hint="eastAsia" w:ascii="仿宋_GB2312" w:hAnsi="仿宋_GB2312" w:eastAsia="仿宋_GB2312" w:cs="仿宋_GB2312"/>
          <w:b/>
          <w:bCs/>
          <w:color w:val="auto"/>
          <w:sz w:val="32"/>
          <w:szCs w:val="32"/>
          <w:highlight w:val="none"/>
          <w:u w:val="single"/>
        </w:rPr>
        <w:t xml:space="preserve">  </w:t>
      </w:r>
    </w:p>
    <w:p>
      <w:pPr>
        <w:pStyle w:val="2"/>
        <w:rPr>
          <w:color w:val="auto"/>
          <w:highlight w:val="none"/>
        </w:rPr>
      </w:pPr>
      <w:r>
        <w:rPr>
          <w:color w:val="auto"/>
          <w:highlight w:val="none"/>
        </w:rPr>
        <w:br w:type="page"/>
      </w:r>
    </w:p>
    <w:p>
      <w:pPr>
        <w:autoSpaceDE w:val="0"/>
        <w:autoSpaceDN w:val="0"/>
        <w:adjustRightInd w:val="0"/>
        <w:snapToGrid w:val="0"/>
        <w:spacing w:line="360" w:lineRule="auto"/>
        <w:ind w:firstLine="964" w:firstLineChars="300"/>
        <w:rPr>
          <w:rFonts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u w:val="single"/>
        </w:rPr>
        <w:t xml:space="preserve">                 </w:t>
      </w:r>
    </w:p>
    <w:p>
      <w:pPr>
        <w:pStyle w:val="195"/>
        <w:ind w:firstLine="2249" w:firstLineChars="700"/>
        <w:rPr>
          <w:b/>
          <w:color w:val="auto"/>
          <w:sz w:val="32"/>
          <w:szCs w:val="32"/>
          <w:highlight w:val="none"/>
        </w:rPr>
      </w:pPr>
      <w:r>
        <w:rPr>
          <w:rFonts w:hint="eastAsia"/>
          <w:b/>
          <w:color w:val="auto"/>
          <w:sz w:val="32"/>
          <w:szCs w:val="32"/>
          <w:highlight w:val="none"/>
        </w:rPr>
        <w:t>第一部分  身份证明文件</w:t>
      </w:r>
    </w:p>
    <w:p>
      <w:pPr>
        <w:spacing w:after="120"/>
        <w:rPr>
          <w:rFonts w:ascii="仿宋_GB2312" w:hAnsi="仿宋_GB2312" w:eastAsia="仿宋_GB2312" w:cs="仿宋_GB2312"/>
          <w:color w:val="auto"/>
          <w:highlight w:val="none"/>
        </w:rPr>
      </w:pPr>
    </w:p>
    <w:p>
      <w:pPr>
        <w:widowControl/>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1、法定代表人</w:t>
      </w:r>
      <w:r>
        <w:rPr>
          <w:rFonts w:hint="eastAsia" w:ascii="仿宋_GB2312" w:hAnsi="仿宋_GB2312" w:eastAsia="仿宋_GB2312" w:cs="仿宋_GB2312"/>
          <w:b/>
          <w:bCs/>
          <w:i/>
          <w:color w:val="auto"/>
          <w:sz w:val="28"/>
          <w:szCs w:val="28"/>
          <w:highlight w:val="none"/>
          <w:lang w:val="zh-CN"/>
        </w:rPr>
        <w:t>（或单位负责人）</w:t>
      </w:r>
      <w:r>
        <w:rPr>
          <w:rFonts w:hint="eastAsia" w:ascii="仿宋_GB2312" w:hAnsi="仿宋_GB2312" w:eastAsia="仿宋_GB2312" w:cs="仿宋_GB2312"/>
          <w:b/>
          <w:bCs/>
          <w:color w:val="auto"/>
          <w:sz w:val="28"/>
          <w:szCs w:val="28"/>
          <w:highlight w:val="none"/>
          <w:lang w:val="zh-CN"/>
        </w:rPr>
        <w:t>授权书</w:t>
      </w:r>
    </w:p>
    <w:p>
      <w:pPr>
        <w:autoSpaceDE w:val="0"/>
        <w:autoSpaceDN w:val="0"/>
        <w:adjustRightInd w:val="0"/>
        <w:spacing w:line="348" w:lineRule="auto"/>
        <w:ind w:firstLine="400"/>
        <w:rPr>
          <w:rFonts w:ascii="仿宋_GB2312" w:hAnsi="仿宋_GB2312" w:eastAsia="仿宋_GB2312" w:cs="仿宋_GB2312"/>
          <w:b/>
          <w:bCs/>
          <w:color w:val="auto"/>
          <w:sz w:val="20"/>
          <w:highlight w:val="none"/>
        </w:rPr>
      </w:pPr>
    </w:p>
    <w:p>
      <w:pPr>
        <w:autoSpaceDE w:val="0"/>
        <w:autoSpaceDN w:val="0"/>
        <w:adjustRightInd w:val="0"/>
        <w:spacing w:line="348"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陕西省采购招标有限责任公司：</w:t>
      </w:r>
    </w:p>
    <w:p>
      <w:pPr>
        <w:autoSpaceDE w:val="0"/>
        <w:autoSpaceDN w:val="0"/>
        <w:adjustRightInd w:val="0"/>
        <w:spacing w:line="348" w:lineRule="auto"/>
        <w:ind w:firstLine="64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注册于</w:t>
      </w:r>
      <w:r>
        <w:rPr>
          <w:rFonts w:hint="eastAsia" w:ascii="仿宋_GB2312" w:hAnsi="仿宋_GB2312" w:eastAsia="仿宋_GB2312" w:cs="仿宋_GB2312"/>
          <w:color w:val="auto"/>
          <w:sz w:val="24"/>
          <w:highlight w:val="none"/>
          <w:u w:val="single"/>
          <w:lang w:val="zh-CN"/>
        </w:rPr>
        <w:t>（工商行政管理局名称）</w:t>
      </w:r>
      <w:r>
        <w:rPr>
          <w:rFonts w:hint="eastAsia" w:ascii="仿宋_GB2312" w:hAnsi="仿宋_GB2312" w:eastAsia="仿宋_GB2312" w:cs="仿宋_GB2312"/>
          <w:color w:val="auto"/>
          <w:sz w:val="24"/>
          <w:highlight w:val="none"/>
          <w:lang w:val="zh-CN"/>
        </w:rPr>
        <w:t>之</w:t>
      </w:r>
      <w:r>
        <w:rPr>
          <w:rFonts w:hint="eastAsia" w:ascii="仿宋_GB2312" w:hAnsi="仿宋_GB2312" w:eastAsia="仿宋_GB2312" w:cs="仿宋_GB2312"/>
          <w:color w:val="auto"/>
          <w:sz w:val="24"/>
          <w:highlight w:val="none"/>
          <w:u w:val="single"/>
          <w:lang w:val="zh-CN"/>
        </w:rPr>
        <w:t>（供应商全称）</w:t>
      </w:r>
      <w:r>
        <w:rPr>
          <w:rFonts w:hint="eastAsia" w:ascii="仿宋_GB2312" w:hAnsi="仿宋_GB2312" w:eastAsia="仿宋_GB2312" w:cs="仿宋_GB2312"/>
          <w:color w:val="auto"/>
          <w:sz w:val="24"/>
          <w:highlight w:val="none"/>
          <w:lang w:val="zh-CN"/>
        </w:rPr>
        <w:t>法人代表</w:t>
      </w:r>
      <w:r>
        <w:rPr>
          <w:rFonts w:hint="eastAsia" w:ascii="仿宋_GB2312" w:hAnsi="仿宋_GB2312" w:eastAsia="仿宋_GB2312" w:cs="仿宋_GB2312"/>
          <w:color w:val="auto"/>
          <w:sz w:val="24"/>
          <w:highlight w:val="none"/>
          <w:u w:val="single"/>
          <w:lang w:val="zh-CN"/>
        </w:rPr>
        <w:t>（姓名、职务）</w:t>
      </w:r>
      <w:r>
        <w:rPr>
          <w:rFonts w:hint="eastAsia" w:ascii="仿宋_GB2312" w:hAnsi="仿宋_GB2312" w:eastAsia="仿宋_GB2312" w:cs="仿宋_GB2312"/>
          <w:color w:val="auto"/>
          <w:sz w:val="24"/>
          <w:highlight w:val="none"/>
          <w:lang w:val="zh-CN"/>
        </w:rPr>
        <w:t>授权</w:t>
      </w:r>
      <w:r>
        <w:rPr>
          <w:rFonts w:hint="eastAsia" w:ascii="仿宋_GB2312" w:hAnsi="仿宋_GB2312" w:eastAsia="仿宋_GB2312" w:cs="仿宋_GB2312"/>
          <w:color w:val="auto"/>
          <w:sz w:val="24"/>
          <w:highlight w:val="none"/>
          <w:u w:val="single"/>
          <w:lang w:val="zh-CN"/>
        </w:rPr>
        <w:t>（被授权人姓名、职务）</w:t>
      </w:r>
      <w:r>
        <w:rPr>
          <w:rFonts w:hint="eastAsia" w:ascii="仿宋_GB2312" w:hAnsi="仿宋_GB2312" w:eastAsia="仿宋_GB2312" w:cs="仿宋_GB2312"/>
          <w:color w:val="auto"/>
          <w:sz w:val="24"/>
          <w:highlight w:val="none"/>
          <w:lang w:val="zh-CN"/>
        </w:rPr>
        <w:t>为本公司的合法代理人，就</w:t>
      </w:r>
      <w:r>
        <w:rPr>
          <w:rFonts w:hint="eastAsia" w:ascii="仿宋_GB2312" w:hAnsi="仿宋_GB2312" w:eastAsia="仿宋_GB2312" w:cs="仿宋_GB2312"/>
          <w:color w:val="auto"/>
          <w:sz w:val="24"/>
          <w:highlight w:val="none"/>
          <w:u w:val="single"/>
          <w:lang w:val="zh-CN"/>
        </w:rPr>
        <w:t>（项目名称）</w:t>
      </w:r>
      <w:r>
        <w:rPr>
          <w:rFonts w:hint="eastAsia" w:ascii="仿宋_GB2312" w:hAnsi="仿宋_GB2312" w:eastAsia="仿宋_GB2312" w:cs="仿宋_GB2312"/>
          <w:color w:val="auto"/>
          <w:sz w:val="24"/>
          <w:highlight w:val="none"/>
          <w:lang w:val="zh-CN"/>
        </w:rPr>
        <w:t>的磋商及合同的执行和完成，以本公司的名义处理一切与之有关的事宜。</w:t>
      </w:r>
    </w:p>
    <w:p>
      <w:pPr>
        <w:snapToGrid w:val="0"/>
        <w:spacing w:line="360" w:lineRule="auto"/>
        <w:ind w:firstLine="480" w:firstLineChars="200"/>
        <w:rPr>
          <w:rFonts w:ascii="仿宋_GB2312" w:hAnsi="仿宋_GB2312" w:eastAsia="仿宋_GB2312" w:cs="仿宋_GB2312"/>
          <w:b/>
          <w:bCs/>
          <w:color w:val="auto"/>
          <w:sz w:val="24"/>
          <w:highlight w:val="none"/>
          <w:lang w:val="zh-CN"/>
        </w:rPr>
      </w:pPr>
      <w:r>
        <w:rPr>
          <w:rFonts w:hint="eastAsia" w:ascii="仿宋_GB2312" w:hAnsi="仿宋_GB2312" w:eastAsia="仿宋_GB2312" w:cs="仿宋_GB2312"/>
          <w:color w:val="auto"/>
          <w:sz w:val="24"/>
          <w:highlight w:val="none"/>
          <w:lang w:val="zh-CN"/>
        </w:rPr>
        <w:t>本授权自    年   月  日起生效。（</w:t>
      </w:r>
      <w:r>
        <w:rPr>
          <w:rFonts w:hint="eastAsia" w:ascii="仿宋_GB2312" w:hAnsi="仿宋_GB2312" w:eastAsia="仿宋_GB2312" w:cs="仿宋_GB2312"/>
          <w:b/>
          <w:color w:val="auto"/>
          <w:sz w:val="24"/>
          <w:highlight w:val="none"/>
          <w:lang w:val="zh-CN"/>
        </w:rPr>
        <w:t>提示：此日期不应晚于磋商响应函签署日期</w:t>
      </w:r>
      <w:r>
        <w:rPr>
          <w:rFonts w:hint="eastAsia" w:ascii="仿宋_GB2312" w:hAnsi="仿宋_GB2312" w:eastAsia="仿宋_GB2312" w:cs="仿宋_GB2312"/>
          <w:color w:val="auto"/>
          <w:sz w:val="24"/>
          <w:highlight w:val="none"/>
          <w:lang w:val="zh-CN"/>
        </w:rPr>
        <w:t>）</w:t>
      </w:r>
    </w:p>
    <w:p>
      <w:pPr>
        <w:autoSpaceDE w:val="0"/>
        <w:autoSpaceDN w:val="0"/>
        <w:adjustRightInd w:val="0"/>
        <w:spacing w:line="348" w:lineRule="auto"/>
        <w:rPr>
          <w:rFonts w:ascii="仿宋_GB2312" w:hAnsi="仿宋_GB2312" w:eastAsia="仿宋_GB2312" w:cs="仿宋_GB2312"/>
          <w:color w:val="auto"/>
          <w:sz w:val="24"/>
          <w:highlight w:val="none"/>
        </w:rPr>
      </w:pPr>
    </w:p>
    <w:p>
      <w:pPr>
        <w:autoSpaceDE w:val="0"/>
        <w:autoSpaceDN w:val="0"/>
        <w:adjustRightInd w:val="0"/>
        <w:spacing w:line="348"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lang w:val="zh-CN"/>
        </w:rPr>
        <w:t>附：被授权人姓名：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lang w:val="zh-CN"/>
        </w:rPr>
        <w:t>性别：</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lang w:val="zh-CN"/>
        </w:rPr>
        <w:t>年龄：</w:t>
      </w:r>
      <w:r>
        <w:rPr>
          <w:rFonts w:hint="eastAsia" w:ascii="仿宋_GB2312" w:hAnsi="仿宋_GB2312" w:eastAsia="仿宋_GB2312" w:cs="仿宋_GB2312"/>
          <w:color w:val="auto"/>
          <w:sz w:val="24"/>
          <w:highlight w:val="none"/>
          <w:u w:val="single"/>
        </w:rPr>
        <w:t xml:space="preserve">        </w:t>
      </w:r>
    </w:p>
    <w:p>
      <w:pPr>
        <w:autoSpaceDE w:val="0"/>
        <w:autoSpaceDN w:val="0"/>
        <w:adjustRightInd w:val="0"/>
        <w:spacing w:line="348"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职</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务：</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lang w:val="zh-CN"/>
        </w:rPr>
        <w:t>身份证号码：</w:t>
      </w:r>
      <w:r>
        <w:rPr>
          <w:rFonts w:hint="eastAsia" w:ascii="仿宋_GB2312" w:hAnsi="仿宋_GB2312" w:eastAsia="仿宋_GB2312" w:cs="仿宋_GB2312"/>
          <w:color w:val="auto"/>
          <w:sz w:val="24"/>
          <w:highlight w:val="none"/>
          <w:u w:val="single"/>
        </w:rPr>
        <w:t xml:space="preserve">             </w:t>
      </w:r>
    </w:p>
    <w:p>
      <w:pPr>
        <w:autoSpaceDE w:val="0"/>
        <w:autoSpaceDN w:val="0"/>
        <w:adjustRightInd w:val="0"/>
        <w:spacing w:line="348" w:lineRule="auto"/>
        <w:ind w:firstLine="63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lang w:val="zh-CN"/>
        </w:rPr>
        <w:t>通讯地址：</w:t>
      </w:r>
      <w:r>
        <w:rPr>
          <w:rFonts w:hint="eastAsia" w:ascii="仿宋_GB2312" w:hAnsi="仿宋_GB2312" w:eastAsia="仿宋_GB2312" w:cs="仿宋_GB2312"/>
          <w:color w:val="auto"/>
          <w:sz w:val="24"/>
          <w:highlight w:val="none"/>
          <w:u w:val="single"/>
        </w:rPr>
        <w:t xml:space="preserve">                                      </w:t>
      </w:r>
    </w:p>
    <w:p>
      <w:pPr>
        <w:autoSpaceDE w:val="0"/>
        <w:autoSpaceDN w:val="0"/>
        <w:adjustRightInd w:val="0"/>
        <w:spacing w:line="348" w:lineRule="auto"/>
        <w:ind w:firstLine="63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lang w:val="zh-CN"/>
        </w:rPr>
        <w:t>邮政编码：</w:t>
      </w:r>
      <w:r>
        <w:rPr>
          <w:rFonts w:hint="eastAsia" w:ascii="仿宋_GB2312" w:hAnsi="仿宋_GB2312" w:eastAsia="仿宋_GB2312" w:cs="仿宋_GB2312"/>
          <w:color w:val="auto"/>
          <w:sz w:val="24"/>
          <w:highlight w:val="none"/>
          <w:u w:val="single"/>
        </w:rPr>
        <w:t xml:space="preserve">                                      </w:t>
      </w:r>
    </w:p>
    <w:p>
      <w:pPr>
        <w:autoSpaceDE w:val="0"/>
        <w:autoSpaceDN w:val="0"/>
        <w:adjustRightInd w:val="0"/>
        <w:spacing w:line="348" w:lineRule="auto"/>
        <w:ind w:firstLine="63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lang w:val="zh-CN"/>
        </w:rPr>
        <w:t>电</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lang w:val="zh-CN"/>
        </w:rPr>
        <w:t>传真：</w:t>
      </w:r>
      <w:r>
        <w:rPr>
          <w:rFonts w:hint="eastAsia" w:ascii="仿宋_GB2312" w:hAnsi="仿宋_GB2312" w:eastAsia="仿宋_GB2312" w:cs="仿宋_GB2312"/>
          <w:color w:val="auto"/>
          <w:sz w:val="24"/>
          <w:highlight w:val="none"/>
          <w:u w:val="single"/>
        </w:rPr>
        <w:t xml:space="preserve">           </w:t>
      </w:r>
    </w:p>
    <w:p>
      <w:pPr>
        <w:autoSpaceDE w:val="0"/>
        <w:autoSpaceDN w:val="0"/>
        <w:adjustRightInd w:val="0"/>
        <w:spacing w:line="348" w:lineRule="auto"/>
        <w:rPr>
          <w:rFonts w:ascii="仿宋_GB2312" w:hAnsi="仿宋_GB2312" w:eastAsia="仿宋_GB2312" w:cs="仿宋_GB2312"/>
          <w:color w:val="auto"/>
          <w:sz w:val="24"/>
          <w:highlight w:val="none"/>
        </w:rPr>
      </w:pPr>
    </w:p>
    <w:p>
      <w:pPr>
        <w:autoSpaceDE w:val="0"/>
        <w:autoSpaceDN w:val="0"/>
        <w:adjustRightInd w:val="0"/>
        <w:spacing w:line="348"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法定代表人</w:t>
      </w:r>
      <w:r>
        <w:rPr>
          <w:rFonts w:hint="eastAsia" w:ascii="仿宋_GB2312" w:hAnsi="仿宋_GB2312" w:eastAsia="仿宋_GB2312" w:cs="仿宋_GB2312"/>
          <w:color w:val="auto"/>
          <w:sz w:val="24"/>
          <w:highlight w:val="none"/>
        </w:rPr>
        <w:t>及</w:t>
      </w:r>
      <w:r>
        <w:rPr>
          <w:rFonts w:hint="eastAsia" w:ascii="仿宋_GB2312" w:hAnsi="仿宋_GB2312" w:eastAsia="仿宋_GB2312" w:cs="仿宋_GB2312"/>
          <w:color w:val="auto"/>
          <w:sz w:val="24"/>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法定代表人身份证复印件</w:t>
            </w:r>
          </w:p>
          <w:p>
            <w:pPr>
              <w:autoSpaceDE w:val="0"/>
              <w:autoSpaceDN w:val="0"/>
              <w:adjustRightInd w:val="0"/>
              <w:spacing w:line="348" w:lineRule="auto"/>
              <w:jc w:val="cente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授权代表身份证复印件</w:t>
            </w:r>
          </w:p>
          <w:p>
            <w:pPr>
              <w:autoSpaceDE w:val="0"/>
              <w:autoSpaceDN w:val="0"/>
              <w:adjustRightInd w:val="0"/>
              <w:spacing w:line="348" w:lineRule="auto"/>
              <w:jc w:val="cente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lang w:val="zh-CN"/>
              </w:rPr>
              <w:t>（正反面）</w:t>
            </w:r>
          </w:p>
        </w:tc>
      </w:tr>
    </w:tbl>
    <w:p>
      <w:pPr>
        <w:adjustRightInd w:val="0"/>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adjustRightInd w:val="0"/>
        <w:snapToGrid w:val="0"/>
        <w:spacing w:line="360" w:lineRule="auto"/>
        <w:rPr>
          <w:rFonts w:hint="eastAsia" w:ascii="仿宋_GB2312" w:hAnsi="仿宋_GB2312" w:eastAsia="仿宋_GB2312" w:cs="仿宋_GB2312"/>
          <w:color w:val="auto"/>
          <w:sz w:val="24"/>
          <w:highlight w:val="none"/>
        </w:rPr>
      </w:pPr>
    </w:p>
    <w:p>
      <w:pPr>
        <w:adjustRightInd w:val="0"/>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                         法定代表人</w:t>
      </w:r>
    </w:p>
    <w:p>
      <w:pPr>
        <w:adjustRightInd w:val="0"/>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（公章）：                       （签字）：</w:t>
      </w:r>
    </w:p>
    <w:p>
      <w:pPr>
        <w:spacing w:after="12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autoSpaceDE w:val="0"/>
        <w:autoSpaceDN w:val="0"/>
        <w:adjustRightInd w:val="0"/>
        <w:jc w:val="center"/>
        <w:rPr>
          <w:rFonts w:ascii="仿宋_GB2312" w:hAnsi="仿宋_GB2312" w:eastAsia="仿宋_GB2312" w:cs="仿宋_GB2312"/>
          <w:b/>
          <w:color w:val="auto"/>
          <w:kern w:val="0"/>
          <w:sz w:val="28"/>
          <w:szCs w:val="28"/>
          <w:highlight w:val="none"/>
        </w:rPr>
      </w:pPr>
    </w:p>
    <w:p>
      <w:pPr>
        <w:autoSpaceDE w:val="0"/>
        <w:autoSpaceDN w:val="0"/>
        <w:adjustRightInd w:val="0"/>
        <w:jc w:val="center"/>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2、法定代表人</w:t>
      </w:r>
      <w:r>
        <w:rPr>
          <w:rFonts w:hint="eastAsia" w:ascii="仿宋_GB2312" w:hAnsi="仿宋_GB2312" w:eastAsia="仿宋_GB2312" w:cs="仿宋_GB2312"/>
          <w:b/>
          <w:bCs/>
          <w:i/>
          <w:color w:val="auto"/>
          <w:sz w:val="32"/>
          <w:szCs w:val="32"/>
          <w:highlight w:val="none"/>
          <w:lang w:val="zh-CN"/>
        </w:rPr>
        <w:t>（单位负责人）</w:t>
      </w:r>
      <w:r>
        <w:rPr>
          <w:rFonts w:hint="eastAsia" w:ascii="仿宋_GB2312" w:hAnsi="仿宋_GB2312" w:eastAsia="仿宋_GB2312" w:cs="仿宋_GB2312"/>
          <w:b/>
          <w:color w:val="auto"/>
          <w:kern w:val="0"/>
          <w:sz w:val="28"/>
          <w:szCs w:val="28"/>
          <w:highlight w:val="none"/>
        </w:rPr>
        <w:t>身份证明</w:t>
      </w: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单位性质：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地    址： </w:t>
      </w:r>
      <w:r>
        <w:rPr>
          <w:rFonts w:hint="eastAsia" w:ascii="仿宋_GB2312" w:hAnsi="仿宋_GB2312" w:eastAsia="仿宋_GB2312" w:cs="仿宋_GB2312"/>
          <w:color w:val="auto"/>
          <w:kern w:val="0"/>
          <w:sz w:val="24"/>
          <w:highlight w:val="none"/>
          <w:u w:val="single"/>
        </w:rPr>
        <w:t xml:space="preserve">                       </w:t>
      </w: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成立时间：</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 xml:space="preserve"> 年</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月</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日</w:t>
      </w: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经营期限：</w:t>
      </w: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性别：</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年龄：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 xml:space="preserve"> 职务：</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系</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（投标人名称）的法定代表人。</w:t>
      </w: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特此证明。</w:t>
      </w: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p>
    <w:p>
      <w:pPr>
        <w:autoSpaceDE w:val="0"/>
        <w:autoSpaceDN w:val="0"/>
        <w:adjustRightInd w:val="0"/>
        <w:spacing w:line="360" w:lineRule="auto"/>
        <w:jc w:val="left"/>
        <w:rPr>
          <w:rFonts w:ascii="仿宋_GB2312" w:hAnsi="仿宋_GB2312" w:eastAsia="仿宋_GB2312" w:cs="仿宋_GB2312"/>
          <w:color w:val="auto"/>
          <w:kern w:val="0"/>
          <w:sz w:val="24"/>
          <w:highlight w:val="none"/>
        </w:rPr>
      </w:pPr>
    </w:p>
    <w:p>
      <w:pPr>
        <w:autoSpaceDE w:val="0"/>
        <w:autoSpaceDN w:val="0"/>
        <w:adjustRightInd w:val="0"/>
        <w:spacing w:line="360" w:lineRule="auto"/>
        <w:ind w:left="5399" w:leftChars="2571"/>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投标人：           （公章）</w:t>
      </w:r>
    </w:p>
    <w:p>
      <w:pPr>
        <w:autoSpaceDE w:val="0"/>
        <w:autoSpaceDN w:val="0"/>
        <w:adjustRightInd w:val="0"/>
        <w:spacing w:line="360" w:lineRule="auto"/>
        <w:ind w:left="5399" w:leftChars="2571"/>
        <w:jc w:val="left"/>
        <w:rPr>
          <w:rFonts w:ascii="仿宋_GB2312" w:hAnsi="仿宋_GB2312" w:eastAsia="仿宋_GB2312" w:cs="仿宋_GB2312"/>
          <w:color w:val="auto"/>
          <w:kern w:val="0"/>
          <w:sz w:val="24"/>
          <w:highlight w:val="none"/>
        </w:rPr>
      </w:pPr>
    </w:p>
    <w:p>
      <w:pPr>
        <w:autoSpaceDE w:val="0"/>
        <w:autoSpaceDN w:val="0"/>
        <w:adjustRightInd w:val="0"/>
        <w:spacing w:line="360" w:lineRule="auto"/>
        <w:ind w:left="6659" w:leftChars="3171"/>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  月  日</w:t>
      </w:r>
    </w:p>
    <w:p>
      <w:pPr>
        <w:spacing w:after="12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widowControl/>
        <w:ind w:firstLine="161" w:firstLineChars="5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32"/>
          <w:szCs w:val="32"/>
          <w:highlight w:val="none"/>
          <w:lang w:val="zh-CN"/>
        </w:rPr>
        <w:t xml:space="preserve"> </w:t>
      </w:r>
    </w:p>
    <w:p>
      <w:pPr>
        <w:spacing w:after="120"/>
        <w:rPr>
          <w:rFonts w:ascii="仿宋_GB2312" w:hAnsi="仿宋_GB2312" w:eastAsia="仿宋_GB2312" w:cs="仿宋_GB2312"/>
          <w:color w:val="auto"/>
          <w:highlight w:val="none"/>
        </w:rPr>
      </w:pPr>
    </w:p>
    <w:p>
      <w:pPr>
        <w:autoSpaceDE w:val="0"/>
        <w:autoSpaceDN w:val="0"/>
        <w:adjustRightInd w:val="0"/>
        <w:jc w:val="center"/>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3、授权代表本单位证明</w:t>
      </w:r>
    </w:p>
    <w:p>
      <w:pPr>
        <w:spacing w:after="120"/>
        <w:rPr>
          <w:rFonts w:ascii="仿宋_GB2312" w:hAnsi="仿宋_GB2312" w:eastAsia="仿宋_GB2312" w:cs="仿宋_GB2312"/>
          <w:color w:val="auto"/>
          <w:highlight w:val="none"/>
        </w:rPr>
      </w:pPr>
    </w:p>
    <w:p>
      <w:pPr>
        <w:autoSpaceDE w:val="0"/>
        <w:autoSpaceDN w:val="0"/>
        <w:adjustRightInd w:val="0"/>
        <w:spacing w:line="348" w:lineRule="auto"/>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养老保险缴纳证明或劳动合同复印件</w:t>
      </w:r>
      <w:r>
        <w:rPr>
          <w:rFonts w:hint="eastAsia" w:ascii="仿宋_GB2312" w:hAnsi="仿宋_GB2312" w:eastAsia="仿宋_GB2312" w:cs="仿宋_GB2312"/>
          <w:color w:val="auto"/>
          <w:sz w:val="28"/>
          <w:szCs w:val="28"/>
          <w:highlight w:val="none"/>
          <w:lang w:val="zh-CN"/>
        </w:rPr>
        <w:t>）</w:t>
      </w: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p>
    <w:p>
      <w:pPr>
        <w:spacing w:after="120"/>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br w:type="page"/>
      </w:r>
    </w:p>
    <w:p>
      <w:pPr>
        <w:spacing w:after="120"/>
        <w:rPr>
          <w:rFonts w:ascii="仿宋_GB2312" w:hAnsi="仿宋_GB2312" w:eastAsia="仿宋_GB2312" w:cs="仿宋_GB2312"/>
          <w:color w:val="auto"/>
          <w:highlight w:val="none"/>
        </w:rPr>
      </w:pPr>
    </w:p>
    <w:p>
      <w:pPr>
        <w:pStyle w:val="195"/>
        <w:ind w:firstLine="2570" w:firstLineChars="800"/>
        <w:rPr>
          <w:b/>
          <w:color w:val="auto"/>
          <w:sz w:val="32"/>
          <w:szCs w:val="32"/>
          <w:highlight w:val="none"/>
        </w:rPr>
      </w:pPr>
      <w:r>
        <w:rPr>
          <w:rFonts w:hint="eastAsia"/>
          <w:b/>
          <w:color w:val="auto"/>
          <w:sz w:val="32"/>
          <w:szCs w:val="32"/>
          <w:highlight w:val="none"/>
        </w:rPr>
        <w:t>第二部分  资格证明文件</w:t>
      </w:r>
    </w:p>
    <w:p>
      <w:pPr>
        <w:spacing w:after="120"/>
        <w:rPr>
          <w:rFonts w:ascii="仿宋_GB2312" w:hAnsi="仿宋_GB2312" w:eastAsia="仿宋_GB2312" w:cs="仿宋_GB2312"/>
          <w:color w:val="auto"/>
          <w:highlight w:val="none"/>
        </w:rPr>
      </w:pP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供应商的企业法人营业执照副本复印件（格式要求见附件6-1）；</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提供2020或2021年度经审计的财务报告（包括审计报告、资产负债表、利润表、现金流量表、所有者权益变动表及其附注，成立时间至提交响应文件截止时间不足一年的可提供成立后任意时段的资产负债表），或其开标前三个月内银行出具的资信证明，或信用担保机构出具的投标担保函。（以上三种形式的资料提供任何一种即可）（格式要求见附件6-2）；</w:t>
      </w:r>
    </w:p>
    <w:p>
      <w:pPr>
        <w:keepNext w:val="0"/>
        <w:keepLines w:val="0"/>
        <w:pageBreakBefore w:val="0"/>
        <w:widowControl w:val="0"/>
        <w:kinsoku/>
        <w:wordWrap/>
        <w:overflowPunct/>
        <w:topLinePunct w:val="0"/>
        <w:autoSpaceDE/>
        <w:autoSpaceDN/>
        <w:bidi w:val="0"/>
        <w:adjustRightInd/>
        <w:snapToGrid/>
        <w:spacing w:after="120" w:line="360" w:lineRule="auto"/>
        <w:ind w:left="420" w:hanging="420" w:hanging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sz w:val="24"/>
          <w:highlight w:val="none"/>
          <w:lang w:val="en-US" w:eastAsia="zh-CN"/>
        </w:rPr>
        <w:t xml:space="preserve">   3、提供已缴存的2021年4月1日以来至少一个月的纳税证明或完税证明（提供增值税、企业所得税至少一种），依法免税的供应商应提供相关文件证明；提供响应文件递交截止日前一年内已缴存的至少一个月的社会保障资金缴存单据或社保机构开具的社会保险参保缴费情况证明（专用收据或社会保险缴纳清单），并加盖本单位公章。（格式见附件6-3、6-4）</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具备履行合同所必需的设备和专业技术能力的承诺原件（格式见附件6-5）；</w:t>
      </w:r>
    </w:p>
    <w:p>
      <w:pPr>
        <w:numPr>
          <w:ilvl w:val="0"/>
          <w:numId w:val="0"/>
        </w:numPr>
        <w:tabs>
          <w:tab w:val="left" w:pos="420"/>
          <w:tab w:val="left" w:pos="8364"/>
        </w:tabs>
        <w:snapToGrid w:val="0"/>
        <w:spacing w:after="120" w:afterLines="50" w:line="360" w:lineRule="auto"/>
        <w:ind w:left="420" w:leftChars="0"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供应商参加政府采购活动前3年内在经营活动中没有重大违法记录的书面声明原件（格式见附件6-6）</w:t>
      </w:r>
    </w:p>
    <w:p>
      <w:pPr>
        <w:numPr>
          <w:ilvl w:val="0"/>
          <w:numId w:val="0"/>
        </w:numPr>
        <w:tabs>
          <w:tab w:val="left" w:pos="200"/>
          <w:tab w:val="left" w:pos="8364"/>
        </w:tabs>
        <w:snapToGrid w:val="0"/>
        <w:spacing w:after="120" w:afterLines="50" w:line="360" w:lineRule="auto"/>
        <w:ind w:left="420" w:leftChars="0"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供应商控股股东名称、控股公司的名称和存在管理、被管理关系的单位名称说明（格式见附件6-7)</w:t>
      </w:r>
    </w:p>
    <w:p>
      <w:pPr>
        <w:numPr>
          <w:ilvl w:val="0"/>
          <w:numId w:val="0"/>
        </w:numPr>
        <w:tabs>
          <w:tab w:val="left" w:pos="220"/>
          <w:tab w:val="left" w:pos="420"/>
          <w:tab w:val="left" w:pos="8364"/>
        </w:tabs>
        <w:snapToGrid w:val="0"/>
        <w:spacing w:after="120" w:afterLines="50" w:line="360" w:lineRule="auto"/>
        <w:ind w:left="420" w:leftChars="0"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供应商是否属于为本项目提供整体设计、规范编制或者项目管理、监理、检测等服务的供应商声明原件（格式见附件6-8)</w:t>
      </w:r>
    </w:p>
    <w:p>
      <w:pPr>
        <w:spacing w:after="120"/>
        <w:ind w:left="780"/>
        <w:rPr>
          <w:rFonts w:ascii="仿宋_GB2312" w:hAnsi="仿宋_GB2312" w:eastAsia="仿宋_GB2312" w:cs="仿宋_GB2312"/>
          <w:color w:val="auto"/>
          <w:highlight w:val="none"/>
        </w:rPr>
      </w:pPr>
    </w:p>
    <w:p>
      <w:pPr>
        <w:adjustRightInd w:val="0"/>
        <w:spacing w:line="360" w:lineRule="auto"/>
        <w:ind w:firstLine="480" w:firstLineChars="200"/>
        <w:jc w:val="left"/>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以上提供的扫描件、复印件必须加盖供应商公章。</w:t>
      </w:r>
    </w:p>
    <w:p>
      <w:pPr>
        <w:spacing w:after="12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adjustRightInd w:val="0"/>
        <w:spacing w:line="360" w:lineRule="auto"/>
        <w:ind w:firstLine="480" w:firstLineChars="200"/>
        <w:jc w:val="left"/>
        <w:textAlignment w:val="baseline"/>
        <w:rPr>
          <w:rFonts w:ascii="仿宋_GB2312" w:hAnsi="仿宋_GB2312" w:eastAsia="仿宋_GB2312" w:cs="仿宋_GB2312"/>
          <w:color w:val="auto"/>
          <w:sz w:val="24"/>
          <w:highlight w:val="none"/>
        </w:rPr>
      </w:pPr>
    </w:p>
    <w:p>
      <w:pPr>
        <w:jc w:val="left"/>
        <w:outlineLvl w:val="2"/>
        <w:rPr>
          <w:rFonts w:ascii="仿宋_GB2312" w:hAnsi="仿宋_GB2312" w:eastAsia="仿宋_GB2312" w:cs="仿宋_GB2312"/>
          <w:b/>
          <w:color w:val="auto"/>
          <w:sz w:val="24"/>
          <w:highlight w:val="none"/>
        </w:rPr>
      </w:pPr>
      <w:bookmarkStart w:id="456" w:name="_Toc7005120"/>
      <w:r>
        <w:rPr>
          <w:rFonts w:hint="eastAsia" w:ascii="仿宋_GB2312" w:hAnsi="仿宋_GB2312" w:eastAsia="仿宋_GB2312" w:cs="仿宋_GB2312"/>
          <w:b/>
          <w:color w:val="auto"/>
          <w:sz w:val="24"/>
          <w:highlight w:val="none"/>
        </w:rPr>
        <w:t>6-1  供应商的企业法人营业执照副本复印件（加盖公章）</w:t>
      </w:r>
      <w:bookmarkEnd w:id="456"/>
    </w:p>
    <w:p>
      <w:pPr>
        <w:jc w:val="left"/>
        <w:rPr>
          <w:rFonts w:ascii="仿宋_GB2312" w:hAnsi="仿宋_GB2312" w:eastAsia="仿宋_GB2312" w:cs="仿宋_GB2312"/>
          <w:color w:val="auto"/>
          <w:sz w:val="24"/>
          <w:highlight w:val="none"/>
        </w:rPr>
      </w:pPr>
    </w:p>
    <w:p>
      <w:pPr>
        <w:tabs>
          <w:tab w:val="left" w:pos="993"/>
          <w:tab w:val="left" w:pos="1030"/>
          <w:tab w:val="left" w:pos="8364"/>
        </w:tabs>
        <w:snapToGrid w:val="0"/>
        <w:spacing w:after="120" w:afterLines="50"/>
        <w:ind w:right="-57" w:rightChars="-2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（注：根据项目实际情况，本项内容可能要求提供“事业单位法人证书”、执业许可证、自然人身份证明等证明材料）</w:t>
      </w:r>
    </w:p>
    <w:p>
      <w:pPr>
        <w:adjustRightInd w:val="0"/>
        <w:spacing w:line="360" w:lineRule="atLeast"/>
        <w:jc w:val="left"/>
        <w:textAlignment w:val="baseline"/>
        <w:rPr>
          <w:rFonts w:ascii="仿宋_GB2312" w:hAnsi="仿宋_GB2312" w:eastAsia="仿宋_GB2312" w:cs="仿宋_GB2312"/>
          <w:b/>
          <w:color w:val="auto"/>
          <w:sz w:val="28"/>
          <w:highlight w:val="none"/>
        </w:rPr>
      </w:pPr>
    </w:p>
    <w:p>
      <w:pPr>
        <w:adjustRightInd w:val="0"/>
        <w:spacing w:line="360" w:lineRule="atLeast"/>
        <w:jc w:val="left"/>
        <w:textAlignment w:val="baseline"/>
        <w:rPr>
          <w:rFonts w:ascii="仿宋_GB2312" w:hAnsi="仿宋_GB2312" w:eastAsia="仿宋_GB2312" w:cs="仿宋_GB2312"/>
          <w:b/>
          <w:color w:val="auto"/>
          <w:sz w:val="28"/>
          <w:highlight w:val="none"/>
        </w:rPr>
      </w:pPr>
      <w:r>
        <w:rPr>
          <w:rFonts w:hint="eastAsia" w:ascii="仿宋_GB2312" w:hAnsi="仿宋_GB2312" w:eastAsia="仿宋_GB2312" w:cs="仿宋_GB2312"/>
          <w:b/>
          <w:color w:val="auto"/>
          <w:sz w:val="28"/>
          <w:highlight w:val="none"/>
        </w:rPr>
        <w:t xml:space="preserve"> </w:t>
      </w:r>
    </w:p>
    <w:p>
      <w:pPr>
        <w:jc w:val="left"/>
        <w:outlineLvl w:val="2"/>
        <w:rPr>
          <w:rFonts w:ascii="仿宋_GB2312" w:hAnsi="仿宋_GB2312" w:eastAsia="仿宋_GB2312" w:cs="仿宋_GB2312"/>
          <w:b/>
          <w:color w:val="auto"/>
          <w:sz w:val="24"/>
          <w:highlight w:val="none"/>
        </w:rPr>
      </w:pPr>
      <w:bookmarkStart w:id="457" w:name="_Toc7005121"/>
      <w:bookmarkStart w:id="458" w:name="_Ref527015333"/>
      <w:r>
        <w:rPr>
          <w:rFonts w:hint="eastAsia" w:ascii="仿宋_GB2312" w:hAnsi="仿宋_GB2312" w:eastAsia="仿宋_GB2312" w:cs="仿宋_GB2312"/>
          <w:b/>
          <w:color w:val="auto"/>
          <w:sz w:val="24"/>
          <w:highlight w:val="none"/>
        </w:rPr>
        <w:t xml:space="preserve">6-2  </w:t>
      </w:r>
      <w:bookmarkEnd w:id="457"/>
      <w:bookmarkEnd w:id="458"/>
      <w:r>
        <w:rPr>
          <w:rFonts w:hint="eastAsia" w:ascii="仿宋_GB2312" w:hAnsi="仿宋_GB2312" w:eastAsia="仿宋_GB2312" w:cs="仿宋_GB2312"/>
          <w:b/>
          <w:color w:val="auto"/>
          <w:sz w:val="24"/>
          <w:highlight w:val="none"/>
        </w:rPr>
        <w:t>具有健全的财务会计制度</w:t>
      </w:r>
    </w:p>
    <w:p>
      <w:pPr>
        <w:spacing w:line="360" w:lineRule="auto"/>
        <w:rPr>
          <w:rFonts w:ascii="仿宋_GB2312" w:hAnsi="仿宋_GB2312" w:eastAsia="仿宋_GB2312" w:cs="仿宋_GB2312"/>
          <w:color w:val="auto"/>
          <w:szCs w:val="21"/>
          <w:highlight w:val="none"/>
        </w:rPr>
      </w:pPr>
    </w:p>
    <w:p>
      <w:pPr>
        <w:tabs>
          <w:tab w:val="left" w:pos="993"/>
          <w:tab w:val="left" w:pos="1030"/>
          <w:tab w:val="left" w:pos="8364"/>
        </w:tabs>
        <w:snapToGrid w:val="0"/>
        <w:spacing w:after="120" w:afterLines="50"/>
        <w:ind w:right="-57" w:rightChars="-2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2020或2021年度经审计的财务报告（包括审计报告、资产负债表、利润表、现金流量表、所有者权益变动表及其附注，成立时间至提交响应文件截止时间不足一年的可提供成立后任意时段的资产负债表），或其开标前三个月内银行出具的资信证明，或信用担保机构出具的投标担保函。（以上三种形式的资料提供任何一种即可）。</w:t>
      </w:r>
    </w:p>
    <w:p>
      <w:pPr>
        <w:widowControl/>
        <w:jc w:val="left"/>
        <w:rPr>
          <w:rFonts w:ascii="仿宋_GB2312" w:hAnsi="仿宋_GB2312" w:eastAsia="仿宋_GB2312" w:cs="仿宋_GB2312"/>
          <w:b/>
          <w:color w:val="auto"/>
          <w:spacing w:val="20"/>
          <w:sz w:val="24"/>
          <w:highlight w:val="none"/>
        </w:rPr>
      </w:pPr>
    </w:p>
    <w:p>
      <w:pPr>
        <w:tabs>
          <w:tab w:val="left" w:pos="5580"/>
        </w:tabs>
        <w:spacing w:before="120" w:line="360" w:lineRule="auto"/>
        <w:ind w:firstLine="480" w:firstLineChars="200"/>
        <w:rPr>
          <w:rFonts w:ascii="仿宋_GB2312" w:hAnsi="仿宋_GB2312" w:eastAsia="仿宋_GB2312" w:cs="仿宋_GB2312"/>
          <w:color w:val="auto"/>
          <w:sz w:val="24"/>
          <w:highlight w:val="none"/>
        </w:rPr>
      </w:pPr>
    </w:p>
    <w:p>
      <w:pPr>
        <w:jc w:val="left"/>
        <w:outlineLvl w:val="2"/>
        <w:rPr>
          <w:rFonts w:ascii="仿宋_GB2312" w:hAnsi="仿宋_GB2312" w:eastAsia="仿宋_GB2312" w:cs="仿宋_GB2312"/>
          <w:b/>
          <w:color w:val="auto"/>
          <w:sz w:val="24"/>
          <w:highlight w:val="none"/>
        </w:rPr>
      </w:pPr>
      <w:bookmarkStart w:id="459" w:name="_Toc7005123"/>
      <w:r>
        <w:rPr>
          <w:rFonts w:hint="eastAsia" w:ascii="仿宋_GB2312" w:hAnsi="仿宋_GB2312" w:eastAsia="仿宋_GB2312" w:cs="仿宋_GB2312"/>
          <w:b/>
          <w:color w:val="auto"/>
          <w:sz w:val="24"/>
          <w:highlight w:val="none"/>
        </w:rPr>
        <w:t>6-3 依法缴纳税收的证明</w:t>
      </w:r>
      <w:bookmarkEnd w:id="459"/>
    </w:p>
    <w:p>
      <w:pPr>
        <w:tabs>
          <w:tab w:val="left" w:pos="993"/>
          <w:tab w:val="left" w:pos="1030"/>
          <w:tab w:val="left" w:pos="8364"/>
        </w:tabs>
        <w:snapToGrid w:val="0"/>
        <w:spacing w:after="120" w:afterLines="50"/>
        <w:ind w:left="420" w:right="-57" w:rightChars="-27" w:firstLine="480" w:firstLineChars="200"/>
        <w:jc w:val="left"/>
        <w:rPr>
          <w:rFonts w:ascii="仿宋_GB2312" w:hAnsi="仿宋_GB2312" w:eastAsia="仿宋_GB2312" w:cs="仿宋_GB2312"/>
          <w:color w:val="auto"/>
          <w:sz w:val="24"/>
          <w:highlight w:val="none"/>
        </w:rPr>
      </w:pPr>
    </w:p>
    <w:p>
      <w:pPr>
        <w:tabs>
          <w:tab w:val="left" w:pos="993"/>
          <w:tab w:val="left" w:pos="1030"/>
          <w:tab w:val="left" w:pos="8364"/>
        </w:tabs>
        <w:snapToGrid w:val="0"/>
        <w:spacing w:after="120" w:afterLines="50"/>
        <w:ind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说明：</w:t>
      </w:r>
    </w:p>
    <w:p>
      <w:pPr>
        <w:numPr>
          <w:ilvl w:val="0"/>
          <w:numId w:val="15"/>
        </w:numPr>
        <w:tabs>
          <w:tab w:val="left" w:pos="993"/>
          <w:tab w:val="left" w:pos="1030"/>
          <w:tab w:val="left" w:pos="8364"/>
        </w:tabs>
        <w:snapToGrid w:val="0"/>
        <w:spacing w:after="120" w:afterLines="50"/>
        <w:ind w:right="-57" w:rightChars="-27"/>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提供已缴存的2021年4月1日以来至少一个月的纳税证明或完税证明（提供增值税、企业所得税至少一种）。依法免税的供应商应提供相关文件证明</w:t>
      </w:r>
    </w:p>
    <w:p>
      <w:pPr>
        <w:numPr>
          <w:ilvl w:val="0"/>
          <w:numId w:val="0"/>
        </w:numPr>
        <w:tabs>
          <w:tab w:val="left" w:pos="993"/>
          <w:tab w:val="left" w:pos="1030"/>
          <w:tab w:val="left" w:pos="8364"/>
        </w:tabs>
        <w:snapToGrid w:val="0"/>
        <w:spacing w:after="120" w:afterLines="50"/>
        <w:ind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ascii="仿宋_GB2312" w:hAnsi="仿宋_GB2312" w:eastAsia="仿宋_GB2312" w:cs="仿宋_GB2312"/>
          <w:color w:val="auto"/>
          <w:sz w:val="24"/>
          <w:highlight w:val="none"/>
        </w:rPr>
      </w:pPr>
    </w:p>
    <w:p>
      <w:pPr>
        <w:spacing w:after="120"/>
        <w:rPr>
          <w:rFonts w:ascii="仿宋_GB2312" w:hAnsi="仿宋_GB2312" w:eastAsia="仿宋_GB2312" w:cs="仿宋_GB2312"/>
          <w:color w:val="auto"/>
          <w:highlight w:val="none"/>
        </w:rPr>
      </w:pPr>
    </w:p>
    <w:p>
      <w:pPr>
        <w:tabs>
          <w:tab w:val="left" w:pos="993"/>
          <w:tab w:val="left" w:pos="1030"/>
          <w:tab w:val="left" w:pos="8364"/>
        </w:tabs>
        <w:snapToGrid w:val="0"/>
        <w:spacing w:after="120" w:afterLines="50"/>
        <w:ind w:left="420" w:right="-57" w:rightChars="-27" w:firstLine="480" w:firstLineChars="200"/>
        <w:jc w:val="left"/>
        <w:rPr>
          <w:rFonts w:ascii="仿宋_GB2312" w:hAnsi="仿宋_GB2312" w:eastAsia="仿宋_GB2312" w:cs="仿宋_GB2312"/>
          <w:color w:val="auto"/>
          <w:sz w:val="24"/>
          <w:highlight w:val="none"/>
        </w:rPr>
      </w:pPr>
    </w:p>
    <w:p>
      <w:pPr>
        <w:jc w:val="left"/>
        <w:outlineLvl w:val="2"/>
        <w:rPr>
          <w:rFonts w:ascii="仿宋_GB2312" w:hAnsi="仿宋_GB2312" w:eastAsia="仿宋_GB2312" w:cs="仿宋_GB2312"/>
          <w:b/>
          <w:color w:val="auto"/>
          <w:sz w:val="24"/>
          <w:highlight w:val="none"/>
        </w:rPr>
      </w:pPr>
      <w:bookmarkStart w:id="460" w:name="_Toc7005124"/>
      <w:r>
        <w:rPr>
          <w:rFonts w:hint="eastAsia" w:ascii="仿宋_GB2312" w:hAnsi="仿宋_GB2312" w:eastAsia="仿宋_GB2312" w:cs="仿宋_GB2312"/>
          <w:b/>
          <w:color w:val="auto"/>
          <w:sz w:val="24"/>
          <w:highlight w:val="none"/>
        </w:rPr>
        <w:t>6-4社会保障资金缴纳记录</w:t>
      </w:r>
      <w:bookmarkEnd w:id="460"/>
    </w:p>
    <w:p>
      <w:pPr>
        <w:tabs>
          <w:tab w:val="left" w:pos="993"/>
          <w:tab w:val="left" w:pos="1030"/>
          <w:tab w:val="left" w:pos="8364"/>
        </w:tabs>
        <w:snapToGrid w:val="0"/>
        <w:spacing w:after="120" w:afterLines="50"/>
        <w:ind w:left="420" w:leftChars="200"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cr/>
      </w:r>
    </w:p>
    <w:p>
      <w:pPr>
        <w:tabs>
          <w:tab w:val="left" w:pos="993"/>
          <w:tab w:val="left" w:pos="1030"/>
          <w:tab w:val="left" w:pos="8364"/>
        </w:tabs>
        <w:snapToGrid w:val="0"/>
        <w:spacing w:after="120" w:afterLines="50"/>
        <w:ind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说明：</w:t>
      </w:r>
    </w:p>
    <w:p>
      <w:pPr>
        <w:numPr>
          <w:ilvl w:val="0"/>
          <w:numId w:val="0"/>
        </w:numPr>
        <w:tabs>
          <w:tab w:val="left" w:pos="993"/>
          <w:tab w:val="left" w:pos="1030"/>
          <w:tab w:val="left" w:pos="8364"/>
        </w:tabs>
        <w:snapToGrid w:val="0"/>
        <w:spacing w:after="120" w:afterLines="50"/>
        <w:ind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提供响应文件递交截止日前一年内已缴存的至少一个月的社会保障资金缴存单据或社保机构开具的社会保险参保缴费情况证明（专用收据或社会保险缴纳清单），并加盖本单位公章。</w:t>
      </w:r>
    </w:p>
    <w:p>
      <w:pPr>
        <w:numPr>
          <w:ilvl w:val="0"/>
          <w:numId w:val="0"/>
        </w:numPr>
        <w:tabs>
          <w:tab w:val="left" w:pos="993"/>
          <w:tab w:val="left" w:pos="1030"/>
          <w:tab w:val="left" w:pos="8364"/>
        </w:tabs>
        <w:snapToGrid w:val="0"/>
        <w:spacing w:after="120" w:afterLines="50"/>
        <w:ind w:right="-57" w:rightChars="-27"/>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不需要缴纳社会保障资金的供应商，应提供相应文件证明其不需要缴纳社会保障资金。</w:t>
      </w:r>
    </w:p>
    <w:p>
      <w:pPr>
        <w:tabs>
          <w:tab w:val="left" w:pos="5580"/>
        </w:tabs>
        <w:spacing w:before="120" w:line="360" w:lineRule="auto"/>
        <w:ind w:firstLine="480" w:firstLineChars="200"/>
        <w:rPr>
          <w:rFonts w:ascii="仿宋_GB2312" w:hAnsi="仿宋_GB2312" w:eastAsia="仿宋_GB2312" w:cs="仿宋_GB2312"/>
          <w:color w:val="auto"/>
          <w:sz w:val="24"/>
          <w:highlight w:val="none"/>
        </w:rPr>
      </w:pPr>
    </w:p>
    <w:p>
      <w:pPr>
        <w:tabs>
          <w:tab w:val="left" w:pos="5580"/>
        </w:tabs>
        <w:spacing w:before="120" w:line="360" w:lineRule="auto"/>
        <w:ind w:firstLine="480" w:firstLineChars="200"/>
        <w:rPr>
          <w:rFonts w:ascii="仿宋_GB2312" w:hAnsi="仿宋_GB2312" w:eastAsia="仿宋_GB2312" w:cs="仿宋_GB2312"/>
          <w:color w:val="auto"/>
          <w:sz w:val="24"/>
          <w:highlight w:val="none"/>
        </w:rPr>
      </w:pPr>
    </w:p>
    <w:p>
      <w:pPr>
        <w:jc w:val="left"/>
        <w:outlineLvl w:val="2"/>
        <w:rPr>
          <w:rFonts w:ascii="仿宋_GB2312" w:hAnsi="仿宋_GB2312" w:eastAsia="仿宋_GB2312" w:cs="仿宋_GB2312"/>
          <w:b/>
          <w:color w:val="auto"/>
          <w:sz w:val="24"/>
          <w:highlight w:val="none"/>
        </w:rPr>
      </w:pPr>
      <w:bookmarkStart w:id="461" w:name="_Toc7005125"/>
      <w:r>
        <w:rPr>
          <w:rFonts w:hint="eastAsia" w:ascii="仿宋_GB2312" w:hAnsi="仿宋_GB2312" w:eastAsia="仿宋_GB2312" w:cs="仿宋_GB2312"/>
          <w:b/>
          <w:bCs/>
          <w:color w:val="auto"/>
          <w:sz w:val="24"/>
          <w:highlight w:val="none"/>
        </w:rPr>
        <w:t xml:space="preserve">6-5 </w:t>
      </w:r>
      <w:r>
        <w:rPr>
          <w:rFonts w:hint="eastAsia" w:ascii="仿宋_GB2312" w:hAnsi="仿宋_GB2312" w:eastAsia="仿宋_GB2312" w:cs="仿宋_GB2312"/>
          <w:b/>
          <w:color w:val="auto"/>
          <w:sz w:val="24"/>
          <w:highlight w:val="none"/>
        </w:rPr>
        <w:t>具备履行合同所必需的设备和专业技术能力承诺书</w:t>
      </w:r>
      <w:bookmarkEnd w:id="461"/>
      <w:r>
        <w:rPr>
          <w:rFonts w:hint="eastAsia" w:ascii="仿宋_GB2312" w:hAnsi="仿宋_GB2312" w:eastAsia="仿宋_GB2312" w:cs="仿宋_GB2312"/>
          <w:b/>
          <w:color w:val="auto"/>
          <w:sz w:val="24"/>
          <w:highlight w:val="none"/>
        </w:rPr>
        <w:t xml:space="preserve">                                                                                                                                                                                                                                                                                                                                                                                                                                                                                                                                                                                                                                                                                                      </w:t>
      </w:r>
    </w:p>
    <w:p>
      <w:pPr>
        <w:ind w:firstLine="480"/>
        <w:rPr>
          <w:rFonts w:ascii="仿宋_GB2312" w:hAnsi="仿宋_GB2312" w:eastAsia="仿宋_GB2312" w:cs="仿宋_GB2312"/>
          <w:color w:val="auto"/>
          <w:kern w:val="0"/>
          <w:sz w:val="24"/>
          <w:highlight w:val="none"/>
        </w:rPr>
      </w:pPr>
    </w:p>
    <w:p>
      <w:pPr>
        <w:ind w:firstLine="480"/>
        <w:rPr>
          <w:rFonts w:ascii="仿宋_GB2312" w:hAnsi="仿宋_GB2312" w:eastAsia="仿宋_GB2312" w:cs="仿宋_GB2312"/>
          <w:color w:val="auto"/>
          <w:kern w:val="0"/>
          <w:sz w:val="24"/>
          <w:highlight w:val="none"/>
        </w:rPr>
      </w:pPr>
    </w:p>
    <w:p>
      <w:pPr>
        <w:rPr>
          <w:rFonts w:ascii="仿宋_GB2312" w:hAnsi="仿宋_GB2312" w:eastAsia="仿宋_GB2312" w:cs="仿宋_GB2312"/>
          <w:color w:val="auto"/>
          <w:kern w:val="0"/>
          <w:sz w:val="24"/>
          <w:highlight w:val="none"/>
          <w:u w:val="single"/>
        </w:rPr>
      </w:pPr>
      <w:r>
        <w:rPr>
          <w:rFonts w:hint="eastAsia" w:ascii="仿宋_GB2312" w:hAnsi="仿宋_GB2312" w:eastAsia="仿宋_GB2312" w:cs="仿宋_GB2312"/>
          <w:color w:val="auto"/>
          <w:kern w:val="0"/>
          <w:sz w:val="24"/>
          <w:highlight w:val="none"/>
          <w:u w:val="none"/>
        </w:rPr>
        <w:t xml:space="preserve">陕西省采购招标有限责任公司：  </w:t>
      </w:r>
      <w:r>
        <w:rPr>
          <w:rFonts w:hint="eastAsia" w:ascii="仿宋_GB2312" w:hAnsi="仿宋_GB2312" w:eastAsia="仿宋_GB2312" w:cs="仿宋_GB2312"/>
          <w:color w:val="auto"/>
          <w:kern w:val="0"/>
          <w:sz w:val="24"/>
          <w:highlight w:val="none"/>
          <w:u w:val="single"/>
        </w:rPr>
        <w:t xml:space="preserve"> </w:t>
      </w:r>
    </w:p>
    <w:p>
      <w:pPr>
        <w:ind w:firstLine="480"/>
        <w:rPr>
          <w:rFonts w:ascii="仿宋_GB2312" w:hAnsi="仿宋_GB2312" w:eastAsia="仿宋_GB2312" w:cs="仿宋_GB2312"/>
          <w:color w:val="auto"/>
          <w:kern w:val="0"/>
          <w:sz w:val="24"/>
          <w:highlight w:val="none"/>
        </w:rPr>
      </w:pPr>
    </w:p>
    <w:p>
      <w:pPr>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我公司承诺</w:t>
      </w:r>
      <w:r>
        <w:rPr>
          <w:rFonts w:hint="eastAsia" w:ascii="仿宋_GB2312" w:hAnsi="仿宋_GB2312" w:eastAsia="仿宋_GB2312" w:cs="仿宋_GB2312"/>
          <w:color w:val="auto"/>
          <w:sz w:val="24"/>
          <w:highlight w:val="none"/>
        </w:rPr>
        <w:t>具备履行合同所必需的设备和专业技术能力</w:t>
      </w:r>
      <w:r>
        <w:rPr>
          <w:rFonts w:hint="eastAsia" w:ascii="仿宋_GB2312" w:hAnsi="仿宋_GB2312" w:eastAsia="仿宋_GB2312" w:cs="仿宋_GB2312"/>
          <w:color w:val="auto"/>
          <w:kern w:val="0"/>
          <w:sz w:val="24"/>
          <w:highlight w:val="none"/>
        </w:rPr>
        <w:t>。</w:t>
      </w:r>
    </w:p>
    <w:p>
      <w:pPr>
        <w:ind w:firstLine="480"/>
        <w:rPr>
          <w:rFonts w:ascii="仿宋_GB2312" w:hAnsi="仿宋_GB2312" w:eastAsia="仿宋_GB2312" w:cs="仿宋_GB2312"/>
          <w:b/>
          <w:color w:val="auto"/>
          <w:sz w:val="24"/>
          <w:highlight w:val="none"/>
        </w:rPr>
      </w:pPr>
    </w:p>
    <w:p>
      <w:pPr>
        <w:ind w:firstLine="480"/>
        <w:rPr>
          <w:rFonts w:ascii="仿宋_GB2312" w:hAnsi="仿宋_GB2312" w:eastAsia="仿宋_GB2312" w:cs="仿宋_GB2312"/>
          <w:b/>
          <w:color w:val="auto"/>
          <w:sz w:val="24"/>
          <w:highlight w:val="none"/>
        </w:rPr>
      </w:pPr>
    </w:p>
    <w:p>
      <w:pPr>
        <w:ind w:firstLine="480"/>
        <w:rPr>
          <w:rFonts w:ascii="仿宋_GB2312" w:hAnsi="仿宋_GB2312" w:eastAsia="仿宋_GB2312" w:cs="仿宋_GB2312"/>
          <w:b/>
          <w:color w:val="auto"/>
          <w:sz w:val="24"/>
          <w:highlight w:val="none"/>
        </w:rPr>
      </w:pP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供应商名称（公章）： </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法定代表人或其授权代表（签字或加盖人名章）：</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ind w:right="280"/>
        <w:rPr>
          <w:rFonts w:ascii="仿宋_GB2312" w:hAnsi="仿宋_GB2312" w:eastAsia="仿宋_GB2312" w:cs="仿宋_GB2312"/>
          <w:color w:val="auto"/>
          <w:sz w:val="24"/>
          <w:highlight w:val="none"/>
        </w:rPr>
      </w:pPr>
    </w:p>
    <w:p>
      <w:pPr>
        <w:tabs>
          <w:tab w:val="left" w:pos="5580"/>
        </w:tabs>
        <w:spacing w:before="120" w:line="360" w:lineRule="auto"/>
        <w:ind w:firstLine="480" w:firstLineChars="200"/>
        <w:rPr>
          <w:rFonts w:ascii="仿宋_GB2312" w:hAnsi="仿宋_GB2312" w:eastAsia="仿宋_GB2312" w:cs="仿宋_GB2312"/>
          <w:color w:val="auto"/>
          <w:sz w:val="24"/>
          <w:highlight w:val="none"/>
        </w:rPr>
      </w:pPr>
    </w:p>
    <w:p>
      <w:pPr>
        <w:widowControl/>
        <w:jc w:val="left"/>
        <w:rPr>
          <w:rFonts w:ascii="仿宋_GB2312" w:hAnsi="仿宋_GB2312" w:eastAsia="仿宋_GB2312" w:cs="仿宋_GB2312"/>
          <w:b/>
          <w:color w:val="auto"/>
          <w:sz w:val="24"/>
          <w:highlight w:val="none"/>
        </w:rPr>
      </w:pPr>
    </w:p>
    <w:p>
      <w:pPr>
        <w:numPr>
          <w:ilvl w:val="1"/>
          <w:numId w:val="16"/>
        </w:numPr>
        <w:jc w:val="left"/>
        <w:outlineLvl w:val="2"/>
        <w:rPr>
          <w:rFonts w:ascii="仿宋_GB2312" w:hAnsi="仿宋_GB2312" w:eastAsia="仿宋_GB2312" w:cs="仿宋_GB2312"/>
          <w:b/>
          <w:color w:val="auto"/>
          <w:sz w:val="24"/>
          <w:szCs w:val="22"/>
          <w:highlight w:val="none"/>
        </w:rPr>
      </w:pPr>
      <w:bookmarkStart w:id="462" w:name="_Toc7005126"/>
      <w:r>
        <w:rPr>
          <w:rFonts w:hint="eastAsia" w:ascii="仿宋_GB2312" w:hAnsi="仿宋_GB2312" w:eastAsia="仿宋_GB2312" w:cs="仿宋_GB2312"/>
          <w:b/>
          <w:color w:val="auto"/>
          <w:sz w:val="24"/>
          <w:szCs w:val="22"/>
          <w:highlight w:val="none"/>
        </w:rPr>
        <w:t>供应商参加政府采购活动前3年内在经营活动中没有重大违法记录的书面声明（格式）</w:t>
      </w:r>
      <w:bookmarkEnd w:id="462"/>
    </w:p>
    <w:p>
      <w:pPr>
        <w:jc w:val="center"/>
        <w:rPr>
          <w:rFonts w:ascii="仿宋_GB2312" w:hAnsi="仿宋_GB2312" w:eastAsia="仿宋_GB2312" w:cs="仿宋_GB2312"/>
          <w:color w:val="auto"/>
          <w:sz w:val="24"/>
          <w:highlight w:val="none"/>
        </w:rPr>
      </w:pPr>
    </w:p>
    <w:p>
      <w:pPr>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声明函</w:t>
      </w:r>
    </w:p>
    <w:p>
      <w:pPr>
        <w:jc w:val="center"/>
        <w:rPr>
          <w:rFonts w:ascii="仿宋_GB2312" w:hAnsi="仿宋_GB2312" w:eastAsia="仿宋_GB2312" w:cs="仿宋_GB2312"/>
          <w:color w:val="auto"/>
          <w:sz w:val="24"/>
          <w:highlight w:val="none"/>
        </w:rPr>
      </w:pPr>
    </w:p>
    <w:p>
      <w:pPr>
        <w:tabs>
          <w:tab w:val="left" w:pos="5580"/>
        </w:tabs>
        <w:spacing w:before="120" w:line="360" w:lineRule="auto"/>
        <w:rPr>
          <w:rFonts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陕西省采购招标有限责任公司</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 xml:space="preserve">  </w:t>
      </w:r>
    </w:p>
    <w:p>
      <w:pPr>
        <w:tabs>
          <w:tab w:val="left" w:pos="5580"/>
        </w:tabs>
        <w:spacing w:before="120"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特此声明。</w:t>
      </w:r>
    </w:p>
    <w:p>
      <w:pPr>
        <w:tabs>
          <w:tab w:val="left" w:pos="5580"/>
        </w:tabs>
        <w:spacing w:before="120" w:line="360" w:lineRule="auto"/>
        <w:ind w:firstLine="480" w:firstLineChars="200"/>
        <w:rPr>
          <w:rFonts w:ascii="仿宋_GB2312" w:hAnsi="仿宋_GB2312" w:eastAsia="仿宋_GB2312" w:cs="仿宋_GB2312"/>
          <w:color w:val="auto"/>
          <w:sz w:val="24"/>
          <w:highlight w:val="none"/>
        </w:rPr>
      </w:pP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供应商名称（公章）： </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法定代表人或其授权代表（签字或加盖人名章）：</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spacing w:after="120"/>
        <w:rPr>
          <w:rFonts w:ascii="仿宋_GB2312" w:hAnsi="仿宋_GB2312" w:eastAsia="仿宋_GB2312" w:cs="仿宋_GB2312"/>
          <w:color w:val="auto"/>
          <w:highlight w:val="none"/>
        </w:rPr>
      </w:pPr>
    </w:p>
    <w:p>
      <w:pPr>
        <w:spacing w:after="120"/>
        <w:rPr>
          <w:rFonts w:ascii="仿宋_GB2312" w:hAnsi="仿宋_GB2312" w:eastAsia="仿宋_GB2312" w:cs="仿宋_GB2312"/>
          <w:color w:val="auto"/>
          <w:highlight w:val="none"/>
        </w:rPr>
      </w:pPr>
    </w:p>
    <w:p>
      <w:pPr>
        <w:spacing w:line="360" w:lineRule="auto"/>
        <w:rPr>
          <w:rFonts w:ascii="仿宋_GB2312" w:hAnsi="仿宋_GB2312" w:eastAsia="仿宋_GB2312" w:cs="仿宋_GB2312"/>
          <w:color w:val="auto"/>
          <w:sz w:val="24"/>
          <w:szCs w:val="21"/>
          <w:highlight w:val="none"/>
          <w:u w:val="single"/>
        </w:rPr>
      </w:pPr>
    </w:p>
    <w:p>
      <w:pPr>
        <w:numPr>
          <w:ilvl w:val="1"/>
          <w:numId w:val="17"/>
        </w:numPr>
        <w:jc w:val="left"/>
        <w:outlineLvl w:val="2"/>
        <w:rPr>
          <w:rFonts w:ascii="仿宋_GB2312" w:hAnsi="仿宋_GB2312" w:eastAsia="仿宋_GB2312" w:cs="仿宋_GB2312"/>
          <w:b/>
          <w:color w:val="auto"/>
          <w:sz w:val="24"/>
          <w:szCs w:val="22"/>
          <w:highlight w:val="none"/>
        </w:rPr>
      </w:pPr>
      <w:bookmarkStart w:id="463" w:name="_Toc7005127"/>
      <w:r>
        <w:rPr>
          <w:rFonts w:hint="eastAsia" w:ascii="仿宋_GB2312" w:hAnsi="仿宋_GB2312" w:eastAsia="仿宋_GB2312" w:cs="仿宋_GB2312"/>
          <w:b/>
          <w:color w:val="auto"/>
          <w:sz w:val="24"/>
          <w:szCs w:val="22"/>
          <w:highlight w:val="none"/>
        </w:rPr>
        <w:t xml:space="preserve"> 供应商控股股东名称、控股公司的名称和存在管理、被管理关系的单位名称说明</w:t>
      </w:r>
      <w:bookmarkEnd w:id="463"/>
    </w:p>
    <w:p>
      <w:pPr>
        <w:ind w:firstLine="420"/>
        <w:rPr>
          <w:rFonts w:ascii="仿宋_GB2312" w:hAnsi="仿宋_GB2312" w:eastAsia="仿宋_GB2312" w:cs="仿宋_GB2312"/>
          <w:color w:val="auto"/>
          <w:szCs w:val="21"/>
          <w:highlight w:val="none"/>
        </w:rPr>
      </w:pPr>
    </w:p>
    <w:p>
      <w:pPr>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陕西省采购招标有限责任公司</w:t>
      </w:r>
      <w:r>
        <w:rPr>
          <w:rFonts w:hint="eastAsia" w:ascii="仿宋_GB2312" w:hAnsi="仿宋_GB2312" w:eastAsia="仿宋_GB2312" w:cs="仿宋_GB2312"/>
          <w:color w:val="auto"/>
          <w:sz w:val="24"/>
          <w:highlight w:val="none"/>
          <w:lang w:eastAsia="zh-CN"/>
        </w:rPr>
        <w:t>：</w:t>
      </w:r>
    </w:p>
    <w:p>
      <w:pPr>
        <w:spacing w:after="120"/>
        <w:rPr>
          <w:rFonts w:ascii="仿宋_GB2312" w:hAnsi="仿宋_GB2312" w:eastAsia="仿宋_GB2312" w:cs="仿宋_GB2312"/>
          <w:color w:val="auto"/>
          <w:highlight w:val="none"/>
        </w:rPr>
      </w:pPr>
    </w:p>
    <w:p>
      <w:pPr>
        <w:ind w:firstLine="4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与我方的法定代表人（单位负责人）为同一人的企业如下：</w:t>
      </w:r>
    </w:p>
    <w:p>
      <w:pPr>
        <w:ind w:firstLine="426"/>
        <w:rPr>
          <w:rFonts w:ascii="仿宋_GB2312" w:hAnsi="仿宋_GB2312" w:eastAsia="仿宋_GB2312" w:cs="仿宋_GB2312"/>
          <w:color w:val="auto"/>
          <w:sz w:val="24"/>
          <w:highlight w:val="none"/>
        </w:rPr>
      </w:pPr>
    </w:p>
    <w:p>
      <w:pPr>
        <w:ind w:firstLine="4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我方的控股股东如下：</w:t>
      </w:r>
    </w:p>
    <w:p>
      <w:pPr>
        <w:ind w:firstLine="426"/>
        <w:rPr>
          <w:rFonts w:ascii="仿宋_GB2312" w:hAnsi="仿宋_GB2312" w:eastAsia="仿宋_GB2312" w:cs="仿宋_GB2312"/>
          <w:color w:val="auto"/>
          <w:sz w:val="24"/>
          <w:highlight w:val="none"/>
        </w:rPr>
      </w:pPr>
    </w:p>
    <w:p>
      <w:pPr>
        <w:ind w:firstLine="4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我方直接控股的企业如下：</w:t>
      </w:r>
    </w:p>
    <w:p>
      <w:pPr>
        <w:ind w:firstLine="426"/>
        <w:rPr>
          <w:rFonts w:ascii="仿宋_GB2312" w:hAnsi="仿宋_GB2312" w:eastAsia="仿宋_GB2312" w:cs="仿宋_GB2312"/>
          <w:color w:val="auto"/>
          <w:sz w:val="24"/>
          <w:highlight w:val="none"/>
        </w:rPr>
      </w:pPr>
    </w:p>
    <w:p>
      <w:pPr>
        <w:ind w:firstLine="4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与我方存在管理、被管理关系的单位名称如下：</w:t>
      </w:r>
    </w:p>
    <w:p>
      <w:pPr>
        <w:ind w:firstLine="426"/>
        <w:rPr>
          <w:rFonts w:ascii="仿宋_GB2312" w:hAnsi="仿宋_GB2312" w:eastAsia="仿宋_GB2312" w:cs="仿宋_GB2312"/>
          <w:color w:val="auto"/>
          <w:sz w:val="24"/>
          <w:highlight w:val="none"/>
        </w:rPr>
      </w:pPr>
    </w:p>
    <w:p>
      <w:pPr>
        <w:ind w:firstLine="426"/>
        <w:rPr>
          <w:rFonts w:ascii="仿宋_GB2312" w:hAnsi="仿宋_GB2312" w:eastAsia="仿宋_GB2312" w:cs="仿宋_GB2312"/>
          <w:color w:val="auto"/>
          <w:szCs w:val="21"/>
          <w:highlight w:val="none"/>
        </w:rPr>
      </w:pP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供应商名称（公章）： </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法定代表人或其授权代表（签字或加盖人名章）：</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ind w:firstLine="420" w:firstLineChars="200"/>
        <w:rPr>
          <w:rFonts w:ascii="仿宋_GB2312" w:hAnsi="仿宋_GB2312" w:eastAsia="仿宋_GB2312" w:cs="仿宋_GB2312"/>
          <w:color w:val="auto"/>
          <w:szCs w:val="21"/>
          <w:highlight w:val="none"/>
        </w:rPr>
      </w:pPr>
    </w:p>
    <w:p>
      <w:pPr>
        <w:ind w:firstLine="420" w:firstLineChars="200"/>
        <w:rPr>
          <w:rFonts w:ascii="仿宋_GB2312" w:hAnsi="仿宋_GB2312" w:eastAsia="仿宋_GB2312" w:cs="仿宋_GB2312"/>
          <w:color w:val="auto"/>
          <w:szCs w:val="21"/>
          <w:highlight w:val="none"/>
        </w:rPr>
      </w:pPr>
    </w:p>
    <w:p>
      <w:pPr>
        <w:ind w:firstLine="420" w:firstLineChars="200"/>
        <w:rPr>
          <w:rFonts w:ascii="仿宋_GB2312" w:hAnsi="仿宋_GB2312" w:eastAsia="仿宋_GB2312" w:cs="仿宋_GB2312"/>
          <w:color w:val="auto"/>
          <w:szCs w:val="21"/>
          <w:highlight w:val="none"/>
        </w:rPr>
      </w:pPr>
    </w:p>
    <w:p>
      <w:pPr>
        <w:numPr>
          <w:ilvl w:val="1"/>
          <w:numId w:val="17"/>
        </w:numPr>
        <w:jc w:val="left"/>
        <w:outlineLvl w:val="2"/>
        <w:rPr>
          <w:rFonts w:ascii="仿宋_GB2312" w:hAnsi="仿宋_GB2312" w:eastAsia="仿宋_GB2312" w:cs="仿宋_GB2312"/>
          <w:b/>
          <w:color w:val="auto"/>
          <w:sz w:val="24"/>
          <w:szCs w:val="22"/>
          <w:highlight w:val="none"/>
        </w:rPr>
      </w:pPr>
      <w:bookmarkStart w:id="464" w:name="_Toc7005128"/>
      <w:r>
        <w:rPr>
          <w:rFonts w:hint="eastAsia" w:ascii="仿宋_GB2312" w:hAnsi="仿宋_GB2312" w:eastAsia="仿宋_GB2312" w:cs="仿宋_GB2312"/>
          <w:b/>
          <w:color w:val="auto"/>
          <w:sz w:val="24"/>
          <w:szCs w:val="22"/>
          <w:highlight w:val="none"/>
        </w:rPr>
        <w:t xml:space="preserve"> 供应商是否属于为本项目提供整体设计、规范编制或者项目管理、监理、检测等服务的供应商声明</w:t>
      </w:r>
      <w:bookmarkEnd w:id="464"/>
    </w:p>
    <w:p>
      <w:pPr>
        <w:ind w:firstLine="420"/>
        <w:rPr>
          <w:rFonts w:ascii="仿宋_GB2312" w:hAnsi="仿宋_GB2312" w:eastAsia="仿宋_GB2312" w:cs="仿宋_GB2312"/>
          <w:color w:val="auto"/>
          <w:szCs w:val="21"/>
          <w:highlight w:val="none"/>
        </w:rPr>
      </w:pPr>
    </w:p>
    <w:p>
      <w:pPr>
        <w:spacing w:line="360" w:lineRule="auto"/>
        <w:rPr>
          <w:rFonts w:ascii="仿宋_GB2312" w:hAnsi="仿宋_GB2312" w:eastAsia="仿宋_GB2312" w:cs="仿宋_GB2312"/>
          <w:color w:val="auto"/>
          <w:szCs w:val="21"/>
          <w:highlight w:val="none"/>
        </w:rPr>
      </w:pPr>
    </w:p>
    <w:p>
      <w:pPr>
        <w:spacing w:line="360" w:lineRule="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陕西省采购招标有限责任公司</w:t>
      </w:r>
      <w:r>
        <w:rPr>
          <w:rFonts w:hint="eastAsia" w:ascii="仿宋_GB2312" w:hAnsi="仿宋_GB2312" w:eastAsia="仿宋_GB2312" w:cs="仿宋_GB2312"/>
          <w:color w:val="auto"/>
          <w:sz w:val="24"/>
          <w:szCs w:val="24"/>
          <w:highlight w:val="none"/>
          <w:lang w:eastAsia="zh-CN"/>
        </w:rPr>
        <w:t>：</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w:t>
      </w:r>
      <w:r>
        <w:rPr>
          <w:rFonts w:hint="eastAsia" w:ascii="仿宋_GB2312" w:hAnsi="仿宋_GB2312" w:eastAsia="仿宋_GB2312" w:cs="仿宋_GB2312"/>
          <w:i/>
          <w:iCs/>
          <w:color w:val="auto"/>
          <w:sz w:val="24"/>
          <w:szCs w:val="24"/>
          <w:highlight w:val="none"/>
          <w:u w:val="single"/>
        </w:rPr>
        <w:t xml:space="preserve"> 不属于 </w:t>
      </w:r>
      <w:r>
        <w:rPr>
          <w:rFonts w:hint="eastAsia" w:ascii="仿宋_GB2312" w:hAnsi="仿宋_GB2312" w:eastAsia="仿宋_GB2312" w:cs="仿宋_GB2312"/>
          <w:color w:val="auto"/>
          <w:sz w:val="24"/>
          <w:szCs w:val="24"/>
          <w:highlight w:val="none"/>
        </w:rPr>
        <w:t>为本项目提供整体设计、规范编制或者项目管理、监理、检测等服务的供应商。</w:t>
      </w:r>
    </w:p>
    <w:p>
      <w:pPr>
        <w:ind w:firstLine="426"/>
        <w:rPr>
          <w:rFonts w:ascii="仿宋_GB2312" w:hAnsi="仿宋_GB2312" w:eastAsia="仿宋_GB2312" w:cs="仿宋_GB2312"/>
          <w:color w:val="auto"/>
          <w:sz w:val="24"/>
          <w:highlight w:val="none"/>
        </w:rPr>
      </w:pPr>
    </w:p>
    <w:p>
      <w:pPr>
        <w:ind w:firstLine="426"/>
        <w:rPr>
          <w:rFonts w:ascii="仿宋_GB2312" w:hAnsi="仿宋_GB2312" w:eastAsia="仿宋_GB2312" w:cs="仿宋_GB2312"/>
          <w:color w:val="auto"/>
          <w:szCs w:val="21"/>
          <w:highlight w:val="none"/>
        </w:rPr>
      </w:pP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供应商名称（公章）： </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法定代表人或其授权代表（签字或加盖人名章）：</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widowControl/>
        <w:jc w:val="left"/>
        <w:rPr>
          <w:rFonts w:ascii="仿宋_GB2312" w:hAnsi="仿宋_GB2312" w:eastAsia="仿宋_GB2312" w:cs="仿宋_GB2312"/>
          <w:color w:val="auto"/>
          <w:sz w:val="24"/>
          <w:szCs w:val="21"/>
          <w:highlight w:val="none"/>
          <w:u w:val="single"/>
        </w:rPr>
      </w:pPr>
    </w:p>
    <w:p>
      <w:pPr>
        <w:rPr>
          <w:rFonts w:ascii="仿宋_GB2312" w:hAnsi="仿宋_GB2312" w:eastAsia="仿宋_GB2312" w:cs="仿宋_GB2312"/>
          <w:color w:val="auto"/>
          <w:sz w:val="24"/>
          <w:highlight w:val="none"/>
        </w:rPr>
      </w:pPr>
    </w:p>
    <w:p>
      <w:pPr>
        <w:spacing w:after="120"/>
        <w:rPr>
          <w:rFonts w:hint="eastAsia" w:ascii="仿宋_GB2312" w:hAnsi="仿宋_GB2312" w:eastAsia="仿宋_GB2312" w:cs="仿宋_GB2312"/>
          <w:b/>
          <w:color w:val="auto"/>
          <w:sz w:val="24"/>
          <w:highlight w:val="none"/>
        </w:rPr>
        <w:sectPr>
          <w:footerReference r:id="rId9" w:type="default"/>
          <w:pgSz w:w="11906" w:h="16838"/>
          <w:pgMar w:top="1418" w:right="1418" w:bottom="1418" w:left="1418" w:header="851" w:footer="992" w:gutter="0"/>
          <w:pgNumType w:fmt="decimal" w:start="34"/>
          <w:cols w:space="720" w:num="1"/>
          <w:docGrid w:linePitch="312" w:charSpace="0"/>
        </w:sectPr>
      </w:pPr>
      <w:bookmarkStart w:id="465" w:name="_Toc7005129"/>
      <w:r>
        <w:rPr>
          <w:rFonts w:hint="eastAsia" w:ascii="仿宋_GB2312" w:hAnsi="仿宋_GB2312" w:eastAsia="仿宋_GB2312" w:cs="仿宋_GB2312"/>
          <w:b/>
          <w:color w:val="auto"/>
          <w:sz w:val="24"/>
          <w:highlight w:val="none"/>
        </w:rPr>
        <w:t>6-9证明供应商符合特定资格条件的证明材料</w:t>
      </w:r>
      <w:bookmarkEnd w:id="465"/>
      <w:r>
        <w:rPr>
          <w:rFonts w:hint="eastAsia" w:ascii="仿宋_GB2312" w:hAnsi="仿宋_GB2312" w:eastAsia="仿宋_GB2312" w:cs="仿宋_GB2312"/>
          <w:b/>
          <w:color w:val="auto"/>
          <w:sz w:val="24"/>
          <w:highlight w:val="none"/>
        </w:rPr>
        <w:t>：</w:t>
      </w:r>
    </w:p>
    <w:p>
      <w:pPr>
        <w:pStyle w:val="195"/>
        <w:ind w:firstLine="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小微企业、监狱企业、残疾人福利单位声明函或证明</w:t>
      </w:r>
    </w:p>
    <w:p>
      <w:pPr>
        <w:pStyle w:val="195"/>
        <w:rPr>
          <w:rFonts w:ascii="仿宋" w:hAnsi="仿宋" w:eastAsia="仿宋"/>
          <w:b/>
          <w:bCs/>
          <w:color w:val="auto"/>
          <w:sz w:val="32"/>
          <w:szCs w:val="32"/>
          <w:highlight w:val="none"/>
        </w:rPr>
      </w:pPr>
    </w:p>
    <w:p>
      <w:pPr>
        <w:jc w:val="center"/>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中小企业声明函</w:t>
      </w:r>
    </w:p>
    <w:p>
      <w:pPr>
        <w:rPr>
          <w:rFonts w:ascii="仿宋_GB2312" w:hAnsi="仿宋_GB2312" w:eastAsia="仿宋_GB2312" w:cs="仿宋_GB2312"/>
          <w:color w:val="auto"/>
          <w:kern w:val="0"/>
          <w:sz w:val="30"/>
          <w:szCs w:val="30"/>
          <w:highlight w:val="none"/>
        </w:rPr>
      </w:pP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本公司郑重声明，根据《政府采购促进中小企业发展管理办法》(财库(2020)46号)的规定，本公司参加</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(单位名称)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 xml:space="preserve"> 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(项目名称)</w:t>
      </w:r>
      <w:r>
        <w:rPr>
          <w:rFonts w:hint="eastAsia" w:ascii="仿宋_GB2312" w:hAnsi="仿宋_GB2312" w:eastAsia="仿宋_GB2312" w:cs="仿宋_GB2312"/>
          <w:color w:val="auto"/>
          <w:kern w:val="0"/>
          <w:sz w:val="24"/>
          <w:highlight w:val="none"/>
          <w:u w:val="single"/>
        </w:rPr>
        <w:t xml:space="preserve"> 采购</w:t>
      </w:r>
      <w:r>
        <w:rPr>
          <w:rFonts w:hint="eastAsia" w:ascii="仿宋_GB2312" w:hAnsi="仿宋_GB2312" w:eastAsia="仿宋_GB2312" w:cs="仿宋_GB2312"/>
          <w:color w:val="auto"/>
          <w:kern w:val="0"/>
          <w:sz w:val="24"/>
          <w:highlight w:val="none"/>
        </w:rPr>
        <w:t>活动，服务由符合政策要求的中小企业承接。企业的具体情况如下：</w:t>
      </w:r>
    </w:p>
    <w:p>
      <w:pPr>
        <w:pStyle w:val="67"/>
        <w:numPr>
          <w:ilvl w:val="0"/>
          <w:numId w:val="18"/>
        </w:numPr>
        <w:spacing w:line="560" w:lineRule="exact"/>
        <w:ind w:firstLineChars="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i/>
          <w:color w:val="auto"/>
          <w:kern w:val="0"/>
          <w:sz w:val="24"/>
          <w:szCs w:val="24"/>
          <w:highlight w:val="none"/>
          <w:u w:val="single"/>
        </w:rPr>
        <w:t xml:space="preserve"> (标的名称) </w:t>
      </w:r>
      <w:r>
        <w:rPr>
          <w:rFonts w:hint="eastAsia" w:ascii="仿宋_GB2312" w:hAnsi="仿宋_GB2312" w:eastAsia="仿宋_GB2312" w:cs="仿宋_GB2312"/>
          <w:color w:val="auto"/>
          <w:kern w:val="0"/>
          <w:sz w:val="24"/>
          <w:szCs w:val="24"/>
          <w:highlight w:val="none"/>
        </w:rPr>
        <w:t>，属于</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i/>
          <w:color w:val="auto"/>
          <w:kern w:val="0"/>
          <w:sz w:val="24"/>
          <w:szCs w:val="24"/>
          <w:highlight w:val="none"/>
          <w:u w:val="single"/>
        </w:rPr>
        <w:t>(采购文件中明的所属行业)</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；承接企业为</w:t>
      </w:r>
      <w:r>
        <w:rPr>
          <w:rFonts w:hint="eastAsia" w:ascii="仿宋_GB2312" w:hAnsi="仿宋_GB2312" w:eastAsia="仿宋_GB2312" w:cs="仿宋_GB2312"/>
          <w:i/>
          <w:color w:val="auto"/>
          <w:kern w:val="0"/>
          <w:sz w:val="24"/>
          <w:szCs w:val="24"/>
          <w:highlight w:val="none"/>
          <w:u w:val="single"/>
        </w:rPr>
        <w:t xml:space="preserve"> (企业名称) </w:t>
      </w:r>
      <w:r>
        <w:rPr>
          <w:rFonts w:hint="eastAsia" w:ascii="仿宋_GB2312" w:hAnsi="仿宋_GB2312" w:eastAsia="仿宋_GB2312" w:cs="仿宋_GB2312"/>
          <w:color w:val="auto"/>
          <w:kern w:val="0"/>
          <w:sz w:val="24"/>
          <w:szCs w:val="24"/>
          <w:highlight w:val="none"/>
        </w:rPr>
        <w:t>，从业人员</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人，营业收入为</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万元，资产总额为</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万元，属于</w:t>
      </w:r>
      <w:r>
        <w:rPr>
          <w:rFonts w:hint="eastAsia" w:ascii="仿宋_GB2312" w:hAnsi="仿宋_GB2312" w:eastAsia="仿宋_GB2312" w:cs="仿宋_GB2312"/>
          <w:i/>
          <w:color w:val="auto"/>
          <w:kern w:val="0"/>
          <w:sz w:val="24"/>
          <w:szCs w:val="24"/>
          <w:highlight w:val="none"/>
          <w:u w:val="single"/>
        </w:rPr>
        <w:t xml:space="preserve"> (中型</w:t>
      </w:r>
      <w:r>
        <w:rPr>
          <w:rFonts w:hint="eastAsia" w:ascii="仿宋_GB2312" w:hAnsi="仿宋_GB2312" w:eastAsia="仿宋_GB2312" w:cs="仿宋_GB2312"/>
          <w:i/>
          <w:color w:val="auto"/>
          <w:kern w:val="0"/>
          <w:sz w:val="24"/>
          <w:szCs w:val="24"/>
          <w:highlight w:val="none"/>
          <w:u w:val="single"/>
          <w:lang w:val="en-US" w:eastAsia="zh-CN"/>
        </w:rPr>
        <w:t>企业</w:t>
      </w:r>
      <w:r>
        <w:rPr>
          <w:rFonts w:hint="eastAsia" w:ascii="仿宋_GB2312" w:hAnsi="仿宋_GB2312" w:eastAsia="仿宋_GB2312" w:cs="仿宋_GB2312"/>
          <w:i/>
          <w:color w:val="auto"/>
          <w:kern w:val="0"/>
          <w:sz w:val="24"/>
          <w:szCs w:val="24"/>
          <w:highlight w:val="none"/>
          <w:u w:val="single"/>
        </w:rPr>
        <w:t xml:space="preserve">、小型企业、微型企业) </w:t>
      </w:r>
      <w:r>
        <w:rPr>
          <w:rFonts w:hint="eastAsia" w:ascii="仿宋_GB2312" w:hAnsi="仿宋_GB2312" w:eastAsia="仿宋_GB2312" w:cs="仿宋_GB2312"/>
          <w:color w:val="auto"/>
          <w:kern w:val="0"/>
          <w:sz w:val="24"/>
          <w:szCs w:val="24"/>
          <w:highlight w:val="none"/>
        </w:rPr>
        <w:t>；</w:t>
      </w: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 xml:space="preserve">(标的名称) </w:t>
      </w:r>
      <w:r>
        <w:rPr>
          <w:rFonts w:hint="eastAsia" w:ascii="仿宋_GB2312" w:hAnsi="仿宋_GB2312" w:eastAsia="仿宋_GB2312" w:cs="仿宋_GB2312"/>
          <w:color w:val="auto"/>
          <w:kern w:val="0"/>
          <w:sz w:val="24"/>
          <w:highlight w:val="none"/>
        </w:rPr>
        <w:t>，属于</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(采购文件中明的所属行业)</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；承接企业为</w:t>
      </w:r>
      <w:r>
        <w:rPr>
          <w:rFonts w:hint="eastAsia" w:ascii="仿宋_GB2312" w:hAnsi="仿宋_GB2312" w:eastAsia="仿宋_GB2312" w:cs="仿宋_GB2312"/>
          <w:i/>
          <w:color w:val="auto"/>
          <w:kern w:val="0"/>
          <w:sz w:val="24"/>
          <w:highlight w:val="none"/>
          <w:u w:val="single"/>
        </w:rPr>
        <w:t xml:space="preserve"> (企业名称) </w:t>
      </w:r>
      <w:r>
        <w:rPr>
          <w:rFonts w:hint="eastAsia" w:ascii="仿宋_GB2312" w:hAnsi="仿宋_GB2312" w:eastAsia="仿宋_GB2312" w:cs="仿宋_GB2312"/>
          <w:color w:val="auto"/>
          <w:kern w:val="0"/>
          <w:sz w:val="24"/>
          <w:highlight w:val="none"/>
        </w:rPr>
        <w:t>，从业人员</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人，营业收入为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万元，资产总额为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万元，属于</w:t>
      </w:r>
      <w:r>
        <w:rPr>
          <w:rFonts w:hint="eastAsia" w:ascii="仿宋_GB2312" w:hAnsi="仿宋_GB2312" w:eastAsia="仿宋_GB2312" w:cs="仿宋_GB2312"/>
          <w:i/>
          <w:color w:val="auto"/>
          <w:kern w:val="0"/>
          <w:sz w:val="24"/>
          <w:highlight w:val="none"/>
          <w:u w:val="single"/>
        </w:rPr>
        <w:t xml:space="preserve"> (中型</w:t>
      </w:r>
      <w:r>
        <w:rPr>
          <w:rFonts w:hint="eastAsia" w:ascii="仿宋_GB2312" w:hAnsi="仿宋_GB2312" w:eastAsia="仿宋_GB2312" w:cs="仿宋_GB2312"/>
          <w:i/>
          <w:color w:val="auto"/>
          <w:kern w:val="0"/>
          <w:sz w:val="24"/>
          <w:highlight w:val="none"/>
          <w:u w:val="single"/>
          <w:lang w:val="en-US" w:eastAsia="zh-CN"/>
        </w:rPr>
        <w:t>企业</w:t>
      </w:r>
      <w:r>
        <w:rPr>
          <w:rFonts w:hint="eastAsia" w:ascii="仿宋_GB2312" w:hAnsi="仿宋_GB2312" w:eastAsia="仿宋_GB2312" w:cs="仿宋_GB2312"/>
          <w:i/>
          <w:color w:val="auto"/>
          <w:kern w:val="0"/>
          <w:sz w:val="24"/>
          <w:highlight w:val="none"/>
          <w:u w:val="single"/>
        </w:rPr>
        <w:t xml:space="preserve">、小型企业、微型企业) </w:t>
      </w:r>
      <w:r>
        <w:rPr>
          <w:rFonts w:hint="eastAsia" w:ascii="仿宋_GB2312" w:hAnsi="仿宋_GB2312" w:eastAsia="仿宋_GB2312" w:cs="仿宋_GB2312"/>
          <w:color w:val="auto"/>
          <w:kern w:val="0"/>
          <w:sz w:val="24"/>
          <w:highlight w:val="none"/>
        </w:rPr>
        <w:t>；</w:t>
      </w: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本企业对上述声明内容的真实性负责。如有虚假，将依法承担相应责任。</w:t>
      </w:r>
    </w:p>
    <w:p>
      <w:pPr>
        <w:spacing w:line="56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企业名称(盖章):</w:t>
      </w:r>
    </w:p>
    <w:p>
      <w:pPr>
        <w:spacing w:line="560" w:lineRule="exact"/>
        <w:ind w:firstLine="4320" w:firstLineChars="18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日期：</w:t>
      </w:r>
    </w:p>
    <w:p>
      <w:pPr>
        <w:spacing w:line="560" w:lineRule="exact"/>
        <w:ind w:firstLine="5400" w:firstLineChars="1800"/>
        <w:rPr>
          <w:rFonts w:ascii="仿宋_GB2312" w:hAnsi="仿宋_GB2312" w:eastAsia="仿宋_GB2312" w:cs="仿宋_GB2312"/>
          <w:color w:val="auto"/>
          <w:kern w:val="0"/>
          <w:sz w:val="30"/>
          <w:szCs w:val="30"/>
          <w:highlight w:val="none"/>
        </w:rPr>
      </w:pPr>
    </w:p>
    <w:p>
      <w:pPr>
        <w:rPr>
          <w:rFonts w:ascii="仿宋_GB2312" w:hAnsi="仿宋_GB2312" w:eastAsia="仿宋_GB2312" w:cs="仿宋_GB2312"/>
          <w:color w:val="auto"/>
          <w:kern w:val="0"/>
          <w:sz w:val="30"/>
          <w:szCs w:val="30"/>
          <w:highlight w:val="none"/>
          <w:u w:val="single"/>
        </w:rPr>
      </w:pPr>
      <w:r>
        <w:rPr>
          <w:rFonts w:hint="eastAsia" w:ascii="仿宋_GB2312" w:hAnsi="仿宋_GB2312" w:eastAsia="仿宋_GB2312" w:cs="仿宋_GB2312"/>
          <w:color w:val="auto"/>
          <w:kern w:val="0"/>
          <w:sz w:val="30"/>
          <w:szCs w:val="30"/>
          <w:highlight w:val="none"/>
        </w:rPr>
        <w:t xml:space="preserve"> </w:t>
      </w:r>
      <w:r>
        <w:rPr>
          <w:rFonts w:hint="eastAsia" w:ascii="仿宋_GB2312" w:hAnsi="仿宋_GB2312" w:eastAsia="仿宋_GB2312" w:cs="仿宋_GB2312"/>
          <w:color w:val="auto"/>
          <w:kern w:val="0"/>
          <w:sz w:val="30"/>
          <w:szCs w:val="30"/>
          <w:highlight w:val="none"/>
          <w:u w:val="single"/>
        </w:rPr>
        <w:t xml:space="preserve">                                                   </w:t>
      </w:r>
    </w:p>
    <w:p>
      <w:pPr>
        <w:ind w:firstLine="105" w:firstLineChars="5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（从业人员、营业收入、资产总额填报上一年度数据，无上一年度数据的新成立企业可不填报）</w:t>
      </w:r>
    </w:p>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jc w:val="center"/>
        <w:outlineLvl w:val="1"/>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二、监狱企业</w:t>
      </w:r>
      <w:r>
        <w:rPr>
          <w:rFonts w:hint="eastAsia" w:ascii="仿宋_GB2312" w:hAnsi="仿宋_GB2312" w:eastAsia="仿宋_GB2312" w:cs="仿宋_GB2312"/>
          <w:b/>
          <w:color w:val="auto"/>
          <w:sz w:val="28"/>
          <w:szCs w:val="28"/>
          <w:highlight w:val="none"/>
          <w:lang w:val="en-US" w:eastAsia="zh-CN"/>
        </w:rPr>
        <w:t>声明函</w:t>
      </w:r>
    </w:p>
    <w:p>
      <w:pPr>
        <w:spacing w:line="360" w:lineRule="auto"/>
        <w:jc w:val="both"/>
        <w:rPr>
          <w:rFonts w:hint="eastAsia" w:ascii="仿宋_GB2312" w:hAnsi="Arial" w:eastAsia="仿宋_GB2312"/>
          <w:b/>
          <w:color w:val="auto"/>
          <w:kern w:val="0"/>
          <w:sz w:val="24"/>
          <w:szCs w:val="20"/>
          <w:highlight w:val="none"/>
        </w:rPr>
      </w:pPr>
    </w:p>
    <w:p>
      <w:pPr>
        <w:widowControl/>
        <w:spacing w:before="100" w:beforeAutospacing="1" w:after="100" w:afterAutospacing="1" w:line="360" w:lineRule="auto"/>
        <w:ind w:firstLine="480" w:firstLineChars="200"/>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本企业（单位）</w:t>
      </w:r>
      <w:r>
        <w:rPr>
          <w:rFonts w:hint="eastAsia" w:ascii="仿宋_GB2312" w:hAnsi="仿宋" w:eastAsia="仿宋_GB2312" w:cs="宋体"/>
          <w:color w:val="auto"/>
          <w:kern w:val="0"/>
          <w:sz w:val="24"/>
          <w:highlight w:val="none"/>
          <w:u w:val="single"/>
        </w:rPr>
        <w:t xml:space="preserve">        </w:t>
      </w:r>
      <w:r>
        <w:rPr>
          <w:rFonts w:hint="eastAsia" w:ascii="仿宋_GB2312" w:hAnsi="仿宋" w:eastAsia="仿宋_GB2312" w:cs="宋体"/>
          <w:color w:val="auto"/>
          <w:kern w:val="0"/>
          <w:sz w:val="24"/>
          <w:highlight w:val="none"/>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本企业（单位）对上述声明的真实性负责。如有虚假，将依法承担相应责任。</w:t>
      </w:r>
    </w:p>
    <w:p>
      <w:pPr>
        <w:widowControl/>
        <w:spacing w:before="100" w:beforeAutospacing="1" w:after="100" w:afterAutospacing="1" w:line="360" w:lineRule="auto"/>
        <w:jc w:val="left"/>
        <w:rPr>
          <w:rFonts w:hint="eastAsia" w:ascii="仿宋_GB2312" w:hAnsi="Arial" w:eastAsia="仿宋_GB2312"/>
          <w:b/>
          <w:color w:val="auto"/>
          <w:kern w:val="0"/>
          <w:sz w:val="24"/>
          <w:szCs w:val="20"/>
          <w:highlight w:val="none"/>
        </w:rPr>
      </w:pPr>
      <w:r>
        <w:rPr>
          <w:rFonts w:hint="eastAsia" w:ascii="仿宋_GB2312" w:hAnsi="仿宋" w:eastAsia="仿宋_GB2312" w:cs="宋体"/>
          <w:color w:val="auto"/>
          <w:kern w:val="0"/>
          <w:sz w:val="24"/>
          <w:highlight w:val="none"/>
        </w:rPr>
        <w:t>　</w:t>
      </w:r>
      <w:r>
        <w:rPr>
          <w:rFonts w:hint="eastAsia" w:ascii="仿宋_GB2312" w:hAnsi="Arial" w:eastAsia="仿宋_GB2312"/>
          <w:b/>
          <w:color w:val="auto"/>
          <w:kern w:val="0"/>
          <w:sz w:val="24"/>
          <w:szCs w:val="20"/>
          <w:highlight w:val="none"/>
        </w:rPr>
        <w:t>　</w:t>
      </w:r>
    </w:p>
    <w:p>
      <w:pPr>
        <w:widowControl/>
        <w:spacing w:before="100" w:beforeAutospacing="1" w:after="100" w:afterAutospacing="1" w:line="360" w:lineRule="auto"/>
        <w:ind w:firstLine="360" w:firstLineChars="150"/>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单位名称</w:t>
      </w:r>
      <w:r>
        <w:rPr>
          <w:rFonts w:hint="eastAsia" w:ascii="仿宋_GB2312" w:hAnsi="仿宋" w:eastAsia="仿宋_GB2312" w:cs="宋体"/>
          <w:color w:val="auto"/>
          <w:kern w:val="0"/>
          <w:sz w:val="24"/>
          <w:highlight w:val="none"/>
        </w:rPr>
        <w:t>（公章）：</w:t>
      </w:r>
      <w:r>
        <w:rPr>
          <w:rFonts w:hint="eastAsia" w:ascii="仿宋_GB2312" w:hAnsi="仿宋" w:eastAsia="仿宋_GB2312" w:cs="宋体"/>
          <w:color w:val="auto"/>
          <w:kern w:val="0"/>
          <w:sz w:val="24"/>
          <w:highlight w:val="none"/>
          <w:u w:val="single"/>
        </w:rPr>
        <w:t xml:space="preserve">             </w:t>
      </w:r>
    </w:p>
    <w:p>
      <w:pPr>
        <w:widowControl/>
        <w:spacing w:before="100" w:beforeAutospacing="1" w:after="100" w:afterAutospacing="1" w:line="360" w:lineRule="auto"/>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法定代表人或授权代表（签字）:  </w:t>
      </w:r>
      <w:r>
        <w:rPr>
          <w:rFonts w:hint="eastAsia" w:ascii="仿宋_GB2312" w:hAnsi="仿宋" w:eastAsia="仿宋_GB2312" w:cs="宋体"/>
          <w:color w:val="auto"/>
          <w:kern w:val="0"/>
          <w:sz w:val="24"/>
          <w:highlight w:val="none"/>
          <w:u w:val="single"/>
        </w:rPr>
        <w:t xml:space="preserve">           </w:t>
      </w:r>
      <w:r>
        <w:rPr>
          <w:rFonts w:hint="eastAsia" w:ascii="仿宋_GB2312" w:hAnsi="仿宋" w:eastAsia="仿宋_GB2312" w:cs="宋体"/>
          <w:color w:val="auto"/>
          <w:kern w:val="0"/>
          <w:sz w:val="24"/>
          <w:highlight w:val="none"/>
        </w:rPr>
        <w:t xml:space="preserve">           </w:t>
      </w:r>
    </w:p>
    <w:p>
      <w:pPr>
        <w:widowControl/>
        <w:spacing w:before="100" w:beforeAutospacing="1" w:after="100" w:afterAutospacing="1" w:line="360" w:lineRule="auto"/>
        <w:ind w:firstLine="240" w:firstLineChars="100"/>
        <w:jc w:val="left"/>
        <w:rPr>
          <w:rFonts w:hint="eastAsia" w:ascii="仿宋_GB2312" w:hAnsi="仿宋" w:eastAsia="仿宋_GB2312" w:cs="宋体"/>
          <w:color w:val="auto"/>
          <w:kern w:val="0"/>
          <w:sz w:val="24"/>
          <w:highlight w:val="none"/>
          <w:u w:val="single"/>
        </w:rPr>
      </w:pPr>
      <w:r>
        <w:rPr>
          <w:rFonts w:hint="eastAsia" w:ascii="仿宋_GB2312" w:hAnsi="仿宋" w:eastAsia="仿宋_GB2312" w:cs="宋体"/>
          <w:color w:val="auto"/>
          <w:kern w:val="0"/>
          <w:sz w:val="24"/>
          <w:highlight w:val="none"/>
        </w:rPr>
        <w:t>日　期：</w:t>
      </w:r>
      <w:r>
        <w:rPr>
          <w:rFonts w:hint="eastAsia" w:ascii="仿宋_GB2312" w:hAnsi="仿宋" w:eastAsia="仿宋_GB2312" w:cs="宋体"/>
          <w:color w:val="auto"/>
          <w:kern w:val="0"/>
          <w:sz w:val="24"/>
          <w:highlight w:val="none"/>
          <w:u w:val="single"/>
        </w:rPr>
        <w:t xml:space="preserve">             </w:t>
      </w:r>
    </w:p>
    <w:p>
      <w:pPr>
        <w:widowControl/>
        <w:spacing w:before="100" w:beforeAutospacing="1" w:after="100" w:afterAutospacing="1" w:line="360" w:lineRule="auto"/>
        <w:jc w:val="left"/>
        <w:rPr>
          <w:rFonts w:hint="eastAsia" w:ascii="仿宋_GB2312" w:hAnsi="仿宋" w:eastAsia="仿宋_GB2312" w:cs="宋体"/>
          <w:color w:val="auto"/>
          <w:kern w:val="0"/>
          <w:sz w:val="24"/>
          <w:highlight w:val="none"/>
          <w:u w:val="single"/>
        </w:rPr>
      </w:pPr>
    </w:p>
    <w:p>
      <w:pPr>
        <w:widowControl/>
        <w:spacing w:before="100" w:beforeAutospacing="1" w:after="100" w:afterAutospacing="1" w:line="360" w:lineRule="auto"/>
        <w:jc w:val="left"/>
        <w:rPr>
          <w:rFonts w:ascii="仿宋_GB2312" w:hAnsi="仿宋_GB2312" w:eastAsia="仿宋_GB2312" w:cs="仿宋_GB2312"/>
          <w:color w:val="auto"/>
          <w:sz w:val="24"/>
          <w:highlight w:val="none"/>
          <w:u w:val="none"/>
        </w:rPr>
      </w:pPr>
      <w:r>
        <w:rPr>
          <w:rFonts w:hint="eastAsia" w:ascii="仿宋_GB2312" w:hAnsi="仿宋" w:eastAsia="仿宋_GB2312" w:cs="宋体"/>
          <w:color w:val="auto"/>
          <w:kern w:val="0"/>
          <w:sz w:val="24"/>
          <w:highlight w:val="none"/>
          <w:u w:val="none"/>
        </w:rPr>
        <w:t>注：符合《关于政府采购支持监狱企业发展有关问题的通知》价格扣减条件的供应商须提交。</w:t>
      </w:r>
      <w:r>
        <w:rPr>
          <w:rFonts w:hint="eastAsia" w:ascii="仿宋_GB2312" w:hAnsi="仿宋" w:eastAsia="仿宋_GB2312" w:cs="宋体"/>
          <w:color w:val="auto"/>
          <w:kern w:val="0"/>
          <w:sz w:val="24"/>
          <w:highlight w:val="none"/>
          <w:u w:val="none"/>
          <w:lang w:val="en-US" w:eastAsia="zh-CN"/>
        </w:rPr>
        <w:t>需提供</w:t>
      </w:r>
      <w:r>
        <w:rPr>
          <w:rFonts w:hint="eastAsia" w:ascii="仿宋_GB2312" w:hAnsi="仿宋_GB2312" w:eastAsia="仿宋_GB2312" w:cs="仿宋_GB2312"/>
          <w:color w:val="auto"/>
          <w:sz w:val="24"/>
          <w:highlight w:val="none"/>
          <w:u w:val="none"/>
        </w:rPr>
        <w:t>省级以上监狱管理局、戒毒管理局（含新疆生产建设兵团）出具的属于监狱企业的证明文件。</w:t>
      </w:r>
    </w:p>
    <w:p>
      <w:pPr>
        <w:rPr>
          <w:rFonts w:ascii="仿宋_GB2312" w:hAnsi="仿宋_GB2312" w:eastAsia="仿宋_GB2312" w:cs="仿宋_GB2312"/>
          <w:color w:val="auto"/>
          <w:sz w:val="32"/>
          <w:szCs w:val="32"/>
          <w:highlight w:val="none"/>
        </w:rPr>
      </w:pPr>
    </w:p>
    <w:p>
      <w:pPr>
        <w:jc w:val="center"/>
        <w:outlineLvl w:val="2"/>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仿宋_GB2312" w:hAnsi="仿宋_GB2312" w:eastAsia="仿宋_GB2312" w:cs="仿宋_GB2312"/>
          <w:b/>
          <w:color w:val="auto"/>
          <w:sz w:val="28"/>
          <w:szCs w:val="28"/>
          <w:highlight w:val="none"/>
        </w:rPr>
        <w:t>三、残疾人福利性单位声明函</w:t>
      </w:r>
    </w:p>
    <w:p>
      <w:pPr>
        <w:spacing w:after="120"/>
        <w:rPr>
          <w:rFonts w:ascii="仿宋_GB2312" w:hAnsi="仿宋_GB2312" w:eastAsia="仿宋_GB2312" w:cs="仿宋_GB2312"/>
          <w:color w:val="auto"/>
          <w:highlight w:val="none"/>
        </w:rPr>
      </w:pP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（注：符合条件的残疾人福利性单位请提供本函，不符合的不提供本函）</w:t>
      </w:r>
    </w:p>
    <w:p>
      <w:pPr>
        <w:rPr>
          <w:rFonts w:ascii="仿宋_GB2312" w:hAnsi="仿宋_GB2312" w:eastAsia="仿宋_GB2312" w:cs="仿宋_GB2312"/>
          <w:color w:val="auto"/>
          <w:sz w:val="24"/>
          <w:highlight w:val="none"/>
        </w:rPr>
      </w:pPr>
    </w:p>
    <w:p>
      <w:pPr>
        <w:spacing w:line="360" w:lineRule="auto"/>
        <w:rPr>
          <w:rFonts w:ascii="仿宋_GB2312" w:hAnsi="仿宋_GB2312" w:eastAsia="仿宋_GB2312" w:cs="仿宋_GB2312"/>
          <w:color w:val="auto"/>
          <w:sz w:val="24"/>
          <w:highlight w:val="none"/>
        </w:rPr>
      </w:pP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pPr>
        <w:spacing w:line="36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pPr>
        <w:spacing w:line="360" w:lineRule="auto"/>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rPr>
          <w:rFonts w:ascii="仿宋_GB2312" w:hAnsi="仿宋_GB2312" w:eastAsia="仿宋_GB2312" w:cs="仿宋_GB2312"/>
          <w:color w:val="auto"/>
          <w:sz w:val="24"/>
          <w:highlight w:val="none"/>
        </w:rPr>
      </w:pPr>
    </w:p>
    <w:p>
      <w:pPr>
        <w:ind w:firstLine="3600" w:firstLineChars="15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单位名称（公章）：</w:t>
      </w:r>
    </w:p>
    <w:p>
      <w:pPr>
        <w:rPr>
          <w:rFonts w:ascii="仿宋_GB2312" w:hAnsi="仿宋_GB2312" w:eastAsia="仿宋_GB2312" w:cs="仿宋_GB2312"/>
          <w:color w:val="auto"/>
          <w:sz w:val="24"/>
          <w:highlight w:val="none"/>
        </w:rPr>
      </w:pPr>
    </w:p>
    <w:p>
      <w:pPr>
        <w:ind w:firstLine="3600" w:firstLineChars="15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p>
    <w:p>
      <w:pPr>
        <w:pStyle w:val="2"/>
        <w:rPr>
          <w:color w:val="auto"/>
          <w:highlight w:val="none"/>
        </w:rPr>
      </w:pPr>
    </w:p>
    <w:p>
      <w:pPr>
        <w:pStyle w:val="2"/>
        <w:rPr>
          <w:color w:val="auto"/>
          <w:highlight w:val="none"/>
        </w:rPr>
      </w:pPr>
      <w:r>
        <w:rPr>
          <w:color w:val="auto"/>
          <w:highlight w:val="none"/>
        </w:rPr>
        <w:br w:type="page"/>
      </w:r>
    </w:p>
    <w:p>
      <w:pPr>
        <w:spacing w:after="120"/>
        <w:rPr>
          <w:rFonts w:ascii="仿宋_GB2312" w:hAnsi="仿宋_GB2312" w:eastAsia="仿宋_GB2312" w:cs="仿宋_GB2312"/>
          <w:color w:val="auto"/>
          <w:highlight w:val="none"/>
        </w:rPr>
      </w:pPr>
    </w:p>
    <w:p>
      <w:pPr>
        <w:pStyle w:val="195"/>
        <w:ind w:firstLine="6927" w:firstLineChars="2300"/>
        <w:rPr>
          <w:b/>
          <w:color w:val="auto"/>
          <w:sz w:val="30"/>
          <w:szCs w:val="30"/>
          <w:highlight w:val="none"/>
          <w:lang w:val="zh-CN"/>
        </w:rPr>
      </w:pPr>
      <w:r>
        <w:rPr>
          <w:rFonts w:hint="eastAsia"/>
          <w:b/>
          <w:color w:val="auto"/>
          <w:sz w:val="30"/>
          <w:szCs w:val="30"/>
          <w:highlight w:val="none"/>
          <w:lang w:val="zh-CN"/>
        </w:rPr>
        <w:t>正本/副本</w:t>
      </w:r>
    </w:p>
    <w:p>
      <w:pPr>
        <w:autoSpaceDE w:val="0"/>
        <w:autoSpaceDN w:val="0"/>
        <w:adjustRightInd w:val="0"/>
        <w:snapToGrid w:val="0"/>
        <w:spacing w:line="360" w:lineRule="auto"/>
        <w:jc w:val="left"/>
        <w:rPr>
          <w:rFonts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政府采购项目</w:t>
      </w:r>
    </w:p>
    <w:p>
      <w:pPr>
        <w:autoSpaceDE w:val="0"/>
        <w:autoSpaceDN w:val="0"/>
        <w:adjustRightInd w:val="0"/>
        <w:snapToGrid w:val="0"/>
        <w:spacing w:line="360" w:lineRule="auto"/>
        <w:jc w:val="left"/>
        <w:rPr>
          <w:rFonts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采购项目编号：SCZC2022-CS-1208/001</w:t>
      </w: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pPr>
        <w:autoSpaceDE w:val="0"/>
        <w:autoSpaceDN w:val="0"/>
        <w:adjustRightInd w:val="0"/>
        <w:snapToGrid w:val="0"/>
        <w:spacing w:line="360" w:lineRule="auto"/>
        <w:jc w:val="center"/>
        <w:rPr>
          <w:rFonts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陕西省文化和旅游厅2022年部省合作项目</w:t>
      </w: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52"/>
          <w:szCs w:val="52"/>
          <w:highlight w:val="none"/>
          <w:lang w:val="zh-CN"/>
        </w:rPr>
      </w:pPr>
      <w:r>
        <w:rPr>
          <w:rFonts w:hint="eastAsia" w:ascii="仿宋_GB2312" w:hAnsi="仿宋_GB2312" w:eastAsia="仿宋_GB2312" w:cs="仿宋_GB2312"/>
          <w:b/>
          <w:bCs/>
          <w:color w:val="auto"/>
          <w:sz w:val="52"/>
          <w:szCs w:val="52"/>
          <w:highlight w:val="none"/>
          <w:lang w:val="zh-CN"/>
        </w:rPr>
        <w:t>磋商响应文件</w:t>
      </w:r>
    </w:p>
    <w:p>
      <w:pPr>
        <w:autoSpaceDE w:val="0"/>
        <w:autoSpaceDN w:val="0"/>
        <w:adjustRightInd w:val="0"/>
        <w:snapToGrid w:val="0"/>
        <w:spacing w:line="360" w:lineRule="auto"/>
        <w:rPr>
          <w:rFonts w:ascii="黑体" w:hAnsi="黑体" w:eastAsia="黑体"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 xml:space="preserve">                    </w:t>
      </w:r>
      <w:r>
        <w:rPr>
          <w:rFonts w:hint="eastAsia" w:ascii="黑体" w:hAnsi="黑体" w:eastAsia="黑体" w:cs="仿宋_GB2312"/>
          <w:b/>
          <w:bCs/>
          <w:color w:val="auto"/>
          <w:sz w:val="32"/>
          <w:szCs w:val="32"/>
          <w:highlight w:val="none"/>
          <w:lang w:val="zh-CN"/>
        </w:rPr>
        <w:t>（</w:t>
      </w:r>
      <w:r>
        <w:rPr>
          <w:rStyle w:val="94"/>
          <w:rFonts w:hint="eastAsia"/>
          <w:color w:val="auto"/>
          <w:highlight w:val="none"/>
        </w:rPr>
        <w:t>商务及技术文件</w:t>
      </w:r>
      <w:r>
        <w:rPr>
          <w:rFonts w:hint="eastAsia" w:ascii="黑体" w:hAnsi="黑体" w:eastAsia="黑体" w:cs="仿宋_GB2312"/>
          <w:b/>
          <w:bCs/>
          <w:color w:val="auto"/>
          <w:sz w:val="32"/>
          <w:szCs w:val="32"/>
          <w:highlight w:val="none"/>
          <w:lang w:val="zh-CN"/>
        </w:rPr>
        <w:t>）</w:t>
      </w:r>
    </w:p>
    <w:p>
      <w:pPr>
        <w:autoSpaceDE w:val="0"/>
        <w:autoSpaceDN w:val="0"/>
        <w:adjustRightInd w:val="0"/>
        <w:snapToGrid w:val="0"/>
        <w:spacing w:line="360" w:lineRule="auto"/>
        <w:rPr>
          <w:rFonts w:ascii="仿宋_GB2312" w:hAnsi="仿宋_GB2312" w:eastAsia="仿宋_GB2312" w:cs="仿宋_GB2312"/>
          <w:b/>
          <w:bCs/>
          <w:color w:val="auto"/>
          <w:sz w:val="32"/>
          <w:szCs w:val="32"/>
          <w:highlight w:val="none"/>
          <w:lang w:val="zh-CN"/>
        </w:rPr>
      </w:pPr>
    </w:p>
    <w:p>
      <w:pPr>
        <w:autoSpaceDE w:val="0"/>
        <w:autoSpaceDN w:val="0"/>
        <w:adjustRightInd w:val="0"/>
        <w:snapToGrid w:val="0"/>
        <w:spacing w:line="360" w:lineRule="auto"/>
        <w:rPr>
          <w:rFonts w:ascii="仿宋_GB2312" w:hAnsi="仿宋_GB2312" w:eastAsia="仿宋_GB2312" w:cs="仿宋_GB2312"/>
          <w:b/>
          <w:bCs/>
          <w:color w:val="auto"/>
          <w:sz w:val="32"/>
          <w:szCs w:val="32"/>
          <w:highlight w:val="none"/>
          <w:lang w:val="zh-CN"/>
        </w:rPr>
      </w:pPr>
    </w:p>
    <w:p>
      <w:pPr>
        <w:autoSpaceDE w:val="0"/>
        <w:autoSpaceDN w:val="0"/>
        <w:adjustRightInd w:val="0"/>
        <w:snapToGrid w:val="0"/>
        <w:spacing w:line="360" w:lineRule="auto"/>
        <w:rPr>
          <w:rFonts w:ascii="仿宋_GB2312" w:hAnsi="仿宋_GB2312" w:eastAsia="仿宋_GB2312" w:cs="仿宋_GB2312"/>
          <w:b/>
          <w:bCs/>
          <w:color w:val="auto"/>
          <w:sz w:val="32"/>
          <w:szCs w:val="32"/>
          <w:highlight w:val="none"/>
          <w:lang w:val="zh-CN"/>
        </w:rPr>
      </w:pPr>
    </w:p>
    <w:p>
      <w:pPr>
        <w:autoSpaceDE w:val="0"/>
        <w:autoSpaceDN w:val="0"/>
        <w:adjustRightInd w:val="0"/>
        <w:snapToGrid w:val="0"/>
        <w:spacing w:line="360" w:lineRule="auto"/>
        <w:ind w:firstLine="964" w:firstLineChars="3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 xml:space="preserve">   </w:t>
      </w:r>
    </w:p>
    <w:p>
      <w:pPr>
        <w:autoSpaceDE w:val="0"/>
        <w:autoSpaceDN w:val="0"/>
        <w:adjustRightInd w:val="0"/>
        <w:snapToGrid w:val="0"/>
        <w:spacing w:line="360" w:lineRule="auto"/>
        <w:rPr>
          <w:rFonts w:hint="eastAsia" w:ascii="仿宋_GB2312" w:hAnsi="仿宋_GB2312" w:eastAsia="仿宋_GB2312" w:cs="仿宋_GB2312"/>
          <w:b/>
          <w:bCs/>
          <w:color w:val="auto"/>
          <w:sz w:val="32"/>
          <w:szCs w:val="32"/>
          <w:highlight w:val="none"/>
          <w:lang w:val="zh-CN"/>
        </w:rPr>
      </w:pPr>
    </w:p>
    <w:p>
      <w:pPr>
        <w:autoSpaceDE w:val="0"/>
        <w:autoSpaceDN w:val="0"/>
        <w:adjustRightInd w:val="0"/>
        <w:snapToGrid w:val="0"/>
        <w:spacing w:line="360" w:lineRule="auto"/>
        <w:ind w:firstLine="2249" w:firstLineChars="700"/>
        <w:rPr>
          <w:rFonts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lang w:val="zh-CN"/>
        </w:rPr>
        <w:t>供应商：</w:t>
      </w:r>
      <w:r>
        <w:rPr>
          <w:rFonts w:hint="eastAsia" w:ascii="仿宋_GB2312" w:hAnsi="仿宋_GB2312" w:eastAsia="仿宋_GB2312" w:cs="仿宋_GB2312"/>
          <w:b/>
          <w:bCs/>
          <w:color w:val="auto"/>
          <w:sz w:val="32"/>
          <w:szCs w:val="32"/>
          <w:highlight w:val="none"/>
          <w:u w:val="single"/>
        </w:rPr>
        <w:t xml:space="preserve">                   </w:t>
      </w:r>
    </w:p>
    <w:p>
      <w:pPr>
        <w:autoSpaceDE w:val="0"/>
        <w:autoSpaceDN w:val="0"/>
        <w:adjustRightInd w:val="0"/>
        <w:snapToGrid w:val="0"/>
        <w:spacing w:line="360" w:lineRule="auto"/>
        <w:rPr>
          <w:rFonts w:hint="eastAsia" w:ascii="仿宋_GB2312" w:hAnsi="仿宋_GB2312" w:eastAsia="仿宋_GB2312" w:cs="仿宋_GB2312"/>
          <w:b/>
          <w:bCs/>
          <w:color w:val="auto"/>
          <w:sz w:val="32"/>
          <w:szCs w:val="32"/>
          <w:highlight w:val="none"/>
          <w:lang w:val="zh-CN"/>
        </w:rPr>
      </w:pPr>
    </w:p>
    <w:p>
      <w:pPr>
        <w:autoSpaceDE w:val="0"/>
        <w:autoSpaceDN w:val="0"/>
        <w:adjustRightInd w:val="0"/>
        <w:snapToGrid w:val="0"/>
        <w:spacing w:line="360" w:lineRule="auto"/>
        <w:ind w:firstLine="2249" w:firstLineChars="700"/>
        <w:rPr>
          <w:rFonts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lang w:val="zh-CN"/>
        </w:rPr>
        <w:t>时</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bCs/>
          <w:color w:val="auto"/>
          <w:sz w:val="32"/>
          <w:szCs w:val="32"/>
          <w:highlight w:val="none"/>
          <w:lang w:val="zh-CN"/>
        </w:rPr>
        <w:t>间：</w:t>
      </w:r>
      <w:r>
        <w:rPr>
          <w:rFonts w:hint="eastAsia" w:ascii="仿宋_GB2312" w:hAnsi="仿宋_GB2312" w:eastAsia="仿宋_GB2312" w:cs="仿宋_GB2312"/>
          <w:b/>
          <w:bCs/>
          <w:color w:val="auto"/>
          <w:sz w:val="32"/>
          <w:szCs w:val="32"/>
          <w:highlight w:val="none"/>
          <w:u w:val="single"/>
        </w:rPr>
        <w:t xml:space="preserve">  </w:t>
      </w:r>
    </w:p>
    <w:p>
      <w:pPr>
        <w:pStyle w:val="2"/>
        <w:rPr>
          <w:color w:val="auto"/>
          <w:highlight w:val="none"/>
        </w:rPr>
      </w:pPr>
      <w:r>
        <w:rPr>
          <w:color w:val="auto"/>
          <w:highlight w:val="none"/>
        </w:rPr>
        <w:br w:type="page"/>
      </w:r>
    </w:p>
    <w:p>
      <w:pPr>
        <w:autoSpaceDE w:val="0"/>
        <w:autoSpaceDN w:val="0"/>
        <w:adjustRightInd w:val="0"/>
        <w:snapToGrid w:val="0"/>
        <w:spacing w:line="360" w:lineRule="auto"/>
        <w:ind w:firstLine="964" w:firstLineChars="300"/>
        <w:rPr>
          <w:rFonts w:ascii="仿宋_GB2312" w:hAnsi="仿宋_GB2312" w:eastAsia="仿宋_GB2312" w:cs="仿宋_GB2312"/>
          <w:b/>
          <w:bCs/>
          <w:color w:val="auto"/>
          <w:sz w:val="32"/>
          <w:szCs w:val="32"/>
          <w:highlight w:val="none"/>
          <w:u w:val="single"/>
        </w:rPr>
      </w:pPr>
    </w:p>
    <w:p>
      <w:pPr>
        <w:pStyle w:val="2"/>
        <w:rPr>
          <w:rFonts w:ascii="仿宋_GB2312" w:hAnsi="仿宋_GB2312" w:eastAsia="仿宋_GB2312" w:cs="仿宋_GB2312"/>
          <w:color w:val="auto"/>
          <w:highlight w:val="none"/>
        </w:rPr>
      </w:pPr>
    </w:p>
    <w:p>
      <w:pPr>
        <w:autoSpaceDE w:val="0"/>
        <w:autoSpaceDN w:val="0"/>
        <w:adjustRightInd w:val="0"/>
        <w:snapToGrid w:val="0"/>
        <w:spacing w:line="360" w:lineRule="auto"/>
        <w:ind w:firstLine="3534" w:firstLineChars="11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目  录</w:t>
      </w:r>
    </w:p>
    <w:p>
      <w:pPr>
        <w:spacing w:after="120"/>
        <w:ind w:firstLine="315" w:firstLineChars="150"/>
        <w:rPr>
          <w:rFonts w:ascii="仿宋_GB2312" w:hAnsi="仿宋_GB2312" w:eastAsia="仿宋_GB2312" w:cs="仿宋_GB2312"/>
          <w:color w:val="auto"/>
          <w:highlight w:val="none"/>
        </w:rPr>
      </w:pPr>
    </w:p>
    <w:p>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第一部分  磋商响应函</w:t>
      </w:r>
    </w:p>
    <w:p>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第二部分  磋商响应报价表 </w:t>
      </w:r>
    </w:p>
    <w:p>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第三部分  偏离表</w:t>
      </w:r>
    </w:p>
    <w:p>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第四部分  响应方案说明</w:t>
      </w:r>
    </w:p>
    <w:p>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第五部分  小微企业、监狱企业、残疾人福利单位声明函或证明</w:t>
      </w:r>
    </w:p>
    <w:p>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第六部分  保证金支付凭证或担保函（复印件）</w:t>
      </w:r>
    </w:p>
    <w:p>
      <w:pPr>
        <w:pStyle w:val="2"/>
        <w:spacing w:line="480" w:lineRule="auto"/>
        <w:ind w:firstLine="480"/>
        <w:rPr>
          <w:rFonts w:ascii="仿宋_GB2312" w:hAnsi="仿宋_GB2312" w:eastAsia="仿宋_GB2312" w:cs="仿宋_GB2312"/>
          <w:color w:val="auto"/>
          <w:sz w:val="24"/>
          <w:highlight w:val="none"/>
        </w:rPr>
      </w:pPr>
    </w:p>
    <w:p>
      <w:pPr>
        <w:pStyle w:val="2"/>
        <w:ind w:firstLine="480"/>
        <w:rPr>
          <w:rFonts w:ascii="仿宋_GB2312" w:hAnsi="仿宋_GB2312" w:eastAsia="仿宋_GB2312" w:cs="仿宋_GB2312"/>
          <w:color w:val="auto"/>
          <w:sz w:val="24"/>
          <w:highlight w:val="none"/>
        </w:rPr>
      </w:pPr>
    </w:p>
    <w:p>
      <w:pPr>
        <w:widowControl/>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pStyle w:val="195"/>
        <w:ind w:firstLine="2731" w:firstLineChars="850"/>
        <w:rPr>
          <w:rFonts w:ascii="仿宋" w:hAnsi="仿宋" w:eastAsia="仿宋"/>
          <w:b/>
          <w:color w:val="auto"/>
          <w:sz w:val="32"/>
          <w:szCs w:val="32"/>
          <w:highlight w:val="none"/>
        </w:rPr>
      </w:pPr>
      <w:r>
        <w:rPr>
          <w:rFonts w:hint="eastAsia" w:ascii="仿宋" w:hAnsi="仿宋" w:eastAsia="仿宋"/>
          <w:b/>
          <w:color w:val="auto"/>
          <w:sz w:val="32"/>
          <w:szCs w:val="32"/>
          <w:highlight w:val="none"/>
          <w:lang w:val="zh-CN"/>
        </w:rPr>
        <w:t>第一部分</w:t>
      </w:r>
      <w:r>
        <w:rPr>
          <w:rFonts w:hint="eastAsia" w:ascii="仿宋" w:hAnsi="仿宋" w:eastAsia="仿宋"/>
          <w:b/>
          <w:color w:val="auto"/>
          <w:sz w:val="32"/>
          <w:szCs w:val="32"/>
          <w:highlight w:val="none"/>
        </w:rPr>
        <w:t xml:space="preserve">  </w:t>
      </w:r>
      <w:r>
        <w:rPr>
          <w:rFonts w:hint="eastAsia" w:ascii="仿宋" w:hAnsi="仿宋" w:eastAsia="仿宋"/>
          <w:b/>
          <w:color w:val="auto"/>
          <w:sz w:val="32"/>
          <w:szCs w:val="32"/>
          <w:highlight w:val="none"/>
          <w:lang w:val="zh-CN"/>
        </w:rPr>
        <w:t>磋商响应函</w:t>
      </w:r>
    </w:p>
    <w:p>
      <w:pPr>
        <w:autoSpaceDE w:val="0"/>
        <w:autoSpaceDN w:val="0"/>
        <w:adjustRightInd w:val="0"/>
        <w:snapToGrid w:val="0"/>
        <w:spacing w:line="312" w:lineRule="auto"/>
        <w:rPr>
          <w:rFonts w:ascii="仿宋_GB2312" w:hAnsi="仿宋_GB2312" w:eastAsia="仿宋_GB2312" w:cs="仿宋_GB2312"/>
          <w:b/>
          <w:bCs/>
          <w:color w:val="auto"/>
          <w:sz w:val="24"/>
          <w:highlight w:val="none"/>
          <w:lang w:val="zh-CN"/>
        </w:rPr>
      </w:pPr>
    </w:p>
    <w:p>
      <w:pPr>
        <w:autoSpaceDE w:val="0"/>
        <w:autoSpaceDN w:val="0"/>
        <w:adjustRightInd w:val="0"/>
        <w:snapToGrid w:val="0"/>
        <w:spacing w:line="312"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zh-CN"/>
        </w:rPr>
        <w:t>陕西省采购招标有限责任公司：</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 xml:space="preserve">我单位收到贵公司   </w:t>
      </w:r>
      <w:r>
        <w:rPr>
          <w:rFonts w:hint="eastAsia" w:ascii="仿宋_GB2312" w:hAnsi="仿宋_GB2312" w:eastAsia="仿宋_GB2312" w:cs="仿宋_GB2312"/>
          <w:color w:val="auto"/>
          <w:sz w:val="24"/>
          <w:highlight w:val="none"/>
          <w:u w:val="single"/>
          <w:lang w:val="zh-CN"/>
        </w:rPr>
        <w:t>（项目名称    ）</w:t>
      </w:r>
      <w:r>
        <w:rPr>
          <w:rFonts w:hint="eastAsia" w:ascii="仿宋_GB2312" w:hAnsi="仿宋_GB2312" w:eastAsia="仿宋_GB2312" w:cs="仿宋_GB2312"/>
          <w:color w:val="auto"/>
          <w:sz w:val="24"/>
          <w:highlight w:val="none"/>
          <w:lang w:val="zh-CN"/>
        </w:rPr>
        <w:t>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w:t>
      </w:r>
      <w:r>
        <w:rPr>
          <w:rFonts w:hint="eastAsia" w:ascii="仿宋_GB2312" w:hAnsi="仿宋_GB2312" w:eastAsia="仿宋_GB2312" w:cs="仿宋_GB2312"/>
          <w:color w:val="auto"/>
          <w:sz w:val="24"/>
          <w:highlight w:val="none"/>
          <w:lang w:val="zh-CN"/>
        </w:rPr>
        <w:t>、愿意按照竞争性磋商文件中的要求，提供采购产品及技术服务，完成合同的责任和义务。</w:t>
      </w:r>
    </w:p>
    <w:p>
      <w:pPr>
        <w:autoSpaceDE w:val="0"/>
        <w:autoSpaceDN w:val="0"/>
        <w:adjustRightInd w:val="0"/>
        <w:snapToGrid w:val="0"/>
        <w:spacing w:line="312" w:lineRule="auto"/>
        <w:ind w:left="885" w:leftChars="250" w:hanging="360" w:hanging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w:t>
      </w:r>
      <w:r>
        <w:rPr>
          <w:rFonts w:hint="eastAsia" w:ascii="仿宋_GB2312" w:hAnsi="仿宋_GB2312" w:eastAsia="仿宋_GB2312" w:cs="仿宋_GB2312"/>
          <w:color w:val="auto"/>
          <w:sz w:val="24"/>
          <w:highlight w:val="none"/>
          <w:lang w:val="zh-CN"/>
        </w:rPr>
        <w:t>、按竞争性磋商文件的规定，我公司的首次磋商响应报价为人民币（大写）：</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元），并对其后的磋商报价负法律责任。</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w:t>
      </w:r>
      <w:r>
        <w:rPr>
          <w:rFonts w:hint="eastAsia" w:ascii="仿宋_GB2312" w:hAnsi="仿宋_GB2312" w:eastAsia="仿宋_GB2312" w:cs="仿宋_GB2312"/>
          <w:color w:val="auto"/>
          <w:sz w:val="24"/>
          <w:highlight w:val="none"/>
          <w:lang w:val="zh-CN"/>
        </w:rPr>
        <w:t>、我方提交的响应文件正本一份、副本</w:t>
      </w:r>
      <w:r>
        <w:rPr>
          <w:rFonts w:hint="eastAsia" w:ascii="仿宋_GB2312" w:hAnsi="仿宋_GB2312" w:eastAsia="仿宋_GB2312" w:cs="仿宋_GB2312"/>
          <w:color w:val="auto"/>
          <w:sz w:val="24"/>
          <w:highlight w:val="none"/>
          <w:u w:val="single"/>
          <w:lang w:val="zh-CN"/>
        </w:rPr>
        <w:t xml:space="preserve"> 两 </w:t>
      </w:r>
      <w:r>
        <w:rPr>
          <w:rFonts w:hint="eastAsia" w:ascii="仿宋_GB2312" w:hAnsi="仿宋_GB2312" w:eastAsia="仿宋_GB2312" w:cs="仿宋_GB2312"/>
          <w:color w:val="auto"/>
          <w:sz w:val="24"/>
          <w:highlight w:val="none"/>
          <w:lang w:val="zh-CN"/>
        </w:rPr>
        <w:t>份。</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四</w:t>
      </w:r>
      <w:r>
        <w:rPr>
          <w:rFonts w:hint="eastAsia" w:ascii="仿宋_GB2312" w:hAnsi="仿宋_GB2312" w:eastAsia="仿宋_GB2312" w:cs="仿宋_GB2312"/>
          <w:color w:val="auto"/>
          <w:sz w:val="24"/>
          <w:highlight w:val="none"/>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五、如果我方在磋商有效期内撤销响应文件，则响应保证金将被贵方不予退还。</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六</w:t>
      </w:r>
      <w:r>
        <w:rPr>
          <w:rFonts w:hint="eastAsia" w:ascii="仿宋_GB2312" w:hAnsi="仿宋_GB2312" w:eastAsia="仿宋_GB2312" w:cs="仿宋_GB2312"/>
          <w:color w:val="auto"/>
          <w:sz w:val="24"/>
          <w:highlight w:val="none"/>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七、我方的响应文件有效期为自磋商之日起</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u w:val="single"/>
        </w:rPr>
        <w:t xml:space="preserve">60 </w:t>
      </w:r>
      <w:r>
        <w:rPr>
          <w:rFonts w:hint="eastAsia" w:ascii="仿宋_GB2312" w:hAnsi="仿宋_GB2312" w:eastAsia="仿宋_GB2312" w:cs="仿宋_GB2312"/>
          <w:color w:val="auto"/>
          <w:sz w:val="24"/>
          <w:highlight w:val="none"/>
          <w:lang w:val="zh-CN"/>
        </w:rPr>
        <w:t>个日历天。若我方成交，响应文件有效期延长至合同执行完毕。</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八</w:t>
      </w:r>
      <w:r>
        <w:rPr>
          <w:rFonts w:hint="eastAsia" w:ascii="仿宋_GB2312" w:hAnsi="仿宋_GB2312" w:eastAsia="仿宋_GB2312" w:cs="仿宋_GB2312"/>
          <w:color w:val="auto"/>
          <w:sz w:val="24"/>
          <w:highlight w:val="none"/>
          <w:lang w:val="zh-CN"/>
        </w:rPr>
        <w:t>、如我方成交：</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（1）我方承诺在收到成交通知书后，在磋商文件规定的期限内与采购人签订合同。</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val="zh-CN"/>
        </w:rPr>
        <w:t>）我方承诺按合同约定的期限和地点，提供符合磋商文件要求的全部服务。</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lang w:val="zh-CN"/>
        </w:rPr>
        <w:t>）我方保证在领取成交通知书前按要求支付成交服务费。</w:t>
      </w:r>
    </w:p>
    <w:p>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九、有关于本响应文件的函电，请按下列地址联系。</w:t>
      </w:r>
    </w:p>
    <w:p>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地</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址：</w:t>
      </w:r>
      <w:r>
        <w:rPr>
          <w:rFonts w:hint="eastAsia" w:ascii="仿宋_GB2312" w:hAnsi="仿宋_GB2312" w:eastAsia="仿宋_GB2312" w:cs="仿宋_GB2312"/>
          <w:color w:val="auto"/>
          <w:sz w:val="24"/>
          <w:highlight w:val="none"/>
        </w:rPr>
        <w:t>__________________________________________</w:t>
      </w:r>
    </w:p>
    <w:p>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开户银行：</w:t>
      </w:r>
      <w:r>
        <w:rPr>
          <w:rFonts w:hint="eastAsia" w:ascii="仿宋_GB2312" w:hAnsi="仿宋_GB2312" w:eastAsia="仿宋_GB2312" w:cs="仿宋_GB2312"/>
          <w:color w:val="auto"/>
          <w:sz w:val="24"/>
          <w:highlight w:val="none"/>
        </w:rPr>
        <w:t>__________________________________________</w:t>
      </w:r>
    </w:p>
    <w:p>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帐</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号：</w:t>
      </w:r>
      <w:r>
        <w:rPr>
          <w:rFonts w:hint="eastAsia" w:ascii="仿宋_GB2312" w:hAnsi="仿宋_GB2312" w:eastAsia="仿宋_GB2312" w:cs="仿宋_GB2312"/>
          <w:color w:val="auto"/>
          <w:sz w:val="24"/>
          <w:highlight w:val="none"/>
        </w:rPr>
        <w:t>__________________________________________</w:t>
      </w:r>
    </w:p>
    <w:p>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电</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话：</w:t>
      </w:r>
      <w:r>
        <w:rPr>
          <w:rFonts w:hint="eastAsia" w:ascii="仿宋_GB2312" w:hAnsi="仿宋_GB2312" w:eastAsia="仿宋_GB2312" w:cs="仿宋_GB2312"/>
          <w:color w:val="auto"/>
          <w:sz w:val="24"/>
          <w:highlight w:val="none"/>
        </w:rPr>
        <w:t>_____________________</w:t>
      </w:r>
      <w:r>
        <w:rPr>
          <w:rFonts w:hint="eastAsia" w:ascii="仿宋_GB2312" w:hAnsi="仿宋_GB2312" w:eastAsia="仿宋_GB2312" w:cs="仿宋_GB2312"/>
          <w:color w:val="auto"/>
          <w:sz w:val="24"/>
          <w:highlight w:val="none"/>
          <w:lang w:val="zh-CN"/>
        </w:rPr>
        <w:t>传</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真：</w:t>
      </w:r>
      <w:r>
        <w:rPr>
          <w:rFonts w:hint="eastAsia" w:ascii="仿宋_GB2312" w:hAnsi="仿宋_GB2312" w:eastAsia="仿宋_GB2312" w:cs="仿宋_GB2312"/>
          <w:color w:val="auto"/>
          <w:sz w:val="24"/>
          <w:highlight w:val="none"/>
        </w:rPr>
        <w:t>________________</w:t>
      </w:r>
    </w:p>
    <w:p>
      <w:pPr>
        <w:pStyle w:val="2"/>
        <w:rPr>
          <w:rFonts w:ascii="仿宋_GB2312" w:hAnsi="仿宋_GB2312" w:eastAsia="仿宋_GB2312" w:cs="仿宋_GB2312"/>
          <w:color w:val="auto"/>
          <w:highlight w:val="none"/>
        </w:rPr>
      </w:pPr>
    </w:p>
    <w:p>
      <w:pPr>
        <w:autoSpaceDE w:val="0"/>
        <w:autoSpaceDN w:val="0"/>
        <w:adjustRightInd w:val="0"/>
        <w:snapToGrid w:val="0"/>
        <w:spacing w:line="312"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供应商全称（公章）：</w:t>
      </w:r>
    </w:p>
    <w:p>
      <w:pPr>
        <w:pStyle w:val="2"/>
        <w:rPr>
          <w:rFonts w:ascii="仿宋_GB2312" w:hAnsi="仿宋_GB2312" w:eastAsia="仿宋_GB2312" w:cs="仿宋_GB2312"/>
          <w:color w:val="auto"/>
          <w:highlight w:val="none"/>
          <w:lang w:val="zh-CN"/>
        </w:rPr>
      </w:pPr>
    </w:p>
    <w:p>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法定代表人或授权代表（签字）：</w:t>
      </w:r>
      <w:r>
        <w:rPr>
          <w:rFonts w:hint="eastAsia" w:ascii="仿宋_GB2312" w:hAnsi="仿宋_GB2312" w:eastAsia="仿宋_GB2312" w:cs="仿宋_GB2312"/>
          <w:color w:val="auto"/>
          <w:sz w:val="24"/>
          <w:highlight w:val="none"/>
        </w:rPr>
        <w:t>______________________________</w:t>
      </w:r>
    </w:p>
    <w:p>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_____</w:t>
      </w:r>
      <w:r>
        <w:rPr>
          <w:rFonts w:hint="eastAsia" w:ascii="仿宋_GB2312" w:hAnsi="仿宋_GB2312" w:eastAsia="仿宋_GB2312" w:cs="仿宋_GB2312"/>
          <w:color w:val="auto"/>
          <w:sz w:val="24"/>
          <w:highlight w:val="none"/>
          <w:lang w:val="zh-CN"/>
        </w:rPr>
        <w:t>年</w:t>
      </w:r>
      <w:r>
        <w:rPr>
          <w:rFonts w:hint="eastAsia" w:ascii="仿宋_GB2312" w:hAnsi="仿宋_GB2312" w:eastAsia="仿宋_GB2312" w:cs="仿宋_GB2312"/>
          <w:color w:val="auto"/>
          <w:sz w:val="24"/>
          <w:highlight w:val="none"/>
        </w:rPr>
        <w:t>_____</w:t>
      </w:r>
      <w:r>
        <w:rPr>
          <w:rFonts w:hint="eastAsia" w:ascii="仿宋_GB2312" w:hAnsi="仿宋_GB2312" w:eastAsia="仿宋_GB2312" w:cs="仿宋_GB2312"/>
          <w:color w:val="auto"/>
          <w:sz w:val="24"/>
          <w:highlight w:val="none"/>
          <w:lang w:val="zh-CN"/>
        </w:rPr>
        <w:t>月</w:t>
      </w:r>
      <w:r>
        <w:rPr>
          <w:rFonts w:hint="eastAsia" w:ascii="仿宋_GB2312" w:hAnsi="仿宋_GB2312" w:eastAsia="仿宋_GB2312" w:cs="仿宋_GB2312"/>
          <w:color w:val="auto"/>
          <w:sz w:val="24"/>
          <w:highlight w:val="none"/>
        </w:rPr>
        <w:t>_____</w:t>
      </w:r>
      <w:r>
        <w:rPr>
          <w:rFonts w:hint="eastAsia" w:ascii="仿宋_GB2312" w:hAnsi="仿宋_GB2312" w:eastAsia="仿宋_GB2312" w:cs="仿宋_GB2312"/>
          <w:color w:val="auto"/>
          <w:sz w:val="24"/>
          <w:highlight w:val="none"/>
          <w:lang w:val="zh-CN"/>
        </w:rPr>
        <w:t>日</w:t>
      </w:r>
    </w:p>
    <w:p>
      <w:pPr>
        <w:pStyle w:val="2"/>
        <w:rPr>
          <w:rFonts w:ascii="仿宋_GB2312" w:hAnsi="仿宋_GB2312" w:eastAsia="仿宋_GB2312" w:cs="仿宋_GB2312"/>
          <w:color w:val="auto"/>
          <w:highlight w:val="none"/>
        </w:rPr>
      </w:pPr>
    </w:p>
    <w:p>
      <w:pPr>
        <w:pStyle w:val="195"/>
        <w:ind w:firstLine="2640" w:firstLineChars="1100"/>
        <w:rPr>
          <w:rFonts w:ascii="仿宋" w:hAnsi="仿宋" w:eastAsia="仿宋"/>
          <w:b/>
          <w:bCs/>
          <w:color w:val="auto"/>
          <w:sz w:val="32"/>
          <w:szCs w:val="32"/>
          <w:highlight w:val="none"/>
        </w:rPr>
      </w:pPr>
      <w:bookmarkStart w:id="466" w:name="_Hlt520356241"/>
      <w:bookmarkEnd w:id="466"/>
      <w:r>
        <w:rPr>
          <w:rFonts w:hint="eastAsia"/>
          <w:color w:val="auto"/>
          <w:highlight w:val="none"/>
        </w:rPr>
        <w:br w:type="page"/>
      </w:r>
      <w:bookmarkStart w:id="467" w:name="_Toc249525252"/>
      <w:bookmarkStart w:id="468" w:name="_Toc230099805"/>
      <w:bookmarkStart w:id="469" w:name="_Toc256342154"/>
      <w:bookmarkStart w:id="470" w:name="_Toc230013640"/>
      <w:bookmarkStart w:id="471" w:name="_Toc230583554"/>
      <w:bookmarkStart w:id="472" w:name="_Toc249515371"/>
      <w:bookmarkStart w:id="473" w:name="_Toc415499901"/>
      <w:bookmarkStart w:id="474" w:name="_Toc232395224"/>
      <w:bookmarkStart w:id="475" w:name="_Toc232176284"/>
      <w:bookmarkStart w:id="476" w:name="_Toc8496"/>
      <w:r>
        <w:rPr>
          <w:rFonts w:hint="eastAsia" w:ascii="仿宋" w:hAnsi="仿宋" w:eastAsia="仿宋"/>
          <w:b/>
          <w:color w:val="auto"/>
          <w:sz w:val="32"/>
          <w:szCs w:val="32"/>
          <w:highlight w:val="none"/>
          <w:lang w:val="zh-CN"/>
        </w:rPr>
        <w:t>第二部分  磋商响应报价表</w:t>
      </w:r>
    </w:p>
    <w:p>
      <w:pPr>
        <w:autoSpaceDE w:val="0"/>
        <w:autoSpaceDN w:val="0"/>
        <w:adjustRightInd w:val="0"/>
        <w:snapToGrid w:val="0"/>
        <w:spacing w:line="360" w:lineRule="auto"/>
        <w:jc w:val="center"/>
        <w:rPr>
          <w:rFonts w:ascii="仿宋_GB2312" w:hAnsi="仿宋_GB2312" w:eastAsia="仿宋_GB2312" w:cs="仿宋_GB2312"/>
          <w:b/>
          <w:bCs/>
          <w:color w:val="auto"/>
          <w:sz w:val="32"/>
          <w:szCs w:val="32"/>
          <w:highlight w:val="none"/>
        </w:rPr>
      </w:pPr>
    </w:p>
    <w:p>
      <w:pPr>
        <w:autoSpaceDE w:val="0"/>
        <w:autoSpaceDN w:val="0"/>
        <w:adjustRightInd w:val="0"/>
        <w:snapToGrid w:val="0"/>
        <w:spacing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首次响应</w:t>
      </w:r>
      <w:r>
        <w:rPr>
          <w:rFonts w:hint="eastAsia" w:ascii="仿宋_GB2312" w:hAnsi="仿宋_GB2312" w:eastAsia="仿宋_GB2312" w:cs="仿宋_GB2312"/>
          <w:b/>
          <w:bCs/>
          <w:color w:val="auto"/>
          <w:sz w:val="28"/>
          <w:szCs w:val="28"/>
          <w:highlight w:val="none"/>
          <w:lang w:val="zh-CN"/>
        </w:rPr>
        <w:t>报价表</w:t>
      </w:r>
    </w:p>
    <w:p>
      <w:pPr>
        <w:autoSpaceDE w:val="0"/>
        <w:autoSpaceDN w:val="0"/>
        <w:adjustRightInd w:val="0"/>
        <w:snapToGrid w:val="0"/>
        <w:spacing w:line="360" w:lineRule="auto"/>
        <w:jc w:val="righ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pPr>
              <w:pStyle w:val="2"/>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lang w:val="zh-CN"/>
              </w:rPr>
              <w:br w:type="page"/>
            </w:r>
            <w:r>
              <w:rPr>
                <w:rFonts w:hint="eastAsia" w:ascii="仿宋_GB2312" w:hAnsi="仿宋_GB2312" w:eastAsia="仿宋_GB2312" w:cs="仿宋_GB2312"/>
                <w:b/>
                <w:color w:val="auto"/>
                <w:sz w:val="24"/>
                <w:highlight w:val="none"/>
              </w:rPr>
              <w:t>项目编号及名称</w:t>
            </w:r>
          </w:p>
        </w:tc>
        <w:tc>
          <w:tcPr>
            <w:tcW w:w="6697" w:type="dxa"/>
            <w:vAlign w:val="center"/>
          </w:tcPr>
          <w:p>
            <w:pPr>
              <w:pStyle w:val="2"/>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u w:val="single"/>
              </w:rPr>
              <w:t xml:space="preserve">              </w:t>
            </w:r>
          </w:p>
          <w:p>
            <w:pPr>
              <w:pStyle w:val="2"/>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i/>
                <w:color w:val="auto"/>
                <w:sz w:val="24"/>
                <w:highlight w:val="none"/>
              </w:rPr>
              <w:t xml:space="preserve">   </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8" w:hRule="atLeast"/>
          <w:jc w:val="center"/>
        </w:trPr>
        <w:tc>
          <w:tcPr>
            <w:tcW w:w="1882" w:type="dxa"/>
            <w:vAlign w:val="center"/>
          </w:tcPr>
          <w:p>
            <w:pPr>
              <w:pStyle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响应总价</w:t>
            </w:r>
          </w:p>
        </w:tc>
        <w:tc>
          <w:tcPr>
            <w:tcW w:w="6697" w:type="dxa"/>
            <w:vAlign w:val="center"/>
          </w:tcPr>
          <w:p>
            <w:pPr>
              <w:pStyle w:val="2"/>
              <w:rPr>
                <w:rFonts w:ascii="仿宋_GB2312" w:hAnsi="仿宋_GB2312" w:eastAsia="仿宋_GB2312" w:cs="仿宋_GB2312"/>
                <w:i/>
                <w:color w:val="auto"/>
                <w:sz w:val="24"/>
                <w:highlight w:val="none"/>
              </w:rPr>
            </w:pPr>
            <w:r>
              <w:rPr>
                <w:rFonts w:hint="eastAsia" w:ascii="仿宋_GB2312" w:hAnsi="仿宋_GB2312" w:eastAsia="仿宋_GB2312" w:cs="仿宋_GB2312"/>
                <w:color w:val="auto"/>
                <w:sz w:val="24"/>
                <w:highlight w:val="none"/>
              </w:rPr>
              <w:t>人民币（大写）：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整（小写：</w:t>
            </w:r>
            <w:r>
              <w:rPr>
                <w:rFonts w:hint="eastAsia" w:ascii="宋体" w:hAnsi="宋体" w:eastAsia="宋体" w:cs="宋体"/>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服务</w:t>
            </w:r>
            <w:r>
              <w:rPr>
                <w:rFonts w:hint="eastAsia" w:ascii="仿宋_GB2312" w:hAnsi="仿宋_GB2312" w:eastAsia="仿宋_GB2312" w:cs="仿宋_GB2312"/>
                <w:b/>
                <w:color w:val="auto"/>
                <w:sz w:val="24"/>
                <w:highlight w:val="none"/>
              </w:rPr>
              <w:t>期</w:t>
            </w:r>
          </w:p>
        </w:tc>
        <w:tc>
          <w:tcPr>
            <w:tcW w:w="6697" w:type="dxa"/>
            <w:vAlign w:val="center"/>
          </w:tcPr>
          <w:p>
            <w:pPr>
              <w:pStyle w:val="2"/>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服务</w:t>
            </w:r>
            <w:r>
              <w:rPr>
                <w:rFonts w:hint="eastAsia" w:ascii="仿宋_GB2312" w:hAnsi="仿宋_GB2312" w:eastAsia="仿宋_GB2312" w:cs="仿宋_GB2312"/>
                <w:b/>
                <w:color w:val="auto"/>
                <w:sz w:val="24"/>
                <w:highlight w:val="none"/>
              </w:rPr>
              <w:t>地点</w:t>
            </w:r>
          </w:p>
        </w:tc>
        <w:tc>
          <w:tcPr>
            <w:tcW w:w="6697" w:type="dxa"/>
            <w:vAlign w:val="center"/>
          </w:tcPr>
          <w:p>
            <w:pPr>
              <w:pStyle w:val="2"/>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pPr>
              <w:pStyle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c>
          <w:tcPr>
            <w:tcW w:w="6697" w:type="dxa"/>
            <w:vAlign w:val="center"/>
          </w:tcPr>
          <w:p>
            <w:pPr>
              <w:pStyle w:val="2"/>
              <w:rPr>
                <w:rFonts w:ascii="仿宋_GB2312" w:hAnsi="仿宋_GB2312" w:eastAsia="仿宋_GB2312" w:cs="仿宋_GB2312"/>
                <w:color w:val="auto"/>
                <w:sz w:val="24"/>
                <w:highlight w:val="none"/>
              </w:rPr>
            </w:pPr>
          </w:p>
        </w:tc>
      </w:tr>
    </w:tbl>
    <w:p>
      <w:pPr>
        <w:pStyle w:val="2"/>
        <w:rPr>
          <w:rFonts w:ascii="仿宋_GB2312" w:hAnsi="仿宋_GB2312" w:eastAsia="仿宋_GB2312" w:cs="仿宋_GB2312"/>
          <w:color w:val="auto"/>
          <w:highlight w:val="none"/>
          <w:lang w:val="zh-CN"/>
        </w:rPr>
      </w:pPr>
    </w:p>
    <w:p>
      <w:pPr>
        <w:autoSpaceDE w:val="0"/>
        <w:autoSpaceDN w:val="0"/>
        <w:adjustRightInd w:val="0"/>
        <w:snapToGrid w:val="0"/>
        <w:spacing w:line="360" w:lineRule="auto"/>
        <w:ind w:firstLine="1080" w:firstLineChars="45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供应商</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法定代表人</w:t>
      </w:r>
      <w:r>
        <w:rPr>
          <w:rFonts w:hint="eastAsia" w:ascii="仿宋_GB2312" w:hAnsi="仿宋_GB2312" w:eastAsia="仿宋_GB2312" w:cs="仿宋_GB2312"/>
          <w:color w:val="auto"/>
          <w:sz w:val="24"/>
          <w:highlight w:val="none"/>
        </w:rPr>
        <w:t>或</w:t>
      </w:r>
      <w:r>
        <w:rPr>
          <w:rFonts w:hint="eastAsia" w:ascii="仿宋_GB2312" w:hAnsi="仿宋_GB2312" w:eastAsia="仿宋_GB2312" w:cs="仿宋_GB2312"/>
          <w:color w:val="auto"/>
          <w:sz w:val="24"/>
          <w:highlight w:val="none"/>
          <w:lang w:val="zh-CN"/>
        </w:rPr>
        <w:t>授权代表</w:t>
      </w:r>
    </w:p>
    <w:p>
      <w:pPr>
        <w:autoSpaceDE w:val="0"/>
        <w:autoSpaceDN w:val="0"/>
        <w:adjustRightInd w:val="0"/>
        <w:snapToGrid w:val="0"/>
        <w:spacing w:line="360" w:lineRule="auto"/>
        <w:ind w:firstLine="960" w:firstLineChars="4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（公章）：                            （</w:t>
      </w:r>
      <w:r>
        <w:rPr>
          <w:rFonts w:hint="eastAsia" w:ascii="仿宋_GB2312" w:hAnsi="仿宋_GB2312" w:eastAsia="仿宋_GB2312" w:cs="仿宋_GB2312"/>
          <w:b/>
          <w:color w:val="auto"/>
          <w:sz w:val="24"/>
          <w:highlight w:val="none"/>
          <w:lang w:val="zh-CN"/>
        </w:rPr>
        <w:t>签字</w:t>
      </w:r>
      <w:r>
        <w:rPr>
          <w:rFonts w:hint="eastAsia" w:ascii="仿宋_GB2312" w:hAnsi="仿宋_GB2312" w:eastAsia="仿宋_GB2312" w:cs="仿宋_GB2312"/>
          <w:color w:val="auto"/>
          <w:sz w:val="24"/>
          <w:highlight w:val="none"/>
          <w:lang w:val="zh-CN"/>
        </w:rPr>
        <w:t>）：</w:t>
      </w:r>
    </w:p>
    <w:p>
      <w:pPr>
        <w:autoSpaceDE w:val="0"/>
        <w:autoSpaceDN w:val="0"/>
        <w:adjustRightInd w:val="0"/>
        <w:snapToGrid w:val="0"/>
        <w:spacing w:line="360" w:lineRule="auto"/>
        <w:rPr>
          <w:rFonts w:ascii="仿宋_GB2312" w:hAnsi="仿宋_GB2312" w:eastAsia="仿宋_GB2312" w:cs="仿宋_GB2312"/>
          <w:color w:val="auto"/>
          <w:sz w:val="24"/>
          <w:highlight w:val="none"/>
          <w:lang w:val="zh-CN"/>
        </w:rPr>
      </w:pPr>
    </w:p>
    <w:p>
      <w:pPr>
        <w:autoSpaceDE w:val="0"/>
        <w:autoSpaceDN w:val="0"/>
        <w:adjustRightInd w:val="0"/>
        <w:snapToGrid w:val="0"/>
        <w:spacing w:line="360" w:lineRule="auto"/>
        <w:ind w:firstLine="240" w:firstLineChars="1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 xml:space="preserve">年 </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月</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日</w:t>
      </w:r>
    </w:p>
    <w:p>
      <w:pPr>
        <w:adjustRightInd w:val="0"/>
        <w:snapToGrid w:val="0"/>
        <w:spacing w:line="360" w:lineRule="auto"/>
        <w:jc w:val="center"/>
        <w:rPr>
          <w:rFonts w:ascii="仿宋_GB2312" w:hAnsi="仿宋_GB2312" w:eastAsia="仿宋_GB2312" w:cs="仿宋_GB2312"/>
          <w:b/>
          <w:color w:val="auto"/>
          <w:sz w:val="42"/>
          <w:highlight w:val="none"/>
        </w:rPr>
      </w:pPr>
    </w:p>
    <w:p>
      <w:pPr>
        <w:adjustRightInd w:val="0"/>
        <w:snapToGrid w:val="0"/>
        <w:spacing w:line="360" w:lineRule="auto"/>
        <w:jc w:val="center"/>
        <w:rPr>
          <w:rFonts w:ascii="仿宋_GB2312" w:hAnsi="仿宋_GB2312" w:eastAsia="仿宋_GB2312" w:cs="仿宋_GB2312"/>
          <w:b/>
          <w:color w:val="auto"/>
          <w:sz w:val="42"/>
          <w:highlight w:val="none"/>
        </w:rPr>
      </w:pPr>
    </w:p>
    <w:p>
      <w:pPr>
        <w:adjustRightInd w:val="0"/>
        <w:snapToGrid w:val="0"/>
        <w:spacing w:line="360" w:lineRule="auto"/>
        <w:jc w:val="center"/>
        <w:rPr>
          <w:rFonts w:ascii="仿宋_GB2312" w:hAnsi="仿宋_GB2312" w:eastAsia="仿宋_GB2312" w:cs="仿宋_GB2312"/>
          <w:b/>
          <w:color w:val="auto"/>
          <w:sz w:val="42"/>
          <w:highlight w:val="none"/>
        </w:rPr>
        <w:sectPr>
          <w:pgSz w:w="11906" w:h="16838"/>
          <w:pgMar w:top="1418" w:right="1418" w:bottom="1418" w:left="1418" w:header="851" w:footer="992" w:gutter="0"/>
          <w:pgNumType w:fmt="decimal" w:start="34"/>
          <w:cols w:space="720" w:num="1"/>
          <w:docGrid w:linePitch="312" w:charSpace="0"/>
        </w:sectPr>
      </w:pPr>
    </w:p>
    <w:p>
      <w:pPr>
        <w:keepNext/>
        <w:keepLines/>
        <w:autoSpaceDE w:val="0"/>
        <w:autoSpaceDN w:val="0"/>
        <w:adjustRightInd w:val="0"/>
        <w:spacing w:line="360" w:lineRule="auto"/>
        <w:jc w:val="center"/>
        <w:outlineLvl w:val="2"/>
        <w:rPr>
          <w:rFonts w:ascii="仿宋_GB2312" w:hAnsi="仿宋_GB2312" w:eastAsia="仿宋_GB2312" w:cs="仿宋_GB2312"/>
          <w:b/>
          <w:color w:val="auto"/>
          <w:kern w:val="0"/>
          <w:sz w:val="32"/>
          <w:szCs w:val="32"/>
          <w:highlight w:val="none"/>
          <w:shd w:val="clear" w:color="auto" w:fill="FFFFFF"/>
        </w:rPr>
      </w:pPr>
      <w:r>
        <w:rPr>
          <w:rFonts w:hint="eastAsia" w:ascii="仿宋_GB2312" w:hAnsi="仿宋_GB2312" w:eastAsia="仿宋_GB2312" w:cs="仿宋_GB2312"/>
          <w:b/>
          <w:color w:val="auto"/>
          <w:kern w:val="0"/>
          <w:sz w:val="32"/>
          <w:szCs w:val="32"/>
          <w:highlight w:val="none"/>
          <w:shd w:val="clear" w:color="auto" w:fill="FFFFFF"/>
        </w:rPr>
        <w:t>（首次）分项报价表</w:t>
      </w:r>
    </w:p>
    <w:p>
      <w:pPr>
        <w:autoSpaceDE w:val="0"/>
        <w:autoSpaceDN w:val="0"/>
        <w:adjustRightInd w:val="0"/>
        <w:snapToGrid w:val="0"/>
        <w:spacing w:before="120" w:line="360" w:lineRule="auto"/>
        <w:ind w:left="-206" w:leftChars="-98"/>
        <w:jc w:val="left"/>
        <w:rPr>
          <w:rFonts w:ascii="仿宋" w:hAnsi="仿宋" w:eastAsia="仿宋"/>
          <w:color w:val="auto"/>
          <w:kern w:val="0"/>
          <w:sz w:val="24"/>
          <w:szCs w:val="28"/>
          <w:highlight w:val="none"/>
        </w:rPr>
      </w:pPr>
    </w:p>
    <w:p>
      <w:pPr>
        <w:adjustRightInd w:val="0"/>
        <w:snapToGrid w:val="0"/>
        <w:spacing w:line="360" w:lineRule="auto"/>
        <w:jc w:val="center"/>
        <w:rPr>
          <w:rFonts w:ascii="仿宋_GB2312" w:hAnsi="仿宋_GB2312" w:eastAsia="仿宋_GB2312" w:cs="仿宋_GB2312"/>
          <w:b/>
          <w:color w:val="auto"/>
          <w:sz w:val="42"/>
          <w:highlight w:val="none"/>
        </w:rPr>
      </w:pPr>
    </w:p>
    <w:p>
      <w:pPr>
        <w:spacing w:line="288" w:lineRule="auto"/>
        <w:ind w:left="424" w:leftChars="202"/>
        <w:rPr>
          <w:rFonts w:ascii="仿宋_GB2312" w:hAnsi="仿宋_GB2312" w:eastAsia="仿宋_GB2312" w:cs="仿宋_GB2312"/>
          <w:bCs/>
          <w:color w:val="auto"/>
          <w:sz w:val="24"/>
          <w:highlight w:val="none"/>
        </w:rPr>
      </w:pPr>
    </w:p>
    <w:p>
      <w:pPr>
        <w:pStyle w:val="2"/>
        <w:rPr>
          <w:rFonts w:ascii="仿宋_GB2312" w:hAnsi="仿宋_GB2312" w:eastAsia="仿宋_GB2312" w:cs="仿宋_GB2312"/>
          <w:color w:val="auto"/>
          <w:highlight w:val="none"/>
        </w:rPr>
      </w:pPr>
    </w:p>
    <w:p>
      <w:pPr>
        <w:pStyle w:val="2"/>
        <w:rPr>
          <w:rFonts w:ascii="仿宋_GB2312" w:hAnsi="仿宋_GB2312" w:eastAsia="仿宋_GB2312" w:cs="仿宋_GB2312"/>
          <w:color w:val="auto"/>
          <w:highlight w:val="none"/>
        </w:rPr>
      </w:pPr>
    </w:p>
    <w:p>
      <w:pPr>
        <w:pStyle w:val="2"/>
        <w:rPr>
          <w:rFonts w:ascii="仿宋_GB2312" w:hAnsi="仿宋_GB2312" w:eastAsia="仿宋_GB2312" w:cs="仿宋_GB2312"/>
          <w:color w:val="auto"/>
          <w:highlight w:val="none"/>
        </w:rPr>
      </w:pPr>
    </w:p>
    <w:p>
      <w:pPr>
        <w:pStyle w:val="2"/>
        <w:rPr>
          <w:rFonts w:ascii="仿宋_GB2312" w:hAnsi="仿宋_GB2312" w:eastAsia="仿宋_GB2312" w:cs="仿宋_GB2312"/>
          <w:color w:val="auto"/>
          <w:highlight w:val="none"/>
        </w:rPr>
      </w:pPr>
    </w:p>
    <w:p>
      <w:pPr>
        <w:autoSpaceDE w:val="0"/>
        <w:autoSpaceDN w:val="0"/>
        <w:adjustRightInd w:val="0"/>
        <w:snapToGrid w:val="0"/>
        <w:spacing w:line="360" w:lineRule="auto"/>
        <w:jc w:val="center"/>
        <w:rPr>
          <w:rFonts w:hint="eastAsia" w:ascii="仿宋_GB2312" w:hAnsi="仿宋_GB2312" w:eastAsia="仿宋_GB2312" w:cs="仿宋_GB2312"/>
          <w:b/>
          <w:color w:val="auto"/>
          <w:sz w:val="28"/>
          <w:szCs w:val="28"/>
          <w:highlight w:val="none"/>
        </w:rPr>
        <w:sectPr>
          <w:pgSz w:w="11906" w:h="16838"/>
          <w:pgMar w:top="1418" w:right="1418" w:bottom="1418" w:left="1418" w:header="851" w:footer="992" w:gutter="0"/>
          <w:pgNumType w:fmt="decimal"/>
          <w:cols w:space="720" w:num="1"/>
          <w:docGrid w:linePitch="312" w:charSpace="0"/>
        </w:sectPr>
      </w:pP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67"/>
    <w:bookmarkEnd w:id="468"/>
    <w:bookmarkEnd w:id="469"/>
    <w:bookmarkEnd w:id="470"/>
    <w:bookmarkEnd w:id="471"/>
    <w:bookmarkEnd w:id="472"/>
    <w:bookmarkEnd w:id="473"/>
    <w:bookmarkEnd w:id="474"/>
    <w:bookmarkEnd w:id="475"/>
    <w:bookmarkEnd w:id="476"/>
    <w:p>
      <w:pPr>
        <w:pStyle w:val="195"/>
        <w:ind w:firstLine="3052" w:firstLineChars="950"/>
        <w:rPr>
          <w:rFonts w:ascii="仿宋" w:hAnsi="仿宋" w:eastAsia="仿宋"/>
          <w:b/>
          <w:color w:val="auto"/>
          <w:sz w:val="32"/>
          <w:szCs w:val="32"/>
          <w:highlight w:val="none"/>
        </w:rPr>
      </w:pPr>
      <w:bookmarkStart w:id="477" w:name="_Toc177189246"/>
      <w:bookmarkStart w:id="478" w:name="_Toc499711929"/>
      <w:bookmarkStart w:id="479" w:name="_Toc70687203"/>
      <w:bookmarkStart w:id="480" w:name="_Toc230013641"/>
      <w:bookmarkStart w:id="481" w:name="_Toc496324624"/>
      <w:bookmarkStart w:id="482" w:name="_Toc499711088"/>
      <w:bookmarkStart w:id="483" w:name="_Toc389620242"/>
      <w:bookmarkStart w:id="484" w:name="_Toc225933091"/>
      <w:bookmarkStart w:id="485" w:name="_Toc249525253"/>
      <w:bookmarkStart w:id="486" w:name="_Toc230099806"/>
      <w:bookmarkStart w:id="487" w:name="_Toc176882553"/>
      <w:bookmarkStart w:id="488" w:name="_Toc83547687"/>
      <w:bookmarkStart w:id="489" w:name="_Toc230583555"/>
      <w:bookmarkStart w:id="490" w:name="_Toc53722866"/>
      <w:bookmarkStart w:id="491" w:name="_Toc415499902"/>
      <w:bookmarkStart w:id="492" w:name="_Toc232395225"/>
      <w:bookmarkStart w:id="493" w:name="_Toc492955460"/>
      <w:bookmarkStart w:id="494" w:name="_Toc184043059"/>
      <w:bookmarkStart w:id="495" w:name="_Toc249515372"/>
      <w:bookmarkStart w:id="496" w:name="_Toc177817345"/>
      <w:bookmarkStart w:id="497" w:name="_Toc503063459"/>
      <w:bookmarkStart w:id="498" w:name="_Toc232176285"/>
      <w:bookmarkStart w:id="499" w:name="_Toc500747011"/>
      <w:bookmarkStart w:id="500" w:name="_Toc500747107"/>
      <w:bookmarkStart w:id="501" w:name="_Toc177995484"/>
      <w:bookmarkStart w:id="502" w:name="_Toc500747234"/>
      <w:bookmarkStart w:id="503" w:name="_Toc256342155"/>
      <w:bookmarkStart w:id="504" w:name="_Toc385992402"/>
      <w:r>
        <w:rPr>
          <w:rFonts w:hint="eastAsia" w:ascii="仿宋" w:hAnsi="仿宋" w:eastAsia="仿宋"/>
          <w:b/>
          <w:color w:val="auto"/>
          <w:sz w:val="32"/>
          <w:szCs w:val="32"/>
          <w:highlight w:val="none"/>
        </w:rPr>
        <w:t>第三部分  偏离表</w:t>
      </w:r>
    </w:p>
    <w:p>
      <w:pPr>
        <w:rPr>
          <w:rFonts w:ascii="仿宋_GB2312" w:hAnsi="仿宋_GB2312" w:eastAsia="仿宋_GB2312" w:cs="仿宋_GB2312"/>
          <w:color w:val="auto"/>
          <w:highlight w:val="none"/>
        </w:rPr>
      </w:pPr>
    </w:p>
    <w:p>
      <w:pPr>
        <w:autoSpaceDE w:val="0"/>
        <w:autoSpaceDN w:val="0"/>
        <w:adjustRightInd w:val="0"/>
        <w:snapToGrid w:val="0"/>
        <w:spacing w:line="360" w:lineRule="auto"/>
        <w:jc w:val="cente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一、商务、合同条款偏离表</w:t>
      </w:r>
    </w:p>
    <w:p>
      <w:pPr>
        <w:pStyle w:val="28"/>
        <w:ind w:left="645" w:leftChars="307" w:right="560" w:firstLine="120" w:firstLineChars="5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2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835" w:type="dxa"/>
          </w:tcPr>
          <w:p>
            <w:pPr>
              <w:pStyle w:val="2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磋商文件商务、合同条款</w:t>
            </w:r>
          </w:p>
        </w:tc>
        <w:tc>
          <w:tcPr>
            <w:tcW w:w="1701" w:type="dxa"/>
          </w:tcPr>
          <w:p>
            <w:pPr>
              <w:pStyle w:val="2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完全响应</w:t>
            </w:r>
          </w:p>
        </w:tc>
        <w:tc>
          <w:tcPr>
            <w:tcW w:w="1417" w:type="dxa"/>
          </w:tcPr>
          <w:p>
            <w:pPr>
              <w:pStyle w:val="2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有偏离</w:t>
            </w:r>
          </w:p>
        </w:tc>
        <w:tc>
          <w:tcPr>
            <w:tcW w:w="2195" w:type="dxa"/>
          </w:tcPr>
          <w:p>
            <w:pPr>
              <w:pStyle w:val="2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ascii="仿宋_GB2312" w:hAnsi="仿宋_GB2312" w:eastAsia="仿宋_GB2312" w:cs="仿宋_GB2312"/>
                <w:color w:val="auto"/>
                <w:sz w:val="24"/>
                <w:szCs w:val="24"/>
                <w:highlight w:val="none"/>
              </w:rPr>
            </w:pPr>
          </w:p>
        </w:tc>
        <w:tc>
          <w:tcPr>
            <w:tcW w:w="2835" w:type="dxa"/>
          </w:tcPr>
          <w:p>
            <w:pPr>
              <w:pStyle w:val="2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rPr>
              <w:t>地点)</w:t>
            </w:r>
          </w:p>
        </w:tc>
        <w:tc>
          <w:tcPr>
            <w:tcW w:w="1701" w:type="dxa"/>
          </w:tcPr>
          <w:p>
            <w:pPr>
              <w:pStyle w:val="28"/>
              <w:jc w:val="center"/>
              <w:rPr>
                <w:rFonts w:ascii="仿宋_GB2312" w:hAnsi="仿宋_GB2312" w:eastAsia="仿宋_GB2312" w:cs="仿宋_GB2312"/>
                <w:color w:val="auto"/>
                <w:sz w:val="24"/>
                <w:szCs w:val="24"/>
                <w:highlight w:val="none"/>
              </w:rPr>
            </w:pPr>
          </w:p>
        </w:tc>
        <w:tc>
          <w:tcPr>
            <w:tcW w:w="1417" w:type="dxa"/>
          </w:tcPr>
          <w:p>
            <w:pPr>
              <w:pStyle w:val="28"/>
              <w:jc w:val="center"/>
              <w:rPr>
                <w:rFonts w:ascii="仿宋_GB2312" w:hAnsi="仿宋_GB2312" w:eastAsia="仿宋_GB2312" w:cs="仿宋_GB2312"/>
                <w:color w:val="auto"/>
                <w:sz w:val="24"/>
                <w:szCs w:val="24"/>
                <w:highlight w:val="none"/>
              </w:rPr>
            </w:pPr>
          </w:p>
        </w:tc>
        <w:tc>
          <w:tcPr>
            <w:tcW w:w="2195" w:type="dxa"/>
          </w:tcPr>
          <w:p>
            <w:pPr>
              <w:pStyle w:val="28"/>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vAlign w:val="center"/>
          </w:tcPr>
          <w:p>
            <w:pPr>
              <w:spacing w:line="360" w:lineRule="auto"/>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w:t>
            </w:r>
            <w:r>
              <w:rPr>
                <w:rFonts w:hint="eastAsia" w:ascii="仿宋_GB2312" w:hAnsi="仿宋_GB2312" w:eastAsia="仿宋_GB2312" w:cs="仿宋_GB2312"/>
                <w:bCs/>
                <w:color w:val="auto"/>
                <w:sz w:val="24"/>
                <w:highlight w:val="none"/>
                <w:lang w:val="en-US" w:eastAsia="zh-CN"/>
              </w:rPr>
              <w:t>服务</w:t>
            </w:r>
            <w:r>
              <w:rPr>
                <w:rFonts w:hint="eastAsia" w:ascii="仿宋_GB2312" w:hAnsi="仿宋_GB2312" w:eastAsia="仿宋_GB2312" w:cs="仿宋_GB2312"/>
                <w:bCs/>
                <w:color w:val="auto"/>
                <w:sz w:val="24"/>
                <w:highlight w:val="none"/>
              </w:rPr>
              <w:t>期)</w:t>
            </w:r>
          </w:p>
        </w:tc>
        <w:tc>
          <w:tcPr>
            <w:tcW w:w="1701" w:type="dxa"/>
          </w:tcPr>
          <w:p>
            <w:pPr>
              <w:pStyle w:val="28"/>
              <w:ind w:left="1080" w:leftChars="257" w:hanging="540"/>
              <w:jc w:val="center"/>
              <w:rPr>
                <w:rFonts w:ascii="仿宋_GB2312" w:hAnsi="仿宋_GB2312" w:eastAsia="仿宋_GB2312" w:cs="仿宋_GB2312"/>
                <w:color w:val="auto"/>
                <w:sz w:val="24"/>
                <w:szCs w:val="24"/>
                <w:highlight w:val="none"/>
              </w:rPr>
            </w:pPr>
          </w:p>
        </w:tc>
        <w:tc>
          <w:tcPr>
            <w:tcW w:w="1417" w:type="dxa"/>
          </w:tcPr>
          <w:p>
            <w:pPr>
              <w:pStyle w:val="28"/>
              <w:ind w:left="1080" w:leftChars="257" w:hanging="540"/>
              <w:jc w:val="center"/>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vAlign w:val="center"/>
          </w:tcPr>
          <w:p>
            <w:pPr>
              <w:spacing w:line="360" w:lineRule="auto"/>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(付款方式)</w:t>
            </w:r>
          </w:p>
        </w:tc>
        <w:tc>
          <w:tcPr>
            <w:tcW w:w="1701" w:type="dxa"/>
          </w:tcPr>
          <w:p>
            <w:pPr>
              <w:pStyle w:val="28"/>
              <w:ind w:left="1080" w:leftChars="257" w:hanging="540"/>
              <w:rPr>
                <w:rFonts w:ascii="仿宋_GB2312" w:hAnsi="仿宋_GB2312" w:eastAsia="仿宋_GB2312" w:cs="仿宋_GB2312"/>
                <w:color w:val="auto"/>
                <w:sz w:val="24"/>
                <w:szCs w:val="24"/>
                <w:highlight w:val="none"/>
              </w:rPr>
            </w:pPr>
          </w:p>
        </w:tc>
        <w:tc>
          <w:tcPr>
            <w:tcW w:w="1417" w:type="dxa"/>
          </w:tcPr>
          <w:p>
            <w:pPr>
              <w:pStyle w:val="28"/>
              <w:ind w:left="1080" w:leftChars="257" w:hanging="540"/>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vAlign w:val="center"/>
          </w:tcPr>
          <w:p>
            <w:pPr>
              <w:spacing w:line="360" w:lineRule="auto"/>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w:t>
            </w:r>
          </w:p>
        </w:tc>
        <w:tc>
          <w:tcPr>
            <w:tcW w:w="1701" w:type="dxa"/>
          </w:tcPr>
          <w:p>
            <w:pPr>
              <w:pStyle w:val="28"/>
              <w:ind w:left="1080" w:leftChars="257" w:hanging="540"/>
              <w:rPr>
                <w:rFonts w:ascii="仿宋_GB2312" w:hAnsi="仿宋_GB2312" w:eastAsia="仿宋_GB2312" w:cs="仿宋_GB2312"/>
                <w:color w:val="auto"/>
                <w:sz w:val="24"/>
                <w:szCs w:val="24"/>
                <w:highlight w:val="none"/>
              </w:rPr>
            </w:pPr>
          </w:p>
        </w:tc>
        <w:tc>
          <w:tcPr>
            <w:tcW w:w="1417" w:type="dxa"/>
          </w:tcPr>
          <w:p>
            <w:pPr>
              <w:pStyle w:val="28"/>
              <w:ind w:left="1080" w:leftChars="257" w:hanging="540"/>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vAlign w:val="center"/>
          </w:tcPr>
          <w:p>
            <w:pPr>
              <w:spacing w:line="360" w:lineRule="auto"/>
              <w:jc w:val="center"/>
              <w:rPr>
                <w:rFonts w:ascii="仿宋_GB2312" w:hAnsi="仿宋_GB2312" w:eastAsia="仿宋_GB2312" w:cs="仿宋_GB2312"/>
                <w:bCs/>
                <w:color w:val="auto"/>
                <w:sz w:val="24"/>
                <w:highlight w:val="none"/>
              </w:rPr>
            </w:pPr>
          </w:p>
        </w:tc>
        <w:tc>
          <w:tcPr>
            <w:tcW w:w="1701" w:type="dxa"/>
          </w:tcPr>
          <w:p>
            <w:pPr>
              <w:pStyle w:val="28"/>
              <w:ind w:left="1080" w:leftChars="257" w:hanging="540"/>
              <w:rPr>
                <w:rFonts w:ascii="仿宋_GB2312" w:hAnsi="仿宋_GB2312" w:eastAsia="仿宋_GB2312" w:cs="仿宋_GB2312"/>
                <w:color w:val="auto"/>
                <w:sz w:val="24"/>
                <w:szCs w:val="24"/>
                <w:highlight w:val="none"/>
              </w:rPr>
            </w:pPr>
          </w:p>
        </w:tc>
        <w:tc>
          <w:tcPr>
            <w:tcW w:w="1417" w:type="dxa"/>
          </w:tcPr>
          <w:p>
            <w:pPr>
              <w:pStyle w:val="28"/>
              <w:ind w:left="1080" w:leftChars="257" w:hanging="540"/>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vAlign w:val="center"/>
          </w:tcPr>
          <w:p>
            <w:pPr>
              <w:spacing w:line="360" w:lineRule="auto"/>
              <w:jc w:val="center"/>
              <w:rPr>
                <w:rFonts w:ascii="仿宋_GB2312" w:hAnsi="仿宋_GB2312" w:eastAsia="仿宋_GB2312" w:cs="仿宋_GB2312"/>
                <w:bCs/>
                <w:color w:val="auto"/>
                <w:sz w:val="24"/>
                <w:highlight w:val="none"/>
              </w:rPr>
            </w:pPr>
          </w:p>
        </w:tc>
        <w:tc>
          <w:tcPr>
            <w:tcW w:w="1701" w:type="dxa"/>
          </w:tcPr>
          <w:p>
            <w:pPr>
              <w:pStyle w:val="28"/>
              <w:ind w:left="1080" w:leftChars="257" w:hanging="540"/>
              <w:rPr>
                <w:rFonts w:ascii="仿宋_GB2312" w:hAnsi="仿宋_GB2312" w:eastAsia="仿宋_GB2312" w:cs="仿宋_GB2312"/>
                <w:color w:val="auto"/>
                <w:sz w:val="24"/>
                <w:szCs w:val="24"/>
                <w:highlight w:val="none"/>
              </w:rPr>
            </w:pPr>
          </w:p>
        </w:tc>
        <w:tc>
          <w:tcPr>
            <w:tcW w:w="1417" w:type="dxa"/>
          </w:tcPr>
          <w:p>
            <w:pPr>
              <w:pStyle w:val="28"/>
              <w:ind w:left="1080" w:leftChars="257" w:hanging="540"/>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vAlign w:val="center"/>
          </w:tcPr>
          <w:p>
            <w:pPr>
              <w:spacing w:line="360" w:lineRule="auto"/>
              <w:jc w:val="center"/>
              <w:rPr>
                <w:rFonts w:ascii="仿宋_GB2312" w:hAnsi="仿宋_GB2312" w:eastAsia="仿宋_GB2312" w:cs="仿宋_GB2312"/>
                <w:bCs/>
                <w:color w:val="auto"/>
                <w:sz w:val="24"/>
                <w:highlight w:val="none"/>
              </w:rPr>
            </w:pPr>
          </w:p>
        </w:tc>
        <w:tc>
          <w:tcPr>
            <w:tcW w:w="1701" w:type="dxa"/>
          </w:tcPr>
          <w:p>
            <w:pPr>
              <w:pStyle w:val="28"/>
              <w:ind w:left="1080" w:leftChars="257" w:hanging="540"/>
              <w:rPr>
                <w:rFonts w:ascii="仿宋_GB2312" w:hAnsi="仿宋_GB2312" w:eastAsia="仿宋_GB2312" w:cs="仿宋_GB2312"/>
                <w:color w:val="auto"/>
                <w:sz w:val="24"/>
                <w:szCs w:val="24"/>
                <w:highlight w:val="none"/>
              </w:rPr>
            </w:pPr>
          </w:p>
        </w:tc>
        <w:tc>
          <w:tcPr>
            <w:tcW w:w="1417" w:type="dxa"/>
          </w:tcPr>
          <w:p>
            <w:pPr>
              <w:pStyle w:val="28"/>
              <w:ind w:left="1080" w:leftChars="257" w:hanging="540"/>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tcPr>
          <w:p>
            <w:pPr>
              <w:pStyle w:val="28"/>
              <w:ind w:left="1080" w:leftChars="257" w:hanging="540"/>
              <w:rPr>
                <w:rFonts w:ascii="仿宋_GB2312" w:hAnsi="仿宋_GB2312" w:eastAsia="仿宋_GB2312" w:cs="仿宋_GB2312"/>
                <w:color w:val="auto"/>
                <w:sz w:val="24"/>
                <w:szCs w:val="24"/>
                <w:highlight w:val="none"/>
              </w:rPr>
            </w:pPr>
          </w:p>
        </w:tc>
        <w:tc>
          <w:tcPr>
            <w:tcW w:w="1701" w:type="dxa"/>
          </w:tcPr>
          <w:p>
            <w:pPr>
              <w:pStyle w:val="28"/>
              <w:ind w:left="1080" w:leftChars="257" w:hanging="540"/>
              <w:rPr>
                <w:rFonts w:ascii="仿宋_GB2312" w:hAnsi="仿宋_GB2312" w:eastAsia="仿宋_GB2312" w:cs="仿宋_GB2312"/>
                <w:color w:val="auto"/>
                <w:sz w:val="24"/>
                <w:szCs w:val="24"/>
                <w:highlight w:val="none"/>
              </w:rPr>
            </w:pPr>
          </w:p>
        </w:tc>
        <w:tc>
          <w:tcPr>
            <w:tcW w:w="1417" w:type="dxa"/>
          </w:tcPr>
          <w:p>
            <w:pPr>
              <w:pStyle w:val="28"/>
              <w:ind w:left="1080" w:leftChars="257" w:hanging="540"/>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tcPr>
          <w:p>
            <w:pPr>
              <w:pStyle w:val="28"/>
              <w:ind w:left="1080" w:leftChars="257" w:hanging="540"/>
              <w:rPr>
                <w:rFonts w:ascii="仿宋_GB2312" w:hAnsi="仿宋_GB2312" w:eastAsia="仿宋_GB2312" w:cs="仿宋_GB2312"/>
                <w:color w:val="auto"/>
                <w:sz w:val="24"/>
                <w:szCs w:val="24"/>
                <w:highlight w:val="none"/>
              </w:rPr>
            </w:pPr>
          </w:p>
        </w:tc>
        <w:tc>
          <w:tcPr>
            <w:tcW w:w="1701" w:type="dxa"/>
          </w:tcPr>
          <w:p>
            <w:pPr>
              <w:pStyle w:val="28"/>
              <w:ind w:left="1080" w:leftChars="257" w:hanging="540"/>
              <w:rPr>
                <w:rFonts w:ascii="仿宋_GB2312" w:hAnsi="仿宋_GB2312" w:eastAsia="仿宋_GB2312" w:cs="仿宋_GB2312"/>
                <w:color w:val="auto"/>
                <w:sz w:val="24"/>
                <w:szCs w:val="24"/>
                <w:highlight w:val="none"/>
              </w:rPr>
            </w:pPr>
          </w:p>
        </w:tc>
        <w:tc>
          <w:tcPr>
            <w:tcW w:w="1417" w:type="dxa"/>
          </w:tcPr>
          <w:p>
            <w:pPr>
              <w:pStyle w:val="28"/>
              <w:ind w:left="1080" w:leftChars="257" w:hanging="540"/>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tcPr>
          <w:p>
            <w:pPr>
              <w:pStyle w:val="28"/>
              <w:ind w:left="1080" w:leftChars="257" w:hanging="540"/>
              <w:rPr>
                <w:rFonts w:ascii="仿宋_GB2312" w:hAnsi="仿宋_GB2312" w:eastAsia="仿宋_GB2312" w:cs="仿宋_GB2312"/>
                <w:color w:val="auto"/>
                <w:sz w:val="24"/>
                <w:szCs w:val="24"/>
                <w:highlight w:val="none"/>
              </w:rPr>
            </w:pPr>
          </w:p>
        </w:tc>
        <w:tc>
          <w:tcPr>
            <w:tcW w:w="1701" w:type="dxa"/>
          </w:tcPr>
          <w:p>
            <w:pPr>
              <w:pStyle w:val="28"/>
              <w:ind w:left="1080" w:leftChars="257" w:hanging="540"/>
              <w:rPr>
                <w:rFonts w:ascii="仿宋_GB2312" w:hAnsi="仿宋_GB2312" w:eastAsia="仿宋_GB2312" w:cs="仿宋_GB2312"/>
                <w:color w:val="auto"/>
                <w:sz w:val="24"/>
                <w:szCs w:val="24"/>
                <w:highlight w:val="none"/>
              </w:rPr>
            </w:pPr>
          </w:p>
        </w:tc>
        <w:tc>
          <w:tcPr>
            <w:tcW w:w="1417" w:type="dxa"/>
          </w:tcPr>
          <w:p>
            <w:pPr>
              <w:pStyle w:val="28"/>
              <w:ind w:left="1080" w:leftChars="257" w:hanging="540"/>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仿宋_GB2312" w:hAnsi="仿宋_GB2312" w:eastAsia="仿宋_GB2312" w:cs="仿宋_GB2312"/>
                <w:color w:val="auto"/>
                <w:sz w:val="24"/>
                <w:szCs w:val="24"/>
                <w:highlight w:val="none"/>
              </w:rPr>
            </w:pPr>
          </w:p>
        </w:tc>
        <w:tc>
          <w:tcPr>
            <w:tcW w:w="2835" w:type="dxa"/>
          </w:tcPr>
          <w:p>
            <w:pPr>
              <w:pStyle w:val="28"/>
              <w:ind w:left="1080" w:leftChars="257" w:hanging="540"/>
              <w:rPr>
                <w:rFonts w:ascii="仿宋_GB2312" w:hAnsi="仿宋_GB2312" w:eastAsia="仿宋_GB2312" w:cs="仿宋_GB2312"/>
                <w:color w:val="auto"/>
                <w:sz w:val="24"/>
                <w:szCs w:val="24"/>
                <w:highlight w:val="none"/>
              </w:rPr>
            </w:pPr>
          </w:p>
        </w:tc>
        <w:tc>
          <w:tcPr>
            <w:tcW w:w="1701" w:type="dxa"/>
          </w:tcPr>
          <w:p>
            <w:pPr>
              <w:pStyle w:val="28"/>
              <w:ind w:left="1080" w:leftChars="257" w:hanging="540"/>
              <w:rPr>
                <w:rFonts w:ascii="仿宋_GB2312" w:hAnsi="仿宋_GB2312" w:eastAsia="仿宋_GB2312" w:cs="仿宋_GB2312"/>
                <w:color w:val="auto"/>
                <w:sz w:val="24"/>
                <w:szCs w:val="24"/>
                <w:highlight w:val="none"/>
              </w:rPr>
            </w:pPr>
          </w:p>
        </w:tc>
        <w:tc>
          <w:tcPr>
            <w:tcW w:w="1417" w:type="dxa"/>
          </w:tcPr>
          <w:p>
            <w:pPr>
              <w:pStyle w:val="28"/>
              <w:ind w:left="1080" w:leftChars="257" w:hanging="540"/>
              <w:rPr>
                <w:rFonts w:ascii="仿宋_GB2312" w:hAnsi="仿宋_GB2312" w:eastAsia="仿宋_GB2312" w:cs="仿宋_GB2312"/>
                <w:color w:val="auto"/>
                <w:sz w:val="24"/>
                <w:szCs w:val="24"/>
                <w:highlight w:val="none"/>
              </w:rPr>
            </w:pPr>
          </w:p>
        </w:tc>
        <w:tc>
          <w:tcPr>
            <w:tcW w:w="2195" w:type="dxa"/>
          </w:tcPr>
          <w:p>
            <w:pPr>
              <w:pStyle w:val="28"/>
              <w:ind w:left="1080" w:leftChars="257" w:hanging="540"/>
              <w:rPr>
                <w:rFonts w:ascii="仿宋_GB2312" w:hAnsi="仿宋_GB2312" w:eastAsia="仿宋_GB2312" w:cs="仿宋_GB2312"/>
                <w:color w:val="auto"/>
                <w:sz w:val="24"/>
                <w:szCs w:val="24"/>
                <w:highlight w:val="none"/>
              </w:rPr>
            </w:pPr>
          </w:p>
        </w:tc>
      </w:tr>
    </w:tbl>
    <w:p>
      <w:pPr>
        <w:pStyle w:val="28"/>
        <w:ind w:left="1080" w:leftChars="257" w:hanging="540"/>
        <w:rPr>
          <w:rFonts w:ascii="仿宋_GB2312" w:hAnsi="仿宋_GB2312" w:eastAsia="仿宋_GB2312" w:cs="仿宋_GB2312"/>
          <w:color w:val="auto"/>
          <w:sz w:val="24"/>
          <w:szCs w:val="24"/>
          <w:highlight w:val="none"/>
        </w:rPr>
      </w:pP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供应商（公章）：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法定代表人或其授权代表（签字或盖章）：</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320" w:firstLineChars="18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snapToGrid w:val="0"/>
        <w:spacing w:after="120" w:afterLines="50"/>
        <w:ind w:left="910" w:leftChars="203" w:hanging="484" w:hangingChars="202"/>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注：</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1、对完全响应的，在下表相应列中标注“○”。对有偏离的条目在本表相应列中标注“正偏离”或“负偏离”，并在“偏离简述”栏中加以说明。</w:t>
      </w:r>
    </w:p>
    <w:p>
      <w:pPr>
        <w:snapToGrid w:val="0"/>
        <w:spacing w:after="120" w:afterLines="50"/>
        <w:ind w:left="842" w:leftChars="401"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2、正偏离是指应答的条件高于磋商文件要求，负偏离是指应答的条件低于磋商文件要求，正偏离项目不作扣分处理。</w:t>
      </w:r>
    </w:p>
    <w:p>
      <w:pPr>
        <w:snapToGrid w:val="0"/>
        <w:spacing w:after="120" w:afterLines="50"/>
        <w:ind w:left="842" w:leftChars="401"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3、供应商须完整填写响应表。如果未完整填写本表的各项内容则视作供应商已经对磋商文件相关要求和内容完全</w:t>
      </w:r>
      <w:r>
        <w:rPr>
          <w:rFonts w:hint="eastAsia" w:ascii="仿宋_GB2312" w:hAnsi="仿宋_GB2312" w:eastAsia="仿宋_GB2312" w:cs="仿宋_GB2312"/>
          <w:color w:val="auto"/>
          <w:highlight w:val="none"/>
          <w:lang w:val="en-US" w:eastAsia="zh-CN"/>
        </w:rPr>
        <w:t>响应</w:t>
      </w:r>
      <w:r>
        <w:rPr>
          <w:rFonts w:hint="eastAsia" w:ascii="仿宋_GB2312" w:hAnsi="仿宋_GB2312" w:eastAsia="仿宋_GB2312" w:cs="仿宋_GB2312"/>
          <w:color w:val="auto"/>
          <w:highlight w:val="none"/>
        </w:rPr>
        <w:t>，其报价为在此基础上的完全价格。</w:t>
      </w:r>
    </w:p>
    <w:p>
      <w:pPr>
        <w:snapToGrid w:val="0"/>
        <w:spacing w:after="120" w:afterLines="50"/>
        <w:ind w:left="842" w:leftChars="401"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28"/>
        <w:ind w:left="1080" w:leftChars="257" w:hanging="540"/>
        <w:rPr>
          <w:rFonts w:ascii="仿宋_GB2312" w:hAnsi="仿宋_GB2312" w:eastAsia="仿宋_GB2312" w:cs="仿宋_GB2312"/>
          <w:color w:val="auto"/>
          <w:sz w:val="24"/>
          <w:szCs w:val="24"/>
          <w:highlight w:val="none"/>
        </w:rPr>
      </w:pPr>
    </w:p>
    <w:p>
      <w:pPr>
        <w:ind w:firstLine="2951" w:firstLineChars="1050"/>
        <w:rPr>
          <w:rFonts w:ascii="仿宋_GB2312" w:hAnsi="仿宋_GB2312" w:eastAsia="仿宋_GB2312" w:cs="仿宋_GB2312"/>
          <w:b/>
          <w:color w:val="auto"/>
          <w:sz w:val="28"/>
          <w:szCs w:val="28"/>
          <w:highlight w:val="none"/>
        </w:rPr>
      </w:pPr>
      <w:bookmarkStart w:id="505" w:name="_Toc414445775"/>
      <w:bookmarkStart w:id="506" w:name="_Toc416103825"/>
      <w:bookmarkStart w:id="507" w:name="_Toc7005136"/>
      <w:bookmarkStart w:id="508" w:name="_Toc410631184"/>
      <w:r>
        <w:rPr>
          <w:rFonts w:hint="eastAsia" w:ascii="仿宋_GB2312" w:hAnsi="仿宋_GB2312" w:eastAsia="仿宋_GB2312" w:cs="仿宋_GB2312"/>
          <w:b/>
          <w:color w:val="auto"/>
          <w:sz w:val="28"/>
          <w:szCs w:val="28"/>
          <w:highlight w:val="none"/>
        </w:rPr>
        <w:br w:type="page"/>
      </w:r>
      <w:r>
        <w:rPr>
          <w:rFonts w:hint="eastAsia" w:ascii="仿宋_GB2312" w:hAnsi="仿宋_GB2312" w:eastAsia="仿宋_GB2312" w:cs="仿宋_GB2312"/>
          <w:b/>
          <w:color w:val="auto"/>
          <w:sz w:val="28"/>
          <w:szCs w:val="28"/>
          <w:highlight w:val="none"/>
        </w:rPr>
        <w:t>二、技术偏离表</w:t>
      </w:r>
      <w:bookmarkEnd w:id="505"/>
      <w:bookmarkEnd w:id="506"/>
      <w:bookmarkEnd w:id="507"/>
      <w:bookmarkEnd w:id="508"/>
    </w:p>
    <w:p>
      <w:pPr>
        <w:spacing w:after="240"/>
        <w:ind w:hanging="119"/>
        <w:rPr>
          <w:rFonts w:ascii="仿宋_GB2312" w:hAnsi="仿宋_GB2312" w:eastAsia="仿宋_GB2312" w:cs="仿宋_GB2312"/>
          <w:color w:val="auto"/>
          <w:highlight w:val="none"/>
        </w:rPr>
      </w:pPr>
    </w:p>
    <w:p>
      <w:pPr>
        <w:spacing w:after="240"/>
        <w:ind w:left="105" w:leftChars="50"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项目编号:</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磋商文件条目号</w:t>
            </w:r>
          </w:p>
        </w:tc>
        <w:tc>
          <w:tcPr>
            <w:tcW w:w="1932" w:type="dxa"/>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技术条款要求</w:t>
            </w:r>
          </w:p>
        </w:tc>
        <w:tc>
          <w:tcPr>
            <w:tcW w:w="1236" w:type="dxa"/>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完全响应</w:t>
            </w:r>
          </w:p>
        </w:tc>
        <w:tc>
          <w:tcPr>
            <w:tcW w:w="1236" w:type="dxa"/>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有偏离</w:t>
            </w:r>
          </w:p>
        </w:tc>
        <w:tc>
          <w:tcPr>
            <w:tcW w:w="2394" w:type="dxa"/>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_GB2312" w:hAnsi="仿宋_GB2312" w:eastAsia="仿宋_GB2312" w:cs="仿宋_GB2312"/>
                <w:color w:val="auto"/>
                <w:sz w:val="24"/>
                <w:highlight w:val="none"/>
              </w:rPr>
            </w:pPr>
          </w:p>
        </w:tc>
        <w:tc>
          <w:tcPr>
            <w:tcW w:w="1932"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2394" w:type="dxa"/>
          </w:tcPr>
          <w:p>
            <w:pPr>
              <w:spacing w:line="400" w:lineRule="exact"/>
              <w:rPr>
                <w:rFonts w:ascii="仿宋_GB2312" w:hAnsi="仿宋_GB2312"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_GB2312" w:hAnsi="仿宋_GB2312" w:eastAsia="仿宋_GB2312" w:cs="仿宋_GB2312"/>
                <w:color w:val="auto"/>
                <w:sz w:val="24"/>
                <w:highlight w:val="none"/>
              </w:rPr>
            </w:pPr>
          </w:p>
        </w:tc>
        <w:tc>
          <w:tcPr>
            <w:tcW w:w="1932"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2394" w:type="dxa"/>
          </w:tcPr>
          <w:p>
            <w:pPr>
              <w:spacing w:line="400" w:lineRule="exact"/>
              <w:rPr>
                <w:rFonts w:ascii="仿宋_GB2312" w:hAnsi="仿宋_GB2312"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_GB2312" w:hAnsi="仿宋_GB2312" w:eastAsia="仿宋_GB2312" w:cs="仿宋_GB2312"/>
                <w:color w:val="auto"/>
                <w:sz w:val="24"/>
                <w:highlight w:val="none"/>
              </w:rPr>
            </w:pPr>
          </w:p>
        </w:tc>
        <w:tc>
          <w:tcPr>
            <w:tcW w:w="1932"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2394" w:type="dxa"/>
          </w:tcPr>
          <w:p>
            <w:pPr>
              <w:spacing w:line="400" w:lineRule="exact"/>
              <w:rPr>
                <w:rFonts w:ascii="仿宋_GB2312" w:hAnsi="仿宋_GB2312"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_GB2312" w:hAnsi="仿宋_GB2312" w:eastAsia="仿宋_GB2312" w:cs="仿宋_GB2312"/>
                <w:color w:val="auto"/>
                <w:sz w:val="24"/>
                <w:highlight w:val="none"/>
              </w:rPr>
            </w:pPr>
          </w:p>
        </w:tc>
        <w:tc>
          <w:tcPr>
            <w:tcW w:w="1932"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2394" w:type="dxa"/>
          </w:tcPr>
          <w:p>
            <w:pPr>
              <w:spacing w:line="400" w:lineRule="exact"/>
              <w:rPr>
                <w:rFonts w:ascii="仿宋_GB2312" w:hAnsi="仿宋_GB2312"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_GB2312" w:hAnsi="仿宋_GB2312" w:eastAsia="仿宋_GB2312" w:cs="仿宋_GB2312"/>
                <w:color w:val="auto"/>
                <w:sz w:val="24"/>
                <w:highlight w:val="none"/>
              </w:rPr>
            </w:pPr>
          </w:p>
        </w:tc>
        <w:tc>
          <w:tcPr>
            <w:tcW w:w="1932"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2394" w:type="dxa"/>
          </w:tcPr>
          <w:p>
            <w:pPr>
              <w:spacing w:line="400" w:lineRule="exact"/>
              <w:rPr>
                <w:rFonts w:ascii="仿宋_GB2312" w:hAnsi="仿宋_GB2312"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_GB2312" w:hAnsi="仿宋_GB2312" w:eastAsia="仿宋_GB2312" w:cs="仿宋_GB2312"/>
                <w:color w:val="auto"/>
                <w:sz w:val="24"/>
                <w:highlight w:val="none"/>
              </w:rPr>
            </w:pPr>
          </w:p>
        </w:tc>
        <w:tc>
          <w:tcPr>
            <w:tcW w:w="1932" w:type="dxa"/>
          </w:tcPr>
          <w:p>
            <w:pPr>
              <w:spacing w:line="400" w:lineRule="exact"/>
              <w:rPr>
                <w:rFonts w:ascii="仿宋_GB2312" w:hAnsi="仿宋_GB2312" w:eastAsia="仿宋_GB2312" w:cs="仿宋_GB2312"/>
                <w:bCs/>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2394" w:type="dxa"/>
          </w:tcPr>
          <w:p>
            <w:pPr>
              <w:spacing w:line="400" w:lineRule="exact"/>
              <w:rPr>
                <w:rFonts w:ascii="仿宋_GB2312" w:hAnsi="仿宋_GB2312"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_GB2312" w:hAnsi="仿宋_GB2312" w:eastAsia="仿宋_GB2312" w:cs="仿宋_GB2312"/>
                <w:color w:val="auto"/>
                <w:sz w:val="24"/>
                <w:highlight w:val="none"/>
              </w:rPr>
            </w:pPr>
          </w:p>
        </w:tc>
        <w:tc>
          <w:tcPr>
            <w:tcW w:w="1932" w:type="dxa"/>
          </w:tcPr>
          <w:p>
            <w:pPr>
              <w:spacing w:line="400" w:lineRule="exact"/>
              <w:rPr>
                <w:rFonts w:ascii="仿宋_GB2312" w:hAnsi="仿宋_GB2312" w:eastAsia="仿宋_GB2312" w:cs="仿宋_GB2312"/>
                <w:bCs/>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1236" w:type="dxa"/>
          </w:tcPr>
          <w:p>
            <w:pPr>
              <w:spacing w:line="400" w:lineRule="exact"/>
              <w:rPr>
                <w:rFonts w:ascii="仿宋_GB2312" w:hAnsi="仿宋_GB2312" w:eastAsia="仿宋_GB2312" w:cs="仿宋_GB2312"/>
                <w:color w:val="auto"/>
                <w:sz w:val="24"/>
                <w:highlight w:val="none"/>
              </w:rPr>
            </w:pPr>
          </w:p>
        </w:tc>
        <w:tc>
          <w:tcPr>
            <w:tcW w:w="2394" w:type="dxa"/>
          </w:tcPr>
          <w:p>
            <w:pPr>
              <w:spacing w:line="400" w:lineRule="exact"/>
              <w:rPr>
                <w:rFonts w:ascii="仿宋_GB2312" w:hAnsi="仿宋_GB2312" w:eastAsia="仿宋_GB2312" w:cs="仿宋_GB2312"/>
                <w:color w:val="auto"/>
                <w:sz w:val="24"/>
                <w:highlight w:val="none"/>
              </w:rPr>
            </w:pPr>
          </w:p>
        </w:tc>
      </w:tr>
    </w:tbl>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供应商（公章）： </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法定代表人或其授权代表（签字或盖章）：</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spacing w:line="360" w:lineRule="auto"/>
        <w:rPr>
          <w:rFonts w:ascii="仿宋_GB2312" w:hAnsi="仿宋_GB2312" w:eastAsia="仿宋_GB2312" w:cs="仿宋_GB2312"/>
          <w:color w:val="auto"/>
          <w:highlight w:val="none"/>
        </w:rPr>
      </w:pPr>
    </w:p>
    <w:p>
      <w:pPr>
        <w:snapToGrid w:val="0"/>
        <w:spacing w:after="120" w:afterLines="50"/>
        <w:ind w:left="850" w:hanging="850" w:hangingChars="405"/>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注：1.</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对完全响应的条目在本表相应列中标注“○”。对有偏离的条目在本表相应列中标注“正偏离”或“负偏离”。并在“偏离简述”栏中加以说明。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正偏离是指应答的条件高于磋商文件要求，负偏离是指应答的条件低于磋商文件要求，正偏离项目不作扣分处理。</w:t>
      </w:r>
    </w:p>
    <w:p>
      <w:pPr>
        <w:tabs>
          <w:tab w:val="left" w:pos="1200"/>
        </w:tabs>
        <w:snapToGrid w:val="0"/>
        <w:spacing w:after="120" w:afterLines="50"/>
        <w:ind w:left="850" w:leftChars="203" w:hanging="424" w:hangingChars="202"/>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供应商须按照用户需求书逐条完整填写响应表。如果未完整填写响应表的各项内容则视作供应商已经对磋商文件相关要求和内容完全</w:t>
      </w:r>
      <w:r>
        <w:rPr>
          <w:rFonts w:hint="eastAsia" w:ascii="仿宋_GB2312" w:hAnsi="仿宋_GB2312" w:eastAsia="仿宋_GB2312" w:cs="仿宋_GB2312"/>
          <w:color w:val="auto"/>
          <w:highlight w:val="none"/>
          <w:lang w:val="en-US" w:eastAsia="zh-CN"/>
        </w:rPr>
        <w:t>响应</w:t>
      </w:r>
      <w:r>
        <w:rPr>
          <w:rFonts w:hint="eastAsia" w:ascii="仿宋_GB2312" w:hAnsi="仿宋_GB2312" w:eastAsia="仿宋_GB2312" w:cs="仿宋_GB2312"/>
          <w:color w:val="auto"/>
          <w:highlight w:val="none"/>
        </w:rPr>
        <w:t>，其报价为在此基础上的完全价格。</w:t>
      </w:r>
    </w:p>
    <w:p>
      <w:pPr>
        <w:tabs>
          <w:tab w:val="left" w:pos="1200"/>
        </w:tabs>
        <w:snapToGrid w:val="0"/>
        <w:spacing w:after="120" w:afterLines="50"/>
        <w:ind w:left="850" w:leftChars="203" w:hanging="424" w:hangingChars="202"/>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ascii="仿宋_GB2312" w:hAnsi="仿宋_GB2312" w:eastAsia="仿宋_GB2312" w:cs="仿宋_GB2312"/>
          <w:b/>
          <w:color w:val="auto"/>
          <w:sz w:val="32"/>
          <w:szCs w:val="32"/>
          <w:highlight w:val="none"/>
        </w:rPr>
      </w:pPr>
    </w:p>
    <w:p>
      <w:pPr>
        <w:autoSpaceDE w:val="0"/>
        <w:autoSpaceDN w:val="0"/>
        <w:adjustRightInd w:val="0"/>
        <w:snapToGrid w:val="0"/>
        <w:spacing w:line="360" w:lineRule="auto"/>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highlight w:val="none"/>
        </w:rPr>
        <w:br w:type="page"/>
      </w:r>
    </w:p>
    <w:p>
      <w:pPr>
        <w:pStyle w:val="195"/>
        <w:ind w:firstLine="2570" w:firstLineChars="800"/>
        <w:rPr>
          <w:rFonts w:ascii="仿宋" w:hAnsi="仿宋" w:eastAsia="仿宋"/>
          <w:b/>
          <w:color w:val="auto"/>
          <w:sz w:val="32"/>
          <w:szCs w:val="32"/>
          <w:highlight w:val="none"/>
        </w:rPr>
      </w:pPr>
      <w:r>
        <w:rPr>
          <w:rFonts w:hint="eastAsia" w:ascii="仿宋" w:hAnsi="仿宋" w:eastAsia="仿宋"/>
          <w:b/>
          <w:color w:val="auto"/>
          <w:sz w:val="32"/>
          <w:szCs w:val="32"/>
          <w:highlight w:val="none"/>
        </w:rPr>
        <w:t>第四部分  响应方案说明</w:t>
      </w:r>
    </w:p>
    <w:p>
      <w:pPr>
        <w:pStyle w:val="2"/>
        <w:rPr>
          <w:rFonts w:ascii="仿宋_GB2312" w:hAnsi="仿宋_GB2312" w:eastAsia="仿宋_GB2312" w:cs="仿宋_GB2312"/>
          <w:color w:val="auto"/>
          <w:highlight w:val="none"/>
          <w:lang w:val="zh-CN"/>
        </w:rPr>
      </w:pPr>
    </w:p>
    <w:p>
      <w:pPr>
        <w:autoSpaceDE w:val="0"/>
        <w:autoSpaceDN w:val="0"/>
        <w:adjustRightInd w:val="0"/>
        <w:spacing w:line="360" w:lineRule="auto"/>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（格式自拟，内容需符合评审办法中要求的内容要求）</w:t>
      </w:r>
    </w:p>
    <w:p>
      <w:pPr>
        <w:pStyle w:val="2"/>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br w:type="page"/>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spacing w:after="120"/>
        <w:rPr>
          <w:rFonts w:ascii="仿宋_GB2312" w:hAnsi="仿宋_GB2312" w:eastAsia="仿宋_GB2312" w:cs="仿宋_GB2312"/>
          <w:color w:val="auto"/>
          <w:highlight w:val="none"/>
        </w:rPr>
      </w:pPr>
    </w:p>
    <w:p>
      <w:pPr>
        <w:pStyle w:val="195"/>
        <w:ind w:firstLine="0"/>
        <w:rPr>
          <w:rFonts w:ascii="仿宋" w:hAnsi="仿宋" w:eastAsia="仿宋"/>
          <w:b/>
          <w:color w:val="auto"/>
          <w:sz w:val="32"/>
          <w:szCs w:val="32"/>
          <w:highlight w:val="none"/>
        </w:rPr>
      </w:pPr>
      <w:r>
        <w:rPr>
          <w:rFonts w:hint="eastAsia" w:ascii="仿宋" w:hAnsi="仿宋" w:eastAsia="仿宋"/>
          <w:b/>
          <w:color w:val="auto"/>
          <w:sz w:val="32"/>
          <w:szCs w:val="32"/>
          <w:highlight w:val="none"/>
        </w:rPr>
        <w:t>第五部分 小微企业、监狱企业、残疾人福利单位声明函或证明</w:t>
      </w:r>
    </w:p>
    <w:p>
      <w:pPr>
        <w:pStyle w:val="195"/>
        <w:rPr>
          <w:rFonts w:ascii="仿宋" w:hAnsi="仿宋" w:eastAsia="仿宋"/>
          <w:b/>
          <w:bCs/>
          <w:color w:val="auto"/>
          <w:sz w:val="32"/>
          <w:szCs w:val="32"/>
          <w:highlight w:val="none"/>
        </w:rPr>
      </w:pPr>
    </w:p>
    <w:p>
      <w:pPr>
        <w:jc w:val="center"/>
        <w:rPr>
          <w:rFonts w:ascii="仿宋_GB2312" w:hAnsi="仿宋_GB2312" w:eastAsia="仿宋_GB2312" w:cs="仿宋_GB2312"/>
          <w:b/>
          <w:color w:val="auto"/>
          <w:kern w:val="0"/>
          <w:sz w:val="28"/>
          <w:szCs w:val="28"/>
          <w:highlight w:val="none"/>
        </w:rPr>
      </w:pPr>
      <w:bookmarkStart w:id="509" w:name="_Toc7005133"/>
      <w:r>
        <w:rPr>
          <w:rFonts w:hint="eastAsia" w:ascii="仿宋_GB2312" w:hAnsi="仿宋_GB2312" w:eastAsia="仿宋_GB2312" w:cs="仿宋_GB2312"/>
          <w:b/>
          <w:color w:val="auto"/>
          <w:kern w:val="0"/>
          <w:sz w:val="28"/>
          <w:szCs w:val="28"/>
          <w:highlight w:val="none"/>
        </w:rPr>
        <w:t>中小企业声明函</w:t>
      </w:r>
    </w:p>
    <w:p>
      <w:pPr>
        <w:rPr>
          <w:rFonts w:ascii="仿宋_GB2312" w:hAnsi="仿宋_GB2312" w:eastAsia="仿宋_GB2312" w:cs="仿宋_GB2312"/>
          <w:color w:val="auto"/>
          <w:kern w:val="0"/>
          <w:sz w:val="30"/>
          <w:szCs w:val="30"/>
          <w:highlight w:val="none"/>
        </w:rPr>
      </w:pP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本公司郑重声明，根据《政府采购促进中小企业发展管理办法》(财库(2020)46号)的规定，本公司参加</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(单位名称)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 xml:space="preserve"> 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(项目名称)</w:t>
      </w:r>
      <w:r>
        <w:rPr>
          <w:rFonts w:hint="eastAsia" w:ascii="仿宋_GB2312" w:hAnsi="仿宋_GB2312" w:eastAsia="仿宋_GB2312" w:cs="仿宋_GB2312"/>
          <w:color w:val="auto"/>
          <w:kern w:val="0"/>
          <w:sz w:val="24"/>
          <w:highlight w:val="none"/>
          <w:u w:val="single"/>
        </w:rPr>
        <w:t xml:space="preserve"> 采购</w:t>
      </w:r>
      <w:r>
        <w:rPr>
          <w:rFonts w:hint="eastAsia" w:ascii="仿宋_GB2312" w:hAnsi="仿宋_GB2312" w:eastAsia="仿宋_GB2312" w:cs="仿宋_GB2312"/>
          <w:color w:val="auto"/>
          <w:kern w:val="0"/>
          <w:sz w:val="24"/>
          <w:highlight w:val="none"/>
        </w:rPr>
        <w:t>活动，服务由符合政策要求的中小企业承接。企业的具体情况如下：</w:t>
      </w:r>
    </w:p>
    <w:p>
      <w:pPr>
        <w:pStyle w:val="67"/>
        <w:numPr>
          <w:ilvl w:val="0"/>
          <w:numId w:val="18"/>
        </w:numPr>
        <w:spacing w:line="560" w:lineRule="exact"/>
        <w:ind w:firstLineChars="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i/>
          <w:color w:val="auto"/>
          <w:kern w:val="0"/>
          <w:sz w:val="24"/>
          <w:szCs w:val="24"/>
          <w:highlight w:val="none"/>
          <w:u w:val="single"/>
        </w:rPr>
        <w:t xml:space="preserve"> (标的名称) </w:t>
      </w:r>
      <w:r>
        <w:rPr>
          <w:rFonts w:hint="eastAsia" w:ascii="仿宋_GB2312" w:hAnsi="仿宋_GB2312" w:eastAsia="仿宋_GB2312" w:cs="仿宋_GB2312"/>
          <w:color w:val="auto"/>
          <w:kern w:val="0"/>
          <w:sz w:val="24"/>
          <w:szCs w:val="24"/>
          <w:highlight w:val="none"/>
        </w:rPr>
        <w:t>，属于</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i/>
          <w:color w:val="auto"/>
          <w:kern w:val="0"/>
          <w:sz w:val="24"/>
          <w:szCs w:val="24"/>
          <w:highlight w:val="none"/>
          <w:u w:val="single"/>
        </w:rPr>
        <w:t>(采购文件中明的所属行业)</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；承接企业为</w:t>
      </w:r>
      <w:r>
        <w:rPr>
          <w:rFonts w:hint="eastAsia" w:ascii="仿宋_GB2312" w:hAnsi="仿宋_GB2312" w:eastAsia="仿宋_GB2312" w:cs="仿宋_GB2312"/>
          <w:i/>
          <w:color w:val="auto"/>
          <w:kern w:val="0"/>
          <w:sz w:val="24"/>
          <w:szCs w:val="24"/>
          <w:highlight w:val="none"/>
          <w:u w:val="single"/>
        </w:rPr>
        <w:t xml:space="preserve"> (企业名称) </w:t>
      </w:r>
      <w:r>
        <w:rPr>
          <w:rFonts w:hint="eastAsia" w:ascii="仿宋_GB2312" w:hAnsi="仿宋_GB2312" w:eastAsia="仿宋_GB2312" w:cs="仿宋_GB2312"/>
          <w:color w:val="auto"/>
          <w:kern w:val="0"/>
          <w:sz w:val="24"/>
          <w:szCs w:val="24"/>
          <w:highlight w:val="none"/>
        </w:rPr>
        <w:t>，从业人员</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人，营业收入为</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万元，资产总额为</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万元，属于</w:t>
      </w:r>
      <w:r>
        <w:rPr>
          <w:rFonts w:hint="eastAsia" w:ascii="仿宋_GB2312" w:hAnsi="仿宋_GB2312" w:eastAsia="仿宋_GB2312" w:cs="仿宋_GB2312"/>
          <w:i/>
          <w:color w:val="auto"/>
          <w:kern w:val="0"/>
          <w:sz w:val="24"/>
          <w:szCs w:val="24"/>
          <w:highlight w:val="none"/>
          <w:u w:val="single"/>
        </w:rPr>
        <w:t xml:space="preserve"> (中型</w:t>
      </w:r>
      <w:r>
        <w:rPr>
          <w:rFonts w:hint="eastAsia" w:ascii="仿宋_GB2312" w:hAnsi="仿宋_GB2312" w:eastAsia="仿宋_GB2312" w:cs="仿宋_GB2312"/>
          <w:i/>
          <w:color w:val="auto"/>
          <w:kern w:val="0"/>
          <w:sz w:val="24"/>
          <w:szCs w:val="24"/>
          <w:highlight w:val="none"/>
          <w:u w:val="single"/>
          <w:lang w:val="en-US" w:eastAsia="zh-CN"/>
        </w:rPr>
        <w:t>企业</w:t>
      </w:r>
      <w:r>
        <w:rPr>
          <w:rFonts w:hint="eastAsia" w:ascii="仿宋_GB2312" w:hAnsi="仿宋_GB2312" w:eastAsia="仿宋_GB2312" w:cs="仿宋_GB2312"/>
          <w:i/>
          <w:color w:val="auto"/>
          <w:kern w:val="0"/>
          <w:sz w:val="24"/>
          <w:szCs w:val="24"/>
          <w:highlight w:val="none"/>
          <w:u w:val="single"/>
        </w:rPr>
        <w:t xml:space="preserve">、小型企业、微型企业) </w:t>
      </w:r>
      <w:r>
        <w:rPr>
          <w:rFonts w:hint="eastAsia" w:ascii="仿宋_GB2312" w:hAnsi="仿宋_GB2312" w:eastAsia="仿宋_GB2312" w:cs="仿宋_GB2312"/>
          <w:color w:val="auto"/>
          <w:kern w:val="0"/>
          <w:sz w:val="24"/>
          <w:szCs w:val="24"/>
          <w:highlight w:val="none"/>
        </w:rPr>
        <w:t>；</w:t>
      </w: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 xml:space="preserve">(标的名称) </w:t>
      </w:r>
      <w:r>
        <w:rPr>
          <w:rFonts w:hint="eastAsia" w:ascii="仿宋_GB2312" w:hAnsi="仿宋_GB2312" w:eastAsia="仿宋_GB2312" w:cs="仿宋_GB2312"/>
          <w:color w:val="auto"/>
          <w:kern w:val="0"/>
          <w:sz w:val="24"/>
          <w:highlight w:val="none"/>
        </w:rPr>
        <w:t>，属于</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color w:val="auto"/>
          <w:kern w:val="0"/>
          <w:sz w:val="24"/>
          <w:highlight w:val="none"/>
          <w:u w:val="single"/>
        </w:rPr>
        <w:t>(采购文件中明的所属行业)</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；承接企业为</w:t>
      </w:r>
      <w:r>
        <w:rPr>
          <w:rFonts w:hint="eastAsia" w:ascii="仿宋_GB2312" w:hAnsi="仿宋_GB2312" w:eastAsia="仿宋_GB2312" w:cs="仿宋_GB2312"/>
          <w:i/>
          <w:color w:val="auto"/>
          <w:kern w:val="0"/>
          <w:sz w:val="24"/>
          <w:highlight w:val="none"/>
          <w:u w:val="single"/>
        </w:rPr>
        <w:t xml:space="preserve"> (企业名称) </w:t>
      </w:r>
      <w:r>
        <w:rPr>
          <w:rFonts w:hint="eastAsia" w:ascii="仿宋_GB2312" w:hAnsi="仿宋_GB2312" w:eastAsia="仿宋_GB2312" w:cs="仿宋_GB2312"/>
          <w:color w:val="auto"/>
          <w:kern w:val="0"/>
          <w:sz w:val="24"/>
          <w:highlight w:val="none"/>
        </w:rPr>
        <w:t>，从业人员</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人，营业收入为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万元，资产总额为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万元，属于</w:t>
      </w:r>
      <w:r>
        <w:rPr>
          <w:rFonts w:hint="eastAsia" w:ascii="仿宋_GB2312" w:hAnsi="仿宋_GB2312" w:eastAsia="仿宋_GB2312" w:cs="仿宋_GB2312"/>
          <w:i/>
          <w:color w:val="auto"/>
          <w:kern w:val="0"/>
          <w:sz w:val="24"/>
          <w:highlight w:val="none"/>
          <w:u w:val="single"/>
        </w:rPr>
        <w:t xml:space="preserve"> (中型</w:t>
      </w:r>
      <w:r>
        <w:rPr>
          <w:rFonts w:hint="eastAsia" w:ascii="仿宋_GB2312" w:hAnsi="仿宋_GB2312" w:eastAsia="仿宋_GB2312" w:cs="仿宋_GB2312"/>
          <w:i/>
          <w:color w:val="auto"/>
          <w:kern w:val="0"/>
          <w:sz w:val="24"/>
          <w:highlight w:val="none"/>
          <w:u w:val="single"/>
          <w:lang w:val="en-US" w:eastAsia="zh-CN"/>
        </w:rPr>
        <w:t>企业</w:t>
      </w:r>
      <w:r>
        <w:rPr>
          <w:rFonts w:hint="eastAsia" w:ascii="仿宋_GB2312" w:hAnsi="仿宋_GB2312" w:eastAsia="仿宋_GB2312" w:cs="仿宋_GB2312"/>
          <w:i/>
          <w:color w:val="auto"/>
          <w:kern w:val="0"/>
          <w:sz w:val="24"/>
          <w:highlight w:val="none"/>
          <w:u w:val="single"/>
        </w:rPr>
        <w:t xml:space="preserve">、小型企业、微型企业) </w:t>
      </w:r>
      <w:r>
        <w:rPr>
          <w:rFonts w:hint="eastAsia" w:ascii="仿宋_GB2312" w:hAnsi="仿宋_GB2312" w:eastAsia="仿宋_GB2312" w:cs="仿宋_GB2312"/>
          <w:color w:val="auto"/>
          <w:kern w:val="0"/>
          <w:sz w:val="24"/>
          <w:highlight w:val="none"/>
        </w:rPr>
        <w:t>；</w:t>
      </w: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本企业对上述声明内容的真实性负责。如有虚假，将依法承担相应责任。</w:t>
      </w:r>
    </w:p>
    <w:p>
      <w:pPr>
        <w:spacing w:line="56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企业名称(盖章):</w:t>
      </w:r>
    </w:p>
    <w:p>
      <w:pPr>
        <w:spacing w:line="560" w:lineRule="exact"/>
        <w:ind w:firstLine="4320" w:firstLineChars="18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日期：</w:t>
      </w:r>
    </w:p>
    <w:p>
      <w:pPr>
        <w:spacing w:line="560" w:lineRule="exact"/>
        <w:ind w:firstLine="5400" w:firstLineChars="1800"/>
        <w:rPr>
          <w:rFonts w:ascii="仿宋_GB2312" w:hAnsi="仿宋_GB2312" w:eastAsia="仿宋_GB2312" w:cs="仿宋_GB2312"/>
          <w:color w:val="auto"/>
          <w:kern w:val="0"/>
          <w:sz w:val="30"/>
          <w:szCs w:val="30"/>
          <w:highlight w:val="none"/>
        </w:rPr>
      </w:pPr>
    </w:p>
    <w:p>
      <w:pPr>
        <w:rPr>
          <w:rFonts w:ascii="仿宋_GB2312" w:hAnsi="仿宋_GB2312" w:eastAsia="仿宋_GB2312" w:cs="仿宋_GB2312"/>
          <w:color w:val="auto"/>
          <w:kern w:val="0"/>
          <w:sz w:val="30"/>
          <w:szCs w:val="30"/>
          <w:highlight w:val="none"/>
          <w:u w:val="single"/>
        </w:rPr>
      </w:pPr>
      <w:r>
        <w:rPr>
          <w:rFonts w:hint="eastAsia" w:ascii="仿宋_GB2312" w:hAnsi="仿宋_GB2312" w:eastAsia="仿宋_GB2312" w:cs="仿宋_GB2312"/>
          <w:color w:val="auto"/>
          <w:kern w:val="0"/>
          <w:sz w:val="30"/>
          <w:szCs w:val="30"/>
          <w:highlight w:val="none"/>
        </w:rPr>
        <w:t xml:space="preserve"> </w:t>
      </w:r>
      <w:r>
        <w:rPr>
          <w:rFonts w:hint="eastAsia" w:ascii="仿宋_GB2312" w:hAnsi="仿宋_GB2312" w:eastAsia="仿宋_GB2312" w:cs="仿宋_GB2312"/>
          <w:color w:val="auto"/>
          <w:kern w:val="0"/>
          <w:sz w:val="30"/>
          <w:szCs w:val="30"/>
          <w:highlight w:val="none"/>
          <w:u w:val="single"/>
        </w:rPr>
        <w:t xml:space="preserve">                                                   </w:t>
      </w:r>
    </w:p>
    <w:p>
      <w:pPr>
        <w:ind w:firstLine="105" w:firstLineChars="5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（从业人员、营业收入、资产总额填报上一年度数据，无上一年度数据的新成立企业可不填报）</w:t>
      </w:r>
    </w:p>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bookmarkEnd w:id="509"/>
    <w:p>
      <w:pPr>
        <w:jc w:val="center"/>
        <w:outlineLvl w:val="1"/>
        <w:rPr>
          <w:rFonts w:hint="eastAsia" w:ascii="仿宋_GB2312" w:hAnsi="仿宋_GB2312" w:eastAsia="仿宋_GB2312" w:cs="仿宋_GB2312"/>
          <w:b/>
          <w:color w:val="auto"/>
          <w:sz w:val="28"/>
          <w:szCs w:val="28"/>
          <w:highlight w:val="none"/>
          <w:lang w:eastAsia="zh-CN"/>
        </w:rPr>
      </w:pPr>
      <w:bookmarkStart w:id="510" w:name="_Toc20264"/>
      <w:r>
        <w:rPr>
          <w:rFonts w:hint="eastAsia" w:ascii="仿宋_GB2312" w:hAnsi="仿宋_GB2312" w:eastAsia="仿宋_GB2312" w:cs="仿宋_GB2312"/>
          <w:b/>
          <w:color w:val="auto"/>
          <w:sz w:val="28"/>
          <w:szCs w:val="28"/>
          <w:highlight w:val="none"/>
        </w:rPr>
        <w:t>二、监狱企业</w:t>
      </w:r>
      <w:r>
        <w:rPr>
          <w:rFonts w:hint="eastAsia" w:ascii="仿宋_GB2312" w:hAnsi="仿宋_GB2312" w:eastAsia="仿宋_GB2312" w:cs="仿宋_GB2312"/>
          <w:b/>
          <w:color w:val="auto"/>
          <w:sz w:val="28"/>
          <w:szCs w:val="28"/>
          <w:highlight w:val="none"/>
          <w:lang w:val="en-US" w:eastAsia="zh-CN"/>
        </w:rPr>
        <w:t>声明函</w:t>
      </w:r>
      <w:bookmarkEnd w:id="510"/>
    </w:p>
    <w:p>
      <w:pPr>
        <w:spacing w:line="360" w:lineRule="auto"/>
        <w:jc w:val="both"/>
        <w:rPr>
          <w:rFonts w:hint="eastAsia" w:ascii="仿宋_GB2312" w:hAnsi="Arial" w:eastAsia="仿宋_GB2312"/>
          <w:b/>
          <w:color w:val="auto"/>
          <w:kern w:val="0"/>
          <w:sz w:val="24"/>
          <w:szCs w:val="20"/>
          <w:highlight w:val="none"/>
        </w:rPr>
      </w:pPr>
    </w:p>
    <w:p>
      <w:pPr>
        <w:widowControl/>
        <w:spacing w:before="100" w:beforeAutospacing="1" w:after="100" w:afterAutospacing="1" w:line="360" w:lineRule="auto"/>
        <w:ind w:firstLine="480" w:firstLineChars="200"/>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本企业（单位）</w:t>
      </w:r>
      <w:r>
        <w:rPr>
          <w:rFonts w:hint="eastAsia" w:ascii="仿宋_GB2312" w:hAnsi="仿宋" w:eastAsia="仿宋_GB2312" w:cs="宋体"/>
          <w:color w:val="auto"/>
          <w:kern w:val="0"/>
          <w:sz w:val="24"/>
          <w:highlight w:val="none"/>
          <w:u w:val="single"/>
        </w:rPr>
        <w:t xml:space="preserve">        </w:t>
      </w:r>
      <w:r>
        <w:rPr>
          <w:rFonts w:hint="eastAsia" w:ascii="仿宋_GB2312" w:hAnsi="仿宋" w:eastAsia="仿宋_GB2312" w:cs="宋体"/>
          <w:color w:val="auto"/>
          <w:kern w:val="0"/>
          <w:sz w:val="24"/>
          <w:highlight w:val="none"/>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本企业（单位）对上述声明的真实性负责。如有虚假，将依法承担相应责任。</w:t>
      </w:r>
    </w:p>
    <w:p>
      <w:pPr>
        <w:widowControl/>
        <w:spacing w:before="100" w:beforeAutospacing="1" w:after="100" w:afterAutospacing="1" w:line="360" w:lineRule="auto"/>
        <w:jc w:val="left"/>
        <w:rPr>
          <w:rFonts w:hint="eastAsia" w:ascii="仿宋_GB2312" w:hAnsi="Arial" w:eastAsia="仿宋_GB2312"/>
          <w:b/>
          <w:color w:val="auto"/>
          <w:kern w:val="0"/>
          <w:sz w:val="24"/>
          <w:szCs w:val="20"/>
          <w:highlight w:val="none"/>
        </w:rPr>
      </w:pPr>
      <w:r>
        <w:rPr>
          <w:rFonts w:hint="eastAsia" w:ascii="仿宋_GB2312" w:hAnsi="仿宋" w:eastAsia="仿宋_GB2312" w:cs="宋体"/>
          <w:color w:val="auto"/>
          <w:kern w:val="0"/>
          <w:sz w:val="24"/>
          <w:highlight w:val="none"/>
        </w:rPr>
        <w:t>　</w:t>
      </w:r>
      <w:r>
        <w:rPr>
          <w:rFonts w:hint="eastAsia" w:ascii="仿宋_GB2312" w:hAnsi="Arial" w:eastAsia="仿宋_GB2312"/>
          <w:b/>
          <w:color w:val="auto"/>
          <w:kern w:val="0"/>
          <w:sz w:val="24"/>
          <w:szCs w:val="20"/>
          <w:highlight w:val="none"/>
        </w:rPr>
        <w:t>　</w:t>
      </w:r>
    </w:p>
    <w:p>
      <w:pPr>
        <w:widowControl/>
        <w:spacing w:before="100" w:beforeAutospacing="1" w:after="100" w:afterAutospacing="1" w:line="360" w:lineRule="auto"/>
        <w:ind w:firstLine="360" w:firstLineChars="150"/>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单位名称</w:t>
      </w:r>
      <w:r>
        <w:rPr>
          <w:rFonts w:hint="eastAsia" w:ascii="仿宋_GB2312" w:hAnsi="仿宋" w:eastAsia="仿宋_GB2312" w:cs="宋体"/>
          <w:color w:val="auto"/>
          <w:kern w:val="0"/>
          <w:sz w:val="24"/>
          <w:highlight w:val="none"/>
        </w:rPr>
        <w:t>（公章）：</w:t>
      </w:r>
      <w:r>
        <w:rPr>
          <w:rFonts w:hint="eastAsia" w:ascii="仿宋_GB2312" w:hAnsi="仿宋" w:eastAsia="仿宋_GB2312" w:cs="宋体"/>
          <w:color w:val="auto"/>
          <w:kern w:val="0"/>
          <w:sz w:val="24"/>
          <w:highlight w:val="none"/>
          <w:u w:val="single"/>
        </w:rPr>
        <w:t xml:space="preserve">             </w:t>
      </w:r>
    </w:p>
    <w:p>
      <w:pPr>
        <w:widowControl/>
        <w:spacing w:before="100" w:beforeAutospacing="1" w:after="100" w:afterAutospacing="1" w:line="360" w:lineRule="auto"/>
        <w:jc w:val="lef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法定代表人或授权代表（签字）:  </w:t>
      </w:r>
      <w:r>
        <w:rPr>
          <w:rFonts w:hint="eastAsia" w:ascii="仿宋_GB2312" w:hAnsi="仿宋" w:eastAsia="仿宋_GB2312" w:cs="宋体"/>
          <w:color w:val="auto"/>
          <w:kern w:val="0"/>
          <w:sz w:val="24"/>
          <w:highlight w:val="none"/>
          <w:u w:val="single"/>
        </w:rPr>
        <w:t xml:space="preserve">           </w:t>
      </w:r>
      <w:r>
        <w:rPr>
          <w:rFonts w:hint="eastAsia" w:ascii="仿宋_GB2312" w:hAnsi="仿宋" w:eastAsia="仿宋_GB2312" w:cs="宋体"/>
          <w:color w:val="auto"/>
          <w:kern w:val="0"/>
          <w:sz w:val="24"/>
          <w:highlight w:val="none"/>
        </w:rPr>
        <w:t xml:space="preserve">           </w:t>
      </w:r>
    </w:p>
    <w:p>
      <w:pPr>
        <w:widowControl/>
        <w:spacing w:before="100" w:beforeAutospacing="1" w:after="100" w:afterAutospacing="1" w:line="360" w:lineRule="auto"/>
        <w:ind w:firstLine="240" w:firstLineChars="100"/>
        <w:jc w:val="left"/>
        <w:rPr>
          <w:rFonts w:hint="eastAsia" w:ascii="仿宋_GB2312" w:hAnsi="仿宋" w:eastAsia="仿宋_GB2312" w:cs="宋体"/>
          <w:color w:val="auto"/>
          <w:kern w:val="0"/>
          <w:sz w:val="24"/>
          <w:highlight w:val="none"/>
          <w:u w:val="single"/>
        </w:rPr>
      </w:pPr>
      <w:r>
        <w:rPr>
          <w:rFonts w:hint="eastAsia" w:ascii="仿宋_GB2312" w:hAnsi="仿宋" w:eastAsia="仿宋_GB2312" w:cs="宋体"/>
          <w:color w:val="auto"/>
          <w:kern w:val="0"/>
          <w:sz w:val="24"/>
          <w:highlight w:val="none"/>
        </w:rPr>
        <w:t>日　期：</w:t>
      </w:r>
      <w:r>
        <w:rPr>
          <w:rFonts w:hint="eastAsia" w:ascii="仿宋_GB2312" w:hAnsi="仿宋" w:eastAsia="仿宋_GB2312" w:cs="宋体"/>
          <w:color w:val="auto"/>
          <w:kern w:val="0"/>
          <w:sz w:val="24"/>
          <w:highlight w:val="none"/>
          <w:u w:val="single"/>
        </w:rPr>
        <w:t xml:space="preserve">             </w:t>
      </w:r>
    </w:p>
    <w:p>
      <w:pPr>
        <w:widowControl/>
        <w:spacing w:before="100" w:beforeAutospacing="1" w:after="100" w:afterAutospacing="1" w:line="360" w:lineRule="auto"/>
        <w:jc w:val="left"/>
        <w:rPr>
          <w:rFonts w:hint="eastAsia" w:ascii="仿宋_GB2312" w:hAnsi="仿宋" w:eastAsia="仿宋_GB2312" w:cs="宋体"/>
          <w:color w:val="auto"/>
          <w:kern w:val="0"/>
          <w:sz w:val="24"/>
          <w:highlight w:val="none"/>
          <w:u w:val="single"/>
        </w:rPr>
      </w:pPr>
    </w:p>
    <w:p>
      <w:pPr>
        <w:widowControl/>
        <w:spacing w:before="100" w:beforeAutospacing="1" w:after="100" w:afterAutospacing="1" w:line="360" w:lineRule="auto"/>
        <w:jc w:val="left"/>
        <w:rPr>
          <w:rFonts w:ascii="仿宋_GB2312" w:hAnsi="仿宋_GB2312" w:eastAsia="仿宋_GB2312" w:cs="仿宋_GB2312"/>
          <w:color w:val="auto"/>
          <w:sz w:val="24"/>
          <w:highlight w:val="none"/>
          <w:u w:val="none"/>
        </w:rPr>
      </w:pPr>
      <w:r>
        <w:rPr>
          <w:rFonts w:hint="eastAsia" w:ascii="仿宋_GB2312" w:hAnsi="仿宋" w:eastAsia="仿宋_GB2312" w:cs="宋体"/>
          <w:color w:val="auto"/>
          <w:kern w:val="0"/>
          <w:sz w:val="24"/>
          <w:highlight w:val="none"/>
          <w:u w:val="none"/>
        </w:rPr>
        <w:t>注：符合《关于政府采购支持监狱企业发展有关问题的通知》价格扣减条件的供应商须提交。</w:t>
      </w:r>
      <w:r>
        <w:rPr>
          <w:rFonts w:hint="eastAsia" w:ascii="仿宋_GB2312" w:hAnsi="仿宋" w:eastAsia="仿宋_GB2312" w:cs="宋体"/>
          <w:color w:val="auto"/>
          <w:kern w:val="0"/>
          <w:sz w:val="24"/>
          <w:highlight w:val="none"/>
          <w:u w:val="none"/>
          <w:lang w:val="en-US" w:eastAsia="zh-CN"/>
        </w:rPr>
        <w:t>需提供</w:t>
      </w:r>
      <w:r>
        <w:rPr>
          <w:rFonts w:hint="eastAsia" w:ascii="仿宋_GB2312" w:hAnsi="仿宋_GB2312" w:eastAsia="仿宋_GB2312" w:cs="仿宋_GB2312"/>
          <w:color w:val="auto"/>
          <w:sz w:val="24"/>
          <w:highlight w:val="none"/>
          <w:u w:val="none"/>
        </w:rPr>
        <w:t>省级以上监狱管理局、戒毒管理局（含新疆生产建设兵团）出具的属于监狱企业的证明文件。</w:t>
      </w:r>
    </w:p>
    <w:p>
      <w:pPr>
        <w:rPr>
          <w:rFonts w:ascii="仿宋_GB2312" w:hAnsi="仿宋_GB2312" w:eastAsia="仿宋_GB2312" w:cs="仿宋_GB2312"/>
          <w:color w:val="auto"/>
          <w:sz w:val="32"/>
          <w:szCs w:val="32"/>
          <w:highlight w:val="none"/>
        </w:rPr>
      </w:pPr>
    </w:p>
    <w:p>
      <w:pPr>
        <w:jc w:val="center"/>
        <w:outlineLvl w:val="2"/>
        <w:rPr>
          <w:rFonts w:ascii="仿宋_GB2312" w:hAnsi="仿宋_GB2312" w:eastAsia="仿宋_GB2312" w:cs="仿宋_GB2312"/>
          <w:b/>
          <w:color w:val="auto"/>
          <w:sz w:val="32"/>
          <w:szCs w:val="32"/>
          <w:highlight w:val="none"/>
        </w:rPr>
      </w:pPr>
      <w:bookmarkStart w:id="511" w:name="_Toc7005134"/>
      <w:r>
        <w:rPr>
          <w:rFonts w:hint="eastAsia" w:ascii="仿宋_GB2312" w:hAnsi="仿宋_GB2312" w:eastAsia="仿宋_GB2312" w:cs="仿宋_GB2312"/>
          <w:color w:val="auto"/>
          <w:sz w:val="32"/>
          <w:szCs w:val="32"/>
          <w:highlight w:val="none"/>
        </w:rPr>
        <w:br w:type="page"/>
      </w:r>
      <w:r>
        <w:rPr>
          <w:rFonts w:hint="eastAsia" w:ascii="仿宋_GB2312" w:hAnsi="仿宋_GB2312" w:eastAsia="仿宋_GB2312" w:cs="仿宋_GB2312"/>
          <w:b/>
          <w:color w:val="auto"/>
          <w:sz w:val="28"/>
          <w:szCs w:val="28"/>
          <w:highlight w:val="none"/>
        </w:rPr>
        <w:t>三、残疾人福利性单位声明函</w:t>
      </w:r>
      <w:bookmarkEnd w:id="511"/>
    </w:p>
    <w:p>
      <w:pPr>
        <w:spacing w:after="120"/>
        <w:rPr>
          <w:rFonts w:ascii="仿宋_GB2312" w:hAnsi="仿宋_GB2312" w:eastAsia="仿宋_GB2312" w:cs="仿宋_GB2312"/>
          <w:color w:val="auto"/>
          <w:highlight w:val="none"/>
        </w:rPr>
      </w:pP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（注：符合条件的残疾人福利性单位请提供本函，不符合的不提供本函）</w:t>
      </w:r>
    </w:p>
    <w:p>
      <w:pPr>
        <w:rPr>
          <w:rFonts w:ascii="仿宋_GB2312" w:hAnsi="仿宋_GB2312" w:eastAsia="仿宋_GB2312" w:cs="仿宋_GB2312"/>
          <w:color w:val="auto"/>
          <w:sz w:val="24"/>
          <w:highlight w:val="none"/>
        </w:rPr>
      </w:pPr>
    </w:p>
    <w:p>
      <w:pPr>
        <w:spacing w:line="360" w:lineRule="auto"/>
        <w:rPr>
          <w:rFonts w:ascii="仿宋_GB2312" w:hAnsi="仿宋_GB2312" w:eastAsia="仿宋_GB2312" w:cs="仿宋_GB2312"/>
          <w:color w:val="auto"/>
          <w:sz w:val="24"/>
          <w:highlight w:val="none"/>
        </w:rPr>
      </w:pP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pPr>
        <w:spacing w:line="36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pPr>
        <w:spacing w:line="360" w:lineRule="auto"/>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rPr>
          <w:rFonts w:ascii="仿宋_GB2312" w:hAnsi="仿宋_GB2312" w:eastAsia="仿宋_GB2312" w:cs="仿宋_GB2312"/>
          <w:color w:val="auto"/>
          <w:sz w:val="24"/>
          <w:highlight w:val="none"/>
        </w:rPr>
      </w:pPr>
    </w:p>
    <w:p>
      <w:pPr>
        <w:ind w:firstLine="3600" w:firstLineChars="15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单位名称（公章）：</w:t>
      </w:r>
    </w:p>
    <w:p>
      <w:pPr>
        <w:rPr>
          <w:rFonts w:ascii="仿宋_GB2312" w:hAnsi="仿宋_GB2312" w:eastAsia="仿宋_GB2312" w:cs="仿宋_GB2312"/>
          <w:color w:val="auto"/>
          <w:sz w:val="24"/>
          <w:highlight w:val="none"/>
        </w:rPr>
      </w:pPr>
    </w:p>
    <w:p>
      <w:pPr>
        <w:ind w:firstLine="3600" w:firstLineChars="15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p>
    <w:p>
      <w:pPr>
        <w:rPr>
          <w:rFonts w:ascii="仿宋_GB2312" w:hAnsi="仿宋_GB2312" w:eastAsia="仿宋_GB2312" w:cs="仿宋_GB2312"/>
          <w:color w:val="auto"/>
          <w:sz w:val="24"/>
          <w:highlight w:val="none"/>
        </w:rPr>
      </w:pPr>
    </w:p>
    <w:p>
      <w:pPr>
        <w:snapToGrid w:val="0"/>
        <w:spacing w:before="120" w:beforeLines="50"/>
        <w:jc w:val="center"/>
        <w:rPr>
          <w:rFonts w:ascii="仿宋_GB2312" w:hAnsi="仿宋_GB2312" w:eastAsia="仿宋_GB2312" w:cs="仿宋_GB2312"/>
          <w:b/>
          <w:color w:val="auto"/>
          <w:sz w:val="24"/>
          <w:szCs w:val="21"/>
          <w:highlight w:val="none"/>
        </w:rPr>
      </w:pPr>
    </w:p>
    <w:p>
      <w:pPr>
        <w:widowControl/>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jc w:val="center"/>
        <w:outlineLvl w:val="2"/>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四、响应承诺书</w:t>
      </w:r>
    </w:p>
    <w:p>
      <w:pPr>
        <w:spacing w:line="360" w:lineRule="auto"/>
        <w:rPr>
          <w:rFonts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陕西省采购招标有限责任公司</w:t>
      </w:r>
      <w:r>
        <w:rPr>
          <w:rFonts w:hint="eastAsia" w:ascii="仿宋_GB2312" w:hAnsi="仿宋_GB2312" w:eastAsia="仿宋_GB2312" w:cs="仿宋_GB2312"/>
          <w:color w:val="auto"/>
          <w:sz w:val="24"/>
          <w:highlight w:val="none"/>
          <w:lang w:eastAsia="zh-CN"/>
        </w:rPr>
        <w:t>：</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我方在此声明，我方以下事项进行承诺：</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在本次磋商中我公司无与其他供应商相互串通，或与采购人串通的行为；</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在本次磋商中我公司无向采购人或磋商小组成员行贿的手段谋取成交的行为；</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 在本次磋商中我公司无出借或借用资质行为、在响应文件中所附资料（业绩、项目负责人资料等）无弄虚作假；</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 我公司没有处于被责令停产、停业、投标资格被取消状态；</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（5）我公司不采用非法手段获取证据进行质疑、投诉，在质疑、投诉过程中不提供虚假情况或进行恶意质疑、投诉。</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上述承诺内容如有不实，我公司愿意承担由此造成的一切法律责任，并承诺以磋商保证金赔偿给采购人造成的损失。</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特此承诺。</w:t>
      </w:r>
    </w:p>
    <w:p>
      <w:pPr>
        <w:spacing w:line="360" w:lineRule="auto"/>
        <w:ind w:firstLine="480" w:firstLineChars="200"/>
        <w:rPr>
          <w:rFonts w:ascii="仿宋_GB2312" w:hAnsi="仿宋_GB2312" w:eastAsia="仿宋_GB2312" w:cs="仿宋_GB2312"/>
          <w:color w:val="auto"/>
          <w:sz w:val="24"/>
          <w:highlight w:val="none"/>
        </w:rPr>
      </w:pP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供应商名称（公章）： </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法定代表人或其授权代表（签字或加盖人名章）：</w:t>
      </w:r>
      <w:r>
        <w:rPr>
          <w:rFonts w:hint="eastAsia" w:ascii="仿宋_GB2312" w:hAnsi="仿宋_GB2312" w:eastAsia="仿宋_GB2312" w:cs="仿宋_GB2312"/>
          <w:color w:val="auto"/>
          <w:sz w:val="24"/>
          <w:highlight w:val="none"/>
          <w:u w:val="single"/>
        </w:rPr>
        <w:t xml:space="preserve">                  </w:t>
      </w:r>
    </w:p>
    <w:p>
      <w:pPr>
        <w:spacing w:before="120" w:after="120"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pStyle w:val="2"/>
        <w:rPr>
          <w:color w:val="auto"/>
          <w:highlight w:val="none"/>
        </w:rPr>
      </w:pPr>
      <w:r>
        <w:rPr>
          <w:color w:val="auto"/>
          <w:highlight w:val="none"/>
        </w:rPr>
        <w:br w:type="page"/>
      </w:r>
    </w:p>
    <w:p>
      <w:pPr>
        <w:pStyle w:val="195"/>
        <w:ind w:left="0" w:leftChars="0" w:firstLine="0" w:firstLineChars="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第六部分  保证金支付凭证或担保函（复印件）</w:t>
      </w:r>
    </w:p>
    <w:p>
      <w:pPr>
        <w:pStyle w:val="195"/>
        <w:rPr>
          <w:rFonts w:ascii="仿宋" w:hAnsi="仿宋" w:eastAsia="仿宋"/>
          <w:b/>
          <w:color w:val="auto"/>
          <w:sz w:val="32"/>
          <w:szCs w:val="32"/>
          <w:highlight w:val="none"/>
        </w:rPr>
      </w:pPr>
    </w:p>
    <w:p>
      <w:pPr>
        <w:rPr>
          <w:rFonts w:ascii="仿宋_GB2312" w:hAnsi="仿宋_GB2312" w:eastAsia="仿宋_GB2312" w:cs="仿宋_GB2312"/>
          <w:color w:val="auto"/>
          <w:sz w:val="24"/>
          <w:highlight w:val="none"/>
        </w:rPr>
      </w:pPr>
    </w:p>
    <w:p>
      <w:pPr>
        <w:spacing w:after="120"/>
        <w:rPr>
          <w:rFonts w:ascii="仿宋_GB2312" w:hAnsi="仿宋_GB2312" w:eastAsia="仿宋_GB2312" w:cs="仿宋_GB2312"/>
          <w:color w:val="auto"/>
          <w:highlight w:val="none"/>
        </w:rPr>
      </w:pPr>
    </w:p>
    <w:p>
      <w:pPr>
        <w:spacing w:after="120"/>
        <w:rPr>
          <w:rFonts w:ascii="仿宋_GB2312" w:hAnsi="仿宋_GB2312" w:eastAsia="仿宋_GB2312" w:cs="仿宋_GB2312"/>
          <w:color w:val="auto"/>
          <w:highlight w:val="none"/>
        </w:rPr>
      </w:pPr>
    </w:p>
    <w:p>
      <w:pPr>
        <w:spacing w:after="120"/>
        <w:rPr>
          <w:rFonts w:ascii="仿宋_GB2312" w:hAnsi="仿宋_GB2312" w:eastAsia="仿宋_GB2312" w:cs="仿宋_GB2312"/>
          <w:color w:val="auto"/>
          <w:highlight w:val="none"/>
        </w:rPr>
      </w:pPr>
    </w:p>
    <w:p>
      <w:pPr>
        <w:spacing w:after="120"/>
        <w:rPr>
          <w:rFonts w:ascii="仿宋_GB2312" w:hAnsi="仿宋_GB2312" w:eastAsia="仿宋_GB2312" w:cs="仿宋_GB2312"/>
          <w:color w:val="auto"/>
          <w:highlight w:val="none"/>
        </w:rPr>
      </w:pPr>
    </w:p>
    <w:p>
      <w:pPr>
        <w:spacing w:after="120"/>
        <w:rPr>
          <w:rFonts w:ascii="仿宋_GB2312" w:hAnsi="仿宋_GB2312" w:eastAsia="仿宋_GB2312" w:cs="仿宋_GB2312"/>
          <w:color w:val="auto"/>
          <w:highlight w:val="none"/>
        </w:rPr>
      </w:pPr>
    </w:p>
    <w:p>
      <w:pPr>
        <w:autoSpaceDE w:val="0"/>
        <w:autoSpaceDN w:val="0"/>
        <w:adjustRightInd w:val="0"/>
        <w:spacing w:line="360" w:lineRule="auto"/>
        <w:jc w:val="center"/>
        <w:rPr>
          <w:rFonts w:ascii="仿宋_GB2312" w:hAnsi="仿宋_GB2312" w:eastAsia="仿宋_GB2312" w:cs="仿宋_GB2312"/>
          <w:b/>
          <w:bCs/>
          <w:color w:val="auto"/>
          <w:sz w:val="44"/>
          <w:szCs w:val="44"/>
          <w:highlight w:val="none"/>
          <w:lang w:val="zh-CN"/>
        </w:rPr>
      </w:pPr>
    </w:p>
    <w:p>
      <w:pPr>
        <w:autoSpaceDE w:val="0"/>
        <w:autoSpaceDN w:val="0"/>
        <w:adjustRightInd w:val="0"/>
        <w:snapToGrid w:val="0"/>
        <w:spacing w:line="288" w:lineRule="auto"/>
        <w:jc w:val="left"/>
        <w:rPr>
          <w:rFonts w:ascii="仿宋_GB2312" w:hAnsi="仿宋_GB2312" w:eastAsia="仿宋_GB2312" w:cs="仿宋_GB2312"/>
          <w:bCs/>
          <w:color w:val="auto"/>
          <w:sz w:val="44"/>
          <w:szCs w:val="44"/>
          <w:highlight w:val="none"/>
        </w:rPr>
        <w:sectPr>
          <w:pgSz w:w="11906" w:h="16838"/>
          <w:pgMar w:top="1418" w:right="1418" w:bottom="1418" w:left="1418" w:header="851" w:footer="992" w:gutter="0"/>
          <w:pgNumType w:fmt="decimal"/>
          <w:cols w:space="720" w:num="1"/>
          <w:docGrid w:linePitch="312" w:charSpace="0"/>
        </w:sectPr>
      </w:pPr>
    </w:p>
    <w:p>
      <w:pPr>
        <w:widowControl/>
        <w:snapToGrid w:val="0"/>
        <w:spacing w:before="100" w:beforeAutospacing="1" w:after="100" w:afterAutospacing="1" w:line="240" w:lineRule="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附件1</w:t>
      </w:r>
    </w:p>
    <w:p>
      <w:pPr>
        <w:widowControl/>
        <w:snapToGrid w:val="0"/>
        <w:spacing w:before="100" w:beforeAutospacing="1" w:after="100" w:afterAutospacing="1" w:line="240" w:lineRule="auto"/>
        <w:jc w:val="center"/>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磋商响应担保函</w:t>
      </w:r>
    </w:p>
    <w:p>
      <w:pPr>
        <w:snapToGrid w:val="0"/>
        <w:spacing w:line="240" w:lineRule="auto"/>
        <w:ind w:firstLine="3360" w:firstLineChars="14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（适用于保证金保函）</w:t>
      </w:r>
    </w:p>
    <w:p>
      <w:pPr>
        <w:snapToGrid w:val="0"/>
        <w:spacing w:line="240" w:lineRule="auto"/>
        <w:ind w:right="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保函编号:</w:t>
      </w:r>
    </w:p>
    <w:p>
      <w:pPr>
        <w:snapToGrid w:val="0"/>
        <w:spacing w:line="240" w:lineRule="auto"/>
        <w:ind w:right="48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u w:val="single"/>
        </w:rPr>
        <w:t>陕西省采购招标有限责任公司</w:t>
      </w:r>
      <w:r>
        <w:rPr>
          <w:rFonts w:hint="eastAsia" w:ascii="仿宋_GB2312" w:hAnsi="仿宋_GB2312" w:eastAsia="仿宋_GB2312" w:cs="仿宋_GB2312"/>
          <w:color w:val="auto"/>
          <w:sz w:val="24"/>
          <w:highlight w:val="none"/>
        </w:rPr>
        <w:t>(下称受益人)</w:t>
      </w:r>
      <w:r>
        <w:rPr>
          <w:rFonts w:hint="eastAsia" w:ascii="仿宋_GB2312" w:hAnsi="仿宋_GB2312" w:eastAsia="仿宋_GB2312" w:cs="仿宋_GB2312"/>
          <w:color w:val="auto"/>
          <w:sz w:val="24"/>
          <w:highlight w:val="none"/>
          <w:lang w:eastAsia="zh-CN"/>
        </w:rPr>
        <w:t>：</w:t>
      </w:r>
    </w:p>
    <w:p>
      <w:pPr>
        <w:snapToGrid w:val="0"/>
        <w:spacing w:line="288"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鉴于</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(下称被保证人)将于</w:t>
      </w:r>
      <w:r>
        <w:rPr>
          <w:rFonts w:hint="eastAsia" w:ascii="仿宋_GB2312" w:hAnsi="仿宋_GB2312" w:eastAsia="仿宋_GB2312" w:cs="仿宋_GB2312"/>
          <w:color w:val="auto"/>
          <w:sz w:val="24"/>
          <w:highlight w:val="none"/>
          <w:u w:val="single"/>
        </w:rPr>
        <w:t>    年 月 日</w:t>
      </w:r>
      <w:r>
        <w:rPr>
          <w:rFonts w:hint="eastAsia" w:ascii="仿宋_GB2312" w:hAnsi="仿宋_GB2312" w:eastAsia="仿宋_GB2312" w:cs="仿宋_GB2312"/>
          <w:color w:val="auto"/>
          <w:sz w:val="24"/>
          <w:highlight w:val="none"/>
        </w:rPr>
        <w:t>参加贵方竞争性磋商文件编号为</w:t>
      </w:r>
      <w:r>
        <w:rPr>
          <w:rFonts w:hint="eastAsia" w:ascii="仿宋_GB2312" w:hAnsi="仿宋_GB2312" w:eastAsia="仿宋_GB2312" w:cs="仿宋_GB2312"/>
          <w:color w:val="auto"/>
          <w:sz w:val="24"/>
          <w:highlight w:val="none"/>
          <w:u w:val="single"/>
        </w:rPr>
        <w:t> （采购项目编号）</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 xml:space="preserve"> （项目名称） </w:t>
      </w:r>
      <w:r>
        <w:rPr>
          <w:rFonts w:hint="eastAsia" w:ascii="仿宋_GB2312" w:hAnsi="仿宋_GB2312" w:eastAsia="仿宋_GB2312" w:cs="仿宋_GB2312"/>
          <w:color w:val="auto"/>
          <w:sz w:val="24"/>
          <w:highlight w:val="none"/>
        </w:rPr>
        <w:t>的竞争性磋商,我方接受被保证人的委托,在此向受益人提供不可撤销的磋商保证：</w:t>
      </w:r>
    </w:p>
    <w:p>
      <w:pPr>
        <w:numPr>
          <w:ilvl w:val="0"/>
          <w:numId w:val="19"/>
        </w:numPr>
        <w:snapToGrid w:val="0"/>
        <w:spacing w:line="288"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本保证担保的担保金额为</w:t>
      </w:r>
      <w:r>
        <w:rPr>
          <w:rFonts w:hint="eastAsia" w:ascii="仿宋_GB2312" w:hAnsi="仿宋_GB2312" w:eastAsia="仿宋_GB2312" w:cs="仿宋_GB2312"/>
          <w:color w:val="auto"/>
          <w:sz w:val="24"/>
          <w:highlight w:val="none"/>
          <w:u w:val="single"/>
        </w:rPr>
        <w:t>人民币</w:t>
      </w:r>
      <w:r>
        <w:rPr>
          <w:rFonts w:hint="eastAsia" w:ascii="仿宋_GB2312" w:hAnsi="仿宋_GB2312" w:eastAsia="仿宋_GB2312" w:cs="仿宋_GB2312"/>
          <w:color w:val="auto"/>
          <w:sz w:val="24"/>
          <w:highlight w:val="none"/>
        </w:rPr>
        <w:t>(币种</w:t>
      </w:r>
      <w:r>
        <w:rPr>
          <w:rFonts w:hint="eastAsia" w:ascii="仿宋_GB2312" w:hAnsi="仿宋_GB2312" w:eastAsia="仿宋_GB2312" w:cs="仿宋_GB2312"/>
          <w:color w:val="auto"/>
          <w:sz w:val="24"/>
          <w:highlight w:val="none"/>
          <w:u w:val="single"/>
        </w:rPr>
        <w:t>)     </w:t>
      </w:r>
      <w:r>
        <w:rPr>
          <w:rFonts w:hint="eastAsia" w:ascii="仿宋_GB2312" w:hAnsi="仿宋_GB2312" w:eastAsia="仿宋_GB2312" w:cs="仿宋_GB2312"/>
          <w:color w:val="auto"/>
          <w:sz w:val="24"/>
          <w:highlight w:val="none"/>
        </w:rPr>
        <w:t>元(小写)</w:t>
      </w:r>
      <w:r>
        <w:rPr>
          <w:rFonts w:hint="eastAsia" w:ascii="仿宋_GB2312" w:hAnsi="仿宋_GB2312" w:eastAsia="仿宋_GB2312" w:cs="仿宋_GB2312"/>
          <w:color w:val="auto"/>
          <w:sz w:val="24"/>
          <w:highlight w:val="none"/>
          <w:u w:val="single"/>
        </w:rPr>
        <w:t xml:space="preserve">     元整</w:t>
      </w:r>
      <w:r>
        <w:rPr>
          <w:rFonts w:hint="eastAsia" w:ascii="仿宋_GB2312" w:hAnsi="仿宋_GB2312" w:eastAsia="仿宋_GB2312" w:cs="仿宋_GB2312"/>
          <w:color w:val="auto"/>
          <w:sz w:val="24"/>
          <w:highlight w:val="none"/>
        </w:rPr>
        <w:t>(大写）。</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二、本保证担保的保证期间为响应文件的有效期(或延长的有效期),延长有效期无须通知我方。</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三、在本保证担保的保证期间内,如果被保证人出现下列情形之一,受益人可以向我方提起索赔：</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1.被保证人在响应文件有效期内撤回其响应文件；</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2.被保证人在响应文件有效期内收到受益人发出的成交通知书后,不能或拒绝按竞争性磋商文件的要求签署合同；</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3.被保证人在有效期内收到受益人发出的成交通知书后,不能或拒绝按竞争性磋商文件的规定提交履约担保；</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4.被保证人成交后未按照竞争性磋商文件规定交纳代理服务费。</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五、受益人的索赔通知应当说明索赔理由,并必须在本保证担保的保证期间内送达我方。</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六、本保证担保项下的权利不得转让。</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七、本保证担保的保证期间届满,或我方已向受益人支付本保证担保的担保金额,我方的保证责任免除。</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八、本保证担保适用中华人民共和国法律。</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九、本保证担保以中文文本为准,涂改无效。</w:t>
      </w:r>
    </w:p>
    <w:p>
      <w:pPr>
        <w:snapToGrid w:val="0"/>
        <w:spacing w:line="288"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保证人(盖章):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br w:type="textWrapping"/>
      </w:r>
      <w:r>
        <w:rPr>
          <w:rFonts w:hint="eastAsia" w:ascii="仿宋_GB2312" w:hAnsi="仿宋_GB2312" w:eastAsia="仿宋_GB2312" w:cs="仿宋_GB2312"/>
          <w:color w:val="auto"/>
          <w:sz w:val="24"/>
          <w:highlight w:val="none"/>
        </w:rPr>
        <w:t xml:space="preserve">法定代表人或其授权委托代理人(签字或盖章）：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br w:type="textWrapping"/>
      </w:r>
      <w:r>
        <w:rPr>
          <w:rFonts w:hint="eastAsia" w:ascii="仿宋_GB2312" w:hAnsi="仿宋_GB2312" w:eastAsia="仿宋_GB2312" w:cs="仿宋_GB2312"/>
          <w:color w:val="auto"/>
          <w:sz w:val="24"/>
          <w:highlight w:val="none"/>
        </w:rPr>
        <w:t>单位地址: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br w:type="textWrapping"/>
      </w:r>
      <w:r>
        <w:rPr>
          <w:rFonts w:hint="eastAsia" w:ascii="仿宋_GB2312" w:hAnsi="仿宋_GB2312" w:eastAsia="仿宋_GB2312" w:cs="仿宋_GB2312"/>
          <w:color w:val="auto"/>
          <w:sz w:val="24"/>
          <w:highlight w:val="none"/>
        </w:rPr>
        <w:t>电话:     </w:t>
      </w:r>
    </w:p>
    <w:p>
      <w:pPr>
        <w:snapToGrid w:val="0"/>
        <w:spacing w:line="288"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     年    月    日</w:t>
      </w: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u w:val="single"/>
        </w:rPr>
        <w:t xml:space="preserve">   </w:t>
      </w:r>
    </w:p>
    <w:p>
      <w:pPr>
        <w:autoSpaceDE w:val="0"/>
        <w:autoSpaceDN w:val="0"/>
        <w:adjustRightInd w:val="0"/>
        <w:snapToGrid w:val="0"/>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附件</w:t>
      </w:r>
      <w:r>
        <w:rPr>
          <w:rFonts w:hint="eastAsia" w:ascii="仿宋_GB2312" w:hAnsi="仿宋_GB2312" w:eastAsia="仿宋_GB2312" w:cs="仿宋_GB2312"/>
          <w:b/>
          <w:bCs/>
          <w:color w:val="auto"/>
          <w:sz w:val="28"/>
          <w:szCs w:val="28"/>
          <w:highlight w:val="none"/>
          <w:lang w:val="en-US" w:eastAsia="zh-CN"/>
        </w:rPr>
        <w:t>2</w:t>
      </w:r>
    </w:p>
    <w:p>
      <w:pPr>
        <w:autoSpaceDE w:val="0"/>
        <w:autoSpaceDN w:val="0"/>
        <w:adjustRightInd w:val="0"/>
        <w:snapToGrid w:val="0"/>
        <w:spacing w:line="360" w:lineRule="auto"/>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（最后）磋商响应报价表</w:t>
      </w:r>
    </w:p>
    <w:p>
      <w:pPr>
        <w:spacing w:after="120"/>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zh-CN"/>
        </w:rPr>
        <w:t>（随身携带，单独提供，无需装订在响应文件中）</w:t>
      </w:r>
    </w:p>
    <w:p>
      <w:pPr>
        <w:pStyle w:val="2"/>
        <w:rPr>
          <w:color w:val="auto"/>
          <w:highlight w:val="none"/>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spacing w:after="12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lang w:val="zh-CN"/>
              </w:rPr>
              <w:br w:type="page"/>
            </w:r>
            <w:r>
              <w:rPr>
                <w:rFonts w:hint="eastAsia" w:ascii="仿宋_GB2312" w:hAnsi="仿宋_GB2312" w:eastAsia="仿宋_GB2312" w:cs="仿宋_GB2312"/>
                <w:b/>
                <w:color w:val="auto"/>
                <w:sz w:val="24"/>
                <w:highlight w:val="none"/>
              </w:rPr>
              <w:t>项目编号及项目名称</w:t>
            </w:r>
          </w:p>
        </w:tc>
        <w:tc>
          <w:tcPr>
            <w:tcW w:w="6981" w:type="dxa"/>
            <w:vAlign w:val="center"/>
          </w:tcPr>
          <w:p>
            <w:pPr>
              <w:spacing w:after="12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u w:val="single"/>
              </w:rPr>
              <w:t xml:space="preserve">              </w:t>
            </w:r>
          </w:p>
          <w:p>
            <w:pPr>
              <w:spacing w:after="12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i/>
                <w:color w:val="auto"/>
                <w:sz w:val="24"/>
                <w:highlight w:val="none"/>
              </w:rPr>
              <w:t xml:space="preserve">   </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pPr>
              <w:spacing w:after="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响应总价</w:t>
            </w:r>
          </w:p>
        </w:tc>
        <w:tc>
          <w:tcPr>
            <w:tcW w:w="6981" w:type="dxa"/>
            <w:vAlign w:val="center"/>
          </w:tcPr>
          <w:p>
            <w:pPr>
              <w:spacing w:after="120"/>
              <w:rPr>
                <w:rFonts w:ascii="仿宋_GB2312" w:hAnsi="仿宋_GB2312" w:eastAsia="仿宋_GB2312" w:cs="仿宋_GB2312"/>
                <w:i/>
                <w:color w:val="auto"/>
                <w:sz w:val="24"/>
                <w:highlight w:val="none"/>
              </w:rPr>
            </w:pPr>
            <w:r>
              <w:rPr>
                <w:rFonts w:hint="eastAsia" w:ascii="仿宋_GB2312" w:hAnsi="仿宋_GB2312" w:eastAsia="仿宋_GB2312" w:cs="仿宋_GB2312"/>
                <w:color w:val="auto"/>
                <w:sz w:val="24"/>
                <w:highlight w:val="none"/>
              </w:rPr>
              <w:t>人民币（大写）：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整（小写：</w:t>
            </w:r>
            <w:r>
              <w:rPr>
                <w:rFonts w:hint="eastAsia" w:ascii="宋体" w:hAnsi="宋体" w:eastAsia="宋体" w:cs="宋体"/>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服务</w:t>
            </w:r>
            <w:r>
              <w:rPr>
                <w:rFonts w:hint="eastAsia" w:ascii="仿宋_GB2312" w:hAnsi="仿宋_GB2312" w:eastAsia="仿宋_GB2312" w:cs="仿宋_GB2312"/>
                <w:b/>
                <w:color w:val="auto"/>
                <w:sz w:val="24"/>
                <w:highlight w:val="none"/>
              </w:rPr>
              <w:t>期</w:t>
            </w:r>
          </w:p>
        </w:tc>
        <w:tc>
          <w:tcPr>
            <w:tcW w:w="6981" w:type="dxa"/>
            <w:vAlign w:val="center"/>
          </w:tcPr>
          <w:p>
            <w:pPr>
              <w:spacing w:after="120"/>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服务</w:t>
            </w:r>
            <w:r>
              <w:rPr>
                <w:rFonts w:hint="eastAsia" w:ascii="仿宋_GB2312" w:hAnsi="仿宋_GB2312" w:eastAsia="仿宋_GB2312" w:cs="仿宋_GB2312"/>
                <w:b/>
                <w:color w:val="auto"/>
                <w:sz w:val="24"/>
                <w:highlight w:val="none"/>
              </w:rPr>
              <w:t>地点</w:t>
            </w:r>
          </w:p>
        </w:tc>
        <w:tc>
          <w:tcPr>
            <w:tcW w:w="6981" w:type="dxa"/>
            <w:vAlign w:val="center"/>
          </w:tcPr>
          <w:p>
            <w:pPr>
              <w:spacing w:after="120"/>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spacing w:after="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c>
          <w:tcPr>
            <w:tcW w:w="6981" w:type="dxa"/>
            <w:vAlign w:val="center"/>
          </w:tcPr>
          <w:p>
            <w:pPr>
              <w:spacing w:after="120"/>
              <w:rPr>
                <w:rFonts w:ascii="仿宋_GB2312" w:hAnsi="仿宋_GB2312" w:eastAsia="仿宋_GB2312" w:cs="仿宋_GB2312"/>
                <w:color w:val="auto"/>
                <w:sz w:val="24"/>
                <w:highlight w:val="none"/>
              </w:rPr>
            </w:pPr>
          </w:p>
        </w:tc>
      </w:tr>
    </w:tbl>
    <w:p>
      <w:pPr>
        <w:pStyle w:val="2"/>
        <w:rPr>
          <w:color w:val="auto"/>
          <w:highlight w:val="none"/>
          <w:lang w:val="zh-CN"/>
        </w:rPr>
      </w:pPr>
    </w:p>
    <w:p>
      <w:pPr>
        <w:autoSpaceDE w:val="0"/>
        <w:autoSpaceDN w:val="0"/>
        <w:adjustRightInd w:val="0"/>
        <w:snapToGrid w:val="0"/>
        <w:spacing w:line="360" w:lineRule="auto"/>
        <w:rPr>
          <w:rFonts w:ascii="仿宋_GB2312" w:hAnsi="仿宋_GB2312" w:eastAsia="仿宋_GB2312" w:cs="仿宋_GB2312"/>
          <w:b/>
          <w:bCs/>
          <w:color w:val="auto"/>
          <w:sz w:val="24"/>
          <w:highlight w:val="none"/>
        </w:rPr>
      </w:pPr>
    </w:p>
    <w:p>
      <w:pPr>
        <w:autoSpaceDE w:val="0"/>
        <w:autoSpaceDN w:val="0"/>
        <w:adjustRightInd w:val="0"/>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 xml:space="preserve">                                                                                     </w:t>
      </w:r>
    </w:p>
    <w:p>
      <w:pPr>
        <w:autoSpaceDE w:val="0"/>
        <w:autoSpaceDN w:val="0"/>
        <w:adjustRightInd w:val="0"/>
        <w:snapToGrid w:val="0"/>
        <w:spacing w:line="360" w:lineRule="auto"/>
        <w:ind w:firstLine="1080" w:firstLineChars="45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供应商</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法定代表人</w:t>
      </w:r>
      <w:r>
        <w:rPr>
          <w:rFonts w:hint="eastAsia" w:ascii="仿宋_GB2312" w:hAnsi="仿宋_GB2312" w:eastAsia="仿宋_GB2312" w:cs="仿宋_GB2312"/>
          <w:color w:val="auto"/>
          <w:sz w:val="24"/>
          <w:highlight w:val="none"/>
        </w:rPr>
        <w:t>或</w:t>
      </w:r>
      <w:r>
        <w:rPr>
          <w:rFonts w:hint="eastAsia" w:ascii="仿宋_GB2312" w:hAnsi="仿宋_GB2312" w:eastAsia="仿宋_GB2312" w:cs="仿宋_GB2312"/>
          <w:color w:val="auto"/>
          <w:sz w:val="24"/>
          <w:highlight w:val="none"/>
          <w:lang w:val="zh-CN"/>
        </w:rPr>
        <w:t>授权代表</w:t>
      </w:r>
    </w:p>
    <w:p>
      <w:pPr>
        <w:autoSpaceDE w:val="0"/>
        <w:autoSpaceDN w:val="0"/>
        <w:adjustRightInd w:val="0"/>
        <w:snapToGrid w:val="0"/>
        <w:spacing w:line="360" w:lineRule="auto"/>
        <w:ind w:firstLine="960" w:firstLineChars="4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（公章）：                            （</w:t>
      </w:r>
      <w:r>
        <w:rPr>
          <w:rFonts w:hint="eastAsia" w:ascii="仿宋_GB2312" w:hAnsi="仿宋_GB2312" w:eastAsia="仿宋_GB2312" w:cs="仿宋_GB2312"/>
          <w:b/>
          <w:color w:val="auto"/>
          <w:sz w:val="24"/>
          <w:highlight w:val="none"/>
          <w:lang w:val="zh-CN"/>
        </w:rPr>
        <w:t>签字</w:t>
      </w:r>
      <w:r>
        <w:rPr>
          <w:rFonts w:hint="eastAsia" w:ascii="仿宋_GB2312" w:hAnsi="仿宋_GB2312" w:eastAsia="仿宋_GB2312" w:cs="仿宋_GB2312"/>
          <w:color w:val="auto"/>
          <w:sz w:val="24"/>
          <w:highlight w:val="none"/>
          <w:lang w:val="zh-CN"/>
        </w:rPr>
        <w:t>）：</w:t>
      </w:r>
    </w:p>
    <w:p>
      <w:pPr>
        <w:autoSpaceDE w:val="0"/>
        <w:autoSpaceDN w:val="0"/>
        <w:adjustRightInd w:val="0"/>
        <w:snapToGrid w:val="0"/>
        <w:spacing w:line="360" w:lineRule="auto"/>
        <w:rPr>
          <w:rFonts w:ascii="仿宋_GB2312" w:hAnsi="仿宋_GB2312" w:eastAsia="仿宋_GB2312" w:cs="仿宋_GB2312"/>
          <w:color w:val="auto"/>
          <w:sz w:val="24"/>
          <w:highlight w:val="none"/>
          <w:lang w:val="zh-CN"/>
        </w:rPr>
      </w:pPr>
    </w:p>
    <w:p>
      <w:pPr>
        <w:autoSpaceDE w:val="0"/>
        <w:autoSpaceDN w:val="0"/>
        <w:adjustRightInd w:val="0"/>
        <w:snapToGrid w:val="0"/>
        <w:spacing w:line="360" w:lineRule="auto"/>
        <w:rPr>
          <w:rFonts w:ascii="仿宋_GB2312" w:hAnsi="仿宋_GB2312" w:eastAsia="仿宋_GB2312" w:cs="仿宋_GB2312"/>
          <w:color w:val="auto"/>
          <w:sz w:val="24"/>
          <w:highlight w:val="none"/>
          <w:lang w:val="zh-CN"/>
        </w:rPr>
      </w:pPr>
    </w:p>
    <w:p>
      <w:pPr>
        <w:autoSpaceDE w:val="0"/>
        <w:autoSpaceDN w:val="0"/>
        <w:adjustRightInd w:val="0"/>
        <w:snapToGrid w:val="0"/>
        <w:spacing w:line="360" w:lineRule="auto"/>
        <w:ind w:firstLine="240" w:firstLineChars="1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 xml:space="preserve">年 </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月</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日</w:t>
      </w:r>
    </w:p>
    <w:p>
      <w:pPr>
        <w:spacing w:after="120"/>
        <w:rPr>
          <w:rFonts w:ascii="仿宋_GB2312" w:hAnsi="仿宋_GB2312" w:eastAsia="仿宋_GB2312" w:cs="仿宋_GB2312"/>
          <w:b/>
          <w:bCs/>
          <w:color w:val="auto"/>
          <w:sz w:val="30"/>
          <w:szCs w:val="30"/>
          <w:highlight w:val="none"/>
        </w:rPr>
        <w:sectPr>
          <w:footerReference r:id="rId12" w:type="first"/>
          <w:headerReference r:id="rId10" w:type="default"/>
          <w:footerReference r:id="rId11" w:type="default"/>
          <w:pgSz w:w="11906" w:h="16838"/>
          <w:pgMar w:top="1418" w:right="1418" w:bottom="1418" w:left="1418" w:header="851" w:footer="992" w:gutter="0"/>
          <w:pgNumType w:fmt="decimal"/>
          <w:cols w:space="720" w:num="1"/>
          <w:docGrid w:linePitch="312" w:charSpace="0"/>
        </w:sectPr>
      </w:pPr>
      <w:r>
        <w:rPr>
          <w:rFonts w:hint="eastAsia" w:ascii="仿宋_GB2312" w:hAnsi="仿宋_GB2312" w:eastAsia="仿宋_GB2312" w:cs="仿宋_GB2312"/>
          <w:color w:val="auto"/>
          <w:highlight w:val="none"/>
          <w:lang w:val="zh-CN"/>
        </w:rPr>
        <w:br w:type="page"/>
      </w:r>
    </w:p>
    <w:p>
      <w:pPr>
        <w:keepNext/>
        <w:keepLines/>
        <w:autoSpaceDE w:val="0"/>
        <w:autoSpaceDN w:val="0"/>
        <w:adjustRightInd w:val="0"/>
        <w:spacing w:line="360" w:lineRule="auto"/>
        <w:jc w:val="center"/>
        <w:outlineLvl w:val="2"/>
        <w:rPr>
          <w:rFonts w:ascii="仿宋_GB2312" w:hAnsi="仿宋_GB2312" w:eastAsia="仿宋_GB2312" w:cs="仿宋_GB2312"/>
          <w:b/>
          <w:color w:val="auto"/>
          <w:kern w:val="0"/>
          <w:sz w:val="32"/>
          <w:szCs w:val="32"/>
          <w:highlight w:val="none"/>
          <w:shd w:val="clear" w:color="auto" w:fill="FFFFFF"/>
        </w:rPr>
      </w:pPr>
      <w:r>
        <w:rPr>
          <w:rFonts w:hint="eastAsia" w:ascii="仿宋_GB2312" w:hAnsi="仿宋_GB2312" w:eastAsia="仿宋_GB2312" w:cs="仿宋_GB2312"/>
          <w:b/>
          <w:color w:val="auto"/>
          <w:kern w:val="0"/>
          <w:sz w:val="32"/>
          <w:szCs w:val="32"/>
          <w:highlight w:val="none"/>
          <w:shd w:val="clear" w:color="auto" w:fill="FFFFFF"/>
        </w:rPr>
        <w:t>（最后）分项报价表</w:t>
      </w:r>
    </w:p>
    <w:p>
      <w:pPr>
        <w:pStyle w:val="2"/>
        <w:rPr>
          <w:color w:val="auto"/>
          <w:highlight w:val="none"/>
        </w:rPr>
      </w:pPr>
      <w:r>
        <w:rPr>
          <w:rFonts w:hint="eastAsia"/>
          <w:color w:val="auto"/>
          <w:highlight w:val="none"/>
        </w:rPr>
        <w:t xml:space="preserve">                      （随身携带，单独提供，无需装订在响应文件中）</w:t>
      </w:r>
    </w:p>
    <w:p>
      <w:pPr>
        <w:autoSpaceDE w:val="0"/>
        <w:autoSpaceDN w:val="0"/>
        <w:adjustRightInd w:val="0"/>
        <w:spacing w:line="360" w:lineRule="auto"/>
        <w:jc w:val="center"/>
        <w:rPr>
          <w:rFonts w:ascii="仿宋_GB2312" w:hAnsi="仿宋_GB2312" w:eastAsia="仿宋_GB2312" w:cs="仿宋_GB2312"/>
          <w:color w:val="auto"/>
          <w:szCs w:val="21"/>
          <w:highlight w:val="none"/>
        </w:rPr>
      </w:pPr>
    </w:p>
    <w:sectPr>
      <w:footerReference r:id="rId14" w:type="first"/>
      <w:footerReference r:id="rId13"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58</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438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e10z0AAAAAMBAAAPAAAAAAAAAAEAIAAAACIAAABkcnMvZG93bnJldi54bWxQSwEC&#10;FAAUAAAACACHTuJAxuUaWvwBAAAEBAAADgAAAAAAAAABACAAAAAfAQAAZHJzL2Uyb0RvYy54bWxQ&#10;SwUGAAAAAAYABgBZAQAAjQUAAAAA&#10;">
              <v:fill on="f" focussize="0,0"/>
              <v:stroke on="f"/>
              <v:imagedata o:title=""/>
              <o:lock v:ext="edit" aspectratio="f"/>
              <v:textbox inset="0mm,0mm,0mm,0mm" style="mso-fit-shape-to-text:t;">
                <w:txbxContent>
                  <w:p>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58</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58</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540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HtdM9AAAAADAQAADwAAAAAAAAABACAAAAAiAAAAZHJzL2Rvd25yZXYueG1sUEsB&#10;AhQAFAAAAAgAh07iQBDyunn9AQAABAQAAA4AAAAAAAAAAQAgAAAAHwEAAGRycy9lMm9Eb2MueG1s&#10;UEsFBgAAAAAGAAYAWQEAAI4FAAAAAA==&#10;">
              <v:fill on="f" focussize="0,0"/>
              <v:stroke on="f"/>
              <v:imagedata o:title=""/>
              <o:lock v:ext="edit" aspectratio="f"/>
              <v:textbox inset="0mm,0mm,0mm,0mm" style="mso-fit-shape-to-text:t;">
                <w:txbxContent>
                  <w:p>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58</w:t>
                    </w:r>
                    <w:r>
                      <w:rPr>
                        <w:rFonts w:ascii="Times New Roman" w:hAnsi="Times New Roman"/>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3"/>
                          </w:pPr>
                          <w:r>
                            <w:rPr>
                              <w:rFonts w:hint="eastAsia"/>
                            </w:rPr>
                            <w:fldChar w:fldCharType="begin"/>
                          </w:r>
                          <w: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2336;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xezNIAAAADAQAADwAAAAAAAAABACAAAAAiAAAAZHJzL2Rvd25yZXYueG1sUEsB&#10;AhQAFAAAAAgAh07iQNzrIEY0AgAAYQQAAA4AAAAAAAAAAQAgAAAAIQEAAGRycy9lMm9Eb2MueG1s&#10;UEsFBgAAAAAGAAYAWQEAAMcFAAAAAA==&#10;">
              <v:fill on="f" focussize="0,0"/>
              <v:stroke on="f" weight="0.5pt"/>
              <v:imagedata o:title=""/>
              <o:lock v:ext="edit" aspectratio="f"/>
              <v:textbox inset="0mm,0mm,0mm,0mm" style="mso-fit-shape-to-text:t;">
                <w:txbxContent>
                  <w:p>
                    <w:pPr>
                      <w:pStyle w:val="33"/>
                    </w:pPr>
                    <w:r>
                      <w:rPr>
                        <w:rFonts w:hint="eastAsia"/>
                      </w:rPr>
                      <w:fldChar w:fldCharType="begin"/>
                    </w:r>
                    <w: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0288;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lGvKIDcCAABj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JRryiA3AgAAYwQAAA4AAAAAAAAAAQAgAAAAIQEAAGRycy9lMm9Eb2Mu&#10;eG1sUEsFBgAAAAAGAAYAWQEAAMo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0EDE6B52"/>
    <w:multiLevelType w:val="singleLevel"/>
    <w:tmpl w:val="0EDE6B52"/>
    <w:lvl w:ilvl="0" w:tentative="0">
      <w:start w:val="1"/>
      <w:numFmt w:val="decimal"/>
      <w:suff w:val="nothing"/>
      <w:lvlText w:val="%1、"/>
      <w:lvlJc w:val="left"/>
    </w:lvl>
  </w:abstractNum>
  <w:abstractNum w:abstractNumId="6">
    <w:nsid w:val="1035497F"/>
    <w:multiLevelType w:val="singleLevel"/>
    <w:tmpl w:val="1035497F"/>
    <w:lvl w:ilvl="0" w:tentative="0">
      <w:start w:val="5"/>
      <w:numFmt w:val="decimal"/>
      <w:suff w:val="space"/>
      <w:lvlText w:val="%1."/>
      <w:lvlJc w:val="left"/>
    </w:lvl>
  </w:abstractNum>
  <w:abstractNum w:abstractNumId="7">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
    <w:nsid w:val="2BA65C75"/>
    <w:multiLevelType w:val="singleLevel"/>
    <w:tmpl w:val="2BA65C75"/>
    <w:lvl w:ilvl="0" w:tentative="0">
      <w:start w:val="1"/>
      <w:numFmt w:val="decimal"/>
      <w:suff w:val="nothing"/>
      <w:lvlText w:val="%1、"/>
      <w:lvlJc w:val="left"/>
    </w:lvl>
  </w:abstractNum>
  <w:abstractNum w:abstractNumId="9">
    <w:nsid w:val="359CB8E8"/>
    <w:multiLevelType w:val="singleLevel"/>
    <w:tmpl w:val="359CB8E8"/>
    <w:lvl w:ilvl="0" w:tentative="0">
      <w:start w:val="1"/>
      <w:numFmt w:val="chineseCounting"/>
      <w:suff w:val="nothing"/>
      <w:lvlText w:val="%1、"/>
      <w:lvlJc w:val="left"/>
      <w:rPr>
        <w:rFonts w:hint="eastAsia"/>
      </w:rPr>
    </w:lvl>
  </w:abstractNum>
  <w:abstractNum w:abstractNumId="10">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1">
    <w:nsid w:val="537AA372"/>
    <w:multiLevelType w:val="singleLevel"/>
    <w:tmpl w:val="537AA372"/>
    <w:lvl w:ilvl="0" w:tentative="0">
      <w:start w:val="21"/>
      <w:numFmt w:val="decimal"/>
      <w:suff w:val="space"/>
      <w:lvlText w:val="%1."/>
      <w:lvlJc w:val="left"/>
    </w:lvl>
  </w:abstractNum>
  <w:abstractNum w:abstractNumId="12">
    <w:nsid w:val="5AAB3475"/>
    <w:multiLevelType w:val="singleLevel"/>
    <w:tmpl w:val="5AAB3475"/>
    <w:lvl w:ilvl="0" w:tentative="0">
      <w:start w:val="1"/>
      <w:numFmt w:val="decimal"/>
      <w:lvlText w:val="%1."/>
      <w:lvlJc w:val="left"/>
      <w:pPr>
        <w:ind w:left="425" w:hanging="425"/>
      </w:pPr>
      <w:rPr>
        <w:rFonts w:hint="default"/>
      </w:rPr>
    </w:lvl>
  </w:abstractNum>
  <w:abstractNum w:abstractNumId="13">
    <w:nsid w:val="5AAB3487"/>
    <w:multiLevelType w:val="singleLevel"/>
    <w:tmpl w:val="5AAB3487"/>
    <w:lvl w:ilvl="0" w:tentative="0">
      <w:start w:val="1"/>
      <w:numFmt w:val="decimal"/>
      <w:lvlText w:val="%1)"/>
      <w:lvlJc w:val="left"/>
      <w:pPr>
        <w:ind w:left="567" w:hanging="425"/>
      </w:pPr>
      <w:rPr>
        <w:rFonts w:hint="default"/>
      </w:rPr>
    </w:lvl>
  </w:abstractNum>
  <w:abstractNum w:abstractNumId="14">
    <w:nsid w:val="624D1350"/>
    <w:multiLevelType w:val="singleLevel"/>
    <w:tmpl w:val="624D1350"/>
    <w:lvl w:ilvl="0" w:tentative="0">
      <w:start w:val="25"/>
      <w:numFmt w:val="decimal"/>
      <w:suff w:val="space"/>
      <w:lvlText w:val="%1."/>
      <w:lvlJc w:val="left"/>
    </w:lvl>
  </w:abstractNum>
  <w:abstractNum w:abstractNumId="15">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7">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8">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5"/>
  </w:num>
  <w:num w:numId="4">
    <w:abstractNumId w:val="18"/>
  </w:num>
  <w:num w:numId="5">
    <w:abstractNumId w:val="6"/>
  </w:num>
  <w:num w:numId="6">
    <w:abstractNumId w:val="10"/>
  </w:num>
  <w:num w:numId="7">
    <w:abstractNumId w:val="0"/>
  </w:num>
  <w:num w:numId="8">
    <w:abstractNumId w:val="11"/>
  </w:num>
  <w:num w:numId="9">
    <w:abstractNumId w:val="14"/>
  </w:num>
  <w:num w:numId="10">
    <w:abstractNumId w:val="4"/>
  </w:num>
  <w:num w:numId="11">
    <w:abstractNumId w:val="1"/>
  </w:num>
  <w:num w:numId="12">
    <w:abstractNumId w:val="8"/>
  </w:num>
  <w:num w:numId="13">
    <w:abstractNumId w:val="12"/>
  </w:num>
  <w:num w:numId="14">
    <w:abstractNumId w:val="13"/>
  </w:num>
  <w:num w:numId="15">
    <w:abstractNumId w:val="5"/>
  </w:num>
  <w:num w:numId="16">
    <w:abstractNumId w:val="7"/>
  </w:num>
  <w:num w:numId="17">
    <w:abstractNumId w:val="16"/>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YzZjNDgwMzAzYTQ3ZTk5MGRmMDAzNDRiZWRlYzk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A56820"/>
    <w:rsid w:val="01B73196"/>
    <w:rsid w:val="01DB0F21"/>
    <w:rsid w:val="01F85948"/>
    <w:rsid w:val="02126A46"/>
    <w:rsid w:val="027D1EDC"/>
    <w:rsid w:val="02AA6F17"/>
    <w:rsid w:val="02D2637E"/>
    <w:rsid w:val="02E6429D"/>
    <w:rsid w:val="032E5AB3"/>
    <w:rsid w:val="0380752A"/>
    <w:rsid w:val="03C4317A"/>
    <w:rsid w:val="03F93E70"/>
    <w:rsid w:val="041E1097"/>
    <w:rsid w:val="04874841"/>
    <w:rsid w:val="04AF0DC0"/>
    <w:rsid w:val="04E35F2C"/>
    <w:rsid w:val="04EB4ECE"/>
    <w:rsid w:val="053371D4"/>
    <w:rsid w:val="05A9381E"/>
    <w:rsid w:val="05CA3B1B"/>
    <w:rsid w:val="05D40F8A"/>
    <w:rsid w:val="05E97CB2"/>
    <w:rsid w:val="060D6A3B"/>
    <w:rsid w:val="06193B1E"/>
    <w:rsid w:val="06383C8B"/>
    <w:rsid w:val="06AB6FF1"/>
    <w:rsid w:val="06C6067E"/>
    <w:rsid w:val="06DF18E2"/>
    <w:rsid w:val="0707497A"/>
    <w:rsid w:val="07394A3D"/>
    <w:rsid w:val="07416329"/>
    <w:rsid w:val="07501B9E"/>
    <w:rsid w:val="0838785B"/>
    <w:rsid w:val="08727C1D"/>
    <w:rsid w:val="087D0B78"/>
    <w:rsid w:val="08894DF6"/>
    <w:rsid w:val="0920129B"/>
    <w:rsid w:val="09823E4D"/>
    <w:rsid w:val="098852A8"/>
    <w:rsid w:val="09A06B78"/>
    <w:rsid w:val="09EA3E64"/>
    <w:rsid w:val="0A4B18CE"/>
    <w:rsid w:val="0A601059"/>
    <w:rsid w:val="0A8A4B12"/>
    <w:rsid w:val="0AB25DFE"/>
    <w:rsid w:val="0AC800D5"/>
    <w:rsid w:val="0AFA19A7"/>
    <w:rsid w:val="0B181252"/>
    <w:rsid w:val="0B2543AA"/>
    <w:rsid w:val="0B651CEF"/>
    <w:rsid w:val="0C275A89"/>
    <w:rsid w:val="0C47086E"/>
    <w:rsid w:val="0CBB5882"/>
    <w:rsid w:val="0D531CDF"/>
    <w:rsid w:val="0DCA3125"/>
    <w:rsid w:val="0E416A77"/>
    <w:rsid w:val="0E5C2657"/>
    <w:rsid w:val="0E5C7CE8"/>
    <w:rsid w:val="0EA34036"/>
    <w:rsid w:val="0EB049DF"/>
    <w:rsid w:val="0EB63F9D"/>
    <w:rsid w:val="0F245037"/>
    <w:rsid w:val="0F54794B"/>
    <w:rsid w:val="0F6A354E"/>
    <w:rsid w:val="0F88478D"/>
    <w:rsid w:val="0FB73DA5"/>
    <w:rsid w:val="0FDE2587"/>
    <w:rsid w:val="101B0BC4"/>
    <w:rsid w:val="103649EC"/>
    <w:rsid w:val="1040315F"/>
    <w:rsid w:val="10507757"/>
    <w:rsid w:val="107A1082"/>
    <w:rsid w:val="109E7189"/>
    <w:rsid w:val="10C72BB3"/>
    <w:rsid w:val="115206FB"/>
    <w:rsid w:val="11531DCE"/>
    <w:rsid w:val="11B40613"/>
    <w:rsid w:val="11BE2022"/>
    <w:rsid w:val="11D83EA2"/>
    <w:rsid w:val="122510EE"/>
    <w:rsid w:val="123757B7"/>
    <w:rsid w:val="12405481"/>
    <w:rsid w:val="12837EE6"/>
    <w:rsid w:val="128D1331"/>
    <w:rsid w:val="12C1355D"/>
    <w:rsid w:val="12EA1EE6"/>
    <w:rsid w:val="12EF7289"/>
    <w:rsid w:val="133D7CD4"/>
    <w:rsid w:val="134D5A81"/>
    <w:rsid w:val="13AC42B6"/>
    <w:rsid w:val="13BF6991"/>
    <w:rsid w:val="13F03DED"/>
    <w:rsid w:val="13F95DC4"/>
    <w:rsid w:val="142A3E2D"/>
    <w:rsid w:val="144A7973"/>
    <w:rsid w:val="14E5758A"/>
    <w:rsid w:val="14FB7DA2"/>
    <w:rsid w:val="158710F3"/>
    <w:rsid w:val="15C772F3"/>
    <w:rsid w:val="15CE4C34"/>
    <w:rsid w:val="15F0775C"/>
    <w:rsid w:val="160A0AD0"/>
    <w:rsid w:val="16401732"/>
    <w:rsid w:val="165B6F79"/>
    <w:rsid w:val="166E5EB0"/>
    <w:rsid w:val="16C01EAE"/>
    <w:rsid w:val="16F50974"/>
    <w:rsid w:val="177A195D"/>
    <w:rsid w:val="17E50036"/>
    <w:rsid w:val="1820060E"/>
    <w:rsid w:val="18205BA9"/>
    <w:rsid w:val="18370FAA"/>
    <w:rsid w:val="188D7D42"/>
    <w:rsid w:val="18C45643"/>
    <w:rsid w:val="19575882"/>
    <w:rsid w:val="195E155B"/>
    <w:rsid w:val="197321D5"/>
    <w:rsid w:val="1A0C41D1"/>
    <w:rsid w:val="1A336BE7"/>
    <w:rsid w:val="1A612D7C"/>
    <w:rsid w:val="1A807E72"/>
    <w:rsid w:val="1A8A2A47"/>
    <w:rsid w:val="1B16166A"/>
    <w:rsid w:val="1BB93E83"/>
    <w:rsid w:val="1BC644B6"/>
    <w:rsid w:val="1C613AB1"/>
    <w:rsid w:val="1C8C0466"/>
    <w:rsid w:val="1CC854C2"/>
    <w:rsid w:val="1D0121D0"/>
    <w:rsid w:val="1D5B524F"/>
    <w:rsid w:val="1D6D3522"/>
    <w:rsid w:val="1DAB5588"/>
    <w:rsid w:val="1DD72694"/>
    <w:rsid w:val="1DDE1DE9"/>
    <w:rsid w:val="1DFA7416"/>
    <w:rsid w:val="1F474868"/>
    <w:rsid w:val="1F883C9F"/>
    <w:rsid w:val="1F971592"/>
    <w:rsid w:val="1FB94E27"/>
    <w:rsid w:val="1FE57CFE"/>
    <w:rsid w:val="1FF41576"/>
    <w:rsid w:val="1FFE5831"/>
    <w:rsid w:val="200A3A73"/>
    <w:rsid w:val="20AF20C5"/>
    <w:rsid w:val="20ED7306"/>
    <w:rsid w:val="20F96916"/>
    <w:rsid w:val="211106C5"/>
    <w:rsid w:val="21431785"/>
    <w:rsid w:val="219E251A"/>
    <w:rsid w:val="21C24F4B"/>
    <w:rsid w:val="22071464"/>
    <w:rsid w:val="2232235C"/>
    <w:rsid w:val="23291785"/>
    <w:rsid w:val="23710488"/>
    <w:rsid w:val="2381304A"/>
    <w:rsid w:val="23BB002C"/>
    <w:rsid w:val="23C33515"/>
    <w:rsid w:val="23F1680C"/>
    <w:rsid w:val="242E494F"/>
    <w:rsid w:val="2432409C"/>
    <w:rsid w:val="243E15D5"/>
    <w:rsid w:val="244971A7"/>
    <w:rsid w:val="24551238"/>
    <w:rsid w:val="248E2DBA"/>
    <w:rsid w:val="25224672"/>
    <w:rsid w:val="25250089"/>
    <w:rsid w:val="25252A8D"/>
    <w:rsid w:val="25A67057"/>
    <w:rsid w:val="25D54115"/>
    <w:rsid w:val="25F72F27"/>
    <w:rsid w:val="260F4C55"/>
    <w:rsid w:val="26291B1A"/>
    <w:rsid w:val="26763E6F"/>
    <w:rsid w:val="267C3983"/>
    <w:rsid w:val="26D82BDE"/>
    <w:rsid w:val="26EB0757"/>
    <w:rsid w:val="270101AC"/>
    <w:rsid w:val="274D71B2"/>
    <w:rsid w:val="2751147F"/>
    <w:rsid w:val="27706CF6"/>
    <w:rsid w:val="279C6957"/>
    <w:rsid w:val="27D32B77"/>
    <w:rsid w:val="27DE5929"/>
    <w:rsid w:val="27E14C4C"/>
    <w:rsid w:val="282160D2"/>
    <w:rsid w:val="286C62A1"/>
    <w:rsid w:val="28A069B8"/>
    <w:rsid w:val="28F72971"/>
    <w:rsid w:val="290F3C6E"/>
    <w:rsid w:val="29667E27"/>
    <w:rsid w:val="2A3073E0"/>
    <w:rsid w:val="2AE35535"/>
    <w:rsid w:val="2B496FA3"/>
    <w:rsid w:val="2B532BFE"/>
    <w:rsid w:val="2B6A469F"/>
    <w:rsid w:val="2BAC65A8"/>
    <w:rsid w:val="2BB024B4"/>
    <w:rsid w:val="2BC60F98"/>
    <w:rsid w:val="2BCB45F0"/>
    <w:rsid w:val="2C066A1A"/>
    <w:rsid w:val="2C0B4AE6"/>
    <w:rsid w:val="2C8165FA"/>
    <w:rsid w:val="2CAC7CBD"/>
    <w:rsid w:val="2CCC08A3"/>
    <w:rsid w:val="2D0A514C"/>
    <w:rsid w:val="2D3F44AA"/>
    <w:rsid w:val="2DB235BF"/>
    <w:rsid w:val="2E577392"/>
    <w:rsid w:val="2E8B1B62"/>
    <w:rsid w:val="2E970AE4"/>
    <w:rsid w:val="2EB227A5"/>
    <w:rsid w:val="2F822BAC"/>
    <w:rsid w:val="2F96630B"/>
    <w:rsid w:val="2FAC7913"/>
    <w:rsid w:val="301F6139"/>
    <w:rsid w:val="30635531"/>
    <w:rsid w:val="30641E74"/>
    <w:rsid w:val="30810E1D"/>
    <w:rsid w:val="30F97581"/>
    <w:rsid w:val="314256C4"/>
    <w:rsid w:val="31947CF5"/>
    <w:rsid w:val="31C65637"/>
    <w:rsid w:val="32417274"/>
    <w:rsid w:val="329F04E5"/>
    <w:rsid w:val="32C27E2A"/>
    <w:rsid w:val="32F9755F"/>
    <w:rsid w:val="331B2806"/>
    <w:rsid w:val="333214D1"/>
    <w:rsid w:val="3370495E"/>
    <w:rsid w:val="33CC0FC6"/>
    <w:rsid w:val="33DD0EAC"/>
    <w:rsid w:val="34143D51"/>
    <w:rsid w:val="34302898"/>
    <w:rsid w:val="345B460B"/>
    <w:rsid w:val="347B1D25"/>
    <w:rsid w:val="348E2B4F"/>
    <w:rsid w:val="34BB4966"/>
    <w:rsid w:val="35515634"/>
    <w:rsid w:val="35C97D56"/>
    <w:rsid w:val="35EE5D6B"/>
    <w:rsid w:val="3637765B"/>
    <w:rsid w:val="363A3F05"/>
    <w:rsid w:val="365311E6"/>
    <w:rsid w:val="367112A8"/>
    <w:rsid w:val="37473FEE"/>
    <w:rsid w:val="375445E4"/>
    <w:rsid w:val="376964D6"/>
    <w:rsid w:val="378D71CC"/>
    <w:rsid w:val="379C3619"/>
    <w:rsid w:val="37A956F5"/>
    <w:rsid w:val="384A2F51"/>
    <w:rsid w:val="384C5A84"/>
    <w:rsid w:val="387C3364"/>
    <w:rsid w:val="38CC73F3"/>
    <w:rsid w:val="395B66C1"/>
    <w:rsid w:val="395E3B0F"/>
    <w:rsid w:val="39AE15AC"/>
    <w:rsid w:val="39E218FD"/>
    <w:rsid w:val="39E83FB4"/>
    <w:rsid w:val="3A153790"/>
    <w:rsid w:val="3A1F11A7"/>
    <w:rsid w:val="3A86575A"/>
    <w:rsid w:val="3B115AB0"/>
    <w:rsid w:val="3B341FC1"/>
    <w:rsid w:val="3B6F11E8"/>
    <w:rsid w:val="3B732683"/>
    <w:rsid w:val="3B851216"/>
    <w:rsid w:val="3D084D63"/>
    <w:rsid w:val="3D0B4A9A"/>
    <w:rsid w:val="3D517AA3"/>
    <w:rsid w:val="3DA349DC"/>
    <w:rsid w:val="3E0F5C92"/>
    <w:rsid w:val="3E3457B0"/>
    <w:rsid w:val="3E9753EA"/>
    <w:rsid w:val="3E9948D1"/>
    <w:rsid w:val="3EE41CB3"/>
    <w:rsid w:val="3F43088C"/>
    <w:rsid w:val="3F5E71A0"/>
    <w:rsid w:val="3F7F3F6B"/>
    <w:rsid w:val="3FAA346A"/>
    <w:rsid w:val="3FAB317E"/>
    <w:rsid w:val="3FE327A2"/>
    <w:rsid w:val="40602185"/>
    <w:rsid w:val="406D3C7A"/>
    <w:rsid w:val="408D0A8F"/>
    <w:rsid w:val="40DD4529"/>
    <w:rsid w:val="414920DE"/>
    <w:rsid w:val="41550B18"/>
    <w:rsid w:val="41E371A6"/>
    <w:rsid w:val="4206324A"/>
    <w:rsid w:val="42B01A80"/>
    <w:rsid w:val="42B540C6"/>
    <w:rsid w:val="43124DBF"/>
    <w:rsid w:val="43267EE9"/>
    <w:rsid w:val="43411BCB"/>
    <w:rsid w:val="435C4BA0"/>
    <w:rsid w:val="4373005F"/>
    <w:rsid w:val="442418FE"/>
    <w:rsid w:val="44781DAA"/>
    <w:rsid w:val="44C9249B"/>
    <w:rsid w:val="44CA357E"/>
    <w:rsid w:val="4587776E"/>
    <w:rsid w:val="45CF460B"/>
    <w:rsid w:val="45E27E1E"/>
    <w:rsid w:val="46142700"/>
    <w:rsid w:val="470316C4"/>
    <w:rsid w:val="470E368E"/>
    <w:rsid w:val="477631E0"/>
    <w:rsid w:val="47AC7367"/>
    <w:rsid w:val="47AD6319"/>
    <w:rsid w:val="47BA5BC1"/>
    <w:rsid w:val="47C7285C"/>
    <w:rsid w:val="480C69CA"/>
    <w:rsid w:val="487519F9"/>
    <w:rsid w:val="496D392E"/>
    <w:rsid w:val="497F756E"/>
    <w:rsid w:val="498E7313"/>
    <w:rsid w:val="499B629D"/>
    <w:rsid w:val="4A0A5885"/>
    <w:rsid w:val="4B073A5C"/>
    <w:rsid w:val="4B387880"/>
    <w:rsid w:val="4B44760D"/>
    <w:rsid w:val="4B5C5D27"/>
    <w:rsid w:val="4B5E326D"/>
    <w:rsid w:val="4B840ACD"/>
    <w:rsid w:val="4B8C42AD"/>
    <w:rsid w:val="4BC51F60"/>
    <w:rsid w:val="4BF72474"/>
    <w:rsid w:val="4C2E5AE5"/>
    <w:rsid w:val="4C4F0B45"/>
    <w:rsid w:val="4D227D33"/>
    <w:rsid w:val="4D7908B5"/>
    <w:rsid w:val="4DA74A82"/>
    <w:rsid w:val="4DA969FC"/>
    <w:rsid w:val="4DB73FDD"/>
    <w:rsid w:val="4E3B70D2"/>
    <w:rsid w:val="4E5C3A58"/>
    <w:rsid w:val="4E865AFC"/>
    <w:rsid w:val="4F066320"/>
    <w:rsid w:val="4F0C4606"/>
    <w:rsid w:val="4F4E6EBF"/>
    <w:rsid w:val="4F7D4C71"/>
    <w:rsid w:val="4FA80A1B"/>
    <w:rsid w:val="4FCA7073"/>
    <w:rsid w:val="4FE259E9"/>
    <w:rsid w:val="50092961"/>
    <w:rsid w:val="501D7C2E"/>
    <w:rsid w:val="505A18D4"/>
    <w:rsid w:val="50963550"/>
    <w:rsid w:val="512C7508"/>
    <w:rsid w:val="52321D93"/>
    <w:rsid w:val="52420452"/>
    <w:rsid w:val="524A5FDD"/>
    <w:rsid w:val="52533FC1"/>
    <w:rsid w:val="530973DA"/>
    <w:rsid w:val="53BB70AD"/>
    <w:rsid w:val="53DA43C4"/>
    <w:rsid w:val="53E267AB"/>
    <w:rsid w:val="54D02C4B"/>
    <w:rsid w:val="55112B45"/>
    <w:rsid w:val="551D1A51"/>
    <w:rsid w:val="55351206"/>
    <w:rsid w:val="55653C63"/>
    <w:rsid w:val="558F79BB"/>
    <w:rsid w:val="55A649AE"/>
    <w:rsid w:val="55D93627"/>
    <w:rsid w:val="56602AF8"/>
    <w:rsid w:val="569D1848"/>
    <w:rsid w:val="56B13A64"/>
    <w:rsid w:val="56BA3AA0"/>
    <w:rsid w:val="56CF6D97"/>
    <w:rsid w:val="56D66689"/>
    <w:rsid w:val="570E46A2"/>
    <w:rsid w:val="57847C36"/>
    <w:rsid w:val="586A742C"/>
    <w:rsid w:val="5881039C"/>
    <w:rsid w:val="58C134D7"/>
    <w:rsid w:val="58C94C3F"/>
    <w:rsid w:val="591E42EB"/>
    <w:rsid w:val="592A1676"/>
    <w:rsid w:val="59E71DDE"/>
    <w:rsid w:val="5A064D2E"/>
    <w:rsid w:val="5A53496E"/>
    <w:rsid w:val="5A7756D8"/>
    <w:rsid w:val="5A96078C"/>
    <w:rsid w:val="5ABB0552"/>
    <w:rsid w:val="5AC87CD6"/>
    <w:rsid w:val="5AE85A5C"/>
    <w:rsid w:val="5B18744E"/>
    <w:rsid w:val="5BC63955"/>
    <w:rsid w:val="5C4A2BD7"/>
    <w:rsid w:val="5CAF68F6"/>
    <w:rsid w:val="5CF84E92"/>
    <w:rsid w:val="5D213D72"/>
    <w:rsid w:val="5D63632E"/>
    <w:rsid w:val="5D89138F"/>
    <w:rsid w:val="5DD63758"/>
    <w:rsid w:val="5E2775BD"/>
    <w:rsid w:val="5E326512"/>
    <w:rsid w:val="5E4205CC"/>
    <w:rsid w:val="5E504C73"/>
    <w:rsid w:val="5E985E8A"/>
    <w:rsid w:val="5EE54D87"/>
    <w:rsid w:val="5FB455AB"/>
    <w:rsid w:val="5FD539BB"/>
    <w:rsid w:val="5FD8479E"/>
    <w:rsid w:val="5FEF4FD0"/>
    <w:rsid w:val="5FF11588"/>
    <w:rsid w:val="5FF7262C"/>
    <w:rsid w:val="60585DBB"/>
    <w:rsid w:val="609F50E9"/>
    <w:rsid w:val="61394E2C"/>
    <w:rsid w:val="617F4494"/>
    <w:rsid w:val="61FE7898"/>
    <w:rsid w:val="621C7A8F"/>
    <w:rsid w:val="62F475B6"/>
    <w:rsid w:val="630C6A64"/>
    <w:rsid w:val="631F7E44"/>
    <w:rsid w:val="63376FCF"/>
    <w:rsid w:val="637C04DD"/>
    <w:rsid w:val="63964CCA"/>
    <w:rsid w:val="63B3451B"/>
    <w:rsid w:val="648D18F2"/>
    <w:rsid w:val="652A2E44"/>
    <w:rsid w:val="654E4849"/>
    <w:rsid w:val="65686657"/>
    <w:rsid w:val="659209F7"/>
    <w:rsid w:val="65BD69EB"/>
    <w:rsid w:val="664977CF"/>
    <w:rsid w:val="66EC4975"/>
    <w:rsid w:val="66F92550"/>
    <w:rsid w:val="67016B09"/>
    <w:rsid w:val="67203D95"/>
    <w:rsid w:val="67597141"/>
    <w:rsid w:val="67F83FF2"/>
    <w:rsid w:val="681B27B3"/>
    <w:rsid w:val="683116BC"/>
    <w:rsid w:val="688F3871"/>
    <w:rsid w:val="68DC76F5"/>
    <w:rsid w:val="68E74072"/>
    <w:rsid w:val="69173BDC"/>
    <w:rsid w:val="69BD4674"/>
    <w:rsid w:val="6A036769"/>
    <w:rsid w:val="6A325674"/>
    <w:rsid w:val="6A4D2C84"/>
    <w:rsid w:val="6A52291B"/>
    <w:rsid w:val="6A7B10E5"/>
    <w:rsid w:val="6A817F02"/>
    <w:rsid w:val="6A8A48EA"/>
    <w:rsid w:val="6ABF2B74"/>
    <w:rsid w:val="6B351E6F"/>
    <w:rsid w:val="6B7A4051"/>
    <w:rsid w:val="6BE14999"/>
    <w:rsid w:val="6BFB5FD1"/>
    <w:rsid w:val="6C2B3C2F"/>
    <w:rsid w:val="6D12175F"/>
    <w:rsid w:val="6D1F5AF0"/>
    <w:rsid w:val="6D9B1F7C"/>
    <w:rsid w:val="6E1D76E4"/>
    <w:rsid w:val="6E544C48"/>
    <w:rsid w:val="6E67178A"/>
    <w:rsid w:val="6ED54165"/>
    <w:rsid w:val="6F0C74B5"/>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DC2403"/>
    <w:rsid w:val="72EC7281"/>
    <w:rsid w:val="73393BC2"/>
    <w:rsid w:val="737B44DB"/>
    <w:rsid w:val="73842E33"/>
    <w:rsid w:val="74262B1B"/>
    <w:rsid w:val="747F1F65"/>
    <w:rsid w:val="74A6094A"/>
    <w:rsid w:val="74CC21DF"/>
    <w:rsid w:val="74E16F35"/>
    <w:rsid w:val="753F3D93"/>
    <w:rsid w:val="75532D3D"/>
    <w:rsid w:val="758805C2"/>
    <w:rsid w:val="7588697C"/>
    <w:rsid w:val="761F2330"/>
    <w:rsid w:val="763F26D5"/>
    <w:rsid w:val="764D0528"/>
    <w:rsid w:val="76C82F19"/>
    <w:rsid w:val="77045A49"/>
    <w:rsid w:val="77266E5A"/>
    <w:rsid w:val="77291B31"/>
    <w:rsid w:val="775C7088"/>
    <w:rsid w:val="77701354"/>
    <w:rsid w:val="77750DFA"/>
    <w:rsid w:val="77902D8C"/>
    <w:rsid w:val="779A189F"/>
    <w:rsid w:val="781F51BA"/>
    <w:rsid w:val="78494544"/>
    <w:rsid w:val="78E431C4"/>
    <w:rsid w:val="78EB4A40"/>
    <w:rsid w:val="79BB696B"/>
    <w:rsid w:val="79F944AF"/>
    <w:rsid w:val="7A2F69EB"/>
    <w:rsid w:val="7A4413F9"/>
    <w:rsid w:val="7A5711E4"/>
    <w:rsid w:val="7A822D65"/>
    <w:rsid w:val="7AEA0E27"/>
    <w:rsid w:val="7BAF6112"/>
    <w:rsid w:val="7BBE1FE9"/>
    <w:rsid w:val="7C4A702F"/>
    <w:rsid w:val="7C735E4E"/>
    <w:rsid w:val="7D071AF5"/>
    <w:rsid w:val="7D394FD8"/>
    <w:rsid w:val="7D7E7646"/>
    <w:rsid w:val="7DC26738"/>
    <w:rsid w:val="7E972C19"/>
    <w:rsid w:val="7EBB2BFC"/>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0"/>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2"/>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2"/>
    <w:qFormat/>
    <w:uiPriority w:val="99"/>
    <w:pPr>
      <w:tabs>
        <w:tab w:val="left" w:pos="588"/>
      </w:tabs>
      <w:spacing w:line="360" w:lineRule="auto"/>
      <w:outlineLvl w:val="2"/>
    </w:pPr>
    <w:rPr>
      <w:rFonts w:ascii="Tahoma" w:hAnsi="Tahoma"/>
    </w:rPr>
  </w:style>
  <w:style w:type="paragraph" w:styleId="6">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1"/>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7"/>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3"/>
    <w:qFormat/>
    <w:uiPriority w:val="99"/>
    <w:pPr>
      <w:spacing w:line="360" w:lineRule="auto"/>
    </w:pPr>
    <w:rPr>
      <w:rFonts w:ascii="Tahoma" w:hAnsi="Tahoma"/>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Normal Indent"/>
    <w:basedOn w:val="1"/>
    <w:link w:val="135"/>
    <w:qFormat/>
    <w:uiPriority w:val="0"/>
    <w:pPr>
      <w:spacing w:line="360" w:lineRule="auto"/>
      <w:ind w:firstLine="200" w:firstLineChars="200"/>
    </w:pPr>
    <w:rPr>
      <w:sz w:val="24"/>
      <w:szCs w:val="20"/>
    </w:rPr>
  </w:style>
  <w:style w:type="paragraph" w:styleId="16">
    <w:name w:val="caption"/>
    <w:basedOn w:val="1"/>
    <w:next w:val="1"/>
    <w:link w:val="93"/>
    <w:qFormat/>
    <w:uiPriority w:val="0"/>
    <w:pPr>
      <w:spacing w:line="480" w:lineRule="auto"/>
    </w:pPr>
    <w:rPr>
      <w:rFonts w:ascii="华文中宋" w:eastAsia="华文中宋"/>
      <w:sz w:val="36"/>
      <w:szCs w:val="20"/>
    </w:rPr>
  </w:style>
  <w:style w:type="paragraph" w:styleId="17">
    <w:name w:val="index 5"/>
    <w:basedOn w:val="1"/>
    <w:next w:val="1"/>
    <w:qFormat/>
    <w:uiPriority w:val="99"/>
    <w:pPr>
      <w:ind w:left="800" w:leftChars="800"/>
    </w:pPr>
    <w:rPr>
      <w:rFonts w:eastAsia="宋体"/>
    </w:rPr>
  </w:style>
  <w:style w:type="paragraph" w:styleId="18">
    <w:name w:val="Document Map"/>
    <w:basedOn w:val="1"/>
    <w:link w:val="129"/>
    <w:qFormat/>
    <w:uiPriority w:val="99"/>
    <w:pPr>
      <w:spacing w:line="440" w:lineRule="exact"/>
    </w:pPr>
    <w:rPr>
      <w:rFonts w:ascii="宋体"/>
      <w:sz w:val="18"/>
      <w:szCs w:val="18"/>
    </w:rPr>
  </w:style>
  <w:style w:type="paragraph" w:styleId="19">
    <w:name w:val="toa heading"/>
    <w:basedOn w:val="1"/>
    <w:next w:val="1"/>
    <w:unhideWhenUsed/>
    <w:qFormat/>
    <w:uiPriority w:val="99"/>
    <w:pPr>
      <w:spacing w:before="120"/>
    </w:pPr>
    <w:rPr>
      <w:rFonts w:ascii="Cambria" w:hAnsi="Cambria" w:eastAsia="宋体"/>
      <w:sz w:val="24"/>
    </w:rPr>
  </w:style>
  <w:style w:type="paragraph" w:styleId="20">
    <w:name w:val="annotation text"/>
    <w:basedOn w:val="1"/>
    <w:link w:val="99"/>
    <w:qFormat/>
    <w:uiPriority w:val="0"/>
    <w:pPr>
      <w:jc w:val="left"/>
    </w:pPr>
    <w:rPr>
      <w:rFonts w:ascii="Tahoma" w:hAnsi="Tahoma"/>
    </w:rPr>
  </w:style>
  <w:style w:type="paragraph" w:styleId="21">
    <w:name w:val="Salutation"/>
    <w:basedOn w:val="14"/>
    <w:next w:val="14"/>
    <w:link w:val="198"/>
    <w:qFormat/>
    <w:uiPriority w:val="0"/>
    <w:rPr>
      <w:rFonts w:ascii="..ì." w:eastAsia="..ì." w:cs="Times New Roman"/>
      <w:color w:val="auto"/>
      <w:szCs w:val="20"/>
    </w:rPr>
  </w:style>
  <w:style w:type="paragraph" w:styleId="22">
    <w:name w:val="Body Text 3"/>
    <w:basedOn w:val="1"/>
    <w:link w:val="206"/>
    <w:qFormat/>
    <w:uiPriority w:val="99"/>
    <w:pPr>
      <w:spacing w:after="120"/>
    </w:pPr>
    <w:rPr>
      <w:rFonts w:eastAsia="宋体"/>
      <w:sz w:val="16"/>
      <w:szCs w:val="16"/>
    </w:rPr>
  </w:style>
  <w:style w:type="paragraph" w:styleId="23">
    <w:name w:val="Body Text Indent"/>
    <w:basedOn w:val="1"/>
    <w:link w:val="165"/>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qFormat/>
    <w:uiPriority w:val="0"/>
    <w:rPr>
      <w:sz w:val="18"/>
      <w:szCs w:val="18"/>
    </w:rPr>
  </w:style>
  <w:style w:type="paragraph" w:styleId="33">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27"/>
    <w:unhideWhenUsed/>
    <w:qFormat/>
    <w:uiPriority w:val="99"/>
    <w:pPr>
      <w:spacing w:line="440" w:lineRule="exact"/>
    </w:pPr>
    <w:rPr>
      <w:b/>
      <w:bCs/>
      <w:sz w:val="24"/>
      <w:szCs w:val="28"/>
    </w:rPr>
  </w:style>
  <w:style w:type="paragraph" w:styleId="48">
    <w:name w:val="Body Text First Indent"/>
    <w:basedOn w:val="2"/>
    <w:link w:val="130"/>
    <w:qFormat/>
    <w:uiPriority w:val="0"/>
    <w:pPr>
      <w:spacing w:after="120" w:line="240" w:lineRule="auto"/>
      <w:ind w:firstLine="100" w:firstLineChars="100"/>
    </w:pPr>
  </w:style>
  <w:style w:type="paragraph" w:styleId="49">
    <w:name w:val="Body Text First Indent 2"/>
    <w:basedOn w:val="23"/>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unhideWhenUsed/>
    <w:qFormat/>
    <w:uiPriority w:val="0"/>
    <w:pPr>
      <w:ind w:firstLine="420" w:firstLineChars="200"/>
    </w:pPr>
  </w:style>
  <w:style w:type="paragraph" w:customStyle="1" w:styleId="65">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6">
    <w:name w:val="_Style 67"/>
    <w:basedOn w:val="1"/>
    <w:next w:val="67"/>
    <w:qFormat/>
    <w:uiPriority w:val="99"/>
    <w:pPr>
      <w:ind w:firstLine="420" w:firstLineChars="200"/>
    </w:pPr>
    <w:rPr>
      <w:rFonts w:ascii="Calibri" w:hAnsi="Calibri"/>
      <w:szCs w:val="22"/>
    </w:rPr>
  </w:style>
  <w:style w:type="paragraph" w:styleId="67">
    <w:name w:val="List Paragraph"/>
    <w:basedOn w:val="1"/>
    <w:qFormat/>
    <w:uiPriority w:val="34"/>
    <w:pPr>
      <w:ind w:firstLine="420" w:firstLineChars="200"/>
    </w:pPr>
    <w:rPr>
      <w:rFonts w:ascii="Calibri" w:hAnsi="Calibri" w:eastAsia="宋体"/>
      <w:szCs w:val="22"/>
    </w:rPr>
  </w:style>
  <w:style w:type="paragraph" w:customStyle="1" w:styleId="68">
    <w:name w:val="_Style 2"/>
    <w:basedOn w:val="1"/>
    <w:qFormat/>
    <w:uiPriority w:val="34"/>
    <w:pPr>
      <w:ind w:firstLine="420" w:firstLineChars="200"/>
    </w:pPr>
    <w:rPr>
      <w:rFonts w:ascii="Calibri" w:hAnsi="Calibri"/>
      <w:szCs w:val="22"/>
    </w:rPr>
  </w:style>
  <w:style w:type="paragraph" w:customStyle="1" w:styleId="69">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0">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link w:val="104"/>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7"/>
    <w:qFormat/>
    <w:uiPriority w:val="0"/>
    <w:pPr>
      <w:tabs>
        <w:tab w:val="left" w:pos="567"/>
      </w:tabs>
      <w:wordWrap w:val="0"/>
      <w:spacing w:line="377" w:lineRule="auto"/>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kern w:val="0"/>
      <w:szCs w:val="20"/>
    </w:rPr>
  </w:style>
  <w:style w:type="paragraph" w:customStyle="1" w:styleId="76">
    <w:name w:val="样式5"/>
    <w:basedOn w:val="15"/>
    <w:qFormat/>
    <w:uiPriority w:val="0"/>
    <w:pPr>
      <w:ind w:firstLine="420"/>
    </w:pPr>
    <w:rPr>
      <w:sz w:val="21"/>
      <w:szCs w:val="21"/>
    </w:rPr>
  </w:style>
  <w:style w:type="paragraph" w:customStyle="1" w:styleId="77">
    <w:name w:val="标题2"/>
    <w:basedOn w:val="4"/>
    <w:next w:val="1"/>
    <w:link w:val="94"/>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4"/>
    <w:link w:val="105"/>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5"/>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6"/>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qFormat/>
    <w:uiPriority w:val="0"/>
    <w:pPr>
      <w:jc w:val="center"/>
    </w:pPr>
    <w:rPr>
      <w:sz w:val="28"/>
      <w:szCs w:val="28"/>
    </w:rPr>
  </w:style>
  <w:style w:type="paragraph" w:customStyle="1" w:styleId="87">
    <w:name w:val="正文首行缩进1"/>
    <w:basedOn w:val="2"/>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Courier New"/>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link w:val="113"/>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题注 Char"/>
    <w:link w:val="16"/>
    <w:qFormat/>
    <w:uiPriority w:val="0"/>
    <w:rPr>
      <w:rFonts w:ascii="华文中宋" w:eastAsia="华文中宋"/>
      <w:kern w:val="2"/>
      <w:sz w:val="36"/>
    </w:rPr>
  </w:style>
  <w:style w:type="character" w:customStyle="1" w:styleId="94">
    <w:name w:val="标题2 Char Char"/>
    <w:link w:val="77"/>
    <w:qFormat/>
    <w:uiPriority w:val="0"/>
    <w:rPr>
      <w:rFonts w:eastAsia="黑体"/>
      <w:kern w:val="2"/>
      <w:sz w:val="32"/>
      <w:szCs w:val="24"/>
    </w:rPr>
  </w:style>
  <w:style w:type="character" w:customStyle="1" w:styleId="95">
    <w:name w:val="批注框文本 Char"/>
    <w:link w:val="32"/>
    <w:qFormat/>
    <w:uiPriority w:val="0"/>
    <w:rPr>
      <w:kern w:val="2"/>
      <w:sz w:val="18"/>
      <w:szCs w:val="18"/>
    </w:rPr>
  </w:style>
  <w:style w:type="character" w:customStyle="1" w:styleId="96">
    <w:name w:val="refresh"/>
    <w:basedOn w:val="52"/>
    <w:qFormat/>
    <w:uiPriority w:val="0"/>
  </w:style>
  <w:style w:type="character" w:customStyle="1" w:styleId="97">
    <w:name w:val="小列表 Char Char"/>
    <w:link w:val="91"/>
    <w:qFormat/>
    <w:uiPriority w:val="0"/>
    <w:rPr>
      <w:rFonts w:eastAsia="Arial Unicode MS"/>
      <w:kern w:val="2"/>
      <w:sz w:val="24"/>
      <w:szCs w:val="28"/>
    </w:rPr>
  </w:style>
  <w:style w:type="character" w:customStyle="1" w:styleId="98">
    <w:name w:val="del"/>
    <w:basedOn w:val="52"/>
    <w:qFormat/>
    <w:uiPriority w:val="0"/>
  </w:style>
  <w:style w:type="character" w:customStyle="1" w:styleId="99">
    <w:name w:val="批注文字 Char1"/>
    <w:link w:val="20"/>
    <w:qFormat/>
    <w:uiPriority w:val="0"/>
    <w:rPr>
      <w:rFonts w:ascii="Tahoma" w:hAnsi="Tahoma"/>
      <w:kern w:val="2"/>
      <w:sz w:val="21"/>
      <w:szCs w:val="24"/>
    </w:rPr>
  </w:style>
  <w:style w:type="character" w:customStyle="1" w:styleId="100">
    <w:name w:val="正文缩进 Char1"/>
    <w:qFormat/>
    <w:uiPriority w:val="0"/>
    <w:rPr>
      <w:rFonts w:eastAsia="宋体"/>
      <w:kern w:val="2"/>
      <w:sz w:val="21"/>
      <w:szCs w:val="24"/>
      <w:lang w:val="en-US" w:eastAsia="zh-CN" w:bidi="ar-SA"/>
    </w:rPr>
  </w:style>
  <w:style w:type="character" w:customStyle="1" w:styleId="101">
    <w:name w:val="标题 5 Char"/>
    <w:link w:val="7"/>
    <w:qFormat/>
    <w:uiPriority w:val="99"/>
    <w:rPr>
      <w:b/>
      <w:bCs/>
      <w:kern w:val="2"/>
      <w:sz w:val="24"/>
      <w:szCs w:val="28"/>
    </w:rPr>
  </w:style>
  <w:style w:type="character" w:customStyle="1" w:styleId="102">
    <w:name w:val="标题 2 Char"/>
    <w:link w:val="4"/>
    <w:qFormat/>
    <w:uiPriority w:val="99"/>
    <w:rPr>
      <w:rFonts w:ascii="Cambria" w:hAnsi="Cambria"/>
      <w:b/>
      <w:bCs/>
      <w:kern w:val="2"/>
      <w:sz w:val="32"/>
      <w:szCs w:val="32"/>
    </w:rPr>
  </w:style>
  <w:style w:type="character" w:customStyle="1" w:styleId="103">
    <w:name w:val="表格字体小四 Char Char"/>
    <w:link w:val="73"/>
    <w:qFormat/>
    <w:uiPriority w:val="0"/>
    <w:rPr>
      <w:kern w:val="2"/>
      <w:sz w:val="24"/>
      <w:szCs w:val="24"/>
      <w:lang w:val="en-US" w:eastAsia="zh-CN" w:bidi="ar-SA"/>
    </w:rPr>
  </w:style>
  <w:style w:type="character" w:customStyle="1" w:styleId="104">
    <w:name w:val="目录 Char Char"/>
    <w:link w:val="72"/>
    <w:qFormat/>
    <w:uiPriority w:val="0"/>
    <w:rPr>
      <w:rFonts w:ascii="仿宋_GB2312" w:hAnsi="宋体" w:eastAsia="仿宋_GB2312"/>
      <w:sz w:val="28"/>
      <w:szCs w:val="28"/>
      <w:lang w:val="en-US" w:eastAsia="zh-CN" w:bidi="ar-SA"/>
    </w:rPr>
  </w:style>
  <w:style w:type="character" w:customStyle="1" w:styleId="105">
    <w:name w:val="三级 Char Char"/>
    <w:link w:val="78"/>
    <w:qFormat/>
    <w:uiPriority w:val="0"/>
    <w:rPr>
      <w:rFonts w:eastAsia="黑体"/>
      <w:bCs/>
      <w:kern w:val="2"/>
      <w:sz w:val="30"/>
      <w:szCs w:val="24"/>
    </w:rPr>
  </w:style>
  <w:style w:type="character" w:customStyle="1" w:styleId="106">
    <w:name w:val="label"/>
    <w:basedOn w:val="52"/>
    <w:qFormat/>
    <w:uiPriority w:val="0"/>
  </w:style>
  <w:style w:type="character" w:customStyle="1" w:styleId="107">
    <w:name w:val="标题 8 Char"/>
    <w:link w:val="10"/>
    <w:qFormat/>
    <w:uiPriority w:val="99"/>
    <w:rPr>
      <w:rFonts w:ascii="Arial" w:hAnsi="Arial" w:eastAsia="黑体"/>
      <w:kern w:val="2"/>
      <w:sz w:val="24"/>
      <w:szCs w:val="28"/>
    </w:rPr>
  </w:style>
  <w:style w:type="character" w:customStyle="1" w:styleId="108">
    <w:name w:val="open2"/>
    <w:basedOn w:val="52"/>
    <w:qFormat/>
    <w:uiPriority w:val="0"/>
  </w:style>
  <w:style w:type="character" w:customStyle="1" w:styleId="109">
    <w:name w:val="15"/>
    <w:qFormat/>
    <w:uiPriority w:val="0"/>
    <w:rPr>
      <w:rFonts w:hint="default" w:ascii="Calibri" w:hAnsi="Calibri" w:cs="Calibri"/>
      <w:color w:val="0000FF"/>
      <w:u w:val="single"/>
    </w:rPr>
  </w:style>
  <w:style w:type="character" w:customStyle="1" w:styleId="110">
    <w:name w:val="trans"/>
    <w:basedOn w:val="52"/>
    <w:qFormat/>
    <w:uiPriority w:val="0"/>
  </w:style>
  <w:style w:type="character" w:customStyle="1" w:styleId="111">
    <w:name w:val="del2"/>
    <w:basedOn w:val="52"/>
    <w:qFormat/>
    <w:uiPriority w:val="0"/>
  </w:style>
  <w:style w:type="character" w:customStyle="1" w:styleId="112">
    <w:name w:val="标题 3 Char"/>
    <w:link w:val="5"/>
    <w:qFormat/>
    <w:uiPriority w:val="99"/>
    <w:rPr>
      <w:rFonts w:ascii="Tahoma" w:hAnsi="Tahoma"/>
      <w:b/>
      <w:bCs/>
      <w:kern w:val="2"/>
      <w:sz w:val="32"/>
      <w:szCs w:val="32"/>
    </w:rPr>
  </w:style>
  <w:style w:type="character" w:customStyle="1" w:styleId="113">
    <w:name w:val="图题 Char Char"/>
    <w:link w:val="90"/>
    <w:qFormat/>
    <w:uiPriority w:val="0"/>
    <w:rPr>
      <w:kern w:val="2"/>
      <w:sz w:val="24"/>
      <w:szCs w:val="24"/>
      <w:lang w:val="en-US" w:eastAsia="zh-CN" w:bidi="ar-SA"/>
    </w:rPr>
  </w:style>
  <w:style w:type="character" w:customStyle="1" w:styleId="114">
    <w:name w:val="pagelinks"/>
    <w:basedOn w:val="52"/>
    <w:qFormat/>
    <w:uiPriority w:val="0"/>
  </w:style>
  <w:style w:type="character" w:customStyle="1" w:styleId="115">
    <w:name w:val="morewin"/>
    <w:basedOn w:val="52"/>
    <w:qFormat/>
    <w:uiPriority w:val="0"/>
  </w:style>
  <w:style w:type="character" w:customStyle="1" w:styleId="116">
    <w:name w:val="open"/>
    <w:basedOn w:val="52"/>
    <w:qFormat/>
    <w:uiPriority w:val="0"/>
  </w:style>
  <w:style w:type="character" w:customStyle="1" w:styleId="117">
    <w:name w:val="样式2 Char Char"/>
    <w:link w:val="79"/>
    <w:qFormat/>
    <w:uiPriority w:val="0"/>
    <w:rPr>
      <w:b/>
      <w:kern w:val="2"/>
      <w:sz w:val="24"/>
      <w:szCs w:val="24"/>
    </w:rPr>
  </w:style>
  <w:style w:type="character" w:customStyle="1" w:styleId="118">
    <w:name w:val="批注文字 Char"/>
    <w:qFormat/>
    <w:uiPriority w:val="99"/>
    <w:rPr>
      <w:kern w:val="2"/>
      <w:sz w:val="24"/>
      <w:szCs w:val="28"/>
    </w:rPr>
  </w:style>
  <w:style w:type="character" w:customStyle="1" w:styleId="119">
    <w:name w:val="图片 Char Char"/>
    <w:link w:val="86"/>
    <w:qFormat/>
    <w:uiPriority w:val="0"/>
    <w:rPr>
      <w:kern w:val="2"/>
      <w:sz w:val="28"/>
      <w:szCs w:val="28"/>
    </w:rPr>
  </w:style>
  <w:style w:type="character" w:customStyle="1" w:styleId="120">
    <w:name w:val="标题 1 Char"/>
    <w:link w:val="3"/>
    <w:qFormat/>
    <w:uiPriority w:val="99"/>
    <w:rPr>
      <w:rFonts w:ascii="Tahoma" w:hAnsi="Tahoma"/>
      <w:b/>
      <w:bCs/>
      <w:kern w:val="44"/>
      <w:sz w:val="24"/>
      <w:szCs w:val="44"/>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9"/>
    <w:qFormat/>
    <w:uiPriority w:val="99"/>
    <w:rPr>
      <w:b/>
      <w:bCs/>
      <w:kern w:val="2"/>
      <w:sz w:val="24"/>
      <w:szCs w:val="28"/>
    </w:rPr>
  </w:style>
  <w:style w:type="character" w:customStyle="1" w:styleId="123">
    <w:name w:val="标题 Char"/>
    <w:link w:val="46"/>
    <w:qFormat/>
    <w:uiPriority w:val="0"/>
    <w:rPr>
      <w:rFonts w:ascii="Cambria" w:hAnsi="Cambria"/>
      <w:b/>
      <w:bCs/>
      <w:kern w:val="2"/>
      <w:sz w:val="32"/>
      <w:szCs w:val="32"/>
    </w:rPr>
  </w:style>
  <w:style w:type="character" w:customStyle="1" w:styleId="124">
    <w:name w:val="标题 9 Char"/>
    <w:link w:val="11"/>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8"/>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4"/>
    <w:qFormat/>
    <w:uiPriority w:val="0"/>
    <w:rPr>
      <w:rFonts w:ascii="Arial" w:hAnsi="Arial" w:cs="Arial"/>
      <w:kern w:val="2"/>
      <w:sz w:val="24"/>
      <w:szCs w:val="24"/>
    </w:rPr>
  </w:style>
  <w:style w:type="character" w:customStyle="1" w:styleId="132">
    <w:name w:val="标题 6 Char"/>
    <w:link w:val="8"/>
    <w:qFormat/>
    <w:uiPriority w:val="99"/>
    <w:rPr>
      <w:rFonts w:ascii="Arial" w:hAnsi="Arial" w:eastAsia="黑体"/>
      <w:b/>
      <w:bCs/>
      <w:kern w:val="2"/>
      <w:sz w:val="24"/>
      <w:szCs w:val="28"/>
    </w:rPr>
  </w:style>
  <w:style w:type="character" w:customStyle="1" w:styleId="133">
    <w:name w:val="正文文本 Char"/>
    <w:link w:val="2"/>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15"/>
    <w:qFormat/>
    <w:uiPriority w:val="0"/>
    <w:rPr>
      <w:kern w:val="2"/>
      <w:sz w:val="24"/>
    </w:rPr>
  </w:style>
  <w:style w:type="character" w:customStyle="1" w:styleId="136">
    <w:name w:val="页脚 Char"/>
    <w:link w:val="33"/>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2"/>
    <w:qFormat/>
    <w:uiPriority w:val="0"/>
    <w:rPr>
      <w:rFonts w:eastAsia="黑体"/>
      <w:kern w:val="2"/>
      <w:sz w:val="28"/>
      <w:szCs w:val="32"/>
    </w:rPr>
  </w:style>
  <w:style w:type="character" w:customStyle="1" w:styleId="139">
    <w:name w:val="标题 4 Char"/>
    <w:link w:val="6"/>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3"/>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5"/>
    <w:qFormat/>
    <w:uiPriority w:val="99"/>
    <w:rPr>
      <w:rFonts w:eastAsia="宋体"/>
      <w:sz w:val="24"/>
      <w:szCs w:val="20"/>
    </w:rPr>
  </w:style>
  <w:style w:type="paragraph" w:customStyle="1" w:styleId="173">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1"/>
    <w:qFormat/>
    <w:uiPriority w:val="0"/>
    <w:rPr>
      <w:rFonts w:ascii="..ì." w:hAnsi="Times New Roman" w:eastAsia="..ì." w:cs="Times New Roman"/>
      <w:sz w:val="24"/>
    </w:rPr>
  </w:style>
  <w:style w:type="character" w:customStyle="1" w:styleId="199">
    <w:name w:val="注释标题 Char"/>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2"/>
    <w:qFormat/>
    <w:uiPriority w:val="99"/>
    <w:rPr>
      <w:rFonts w:ascii="宋体" w:eastAsia="宋体"/>
      <w:sz w:val="24"/>
      <w:szCs w:val="20"/>
    </w:rPr>
  </w:style>
  <w:style w:type="character" w:customStyle="1" w:styleId="206">
    <w:name w:val="正文文本 3 Char"/>
    <w:basedOn w:val="52"/>
    <w:link w:val="22"/>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eastAsia="黑体"/>
      <w:sz w:val="21"/>
    </w:rPr>
  </w:style>
  <w:style w:type="character" w:customStyle="1" w:styleId="248">
    <w:name w:val="一级条标题 Char"/>
    <w:link w:val="241"/>
    <w:qFormat/>
    <w:uiPriority w:val="0"/>
    <w:rPr>
      <w:rFonts w:ascii="黑体" w:eastAsia="黑体"/>
      <w:sz w:val="21"/>
    </w:rPr>
  </w:style>
  <w:style w:type="character" w:customStyle="1" w:styleId="249">
    <w:name w:val="二级条标题 Char"/>
    <w:link w:val="242"/>
    <w:qFormat/>
    <w:uiPriority w:val="0"/>
    <w:rPr>
      <w:rFonts w:ascii="黑体" w:eastAsia="黑体"/>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Char"/>
    <w:basedOn w:val="52"/>
    <w:link w:val="43"/>
    <w:qFormat/>
    <w:uiPriority w:val="0"/>
    <w:rPr>
      <w:rFonts w:ascii="黑体" w:hAnsi="Courier New" w:eastAsia="黑体"/>
    </w:rPr>
  </w:style>
  <w:style w:type="paragraph" w:customStyle="1"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正文 New"/>
    <w:qFormat/>
    <w:uiPriority w:val="99"/>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1DC3A-4456-4169-AFE6-0CA037B1A24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64</Pages>
  <Words>24107</Words>
  <Characters>25678</Characters>
  <Lines>247</Lines>
  <Paragraphs>69</Paragraphs>
  <TotalTime>9</TotalTime>
  <ScaleCrop>false</ScaleCrop>
  <LinksUpToDate>false</LinksUpToDate>
  <CharactersWithSpaces>29074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钟玉艳</cp:lastModifiedBy>
  <cp:lastPrinted>2021-01-08T03:14:00Z</cp:lastPrinted>
  <dcterms:modified xsi:type="dcterms:W3CDTF">2022-06-22T06:42:37Z</dcterms:modified>
  <dc:title>_x0001_</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ECCB2D59AA194FDE96D4831ED745EE16</vt:lpwstr>
  </property>
</Properties>
</file>