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宋体"/>
          <w:b/>
          <w:sz w:val="30"/>
        </w:rPr>
      </w:pPr>
      <w:bookmarkStart w:id="0" w:name="OLE_LINK9"/>
      <w:r>
        <w:rPr>
          <w:rFonts w:hint="eastAsia" w:ascii="宋体" w:hAnsi="宋体" w:eastAsia="宋体" w:cs="宋体"/>
          <w:b/>
          <w:sz w:val="30"/>
        </w:rPr>
        <w:t>政府采购项目</w:t>
      </w:r>
    </w:p>
    <w:p>
      <w:pPr>
        <w:adjustRightInd w:val="0"/>
        <w:snapToGrid w:val="0"/>
        <w:spacing w:line="360" w:lineRule="auto"/>
        <w:jc w:val="left"/>
        <w:rPr>
          <w:rFonts w:ascii="宋体" w:hAnsi="宋体" w:eastAsia="宋体" w:cs="宋体"/>
          <w:b/>
          <w:sz w:val="30"/>
        </w:rPr>
      </w:pPr>
      <w:r>
        <w:rPr>
          <w:rFonts w:hint="eastAsia" w:ascii="宋体" w:hAnsi="宋体" w:eastAsia="宋体" w:cs="宋体"/>
          <w:b/>
          <w:sz w:val="30"/>
        </w:rPr>
        <w:t>项目编号：</w:t>
      </w:r>
      <w:r>
        <w:rPr>
          <w:rFonts w:hint="eastAsia" w:ascii="宋体" w:hAnsi="宋体" w:eastAsia="宋体" w:cs="宋体"/>
          <w:b/>
          <w:sz w:val="30"/>
          <w:lang w:eastAsia="zh-CN"/>
        </w:rPr>
        <w:t>ZMZB2022XKD-64R</w:t>
      </w:r>
    </w:p>
    <w:p>
      <w:pPr>
        <w:adjustRightInd w:val="0"/>
        <w:snapToGrid w:val="0"/>
        <w:spacing w:line="360" w:lineRule="auto"/>
        <w:rPr>
          <w:rFonts w:ascii="宋体" w:hAnsi="宋体" w:eastAsia="宋体" w:cs="宋体"/>
          <w:b/>
          <w:sz w:val="48"/>
          <w:szCs w:val="48"/>
        </w:rPr>
      </w:pPr>
    </w:p>
    <w:p>
      <w:pPr>
        <w:adjustRightInd w:val="0"/>
        <w:snapToGrid w:val="0"/>
        <w:spacing w:line="360" w:lineRule="auto"/>
        <w:jc w:val="center"/>
        <w:rPr>
          <w:rFonts w:hint="eastAsia" w:ascii="宋体" w:hAnsi="宋体" w:eastAsia="宋体" w:cs="宋体"/>
          <w:b/>
          <w:sz w:val="36"/>
          <w:szCs w:val="28"/>
          <w:lang w:eastAsia="zh-CN"/>
        </w:rPr>
      </w:pPr>
      <w:r>
        <w:rPr>
          <w:rFonts w:hint="eastAsia" w:ascii="宋体" w:hAnsi="宋体" w:eastAsia="宋体" w:cs="宋体"/>
          <w:b/>
          <w:sz w:val="36"/>
          <w:szCs w:val="28"/>
          <w:lang w:eastAsia="zh-CN"/>
        </w:rPr>
        <w:t>西安科技大学</w:t>
      </w:r>
    </w:p>
    <w:p>
      <w:pPr>
        <w:adjustRightInd w:val="0"/>
        <w:snapToGrid w:val="0"/>
        <w:spacing w:line="360" w:lineRule="auto"/>
        <w:jc w:val="center"/>
        <w:rPr>
          <w:rFonts w:hint="eastAsia" w:ascii="宋体" w:hAnsi="宋体" w:eastAsia="宋体" w:cs="宋体"/>
          <w:b/>
          <w:sz w:val="36"/>
          <w:szCs w:val="28"/>
          <w:lang w:eastAsia="zh-CN"/>
        </w:rPr>
      </w:pPr>
      <w:r>
        <w:rPr>
          <w:rFonts w:hint="eastAsia" w:ascii="宋体" w:hAnsi="宋体" w:eastAsia="宋体" w:cs="宋体"/>
          <w:b/>
          <w:sz w:val="36"/>
          <w:szCs w:val="28"/>
          <w:lang w:eastAsia="zh-CN"/>
        </w:rPr>
        <w:t>ACS数据库、ElsevierScienceDirect数据库、SCIE数据库</w:t>
      </w:r>
    </w:p>
    <w:p>
      <w:pPr>
        <w:adjustRightInd w:val="0"/>
        <w:snapToGrid w:val="0"/>
        <w:spacing w:line="360" w:lineRule="auto"/>
        <w:jc w:val="center"/>
        <w:rPr>
          <w:rFonts w:ascii="宋体" w:hAnsi="宋体" w:eastAsia="宋体" w:cs="宋体"/>
          <w:b/>
          <w:sz w:val="52"/>
          <w:szCs w:val="52"/>
        </w:rPr>
      </w:pPr>
      <w:r>
        <w:rPr>
          <w:rFonts w:hint="eastAsia" w:ascii="宋体" w:hAnsi="宋体" w:eastAsia="宋体" w:cs="宋体"/>
          <w:b/>
          <w:sz w:val="36"/>
          <w:szCs w:val="28"/>
          <w:lang w:eastAsia="zh-CN"/>
        </w:rPr>
        <w:t>服务采购项目（二次）</w:t>
      </w:r>
    </w:p>
    <w:p>
      <w:pPr>
        <w:adjustRightInd w:val="0"/>
        <w:snapToGrid w:val="0"/>
        <w:spacing w:line="360" w:lineRule="auto"/>
        <w:rPr>
          <w:rFonts w:ascii="宋体" w:hAnsi="宋体" w:eastAsia="宋体" w:cs="宋体"/>
          <w:b/>
          <w:sz w:val="52"/>
          <w:szCs w:val="52"/>
        </w:rPr>
      </w:pPr>
      <w:r>
        <w:drawing>
          <wp:anchor distT="0" distB="0" distL="114300" distR="114300" simplePos="0" relativeHeight="251666432" behindDoc="0" locked="0" layoutInCell="1" allowOverlap="1">
            <wp:simplePos x="0" y="0"/>
            <wp:positionH relativeFrom="column">
              <wp:posOffset>2030730</wp:posOffset>
            </wp:positionH>
            <wp:positionV relativeFrom="paragraph">
              <wp:posOffset>335915</wp:posOffset>
            </wp:positionV>
            <wp:extent cx="2095500" cy="1087120"/>
            <wp:effectExtent l="0" t="0" r="0" b="1778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0" cstate="print"/>
                    <a:stretch>
                      <a:fillRect/>
                    </a:stretch>
                  </pic:blipFill>
                  <pic:spPr>
                    <a:xfrm>
                      <a:off x="0" y="0"/>
                      <a:ext cx="2095500" cy="1087120"/>
                    </a:xfrm>
                    <a:prstGeom prst="rect">
                      <a:avLst/>
                    </a:prstGeom>
                    <a:noFill/>
                    <a:ln>
                      <a:noFill/>
                    </a:ln>
                  </pic:spPr>
                </pic:pic>
              </a:graphicData>
            </a:graphic>
          </wp:anchor>
        </w:drawing>
      </w:r>
    </w:p>
    <w:p>
      <w:pPr>
        <w:tabs>
          <w:tab w:val="left" w:pos="0"/>
        </w:tabs>
        <w:adjustRightInd w:val="0"/>
        <w:snapToGrid w:val="0"/>
        <w:spacing w:line="360" w:lineRule="auto"/>
        <w:jc w:val="left"/>
        <w:rPr>
          <w:rFonts w:ascii="宋体" w:hAnsi="宋体" w:eastAsia="宋体" w:cs="宋体"/>
          <w:b/>
          <w:sz w:val="72"/>
          <w:szCs w:val="72"/>
        </w:rPr>
      </w:pPr>
    </w:p>
    <w:p>
      <w:pPr>
        <w:tabs>
          <w:tab w:val="left" w:pos="0"/>
        </w:tabs>
        <w:adjustRightInd w:val="0"/>
        <w:snapToGrid w:val="0"/>
        <w:spacing w:line="360" w:lineRule="auto"/>
        <w:jc w:val="center"/>
        <w:rPr>
          <w:rFonts w:ascii="宋体" w:hAnsi="宋体" w:eastAsia="宋体" w:cs="宋体"/>
          <w:b/>
          <w:sz w:val="30"/>
        </w:rPr>
      </w:pPr>
      <w:r>
        <w:rPr>
          <w:rFonts w:hint="eastAsia" w:ascii="宋体" w:hAnsi="宋体" w:eastAsia="宋体" w:cs="宋体"/>
          <w:b/>
          <w:sz w:val="72"/>
          <w:szCs w:val="72"/>
        </w:rPr>
        <w:t>竞争性谈判文件</w:t>
      </w:r>
    </w:p>
    <w:p>
      <w:pPr>
        <w:adjustRightInd w:val="0"/>
        <w:snapToGrid w:val="0"/>
        <w:spacing w:line="360" w:lineRule="auto"/>
        <w:jc w:val="center"/>
        <w:rPr>
          <w:rFonts w:ascii="宋体" w:hAnsi="宋体" w:eastAsia="宋体" w:cs="宋体"/>
          <w:b/>
          <w:sz w:val="30"/>
        </w:rPr>
      </w:pPr>
    </w:p>
    <w:p>
      <w:pPr>
        <w:adjustRightInd w:val="0"/>
        <w:snapToGrid w:val="0"/>
        <w:spacing w:line="360" w:lineRule="auto"/>
        <w:jc w:val="center"/>
        <w:rPr>
          <w:rFonts w:ascii="宋体" w:hAnsi="宋体" w:eastAsia="宋体" w:cs="宋体"/>
          <w:b/>
          <w:sz w:val="30"/>
        </w:rPr>
      </w:pPr>
    </w:p>
    <w:p>
      <w:pPr>
        <w:rPr>
          <w:rFonts w:ascii="宋体" w:hAnsi="宋体" w:eastAsia="宋体" w:cs="宋体"/>
          <w:b/>
          <w:sz w:val="30"/>
        </w:rPr>
      </w:pPr>
    </w:p>
    <w:p/>
    <w:p/>
    <w:p>
      <w:pPr>
        <w:adjustRightInd w:val="0"/>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陕西卓佲项目管理有限公司</w:t>
      </w:r>
    </w:p>
    <w:p>
      <w:pPr>
        <w:adjustRightInd w:val="0"/>
        <w:snapToGrid w:val="0"/>
        <w:spacing w:line="600" w:lineRule="auto"/>
        <w:jc w:val="center"/>
        <w:rPr>
          <w:rFonts w:ascii="宋体" w:hAnsi="宋体" w:eastAsia="宋体" w:cs="宋体"/>
          <w:b/>
          <w:sz w:val="32"/>
          <w:szCs w:val="32"/>
        </w:rPr>
        <w:sectPr>
          <w:headerReference r:id="rId4" w:type="first"/>
          <w:headerReference r:id="rId3" w:type="default"/>
          <w:footerReference r:id="rId5" w:type="default"/>
          <w:pgSz w:w="11906" w:h="16838"/>
          <w:pgMar w:top="1440" w:right="1080" w:bottom="1440" w:left="1080" w:header="851" w:footer="992" w:gutter="0"/>
          <w:cols w:space="720" w:num="1"/>
          <w:docGrid w:type="lines" w:linePitch="312" w:charSpace="0"/>
        </w:sectPr>
      </w:pPr>
      <w:r>
        <w:rPr>
          <w:rFonts w:hint="eastAsia" w:ascii="宋体" w:hAnsi="宋体" w:eastAsia="宋体" w:cs="宋体"/>
          <w:b/>
          <w:sz w:val="32"/>
          <w:szCs w:val="32"/>
        </w:rPr>
        <w:t>202</w:t>
      </w:r>
      <w:r>
        <w:rPr>
          <w:rFonts w:hint="eastAsia" w:ascii="宋体" w:hAnsi="宋体" w:eastAsia="宋体" w:cs="宋体"/>
          <w:b/>
          <w:sz w:val="32"/>
          <w:szCs w:val="32"/>
          <w:lang w:val="en-US" w:eastAsia="zh-CN"/>
        </w:rPr>
        <w:t>2</w:t>
      </w:r>
      <w:r>
        <w:rPr>
          <w:rFonts w:hint="eastAsia" w:ascii="宋体" w:hAnsi="宋体" w:eastAsia="宋体" w:cs="宋体"/>
          <w:b/>
          <w:sz w:val="32"/>
          <w:szCs w:val="32"/>
        </w:rPr>
        <w:t>年</w:t>
      </w:r>
      <w:r>
        <w:rPr>
          <w:rFonts w:hint="eastAsia" w:ascii="宋体" w:hAnsi="宋体" w:eastAsia="宋体" w:cs="宋体"/>
          <w:b/>
          <w:sz w:val="32"/>
          <w:szCs w:val="32"/>
          <w:lang w:val="en-US" w:eastAsia="zh-CN"/>
        </w:rPr>
        <w:t>5</w:t>
      </w:r>
      <w:r>
        <w:rPr>
          <w:rFonts w:hint="eastAsia" w:ascii="宋体" w:hAnsi="宋体" w:eastAsia="宋体" w:cs="宋体"/>
          <w:b/>
          <w:sz w:val="32"/>
          <w:szCs w:val="32"/>
        </w:rPr>
        <w:t>月</w:t>
      </w:r>
    </w:p>
    <w:p>
      <w:pPr>
        <w:pStyle w:val="16"/>
        <w:tabs>
          <w:tab w:val="right" w:leader="dot" w:pos="8306"/>
        </w:tabs>
        <w:spacing w:line="360" w:lineRule="auto"/>
        <w:jc w:val="center"/>
        <w:rPr>
          <w:rFonts w:ascii="宋体" w:hAnsi="宋体" w:eastAsia="宋体" w:cs="宋体"/>
          <w:b/>
          <w:bCs/>
          <w:sz w:val="52"/>
          <w:szCs w:val="52"/>
        </w:rPr>
      </w:pPr>
      <w:r>
        <w:rPr>
          <w:rFonts w:hint="eastAsia" w:ascii="宋体" w:hAnsi="宋体" w:eastAsia="宋体" w:cs="宋体"/>
          <w:b/>
          <w:bCs/>
          <w:sz w:val="52"/>
          <w:szCs w:val="52"/>
        </w:rPr>
        <w:t>目录</w:t>
      </w:r>
    </w:p>
    <w:p>
      <w:pPr>
        <w:pStyle w:val="16"/>
        <w:tabs>
          <w:tab w:val="right" w:leader="dot" w:pos="9746"/>
        </w:tabs>
      </w:pPr>
      <w:r>
        <w:rPr>
          <w:rFonts w:hint="eastAsia" w:asciiTheme="minorEastAsia" w:hAnsiTheme="minorEastAsia" w:cstheme="minorEastAsia"/>
          <w:sz w:val="96"/>
          <w:szCs w:val="96"/>
        </w:rPr>
        <w:fldChar w:fldCharType="begin"/>
      </w:r>
      <w:r>
        <w:rPr>
          <w:rFonts w:hint="eastAsia" w:asciiTheme="minorEastAsia" w:hAnsiTheme="minorEastAsia" w:cstheme="minorEastAsia"/>
          <w:sz w:val="96"/>
          <w:szCs w:val="96"/>
        </w:rPr>
        <w:instrText xml:space="preserve">TOC \o "1-2" \h \u </w:instrText>
      </w:r>
      <w:r>
        <w:rPr>
          <w:rFonts w:hint="eastAsia" w:asciiTheme="minorEastAsia" w:hAnsiTheme="minorEastAsia" w:cstheme="minorEastAsia"/>
          <w:sz w:val="96"/>
          <w:szCs w:val="96"/>
        </w:rPr>
        <w:fldChar w:fldCharType="separate"/>
      </w:r>
      <w:r>
        <w:rPr>
          <w:rFonts w:hint="eastAsia" w:asciiTheme="minorEastAsia" w:hAnsiTheme="minorEastAsia" w:cstheme="minorEastAsia"/>
          <w:szCs w:val="96"/>
        </w:rPr>
        <w:fldChar w:fldCharType="begin"/>
      </w:r>
      <w:r>
        <w:rPr>
          <w:rFonts w:hint="eastAsia" w:asciiTheme="minorEastAsia" w:hAnsiTheme="minorEastAsia" w:cstheme="minorEastAsia"/>
          <w:szCs w:val="96"/>
        </w:rPr>
        <w:instrText xml:space="preserve"> HYPERLINK \l _Toc11968 </w:instrText>
      </w:r>
      <w:r>
        <w:rPr>
          <w:rFonts w:hint="eastAsia" w:asciiTheme="minorEastAsia" w:hAnsiTheme="minorEastAsia" w:cstheme="minorEastAsia"/>
          <w:szCs w:val="96"/>
        </w:rPr>
        <w:fldChar w:fldCharType="separate"/>
      </w:r>
      <w:r>
        <w:rPr>
          <w:rFonts w:hint="eastAsia" w:ascii="宋体" w:hAnsi="宋体" w:cs="宋体"/>
          <w:szCs w:val="36"/>
        </w:rPr>
        <w:t>第一部分  竞争性谈判公告</w:t>
      </w:r>
      <w:r>
        <w:tab/>
      </w:r>
      <w:r>
        <w:fldChar w:fldCharType="begin"/>
      </w:r>
      <w:r>
        <w:instrText xml:space="preserve"> PAGEREF _Toc11968 \h </w:instrText>
      </w:r>
      <w:r>
        <w:fldChar w:fldCharType="separate"/>
      </w:r>
      <w:r>
        <w:t>1</w:t>
      </w:r>
      <w:r>
        <w:fldChar w:fldCharType="end"/>
      </w:r>
      <w:r>
        <w:rPr>
          <w:rFonts w:hint="eastAsia" w:asciiTheme="minorEastAsia" w:hAnsi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_Toc1806 </w:instrText>
      </w:r>
      <w:r>
        <w:rPr>
          <w:rFonts w:hint="eastAsia" w:asciiTheme="minorEastAsia" w:hAnsiTheme="minorEastAsia" w:eastAsiaTheme="minorEastAsia" w:cstheme="minorEastAsia"/>
          <w:szCs w:val="96"/>
        </w:rPr>
        <w:fldChar w:fldCharType="separate"/>
      </w:r>
      <w:r>
        <w:rPr>
          <w:rFonts w:hint="eastAsia" w:ascii="宋体" w:hAnsi="宋体" w:cs="宋体"/>
        </w:rPr>
        <w:t>第二部分  供应商须知前附表</w:t>
      </w:r>
      <w:r>
        <w:tab/>
      </w:r>
      <w:r>
        <w:fldChar w:fldCharType="begin"/>
      </w:r>
      <w:r>
        <w:instrText xml:space="preserve"> PAGEREF _Toc1806 \h </w:instrText>
      </w:r>
      <w:r>
        <w:fldChar w:fldCharType="separate"/>
      </w:r>
      <w:r>
        <w:t>5</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_Toc24677 </w:instrText>
      </w:r>
      <w:r>
        <w:rPr>
          <w:rFonts w:hint="eastAsia" w:asciiTheme="minorEastAsia" w:hAnsiTheme="minorEastAsia" w:eastAsiaTheme="minorEastAsia" w:cstheme="minorEastAsia"/>
          <w:szCs w:val="96"/>
        </w:rPr>
        <w:fldChar w:fldCharType="separate"/>
      </w:r>
      <w:r>
        <w:rPr>
          <w:rFonts w:hint="eastAsia" w:ascii="宋体" w:hAnsi="宋体" w:cs="宋体"/>
        </w:rPr>
        <w:t>第三部分  供应商须知</w:t>
      </w:r>
      <w:r>
        <w:tab/>
      </w:r>
      <w:r>
        <w:fldChar w:fldCharType="begin"/>
      </w:r>
      <w:r>
        <w:instrText xml:space="preserve"> PAGEREF _Toc24677 \h </w:instrText>
      </w:r>
      <w:r>
        <w:fldChar w:fldCharType="separate"/>
      </w:r>
      <w:r>
        <w:t>10</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_Toc5649 </w:instrText>
      </w:r>
      <w:r>
        <w:rPr>
          <w:rFonts w:hint="eastAsia" w:asciiTheme="minorEastAsia" w:hAnsiTheme="minorEastAsia" w:eastAsiaTheme="minorEastAsia" w:cstheme="minorEastAsia"/>
          <w:szCs w:val="96"/>
        </w:rPr>
        <w:fldChar w:fldCharType="separate"/>
      </w:r>
      <w:r>
        <w:rPr>
          <w:rFonts w:hint="eastAsia" w:ascii="宋体" w:hAnsi="宋体" w:cs="宋体"/>
        </w:rPr>
        <w:t>一、 总 则</w:t>
      </w:r>
      <w:r>
        <w:tab/>
      </w:r>
      <w:r>
        <w:fldChar w:fldCharType="begin"/>
      </w:r>
      <w:r>
        <w:instrText xml:space="preserve"> PAGEREF _Toc5649 \h </w:instrText>
      </w:r>
      <w:r>
        <w:fldChar w:fldCharType="separate"/>
      </w:r>
      <w:r>
        <w:t>10</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_Toc13989 </w:instrText>
      </w:r>
      <w:r>
        <w:rPr>
          <w:rFonts w:hint="eastAsia" w:asciiTheme="minorEastAsia" w:hAnsiTheme="minorEastAsia" w:eastAsiaTheme="minorEastAsia" w:cstheme="minorEastAsia"/>
          <w:szCs w:val="96"/>
        </w:rPr>
        <w:fldChar w:fldCharType="separate"/>
      </w:r>
      <w:r>
        <w:rPr>
          <w:rFonts w:hint="eastAsia" w:ascii="宋体" w:hAnsi="宋体" w:cs="宋体"/>
        </w:rPr>
        <w:t>二、 竞争性谈判文件</w:t>
      </w:r>
      <w:r>
        <w:tab/>
      </w:r>
      <w:r>
        <w:fldChar w:fldCharType="begin"/>
      </w:r>
      <w:r>
        <w:instrText xml:space="preserve"> PAGEREF _Toc13989 \h </w:instrText>
      </w:r>
      <w:r>
        <w:fldChar w:fldCharType="separate"/>
      </w:r>
      <w:r>
        <w:t>12</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_Toc12966 </w:instrText>
      </w:r>
      <w:r>
        <w:rPr>
          <w:rFonts w:hint="eastAsia" w:asciiTheme="minorEastAsia" w:hAnsiTheme="minorEastAsia" w:eastAsiaTheme="minorEastAsia" w:cstheme="minorEastAsia"/>
          <w:szCs w:val="96"/>
        </w:rPr>
        <w:fldChar w:fldCharType="separate"/>
      </w:r>
      <w:r>
        <w:rPr>
          <w:rFonts w:hint="eastAsia" w:ascii="宋体" w:hAnsi="宋体" w:cs="宋体"/>
        </w:rPr>
        <w:t>三、 响应文件</w:t>
      </w:r>
      <w:r>
        <w:tab/>
      </w:r>
      <w:r>
        <w:fldChar w:fldCharType="begin"/>
      </w:r>
      <w:r>
        <w:instrText xml:space="preserve"> PAGEREF _Toc12966 \h </w:instrText>
      </w:r>
      <w:r>
        <w:fldChar w:fldCharType="separate"/>
      </w:r>
      <w:r>
        <w:t>14</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_Toc17598 </w:instrText>
      </w:r>
      <w:r>
        <w:rPr>
          <w:rFonts w:hint="eastAsia" w:asciiTheme="minorEastAsia" w:hAnsiTheme="minorEastAsia" w:eastAsiaTheme="minorEastAsia" w:cstheme="minorEastAsia"/>
          <w:szCs w:val="96"/>
        </w:rPr>
        <w:fldChar w:fldCharType="separate"/>
      </w:r>
      <w:r>
        <w:rPr>
          <w:rFonts w:hint="eastAsia" w:ascii="宋体" w:hAnsi="宋体" w:cs="宋体"/>
        </w:rPr>
        <w:t>四、 响应文件的递交</w:t>
      </w:r>
      <w:r>
        <w:tab/>
      </w:r>
      <w:r>
        <w:fldChar w:fldCharType="begin"/>
      </w:r>
      <w:r>
        <w:instrText xml:space="preserve"> PAGEREF _Toc17598 \h </w:instrText>
      </w:r>
      <w:r>
        <w:fldChar w:fldCharType="separate"/>
      </w:r>
      <w:r>
        <w:t>16</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_Toc1390 </w:instrText>
      </w:r>
      <w:r>
        <w:rPr>
          <w:rFonts w:hint="eastAsia" w:asciiTheme="minorEastAsia" w:hAnsiTheme="minorEastAsia" w:eastAsiaTheme="minorEastAsia" w:cstheme="minorEastAsia"/>
          <w:szCs w:val="96"/>
        </w:rPr>
        <w:fldChar w:fldCharType="separate"/>
      </w:r>
      <w:r>
        <w:rPr>
          <w:rFonts w:hint="eastAsia" w:ascii="宋体" w:hAnsi="宋体" w:cs="宋体"/>
        </w:rPr>
        <w:t>五、 谈判、评审、定标</w:t>
      </w:r>
      <w:r>
        <w:tab/>
      </w:r>
      <w:r>
        <w:fldChar w:fldCharType="begin"/>
      </w:r>
      <w:r>
        <w:instrText xml:space="preserve"> PAGEREF _Toc1390 \h </w:instrText>
      </w:r>
      <w:r>
        <w:fldChar w:fldCharType="separate"/>
      </w:r>
      <w:r>
        <w:t>16</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_Toc5812 </w:instrText>
      </w:r>
      <w:r>
        <w:rPr>
          <w:rFonts w:hint="eastAsia" w:asciiTheme="minorEastAsia" w:hAnsiTheme="minorEastAsia" w:eastAsiaTheme="minorEastAsia" w:cstheme="minorEastAsia"/>
          <w:szCs w:val="96"/>
        </w:rPr>
        <w:fldChar w:fldCharType="separate"/>
      </w:r>
      <w:r>
        <w:rPr>
          <w:rFonts w:hint="eastAsia" w:ascii="宋体" w:hAnsi="宋体" w:cs="宋体"/>
        </w:rPr>
        <w:t>六、 签订合同</w:t>
      </w:r>
      <w:r>
        <w:tab/>
      </w:r>
      <w:r>
        <w:fldChar w:fldCharType="begin"/>
      </w:r>
      <w:r>
        <w:instrText xml:space="preserve"> PAGEREF _Toc5812 \h </w:instrText>
      </w:r>
      <w:r>
        <w:fldChar w:fldCharType="separate"/>
      </w:r>
      <w:r>
        <w:t>19</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_Toc1876 </w:instrText>
      </w:r>
      <w:r>
        <w:rPr>
          <w:rFonts w:hint="eastAsia" w:asciiTheme="minorEastAsia" w:hAnsiTheme="minorEastAsia" w:eastAsiaTheme="minorEastAsia" w:cstheme="minorEastAsia"/>
          <w:szCs w:val="96"/>
        </w:rPr>
        <w:fldChar w:fldCharType="separate"/>
      </w:r>
      <w:r>
        <w:rPr>
          <w:rFonts w:hint="eastAsia" w:ascii="宋体" w:hAnsi="宋体" w:cs="宋体"/>
        </w:rPr>
        <w:t>七、 质疑和投诉</w:t>
      </w:r>
      <w:r>
        <w:tab/>
      </w:r>
      <w:r>
        <w:fldChar w:fldCharType="begin"/>
      </w:r>
      <w:r>
        <w:instrText xml:space="preserve"> PAGEREF _Toc1876 \h </w:instrText>
      </w:r>
      <w:r>
        <w:fldChar w:fldCharType="separate"/>
      </w:r>
      <w:r>
        <w:t>20</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_Toc11471 </w:instrText>
      </w:r>
      <w:r>
        <w:rPr>
          <w:rFonts w:hint="eastAsia" w:asciiTheme="minorEastAsia" w:hAnsiTheme="minorEastAsia" w:eastAsiaTheme="minorEastAsia" w:cstheme="minorEastAsia"/>
          <w:szCs w:val="96"/>
        </w:rPr>
        <w:fldChar w:fldCharType="separate"/>
      </w:r>
      <w:r>
        <w:rPr>
          <w:rFonts w:hint="eastAsia" w:ascii="宋体" w:hAnsi="宋体" w:cs="宋体"/>
        </w:rPr>
        <w:t>第四部分  评审标准</w:t>
      </w:r>
      <w:r>
        <w:tab/>
      </w:r>
      <w:r>
        <w:fldChar w:fldCharType="begin"/>
      </w:r>
      <w:r>
        <w:instrText xml:space="preserve"> PAGEREF _Toc11471 \h </w:instrText>
      </w:r>
      <w:r>
        <w:fldChar w:fldCharType="separate"/>
      </w:r>
      <w:r>
        <w:t>22</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_Toc26683 </w:instrText>
      </w:r>
      <w:r>
        <w:rPr>
          <w:rFonts w:hint="eastAsia" w:asciiTheme="minorEastAsia" w:hAnsiTheme="minorEastAsia" w:eastAsiaTheme="minorEastAsia" w:cstheme="minorEastAsia"/>
          <w:szCs w:val="96"/>
        </w:rPr>
        <w:fldChar w:fldCharType="separate"/>
      </w:r>
      <w:r>
        <w:rPr>
          <w:rFonts w:hint="eastAsia" w:ascii="宋体" w:hAnsi="宋体" w:cs="宋体"/>
        </w:rPr>
        <w:t>第五部分  采购要求</w:t>
      </w:r>
      <w:r>
        <w:tab/>
      </w:r>
      <w:r>
        <w:fldChar w:fldCharType="begin"/>
      </w:r>
      <w:r>
        <w:instrText xml:space="preserve"> PAGEREF _Toc26683 \h </w:instrText>
      </w:r>
      <w:r>
        <w:fldChar w:fldCharType="separate"/>
      </w:r>
      <w:r>
        <w:t>23</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_Toc15504 </w:instrText>
      </w:r>
      <w:r>
        <w:rPr>
          <w:rFonts w:hint="eastAsia" w:asciiTheme="minorEastAsia" w:hAnsiTheme="minorEastAsia" w:eastAsiaTheme="minorEastAsia" w:cstheme="minorEastAsia"/>
          <w:szCs w:val="96"/>
        </w:rPr>
        <w:fldChar w:fldCharType="separate"/>
      </w:r>
      <w:r>
        <w:rPr>
          <w:rFonts w:hint="eastAsia" w:ascii="宋体" w:hAnsi="宋体" w:cs="宋体"/>
          <w:szCs w:val="36"/>
        </w:rPr>
        <w:t>第六部分 合同条款</w:t>
      </w:r>
      <w:r>
        <w:tab/>
      </w:r>
      <w:r>
        <w:fldChar w:fldCharType="begin"/>
      </w:r>
      <w:r>
        <w:instrText xml:space="preserve"> PAGEREF _Toc15504 \h </w:instrText>
      </w:r>
      <w:r>
        <w:fldChar w:fldCharType="separate"/>
      </w:r>
      <w:r>
        <w:t>25</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_Toc19765 </w:instrText>
      </w:r>
      <w:r>
        <w:rPr>
          <w:rFonts w:hint="eastAsia" w:asciiTheme="minorEastAsia" w:hAnsiTheme="minorEastAsia" w:eastAsiaTheme="minorEastAsia" w:cstheme="minorEastAsia"/>
          <w:szCs w:val="96"/>
        </w:rPr>
        <w:fldChar w:fldCharType="separate"/>
      </w:r>
      <w:r>
        <w:rPr>
          <w:rFonts w:hint="eastAsia" w:ascii="宋体" w:hAnsi="宋体" w:cs="宋体"/>
        </w:rPr>
        <w:t>第七部分  响应文件格式</w:t>
      </w:r>
      <w:r>
        <w:tab/>
      </w:r>
      <w:r>
        <w:fldChar w:fldCharType="begin"/>
      </w:r>
      <w:r>
        <w:instrText xml:space="preserve"> PAGEREF _Toc19765 \h </w:instrText>
      </w:r>
      <w:r>
        <w:fldChar w:fldCharType="separate"/>
      </w:r>
      <w:r>
        <w:t>30</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_Toc19981 </w:instrText>
      </w:r>
      <w:r>
        <w:rPr>
          <w:rFonts w:hint="eastAsia" w:asciiTheme="minorEastAsia" w:hAnsiTheme="minorEastAsia" w:eastAsiaTheme="minorEastAsia" w:cstheme="minorEastAsia"/>
          <w:szCs w:val="96"/>
        </w:rPr>
        <w:fldChar w:fldCharType="separate"/>
      </w:r>
      <w:r>
        <w:rPr>
          <w:rFonts w:hint="eastAsia" w:ascii="宋体" w:hAnsi="宋体" w:cs="宋体"/>
        </w:rPr>
        <w:t>第一部分响应函</w:t>
      </w:r>
      <w:r>
        <w:tab/>
      </w:r>
      <w:r>
        <w:fldChar w:fldCharType="begin"/>
      </w:r>
      <w:r>
        <w:instrText xml:space="preserve"> PAGEREF _Toc19981 \h </w:instrText>
      </w:r>
      <w:r>
        <w:fldChar w:fldCharType="separate"/>
      </w:r>
      <w:r>
        <w:t>32</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_Toc24608 </w:instrText>
      </w:r>
      <w:r>
        <w:rPr>
          <w:rFonts w:hint="eastAsia" w:asciiTheme="minorEastAsia" w:hAnsiTheme="minorEastAsia" w:eastAsiaTheme="minorEastAsia" w:cstheme="minorEastAsia"/>
          <w:szCs w:val="96"/>
        </w:rPr>
        <w:fldChar w:fldCharType="separate"/>
      </w:r>
      <w:r>
        <w:rPr>
          <w:rFonts w:hint="eastAsia" w:ascii="宋体" w:hAnsi="宋体" w:cs="宋体"/>
        </w:rPr>
        <w:t>第二部分响应一览表</w:t>
      </w:r>
      <w:r>
        <w:tab/>
      </w:r>
      <w:r>
        <w:fldChar w:fldCharType="begin"/>
      </w:r>
      <w:r>
        <w:instrText xml:space="preserve"> PAGEREF _Toc24608 \h </w:instrText>
      </w:r>
      <w:r>
        <w:fldChar w:fldCharType="separate"/>
      </w:r>
      <w:r>
        <w:t>33</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_Toc9537 </w:instrText>
      </w:r>
      <w:r>
        <w:rPr>
          <w:rFonts w:hint="eastAsia" w:asciiTheme="minorEastAsia" w:hAnsiTheme="minorEastAsia" w:eastAsiaTheme="minorEastAsia" w:cstheme="minorEastAsia"/>
          <w:szCs w:val="96"/>
        </w:rPr>
        <w:fldChar w:fldCharType="separate"/>
      </w:r>
      <w:r>
        <w:rPr>
          <w:rFonts w:hint="eastAsia"/>
          <w:szCs w:val="36"/>
        </w:rPr>
        <w:t>分项报价表</w:t>
      </w:r>
      <w:r>
        <w:tab/>
      </w:r>
      <w:r>
        <w:fldChar w:fldCharType="begin"/>
      </w:r>
      <w:r>
        <w:instrText xml:space="preserve"> PAGEREF _Toc9537 \h </w:instrText>
      </w:r>
      <w:r>
        <w:fldChar w:fldCharType="separate"/>
      </w:r>
      <w:r>
        <w:t>34</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_Toc30782 </w:instrText>
      </w:r>
      <w:r>
        <w:rPr>
          <w:rFonts w:hint="eastAsia" w:asciiTheme="minorEastAsia" w:hAnsiTheme="minorEastAsia" w:eastAsiaTheme="minorEastAsia" w:cstheme="minorEastAsia"/>
          <w:szCs w:val="96"/>
        </w:rPr>
        <w:fldChar w:fldCharType="separate"/>
      </w:r>
      <w:r>
        <w:rPr>
          <w:rFonts w:hint="eastAsia" w:ascii="宋体" w:hAnsi="宋体" w:cs="宋体"/>
        </w:rPr>
        <w:t>第三部分 商务及技术响应说明</w:t>
      </w:r>
      <w:r>
        <w:tab/>
      </w:r>
      <w:r>
        <w:fldChar w:fldCharType="begin"/>
      </w:r>
      <w:r>
        <w:instrText xml:space="preserve"> PAGEREF _Toc30782 \h </w:instrText>
      </w:r>
      <w:r>
        <w:fldChar w:fldCharType="separate"/>
      </w:r>
      <w:r>
        <w:t>35</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_Toc6869 </w:instrText>
      </w:r>
      <w:r>
        <w:rPr>
          <w:rFonts w:hint="eastAsia" w:asciiTheme="minorEastAsia" w:hAnsiTheme="minorEastAsia" w:eastAsiaTheme="minorEastAsia" w:cstheme="minorEastAsia"/>
          <w:szCs w:val="96"/>
        </w:rPr>
        <w:fldChar w:fldCharType="separate"/>
      </w:r>
      <w:r>
        <w:rPr>
          <w:rFonts w:hint="eastAsia" w:ascii="宋体" w:hAnsi="宋体" w:cs="宋体"/>
        </w:rPr>
        <w:t>第四部分 供应商资格要求</w:t>
      </w:r>
      <w:r>
        <w:tab/>
      </w:r>
      <w:r>
        <w:fldChar w:fldCharType="begin"/>
      </w:r>
      <w:r>
        <w:instrText xml:space="preserve"> PAGEREF _Toc6869 \h </w:instrText>
      </w:r>
      <w:r>
        <w:fldChar w:fldCharType="separate"/>
      </w:r>
      <w:r>
        <w:t>37</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_Toc6232 </w:instrText>
      </w:r>
      <w:r>
        <w:rPr>
          <w:rFonts w:hint="eastAsia" w:asciiTheme="minorEastAsia" w:hAnsiTheme="minorEastAsia" w:eastAsiaTheme="minorEastAsia" w:cstheme="minorEastAsia"/>
          <w:szCs w:val="96"/>
        </w:rPr>
        <w:fldChar w:fldCharType="separate"/>
      </w:r>
      <w:r>
        <w:rPr>
          <w:rFonts w:hint="eastAsia" w:ascii="宋体" w:hAnsi="宋体" w:cs="宋体"/>
          <w:szCs w:val="36"/>
        </w:rPr>
        <w:t>第五部分 技术与服务方案</w:t>
      </w:r>
      <w:r>
        <w:tab/>
      </w:r>
      <w:r>
        <w:fldChar w:fldCharType="begin"/>
      </w:r>
      <w:r>
        <w:instrText xml:space="preserve"> PAGEREF _Toc6232 \h </w:instrText>
      </w:r>
      <w:r>
        <w:fldChar w:fldCharType="separate"/>
      </w:r>
      <w:r>
        <w:t>47</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_Toc2087 </w:instrText>
      </w:r>
      <w:r>
        <w:rPr>
          <w:rFonts w:hint="eastAsia" w:asciiTheme="minorEastAsia" w:hAnsiTheme="minorEastAsia" w:eastAsiaTheme="minorEastAsia" w:cstheme="minorEastAsia"/>
          <w:szCs w:val="96"/>
        </w:rPr>
        <w:fldChar w:fldCharType="separate"/>
      </w:r>
      <w:r>
        <w:rPr>
          <w:rFonts w:hint="eastAsia" w:ascii="宋体" w:hAnsi="宋体" w:cs="宋体"/>
          <w:szCs w:val="36"/>
        </w:rPr>
        <w:t>第六部分 服务承诺</w:t>
      </w:r>
      <w:r>
        <w:tab/>
      </w:r>
      <w:r>
        <w:fldChar w:fldCharType="begin"/>
      </w:r>
      <w:r>
        <w:instrText xml:space="preserve"> PAGEREF _Toc2087 \h </w:instrText>
      </w:r>
      <w:r>
        <w:fldChar w:fldCharType="separate"/>
      </w:r>
      <w:r>
        <w:t>48</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_Toc30500 </w:instrText>
      </w:r>
      <w:r>
        <w:rPr>
          <w:rFonts w:hint="eastAsia" w:asciiTheme="minorEastAsia" w:hAnsiTheme="minorEastAsia" w:eastAsiaTheme="minorEastAsia" w:cstheme="minorEastAsia"/>
          <w:szCs w:val="96"/>
        </w:rPr>
        <w:fldChar w:fldCharType="separate"/>
      </w:r>
      <w:r>
        <w:rPr>
          <w:rFonts w:hint="eastAsia" w:ascii="宋体" w:hAnsi="宋体" w:eastAsia="宋体" w:cs="宋体"/>
        </w:rPr>
        <w:t>第七部分 供应商认为有必要说明的其他问题</w:t>
      </w:r>
      <w:r>
        <w:tab/>
      </w:r>
      <w:r>
        <w:fldChar w:fldCharType="begin"/>
      </w:r>
      <w:r>
        <w:instrText xml:space="preserve"> PAGEREF _Toc30500 \h </w:instrText>
      </w:r>
      <w:r>
        <w:fldChar w:fldCharType="separate"/>
      </w:r>
      <w:r>
        <w:t>49</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_Toc18590 </w:instrText>
      </w:r>
      <w:r>
        <w:rPr>
          <w:rFonts w:hint="eastAsia" w:asciiTheme="minorEastAsia" w:hAnsiTheme="minorEastAsia" w:eastAsiaTheme="minorEastAsia" w:cstheme="minorEastAsia"/>
          <w:szCs w:val="96"/>
        </w:rPr>
        <w:fldChar w:fldCharType="separate"/>
      </w:r>
      <w:r>
        <w:rPr>
          <w:rFonts w:hint="eastAsia" w:ascii="宋体" w:hAnsi="宋体" w:cs="宋体"/>
        </w:rPr>
        <w:t>附件一、封袋正面标识式样</w:t>
      </w:r>
      <w:r>
        <w:tab/>
      </w:r>
      <w:r>
        <w:fldChar w:fldCharType="begin"/>
      </w:r>
      <w:r>
        <w:instrText xml:space="preserve"> PAGEREF _Toc18590 \h </w:instrText>
      </w:r>
      <w:r>
        <w:fldChar w:fldCharType="separate"/>
      </w:r>
      <w:r>
        <w:t>50</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_Toc11215 </w:instrText>
      </w:r>
      <w:r>
        <w:rPr>
          <w:rFonts w:hint="eastAsia" w:asciiTheme="minorEastAsia" w:hAnsiTheme="minorEastAsia" w:eastAsiaTheme="minorEastAsia" w:cstheme="minorEastAsia"/>
          <w:szCs w:val="96"/>
        </w:rPr>
        <w:fldChar w:fldCharType="separate"/>
      </w:r>
      <w:r>
        <w:rPr>
          <w:rFonts w:hint="eastAsia" w:ascii="宋体" w:hAnsi="宋体" w:cs="宋体"/>
        </w:rPr>
        <w:t>附件二、中小企业申明（</w:t>
      </w:r>
      <w:r>
        <w:rPr>
          <w:rFonts w:hint="eastAsia" w:ascii="宋体" w:hAnsi="宋体" w:cs="宋体"/>
          <w:lang w:eastAsia="zh-CN"/>
        </w:rPr>
        <w:t>服务</w:t>
      </w:r>
      <w:r>
        <w:rPr>
          <w:rFonts w:hint="eastAsia" w:ascii="宋体" w:hAnsi="宋体" w:cs="宋体"/>
        </w:rPr>
        <w:t>）</w:t>
      </w:r>
      <w:r>
        <w:tab/>
      </w:r>
      <w:r>
        <w:fldChar w:fldCharType="begin"/>
      </w:r>
      <w:r>
        <w:instrText xml:space="preserve"> PAGEREF _Toc11215 \h </w:instrText>
      </w:r>
      <w:r>
        <w:fldChar w:fldCharType="separate"/>
      </w:r>
      <w:r>
        <w:t>52</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_Toc8845 </w:instrText>
      </w:r>
      <w:r>
        <w:rPr>
          <w:rFonts w:hint="eastAsia" w:asciiTheme="minorEastAsia" w:hAnsiTheme="minorEastAsia" w:eastAsiaTheme="minorEastAsia" w:cstheme="minorEastAsia"/>
          <w:szCs w:val="96"/>
        </w:rPr>
        <w:fldChar w:fldCharType="separate"/>
      </w:r>
      <w:r>
        <w:rPr>
          <w:rFonts w:hint="eastAsia" w:ascii="宋体" w:hAnsi="宋体" w:cs="宋体"/>
        </w:rPr>
        <w:t>附件六、质疑函范本</w:t>
      </w:r>
      <w:r>
        <w:tab/>
      </w:r>
      <w:r>
        <w:fldChar w:fldCharType="begin"/>
      </w:r>
      <w:r>
        <w:instrText xml:space="preserve"> PAGEREF _Toc8845 \h </w:instrText>
      </w:r>
      <w:r>
        <w:fldChar w:fldCharType="separate"/>
      </w:r>
      <w:r>
        <w:t>54</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_Toc10196 </w:instrText>
      </w:r>
      <w:r>
        <w:rPr>
          <w:rFonts w:hint="eastAsia" w:asciiTheme="minorEastAsia" w:hAnsiTheme="minorEastAsia" w:eastAsiaTheme="minorEastAsia" w:cstheme="minorEastAsia"/>
          <w:szCs w:val="96"/>
        </w:rPr>
        <w:fldChar w:fldCharType="separate"/>
      </w:r>
      <w:r>
        <w:rPr>
          <w:rFonts w:hint="eastAsia" w:ascii="宋体" w:hAnsi="宋体" w:cs="宋体"/>
        </w:rPr>
        <w:t>附件七、保证金退还账户信息确认表</w:t>
      </w:r>
      <w:r>
        <w:tab/>
      </w:r>
      <w:r>
        <w:fldChar w:fldCharType="begin"/>
      </w:r>
      <w:r>
        <w:instrText xml:space="preserve"> PAGEREF _Toc10196 \h </w:instrText>
      </w:r>
      <w:r>
        <w:fldChar w:fldCharType="separate"/>
      </w:r>
      <w:r>
        <w:t>56</w:t>
      </w:r>
      <w:r>
        <w:fldChar w:fldCharType="end"/>
      </w:r>
      <w:r>
        <w:rPr>
          <w:rFonts w:hint="eastAsia" w:asciiTheme="minorEastAsia" w:hAnsiTheme="minorEastAsia" w:eastAsiaTheme="minorEastAsia" w:cstheme="minorEastAsia"/>
          <w:szCs w:val="96"/>
        </w:rPr>
        <w:fldChar w:fldCharType="end"/>
      </w:r>
    </w:p>
    <w:p>
      <w:pPr>
        <w:pStyle w:val="4"/>
        <w:spacing w:line="312" w:lineRule="auto"/>
        <w:ind w:firstLine="643" w:firstLineChars="200"/>
        <w:rPr>
          <w:rFonts w:asciiTheme="minorEastAsia" w:hAnsiTheme="minorEastAsia" w:eastAsiaTheme="minorEastAsia" w:cstheme="minorEastAsia"/>
          <w:sz w:val="24"/>
          <w:szCs w:val="24"/>
        </w:rPr>
        <w:sectPr>
          <w:headerReference r:id="rId6" w:type="default"/>
          <w:footerReference r:id="rId7" w:type="default"/>
          <w:pgSz w:w="11906" w:h="16838"/>
          <w:pgMar w:top="1440" w:right="1080" w:bottom="1440" w:left="1080" w:header="851" w:footer="992" w:gutter="0"/>
          <w:cols w:space="720" w:num="1"/>
          <w:docGrid w:type="lines" w:linePitch="312" w:charSpace="0"/>
        </w:sectPr>
      </w:pPr>
      <w:r>
        <w:rPr>
          <w:rFonts w:hint="eastAsia" w:asciiTheme="minorEastAsia" w:hAnsiTheme="minorEastAsia" w:eastAsiaTheme="minorEastAsia" w:cstheme="minorEastAsia"/>
          <w:szCs w:val="96"/>
        </w:rPr>
        <w:fldChar w:fldCharType="end"/>
      </w:r>
    </w:p>
    <w:p>
      <w:pPr>
        <w:pStyle w:val="4"/>
        <w:rPr>
          <w:rFonts w:ascii="宋体" w:cs="宋体"/>
        </w:rPr>
      </w:pPr>
      <w:bookmarkStart w:id="1" w:name="_Toc11968"/>
      <w:bookmarkStart w:id="2" w:name="_Toc30089"/>
      <w:bookmarkStart w:id="3" w:name="_Toc438048787"/>
      <w:r>
        <w:rPr>
          <w:rFonts w:hint="eastAsia" w:ascii="宋体" w:hAnsi="宋体" w:cs="宋体"/>
          <w:sz w:val="36"/>
          <w:szCs w:val="36"/>
        </w:rPr>
        <w:t>第一部分  竞争性谈判公告</w:t>
      </w:r>
      <w:bookmarkEnd w:id="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项目概况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ACS数据库、ElsevierScienceDirect数据库、SCIE数据库服务采购项目</w:t>
      </w:r>
      <w:r>
        <w:rPr>
          <w:rFonts w:hint="eastAsia"/>
          <w:color w:val="auto"/>
          <w:sz w:val="24"/>
          <w:szCs w:val="28"/>
          <w:lang w:eastAsia="zh-CN"/>
        </w:rPr>
        <w:t>（二次）</w:t>
      </w:r>
      <w:r>
        <w:rPr>
          <w:rFonts w:hint="eastAsia"/>
          <w:color w:val="auto"/>
          <w:sz w:val="24"/>
          <w:szCs w:val="28"/>
        </w:rPr>
        <w:t>的潜在供应商应在西安市雁塔区科技路10号华奥大厦A座20层2002室获取采购文件，并于 2022年0</w:t>
      </w:r>
      <w:r>
        <w:rPr>
          <w:rFonts w:hint="eastAsia"/>
          <w:color w:val="auto"/>
          <w:sz w:val="24"/>
          <w:szCs w:val="28"/>
          <w:lang w:val="en-US" w:eastAsia="zh-CN"/>
        </w:rPr>
        <w:t>6</w:t>
      </w:r>
      <w:r>
        <w:rPr>
          <w:rFonts w:hint="eastAsia"/>
          <w:color w:val="auto"/>
          <w:sz w:val="24"/>
          <w:szCs w:val="28"/>
        </w:rPr>
        <w:t>月</w:t>
      </w:r>
      <w:r>
        <w:rPr>
          <w:rFonts w:hint="eastAsia"/>
          <w:color w:val="auto"/>
          <w:sz w:val="24"/>
          <w:szCs w:val="28"/>
          <w:lang w:val="en-US" w:eastAsia="zh-CN"/>
        </w:rPr>
        <w:t>09</w:t>
      </w:r>
      <w:r>
        <w:rPr>
          <w:rFonts w:hint="eastAsia"/>
          <w:color w:val="auto"/>
          <w:sz w:val="24"/>
          <w:szCs w:val="28"/>
        </w:rPr>
        <w:t>日 09时30分 （北京时间）前提交响应文件。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一、项目基本情况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auto"/>
          <w:sz w:val="24"/>
          <w:szCs w:val="28"/>
          <w:lang w:eastAsia="zh-CN"/>
        </w:rPr>
      </w:pPr>
      <w:r>
        <w:rPr>
          <w:rFonts w:hint="eastAsia"/>
          <w:color w:val="auto"/>
          <w:sz w:val="24"/>
          <w:szCs w:val="28"/>
        </w:rPr>
        <w:t>项目编号：</w:t>
      </w:r>
      <w:r>
        <w:rPr>
          <w:rFonts w:hint="eastAsia"/>
          <w:color w:val="auto"/>
          <w:sz w:val="24"/>
          <w:szCs w:val="28"/>
          <w:lang w:eastAsia="zh-CN"/>
        </w:rPr>
        <w:t>ZMZB2022XKD-64R</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auto"/>
          <w:sz w:val="24"/>
          <w:szCs w:val="28"/>
          <w:lang w:eastAsia="zh-CN"/>
        </w:rPr>
      </w:pPr>
      <w:r>
        <w:rPr>
          <w:rFonts w:hint="eastAsia"/>
          <w:color w:val="auto"/>
          <w:sz w:val="24"/>
          <w:szCs w:val="28"/>
        </w:rPr>
        <w:t>项目名称：ACS数据库、ElsevierScienceDirect数据库、SCIE数据库服务采购项目</w:t>
      </w:r>
      <w:r>
        <w:rPr>
          <w:rFonts w:hint="eastAsia"/>
          <w:color w:val="auto"/>
          <w:sz w:val="24"/>
          <w:szCs w:val="28"/>
          <w:lang w:eastAsia="zh-CN"/>
        </w:rPr>
        <w:t>（二次）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采购方式：竞争性谈判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预算金额：1,509,000.00元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采购需求：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合同包1(ACS数据库、 Elsevier Science Direct 数据库、SCIE数据库采购项目):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合同包预算金额：1,509,000.00元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合同包最高限价：1,509,000.00元</w:t>
      </w:r>
    </w:p>
    <w:tbl>
      <w:tblPr>
        <w:tblStyle w:val="22"/>
        <w:tblW w:w="9744"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3"/>
        <w:gridCol w:w="905"/>
        <w:gridCol w:w="3140"/>
        <w:gridCol w:w="786"/>
        <w:gridCol w:w="1060"/>
        <w:gridCol w:w="162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3" w:hRule="atLeast"/>
          <w:tblHeader/>
        </w:trPr>
        <w:tc>
          <w:tcPr>
            <w:tcW w:w="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品目号</w:t>
            </w:r>
          </w:p>
        </w:tc>
        <w:tc>
          <w:tcPr>
            <w:tcW w:w="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品目名称</w:t>
            </w:r>
          </w:p>
        </w:tc>
        <w:tc>
          <w:tcPr>
            <w:tcW w:w="3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lang w:val="en-US" w:eastAsia="zh-CN"/>
              </w:rPr>
              <w:t>采购标的</w:t>
            </w:r>
          </w:p>
        </w:tc>
        <w:tc>
          <w:tcPr>
            <w:tcW w:w="7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数量（单位）</w:t>
            </w:r>
          </w:p>
        </w:tc>
        <w:tc>
          <w:tcPr>
            <w:tcW w:w="10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技术规格、参数及要求</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品目预算(元)</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8" w:hRule="atLeast"/>
        </w:trPr>
        <w:tc>
          <w:tcPr>
            <w:tcW w:w="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1-1</w:t>
            </w:r>
          </w:p>
        </w:tc>
        <w:tc>
          <w:tcPr>
            <w:tcW w:w="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高等教育服务</w:t>
            </w:r>
          </w:p>
        </w:tc>
        <w:tc>
          <w:tcPr>
            <w:tcW w:w="3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lang w:val="en-US" w:eastAsia="zh-CN"/>
              </w:rPr>
              <w:t>ACS数据库+Elsevier Science Direct 数据库+SCIE数据库代理服务</w:t>
            </w:r>
          </w:p>
        </w:tc>
        <w:tc>
          <w:tcPr>
            <w:tcW w:w="7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1(项)</w:t>
            </w:r>
          </w:p>
        </w:tc>
        <w:tc>
          <w:tcPr>
            <w:tcW w:w="10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详见采购文件</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1,509,000.00</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1,509,000.00</w:t>
            </w:r>
          </w:p>
        </w:tc>
      </w:tr>
    </w:tbl>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本合同包不接受联合体投标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合同履行期限：2022-09-03 00:00:00 至 2023-09-02 00:00:00（具体服务起止日期可随合同签订时间相应顺延）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二、申请人的资格要求：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1.满足《中华人民共和国政府采购法》第二十二条规定;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2.落实政府采购政策需满足的资格要求：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合同包1(ACS数据库、 Elsevier Science Direct 数据库、SCIE数据库采购项目)落实政府采购政策需满足的资格要求如下:</w:t>
      </w:r>
    </w:p>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(1)《政府采购促进中小企业发展管理办法》（财库〔2020〕46号）； </w:t>
      </w:r>
      <w:r>
        <w:rPr>
          <w:rFonts w:hint="eastAsia"/>
          <w:color w:val="auto"/>
          <w:sz w:val="24"/>
          <w:szCs w:val="28"/>
        </w:rPr>
        <w:br w:type="textWrapping"/>
      </w:r>
      <w:r>
        <w:rPr>
          <w:rFonts w:hint="eastAsia"/>
          <w:color w:val="auto"/>
          <w:sz w:val="24"/>
          <w:szCs w:val="28"/>
        </w:rPr>
        <w:t>(2）《财政部 司法部关于政府采购支持监狱企业发展有关问题的通知》（财库〔2014〕68号）；</w:t>
      </w:r>
      <w:r>
        <w:rPr>
          <w:rFonts w:hint="eastAsia"/>
          <w:color w:val="auto"/>
          <w:sz w:val="24"/>
          <w:szCs w:val="28"/>
        </w:rPr>
        <w:br w:type="textWrapping"/>
      </w:r>
      <w:r>
        <w:rPr>
          <w:rFonts w:hint="eastAsia"/>
          <w:color w:val="auto"/>
          <w:sz w:val="24"/>
          <w:szCs w:val="28"/>
        </w:rPr>
        <w:t>(3)《国务院办公厅关于建立政府强制采购节能产品制度的通知》（国办发〔2007〕51号）；</w:t>
      </w:r>
      <w:r>
        <w:rPr>
          <w:rFonts w:hint="eastAsia"/>
          <w:color w:val="auto"/>
          <w:sz w:val="24"/>
          <w:szCs w:val="28"/>
        </w:rPr>
        <w:br w:type="textWrapping"/>
      </w:r>
      <w:r>
        <w:rPr>
          <w:rFonts w:hint="eastAsia"/>
          <w:color w:val="auto"/>
          <w:sz w:val="24"/>
          <w:szCs w:val="28"/>
        </w:rPr>
        <w:t>(4)《财政部 国家发展改革委关于印发〈节能产品政府采购实施意见〉的通知》（财库〔2004〕185号）；</w:t>
      </w:r>
      <w:r>
        <w:rPr>
          <w:rFonts w:hint="eastAsia"/>
          <w:color w:val="auto"/>
          <w:sz w:val="24"/>
          <w:szCs w:val="28"/>
        </w:rPr>
        <w:br w:type="textWrapping"/>
      </w:r>
      <w:r>
        <w:rPr>
          <w:rFonts w:hint="eastAsia"/>
          <w:color w:val="auto"/>
          <w:sz w:val="24"/>
          <w:szCs w:val="28"/>
        </w:rPr>
        <w:t>(5)《财政部环保总局关于环境标志产品政府采购实施的意见》（财库〔2006〕90号；</w:t>
      </w:r>
      <w:r>
        <w:rPr>
          <w:rFonts w:hint="eastAsia"/>
          <w:color w:val="auto"/>
          <w:sz w:val="24"/>
          <w:szCs w:val="28"/>
        </w:rPr>
        <w:br w:type="textWrapping"/>
      </w:r>
      <w:r>
        <w:rPr>
          <w:rFonts w:hint="eastAsia"/>
          <w:color w:val="auto"/>
          <w:sz w:val="24"/>
          <w:szCs w:val="28"/>
        </w:rPr>
        <w:t>(6)《三部门联合发布关于促进残疾人就业政府采购政策的通知》（财库〔2017〕141号）；</w:t>
      </w:r>
      <w:r>
        <w:rPr>
          <w:rFonts w:hint="eastAsia"/>
          <w:color w:val="auto"/>
          <w:sz w:val="24"/>
          <w:szCs w:val="28"/>
        </w:rPr>
        <w:br w:type="textWrapping"/>
      </w:r>
      <w:r>
        <w:rPr>
          <w:rFonts w:hint="eastAsia"/>
          <w:color w:val="auto"/>
          <w:sz w:val="24"/>
          <w:szCs w:val="28"/>
        </w:rPr>
        <w:t>(</w:t>
      </w:r>
      <w:r>
        <w:rPr>
          <w:rFonts w:hint="eastAsia"/>
          <w:color w:val="auto"/>
          <w:sz w:val="24"/>
          <w:szCs w:val="28"/>
          <w:lang w:val="en-US" w:eastAsia="zh-CN"/>
        </w:rPr>
        <w:t>7</w:t>
      </w:r>
      <w:r>
        <w:rPr>
          <w:rFonts w:hint="eastAsia"/>
          <w:color w:val="auto"/>
          <w:sz w:val="24"/>
          <w:szCs w:val="28"/>
        </w:rPr>
        <w:t>)《财政部 发展改革委 生态环境部 市场监管总局关于调整优化节能产品、环境标志产品政府采购执行机制的通知》（财库〔2019〕9号）；</w:t>
      </w:r>
      <w:r>
        <w:rPr>
          <w:rFonts w:hint="eastAsia"/>
          <w:color w:val="auto"/>
          <w:sz w:val="24"/>
          <w:szCs w:val="28"/>
        </w:rPr>
        <w:br w:type="textWrapping"/>
      </w:r>
      <w:r>
        <w:rPr>
          <w:rFonts w:hint="eastAsia"/>
          <w:color w:val="auto"/>
          <w:sz w:val="24"/>
          <w:szCs w:val="28"/>
        </w:rPr>
        <w:t>(</w:t>
      </w:r>
      <w:r>
        <w:rPr>
          <w:rFonts w:hint="eastAsia"/>
          <w:color w:val="auto"/>
          <w:sz w:val="24"/>
          <w:szCs w:val="28"/>
          <w:lang w:val="en-US" w:eastAsia="zh-CN"/>
        </w:rPr>
        <w:t>8</w:t>
      </w:r>
      <w:r>
        <w:rPr>
          <w:rFonts w:hint="eastAsia"/>
          <w:color w:val="auto"/>
          <w:sz w:val="24"/>
          <w:szCs w:val="28"/>
        </w:rPr>
        <w:t>)陕西省财政厅关于印发《陕西省中小企业政府采购信用融资办法》（陕财办采〔2018〕23号）。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3.本项目的特定资格要求：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合同包1(ACS数据库、 Elsevier Science Direct 数据库、SCIE数据库采购项目)特定资格要求如下:</w:t>
      </w:r>
    </w:p>
    <w:p>
      <w:pPr>
        <w:pageBreakBefore w:val="0"/>
        <w:widowControl w:val="0"/>
        <w:numPr>
          <w:numId w:val="0"/>
        </w:numPr>
        <w:kinsoku/>
        <w:wordWrap/>
        <w:overflowPunct/>
        <w:topLinePunct w:val="0"/>
        <w:autoSpaceDE/>
        <w:autoSpaceDN/>
        <w:bidi w:val="0"/>
        <w:adjustRightInd/>
        <w:snapToGrid/>
        <w:spacing w:line="360" w:lineRule="auto"/>
        <w:textAlignment w:val="auto"/>
        <w:rPr>
          <w:rFonts w:hint="eastAsia"/>
          <w:color w:val="auto"/>
          <w:sz w:val="24"/>
          <w:szCs w:val="28"/>
          <w:lang w:eastAsia="zh-CN"/>
        </w:rPr>
      </w:pPr>
      <w:r>
        <w:rPr>
          <w:rFonts w:hint="eastAsia"/>
          <w:color w:val="auto"/>
          <w:sz w:val="24"/>
          <w:szCs w:val="28"/>
          <w:lang w:eastAsia="zh-CN"/>
        </w:rPr>
        <w:t>（</w:t>
      </w:r>
      <w:r>
        <w:rPr>
          <w:rFonts w:hint="eastAsia"/>
          <w:color w:val="auto"/>
          <w:sz w:val="24"/>
          <w:szCs w:val="28"/>
          <w:lang w:val="en-US" w:eastAsia="zh-CN"/>
        </w:rPr>
        <w:t>1</w:t>
      </w:r>
      <w:r>
        <w:rPr>
          <w:rFonts w:hint="eastAsia"/>
          <w:color w:val="auto"/>
          <w:sz w:val="24"/>
          <w:szCs w:val="28"/>
          <w:lang w:eastAsia="zh-CN"/>
        </w:rPr>
        <w:t>）</w:t>
      </w:r>
      <w:r>
        <w:rPr>
          <w:rFonts w:hint="eastAsia"/>
          <w:color w:val="auto"/>
          <w:sz w:val="24"/>
          <w:szCs w:val="28"/>
        </w:rPr>
        <w:t>具有独立承担民事责任能力的法人、其他组织或自然人，提供合法有效的统一社会信用代码营业执照（事业单位提供事业单位法人证书，自然人应提供身份证）；</w:t>
      </w:r>
      <w:r>
        <w:rPr>
          <w:rFonts w:hint="eastAsia"/>
          <w:color w:val="auto"/>
          <w:sz w:val="24"/>
          <w:szCs w:val="28"/>
        </w:rPr>
        <w:br w:type="textWrapping"/>
      </w:r>
      <w:r>
        <w:rPr>
          <w:rFonts w:hint="eastAsia"/>
          <w:color w:val="auto"/>
          <w:sz w:val="24"/>
          <w:szCs w:val="28"/>
        </w:rPr>
        <w:t>（2）财务状况证明：供应商提供 2020 年或2021年度经审计完整的财务审计报告（成立时间至提交响应文件截止时间不足一年的可提供成立后任意时段的资产负债表），或其开标前三个月内银行出具</w:t>
      </w:r>
      <w:bookmarkStart w:id="146" w:name="_GoBack"/>
      <w:bookmarkEnd w:id="146"/>
      <w:r>
        <w:rPr>
          <w:rFonts w:hint="eastAsia"/>
          <w:color w:val="auto"/>
          <w:sz w:val="24"/>
          <w:szCs w:val="28"/>
        </w:rPr>
        <w:t>的资信证明，或财政部门认可的政府采购专业担保机构出具的投标担保函；</w:t>
      </w:r>
      <w:r>
        <w:rPr>
          <w:rFonts w:hint="eastAsia"/>
          <w:color w:val="auto"/>
          <w:sz w:val="24"/>
          <w:szCs w:val="28"/>
        </w:rPr>
        <w:br w:type="textWrapping"/>
      </w:r>
      <w:r>
        <w:rPr>
          <w:rFonts w:hint="eastAsia"/>
          <w:color w:val="auto"/>
          <w:sz w:val="24"/>
          <w:szCs w:val="28"/>
        </w:rPr>
        <w:t>（3）具有履行合同所必需的设备和专业技术能力的书面声明；</w:t>
      </w:r>
      <w:r>
        <w:rPr>
          <w:rFonts w:hint="eastAsia"/>
          <w:color w:val="auto"/>
          <w:sz w:val="24"/>
          <w:szCs w:val="28"/>
        </w:rPr>
        <w:br w:type="textWrapping"/>
      </w:r>
      <w:r>
        <w:rPr>
          <w:rFonts w:hint="eastAsia"/>
          <w:color w:val="auto"/>
          <w:sz w:val="24"/>
          <w:szCs w:val="28"/>
        </w:rPr>
        <w:t>（4）税收缴纳证明：提供 2021 年 9 月以来至少一个月的纳税证明或完税证明，依法免税的单位应提供相关证明材料；</w:t>
      </w:r>
      <w:r>
        <w:rPr>
          <w:rFonts w:hint="eastAsia"/>
          <w:color w:val="auto"/>
          <w:sz w:val="24"/>
          <w:szCs w:val="28"/>
        </w:rPr>
        <w:br w:type="textWrapping"/>
      </w:r>
      <w:r>
        <w:rPr>
          <w:rFonts w:hint="eastAsia"/>
          <w:color w:val="auto"/>
          <w:sz w:val="24"/>
          <w:szCs w:val="28"/>
        </w:rPr>
        <w:t>（5）社会保障资金缴纳证明：提供 2021 年 9 月以来至少一个月的社会保障资金缴存单据或社保机构开具的社会保险参保缴费情况证明。依法不需要缴纳社会保障资金的供应商应提供相关文件证明；</w:t>
      </w:r>
      <w:r>
        <w:rPr>
          <w:rFonts w:hint="eastAsia"/>
          <w:color w:val="auto"/>
          <w:sz w:val="24"/>
          <w:szCs w:val="28"/>
        </w:rPr>
        <w:br w:type="textWrapping"/>
      </w:r>
      <w:r>
        <w:rPr>
          <w:rFonts w:hint="eastAsia"/>
          <w:color w:val="auto"/>
          <w:sz w:val="24"/>
          <w:szCs w:val="28"/>
        </w:rPr>
        <w:t>（6）参加政府采购活动前 3 年内在经营活动中没有重大违法记录的书面声明；</w:t>
      </w:r>
      <w:r>
        <w:rPr>
          <w:rFonts w:hint="eastAsia"/>
          <w:color w:val="auto"/>
          <w:sz w:val="24"/>
          <w:szCs w:val="28"/>
        </w:rPr>
        <w:br w:type="textWrapping"/>
      </w:r>
      <w:r>
        <w:rPr>
          <w:rFonts w:hint="eastAsia"/>
          <w:color w:val="auto"/>
          <w:sz w:val="24"/>
          <w:szCs w:val="28"/>
        </w:rPr>
        <w:t>（7）非法定代表人参加竞争性谈判的，须提供法定代表人委托授权书、被授权人身份证，法定代表人参加竞争性谈判时,只须提供法定代表人身份证；</w:t>
      </w:r>
      <w:r>
        <w:rPr>
          <w:rFonts w:hint="eastAsia"/>
          <w:color w:val="auto"/>
          <w:sz w:val="24"/>
          <w:szCs w:val="28"/>
        </w:rPr>
        <w:br w:type="textWrapping"/>
      </w:r>
      <w:r>
        <w:rPr>
          <w:rFonts w:hint="eastAsia"/>
          <w:color w:val="auto"/>
          <w:sz w:val="24"/>
          <w:szCs w:val="28"/>
        </w:rPr>
        <w:t>（8）提供出版物进口经营许可证</w:t>
      </w:r>
      <w:r>
        <w:rPr>
          <w:rFonts w:hint="eastAsia"/>
          <w:color w:val="auto"/>
          <w:sz w:val="24"/>
          <w:szCs w:val="28"/>
          <w:lang w:eastAsia="zh-CN"/>
        </w:rPr>
        <w:t>；</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eastAsia="zh-CN"/>
        </w:rPr>
        <w:t>（</w:t>
      </w:r>
      <w:r>
        <w:rPr>
          <w:rFonts w:hint="eastAsia"/>
          <w:color w:val="auto"/>
          <w:sz w:val="24"/>
          <w:szCs w:val="28"/>
          <w:lang w:val="en-US" w:eastAsia="zh-CN"/>
        </w:rPr>
        <w:t>9</w:t>
      </w:r>
      <w:r>
        <w:rPr>
          <w:rFonts w:hint="eastAsia"/>
          <w:color w:val="auto"/>
          <w:sz w:val="24"/>
          <w:szCs w:val="28"/>
          <w:lang w:eastAsia="zh-CN"/>
        </w:rPr>
        <w:t>）</w:t>
      </w:r>
      <w:r>
        <w:rPr>
          <w:rFonts w:hint="eastAsia"/>
          <w:color w:val="auto"/>
          <w:sz w:val="24"/>
          <w:szCs w:val="28"/>
        </w:rPr>
        <w:t>本项目不接受联合体响应。</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三、获取采购文件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时间： 2022年05月</w:t>
      </w:r>
      <w:r>
        <w:rPr>
          <w:rFonts w:hint="eastAsia"/>
          <w:color w:val="auto"/>
          <w:sz w:val="24"/>
          <w:szCs w:val="28"/>
          <w:lang w:val="en-US" w:eastAsia="zh-CN"/>
        </w:rPr>
        <w:t>31</w:t>
      </w:r>
      <w:r>
        <w:rPr>
          <w:rFonts w:hint="eastAsia"/>
          <w:color w:val="auto"/>
          <w:sz w:val="24"/>
          <w:szCs w:val="28"/>
        </w:rPr>
        <w:t>日 至 2022年0</w:t>
      </w:r>
      <w:r>
        <w:rPr>
          <w:rFonts w:hint="eastAsia"/>
          <w:color w:val="auto"/>
          <w:sz w:val="24"/>
          <w:szCs w:val="28"/>
          <w:lang w:val="en-US" w:eastAsia="zh-CN"/>
        </w:rPr>
        <w:t>6</w:t>
      </w:r>
      <w:r>
        <w:rPr>
          <w:rFonts w:hint="eastAsia"/>
          <w:color w:val="auto"/>
          <w:sz w:val="24"/>
          <w:szCs w:val="28"/>
        </w:rPr>
        <w:t>月</w:t>
      </w:r>
      <w:r>
        <w:rPr>
          <w:rFonts w:hint="eastAsia"/>
          <w:color w:val="auto"/>
          <w:sz w:val="24"/>
          <w:szCs w:val="28"/>
          <w:lang w:val="en-US" w:eastAsia="zh-CN"/>
        </w:rPr>
        <w:t>06</w:t>
      </w:r>
      <w:r>
        <w:rPr>
          <w:rFonts w:hint="eastAsia"/>
          <w:color w:val="auto"/>
          <w:sz w:val="24"/>
          <w:szCs w:val="28"/>
        </w:rPr>
        <w:t>日 ，每天上午 09:00:00 至 12:00:00 ，下午 13:30:00 至 17:00:00 （北京时间,法定节假日除外）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地点：西安市雁塔区科技路10号华奥大厦A座20层2002室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方式：现场获取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售价： 500元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四、响应文件提交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截止时间： 2022年0</w:t>
      </w:r>
      <w:r>
        <w:rPr>
          <w:rFonts w:hint="eastAsia"/>
          <w:color w:val="auto"/>
          <w:sz w:val="24"/>
          <w:szCs w:val="28"/>
          <w:lang w:val="en-US" w:eastAsia="zh-CN"/>
        </w:rPr>
        <w:t>6</w:t>
      </w:r>
      <w:r>
        <w:rPr>
          <w:rFonts w:hint="eastAsia"/>
          <w:color w:val="auto"/>
          <w:sz w:val="24"/>
          <w:szCs w:val="28"/>
        </w:rPr>
        <w:t>月</w:t>
      </w:r>
      <w:r>
        <w:rPr>
          <w:rFonts w:hint="eastAsia"/>
          <w:color w:val="auto"/>
          <w:sz w:val="24"/>
          <w:szCs w:val="28"/>
          <w:lang w:val="en-US" w:eastAsia="zh-CN"/>
        </w:rPr>
        <w:t>09</w:t>
      </w:r>
      <w:r>
        <w:rPr>
          <w:rFonts w:hint="eastAsia"/>
          <w:color w:val="auto"/>
          <w:sz w:val="24"/>
          <w:szCs w:val="28"/>
        </w:rPr>
        <w:t>日 09时30分00秒 （北京时间）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地点：西安市雁塔区科技路10号华奥大厦A座20层2002室开标室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五、开启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时间： 2022年0</w:t>
      </w:r>
      <w:r>
        <w:rPr>
          <w:rFonts w:hint="eastAsia"/>
          <w:color w:val="auto"/>
          <w:sz w:val="24"/>
          <w:szCs w:val="28"/>
          <w:lang w:val="en-US" w:eastAsia="zh-CN"/>
        </w:rPr>
        <w:t>6</w:t>
      </w:r>
      <w:r>
        <w:rPr>
          <w:rFonts w:hint="eastAsia"/>
          <w:color w:val="auto"/>
          <w:sz w:val="24"/>
          <w:szCs w:val="28"/>
        </w:rPr>
        <w:t>月</w:t>
      </w:r>
      <w:r>
        <w:rPr>
          <w:rFonts w:hint="eastAsia"/>
          <w:color w:val="auto"/>
          <w:sz w:val="24"/>
          <w:szCs w:val="28"/>
          <w:lang w:val="en-US" w:eastAsia="zh-CN"/>
        </w:rPr>
        <w:t>09</w:t>
      </w:r>
      <w:r>
        <w:rPr>
          <w:rFonts w:hint="eastAsia"/>
          <w:color w:val="auto"/>
          <w:sz w:val="24"/>
          <w:szCs w:val="28"/>
        </w:rPr>
        <w:t>日 09时30分00秒 （北京时间）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地点：西安市雁塔区科技路10号华奥大厦A座20层2002室开标室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六、公告期限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自本公告发布之日起3个工作日。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七、其他补充事宜</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1）现场购买竞争性谈判文件时请提供单位介绍信原件、身份证原件及复印件加盖公章；网上购买请提前电话咨询后，提供单位介绍信、身份证复印件加盖公章扫描件发送至shanxizhuoming_zb@163.com邮箱（邮件标题命名格式为“供应商名称+联系人+联系电话+项目名称”），标书费现金或银行转账支付。</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（2）请供应商按照陕西省财政厅关于政府采购供应商注册登记有关事项的通知中的要求，通过陕西省政府采购网（http://www.ccgp-shaanxi.gov.cn/）注册登记加入陕西省政府采购供应商库。</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八、凡对本次采购提出询问，请按以下方式联系。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1.采购人信息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名称：西安科技大学</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地址：西安市雁塔路58号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color w:val="auto"/>
          <w:sz w:val="24"/>
          <w:szCs w:val="28"/>
          <w:lang w:val="en-US" w:eastAsia="zh-CN"/>
        </w:rPr>
      </w:pPr>
      <w:r>
        <w:rPr>
          <w:rFonts w:hint="eastAsia"/>
          <w:color w:val="auto"/>
          <w:sz w:val="24"/>
          <w:szCs w:val="28"/>
        </w:rPr>
        <w:t>联系方式：王老师 029-8385</w:t>
      </w:r>
      <w:r>
        <w:rPr>
          <w:rFonts w:hint="eastAsia"/>
          <w:color w:val="auto"/>
          <w:sz w:val="24"/>
          <w:szCs w:val="28"/>
          <w:lang w:val="en-US" w:eastAsia="zh-CN"/>
        </w:rPr>
        <w:t>8191</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2.采购代理机构信息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名称：陕西卓佲项目管理有限公司</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地址：西安市雁塔区科技路10号华奥大厦A座20层2002室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联系方式：029-88440695</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3.项目联系方式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项目联系人：米文佳 魏萌 杜华龙 董菊莉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电话：029-88440695</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陕西卓佲项目管理有限公司</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2022年05月31日</w:t>
      </w:r>
    </w:p>
    <w:p>
      <w:pPr>
        <w:pStyle w:val="4"/>
        <w:pageBreakBefore w:val="0"/>
        <w:widowControl w:val="0"/>
        <w:kinsoku/>
        <w:wordWrap/>
        <w:overflowPunct/>
        <w:topLinePunct w:val="0"/>
        <w:autoSpaceDE/>
        <w:autoSpaceDN/>
        <w:bidi w:val="0"/>
        <w:adjustRightInd/>
        <w:snapToGrid/>
        <w:spacing w:line="360" w:lineRule="auto"/>
        <w:textAlignment w:val="auto"/>
        <w:rPr>
          <w:rFonts w:ascii="宋体" w:hAnsi="宋体" w:cs="宋体"/>
        </w:rPr>
        <w:sectPr>
          <w:footerReference r:id="rId8" w:type="default"/>
          <w:pgSz w:w="11906" w:h="16838"/>
          <w:pgMar w:top="1440" w:right="1423" w:bottom="1440" w:left="1463" w:header="851" w:footer="992" w:gutter="0"/>
          <w:pgNumType w:start="1"/>
          <w:cols w:space="0" w:num="1"/>
          <w:docGrid w:type="lines" w:linePitch="312" w:charSpace="0"/>
        </w:sectPr>
      </w:pPr>
    </w:p>
    <w:p>
      <w:pPr>
        <w:pStyle w:val="4"/>
        <w:rPr>
          <w:rFonts w:ascii="宋体" w:hAnsi="宋体" w:cs="宋体"/>
        </w:rPr>
      </w:pPr>
      <w:bookmarkStart w:id="4" w:name="_Toc1806"/>
      <w:r>
        <w:rPr>
          <w:rFonts w:hint="eastAsia" w:ascii="宋体" w:hAnsi="宋体" w:cs="宋体"/>
        </w:rPr>
        <w:t>第二部分  供应商须知前附表</w:t>
      </w:r>
      <w:bookmarkEnd w:id="2"/>
      <w:bookmarkEnd w:id="3"/>
      <w:bookmarkEnd w:id="4"/>
    </w:p>
    <w:p>
      <w:pPr>
        <w:ind w:firstLine="240" w:firstLineChars="100"/>
        <w:rPr>
          <w:rFonts w:ascii="宋体" w:hAnsi="宋体" w:eastAsia="宋体" w:cs="宋体"/>
          <w:sz w:val="24"/>
          <w:szCs w:val="24"/>
        </w:rPr>
      </w:pPr>
    </w:p>
    <w:tbl>
      <w:tblPr>
        <w:tblStyle w:val="22"/>
        <w:tblpPr w:leftFromText="180" w:rightFromText="180" w:vertAnchor="text" w:horzAnchor="page" w:tblpX="1509" w:tblpY="309"/>
        <w:tblOverlap w:val="never"/>
        <w:tblW w:w="92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5"/>
        <w:gridCol w:w="1336"/>
        <w:gridCol w:w="7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序号</w:t>
            </w:r>
          </w:p>
        </w:tc>
        <w:tc>
          <w:tcPr>
            <w:tcW w:w="1336"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内容</w:t>
            </w:r>
          </w:p>
        </w:tc>
        <w:tc>
          <w:tcPr>
            <w:tcW w:w="7377"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1</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资格要求</w:t>
            </w:r>
          </w:p>
        </w:tc>
        <w:tc>
          <w:tcPr>
            <w:tcW w:w="7377" w:type="dxa"/>
          </w:tcPr>
          <w:p>
            <w:pPr>
              <w:numPr>
                <w:ilvl w:val="0"/>
                <w:numId w:val="1"/>
              </w:numPr>
              <w:spacing w:line="360" w:lineRule="auto"/>
              <w:rPr>
                <w:rFonts w:ascii="宋体" w:hAnsi="宋体" w:cs="宋体"/>
                <w:sz w:val="24"/>
                <w:szCs w:val="24"/>
              </w:rPr>
            </w:pPr>
            <w:r>
              <w:rPr>
                <w:rFonts w:hint="eastAsia" w:ascii="宋体" w:hAnsi="宋体" w:cs="宋体"/>
                <w:sz w:val="24"/>
                <w:szCs w:val="24"/>
              </w:rPr>
              <w:t>基本资格条件：满足《中华人民共和国政府采购法》第二十二条规定。</w:t>
            </w:r>
          </w:p>
          <w:p>
            <w:pPr>
              <w:spacing w:line="360" w:lineRule="auto"/>
              <w:rPr>
                <w:rFonts w:ascii="宋体" w:hAnsi="宋体" w:cs="宋体"/>
                <w:sz w:val="24"/>
                <w:szCs w:val="24"/>
              </w:rPr>
            </w:pPr>
            <w:r>
              <w:rPr>
                <w:rFonts w:hint="eastAsia" w:ascii="宋体" w:hAnsi="宋体" w:cs="宋体"/>
                <w:sz w:val="24"/>
                <w:szCs w:val="24"/>
              </w:rPr>
              <w:t>（二）特定资格条件：</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）具有独立承担民事责任能力的法人、其他组织或自然人，提供合法有效的统一社会信用代码营业执照（事业单位提供事业单位法人证书，自然人应提供身份证）；</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）财务状况证明：供应商提供 2020 年或</w:t>
            </w:r>
            <w:r>
              <w:rPr>
                <w:rFonts w:hint="eastAsia" w:ascii="宋体" w:hAnsi="宋体" w:eastAsia="宋体" w:cs="宋体"/>
                <w:sz w:val="24"/>
                <w:szCs w:val="24"/>
                <w:lang w:val="en-US" w:eastAsia="zh-CN"/>
              </w:rPr>
              <w:t>2021年</w:t>
            </w:r>
            <w:r>
              <w:rPr>
                <w:rFonts w:hint="eastAsia" w:ascii="宋体" w:hAnsi="宋体" w:eastAsia="宋体" w:cs="宋体"/>
                <w:sz w:val="24"/>
                <w:szCs w:val="24"/>
                <w:lang w:eastAsia="zh-CN"/>
              </w:rPr>
              <w:t>度经审计完整的财务审计报告（成立时间至提交响应文件截止时间不足一年的可提供成立后任意时段的资产负债表），或其开标前三个月内银行出具的资信证明，或财政部门认可的政府采购专业担保机构出具的投标担保函；</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）具有履行合同所必需的设备和专业技术能力的书面声明；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）税收缴纳证明：提供 2021 年 </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 xml:space="preserve"> 月以来至少一个月的纳税证明或完税证明，依法免税的单位应提供相关证明材料；</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 xml:space="preserve">）社会保障资金缴纳证明：提供 2021 年 </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lang w:eastAsia="zh-CN"/>
              </w:rPr>
              <w:t>月以来至少一个月的社会保障资金缴存单据或社保机构开具的社会保险参保缴费情况证明。依法不需要缴纳社会保障资金的供应商应提供相关文件证明；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）参加政府采购活动前 3 年内在经营活动中没有重大违法记录的书面声明；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）非法定代表人参加竞争性谈判的，须提供法定代表人委托授权书、被授权人身份证，法定代表人参加竞争性谈判时,只须提供法定代表人身份证；</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）提供出版物进口经营许可证；</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）本项目不接受联合体响应。</w:t>
            </w:r>
          </w:p>
          <w:p>
            <w:pPr>
              <w:spacing w:line="360" w:lineRule="auto"/>
              <w:ind w:firstLine="422" w:firstLineChars="175"/>
              <w:jc w:val="left"/>
              <w:rPr>
                <w:rFonts w:ascii="宋体" w:hAnsi="宋体" w:cs="宋体"/>
                <w:sz w:val="24"/>
                <w:szCs w:val="24"/>
              </w:rPr>
            </w:pPr>
            <w:r>
              <w:rPr>
                <w:rFonts w:hint="eastAsia" w:ascii="宋体" w:hAnsi="宋体" w:cs="宋体"/>
                <w:b/>
                <w:bCs/>
                <w:sz w:val="24"/>
                <w:szCs w:val="24"/>
              </w:rPr>
              <w:t>以上项为资格审查必备资质。响应文件的正本和全部副本必须附上述资格证明文件，缺少其中一项或某项达不到采购文件要求，其响应文件按无效文件处理。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2</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符合性审查</w:t>
            </w:r>
          </w:p>
        </w:tc>
        <w:tc>
          <w:tcPr>
            <w:tcW w:w="7377" w:type="dxa"/>
          </w:tcPr>
          <w:p>
            <w:pPr>
              <w:pStyle w:val="3"/>
              <w:snapToGrid w:val="0"/>
              <w:spacing w:line="360" w:lineRule="auto"/>
              <w:rPr>
                <w:rFonts w:hAnsi="宋体" w:cs="宋体"/>
                <w:kern w:val="0"/>
                <w:sz w:val="24"/>
                <w:szCs w:val="24"/>
              </w:rPr>
            </w:pPr>
            <w:r>
              <w:rPr>
                <w:rFonts w:hint="eastAsia" w:hAnsi="宋体" w:cs="宋体"/>
                <w:kern w:val="0"/>
                <w:sz w:val="24"/>
                <w:szCs w:val="24"/>
              </w:rPr>
              <w:t>有下列情形之一的，应在符合性审查时按照无效响应处理。</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 xml:space="preserve">响应报价超过采购预算或者最高限价； </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响应文件的</w:t>
            </w:r>
            <w:r>
              <w:rPr>
                <w:rFonts w:hint="eastAsia" w:ascii="宋体" w:hAnsi="宋体" w:cs="宋体"/>
                <w:sz w:val="24"/>
                <w:szCs w:val="24"/>
                <w:lang w:eastAsia="zh-CN"/>
              </w:rPr>
              <w:t>服务期</w:t>
            </w:r>
            <w:r>
              <w:rPr>
                <w:rFonts w:hint="eastAsia" w:ascii="宋体" w:hAnsi="宋体" w:cs="宋体"/>
                <w:sz w:val="24"/>
                <w:szCs w:val="24"/>
              </w:rPr>
              <w:t>不满足竞争性谈判文件要求；</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响应文件的数量、签署、盖章、装订不符合竞争性谈判文件要求；</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响应文件无投标有效期或有效期达不到竞争性谈判文件要求的；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供应商未按照竞争性谈判文件要求缴纳保证金或保证金缴纳少于竞争性谈判文件要求的；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供应商针对同一项目递交两份或多份内容不同的响应文件，未书面声明哪一份是有效的或出现选择性报价的；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响应文件标的数量不满足采购要求；</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响应产品的技术参数、性能指标与竞争性谈判文件要求出现重大负偏差的或不满足实质性条款；</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响应文件含有采购人不能接受的附加条件的；</w:t>
            </w:r>
          </w:p>
          <w:p>
            <w:pPr>
              <w:spacing w:line="360" w:lineRule="auto"/>
              <w:rPr>
                <w:rFonts w:ascii="宋体" w:hAnsi="宋体" w:cs="宋体"/>
                <w:b/>
                <w:bCs/>
                <w:sz w:val="24"/>
                <w:szCs w:val="24"/>
              </w:rPr>
            </w:pPr>
            <w:r>
              <w:rPr>
                <w:rFonts w:hint="eastAsia" w:ascii="宋体" w:hAnsi="宋体" w:cs="宋体"/>
                <w:sz w:val="24"/>
                <w:szCs w:val="24"/>
              </w:rPr>
              <w:t>（10）法律、法规和竞争性谈判文件规定的其他无效情形。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7"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3</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商务条款</w:t>
            </w:r>
          </w:p>
          <w:p>
            <w:pPr>
              <w:spacing w:line="360" w:lineRule="auto"/>
              <w:jc w:val="center"/>
              <w:rPr>
                <w:rFonts w:ascii="宋体" w:hAnsi="宋体" w:cs="宋体"/>
                <w:sz w:val="24"/>
                <w:szCs w:val="24"/>
              </w:rPr>
            </w:pPr>
            <w:r>
              <w:rPr>
                <w:rFonts w:hint="eastAsia" w:ascii="宋体" w:hAnsi="宋体" w:cs="宋体"/>
                <w:b/>
                <w:bCs/>
                <w:sz w:val="24"/>
                <w:szCs w:val="24"/>
              </w:rPr>
              <w:t>(不允许偏离)</w:t>
            </w:r>
          </w:p>
        </w:tc>
        <w:tc>
          <w:tcPr>
            <w:tcW w:w="7377" w:type="dxa"/>
          </w:tcPr>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1、服务期（起止时间） 2022.9.3-2023.9.2</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2、服务地点：西安科技大学校园网IP范围内</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3、访问方式：</w:t>
            </w:r>
          </w:p>
          <w:p>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（1）ACS数据库使用方式：远程访问</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（2）Elsevier ScienceDirect数据库使用方式：远程访问</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（3）SCIE数据库使用方式：远程访问+回溯数据</w:t>
            </w:r>
          </w:p>
          <w:p>
            <w:pPr>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4</w:t>
            </w:r>
            <w:r>
              <w:rPr>
                <w:rFonts w:ascii="宋体" w:hAnsi="宋体" w:cs="宋体"/>
                <w:sz w:val="24"/>
                <w:szCs w:val="24"/>
                <w:highlight w:val="none"/>
              </w:rPr>
              <w:t>、付款方式：</w:t>
            </w:r>
          </w:p>
          <w:p>
            <w:pPr>
              <w:spacing w:line="360" w:lineRule="auto"/>
              <w:rPr>
                <w:rFonts w:ascii="宋体" w:hAnsi="宋体" w:cs="宋体"/>
                <w:sz w:val="24"/>
                <w:szCs w:val="24"/>
                <w:highlight w:val="none"/>
                <w:lang w:val="en-US" w:eastAsia="zh-CN"/>
              </w:rPr>
            </w:pPr>
            <w:r>
              <w:rPr>
                <w:rFonts w:hint="eastAsia" w:ascii="宋体" w:hAnsi="宋体" w:cs="宋体"/>
                <w:sz w:val="24"/>
                <w:szCs w:val="24"/>
                <w:highlight w:val="none"/>
                <w:lang w:val="en-US" w:eastAsia="zh-CN"/>
              </w:rPr>
              <w:t>4.1.结算单位：采购人结算，在付款前必须开具全额增值税专用发票给采购人。</w:t>
            </w:r>
          </w:p>
          <w:p>
            <w:pPr>
              <w:spacing w:line="360" w:lineRule="auto"/>
              <w:rPr>
                <w:rFonts w:ascii="宋体" w:hAnsi="宋体" w:cs="宋体"/>
                <w:sz w:val="24"/>
                <w:szCs w:val="24"/>
              </w:rPr>
            </w:pPr>
            <w:r>
              <w:rPr>
                <w:rFonts w:hint="eastAsia" w:ascii="宋体" w:hAnsi="宋体" w:cs="宋体"/>
                <w:sz w:val="24"/>
                <w:szCs w:val="24"/>
                <w:highlight w:val="none"/>
                <w:lang w:val="en-US" w:eastAsia="zh-CN"/>
              </w:rPr>
              <w:t>4.2.付款方式：一次性付款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4</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响应保证金</w:t>
            </w:r>
          </w:p>
          <w:p>
            <w:pPr>
              <w:spacing w:line="360" w:lineRule="auto"/>
              <w:jc w:val="center"/>
              <w:rPr>
                <w:rFonts w:ascii="宋体" w:hAnsi="宋体" w:cs="宋体"/>
                <w:sz w:val="24"/>
                <w:szCs w:val="24"/>
              </w:rPr>
            </w:pPr>
            <w:r>
              <w:rPr>
                <w:rFonts w:hint="eastAsia" w:ascii="宋体" w:hAnsi="宋体" w:cs="宋体"/>
                <w:sz w:val="24"/>
                <w:szCs w:val="24"/>
              </w:rPr>
              <w:t>缴纳</w:t>
            </w:r>
          </w:p>
        </w:tc>
        <w:tc>
          <w:tcPr>
            <w:tcW w:w="7377" w:type="dxa"/>
          </w:tcPr>
          <w:p>
            <w:pPr>
              <w:pStyle w:val="2"/>
              <w:numPr>
                <w:ilvl w:val="0"/>
                <w:numId w:val="3"/>
              </w:numPr>
              <w:spacing w:line="360" w:lineRule="auto"/>
              <w:ind w:firstLine="0"/>
              <w:jc w:val="left"/>
              <w:rPr>
                <w:rFonts w:ascii="宋体" w:hAnsi="宋体" w:cs="宋体"/>
                <w:sz w:val="24"/>
                <w:szCs w:val="24"/>
              </w:rPr>
            </w:pPr>
            <w:r>
              <w:rPr>
                <w:rFonts w:hint="eastAsia" w:ascii="宋体" w:hAnsi="宋体" w:cs="宋体"/>
                <w:b/>
                <w:bCs/>
                <w:sz w:val="24"/>
                <w:szCs w:val="24"/>
              </w:rPr>
              <w:t>保证金的缴纳：</w:t>
            </w:r>
            <w:r>
              <w:rPr>
                <w:rFonts w:hint="eastAsia" w:ascii="宋体" w:hAnsi="宋体" w:cs="宋体"/>
                <w:sz w:val="24"/>
                <w:szCs w:val="24"/>
              </w:rPr>
              <w:t>人民币</w:t>
            </w:r>
            <w:r>
              <w:rPr>
                <w:rFonts w:hint="eastAsia" w:ascii="宋体" w:hAnsi="宋体" w:cs="宋体"/>
                <w:sz w:val="24"/>
                <w:szCs w:val="24"/>
                <w:lang w:eastAsia="zh-CN"/>
              </w:rPr>
              <w:t>叁万</w:t>
            </w:r>
            <w:r>
              <w:rPr>
                <w:rFonts w:hint="eastAsia" w:ascii="宋体" w:hAnsi="宋体" w:cs="宋体"/>
                <w:sz w:val="24"/>
                <w:szCs w:val="24"/>
              </w:rPr>
              <w:t>元整（¥</w:t>
            </w:r>
            <w:r>
              <w:rPr>
                <w:rFonts w:hint="eastAsia" w:ascii="宋体" w:hAnsi="宋体" w:cs="宋体"/>
                <w:sz w:val="24"/>
                <w:szCs w:val="24"/>
                <w:lang w:val="en-US" w:eastAsia="zh-CN"/>
              </w:rPr>
              <w:t>30</w:t>
            </w:r>
            <w:r>
              <w:rPr>
                <w:rFonts w:hint="eastAsia" w:ascii="宋体" w:hAnsi="宋体" w:cs="宋体"/>
                <w:sz w:val="24"/>
                <w:szCs w:val="24"/>
              </w:rPr>
              <w:t>000.00元）</w:t>
            </w:r>
          </w:p>
          <w:p>
            <w:pPr>
              <w:pStyle w:val="2"/>
              <w:spacing w:line="360" w:lineRule="auto"/>
              <w:ind w:firstLine="0"/>
              <w:jc w:val="left"/>
              <w:rPr>
                <w:rFonts w:ascii="宋体" w:hAnsi="宋体" w:cs="宋体"/>
                <w:sz w:val="24"/>
                <w:szCs w:val="24"/>
              </w:rPr>
            </w:pPr>
            <w:r>
              <w:rPr>
                <w:rFonts w:hint="eastAsia" w:ascii="宋体" w:hAnsi="宋体" w:cs="宋体"/>
                <w:sz w:val="24"/>
                <w:szCs w:val="24"/>
              </w:rPr>
              <w:t xml:space="preserve">   缴纳截止时间：同响应文件递交截止时间一致</w:t>
            </w:r>
          </w:p>
          <w:p>
            <w:pPr>
              <w:spacing w:line="360" w:lineRule="auto"/>
              <w:ind w:firstLine="420" w:firstLineChars="175"/>
              <w:jc w:val="left"/>
              <w:rPr>
                <w:rFonts w:ascii="宋体" w:hAnsi="宋体" w:cs="宋体"/>
                <w:sz w:val="24"/>
                <w:szCs w:val="24"/>
              </w:rPr>
            </w:pPr>
            <w:r>
              <w:rPr>
                <w:rFonts w:hint="eastAsia" w:ascii="宋体" w:hAnsi="宋体" w:cs="宋体"/>
                <w:sz w:val="24"/>
                <w:szCs w:val="24"/>
              </w:rPr>
              <w:t>响应保证金应当以银行转账（公户）、支票、汇票、本票或者金融机构、担保机构出具的保函等非现金形式提交（注响应保证金须以供应商名称汇款），且应在谈判前致电代理机构财务部门确认响应保证金到账情况。</w:t>
            </w:r>
          </w:p>
          <w:p>
            <w:pPr>
              <w:spacing w:line="500" w:lineRule="exact"/>
              <w:jc w:val="left"/>
              <w:rPr>
                <w:rFonts w:ascii="宋体" w:hAnsi="宋体" w:cs="宋体"/>
                <w:sz w:val="24"/>
                <w:szCs w:val="24"/>
                <w:highlight w:val="yellow"/>
              </w:rPr>
            </w:pPr>
            <w:r>
              <w:rPr>
                <w:rFonts w:hint="eastAsia" w:ascii="宋体" w:hAnsi="宋体" w:cs="宋体"/>
                <w:sz w:val="24"/>
                <w:szCs w:val="24"/>
              </w:rPr>
              <w:t>户名：陕西卓佲项目管理有限公司</w:t>
            </w:r>
          </w:p>
          <w:p>
            <w:pPr>
              <w:spacing w:line="500" w:lineRule="exact"/>
              <w:jc w:val="left"/>
              <w:rPr>
                <w:rFonts w:ascii="宋体" w:hAnsi="宋体" w:cs="宋体"/>
                <w:sz w:val="24"/>
                <w:szCs w:val="24"/>
              </w:rPr>
            </w:pPr>
            <w:r>
              <w:rPr>
                <w:rFonts w:hint="eastAsia" w:ascii="宋体" w:hAnsi="宋体" w:cs="宋体"/>
                <w:sz w:val="24"/>
                <w:szCs w:val="24"/>
              </w:rPr>
              <w:t>开户行名称：中国光大银行西安太白路支行</w:t>
            </w:r>
          </w:p>
          <w:p>
            <w:pPr>
              <w:spacing w:line="500" w:lineRule="exact"/>
              <w:jc w:val="left"/>
              <w:rPr>
                <w:rFonts w:ascii="宋体" w:hAnsi="宋体" w:cs="宋体"/>
                <w:sz w:val="24"/>
                <w:szCs w:val="24"/>
              </w:rPr>
            </w:pPr>
            <w:r>
              <w:rPr>
                <w:rFonts w:hint="eastAsia" w:ascii="宋体" w:hAnsi="宋体" w:cs="宋体"/>
                <w:sz w:val="24"/>
                <w:szCs w:val="24"/>
              </w:rPr>
              <w:t>账号：78590188000191476</w:t>
            </w:r>
          </w:p>
          <w:p>
            <w:pPr>
              <w:spacing w:line="500" w:lineRule="exact"/>
              <w:jc w:val="left"/>
              <w:rPr>
                <w:rFonts w:ascii="宋体" w:hAnsi="宋体" w:cs="宋体"/>
                <w:sz w:val="24"/>
                <w:szCs w:val="24"/>
              </w:rPr>
            </w:pPr>
            <w:r>
              <w:rPr>
                <w:rFonts w:hint="eastAsia" w:ascii="宋体" w:hAnsi="宋体" w:cs="宋体"/>
                <w:sz w:val="24"/>
                <w:szCs w:val="24"/>
              </w:rPr>
              <w:t>咨询电话：029-88440695财务高老师</w:t>
            </w:r>
          </w:p>
          <w:p>
            <w:pPr>
              <w:spacing w:line="360" w:lineRule="auto"/>
              <w:jc w:val="left"/>
              <w:rPr>
                <w:rFonts w:ascii="宋体" w:hAnsi="宋体" w:cs="宋体"/>
                <w:sz w:val="24"/>
                <w:szCs w:val="24"/>
              </w:rPr>
            </w:pPr>
            <w:r>
              <w:rPr>
                <w:rFonts w:hint="eastAsia" w:ascii="宋体" w:hAnsi="宋体" w:cs="宋体"/>
                <w:sz w:val="24"/>
                <w:szCs w:val="24"/>
              </w:rPr>
              <w:t>转账摘要：</w:t>
            </w:r>
            <w:r>
              <w:rPr>
                <w:rFonts w:hint="eastAsia" w:ascii="宋体" w:hAnsi="宋体" w:cs="宋体"/>
                <w:sz w:val="24"/>
                <w:szCs w:val="24"/>
                <w:lang w:eastAsia="zh-CN"/>
              </w:rPr>
              <w:t>西科大</w:t>
            </w:r>
            <w:r>
              <w:rPr>
                <w:rFonts w:hint="eastAsia" w:ascii="宋体" w:hAnsi="宋体" w:cs="宋体"/>
                <w:sz w:val="24"/>
                <w:szCs w:val="24"/>
                <w:lang w:val="en-US" w:eastAsia="zh-CN"/>
              </w:rPr>
              <w:t>-64R</w:t>
            </w:r>
            <w:r>
              <w:rPr>
                <w:rFonts w:hint="eastAsia" w:ascii="宋体" w:hAnsi="宋体" w:cs="宋体"/>
                <w:sz w:val="24"/>
                <w:szCs w:val="24"/>
              </w:rPr>
              <w:t>响应保证金</w:t>
            </w:r>
          </w:p>
          <w:p>
            <w:pPr>
              <w:pStyle w:val="7"/>
              <w:numPr>
                <w:ilvl w:val="0"/>
                <w:numId w:val="4"/>
              </w:numPr>
              <w:rPr>
                <w:rFonts w:hint="default" w:ascii="宋体" w:hAnsi="宋体" w:cs="宋体"/>
                <w:sz w:val="24"/>
                <w:szCs w:val="24"/>
              </w:rPr>
            </w:pPr>
            <w:r>
              <w:rPr>
                <w:rFonts w:ascii="宋体" w:hAnsi="宋体" w:cs="宋体"/>
                <w:sz w:val="24"/>
                <w:szCs w:val="24"/>
              </w:rPr>
              <w:t>保证金的退还</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未成交的供应商在退取响应保证金时，须携带以下资料办理到代理机构的财务部门办理:</w:t>
            </w:r>
          </w:p>
          <w:p>
            <w:pPr>
              <w:numPr>
                <w:ilvl w:val="0"/>
                <w:numId w:val="5"/>
              </w:numPr>
              <w:adjustRightInd w:val="0"/>
              <w:snapToGrid w:val="0"/>
              <w:spacing w:line="360" w:lineRule="auto"/>
              <w:rPr>
                <w:rFonts w:ascii="宋体" w:hAnsi="宋体" w:cs="宋体"/>
                <w:sz w:val="24"/>
                <w:szCs w:val="24"/>
              </w:rPr>
            </w:pPr>
            <w:r>
              <w:rPr>
                <w:rFonts w:hint="eastAsia" w:ascii="宋体" w:hAnsi="宋体" w:cs="宋体"/>
                <w:sz w:val="24"/>
                <w:szCs w:val="24"/>
              </w:rPr>
              <w:t>保证金汇款凭证复印件加盖公章；</w:t>
            </w:r>
          </w:p>
          <w:p>
            <w:pPr>
              <w:numPr>
                <w:ilvl w:val="0"/>
                <w:numId w:val="5"/>
              </w:numPr>
              <w:adjustRightInd w:val="0"/>
              <w:snapToGrid w:val="0"/>
              <w:spacing w:line="360" w:lineRule="auto"/>
              <w:rPr>
                <w:rFonts w:ascii="宋体" w:hAnsi="宋体" w:cs="宋体"/>
                <w:sz w:val="24"/>
                <w:szCs w:val="24"/>
              </w:rPr>
            </w:pPr>
            <w:r>
              <w:rPr>
                <w:rFonts w:hint="eastAsia" w:ascii="宋体" w:hAnsi="宋体" w:cs="宋体"/>
                <w:sz w:val="24"/>
                <w:szCs w:val="24"/>
              </w:rPr>
              <w:t>保证金退还信息确认表（加盖公章）见</w:t>
            </w:r>
            <w:r>
              <w:rPr>
                <w:rFonts w:hint="eastAsia" w:ascii="宋体" w:hAnsi="宋体" w:cs="宋体"/>
                <w:b/>
                <w:bCs/>
                <w:sz w:val="24"/>
                <w:szCs w:val="24"/>
              </w:rPr>
              <w:t>附件七</w:t>
            </w:r>
            <w:r>
              <w:rPr>
                <w:rFonts w:hint="eastAsia" w:ascii="宋体" w:hAnsi="宋体" w:cs="宋体"/>
                <w:sz w:val="24"/>
                <w:szCs w:val="24"/>
              </w:rPr>
              <w:t>。</w:t>
            </w:r>
          </w:p>
          <w:p>
            <w:pPr>
              <w:numPr>
                <w:ilvl w:val="0"/>
                <w:numId w:val="5"/>
              </w:numPr>
              <w:adjustRightInd w:val="0"/>
              <w:snapToGrid w:val="0"/>
              <w:spacing w:line="360" w:lineRule="auto"/>
              <w:rPr>
                <w:rFonts w:ascii="宋体" w:hAnsi="宋体" w:cs="宋体"/>
                <w:sz w:val="24"/>
                <w:szCs w:val="24"/>
              </w:rPr>
            </w:pPr>
            <w:r>
              <w:rPr>
                <w:rFonts w:hint="eastAsia" w:ascii="宋体" w:hAnsi="宋体" w:cs="宋体"/>
                <w:sz w:val="24"/>
                <w:szCs w:val="24"/>
              </w:rPr>
              <w:t>供应商可在谈判当天将保证金退还账户信息确认表与</w:t>
            </w:r>
            <w:r>
              <w:rPr>
                <w:rFonts w:hint="eastAsia" w:ascii="宋体" w:hAnsi="宋体" w:cs="宋体"/>
                <w:bCs/>
                <w:sz w:val="24"/>
                <w:szCs w:val="24"/>
              </w:rPr>
              <w:t>保证金汇款凭证复印件加盖公章</w:t>
            </w:r>
            <w:r>
              <w:rPr>
                <w:rFonts w:hint="eastAsia" w:ascii="宋体" w:hAnsi="宋体" w:cs="宋体"/>
                <w:sz w:val="24"/>
                <w:szCs w:val="24"/>
              </w:rPr>
              <w:t>一并交给工作人员，当天未提交保证金退还账户信息确认表与响应保证金</w:t>
            </w:r>
            <w:r>
              <w:rPr>
                <w:rFonts w:hint="eastAsia" w:ascii="宋体" w:hAnsi="宋体" w:cs="宋体"/>
                <w:bCs/>
                <w:sz w:val="24"/>
                <w:szCs w:val="24"/>
              </w:rPr>
              <w:t>汇款凭证复印件加盖公章</w:t>
            </w:r>
            <w:r>
              <w:rPr>
                <w:rFonts w:hint="eastAsia" w:ascii="宋体" w:hAnsi="宋体" w:cs="宋体"/>
                <w:sz w:val="24"/>
                <w:szCs w:val="24"/>
              </w:rPr>
              <w:t>的供应商，在谈判后将以上资料盖章扫描件发送至邮箱</w:t>
            </w:r>
            <w:r>
              <w:fldChar w:fldCharType="begin"/>
            </w:r>
            <w:r>
              <w:instrText xml:space="preserve"> HYPERLINK "mailto:415080516@qq.com" \h </w:instrText>
            </w:r>
            <w:r>
              <w:fldChar w:fldCharType="separate"/>
            </w:r>
            <w:r>
              <w:rPr>
                <w:rFonts w:hint="eastAsia" w:ascii="宋体" w:hAnsi="宋体" w:cs="宋体"/>
                <w:sz w:val="24"/>
                <w:szCs w:val="24"/>
              </w:rPr>
              <w:t>shanxizhuoming_zb@163.com</w:t>
            </w:r>
            <w:r>
              <w:rPr>
                <w:rFonts w:hint="eastAsia" w:ascii="宋体" w:hAnsi="宋体" w:cs="宋体"/>
                <w:sz w:val="24"/>
                <w:szCs w:val="24"/>
              </w:rPr>
              <w:fldChar w:fldCharType="end"/>
            </w:r>
            <w:r>
              <w:rPr>
                <w:rFonts w:hint="eastAsia" w:ascii="宋体" w:hAnsi="宋体" w:cs="宋体"/>
                <w:sz w:val="24"/>
                <w:szCs w:val="24"/>
              </w:rPr>
              <w:t>并致电告知。</w:t>
            </w:r>
          </w:p>
          <w:p>
            <w:pPr>
              <w:numPr>
                <w:ilvl w:val="0"/>
                <w:numId w:val="5"/>
              </w:numPr>
              <w:adjustRightInd w:val="0"/>
              <w:snapToGrid w:val="0"/>
              <w:spacing w:line="360" w:lineRule="auto"/>
              <w:rPr>
                <w:rFonts w:ascii="宋体" w:hAnsi="宋体" w:cs="宋体"/>
              </w:rPr>
            </w:pPr>
            <w:r>
              <w:rPr>
                <w:rFonts w:hint="eastAsia" w:ascii="宋体" w:hAnsi="宋体" w:cs="宋体"/>
                <w:sz w:val="24"/>
                <w:szCs w:val="24"/>
              </w:rPr>
              <w:t>成交供应商在退取响应保证金时，除携带上述资料外还需携带与采购人签订的采购合同。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备选方案</w:t>
            </w:r>
          </w:p>
        </w:tc>
        <w:tc>
          <w:tcPr>
            <w:tcW w:w="7377" w:type="dxa"/>
            <w:vAlign w:val="center"/>
          </w:tcPr>
          <w:p>
            <w:pPr>
              <w:spacing w:line="500" w:lineRule="exact"/>
              <w:jc w:val="left"/>
              <w:rPr>
                <w:rFonts w:ascii="宋体" w:hAnsi="宋体" w:cs="宋体"/>
                <w:sz w:val="24"/>
                <w:szCs w:val="24"/>
              </w:rPr>
            </w:pPr>
            <w:r>
              <w:rPr>
                <w:rFonts w:hint="eastAsia" w:ascii="宋体" w:hAnsi="宋体" w:cs="宋体"/>
                <w:sz w:val="24"/>
                <w:szCs w:val="24"/>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联合体</w:t>
            </w:r>
          </w:p>
        </w:tc>
        <w:tc>
          <w:tcPr>
            <w:tcW w:w="7377" w:type="dxa"/>
            <w:vAlign w:val="center"/>
          </w:tcPr>
          <w:p>
            <w:pPr>
              <w:spacing w:line="400" w:lineRule="exact"/>
              <w:rPr>
                <w:rFonts w:ascii="宋体" w:hAnsi="宋体" w:cs="宋体"/>
                <w:sz w:val="24"/>
                <w:szCs w:val="24"/>
              </w:rPr>
            </w:pPr>
            <w:r>
              <w:rPr>
                <w:rFonts w:hint="eastAsia" w:ascii="宋体" w:hAnsi="宋体" w:cs="宋体"/>
                <w:sz w:val="24"/>
                <w:szCs w:val="24"/>
              </w:rPr>
              <w:t>不接受联合体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9"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响应有效期</w:t>
            </w:r>
          </w:p>
        </w:tc>
        <w:tc>
          <w:tcPr>
            <w:tcW w:w="7377" w:type="dxa"/>
            <w:vAlign w:val="center"/>
          </w:tcPr>
          <w:p>
            <w:pPr>
              <w:spacing w:line="360" w:lineRule="auto"/>
              <w:rPr>
                <w:rFonts w:ascii="宋体" w:hAnsi="宋体" w:cs="宋体"/>
                <w:sz w:val="24"/>
                <w:szCs w:val="24"/>
              </w:rPr>
            </w:pPr>
            <w:r>
              <w:rPr>
                <w:rFonts w:hint="eastAsia" w:ascii="宋体" w:hAnsi="宋体" w:cs="宋体"/>
                <w:sz w:val="24"/>
                <w:szCs w:val="24"/>
              </w:rPr>
              <w:t>法定代表人授权书期限及响应文件有效期为从谈判之日起有效期为</w:t>
            </w:r>
            <w:r>
              <w:rPr>
                <w:rFonts w:hint="eastAsia" w:ascii="宋体" w:hAnsi="宋体" w:cs="宋体"/>
                <w:sz w:val="24"/>
                <w:szCs w:val="24"/>
                <w:lang w:val="en-US" w:eastAsia="zh-CN"/>
              </w:rPr>
              <w:t>9</w:t>
            </w:r>
            <w:r>
              <w:rPr>
                <w:rFonts w:hint="eastAsia" w:ascii="宋体" w:hAnsi="宋体" w:cs="宋体"/>
                <w:sz w:val="24"/>
                <w:szCs w:val="24"/>
              </w:rPr>
              <w:t>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货币及报价</w:t>
            </w:r>
          </w:p>
        </w:tc>
        <w:tc>
          <w:tcPr>
            <w:tcW w:w="7377" w:type="dxa"/>
            <w:vAlign w:val="center"/>
          </w:tcPr>
          <w:p>
            <w:pPr>
              <w:numPr>
                <w:ilvl w:val="0"/>
                <w:numId w:val="6"/>
              </w:numPr>
              <w:spacing w:line="360" w:lineRule="auto"/>
              <w:ind w:firstLine="0"/>
              <w:jc w:val="left"/>
              <w:rPr>
                <w:rFonts w:ascii="宋体" w:hAnsi="宋体" w:cs="宋体"/>
                <w:sz w:val="24"/>
                <w:szCs w:val="24"/>
              </w:rPr>
            </w:pPr>
            <w:r>
              <w:rPr>
                <w:rFonts w:hint="eastAsia" w:ascii="宋体" w:hAnsi="宋体" w:cs="宋体"/>
                <w:sz w:val="24"/>
                <w:szCs w:val="24"/>
              </w:rPr>
              <w:t>供应商应当根据竞争性谈判文件的要求和范围，以人民币为货币，以元为报价单位，保留小数点后两位。</w:t>
            </w:r>
          </w:p>
          <w:p>
            <w:pPr>
              <w:numPr>
                <w:ilvl w:val="0"/>
                <w:numId w:val="6"/>
              </w:numPr>
              <w:spacing w:line="360" w:lineRule="auto"/>
              <w:ind w:firstLine="0"/>
              <w:jc w:val="left"/>
              <w:rPr>
                <w:rFonts w:ascii="宋体" w:hAnsi="宋体" w:cs="宋体"/>
                <w:sz w:val="24"/>
                <w:szCs w:val="24"/>
              </w:rPr>
            </w:pPr>
            <w:r>
              <w:rPr>
                <w:rFonts w:hint="eastAsia" w:ascii="宋体" w:hAnsi="宋体" w:cs="宋体"/>
                <w:sz w:val="24"/>
                <w:szCs w:val="24"/>
              </w:rPr>
              <w:t>供应商应在响应报价表中标明完成本次采购所要求的货物、服务且验收合格的所有费用，包括产品费、安装调试费、运杂费（含保险）、仓储保管费、技术培训费、检测费、施工费、运输费、人工费、税金及进口产品国家按现行税收政策征收的一切税费等。任何有选择的报价将不予接受，否则按无效响应处理。</w:t>
            </w:r>
          </w:p>
          <w:p>
            <w:pPr>
              <w:spacing w:line="360" w:lineRule="auto"/>
              <w:jc w:val="left"/>
              <w:rPr>
                <w:rFonts w:ascii="宋体" w:hAnsi="宋体" w:cs="宋体"/>
                <w:sz w:val="24"/>
                <w:szCs w:val="24"/>
              </w:rPr>
            </w:pPr>
            <w:r>
              <w:rPr>
                <w:rFonts w:hint="eastAsia" w:ascii="宋体" w:hAnsi="宋体" w:cs="宋体"/>
                <w:sz w:val="24"/>
                <w:szCs w:val="24"/>
              </w:rPr>
              <w:t>供应商应在响应文件中的响应一览表上</w:t>
            </w:r>
            <w:r>
              <w:rPr>
                <w:rFonts w:hint="eastAsia" w:ascii="宋体" w:hAnsi="宋体" w:cs="宋体"/>
                <w:sz w:val="24"/>
                <w:szCs w:val="24"/>
                <w:lang w:eastAsia="zh-CN"/>
              </w:rPr>
              <w:t>按照采购文件要求填写</w:t>
            </w:r>
            <w:r>
              <w:rPr>
                <w:rFonts w:hint="eastAsia" w:ascii="宋体" w:hAnsi="宋体" w:cs="宋体"/>
                <w:sz w:val="24"/>
                <w:szCs w:val="24"/>
              </w:rPr>
              <w:t>，并由法定代表人或被授权人代表签署；任何有选择的报价不予接受。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响应文件份数及装订要求</w:t>
            </w:r>
          </w:p>
        </w:tc>
        <w:tc>
          <w:tcPr>
            <w:tcW w:w="7377" w:type="dxa"/>
            <w:vAlign w:val="center"/>
          </w:tcPr>
          <w:p>
            <w:pPr>
              <w:spacing w:line="336" w:lineRule="auto"/>
              <w:jc w:val="left"/>
              <w:rPr>
                <w:rFonts w:ascii="宋体" w:hAnsi="宋体" w:cs="宋体"/>
                <w:sz w:val="24"/>
                <w:szCs w:val="24"/>
              </w:rPr>
            </w:pPr>
            <w:r>
              <w:rPr>
                <w:rFonts w:hint="eastAsia" w:ascii="宋体" w:hAnsi="宋体" w:cs="宋体"/>
                <w:sz w:val="24"/>
                <w:szCs w:val="24"/>
              </w:rPr>
              <w:t>1、响应文件正本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叁</w:t>
            </w:r>
            <w:r>
              <w:rPr>
                <w:rFonts w:hint="eastAsia" w:ascii="宋体" w:hAnsi="宋体" w:cs="宋体"/>
                <w:sz w:val="24"/>
                <w:szCs w:val="24"/>
              </w:rPr>
              <w:t>份、响应一览表</w:t>
            </w:r>
            <w:r>
              <w:rPr>
                <w:rFonts w:hint="eastAsia" w:ascii="宋体" w:hAnsi="宋体" w:cs="宋体"/>
                <w:sz w:val="24"/>
                <w:szCs w:val="24"/>
                <w:u w:val="single"/>
              </w:rPr>
              <w:t>壹</w:t>
            </w:r>
            <w:r>
              <w:rPr>
                <w:rFonts w:hint="eastAsia" w:ascii="宋体" w:hAnsi="宋体" w:cs="宋体"/>
                <w:sz w:val="24"/>
                <w:szCs w:val="24"/>
              </w:rPr>
              <w:t>份、电子文档</w:t>
            </w:r>
            <w:r>
              <w:rPr>
                <w:rFonts w:hint="eastAsia" w:ascii="宋体" w:hAnsi="宋体" w:cs="宋体"/>
                <w:sz w:val="24"/>
                <w:szCs w:val="24"/>
                <w:u w:val="single"/>
              </w:rPr>
              <w:t>壹</w:t>
            </w:r>
            <w:r>
              <w:rPr>
                <w:rFonts w:hint="eastAsia" w:ascii="宋体" w:hAnsi="宋体" w:cs="宋体"/>
                <w:sz w:val="24"/>
                <w:szCs w:val="24"/>
              </w:rPr>
              <w:t>份；</w:t>
            </w:r>
          </w:p>
          <w:p>
            <w:pPr>
              <w:spacing w:line="336" w:lineRule="auto"/>
              <w:jc w:val="left"/>
              <w:rPr>
                <w:rFonts w:ascii="宋体" w:hAnsi="宋体" w:cs="宋体"/>
                <w:sz w:val="24"/>
                <w:szCs w:val="24"/>
              </w:rPr>
            </w:pPr>
            <w:r>
              <w:rPr>
                <w:rFonts w:hint="eastAsia" w:ascii="宋体" w:hAnsi="宋体" w:cs="宋体"/>
                <w:sz w:val="24"/>
                <w:szCs w:val="24"/>
              </w:rPr>
              <w:t>2、正、副本分别胶装装订成册，逐页标注连页码，且封面须清楚地标明“正本”或“副本”；若正本和副本不符，以正本书面文件为准；同时提供与正本内容一致的电子版（U盘、电子文档应为PDF与WORD格式各一份，PDF版本需为正本签署盖章扫描件）。</w:t>
            </w:r>
          </w:p>
          <w:p>
            <w:pPr>
              <w:spacing w:line="360" w:lineRule="auto"/>
              <w:jc w:val="left"/>
              <w:rPr>
                <w:rFonts w:ascii="宋体" w:hAnsi="宋体" w:cs="宋体"/>
                <w:sz w:val="24"/>
                <w:szCs w:val="24"/>
              </w:rPr>
            </w:pPr>
            <w:r>
              <w:rPr>
                <w:rFonts w:hint="eastAsia" w:ascii="宋体" w:hAnsi="宋体" w:cs="宋体"/>
                <w:sz w:val="24"/>
                <w:szCs w:val="24"/>
              </w:rPr>
              <w:t>3、所有的副本可以为正本的复印件。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06"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响应文件的签署</w:t>
            </w:r>
          </w:p>
        </w:tc>
        <w:tc>
          <w:tcPr>
            <w:tcW w:w="7377" w:type="dxa"/>
            <w:vAlign w:val="center"/>
          </w:tcPr>
          <w:p>
            <w:pPr>
              <w:numPr>
                <w:ilvl w:val="0"/>
                <w:numId w:val="7"/>
              </w:numPr>
              <w:spacing w:line="336" w:lineRule="auto"/>
              <w:ind w:firstLine="0"/>
              <w:jc w:val="left"/>
              <w:rPr>
                <w:rFonts w:ascii="宋体" w:hAnsi="宋体" w:cs="宋体"/>
                <w:sz w:val="24"/>
                <w:szCs w:val="24"/>
              </w:rPr>
            </w:pPr>
            <w:r>
              <w:rPr>
                <w:rFonts w:hint="eastAsia" w:ascii="宋体" w:hAnsi="宋体" w:cs="宋体"/>
                <w:sz w:val="24"/>
                <w:szCs w:val="24"/>
              </w:rPr>
              <w:t>供应商在响应文件中指定的页面的落款处，按采购文件要求由供应商的法定代表人或其授权代表在规定的签章处签字或盖章。</w:t>
            </w:r>
          </w:p>
          <w:p>
            <w:pPr>
              <w:numPr>
                <w:ilvl w:val="0"/>
                <w:numId w:val="7"/>
              </w:numPr>
              <w:spacing w:line="336" w:lineRule="auto"/>
              <w:ind w:firstLine="0"/>
              <w:jc w:val="left"/>
              <w:rPr>
                <w:rFonts w:ascii="宋体" w:hAnsi="宋体" w:cs="宋体"/>
                <w:sz w:val="24"/>
                <w:szCs w:val="24"/>
              </w:rPr>
            </w:pPr>
            <w:r>
              <w:rPr>
                <w:rFonts w:hint="eastAsia" w:ascii="宋体" w:hAnsi="宋体" w:cs="宋体"/>
                <w:sz w:val="24"/>
                <w:szCs w:val="24"/>
              </w:rPr>
              <w:t>响应文件应字迹清楚、内容齐全、不得涂改或增删。如有修改和增删，必须有供应商公章及法定代表人或其授权的供应商代表签字。</w:t>
            </w:r>
          </w:p>
          <w:p>
            <w:pPr>
              <w:spacing w:line="360" w:lineRule="auto"/>
              <w:jc w:val="left"/>
              <w:rPr>
                <w:rFonts w:ascii="宋体" w:hAnsi="宋体" w:cs="宋体"/>
                <w:b/>
                <w:bCs/>
                <w:color w:val="000000"/>
                <w:sz w:val="24"/>
                <w:szCs w:val="24"/>
              </w:rPr>
            </w:pPr>
            <w:r>
              <w:rPr>
                <w:rFonts w:hint="eastAsia" w:ascii="宋体" w:hAnsi="宋体" w:cs="宋体"/>
                <w:sz w:val="24"/>
                <w:szCs w:val="24"/>
              </w:rPr>
              <w:t>因响应文件字迹潦草或表达不清所引起的不利后果由供应商承担。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响应文件的密封</w:t>
            </w:r>
          </w:p>
        </w:tc>
        <w:tc>
          <w:tcPr>
            <w:tcW w:w="7377" w:type="dxa"/>
            <w:vAlign w:val="center"/>
          </w:tcPr>
          <w:p>
            <w:pPr>
              <w:pStyle w:val="4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1、装袋要求：</w:t>
            </w:r>
          </w:p>
          <w:p>
            <w:pPr>
              <w:pStyle w:val="4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响应一览表密封单独装袋；</w:t>
            </w:r>
          </w:p>
          <w:p>
            <w:pPr>
              <w:pStyle w:val="4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电子文档密封单独装袋；</w:t>
            </w:r>
          </w:p>
          <w:p>
            <w:pPr>
              <w:spacing w:line="360" w:lineRule="auto"/>
              <w:ind w:right="158" w:rightChars="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所有正本密封单独装袋，也可分册密封装袋；</w:t>
            </w:r>
          </w:p>
          <w:p>
            <w:pPr>
              <w:spacing w:line="360" w:lineRule="auto"/>
              <w:ind w:right="158" w:rightChars="75"/>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所有副本密封单独装袋，</w:t>
            </w:r>
            <w:r>
              <w:rPr>
                <w:rFonts w:hint="eastAsia" w:ascii="宋体" w:hAnsi="宋体" w:eastAsia="宋体" w:cs="宋体"/>
                <w:kern w:val="2"/>
                <w:sz w:val="24"/>
                <w:szCs w:val="24"/>
                <w:highlight w:val="none"/>
                <w:lang w:val="zh-CN" w:eastAsia="zh-CN" w:bidi="ar-SA"/>
              </w:rPr>
              <w:t>也可分册</w:t>
            </w:r>
            <w:r>
              <w:rPr>
                <w:rFonts w:hint="eastAsia" w:ascii="宋体" w:hAnsi="宋体" w:eastAsia="宋体" w:cs="宋体"/>
                <w:kern w:val="2"/>
                <w:sz w:val="24"/>
                <w:szCs w:val="24"/>
                <w:highlight w:val="none"/>
                <w:lang w:val="en-US" w:eastAsia="zh-CN" w:bidi="ar-SA"/>
              </w:rPr>
              <w:t>密封</w:t>
            </w:r>
            <w:r>
              <w:rPr>
                <w:rFonts w:hint="eastAsia" w:ascii="宋体" w:hAnsi="宋体" w:eastAsia="宋体" w:cs="宋体"/>
                <w:kern w:val="2"/>
                <w:sz w:val="24"/>
                <w:szCs w:val="24"/>
                <w:highlight w:val="none"/>
                <w:lang w:val="zh-CN" w:eastAsia="zh-CN" w:bidi="ar-SA"/>
              </w:rPr>
              <w:t>装袋；</w:t>
            </w:r>
          </w:p>
          <w:p>
            <w:pPr>
              <w:numPr>
                <w:ilvl w:val="0"/>
                <w:numId w:val="0"/>
              </w:numPr>
              <w:spacing w:line="336" w:lineRule="auto"/>
              <w:ind w:leftChars="0"/>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在封袋正面标明“正本”“副本”“电子版”“</w:t>
            </w:r>
            <w:r>
              <w:rPr>
                <w:rFonts w:hint="eastAsia" w:ascii="宋体" w:hAnsi="宋体" w:cs="宋体"/>
                <w:sz w:val="24"/>
                <w:szCs w:val="24"/>
                <w:lang w:eastAsia="zh-CN"/>
              </w:rPr>
              <w:t>响应一览表</w:t>
            </w:r>
            <w:r>
              <w:rPr>
                <w:rFonts w:hint="eastAsia" w:ascii="宋体" w:hAnsi="宋体" w:cs="宋体"/>
                <w:sz w:val="24"/>
                <w:szCs w:val="24"/>
              </w:rPr>
              <w:t>”字样。封袋应密封完整</w:t>
            </w:r>
            <w:r>
              <w:rPr>
                <w:rFonts w:hint="eastAsia" w:ascii="宋体" w:hAnsi="宋体" w:cs="宋体"/>
                <w:sz w:val="24"/>
                <w:szCs w:val="24"/>
                <w:lang w:eastAsia="zh-CN"/>
              </w:rPr>
              <w:t>（密封以不泄露供应商商业机密、</w:t>
            </w:r>
            <w:r>
              <w:rPr>
                <w:rFonts w:hint="eastAsia" w:ascii="宋体" w:hAnsi="宋体" w:cs="宋体"/>
                <w:sz w:val="24"/>
                <w:szCs w:val="24"/>
                <w:lang w:val="en-US" w:eastAsia="zh-CN"/>
              </w:rPr>
              <w:t>响应文件</w:t>
            </w:r>
            <w:r>
              <w:rPr>
                <w:rFonts w:hint="eastAsia" w:ascii="宋体" w:hAnsi="宋体" w:cs="宋体"/>
                <w:sz w:val="24"/>
                <w:szCs w:val="24"/>
                <w:lang w:eastAsia="zh-CN"/>
              </w:rPr>
              <w:t>内容为标准，</w:t>
            </w:r>
            <w:r>
              <w:rPr>
                <w:rFonts w:hint="eastAsia" w:ascii="宋体" w:hAnsi="宋体" w:cs="宋体"/>
                <w:sz w:val="24"/>
                <w:szCs w:val="24"/>
              </w:rPr>
              <w:t>封面标识见招标文件附件一</w:t>
            </w:r>
            <w:r>
              <w:rPr>
                <w:rFonts w:hint="eastAsia" w:ascii="宋体" w:hAnsi="宋体" w:cs="宋体"/>
                <w:sz w:val="24"/>
                <w:szCs w:val="24"/>
                <w:lang w:eastAsia="zh-CN"/>
              </w:rPr>
              <w:t>）</w:t>
            </w:r>
            <w:r>
              <w:rPr>
                <w:rFonts w:hint="eastAsia" w:ascii="宋体" w:hAnsi="宋体" w:cs="宋体"/>
                <w:sz w:val="24"/>
                <w:szCs w:val="24"/>
              </w:rPr>
              <w:t>，如果未按上述规定进行密封，供应商的</w:t>
            </w:r>
            <w:r>
              <w:rPr>
                <w:rFonts w:hint="eastAsia" w:ascii="宋体" w:hAnsi="宋体" w:cs="宋体"/>
                <w:sz w:val="24"/>
                <w:szCs w:val="24"/>
                <w:lang w:eastAsia="zh-CN"/>
              </w:rPr>
              <w:t>响应文件</w:t>
            </w:r>
            <w:r>
              <w:rPr>
                <w:rFonts w:hint="eastAsia" w:ascii="宋体" w:hAnsi="宋体" w:cs="宋体"/>
                <w:sz w:val="24"/>
                <w:szCs w:val="24"/>
              </w:rPr>
              <w:t>有权被拒绝。</w:t>
            </w:r>
          </w:p>
          <w:p>
            <w:pPr>
              <w:numPr>
                <w:ilvl w:val="0"/>
                <w:numId w:val="0"/>
              </w:numPr>
              <w:spacing w:line="336" w:lineRule="auto"/>
              <w:ind w:leftChars="0"/>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如果供应商未按上述要求密封及加写标记，误投或过早启封的响应文件，将自行承担其响应文件被视为无效响应文件的风险。</w:t>
            </w:r>
          </w:p>
          <w:p>
            <w:pPr>
              <w:numPr>
                <w:ilvl w:val="0"/>
                <w:numId w:val="0"/>
              </w:numPr>
              <w:spacing w:line="336"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本次招标只接受简体中文文字的响应文件；如响应文件中出现外文资料，</w:t>
            </w:r>
            <w:r>
              <w:rPr>
                <w:rFonts w:hint="eastAsia" w:ascii="宋体" w:hAnsi="宋体" w:cs="宋体"/>
                <w:sz w:val="24"/>
                <w:szCs w:val="24"/>
                <w:lang w:eastAsia="zh-CN"/>
              </w:rPr>
              <w:t>需</w:t>
            </w:r>
            <w:r>
              <w:rPr>
                <w:rFonts w:hint="eastAsia" w:ascii="宋体" w:hAnsi="宋体" w:cs="宋体"/>
                <w:sz w:val="24"/>
                <w:szCs w:val="24"/>
              </w:rPr>
              <w:t>配以中文译文。否则，由此引发的一切责任由供应商自负</w:t>
            </w:r>
            <w:r>
              <w:rPr>
                <w:rFonts w:hint="eastAsia" w:ascii="宋体" w:hAnsi="宋体" w:cs="宋体"/>
                <w:sz w:val="24"/>
                <w:szCs w:val="24"/>
                <w:highlight w:val="none"/>
              </w:rPr>
              <w:t>。</w:t>
            </w:r>
          </w:p>
          <w:p>
            <w:pPr>
              <w:spacing w:line="360" w:lineRule="auto"/>
              <w:jc w:val="left"/>
              <w:rPr>
                <w:rFonts w:ascii="宋体" w:hAnsi="宋体" w:cs="宋体"/>
                <w:color w:val="FF0000"/>
                <w:sz w:val="24"/>
                <w:szCs w:val="24"/>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拒绝接受以电话、传真、电子邮件形式的响应。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color w:val="FF0000"/>
                <w:sz w:val="24"/>
                <w:szCs w:val="24"/>
              </w:rPr>
            </w:pPr>
            <w:r>
              <w:rPr>
                <w:rFonts w:hint="eastAsia" w:ascii="宋体" w:hAnsi="宋体" w:cs="宋体"/>
                <w:sz w:val="24"/>
                <w:szCs w:val="24"/>
              </w:rPr>
              <w:t>12</w:t>
            </w:r>
          </w:p>
        </w:tc>
        <w:tc>
          <w:tcPr>
            <w:tcW w:w="1336" w:type="dxa"/>
            <w:vAlign w:val="center"/>
          </w:tcPr>
          <w:p>
            <w:pPr>
              <w:spacing w:line="360" w:lineRule="auto"/>
              <w:jc w:val="center"/>
              <w:rPr>
                <w:rFonts w:ascii="宋体" w:hAnsi="宋体" w:cs="宋体"/>
                <w:sz w:val="24"/>
                <w:szCs w:val="24"/>
              </w:rPr>
            </w:pPr>
            <w:r>
              <w:rPr>
                <w:rFonts w:hint="eastAsia" w:ascii="宋体" w:hAnsi="宋体" w:cs="宋体"/>
                <w:b/>
                <w:bCs/>
                <w:sz w:val="24"/>
                <w:szCs w:val="24"/>
              </w:rPr>
              <w:t>成交原则</w:t>
            </w:r>
          </w:p>
        </w:tc>
        <w:tc>
          <w:tcPr>
            <w:tcW w:w="7377" w:type="dxa"/>
            <w:vAlign w:val="center"/>
          </w:tcPr>
          <w:p>
            <w:pPr>
              <w:spacing w:line="360" w:lineRule="auto"/>
              <w:rPr>
                <w:rFonts w:ascii="宋体" w:hAnsi="宋体" w:cs="宋体"/>
                <w:sz w:val="24"/>
                <w:szCs w:val="24"/>
              </w:rPr>
            </w:pPr>
            <w:r>
              <w:rPr>
                <w:rFonts w:hint="eastAsia" w:ascii="宋体" w:hAnsi="宋体" w:cs="宋体"/>
                <w:sz w:val="24"/>
                <w:szCs w:val="24"/>
              </w:rPr>
              <w:t>质量和服务均能满足采购文件实质性响应要求且最后报价最低的原则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eastAsia" w:ascii="宋体" w:hAnsi="宋体" w:cs="宋体" w:eastAsiaTheme="minorEastAsia"/>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3</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代理服务费</w:t>
            </w:r>
          </w:p>
        </w:tc>
        <w:tc>
          <w:tcPr>
            <w:tcW w:w="7377" w:type="dxa"/>
            <w:vAlign w:val="center"/>
          </w:tcPr>
          <w:p>
            <w:pPr>
              <w:spacing w:line="560" w:lineRule="exact"/>
              <w:ind w:firstLine="480" w:firstLineChars="200"/>
              <w:jc w:val="left"/>
              <w:rPr>
                <w:rFonts w:ascii="宋体" w:hAnsi="宋体" w:cs="宋体"/>
                <w:sz w:val="24"/>
                <w:szCs w:val="24"/>
              </w:rPr>
            </w:pPr>
            <w:r>
              <w:rPr>
                <w:rFonts w:hint="eastAsia" w:ascii="宋体" w:hAnsi="宋体" w:cs="宋体"/>
                <w:sz w:val="24"/>
                <w:szCs w:val="24"/>
              </w:rPr>
              <w:t>供应商将招标代理服务费计入响应报价但不单独列明，中标供应商在领取中标通知书前须向采购代理机构一次性支付招标代理服务费</w:t>
            </w:r>
            <w:r>
              <w:rPr>
                <w:rFonts w:hint="eastAsia" w:ascii="宋体" w:hAnsi="宋体" w:cs="宋体"/>
                <w:sz w:val="24"/>
                <w:szCs w:val="24"/>
                <w:lang w:eastAsia="zh-CN"/>
              </w:rPr>
              <w:t>，中标金额为40万元以下收取定额：3000元；中标金额为41万-500万：参照（计价格[2002]1980号）文件规定收费标准的</w:t>
            </w:r>
            <w:r>
              <w:rPr>
                <w:rFonts w:hint="eastAsia" w:ascii="宋体" w:hAnsi="宋体" w:cs="宋体"/>
                <w:sz w:val="24"/>
                <w:szCs w:val="24"/>
                <w:lang w:val="en-US" w:eastAsia="zh-CN"/>
              </w:rPr>
              <w:t>70</w:t>
            </w:r>
            <w:r>
              <w:rPr>
                <w:rFonts w:hint="eastAsia" w:ascii="宋体" w:hAnsi="宋体" w:cs="宋体"/>
                <w:sz w:val="24"/>
                <w:szCs w:val="24"/>
                <w:lang w:eastAsia="zh-CN"/>
              </w:rPr>
              <w:t>%计取</w:t>
            </w:r>
            <w:r>
              <w:rPr>
                <w:rFonts w:hint="eastAsia" w:ascii="宋体" w:hAnsi="宋体" w:cs="宋体"/>
                <w:sz w:val="24"/>
                <w:szCs w:val="24"/>
              </w:rPr>
              <w:t>；</w:t>
            </w:r>
            <w:r>
              <w:rPr>
                <w:rFonts w:hint="eastAsia" w:ascii="宋体" w:hAnsi="宋体" w:cs="宋体"/>
                <w:sz w:val="24"/>
                <w:szCs w:val="24"/>
                <w:lang w:eastAsia="zh-CN"/>
              </w:rPr>
              <w:t>中标金额为501万以上：参照（计价格[2002]1980号）文件规定收费标准的</w:t>
            </w:r>
            <w:r>
              <w:rPr>
                <w:rFonts w:hint="eastAsia" w:ascii="宋体" w:hAnsi="宋体" w:cs="宋体"/>
                <w:sz w:val="24"/>
                <w:szCs w:val="24"/>
                <w:lang w:val="en-US" w:eastAsia="zh-CN"/>
              </w:rPr>
              <w:t>50</w:t>
            </w:r>
            <w:r>
              <w:rPr>
                <w:rFonts w:hint="eastAsia" w:ascii="宋体" w:hAnsi="宋体" w:cs="宋体"/>
                <w:sz w:val="24"/>
                <w:szCs w:val="24"/>
                <w:lang w:eastAsia="zh-CN"/>
              </w:rPr>
              <w:t>%计取。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eastAsia" w:ascii="宋体" w:hAnsi="宋体" w:cs="宋体" w:eastAsiaTheme="minorEastAsia"/>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4</w:t>
            </w:r>
          </w:p>
        </w:tc>
        <w:tc>
          <w:tcPr>
            <w:tcW w:w="1336"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其他</w:t>
            </w:r>
          </w:p>
        </w:tc>
        <w:tc>
          <w:tcPr>
            <w:tcW w:w="7377" w:type="dxa"/>
            <w:vAlign w:val="center"/>
          </w:tcPr>
          <w:p>
            <w:pPr>
              <w:spacing w:line="560" w:lineRule="exact"/>
              <w:ind w:firstLine="480" w:firstLineChars="200"/>
              <w:jc w:val="left"/>
              <w:rPr>
                <w:rFonts w:ascii="宋体" w:hAnsi="宋体" w:cs="宋体"/>
                <w:sz w:val="24"/>
                <w:szCs w:val="24"/>
              </w:rPr>
            </w:pPr>
            <w:r>
              <w:rPr>
                <w:rFonts w:hint="eastAsia" w:ascii="宋体" w:hAnsi="宋体" w:cs="宋体"/>
                <w:sz w:val="24"/>
                <w:szCs w:val="24"/>
              </w:rPr>
              <w:t>凡是需要法定代表人签字或盖章之处，非法人单位的负责人均参照执行。</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本项目为非专门面向中小企业采购项目。</w:t>
            </w:r>
          </w:p>
        </w:tc>
      </w:tr>
    </w:tbl>
    <w:p>
      <w:pPr>
        <w:pStyle w:val="4"/>
        <w:keepLines w:val="0"/>
        <w:ind w:firstLine="643" w:firstLineChars="200"/>
        <w:rPr>
          <w:rFonts w:hint="eastAsia" w:ascii="宋体" w:hAnsi="宋体" w:cs="宋体"/>
        </w:rPr>
        <w:sectPr>
          <w:pgSz w:w="11906" w:h="16838"/>
          <w:pgMar w:top="1440" w:right="1706" w:bottom="1440" w:left="1800" w:header="851" w:footer="992" w:gutter="0"/>
          <w:cols w:space="720" w:num="1"/>
          <w:docGrid w:type="lines" w:linePitch="312" w:charSpace="0"/>
        </w:sectPr>
      </w:pPr>
      <w:bookmarkStart w:id="5" w:name="_Toc19272"/>
      <w:bookmarkStart w:id="6" w:name="_Toc24677"/>
    </w:p>
    <w:p>
      <w:pPr>
        <w:pStyle w:val="4"/>
        <w:keepLines w:val="0"/>
        <w:ind w:firstLine="643" w:firstLineChars="200"/>
        <w:rPr>
          <w:rFonts w:ascii="宋体" w:hAnsi="宋体" w:cs="宋体"/>
        </w:rPr>
      </w:pPr>
      <w:r>
        <w:rPr>
          <w:rFonts w:hint="eastAsia" w:ascii="宋体" w:hAnsi="宋体" w:cs="宋体"/>
        </w:rPr>
        <w:t>第三部分  供应商须知</w:t>
      </w:r>
      <w:bookmarkEnd w:id="5"/>
      <w:bookmarkEnd w:id="6"/>
    </w:p>
    <w:p>
      <w:pPr>
        <w:pStyle w:val="5"/>
        <w:numPr>
          <w:ilvl w:val="0"/>
          <w:numId w:val="8"/>
        </w:numPr>
        <w:rPr>
          <w:rFonts w:ascii="宋体" w:hAnsi="宋体" w:cs="宋体"/>
        </w:rPr>
      </w:pPr>
      <w:bookmarkStart w:id="7" w:name="_Toc15735"/>
      <w:bookmarkStart w:id="8" w:name="_Toc5649"/>
      <w:bookmarkStart w:id="9" w:name="_Toc26739"/>
      <w:r>
        <w:rPr>
          <w:rFonts w:hint="eastAsia" w:ascii="宋体" w:hAnsi="宋体" w:cs="宋体"/>
        </w:rPr>
        <w:t>总 则</w:t>
      </w:r>
      <w:bookmarkEnd w:id="7"/>
      <w:bookmarkEnd w:id="8"/>
      <w:bookmarkEnd w:id="9"/>
    </w:p>
    <w:p>
      <w:pPr>
        <w:pStyle w:val="6"/>
        <w:numPr>
          <w:ilvl w:val="0"/>
          <w:numId w:val="9"/>
        </w:numPr>
        <w:spacing w:line="500" w:lineRule="exact"/>
        <w:ind w:firstLine="643" w:firstLineChars="200"/>
        <w:rPr>
          <w:rFonts w:ascii="宋体" w:hAnsi="宋体" w:cs="宋体"/>
          <w:szCs w:val="28"/>
        </w:rPr>
      </w:pPr>
      <w:bookmarkStart w:id="10" w:name="_Toc358364319"/>
      <w:bookmarkStart w:id="11" w:name="_Toc380336725"/>
      <w:bookmarkStart w:id="12" w:name="_Toc9257"/>
      <w:bookmarkStart w:id="13" w:name="_Toc6742"/>
      <w:r>
        <w:rPr>
          <w:rFonts w:hint="eastAsia" w:ascii="宋体" w:hAnsi="宋体" w:cs="宋体"/>
          <w:szCs w:val="28"/>
        </w:rPr>
        <w:t>适用范围</w:t>
      </w:r>
      <w:bookmarkEnd w:id="10"/>
      <w:bookmarkEnd w:id="11"/>
      <w:bookmarkEnd w:id="12"/>
      <w:bookmarkEnd w:id="13"/>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 本谈判文件适用于本次采购活动的全过程。</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1.2 采购人、采购代理机构、供应商、谈判小组的相关行为均受《中华人民共和国政府采购法》及实施条例、财政部规章及政府采购项目所在地有关法规</w:t>
      </w:r>
      <w:r>
        <w:rPr>
          <w:rFonts w:hint="eastAsia" w:ascii="宋体" w:hAnsi="宋体" w:cs="宋体"/>
          <w:color w:val="000000"/>
          <w:kern w:val="0"/>
          <w:sz w:val="24"/>
          <w:szCs w:val="24"/>
        </w:rPr>
        <w:t>、规章</w:t>
      </w:r>
      <w:r>
        <w:rPr>
          <w:rFonts w:hint="eastAsia" w:ascii="宋体" w:hAnsi="宋体" w:cs="宋体"/>
          <w:kern w:val="0"/>
          <w:sz w:val="24"/>
          <w:szCs w:val="24"/>
        </w:rPr>
        <w:t>的约束，其权利受到上述法律法规的保护。</w:t>
      </w:r>
    </w:p>
    <w:p>
      <w:pPr>
        <w:pStyle w:val="6"/>
        <w:numPr>
          <w:ilvl w:val="0"/>
          <w:numId w:val="9"/>
        </w:numPr>
        <w:spacing w:line="500" w:lineRule="exact"/>
        <w:ind w:firstLine="643" w:firstLineChars="200"/>
        <w:rPr>
          <w:rFonts w:ascii="宋体" w:hAnsi="宋体" w:cs="宋体"/>
          <w:szCs w:val="28"/>
        </w:rPr>
      </w:pPr>
      <w:bookmarkStart w:id="14" w:name="_Toc358364321"/>
      <w:bookmarkStart w:id="15" w:name="_Toc380336727"/>
      <w:bookmarkStart w:id="16" w:name="_Toc17676"/>
      <w:bookmarkStart w:id="17" w:name="_Toc23781"/>
      <w:r>
        <w:rPr>
          <w:rFonts w:hint="eastAsia" w:ascii="宋体" w:hAnsi="宋体" w:cs="宋体"/>
          <w:szCs w:val="28"/>
        </w:rPr>
        <w:t>合格的</w:t>
      </w:r>
      <w:bookmarkEnd w:id="14"/>
      <w:bookmarkEnd w:id="15"/>
      <w:bookmarkEnd w:id="16"/>
      <w:bookmarkEnd w:id="17"/>
      <w:r>
        <w:rPr>
          <w:rFonts w:hint="eastAsia" w:ascii="宋体" w:hAnsi="宋体" w:cs="宋体"/>
          <w:szCs w:val="28"/>
        </w:rPr>
        <w:t>供应商</w:t>
      </w:r>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2.1供应商应遵守有关的国家法律、法规和条例，具备《中华人民共和国政府采购法》和本文件中规定的条件：</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法律、行政法规规定的其他条件。</w:t>
      </w:r>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2.2供应商应独立于采购人，不得直接或间接地与采购人为采购本次采购的货物进行设计、编制技术规格和其它文件所委托的咨询公司或其附属机构有任何关联。</w:t>
      </w:r>
    </w:p>
    <w:p>
      <w:pPr>
        <w:tabs>
          <w:tab w:val="left" w:pos="0"/>
        </w:tabs>
        <w:spacing w:line="500" w:lineRule="exact"/>
        <w:ind w:left="420" w:leftChars="200"/>
        <w:jc w:val="left"/>
        <w:rPr>
          <w:rFonts w:ascii="宋体" w:hAnsi="宋体" w:cs="宋体"/>
          <w:kern w:val="0"/>
          <w:sz w:val="24"/>
          <w:szCs w:val="24"/>
        </w:rPr>
      </w:pPr>
      <w:r>
        <w:rPr>
          <w:rFonts w:hint="eastAsia" w:ascii="宋体" w:hAnsi="宋体" w:cs="宋体"/>
          <w:kern w:val="0"/>
          <w:sz w:val="24"/>
          <w:szCs w:val="24"/>
        </w:rPr>
        <w:t>2.3供应商存在下列情形之一，其响应文件按无效文件处理。</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（1）与采购人采购代理机构存在隶属关系或者其他利害关系；</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（2）与参与同一合同项下的其他供应商的法定代表人（或者负责人）为同一人，或者与其他供应商存在直接控股、管理关系；</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color w:val="000000"/>
          <w:sz w:val="24"/>
          <w:szCs w:val="24"/>
        </w:rPr>
        <w:t>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cs="宋体"/>
          <w:kern w:val="0"/>
          <w:sz w:val="24"/>
          <w:szCs w:val="24"/>
        </w:rPr>
        <w:t>。</w:t>
      </w:r>
    </w:p>
    <w:p>
      <w:pPr>
        <w:tabs>
          <w:tab w:val="left" w:pos="0"/>
        </w:tabs>
        <w:spacing w:line="5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在谈判截止日前被列入失信被执行人、重大税收违法案件当事人名单、政府采购严重违法失信行为记录名单（处罚期限届满的除外）（以信用中国网（www.creditchina.gov.cn）、中国政府采购网（www.ccgp.gov.cn）查询结果为准。</w:t>
      </w:r>
    </w:p>
    <w:p>
      <w:pPr>
        <w:pStyle w:val="6"/>
        <w:numPr>
          <w:ilvl w:val="0"/>
          <w:numId w:val="9"/>
        </w:numPr>
        <w:spacing w:line="500" w:lineRule="exact"/>
        <w:ind w:firstLine="643" w:firstLineChars="200"/>
        <w:rPr>
          <w:rFonts w:ascii="宋体" w:hAnsi="宋体" w:cs="宋体"/>
          <w:szCs w:val="28"/>
        </w:rPr>
      </w:pPr>
      <w:bookmarkStart w:id="18" w:name="_Toc380336728"/>
      <w:bookmarkStart w:id="19" w:name="_Toc540"/>
      <w:bookmarkStart w:id="20" w:name="_Toc358364322"/>
      <w:bookmarkStart w:id="21" w:name="_Toc22444"/>
      <w:r>
        <w:rPr>
          <w:rFonts w:hint="eastAsia" w:ascii="宋体" w:hAnsi="宋体" w:cs="宋体"/>
          <w:szCs w:val="28"/>
        </w:rPr>
        <w:t>费用</w:t>
      </w:r>
      <w:bookmarkEnd w:id="18"/>
      <w:bookmarkEnd w:id="19"/>
      <w:bookmarkEnd w:id="20"/>
      <w:bookmarkEnd w:id="21"/>
    </w:p>
    <w:p>
      <w:pPr>
        <w:widowControl/>
        <w:spacing w:line="500" w:lineRule="exact"/>
        <w:ind w:firstLine="480" w:firstLineChars="200"/>
        <w:jc w:val="left"/>
        <w:rPr>
          <w:rFonts w:ascii="宋体" w:hAnsi="宋体" w:cs="宋体"/>
          <w:sz w:val="24"/>
          <w:szCs w:val="24"/>
        </w:rPr>
      </w:pPr>
      <w:bookmarkStart w:id="22" w:name="_Toc17817"/>
      <w:r>
        <w:rPr>
          <w:rFonts w:hint="eastAsia" w:ascii="宋体" w:hAnsi="宋体" w:cs="宋体"/>
          <w:sz w:val="24"/>
          <w:szCs w:val="24"/>
        </w:rPr>
        <w:t>供应商必须从代理机构购买谈判文件，供应商自行转让或复制谈判文件视为无效。谈判文件一经售出，一律不退，仅作为本次谈判使用。</w:t>
      </w:r>
    </w:p>
    <w:p>
      <w:pPr>
        <w:spacing w:line="360" w:lineRule="auto"/>
        <w:ind w:firstLine="480" w:firstLineChars="200"/>
        <w:jc w:val="left"/>
        <w:rPr>
          <w:rFonts w:ascii="宋体" w:hAnsi="宋体" w:cs="宋体"/>
          <w:sz w:val="24"/>
        </w:rPr>
      </w:pPr>
      <w:r>
        <w:rPr>
          <w:rFonts w:hint="eastAsia" w:ascii="宋体" w:hAnsi="宋体" w:cs="宋体"/>
          <w:sz w:val="24"/>
        </w:rPr>
        <w:t>无论采购过程和结果如何，供应商自行承担与采购有关的全部费用。</w:t>
      </w:r>
    </w:p>
    <w:bookmarkEnd w:id="22"/>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5"/>
        <w:numPr>
          <w:ilvl w:val="0"/>
          <w:numId w:val="8"/>
        </w:numPr>
        <w:rPr>
          <w:rFonts w:ascii="宋体" w:hAnsi="宋体" w:cs="宋体"/>
        </w:rPr>
      </w:pPr>
      <w:bookmarkStart w:id="23" w:name="_Toc13989"/>
      <w:r>
        <w:rPr>
          <w:rFonts w:hint="eastAsia" w:ascii="宋体" w:hAnsi="宋体" w:cs="宋体"/>
        </w:rPr>
        <w:t>竞争性谈判文件</w:t>
      </w:r>
      <w:bookmarkEnd w:id="23"/>
    </w:p>
    <w:p>
      <w:pPr>
        <w:pStyle w:val="6"/>
        <w:numPr>
          <w:ilvl w:val="0"/>
          <w:numId w:val="11"/>
        </w:numPr>
        <w:rPr>
          <w:rFonts w:ascii="宋体" w:hAnsi="宋体" w:eastAsia="宋体" w:cs="宋体"/>
        </w:rPr>
      </w:pPr>
      <w:bookmarkStart w:id="24" w:name="_Toc5801"/>
      <w:r>
        <w:rPr>
          <w:rFonts w:hint="eastAsia" w:ascii="宋体" w:hAnsi="宋体" w:eastAsia="宋体" w:cs="宋体"/>
        </w:rPr>
        <w:t>竞争性谈判文件的构成</w:t>
      </w:r>
      <w:bookmarkEnd w:id="24"/>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竞争性谈判文件是供应商准备响应文件和参加谈判的依据，同时也是评审的重要依据，具有准法律文件性质。本竞争性谈判文件包括以下内容：</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竞争性谈判公告；</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供应商须知前附表；</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供应商须知；</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评审标准；</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采购要求；</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合同主要条款；</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响应文件格式。</w:t>
      </w:r>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cs="宋体"/>
          <w:sz w:val="24"/>
          <w:szCs w:val="24"/>
        </w:rPr>
        <w:t>供应商应认真阅读谈判文件中所有的条款、事项、格式和技术规范、参数及要求等。供应商没有按照谈判文件要求提交全部资料，或者没有对谈判文件在各方面都做出实质性响应，将导致其谈判被拒绝或被认定为无效响应</w:t>
      </w:r>
      <w:r>
        <w:rPr>
          <w:rFonts w:hint="eastAsia" w:ascii="宋体" w:hAnsi="宋体" w:eastAsia="宋体" w:cs="宋体"/>
          <w:sz w:val="24"/>
        </w:rPr>
        <w:t>。</w:t>
      </w:r>
    </w:p>
    <w:p>
      <w:pPr>
        <w:pStyle w:val="6"/>
        <w:numPr>
          <w:ilvl w:val="0"/>
          <w:numId w:val="11"/>
        </w:numPr>
        <w:rPr>
          <w:rFonts w:ascii="宋体" w:hAnsi="宋体" w:eastAsia="宋体" w:cs="宋体"/>
        </w:rPr>
      </w:pPr>
      <w:bookmarkStart w:id="25" w:name="_Toc19797"/>
      <w:r>
        <w:rPr>
          <w:rFonts w:hint="eastAsia" w:ascii="宋体" w:hAnsi="宋体" w:eastAsia="宋体" w:cs="宋体"/>
        </w:rPr>
        <w:t>竞争性谈判文件的澄清</w:t>
      </w:r>
      <w:bookmarkEnd w:id="25"/>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应认真阅读和充分理解竞争性谈判文件中所有的事项，如有问题或疑议请及时函告。否则，视为同意竞争性谈判文件的一切条款和要求并承担由此引起的一切法律责任。凡因供应商对竞争性谈判文件阅读不深、理解不透、误解、疏漏、或因市场行情了解不清造成的后果和风险均由供应商</w:t>
      </w:r>
      <w:r>
        <w:rPr>
          <w:rFonts w:hint="eastAsia" w:ascii="宋体" w:hAnsi="宋体" w:cs="宋体"/>
          <w:sz w:val="24"/>
          <w:szCs w:val="24"/>
        </w:rPr>
        <w:t>自行承担</w:t>
      </w:r>
      <w:r>
        <w:rPr>
          <w:rFonts w:hint="eastAsia" w:ascii="宋体" w:hAnsi="宋体" w:eastAsia="宋体" w:cs="宋体"/>
          <w:sz w:val="24"/>
          <w:szCs w:val="24"/>
        </w:rPr>
        <w:t>。</w:t>
      </w:r>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cs="宋体"/>
          <w:sz w:val="24"/>
          <w:szCs w:val="24"/>
        </w:rPr>
        <w:t>任何对谈判文件进行询问的供应商，采购人或代理机构在3个工作日内对供应商依法提出的询问作出答复。</w:t>
      </w:r>
    </w:p>
    <w:p>
      <w:pPr>
        <w:pStyle w:val="6"/>
        <w:numPr>
          <w:ilvl w:val="0"/>
          <w:numId w:val="11"/>
        </w:numPr>
        <w:rPr>
          <w:rFonts w:ascii="宋体" w:hAnsi="宋体" w:eastAsia="宋体" w:cs="宋体"/>
        </w:rPr>
      </w:pPr>
      <w:bookmarkStart w:id="26" w:name="_Toc6390"/>
      <w:r>
        <w:rPr>
          <w:rFonts w:hint="eastAsia" w:ascii="宋体" w:hAnsi="宋体" w:eastAsia="宋体" w:cs="宋体"/>
        </w:rPr>
        <w:t>竞争性谈判文件的修改</w:t>
      </w:r>
      <w:bookmarkEnd w:id="26"/>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前，无论出于何种原因，代理机构可主动地或在解答供应商提出的澄清问题时，对竞争性谈判文件进行修改。竞争性谈判文件的澄清和修改将以书面形式通知所有供应商，并作为竞争性谈判文件的补充，与其具有同等法律效力。</w:t>
      </w:r>
    </w:p>
    <w:p>
      <w:pPr>
        <w:tabs>
          <w:tab w:val="left" w:pos="0"/>
        </w:tabs>
        <w:adjustRightInd w:val="0"/>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为方便供应商对竞争性谈判文件修改或澄清内容有充分的时间进行补充修改，代理机构可适当延长谈判截止时间和谈判时间，在竞争性谈判文件要求提交响应文件的截止期前，将变更时间书面通知所有购买竞争性谈判文件的供应商。</w:t>
      </w:r>
    </w:p>
    <w:p>
      <w:pPr>
        <w:pStyle w:val="6"/>
        <w:numPr>
          <w:ilvl w:val="0"/>
          <w:numId w:val="11"/>
        </w:numPr>
        <w:rPr>
          <w:rFonts w:ascii="宋体" w:hAnsi="宋体" w:eastAsia="宋体" w:cs="宋体"/>
        </w:rPr>
      </w:pPr>
      <w:bookmarkStart w:id="27" w:name="_Toc5095"/>
      <w:r>
        <w:rPr>
          <w:rFonts w:hint="eastAsia" w:ascii="宋体" w:hAnsi="宋体" w:eastAsia="宋体" w:cs="宋体"/>
        </w:rPr>
        <w:t>竞争性谈判文件的解释权归代理机构。</w:t>
      </w:r>
      <w:bookmarkEnd w:id="27"/>
    </w:p>
    <w:p>
      <w:pPr>
        <w:widowControl/>
        <w:numPr>
          <w:ilvl w:val="0"/>
          <w:numId w:val="13"/>
        </w:numPr>
        <w:spacing w:line="360" w:lineRule="auto"/>
        <w:ind w:firstLine="643" w:firstLineChars="200"/>
        <w:jc w:val="center"/>
        <w:outlineLvl w:val="1"/>
        <w:rPr>
          <w:rFonts w:ascii="宋体" w:hAnsi="宋体" w:eastAsia="宋体" w:cs="宋体"/>
          <w:b/>
          <w:bCs/>
          <w:kern w:val="0"/>
          <w:sz w:val="32"/>
          <w:szCs w:val="28"/>
        </w:rPr>
        <w:sectPr>
          <w:pgSz w:w="11906" w:h="16838"/>
          <w:pgMar w:top="1440" w:right="1706" w:bottom="1440" w:left="1800" w:header="851" w:footer="992" w:gutter="0"/>
          <w:cols w:space="720" w:num="1"/>
          <w:docGrid w:type="lines" w:linePitch="312" w:charSpace="0"/>
        </w:sectPr>
      </w:pPr>
    </w:p>
    <w:p>
      <w:pPr>
        <w:pStyle w:val="5"/>
        <w:numPr>
          <w:ilvl w:val="0"/>
          <w:numId w:val="8"/>
        </w:numPr>
        <w:rPr>
          <w:rFonts w:ascii="宋体" w:hAnsi="宋体" w:cs="宋体"/>
        </w:rPr>
      </w:pPr>
      <w:bookmarkStart w:id="28" w:name="_Toc12966"/>
      <w:r>
        <w:rPr>
          <w:rFonts w:hint="eastAsia" w:ascii="宋体" w:hAnsi="宋体" w:cs="宋体"/>
        </w:rPr>
        <w:t>响应文件</w:t>
      </w:r>
      <w:bookmarkEnd w:id="28"/>
    </w:p>
    <w:p>
      <w:pPr>
        <w:pStyle w:val="6"/>
        <w:numPr>
          <w:ilvl w:val="0"/>
          <w:numId w:val="14"/>
        </w:numPr>
        <w:rPr>
          <w:rFonts w:ascii="宋体" w:hAnsi="宋体" w:eastAsia="宋体" w:cs="宋体"/>
        </w:rPr>
      </w:pPr>
      <w:bookmarkStart w:id="29" w:name="_Toc17549"/>
      <w:r>
        <w:rPr>
          <w:rFonts w:hint="eastAsia" w:ascii="宋体" w:hAnsi="宋体" w:eastAsia="宋体" w:cs="宋体"/>
        </w:rPr>
        <w:t>响应文件的编制</w:t>
      </w:r>
      <w:bookmarkEnd w:id="29"/>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 xml:space="preserve"> 供应商需依据谈判文件内容和响应文件格式的要求编制响应文件，具体内容参见“第七部分 响应文件格式”。</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响应文件规格幅面（A4），</w:t>
      </w:r>
      <w:r>
        <w:rPr>
          <w:rFonts w:hint="eastAsia" w:ascii="宋体" w:hAnsi="宋体" w:cs="宋体"/>
          <w:b/>
          <w:bCs/>
          <w:sz w:val="24"/>
          <w:szCs w:val="24"/>
        </w:rPr>
        <w:t>推荐采用双面打印</w:t>
      </w:r>
      <w:r>
        <w:rPr>
          <w:rFonts w:hint="eastAsia" w:ascii="宋体" w:hAnsi="宋体" w:cs="宋体"/>
          <w:sz w:val="24"/>
          <w:szCs w:val="24"/>
        </w:rPr>
        <w:t>，按照谈判文件所规定的内容顺序，统一编目、编页码装订，由于编排混乱导致响应文件被误读或查找不到，其责任应当由供应商承担。装订必须采用胶装形式，不得采用活页装订，必须编排页码。</w:t>
      </w:r>
    </w:p>
    <w:p>
      <w:pPr>
        <w:pStyle w:val="6"/>
        <w:numPr>
          <w:ilvl w:val="0"/>
          <w:numId w:val="14"/>
        </w:numPr>
        <w:rPr>
          <w:rFonts w:ascii="宋体" w:hAnsi="宋体" w:eastAsia="宋体" w:cs="宋体"/>
        </w:rPr>
      </w:pPr>
      <w:bookmarkStart w:id="30" w:name="_Toc27646"/>
      <w:r>
        <w:rPr>
          <w:rFonts w:hint="eastAsia" w:ascii="宋体" w:hAnsi="宋体" w:eastAsia="宋体" w:cs="宋体"/>
        </w:rPr>
        <w:t>响应报价</w:t>
      </w:r>
      <w:bookmarkEnd w:id="30"/>
    </w:p>
    <w:p>
      <w:pPr>
        <w:spacing w:line="360" w:lineRule="auto"/>
        <w:ind w:firstLine="482" w:firstLineChars="200"/>
        <w:rPr>
          <w:rFonts w:ascii="宋体" w:hAnsi="宋体" w:cs="宋体"/>
        </w:rPr>
      </w:pPr>
      <w:bookmarkStart w:id="31" w:name="_Toc29200"/>
      <w:r>
        <w:rPr>
          <w:rFonts w:hint="eastAsia" w:ascii="宋体" w:hAnsi="宋体" w:cs="宋体"/>
          <w:b/>
          <w:bCs/>
          <w:sz w:val="24"/>
          <w:szCs w:val="24"/>
        </w:rPr>
        <w:t>详见供应商须知前附表。</w:t>
      </w:r>
    </w:p>
    <w:p>
      <w:pPr>
        <w:pStyle w:val="6"/>
        <w:numPr>
          <w:ilvl w:val="0"/>
          <w:numId w:val="14"/>
        </w:numPr>
        <w:rPr>
          <w:rFonts w:ascii="宋体" w:hAnsi="宋体" w:eastAsia="宋体" w:cs="宋体"/>
        </w:rPr>
      </w:pPr>
      <w:r>
        <w:rPr>
          <w:rFonts w:hint="eastAsia" w:ascii="宋体" w:hAnsi="宋体" w:eastAsia="宋体" w:cs="宋体"/>
        </w:rPr>
        <w:t>货币</w:t>
      </w:r>
      <w:bookmarkEnd w:id="31"/>
    </w:p>
    <w:p>
      <w:pPr>
        <w:spacing w:line="360" w:lineRule="auto"/>
        <w:ind w:firstLine="482" w:firstLineChars="200"/>
        <w:rPr>
          <w:rFonts w:ascii="宋体" w:hAnsi="宋体" w:cs="宋体"/>
        </w:rPr>
      </w:pPr>
      <w:bookmarkStart w:id="32" w:name="_Toc1311"/>
      <w:r>
        <w:rPr>
          <w:rFonts w:hint="eastAsia" w:ascii="宋体" w:hAnsi="宋体" w:cs="宋体"/>
          <w:b/>
          <w:bCs/>
          <w:sz w:val="24"/>
          <w:szCs w:val="24"/>
        </w:rPr>
        <w:t>详见供应商须知前附表。</w:t>
      </w:r>
    </w:p>
    <w:bookmarkEnd w:id="32"/>
    <w:p>
      <w:pPr>
        <w:pStyle w:val="6"/>
        <w:numPr>
          <w:ilvl w:val="0"/>
          <w:numId w:val="14"/>
        </w:numPr>
        <w:rPr>
          <w:rFonts w:ascii="宋体" w:hAnsi="宋体" w:eastAsia="宋体" w:cs="宋体"/>
        </w:rPr>
      </w:pPr>
      <w:r>
        <w:rPr>
          <w:rFonts w:hint="eastAsia" w:ascii="宋体" w:hAnsi="宋体" w:eastAsia="宋体" w:cs="宋体"/>
        </w:rPr>
        <w:t>响应保证金</w:t>
      </w:r>
    </w:p>
    <w:p>
      <w:pPr>
        <w:numPr>
          <w:ilvl w:val="0"/>
          <w:numId w:val="15"/>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rPr>
        <w:t>响应保证金按照供应商须知前附表要求缴纳。</w:t>
      </w:r>
    </w:p>
    <w:p>
      <w:pPr>
        <w:numPr>
          <w:ilvl w:val="0"/>
          <w:numId w:val="15"/>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供应商未按照竞争性谈判文件要求交纳响应保证金的或响应保证金的交付单位和供应商的名称必须一致，视为无效响应。</w:t>
      </w:r>
    </w:p>
    <w:p>
      <w:pPr>
        <w:numPr>
          <w:ilvl w:val="0"/>
          <w:numId w:val="15"/>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未成交供应商的响应保证金，在成交通知书发出后5个工作日内无息退还；成交供应商的响应保证金在合同签订后5个工作日内无息退还。</w:t>
      </w:r>
    </w:p>
    <w:p>
      <w:pPr>
        <w:numPr>
          <w:ilvl w:val="0"/>
          <w:numId w:val="15"/>
        </w:num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发生下列情形之一的，代理机构将不予退还供应商交纳的响应保证金：</w:t>
      </w:r>
    </w:p>
    <w:p>
      <w:pPr>
        <w:numPr>
          <w:ilvl w:val="0"/>
          <w:numId w:val="16"/>
        </w:numPr>
        <w:tabs>
          <w:tab w:val="left" w:pos="0"/>
        </w:tabs>
        <w:adjustRightInd w:val="0"/>
        <w:snapToGrid w:val="0"/>
        <w:spacing w:line="360" w:lineRule="auto"/>
        <w:ind w:left="6" w:firstLine="480" w:firstLineChars="200"/>
        <w:rPr>
          <w:rFonts w:ascii="宋体" w:hAnsi="宋体" w:eastAsia="宋体" w:cs="宋体"/>
          <w:sz w:val="24"/>
          <w:szCs w:val="24"/>
        </w:rPr>
      </w:pPr>
      <w:r>
        <w:rPr>
          <w:rFonts w:hint="eastAsia" w:ascii="宋体" w:hAnsi="宋体" w:eastAsia="宋体" w:cs="宋体"/>
          <w:sz w:val="24"/>
        </w:rPr>
        <w:t>谈判后在竞争性谈判文件规定的响应有效期间，供应商撤回其响应文件</w:t>
      </w:r>
      <w:r>
        <w:rPr>
          <w:rFonts w:hint="eastAsia" w:ascii="宋体" w:hAnsi="宋体" w:eastAsia="宋体" w:cs="宋体"/>
          <w:sz w:val="24"/>
          <w:szCs w:val="24"/>
        </w:rPr>
        <w:t>；</w:t>
      </w:r>
    </w:p>
    <w:p>
      <w:pPr>
        <w:numPr>
          <w:ilvl w:val="0"/>
          <w:numId w:val="16"/>
        </w:numPr>
        <w:adjustRightInd w:val="0"/>
        <w:snapToGrid w:val="0"/>
        <w:spacing w:line="360" w:lineRule="auto"/>
        <w:ind w:left="6" w:firstLine="480" w:firstLineChars="200"/>
        <w:rPr>
          <w:rFonts w:ascii="宋体" w:hAnsi="宋体" w:eastAsia="宋体" w:cs="宋体"/>
          <w:sz w:val="24"/>
          <w:szCs w:val="24"/>
        </w:rPr>
      </w:pPr>
      <w:r>
        <w:rPr>
          <w:rFonts w:hint="eastAsia" w:ascii="宋体" w:hAnsi="宋体" w:eastAsia="宋体" w:cs="宋体"/>
          <w:sz w:val="24"/>
          <w:szCs w:val="24"/>
        </w:rPr>
        <w:t>在采购人确定成交供应商以前放弃成交候选资格的；</w:t>
      </w:r>
    </w:p>
    <w:p>
      <w:pPr>
        <w:numPr>
          <w:ilvl w:val="0"/>
          <w:numId w:val="16"/>
        </w:numPr>
        <w:adjustRightInd w:val="0"/>
        <w:snapToGrid w:val="0"/>
        <w:spacing w:line="360" w:lineRule="auto"/>
        <w:ind w:left="6" w:firstLine="480" w:firstLineChars="200"/>
        <w:rPr>
          <w:rFonts w:ascii="宋体" w:hAnsi="宋体" w:eastAsia="宋体" w:cs="宋体"/>
          <w:sz w:val="24"/>
          <w:szCs w:val="24"/>
        </w:rPr>
      </w:pPr>
      <w:r>
        <w:rPr>
          <w:rFonts w:hint="eastAsia" w:ascii="宋体" w:hAnsi="宋体" w:eastAsia="宋体" w:cs="宋体"/>
          <w:sz w:val="24"/>
          <w:szCs w:val="24"/>
        </w:rPr>
        <w:t>由于成交供应商原因未能按照竞争性谈判文件的规定与采购人签订合同；</w:t>
      </w:r>
    </w:p>
    <w:p>
      <w:pPr>
        <w:numPr>
          <w:ilvl w:val="0"/>
          <w:numId w:val="16"/>
        </w:numPr>
        <w:adjustRightInd w:val="0"/>
        <w:snapToGrid w:val="0"/>
        <w:spacing w:line="360" w:lineRule="auto"/>
        <w:ind w:left="6" w:firstLine="480" w:firstLineChars="200"/>
        <w:rPr>
          <w:rFonts w:ascii="宋体" w:hAnsi="宋体" w:eastAsia="宋体" w:cs="宋体"/>
          <w:sz w:val="24"/>
          <w:szCs w:val="24"/>
        </w:rPr>
      </w:pPr>
      <w:r>
        <w:rPr>
          <w:rFonts w:hint="eastAsia" w:ascii="宋体" w:hAnsi="宋体" w:eastAsia="宋体" w:cs="宋体"/>
          <w:sz w:val="24"/>
          <w:szCs w:val="24"/>
        </w:rPr>
        <w:t>由于成交供应商原因未能按照竞争性谈判文件的规定交纳履约保证金；</w:t>
      </w:r>
    </w:p>
    <w:p>
      <w:pPr>
        <w:numPr>
          <w:ilvl w:val="0"/>
          <w:numId w:val="16"/>
        </w:numPr>
        <w:adjustRightInd w:val="0"/>
        <w:snapToGrid w:val="0"/>
        <w:spacing w:line="360" w:lineRule="auto"/>
        <w:ind w:left="5" w:firstLine="480" w:firstLineChars="200"/>
        <w:rPr>
          <w:rFonts w:ascii="宋体" w:hAnsi="宋体" w:eastAsia="宋体" w:cs="宋体"/>
          <w:sz w:val="24"/>
          <w:szCs w:val="24"/>
        </w:rPr>
      </w:pPr>
      <w:r>
        <w:rPr>
          <w:rFonts w:hint="eastAsia" w:ascii="宋体" w:hAnsi="宋体" w:eastAsia="宋体" w:cs="宋体"/>
          <w:sz w:val="24"/>
          <w:szCs w:val="24"/>
        </w:rPr>
        <w:t>响应有效期内，供应商在政府采购活动中有违法、违规、违纪行为。</w:t>
      </w:r>
    </w:p>
    <w:p>
      <w:pPr>
        <w:pStyle w:val="6"/>
        <w:numPr>
          <w:ilvl w:val="0"/>
          <w:numId w:val="14"/>
        </w:numPr>
        <w:rPr>
          <w:rFonts w:ascii="宋体" w:hAnsi="宋体" w:eastAsia="宋体" w:cs="宋体"/>
        </w:rPr>
      </w:pPr>
      <w:r>
        <w:rPr>
          <w:rFonts w:hint="eastAsia" w:ascii="宋体" w:hAnsi="宋体" w:eastAsia="宋体" w:cs="宋体"/>
        </w:rPr>
        <w:t>响应有效期</w:t>
      </w:r>
    </w:p>
    <w:p>
      <w:pPr>
        <w:adjustRightInd w:val="0"/>
        <w:snapToGrid w:val="0"/>
        <w:spacing w:line="500" w:lineRule="exact"/>
        <w:ind w:firstLine="480" w:firstLineChars="200"/>
        <w:rPr>
          <w:rFonts w:ascii="宋体" w:hAnsi="宋体" w:cs="宋体"/>
          <w:sz w:val="24"/>
          <w:szCs w:val="24"/>
        </w:rPr>
      </w:pPr>
      <w:bookmarkStart w:id="33" w:name="_Toc24827"/>
      <w:r>
        <w:rPr>
          <w:rFonts w:hint="eastAsia" w:ascii="宋体" w:hAnsi="宋体" w:cs="宋体"/>
          <w:sz w:val="24"/>
          <w:szCs w:val="24"/>
        </w:rPr>
        <w:t>响应有效期见供应商须知前附表，无响应有效期或响应有效期短于此规定期限的响应文件，视为无效文件，其谈判将被拒绝。</w:t>
      </w:r>
    </w:p>
    <w:p>
      <w:pPr>
        <w:pStyle w:val="6"/>
        <w:numPr>
          <w:ilvl w:val="0"/>
          <w:numId w:val="14"/>
        </w:numPr>
        <w:rPr>
          <w:rFonts w:ascii="宋体" w:hAnsi="宋体" w:eastAsia="宋体" w:cs="宋体"/>
          <w:szCs w:val="32"/>
        </w:rPr>
      </w:pPr>
      <w:r>
        <w:rPr>
          <w:rFonts w:hint="eastAsia" w:ascii="宋体" w:hAnsi="宋体" w:eastAsia="宋体" w:cs="宋体"/>
        </w:rPr>
        <w:t>响应文件的格式、装订、密封和签署</w:t>
      </w:r>
      <w:bookmarkEnd w:id="33"/>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6.1响应文件的装订</w:t>
      </w:r>
    </w:p>
    <w:p>
      <w:pPr>
        <w:spacing w:line="500" w:lineRule="exact"/>
        <w:ind w:firstLine="482" w:firstLineChars="200"/>
        <w:jc w:val="left"/>
        <w:rPr>
          <w:rFonts w:ascii="宋体" w:hAnsi="宋体" w:cs="宋体"/>
          <w:b/>
          <w:bCs/>
          <w:sz w:val="24"/>
          <w:szCs w:val="24"/>
        </w:rPr>
      </w:pPr>
      <w:r>
        <w:rPr>
          <w:rFonts w:hint="eastAsia" w:ascii="宋体" w:hAnsi="宋体" w:cs="宋体"/>
          <w:b/>
          <w:bCs/>
          <w:sz w:val="24"/>
          <w:szCs w:val="24"/>
        </w:rPr>
        <w:t>详见供应商须知前附表。</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6.2 响应文件的签署</w:t>
      </w:r>
    </w:p>
    <w:p>
      <w:pPr>
        <w:spacing w:line="500" w:lineRule="exact"/>
        <w:ind w:firstLine="482" w:firstLineChars="200"/>
        <w:jc w:val="left"/>
        <w:rPr>
          <w:rFonts w:ascii="宋体" w:hAnsi="宋体" w:cs="宋体"/>
          <w:kern w:val="0"/>
          <w:sz w:val="24"/>
          <w:szCs w:val="24"/>
        </w:rPr>
      </w:pPr>
      <w:r>
        <w:rPr>
          <w:rFonts w:hint="eastAsia" w:ascii="宋体" w:hAnsi="宋体" w:cs="宋体"/>
          <w:b/>
          <w:bCs/>
          <w:sz w:val="24"/>
          <w:szCs w:val="24"/>
        </w:rPr>
        <w:t>详见供应商须知前附表。</w:t>
      </w:r>
    </w:p>
    <w:p>
      <w:pPr>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6.3 响应文件的密封</w:t>
      </w:r>
    </w:p>
    <w:p>
      <w:pPr>
        <w:spacing w:line="500" w:lineRule="exact"/>
        <w:ind w:firstLine="482" w:firstLineChars="200"/>
        <w:jc w:val="left"/>
        <w:rPr>
          <w:rFonts w:ascii="宋体" w:hAnsi="宋体" w:cs="宋体"/>
        </w:rPr>
      </w:pPr>
      <w:r>
        <w:rPr>
          <w:rFonts w:hint="eastAsia" w:ascii="宋体" w:hAnsi="宋体" w:cs="宋体"/>
          <w:b/>
          <w:bCs/>
          <w:sz w:val="24"/>
          <w:szCs w:val="24"/>
        </w:rPr>
        <w:t>详见供应商须知前附表。</w:t>
      </w:r>
    </w:p>
    <w:p>
      <w:pPr>
        <w:widowControl/>
        <w:spacing w:line="360" w:lineRule="auto"/>
        <w:ind w:left="420" w:leftChars="200"/>
        <w:rPr>
          <w:rFonts w:ascii="宋体" w:hAnsi="宋体" w:eastAsia="宋体" w:cs="宋体"/>
          <w:kern w:val="0"/>
          <w:sz w:val="24"/>
        </w:rPr>
      </w:pPr>
    </w:p>
    <w:p>
      <w:pPr>
        <w:pStyle w:val="5"/>
        <w:numPr>
          <w:ilvl w:val="0"/>
          <w:numId w:val="8"/>
        </w:numPr>
        <w:rPr>
          <w:rFonts w:ascii="宋体" w:hAnsi="宋体" w:cs="宋体"/>
        </w:rPr>
        <w:sectPr>
          <w:footerReference r:id="rId9" w:type="default"/>
          <w:pgSz w:w="11906" w:h="16838"/>
          <w:pgMar w:top="1440" w:right="1803" w:bottom="1440" w:left="1803" w:header="851" w:footer="992" w:gutter="0"/>
          <w:cols w:space="720" w:num="1"/>
          <w:docGrid w:type="lines" w:linePitch="319" w:charSpace="0"/>
        </w:sectPr>
      </w:pPr>
      <w:bookmarkStart w:id="34" w:name="_Toc3565"/>
      <w:bookmarkStart w:id="35" w:name="_Toc3736"/>
    </w:p>
    <w:p>
      <w:pPr>
        <w:pStyle w:val="5"/>
        <w:numPr>
          <w:ilvl w:val="0"/>
          <w:numId w:val="8"/>
        </w:numPr>
        <w:rPr>
          <w:rFonts w:ascii="宋体" w:hAnsi="宋体" w:cs="宋体"/>
        </w:rPr>
      </w:pPr>
      <w:bookmarkStart w:id="36" w:name="_Toc17598"/>
      <w:r>
        <w:rPr>
          <w:rFonts w:hint="eastAsia" w:ascii="宋体" w:hAnsi="宋体" w:cs="宋体"/>
        </w:rPr>
        <w:t>响应文件的递交</w:t>
      </w:r>
      <w:bookmarkEnd w:id="34"/>
      <w:bookmarkEnd w:id="36"/>
    </w:p>
    <w:bookmarkEnd w:id="35"/>
    <w:p>
      <w:pPr>
        <w:pStyle w:val="6"/>
        <w:numPr>
          <w:ilvl w:val="0"/>
          <w:numId w:val="17"/>
        </w:numPr>
        <w:rPr>
          <w:rFonts w:ascii="宋体" w:hAnsi="宋体" w:eastAsia="宋体" w:cs="宋体"/>
        </w:rPr>
      </w:pPr>
      <w:bookmarkStart w:id="37" w:name="_Toc3685"/>
      <w:r>
        <w:rPr>
          <w:rFonts w:hint="eastAsia" w:ascii="宋体" w:hAnsi="宋体" w:eastAsia="宋体" w:cs="宋体"/>
        </w:rPr>
        <w:t>响应文件递交</w:t>
      </w:r>
      <w:bookmarkEnd w:id="37"/>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1.1 供应商应当在谈判文件要求提交响应文件的截止时间前，将响应文件密封送达响应地点。采购代理机构收到响应文件后，应当如实记载响应文件的送达时间和密封情况，签收保存，并向供应商出具签收回执。任何单位和个人不得在谈判前开启响应文件。代理机构项目承办人在谈判文件规定的响应文件递交截止时间前，只负责响应文件的接收、清点、造册登记工作，并请供应商代表签字确认，对其有效性不负任何责任。</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1.2逾期送达或者未按照谈判文件要求密封的响应文件，采购代理机构应当拒收。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1.3代理机构不接受邮寄的响应文件。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1.4 无论供应商成交与否，其响应文件恕不退还。</w:t>
      </w:r>
    </w:p>
    <w:p/>
    <w:p>
      <w:pPr>
        <w:pStyle w:val="6"/>
        <w:numPr>
          <w:ilvl w:val="0"/>
          <w:numId w:val="17"/>
        </w:numPr>
        <w:rPr>
          <w:rFonts w:ascii="宋体" w:hAnsi="宋体" w:eastAsia="宋体" w:cs="宋体"/>
        </w:rPr>
      </w:pPr>
      <w:bookmarkStart w:id="38" w:name="_Toc12741"/>
      <w:r>
        <w:rPr>
          <w:rFonts w:hint="eastAsia" w:ascii="宋体" w:hAnsi="宋体" w:eastAsia="宋体" w:cs="宋体"/>
        </w:rPr>
        <w:t>响应文件的修改和撤回</w:t>
      </w:r>
      <w:bookmarkEnd w:id="38"/>
    </w:p>
    <w:p>
      <w:pPr>
        <w:widowControl/>
        <w:tabs>
          <w:tab w:val="left" w:pos="0"/>
        </w:tabs>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在谈判截止时间之后，供应商不得对其递交的响应文件做任何修改或撤回。</w:t>
      </w:r>
    </w:p>
    <w:p>
      <w:pPr>
        <w:pStyle w:val="5"/>
        <w:numPr>
          <w:ilvl w:val="0"/>
          <w:numId w:val="8"/>
        </w:numPr>
        <w:rPr>
          <w:rFonts w:ascii="宋体" w:hAnsi="宋体" w:cs="宋体"/>
        </w:rPr>
      </w:pPr>
      <w:bookmarkStart w:id="39" w:name="_Toc1390"/>
      <w:bookmarkStart w:id="40" w:name="_Toc27066"/>
      <w:bookmarkStart w:id="41" w:name="_Toc14415"/>
      <w:r>
        <w:rPr>
          <w:rFonts w:hint="eastAsia" w:ascii="宋体" w:hAnsi="宋体" w:cs="宋体"/>
        </w:rPr>
        <w:t>谈判、评审、定标</w:t>
      </w:r>
      <w:bookmarkEnd w:id="39"/>
      <w:bookmarkEnd w:id="40"/>
      <w:bookmarkEnd w:id="41"/>
    </w:p>
    <w:p>
      <w:pPr>
        <w:pStyle w:val="6"/>
        <w:numPr>
          <w:ilvl w:val="0"/>
          <w:numId w:val="18"/>
        </w:numPr>
        <w:rPr>
          <w:rFonts w:ascii="宋体" w:hAnsi="宋体" w:eastAsia="宋体" w:cs="宋体"/>
        </w:rPr>
      </w:pPr>
      <w:r>
        <w:rPr>
          <w:rFonts w:hint="eastAsia" w:ascii="宋体" w:hAnsi="宋体" w:eastAsia="宋体" w:cs="宋体"/>
        </w:rPr>
        <w:t>谈判</w:t>
      </w:r>
    </w:p>
    <w:p>
      <w:pPr>
        <w:widowControl/>
        <w:tabs>
          <w:tab w:val="left" w:pos="0"/>
        </w:tabs>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 采购代理机构按谈判公告中规定的时间和地点接收供应商递交的响应文件，主持谈判会议，邀请供应商代表参加。</w:t>
      </w:r>
    </w:p>
    <w:p>
      <w:pPr>
        <w:widowControl/>
        <w:tabs>
          <w:tab w:val="left" w:pos="0"/>
        </w:tabs>
        <w:spacing w:line="500" w:lineRule="exact"/>
        <w:ind w:firstLine="480" w:firstLineChars="200"/>
        <w:jc w:val="left"/>
        <w:rPr>
          <w:rFonts w:ascii="宋体" w:hAnsi="宋体" w:eastAsia="宋体" w:cs="宋体"/>
          <w:sz w:val="24"/>
        </w:rPr>
      </w:pPr>
      <w:r>
        <w:rPr>
          <w:rFonts w:hint="eastAsia" w:ascii="宋体" w:hAnsi="宋体" w:eastAsia="宋体" w:cs="宋体"/>
          <w:sz w:val="24"/>
          <w:szCs w:val="24"/>
        </w:rPr>
        <w:t>1.2 谈判时，由供应商或者其推选的代表检查响应文件的密封情况；经确认无误后，由采购代理机构工作人员拆封。代理机构指定专人负责将供应商的名称、谈判项目名称、响应价格等进行记录，并存档备案。</w:t>
      </w:r>
    </w:p>
    <w:p>
      <w:pPr>
        <w:tabs>
          <w:tab w:val="left" w:pos="0"/>
        </w:tabs>
        <w:spacing w:line="360" w:lineRule="auto"/>
        <w:ind w:left="420"/>
        <w:jc w:val="left"/>
        <w:rPr>
          <w:rFonts w:ascii="宋体" w:hAnsi="宋体" w:eastAsia="宋体" w:cs="宋体"/>
          <w:kern w:val="0"/>
          <w:sz w:val="24"/>
        </w:rPr>
      </w:pPr>
      <w:r>
        <w:rPr>
          <w:rFonts w:hint="eastAsia" w:ascii="宋体" w:hAnsi="宋体" w:eastAsia="宋体" w:cs="宋体"/>
          <w:kern w:val="0"/>
          <w:sz w:val="24"/>
        </w:rPr>
        <w:t>1.3谈判时，响应文件中出现下列情况，修正原则为：</w:t>
      </w:r>
    </w:p>
    <w:p>
      <w:pPr>
        <w:numPr>
          <w:ilvl w:val="0"/>
          <w:numId w:val="19"/>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谈判文件中响应一览表（报价表）内容与响应文件中相应内容不一致的，以响应一览表（报价表）为准；</w:t>
      </w:r>
    </w:p>
    <w:p>
      <w:pPr>
        <w:numPr>
          <w:ilvl w:val="0"/>
          <w:numId w:val="19"/>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大写金额和小写金额不一致的，以大写金额为准；</w:t>
      </w:r>
    </w:p>
    <w:p>
      <w:pPr>
        <w:numPr>
          <w:ilvl w:val="0"/>
          <w:numId w:val="19"/>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单价金额小数点或者百分比有明显错位的，以响应一览表的总价为准，并修改单价；</w:t>
      </w:r>
    </w:p>
    <w:p>
      <w:pPr>
        <w:numPr>
          <w:ilvl w:val="0"/>
          <w:numId w:val="19"/>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 xml:space="preserve">总价金额与按单价汇总金额不一致的，以单价金额计算结果为准； </w:t>
      </w:r>
    </w:p>
    <w:p>
      <w:pPr>
        <w:numPr>
          <w:ilvl w:val="0"/>
          <w:numId w:val="19"/>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响应文件正本与副本不一致的，以正本为准；</w:t>
      </w:r>
    </w:p>
    <w:p>
      <w:pPr>
        <w:numPr>
          <w:ilvl w:val="0"/>
          <w:numId w:val="19"/>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响应文件单独密封递交的响应一览表与正本不一致的，以单独密封递交的响应一览表为准；</w:t>
      </w:r>
    </w:p>
    <w:p>
      <w:pPr>
        <w:spacing w:line="50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同时出现两种以上不一致的，按照前款规定的顺序修正。修正后的报价按照《政府采购货物和服务招标投标管理办法》第五十一条第二款的规定经供应商确认后产生约束力，供应商不确认的，其响应无效。</w:t>
      </w:r>
    </w:p>
    <w:p>
      <w:pPr>
        <w:pStyle w:val="6"/>
        <w:numPr>
          <w:ilvl w:val="0"/>
          <w:numId w:val="18"/>
        </w:numPr>
        <w:rPr>
          <w:rFonts w:ascii="宋体" w:hAnsi="宋体" w:eastAsia="宋体" w:cs="宋体"/>
        </w:rPr>
      </w:pPr>
      <w:r>
        <w:rPr>
          <w:rFonts w:hint="eastAsia" w:ascii="宋体" w:hAnsi="宋体" w:eastAsia="宋体" w:cs="宋体"/>
        </w:rPr>
        <w:t>谈判小组</w:t>
      </w:r>
    </w:p>
    <w:p>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采购人将根据本次采购项目的特点，参照《中华人民共和国政府采购法》等有关规定组建谈判小组。</w:t>
      </w:r>
    </w:p>
    <w:p>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谈判小组由采购人代表和有关技术、经济等方面的专家组成，谈判小组产生方式符合国家和地方有关评审专家产生方式的规定。谈判小组负责评审活动。</w:t>
      </w:r>
    </w:p>
    <w:p>
      <w:pPr>
        <w:widowControl/>
        <w:spacing w:line="360" w:lineRule="auto"/>
        <w:ind w:firstLine="480" w:firstLineChars="200"/>
        <w:rPr>
          <w:rFonts w:ascii="宋体" w:hAnsi="宋体" w:eastAsia="宋体" w:cs="宋体"/>
          <w:b/>
          <w:sz w:val="24"/>
          <w:szCs w:val="24"/>
        </w:rPr>
      </w:pPr>
      <w:r>
        <w:rPr>
          <w:rFonts w:hint="eastAsia" w:ascii="宋体" w:hAnsi="宋体" w:eastAsia="宋体" w:cs="宋体"/>
          <w:kern w:val="0"/>
          <w:sz w:val="24"/>
        </w:rPr>
        <w:t>谈判小组对各供应商的响应文件进行审查、评估和比较，并推荐成交候选人。</w:t>
      </w:r>
    </w:p>
    <w:p>
      <w:pPr>
        <w:pStyle w:val="6"/>
        <w:numPr>
          <w:ilvl w:val="0"/>
          <w:numId w:val="18"/>
        </w:numPr>
        <w:rPr>
          <w:rFonts w:ascii="宋体" w:hAnsi="宋体" w:eastAsia="宋体" w:cs="宋体"/>
        </w:rPr>
      </w:pPr>
      <w:bookmarkStart w:id="42" w:name="_Toc386129876"/>
      <w:bookmarkStart w:id="43" w:name="_Toc27940"/>
      <w:bookmarkStart w:id="44" w:name="_Toc385958808"/>
      <w:bookmarkStart w:id="45" w:name="_Toc28085"/>
      <w:r>
        <w:rPr>
          <w:rFonts w:hint="eastAsia" w:ascii="宋体" w:hAnsi="宋体" w:eastAsia="宋体" w:cs="宋体"/>
        </w:rPr>
        <w:t>响应文件初审</w:t>
      </w:r>
      <w:bookmarkEnd w:id="42"/>
      <w:bookmarkEnd w:id="43"/>
      <w:bookmarkEnd w:id="44"/>
      <w:bookmarkEnd w:id="45"/>
    </w:p>
    <w:p>
      <w:pPr>
        <w:numPr>
          <w:ilvl w:val="0"/>
          <w:numId w:val="20"/>
        </w:numPr>
        <w:overflowPunct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响应文件的资格性审查</w:t>
      </w:r>
    </w:p>
    <w:p>
      <w:pPr>
        <w:overflowPunct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依据法律法规和竞争性谈判文件的规定，对响应文件中的资格证明文件等进行审查，以确保供应商是否具备相应资格。</w:t>
      </w:r>
    </w:p>
    <w:p>
      <w:pPr>
        <w:numPr>
          <w:ilvl w:val="0"/>
          <w:numId w:val="20"/>
        </w:numPr>
        <w:overflowPunct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响应文件符合性审查</w:t>
      </w:r>
    </w:p>
    <w:p>
      <w:pPr>
        <w:pStyle w:val="3"/>
        <w:snapToGrid w:val="0"/>
        <w:spacing w:line="360" w:lineRule="auto"/>
        <w:ind w:firstLine="480" w:firstLineChars="200"/>
        <w:rPr>
          <w:rFonts w:hAnsi="宋体" w:cs="宋体"/>
          <w:kern w:val="0"/>
          <w:sz w:val="24"/>
          <w:szCs w:val="24"/>
        </w:rPr>
      </w:pPr>
      <w:r>
        <w:rPr>
          <w:rFonts w:hint="eastAsia" w:hAnsi="宋体" w:cs="宋体"/>
          <w:color w:val="000000"/>
          <w:kern w:val="0"/>
          <w:sz w:val="24"/>
          <w:szCs w:val="24"/>
        </w:rPr>
        <w:t>谈判小组应当对符合资格的供应商的响应文件进行符合性审查，以确定其是否满足谈判文件的实质性要求。符合性审查内容详见供应商须知前附表。</w:t>
      </w:r>
    </w:p>
    <w:p>
      <w:pPr>
        <w:overflowPunct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（3）有下列情形之一的，视为供应商串通响应，其响应无效：</w:t>
      </w:r>
    </w:p>
    <w:p>
      <w:pPr>
        <w:pStyle w:val="18"/>
        <w:spacing w:after="210" w:afterAutospacing="0" w:line="27" w:lineRule="atLeast"/>
        <w:jc w:val="both"/>
      </w:pPr>
      <w:r>
        <w:rPr>
          <w:rFonts w:hint="eastAsia"/>
        </w:rPr>
        <w:t>　　（一）不同供应商的响应文件由同一单位或者个人编制；</w:t>
      </w:r>
    </w:p>
    <w:p>
      <w:pPr>
        <w:pStyle w:val="18"/>
        <w:spacing w:after="210" w:afterAutospacing="0" w:line="27" w:lineRule="atLeast"/>
        <w:jc w:val="both"/>
      </w:pPr>
      <w:r>
        <w:rPr>
          <w:rFonts w:hint="eastAsia"/>
        </w:rPr>
        <w:t>　　（二）不同供应商委托同一单位或者个人办理投标事宜；</w:t>
      </w:r>
    </w:p>
    <w:p>
      <w:pPr>
        <w:pStyle w:val="18"/>
        <w:spacing w:after="210" w:afterAutospacing="0" w:line="27" w:lineRule="atLeast"/>
        <w:jc w:val="both"/>
      </w:pPr>
      <w:r>
        <w:rPr>
          <w:rFonts w:hint="eastAsia"/>
        </w:rPr>
        <w:t>　　（三）不同供应商的响应文件载明的项目管理成员或者联系人员为同一人；</w:t>
      </w:r>
    </w:p>
    <w:p>
      <w:pPr>
        <w:pStyle w:val="18"/>
        <w:spacing w:after="210" w:afterAutospacing="0" w:line="27" w:lineRule="atLeast"/>
        <w:jc w:val="both"/>
      </w:pPr>
      <w:r>
        <w:rPr>
          <w:rFonts w:hint="eastAsia"/>
        </w:rPr>
        <w:t>　　（四）不同供应商的响应文件异常一致或者投标报价呈规律性差异；</w:t>
      </w:r>
    </w:p>
    <w:p>
      <w:pPr>
        <w:pStyle w:val="18"/>
        <w:spacing w:after="210" w:afterAutospacing="0" w:line="27" w:lineRule="atLeast"/>
        <w:jc w:val="both"/>
      </w:pPr>
      <w:r>
        <w:rPr>
          <w:rFonts w:hint="eastAsia"/>
        </w:rPr>
        <w:t>　　（五）不同供应商的响应文件相互混装；</w:t>
      </w:r>
    </w:p>
    <w:p>
      <w:pPr>
        <w:overflowPunct w:val="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（六）不同供应商的投标保证金从同一单位或者个人的账户转出。</w:t>
      </w:r>
    </w:p>
    <w:p>
      <w:p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（4）对通过审查的，被认为其响应文件完整、合格，响应有效，可进入下阶段的谈判。</w:t>
      </w:r>
    </w:p>
    <w:p>
      <w:pPr>
        <w:pStyle w:val="6"/>
        <w:numPr>
          <w:ilvl w:val="0"/>
          <w:numId w:val="18"/>
        </w:numPr>
        <w:rPr>
          <w:rFonts w:ascii="宋体" w:hAnsi="宋体" w:eastAsia="宋体" w:cs="宋体"/>
        </w:rPr>
      </w:pPr>
      <w:bookmarkStart w:id="46" w:name="_Toc17705"/>
      <w:r>
        <w:rPr>
          <w:rFonts w:hint="eastAsia" w:ascii="宋体" w:hAnsi="宋体" w:eastAsia="宋体" w:cs="宋体"/>
        </w:rPr>
        <w:t>响应文件澄清</w:t>
      </w:r>
      <w:bookmarkEnd w:id="46"/>
    </w:p>
    <w:p>
      <w:pPr>
        <w:overflowPunct w:val="0"/>
        <w:adjustRightInd w:val="0"/>
        <w:snapToGrid w:val="0"/>
        <w:spacing w:line="360" w:lineRule="auto"/>
        <w:ind w:firstLine="480" w:firstLineChars="200"/>
        <w:rPr>
          <w:rFonts w:ascii="宋体" w:hAnsi="宋体" w:eastAsia="宋体" w:cs="宋体"/>
          <w:sz w:val="24"/>
        </w:rPr>
      </w:pPr>
      <w:bookmarkStart w:id="47" w:name="_Toc8353"/>
      <w:r>
        <w:rPr>
          <w:rFonts w:hint="eastAsia" w:ascii="宋体" w:hAnsi="宋体" w:eastAsia="宋体" w:cs="宋体"/>
          <w:sz w:val="24"/>
        </w:rPr>
        <w:t>在评审期间,采购代理机构可根据谈判小组对其响应文件有疑义不清楚的内容，要求供应商对其响应文件进行澄清，有关澄清的要求和答复应以书面形式提交，</w:t>
      </w:r>
      <w:r>
        <w:rPr>
          <w:rFonts w:hint="eastAsia" w:ascii="宋体" w:hAnsi="宋体" w:eastAsia="宋体" w:cs="宋体"/>
          <w:sz w:val="24"/>
          <w:szCs w:val="24"/>
        </w:rPr>
        <w:t>如谈判小组未变动实质性采购需求，供应商</w:t>
      </w:r>
      <w:r>
        <w:rPr>
          <w:rFonts w:hint="eastAsia" w:ascii="宋体" w:hAnsi="宋体" w:eastAsia="宋体" w:cs="宋体"/>
          <w:sz w:val="24"/>
        </w:rPr>
        <w:t>不得对实质性内容进行变动。</w:t>
      </w:r>
    </w:p>
    <w:p>
      <w:pPr>
        <w:spacing w:line="360" w:lineRule="auto"/>
        <w:ind w:firstLine="480" w:firstLineChars="200"/>
        <w:rPr>
          <w:rFonts w:ascii="宋体" w:hAnsi="宋体" w:eastAsia="宋体" w:cs="宋体"/>
          <w:kern w:val="0"/>
          <w:sz w:val="32"/>
          <w:szCs w:val="32"/>
        </w:rPr>
      </w:pPr>
      <w:r>
        <w:rPr>
          <w:rFonts w:hint="eastAsia" w:ascii="宋体" w:hAnsi="宋体" w:eastAsia="宋体" w:cs="宋体"/>
          <w:sz w:val="24"/>
        </w:rPr>
        <w:t>供应商应采用书面形式进行澄清或说明，但不得超出响应文件的范围或改变响应文件的实质性内容。</w:t>
      </w:r>
    </w:p>
    <w:p>
      <w:pPr>
        <w:pStyle w:val="6"/>
        <w:numPr>
          <w:ilvl w:val="0"/>
          <w:numId w:val="18"/>
        </w:numPr>
        <w:rPr>
          <w:rFonts w:ascii="宋体" w:hAnsi="宋体" w:eastAsia="宋体" w:cs="宋体"/>
        </w:rPr>
      </w:pPr>
      <w:r>
        <w:rPr>
          <w:rFonts w:hint="eastAsia" w:ascii="宋体" w:hAnsi="宋体" w:eastAsia="宋体" w:cs="宋体"/>
        </w:rPr>
        <w:t>评</w:t>
      </w:r>
      <w:bookmarkEnd w:id="47"/>
      <w:r>
        <w:rPr>
          <w:rFonts w:hint="eastAsia" w:ascii="宋体" w:hAnsi="宋体" w:eastAsia="宋体" w:cs="宋体"/>
        </w:rPr>
        <w:t>审</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5.1、谈判小组有权对在谈判、评审过程中出现的一切问题，根据《中华人民共和国政府采购法》和《政府采购非招标采购方式管理办法》的条款，本着公开、公平、公正的原则进行处理。</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5.2、依据《中华人民共和国政府采购法》和《中华人民共和国政府采购法实施条例》的有关规定，落实政府采购“优先购买节能环保产品，扶持小微企业、监狱企业、福利企业”等相关政策，对小型、微型和监狱企业产品的价格给予6%的扣除，用扣除后的价格参与评审。</w:t>
      </w:r>
    </w:p>
    <w:p>
      <w:pPr>
        <w:spacing w:line="360" w:lineRule="auto"/>
        <w:ind w:firstLine="480" w:firstLineChars="200"/>
        <w:rPr>
          <w:rFonts w:ascii="宋体" w:hAnsi="宋体" w:eastAsia="宋体" w:cs="宋体"/>
          <w:sz w:val="24"/>
        </w:rPr>
      </w:pPr>
      <w:r>
        <w:rPr>
          <w:rFonts w:hint="eastAsia" w:ascii="宋体" w:hAnsi="宋体" w:eastAsia="宋体" w:cs="宋体"/>
          <w:sz w:val="24"/>
        </w:rPr>
        <w:t>5.3、谈判流程</w:t>
      </w:r>
    </w:p>
    <w:p>
      <w:pPr>
        <w:spacing w:line="360" w:lineRule="auto"/>
        <w:ind w:firstLine="480" w:firstLineChars="200"/>
        <w:rPr>
          <w:rFonts w:ascii="宋体" w:hAnsi="宋体" w:eastAsia="宋体" w:cs="宋体"/>
          <w:sz w:val="24"/>
        </w:rPr>
      </w:pPr>
      <w:r>
        <w:rPr>
          <w:rFonts w:hint="eastAsia" w:ascii="宋体" w:hAnsi="宋体" w:eastAsia="宋体" w:cs="宋体"/>
          <w:sz w:val="24"/>
        </w:rPr>
        <w:t>只有通过</w:t>
      </w:r>
      <w:r>
        <w:rPr>
          <w:rFonts w:hint="eastAsia" w:ascii="宋体" w:hAnsi="宋体" w:eastAsia="宋体" w:cs="宋体"/>
          <w:sz w:val="24"/>
          <w:lang w:eastAsia="zh-CN"/>
        </w:rPr>
        <w:t>资格性审查和</w:t>
      </w:r>
      <w:r>
        <w:rPr>
          <w:rFonts w:hint="eastAsia" w:ascii="宋体" w:hAnsi="宋体" w:eastAsia="宋体" w:cs="宋体"/>
          <w:sz w:val="24"/>
        </w:rPr>
        <w:t>符合性审查的供应商，才能进入第二阶段的谈判，否则被淘汰。</w:t>
      </w:r>
    </w:p>
    <w:p>
      <w:pPr>
        <w:spacing w:line="360" w:lineRule="auto"/>
        <w:ind w:firstLine="600" w:firstLineChars="250"/>
        <w:rPr>
          <w:rFonts w:ascii="宋体" w:hAnsi="宋体" w:eastAsia="宋体" w:cs="宋体"/>
          <w:sz w:val="24"/>
        </w:rPr>
      </w:pPr>
      <w:r>
        <w:rPr>
          <w:rFonts w:hint="eastAsia" w:ascii="宋体" w:hAnsi="宋体" w:eastAsia="宋体" w:cs="宋体"/>
          <w:sz w:val="24"/>
        </w:rPr>
        <w:t>谈判小组所有成员集中与单一供应商分别进行谈判（谈判轮次为一轮），并给予所有参加谈判的供应商平等的谈判机会。在谈判过程中，谈判小组可以根据谈判文件和谈判情况实质性变动采购需求中的技术、服务要求以及合同草案条款，但不得变动谈判文件中的其他内容。实质性变动的内容，须经采购人代表确认。</w:t>
      </w:r>
    </w:p>
    <w:p>
      <w:pPr>
        <w:spacing w:line="360" w:lineRule="auto"/>
        <w:ind w:firstLine="480" w:firstLineChars="200"/>
        <w:rPr>
          <w:rFonts w:ascii="宋体" w:hAnsi="宋体" w:eastAsia="宋体" w:cs="宋体"/>
          <w:sz w:val="24"/>
        </w:rPr>
      </w:pPr>
      <w:r>
        <w:rPr>
          <w:rFonts w:hint="eastAsia" w:ascii="宋体" w:hAnsi="宋体" w:eastAsia="宋体" w:cs="宋体"/>
          <w:sz w:val="24"/>
        </w:rPr>
        <w:t>5.4、</w:t>
      </w:r>
      <w:r>
        <w:rPr>
          <w:rFonts w:hint="eastAsia" w:ascii="宋体" w:hAnsi="宋体" w:eastAsia="宋体" w:cs="宋体"/>
          <w:color w:val="000000"/>
          <w:kern w:val="0"/>
          <w:sz w:val="24"/>
          <w:szCs w:val="24"/>
        </w:rPr>
        <w:t>谈判小组</w:t>
      </w:r>
      <w:r>
        <w:rPr>
          <w:rFonts w:hint="eastAsia" w:ascii="宋体" w:hAnsi="宋体" w:cs="宋体"/>
          <w:color w:val="000000"/>
          <w:kern w:val="0"/>
          <w:sz w:val="24"/>
          <w:szCs w:val="24"/>
        </w:rPr>
        <w:t>认为供应商的报价明显低于</w:t>
      </w:r>
      <w:r>
        <w:rPr>
          <w:rFonts w:hint="eastAsia" w:ascii="宋体" w:hAnsi="宋体" w:cs="宋体"/>
          <w:color w:val="000000"/>
          <w:sz w:val="24"/>
          <w:szCs w:val="24"/>
        </w:rPr>
        <w:t>其他通过符合性审查供应商的报价，有可能影响产品质量或者不能诚信履约的，将要求该供应商在评审现场合理的时间内提供书面说明，必要时提交相关证明材料；供应商不能证明其报价合理性的，谈判小组应当将其作为无效响应处理</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5.5、对谈判文件作出的实质性变动是谈判文件的有效组成部分，谈判小组应当及时以书面形式同时通知所有参加谈判的供应商。</w:t>
      </w:r>
    </w:p>
    <w:p>
      <w:pPr>
        <w:spacing w:line="360" w:lineRule="auto"/>
        <w:ind w:firstLine="480" w:firstLineChars="200"/>
        <w:rPr>
          <w:rFonts w:ascii="宋体" w:hAnsi="宋体" w:eastAsia="宋体" w:cs="宋体"/>
          <w:sz w:val="24"/>
        </w:rPr>
      </w:pPr>
      <w:r>
        <w:rPr>
          <w:rFonts w:hint="eastAsia" w:ascii="宋体" w:hAnsi="宋体" w:eastAsia="宋体" w:cs="宋体"/>
          <w:sz w:val="24"/>
        </w:rPr>
        <w:t>5.6谈判结束后，谈判小组要求参加谈判的各报价人在规定的时间内集中提交最终报价，除非在谈判中谈判小组调整或修改采购需求内容，否则</w:t>
      </w:r>
      <w:r>
        <w:rPr>
          <w:rFonts w:hint="eastAsia" w:ascii="宋体" w:hAnsi="宋体" w:eastAsia="宋体" w:cs="宋体"/>
          <w:b/>
          <w:bCs/>
          <w:sz w:val="24"/>
        </w:rPr>
        <w:t>采购人不接受高于前面轮次的谈判报价</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5.7谈判小组按照采购需求、质量和服务相等且报价最低的原则确定成交候选供应商，若出现相同报价的，可再次报价，直至产生唯一最低报价。</w:t>
      </w:r>
    </w:p>
    <w:p>
      <w:pPr>
        <w:pStyle w:val="6"/>
        <w:numPr>
          <w:ilvl w:val="0"/>
          <w:numId w:val="18"/>
        </w:numPr>
        <w:rPr>
          <w:rFonts w:ascii="宋体" w:hAnsi="宋体" w:eastAsia="宋体" w:cs="宋体"/>
        </w:rPr>
      </w:pPr>
      <w:bookmarkStart w:id="48" w:name="_Toc12947"/>
      <w:r>
        <w:rPr>
          <w:rFonts w:hint="eastAsia" w:ascii="宋体" w:hAnsi="宋体" w:eastAsia="宋体" w:cs="宋体"/>
        </w:rPr>
        <w:t>定标</w:t>
      </w:r>
      <w:bookmarkEnd w:id="48"/>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代理机构在评审结束后2个工作日内将评审报告送达采购单位，采购单位在收到评审报告后5个工作日内，按照评审报告中推荐的成交候选人顺序确认第一成交候选人为成交单位，同时书面复函代理机构；</w:t>
      </w:r>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代理机构收到采购单位“定标复函”后2日内，在财政部门指定的政府采购信息媒体上发布公告，并向成交供应商发出“成交通知书”。</w:t>
      </w:r>
    </w:p>
    <w:p>
      <w:pPr>
        <w:spacing w:line="360" w:lineRule="auto"/>
        <w:ind w:firstLine="420" w:firstLineChars="175"/>
        <w:jc w:val="left"/>
        <w:rPr>
          <w:rFonts w:ascii="宋体" w:hAnsi="宋体" w:eastAsia="宋体" w:cs="宋体"/>
          <w:sz w:val="24"/>
        </w:rPr>
      </w:pPr>
    </w:p>
    <w:p>
      <w:pPr>
        <w:pStyle w:val="5"/>
        <w:numPr>
          <w:ilvl w:val="0"/>
          <w:numId w:val="8"/>
        </w:numPr>
        <w:rPr>
          <w:rFonts w:ascii="宋体" w:hAnsi="宋体" w:cs="宋体"/>
        </w:rPr>
      </w:pPr>
      <w:bookmarkStart w:id="49" w:name="_Toc5812"/>
      <w:bookmarkStart w:id="50" w:name="_Toc25308"/>
      <w:bookmarkStart w:id="51" w:name="_Toc19972"/>
      <w:r>
        <w:rPr>
          <w:rFonts w:hint="eastAsia" w:ascii="宋体" w:hAnsi="宋体" w:cs="宋体"/>
        </w:rPr>
        <w:t>签订合同</w:t>
      </w:r>
      <w:bookmarkEnd w:id="49"/>
      <w:bookmarkEnd w:id="50"/>
      <w:bookmarkEnd w:id="51"/>
    </w:p>
    <w:p>
      <w:pPr>
        <w:pStyle w:val="2"/>
        <w:spacing w:line="360" w:lineRule="auto"/>
        <w:rPr>
          <w:rFonts w:ascii="宋体" w:hAnsi="宋体" w:cs="宋体"/>
          <w:sz w:val="24"/>
          <w:szCs w:val="24"/>
        </w:rPr>
      </w:pPr>
      <w:bookmarkStart w:id="52" w:name="_Toc26132"/>
      <w:bookmarkStart w:id="53" w:name="_Toc28110"/>
      <w:r>
        <w:rPr>
          <w:rFonts w:hint="eastAsia" w:ascii="宋体" w:hAnsi="宋体" w:cs="宋体"/>
          <w:sz w:val="24"/>
          <w:szCs w:val="24"/>
        </w:rPr>
        <w:t>采购人与中标、成交供应商应当在中标、成交通知书发出之日起三十日内，按照采购文件确定的事项签订政府采购合同。</w:t>
      </w:r>
    </w:p>
    <w:bookmarkEnd w:id="52"/>
    <w:bookmarkEnd w:id="53"/>
    <w:p>
      <w:pPr>
        <w:pStyle w:val="5"/>
        <w:numPr>
          <w:ilvl w:val="0"/>
          <w:numId w:val="8"/>
        </w:numPr>
        <w:rPr>
          <w:rFonts w:ascii="宋体" w:hAnsi="宋体" w:cs="宋体"/>
        </w:rPr>
      </w:pPr>
      <w:bookmarkStart w:id="54" w:name="_Toc32056"/>
      <w:bookmarkStart w:id="55" w:name="_Toc7191"/>
      <w:bookmarkStart w:id="56" w:name="_Toc21950"/>
      <w:bookmarkStart w:id="57" w:name="_Toc1876"/>
      <w:bookmarkStart w:id="58" w:name="_Toc27418"/>
      <w:bookmarkStart w:id="59" w:name="_Toc16019"/>
      <w:r>
        <w:rPr>
          <w:rFonts w:hint="eastAsia" w:ascii="宋体" w:hAnsi="宋体" w:cs="宋体"/>
        </w:rPr>
        <w:t>质疑和投诉</w:t>
      </w:r>
      <w:bookmarkEnd w:id="54"/>
      <w:bookmarkEnd w:id="55"/>
      <w:bookmarkEnd w:id="56"/>
      <w:bookmarkEnd w:id="57"/>
      <w:bookmarkEnd w:id="58"/>
      <w:bookmarkEnd w:id="59"/>
    </w:p>
    <w:p>
      <w:pPr>
        <w:spacing w:line="560" w:lineRule="exact"/>
        <w:ind w:firstLine="480" w:firstLineChars="200"/>
        <w:jc w:val="left"/>
        <w:rPr>
          <w:rFonts w:ascii="宋体" w:hAnsi="宋体" w:cs="宋体"/>
          <w:sz w:val="24"/>
          <w:szCs w:val="24"/>
        </w:rPr>
      </w:pPr>
      <w:bookmarkStart w:id="60" w:name="_Toc3298"/>
      <w:r>
        <w:rPr>
          <w:rFonts w:hint="eastAsia" w:ascii="宋体" w:hAnsi="宋体" w:cs="宋体"/>
          <w:sz w:val="24"/>
          <w:szCs w:val="24"/>
        </w:rPr>
        <w:t>质疑或投诉的接收和处理应当按照《中华人民共和国政府采购法》及其实施条例、《政府采购质疑和投诉办法》、《财政部关于加强政府采购供应商投诉受理审查工作的通知》等的相关规定办理。</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1）对采购文件提出质疑的，为收到采购文件之日或者采购文件公告期限届满之日；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2）对采购过程提出质疑的，为各采购程序环节结束之日；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3）对中标或者成交结果提出质疑的，为中标或者成交结果公告期限届满之日。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2、供应商应当在法定质疑期内一次性提出针对同一采购程序环节的质疑。</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 质疑函应当包括下列主要内容：</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1）供应商的姓名或者名称、地址、邮编、联系人及联系电话；</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2）质疑项目的名称、编号；</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3）具体、明确的质疑事项和与质疑事项相关的请求；</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4）事实依据；</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5）必要的法律依据；</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6）提出质疑的日期。</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代理人提出质疑和投诉，应当提交供应商签署的授权委托书。</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5、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6、质疑函接收方式：由自然人本人或法定代表人或者其授权代表携带书面原件及身份证明原件到现场递交，否则不予受理 。 </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7、 质疑受理部门：陕西卓佲项目管理有限公司。</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    质疑受理电话：029-88440695。</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 、提交质疑函地点：西安市雁塔区科技路10号华奥大厦A座2002室。</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9、 本次采购活动中，采购代理机构对质疑函回复的书面文件的送达方式为现场取件。</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如所质疑的问题比较复杂，采购人或者采购代理机构在规定的答复时间内无法回复，应事先告知提出质疑的供应商，同时向同级政府采购监督管理部门报告。</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10、 质疑供应商对采购人、采购代理机构的答复不满意，或者采购人、采购代理机构未在规定的时间内作出答复的，可以在答复期满后15个工作日内向采购人的同级政府采购监督管理部门投诉。</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11、 质疑函应当使用中文。质疑函范本详见财政部制定的范本即竞争性谈判文件附件六。</w:t>
      </w:r>
    </w:p>
    <w:p>
      <w:pPr>
        <w:rPr>
          <w:rFonts w:ascii="宋体" w:hAnsi="宋体" w:cs="宋体"/>
          <w:sz w:val="24"/>
          <w:szCs w:val="24"/>
        </w:rPr>
      </w:pPr>
    </w:p>
    <w:p>
      <w:r>
        <w:rPr>
          <w:rFonts w:hint="eastAsia"/>
        </w:rPr>
        <w:br w:type="page"/>
      </w:r>
    </w:p>
    <w:p>
      <w:pPr>
        <w:pStyle w:val="4"/>
        <w:pageBreakBefore/>
        <w:rPr>
          <w:rFonts w:ascii="宋体" w:hAnsi="宋体" w:cs="宋体"/>
        </w:rPr>
      </w:pPr>
      <w:bookmarkStart w:id="61" w:name="_Toc11471"/>
      <w:r>
        <w:rPr>
          <w:rFonts w:hint="eastAsia" w:ascii="宋体" w:hAnsi="宋体" w:cs="宋体"/>
        </w:rPr>
        <w:t>第四部分  评审标准</w:t>
      </w:r>
      <w:bookmarkEnd w:id="60"/>
      <w:bookmarkEnd w:id="61"/>
    </w:p>
    <w:p>
      <w:pPr>
        <w:rPr>
          <w:rFonts w:ascii="宋体" w:hAnsi="宋体" w:eastAsia="宋体" w:cs="宋体"/>
          <w:sz w:val="24"/>
          <w:szCs w:val="28"/>
        </w:rPr>
      </w:pPr>
      <w:r>
        <w:rPr>
          <w:rFonts w:hint="eastAsia" w:ascii="宋体" w:hAnsi="宋体" w:eastAsia="宋体" w:cs="宋体"/>
          <w:sz w:val="24"/>
          <w:szCs w:val="28"/>
        </w:rPr>
        <w:t>根据符合需求、质量和服务相等且报价最低原则确定成交供应商。</w:t>
      </w:r>
    </w:p>
    <w:p/>
    <w:p>
      <w:pPr>
        <w:spacing w:line="360" w:lineRule="auto"/>
        <w:ind w:firstLine="482" w:firstLineChars="200"/>
        <w:rPr>
          <w:rFonts w:ascii="宋体" w:hAnsi="宋体" w:cs="宋体"/>
          <w:b/>
          <w:bCs/>
          <w:sz w:val="24"/>
        </w:rPr>
      </w:pPr>
      <w:r>
        <w:rPr>
          <w:rFonts w:hint="eastAsia" w:ascii="宋体" w:hAnsi="宋体" w:cs="宋体"/>
          <w:b/>
          <w:bCs/>
          <w:sz w:val="24"/>
        </w:rPr>
        <w:t>1.本项目属于</w:t>
      </w:r>
      <w:r>
        <w:rPr>
          <w:rFonts w:hint="eastAsia" w:ascii="宋体" w:hAnsi="宋体" w:cs="宋体"/>
          <w:b/>
          <w:bCs/>
          <w:sz w:val="24"/>
          <w:lang w:eastAsia="zh-CN"/>
        </w:rPr>
        <w:t>服务类</w:t>
      </w:r>
      <w:r>
        <w:rPr>
          <w:rFonts w:hint="eastAsia" w:ascii="宋体" w:hAnsi="宋体" w:cs="宋体"/>
          <w:b/>
          <w:bCs/>
          <w:sz w:val="24"/>
        </w:rPr>
        <w:t>项目，对小型和微型企业、残疾人福利性单位的价格给予6%的扣除，用扣除后的价格参与评审，残疾人福利性单位属于小型、微型企业的，不重复享受政策，供应商应提供《中小企业声明函》或《残疾人福利性单位声明函》，否则不得享受相关中小企业扶持政策或残疾人就业政府采购政策；</w:t>
      </w:r>
    </w:p>
    <w:p>
      <w:pPr>
        <w:spacing w:line="360" w:lineRule="auto"/>
        <w:ind w:firstLine="482" w:firstLineChars="200"/>
        <w:rPr>
          <w:rFonts w:hint="eastAsia" w:ascii="宋体" w:hAnsi="宋体" w:cs="宋体" w:eastAsiaTheme="minorEastAsia"/>
          <w:b/>
          <w:bCs/>
          <w:sz w:val="24"/>
          <w:lang w:eastAsia="zh-CN"/>
        </w:rPr>
      </w:pPr>
      <w:r>
        <w:rPr>
          <w:rFonts w:hint="eastAsia" w:ascii="宋体" w:hAnsi="宋体" w:cs="宋体"/>
          <w:b/>
          <w:bCs/>
          <w:sz w:val="24"/>
        </w:rPr>
        <w:t>2.《关于政府采购支持监狱企业发展有关问题的通知》（财库[2014]68号）的规定，对监狱企业给予6%的价格扣除，用扣除后的价格参与评审（提供由省级以上监狱管理局、戒毒管理局（含新疆生产建设兵团）出具的属于监狱企业的证明文件）</w:t>
      </w:r>
      <w:r>
        <w:rPr>
          <w:rFonts w:hint="eastAsia" w:ascii="宋体" w:hAnsi="宋体" w:cs="宋体"/>
          <w:b/>
          <w:bCs/>
          <w:sz w:val="24"/>
          <w:lang w:eastAsia="zh-CN"/>
        </w:rPr>
        <w:t>；</w:t>
      </w:r>
    </w:p>
    <w:p>
      <w:pPr>
        <w:spacing w:line="360" w:lineRule="auto"/>
        <w:ind w:firstLine="482" w:firstLineChars="200"/>
        <w:rPr>
          <w:rFonts w:hint="eastAsia" w:ascii="宋体" w:hAnsi="宋体" w:cs="宋体" w:eastAsiaTheme="minorEastAsia"/>
          <w:b/>
          <w:bCs/>
          <w:sz w:val="24"/>
          <w:lang w:eastAsia="zh-CN"/>
        </w:rPr>
      </w:pPr>
      <w:r>
        <w:rPr>
          <w:rFonts w:hint="eastAsia" w:ascii="宋体" w:hAnsi="宋体" w:cs="宋体"/>
          <w:b/>
          <w:bCs/>
          <w:sz w:val="24"/>
        </w:rPr>
        <w:t>3.节能环保产品以节能产品、环境标志产品认证证书为准</w:t>
      </w:r>
      <w:r>
        <w:rPr>
          <w:rFonts w:hint="eastAsia" w:ascii="宋体" w:hAnsi="宋体" w:cs="宋体"/>
          <w:b/>
          <w:bCs/>
          <w:sz w:val="24"/>
          <w:lang w:eastAsia="zh-CN"/>
        </w:rPr>
        <w:t>；</w:t>
      </w:r>
    </w:p>
    <w:p>
      <w:pPr>
        <w:spacing w:line="360" w:lineRule="auto"/>
        <w:ind w:firstLine="482" w:firstLineChars="200"/>
        <w:rPr>
          <w:rFonts w:ascii="宋体" w:hAnsi="宋体" w:cs="宋体"/>
          <w:b/>
          <w:bCs/>
          <w:sz w:val="24"/>
        </w:rPr>
      </w:pPr>
      <w:r>
        <w:rPr>
          <w:rFonts w:hint="eastAsia" w:ascii="宋体" w:hAnsi="宋体" w:cs="宋体"/>
          <w:b/>
          <w:bCs/>
          <w:sz w:val="24"/>
        </w:rPr>
        <w:t>4.技术参数正偏离须在技术响应表中注明正偏离的理由和佐证材料的页码；</w:t>
      </w:r>
    </w:p>
    <w:p>
      <w:pPr>
        <w:spacing w:line="360" w:lineRule="auto"/>
        <w:ind w:firstLine="482" w:firstLineChars="200"/>
        <w:rPr>
          <w:rFonts w:ascii="宋体" w:hAnsi="宋体" w:cs="宋体"/>
          <w:b/>
          <w:bCs/>
          <w:sz w:val="24"/>
        </w:rPr>
      </w:pPr>
      <w:r>
        <w:rPr>
          <w:rFonts w:hint="eastAsia" w:ascii="宋体" w:hAnsi="宋体" w:cs="宋体"/>
          <w:b/>
          <w:bCs/>
          <w:sz w:val="24"/>
        </w:rPr>
        <w:t>5.评审指标出现漏项的最低得分为零分。</w:t>
      </w:r>
      <w:bookmarkStart w:id="62" w:name="_Toc262"/>
    </w:p>
    <w:p>
      <w:pPr>
        <w:spacing w:line="360" w:lineRule="auto"/>
        <w:ind w:firstLine="482" w:firstLineChars="200"/>
        <w:rPr>
          <w:rFonts w:ascii="宋体" w:hAnsi="宋体" w:cs="宋体"/>
          <w:b/>
          <w:bCs/>
          <w:sz w:val="24"/>
        </w:rPr>
        <w:sectPr>
          <w:pgSz w:w="11906" w:h="16838"/>
          <w:pgMar w:top="1440" w:right="1803" w:bottom="1440" w:left="1803" w:header="851" w:footer="992" w:gutter="0"/>
          <w:cols w:space="720" w:num="1"/>
          <w:docGrid w:type="lines" w:linePitch="319" w:charSpace="0"/>
        </w:sectPr>
      </w:pPr>
    </w:p>
    <w:bookmarkEnd w:id="62"/>
    <w:p>
      <w:pPr>
        <w:pStyle w:val="4"/>
        <w:pageBreakBefore/>
        <w:rPr>
          <w:rFonts w:ascii="宋体" w:hAnsi="宋体" w:cs="宋体"/>
        </w:rPr>
      </w:pPr>
      <w:bookmarkStart w:id="63" w:name="_Toc26683"/>
      <w:r>
        <w:rPr>
          <w:rFonts w:hint="eastAsia" w:ascii="宋体" w:hAnsi="宋体" w:cs="宋体"/>
        </w:rPr>
        <w:t>第五部分  采购要求</w:t>
      </w:r>
      <w:bookmarkEnd w:id="63"/>
    </w:p>
    <w:p>
      <w:pPr>
        <w:widowControl/>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一、采购内容：</w:t>
      </w:r>
    </w:p>
    <w:p>
      <w:pPr>
        <w:pStyle w:val="18"/>
        <w:widowControl/>
        <w:spacing w:before="0" w:beforeAutospacing="0" w:after="0" w:afterAutospacing="0" w:line="360" w:lineRule="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1、ACS数据库 期刊达到62种。现刊：1996年1月1日至今出版的期刊文章。</w:t>
      </w:r>
    </w:p>
    <w:p>
      <w:pPr>
        <w:widowControl/>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2、Elsevier Science Direct 数据库2个专辑（Energy、Engineering）共356种期刊，以及18种期刊的全文访问。我校校园网用户可阅读购买专辑的全文。</w:t>
      </w:r>
    </w:p>
    <w:p>
      <w:pPr>
        <w:pStyle w:val="10"/>
        <w:spacing w:line="360" w:lineRule="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3、SCIE数据库（Science Citation Index-ExpandedTM），聚焦自然科学领域的多学科综合数据库，共收录9,100多种自然科学领域的世界权威期刊，覆盖了178个学科领域，总记录数超过5,200万条，总参考文献数超过114,800万篇。订购内容包括平台访问+2022年数据。</w:t>
      </w:r>
    </w:p>
    <w:p>
      <w:pPr>
        <w:widowControl/>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二、采购需求：</w:t>
      </w:r>
    </w:p>
    <w:p>
      <w:pPr>
        <w:pStyle w:val="45"/>
        <w:widowControl/>
        <w:numPr>
          <w:ilvl w:val="0"/>
          <w:numId w:val="0"/>
        </w:numPr>
        <w:adjustRightInd w:val="0"/>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所提供产品内容不得违反有关知识产权的规定。</w:t>
      </w:r>
    </w:p>
    <w:p>
      <w:pPr>
        <w:pStyle w:val="45"/>
        <w:widowControl/>
        <w:numPr>
          <w:ilvl w:val="0"/>
          <w:numId w:val="0"/>
        </w:numPr>
        <w:adjustRightInd w:val="0"/>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应保证所提供的产品符合国家法律规定。</w:t>
      </w:r>
    </w:p>
    <w:p>
      <w:pPr>
        <w:pStyle w:val="45"/>
        <w:widowControl/>
        <w:numPr>
          <w:ilvl w:val="0"/>
          <w:numId w:val="0"/>
        </w:numPr>
        <w:adjustRightInd w:val="0"/>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乙方应按合同约定按时为甲方开通访问权限，并应保证甲方在合同期内的合理使用。</w:t>
      </w:r>
    </w:p>
    <w:p>
      <w:pPr>
        <w:pStyle w:val="45"/>
        <w:widowControl/>
        <w:numPr>
          <w:ilvl w:val="0"/>
          <w:numId w:val="0"/>
        </w:numPr>
        <w:adjustRightInd w:val="0"/>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在甲方的订购期限内，乙方为甲方提供产品相关的技术服务和培训，采用电话、传真、邮件、实时通讯方式解决使用过程中出现的各种问题。</w:t>
      </w:r>
    </w:p>
    <w:p>
      <w:pPr>
        <w:numPr>
          <w:ilvl w:val="0"/>
          <w:numId w:val="0"/>
        </w:num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乙方保证合同内容正常运转；在合同有效期内，对系统平台进行免费升级。</w:t>
      </w:r>
    </w:p>
    <w:p>
      <w:pPr>
        <w:numPr>
          <w:ilvl w:val="0"/>
          <w:numId w:val="0"/>
        </w:num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如因乙方原因导致供货商中止甲方使用权限时，自使用权中止之日起，乙方应按每日总金额的0.5‰承担违约责任。</w:t>
      </w:r>
    </w:p>
    <w:p>
      <w:pPr>
        <w:widowControl/>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二、商务要求：</w:t>
      </w:r>
    </w:p>
    <w:p>
      <w:pPr>
        <w:widowControl/>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1、服务期（起止时间） 2022.9.3-2023.9.2</w:t>
      </w:r>
    </w:p>
    <w:p>
      <w:pPr>
        <w:widowControl/>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2、服务地点：西安科技大学校园网IP范围内</w:t>
      </w:r>
    </w:p>
    <w:p>
      <w:pPr>
        <w:widowControl/>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3.、访问方式：</w:t>
      </w:r>
    </w:p>
    <w:p>
      <w:pPr>
        <w:widowControl/>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（1）ACS数据库使用方式：远程访问</w:t>
      </w:r>
    </w:p>
    <w:p>
      <w:pPr>
        <w:widowControl/>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（2）Elsevier ScienceDirect数据库使用方式：远程访问</w:t>
      </w:r>
    </w:p>
    <w:p>
      <w:pPr>
        <w:widowControl/>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（3）SCIE数据库使用方式：远程访问+回溯数据</w:t>
      </w:r>
    </w:p>
    <w:p>
      <w:pPr>
        <w:widowControl/>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4、售后服务：</w:t>
      </w:r>
    </w:p>
    <w:p>
      <w:pPr>
        <w:widowControl/>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（1）提供在线查阅符合counter标准的使用统计报告；</w:t>
      </w:r>
    </w:p>
    <w:p>
      <w:pPr>
        <w:widowControl/>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（2）如出现使用故障，保证48小时内解决问题；</w:t>
      </w:r>
    </w:p>
    <w:p>
      <w:pPr>
        <w:spacing w:line="360" w:lineRule="auto"/>
        <w:rPr>
          <w:rFonts w:hint="eastAsia" w:ascii="宋体" w:hAnsi="宋体" w:eastAsia="宋体" w:cs="宋体"/>
          <w:sz w:val="28"/>
          <w:szCs w:val="28"/>
        </w:rPr>
        <w:sectPr>
          <w:footerReference r:id="rId10" w:type="default"/>
          <w:pgSz w:w="11906" w:h="16838"/>
          <w:pgMar w:top="1440" w:right="1803" w:bottom="1440" w:left="1803" w:header="851" w:footer="992" w:gutter="0"/>
          <w:cols w:space="720" w:num="1"/>
          <w:docGrid w:type="lines" w:linePitch="319" w:charSpace="0"/>
        </w:sectPr>
      </w:pPr>
      <w:r>
        <w:rPr>
          <w:rFonts w:hint="eastAsia" w:ascii="宋体" w:hAnsi="宋体" w:eastAsia="宋体" w:cs="宋体"/>
          <w:kern w:val="2"/>
          <w:sz w:val="28"/>
          <w:szCs w:val="28"/>
          <w:lang w:val="en-US" w:eastAsia="zh-CN" w:bidi="ar-SA"/>
        </w:rPr>
        <w:t>（3）对用户IP开放，全年提供全天24小时网络服务，无并发用户数限制。</w:t>
      </w:r>
    </w:p>
    <w:p>
      <w:pPr>
        <w:pStyle w:val="4"/>
        <w:numPr>
          <w:ilvl w:val="0"/>
          <w:numId w:val="21"/>
        </w:numPr>
        <w:rPr>
          <w:rFonts w:ascii="宋体" w:hAnsi="宋体" w:cs="宋体"/>
          <w:sz w:val="36"/>
          <w:szCs w:val="36"/>
        </w:rPr>
      </w:pPr>
      <w:bookmarkStart w:id="64" w:name="_Toc17290"/>
      <w:bookmarkStart w:id="65" w:name="_Toc2234"/>
      <w:r>
        <w:rPr>
          <w:rFonts w:hint="eastAsia" w:ascii="宋体" w:hAnsi="宋体" w:cs="宋体"/>
          <w:sz w:val="36"/>
          <w:szCs w:val="36"/>
        </w:rPr>
        <w:t xml:space="preserve">  </w:t>
      </w:r>
      <w:bookmarkStart w:id="66" w:name="_Toc15504"/>
      <w:r>
        <w:rPr>
          <w:rFonts w:hint="eastAsia" w:ascii="宋体" w:hAnsi="宋体" w:cs="宋体"/>
          <w:sz w:val="36"/>
          <w:szCs w:val="36"/>
        </w:rPr>
        <w:t>合同条款</w:t>
      </w:r>
      <w:bookmarkEnd w:id="64"/>
      <w:bookmarkEnd w:id="66"/>
    </w:p>
    <w:p>
      <w:pPr>
        <w:spacing w:line="760" w:lineRule="exact"/>
        <w:jc w:val="center"/>
        <w:rPr>
          <w:rFonts w:hint="eastAsia" w:ascii="华文中宋" w:hAnsi="华文中宋" w:eastAsia="华文中宋" w:cs="华文中宋"/>
          <w:spacing w:val="28"/>
          <w:kern w:val="0"/>
          <w:sz w:val="44"/>
          <w:szCs w:val="44"/>
          <w:lang w:eastAsia="zh-CN"/>
        </w:rPr>
      </w:pPr>
    </w:p>
    <w:p>
      <w:pPr>
        <w:spacing w:line="760" w:lineRule="exact"/>
        <w:jc w:val="center"/>
        <w:rPr>
          <w:rFonts w:hint="eastAsia" w:ascii="华文中宋" w:hAnsi="华文中宋" w:eastAsia="华文中宋" w:cs="华文中宋"/>
          <w:spacing w:val="28"/>
          <w:kern w:val="0"/>
          <w:sz w:val="44"/>
          <w:szCs w:val="44"/>
          <w:lang w:eastAsia="zh-CN"/>
        </w:rPr>
      </w:pPr>
    </w:p>
    <w:p>
      <w:pPr>
        <w:spacing w:line="760" w:lineRule="exact"/>
        <w:jc w:val="center"/>
        <w:rPr>
          <w:rFonts w:hint="eastAsia" w:ascii="华文中宋" w:hAnsi="华文中宋" w:eastAsia="华文中宋" w:cs="华文中宋"/>
          <w:spacing w:val="28"/>
          <w:kern w:val="0"/>
          <w:sz w:val="44"/>
          <w:szCs w:val="44"/>
          <w:lang w:eastAsia="zh-CN"/>
        </w:rPr>
      </w:pPr>
    </w:p>
    <w:p>
      <w:pPr>
        <w:spacing w:line="760" w:lineRule="exact"/>
        <w:jc w:val="center"/>
        <w:rPr>
          <w:rFonts w:ascii="华文中宋" w:hAnsi="华文中宋" w:eastAsia="华文中宋" w:cs="华文中宋"/>
          <w:spacing w:val="28"/>
          <w:kern w:val="0"/>
          <w:sz w:val="44"/>
          <w:szCs w:val="44"/>
        </w:rPr>
      </w:pPr>
      <w:r>
        <w:rPr>
          <w:rFonts w:hint="eastAsia" w:ascii="华文中宋" w:hAnsi="华文中宋" w:eastAsia="华文中宋" w:cs="华文中宋"/>
          <w:spacing w:val="28"/>
          <w:kern w:val="0"/>
          <w:sz w:val="44"/>
          <w:szCs w:val="44"/>
          <w:lang w:eastAsia="zh-CN"/>
        </w:rPr>
        <w:t>西安科技大学ACS数据库、ElsevierScienceDirect数据库、SCIE数据库服务采购项目</w:t>
      </w:r>
      <w:r>
        <w:rPr>
          <w:rFonts w:hint="eastAsia" w:ascii="华文中宋" w:hAnsi="华文中宋" w:eastAsia="华文中宋" w:cs="华文中宋"/>
          <w:spacing w:val="28"/>
          <w:kern w:val="0"/>
          <w:sz w:val="44"/>
          <w:szCs w:val="44"/>
          <w:lang w:val="en-US" w:eastAsia="zh-CN"/>
        </w:rPr>
        <w:t xml:space="preserve">  </w:t>
      </w:r>
    </w:p>
    <w:p>
      <w:pPr>
        <w:spacing w:line="760" w:lineRule="exact"/>
        <w:jc w:val="center"/>
        <w:rPr>
          <w:rFonts w:ascii="华文中宋" w:hAnsi="华文中宋" w:eastAsia="华文中宋" w:cs="华文中宋"/>
          <w:spacing w:val="28"/>
          <w:kern w:val="0"/>
          <w:sz w:val="44"/>
          <w:szCs w:val="44"/>
        </w:rPr>
      </w:pPr>
    </w:p>
    <w:p>
      <w:pPr>
        <w:jc w:val="center"/>
        <w:rPr>
          <w:rFonts w:ascii="华文中宋" w:hAnsi="华文中宋" w:eastAsia="华文中宋"/>
          <w:spacing w:val="113"/>
          <w:kern w:val="0"/>
          <w:sz w:val="52"/>
          <w:szCs w:val="52"/>
        </w:rPr>
      </w:pPr>
      <w:r>
        <w:rPr>
          <w:rFonts w:hint="eastAsia" w:ascii="华文中宋" w:hAnsi="华文中宋" w:eastAsia="华文中宋"/>
          <w:spacing w:val="113"/>
          <w:kern w:val="0"/>
          <w:sz w:val="52"/>
          <w:szCs w:val="52"/>
          <w:lang w:eastAsia="zh-CN"/>
        </w:rPr>
        <w:t>服务</w:t>
      </w:r>
      <w:r>
        <w:rPr>
          <w:rFonts w:hint="eastAsia" w:ascii="华文中宋" w:hAnsi="华文中宋" w:eastAsia="华文中宋"/>
          <w:spacing w:val="113"/>
          <w:kern w:val="0"/>
          <w:sz w:val="52"/>
          <w:szCs w:val="52"/>
        </w:rPr>
        <w:t>合同</w:t>
      </w:r>
    </w:p>
    <w:p>
      <w:pPr>
        <w:jc w:val="center"/>
        <w:rPr>
          <w:rFonts w:ascii="华文中宋" w:hAnsi="华文中宋" w:eastAsia="华文中宋"/>
          <w:spacing w:val="20"/>
          <w:kern w:val="0"/>
          <w:sz w:val="30"/>
          <w:szCs w:val="30"/>
        </w:rPr>
      </w:pPr>
    </w:p>
    <w:p>
      <w:pPr>
        <w:spacing w:line="360" w:lineRule="auto"/>
        <w:jc w:val="center"/>
        <w:rPr>
          <w:rFonts w:ascii="华文中宋" w:hAnsi="华文中宋" w:eastAsia="华文中宋"/>
          <w:sz w:val="30"/>
          <w:szCs w:val="30"/>
        </w:rPr>
      </w:pPr>
    </w:p>
    <w:p>
      <w:pPr>
        <w:spacing w:line="360" w:lineRule="auto"/>
        <w:jc w:val="center"/>
        <w:rPr>
          <w:rFonts w:ascii="华文中宋" w:hAnsi="华文中宋" w:eastAsia="华文中宋"/>
          <w:sz w:val="30"/>
          <w:szCs w:val="30"/>
        </w:rPr>
      </w:pPr>
    </w:p>
    <w:p>
      <w:pPr>
        <w:rPr>
          <w:rFonts w:ascii="华文中宋" w:hAnsi="华文中宋" w:eastAsia="华文中宋"/>
          <w:kern w:val="0"/>
          <w:sz w:val="30"/>
          <w:szCs w:val="30"/>
        </w:rPr>
      </w:pPr>
    </w:p>
    <w:p>
      <w:pPr>
        <w:rPr>
          <w:rFonts w:ascii="华文中宋" w:hAnsi="华文中宋" w:eastAsia="华文中宋"/>
          <w:kern w:val="0"/>
          <w:sz w:val="30"/>
          <w:szCs w:val="30"/>
        </w:rPr>
      </w:pPr>
    </w:p>
    <w:p>
      <w:pPr>
        <w:rPr>
          <w:rFonts w:ascii="华文中宋" w:hAnsi="华文中宋" w:eastAsia="华文中宋"/>
          <w:kern w:val="0"/>
          <w:sz w:val="30"/>
          <w:szCs w:val="30"/>
        </w:rPr>
      </w:pPr>
    </w:p>
    <w:p>
      <w:pPr>
        <w:spacing w:line="560" w:lineRule="exact"/>
        <w:jc w:val="center"/>
        <w:rPr>
          <w:rFonts w:hint="eastAsia" w:ascii="华文中宋" w:hAnsi="华文中宋" w:eastAsia="华文中宋"/>
          <w:kern w:val="0"/>
          <w:sz w:val="30"/>
          <w:szCs w:val="30"/>
          <w:lang w:eastAsia="zh-CN"/>
        </w:rPr>
      </w:pPr>
      <w:r>
        <w:rPr>
          <w:rFonts w:hint="eastAsia" w:ascii="华文中宋" w:hAnsi="华文中宋" w:eastAsia="华文中宋"/>
          <w:kern w:val="0"/>
          <w:sz w:val="30"/>
          <w:szCs w:val="30"/>
        </w:rPr>
        <w:t>买    方：</w:t>
      </w:r>
      <w:r>
        <w:rPr>
          <w:rFonts w:hint="eastAsia" w:ascii="华文中宋" w:hAnsi="华文中宋" w:eastAsia="华文中宋"/>
          <w:kern w:val="0"/>
          <w:sz w:val="30"/>
          <w:szCs w:val="30"/>
          <w:lang w:eastAsia="zh-CN"/>
        </w:rPr>
        <w:t>西安科技大学</w:t>
      </w:r>
    </w:p>
    <w:p>
      <w:pPr>
        <w:spacing w:line="560" w:lineRule="exact"/>
        <w:jc w:val="center"/>
        <w:rPr>
          <w:rFonts w:hint="default" w:ascii="华文中宋" w:hAnsi="华文中宋" w:eastAsia="华文中宋"/>
          <w:kern w:val="0"/>
          <w:sz w:val="30"/>
          <w:szCs w:val="30"/>
          <w:lang w:val="en-US" w:eastAsia="zh-CN"/>
        </w:rPr>
      </w:pPr>
      <w:r>
        <w:rPr>
          <w:rFonts w:hint="eastAsia" w:ascii="华文中宋" w:hAnsi="华文中宋" w:eastAsia="华文中宋"/>
          <w:kern w:val="0"/>
          <w:sz w:val="30"/>
          <w:szCs w:val="30"/>
        </w:rPr>
        <w:t>卖    方：</w:t>
      </w:r>
      <w:r>
        <w:rPr>
          <w:rFonts w:hint="eastAsia" w:ascii="华文中宋" w:hAnsi="华文中宋" w:eastAsia="华文中宋"/>
          <w:kern w:val="0"/>
          <w:sz w:val="30"/>
          <w:szCs w:val="30"/>
          <w:lang w:val="en-US" w:eastAsia="zh-CN"/>
        </w:rPr>
        <w:t>_____________</w:t>
      </w:r>
    </w:p>
    <w:p>
      <w:pPr>
        <w:spacing w:line="720" w:lineRule="exact"/>
        <w:ind w:firstLine="1080" w:firstLineChars="300"/>
        <w:rPr>
          <w:rFonts w:ascii="华文中宋" w:hAnsi="华文中宋" w:eastAsia="华文中宋"/>
          <w:kern w:val="0"/>
          <w:sz w:val="36"/>
          <w:szCs w:val="36"/>
        </w:rPr>
      </w:pPr>
      <w:r>
        <w:rPr>
          <w:rFonts w:hint="eastAsia" w:ascii="华文中宋" w:hAnsi="华文中宋" w:eastAsia="华文中宋"/>
          <w:kern w:val="0"/>
          <w:sz w:val="36"/>
          <w:szCs w:val="36"/>
        </w:rPr>
        <w:t xml:space="preserve">                   </w:t>
      </w:r>
    </w:p>
    <w:p>
      <w:pPr>
        <w:rPr>
          <w:rFonts w:ascii="华文中宋" w:hAnsi="华文中宋" w:eastAsia="华文中宋"/>
          <w:kern w:val="0"/>
          <w:sz w:val="36"/>
          <w:szCs w:val="36"/>
        </w:rPr>
      </w:pPr>
    </w:p>
    <w:p>
      <w:pPr>
        <w:spacing w:line="560" w:lineRule="exact"/>
        <w:jc w:val="center"/>
        <w:rPr>
          <w:rFonts w:ascii="楷体_GB2312" w:hAnsi="华文中宋" w:eastAsia="楷体_GB2312"/>
          <w:kern w:val="0"/>
          <w:sz w:val="32"/>
          <w:szCs w:val="32"/>
        </w:rPr>
      </w:pPr>
      <w:r>
        <w:rPr>
          <w:rFonts w:hint="eastAsia" w:ascii="楷体_GB2312" w:hAnsi="楷体_GB2312" w:eastAsia="楷体_GB2312" w:cs="楷体_GB2312"/>
          <w:kern w:val="0"/>
          <w:sz w:val="32"/>
          <w:szCs w:val="32"/>
        </w:rPr>
        <w:t>年  月   日</w:t>
      </w:r>
    </w:p>
    <w:p>
      <w:pPr>
        <w:widowControl/>
        <w:jc w:val="left"/>
        <w:rPr>
          <w:rFonts w:ascii="华文中宋" w:hAnsi="华文中宋" w:eastAsia="华文中宋"/>
          <w:sz w:val="32"/>
          <w:szCs w:val="32"/>
        </w:rPr>
        <w:sectPr>
          <w:footerReference r:id="rId11" w:type="default"/>
          <w:pgSz w:w="11906" w:h="16838"/>
          <w:pgMar w:top="1417" w:right="1417" w:bottom="1417" w:left="1417" w:header="907" w:footer="907" w:gutter="0"/>
          <w:pgNumType w:fmt="decimal"/>
          <w:cols w:space="720" w:num="1"/>
          <w:docGrid w:type="lines" w:linePitch="312" w:charSpace="0"/>
        </w:sectPr>
      </w:pPr>
    </w:p>
    <w:p>
      <w:pPr>
        <w:keepNext w:val="0"/>
        <w:keepLines w:val="0"/>
        <w:pageBreakBefore w:val="0"/>
        <w:widowControl w:val="0"/>
        <w:kinsoku w:val="0"/>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西安科技大学</w:t>
      </w:r>
    </w:p>
    <w:p>
      <w:pPr>
        <w:keepNext w:val="0"/>
        <w:keepLines w:val="0"/>
        <w:pageBreakBefore w:val="0"/>
        <w:widowControl w:val="0"/>
        <w:kinsoku w:val="0"/>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pPr>
        <w:keepNext w:val="0"/>
        <w:keepLines w:val="0"/>
        <w:pageBreakBefore w:val="0"/>
        <w:widowControl w:val="0"/>
        <w:kinsoku w:val="0"/>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根据《中华人民共和国政府采购法》、《中华人民共和国民法典》等法律法规，甲方通过</w:t>
      </w:r>
      <w:r>
        <w:rPr>
          <w:rFonts w:hint="eastAsia" w:ascii="宋体" w:hAnsi="宋体" w:eastAsia="宋体" w:cs="宋体"/>
          <w:sz w:val="24"/>
          <w:szCs w:val="24"/>
          <w:lang w:eastAsia="zh-CN"/>
        </w:rPr>
        <w:t>竞争性谈判</w:t>
      </w:r>
      <w:r>
        <w:rPr>
          <w:rFonts w:hint="eastAsia" w:ascii="宋体" w:hAnsi="宋体" w:eastAsia="宋体" w:cs="宋体"/>
          <w:sz w:val="24"/>
          <w:szCs w:val="24"/>
        </w:rPr>
        <w:t>，选定乙方为成交单位。甲、乙双方在平等基础上协商一致，达成如下合同条款：</w:t>
      </w:r>
    </w:p>
    <w:p>
      <w:pPr>
        <w:keepNext w:val="0"/>
        <w:keepLines w:val="0"/>
        <w:pageBreakBefore w:val="0"/>
        <w:widowControl w:val="0"/>
        <w:kinsoku w:val="0"/>
        <w:wordWrap/>
        <w:overflowPunct/>
        <w:topLinePunct w:val="0"/>
        <w:autoSpaceDE/>
        <w:autoSpaceDN/>
        <w:bidi w:val="0"/>
        <w:adjustRightInd/>
        <w:spacing w:line="360" w:lineRule="auto"/>
        <w:ind w:firstLine="480" w:firstLineChars="200"/>
        <w:outlineLvl w:val="9"/>
        <w:rPr>
          <w:rFonts w:hint="eastAsia" w:ascii="宋体" w:hAnsi="宋体" w:eastAsia="宋体" w:cs="宋体"/>
          <w:sz w:val="24"/>
          <w:szCs w:val="24"/>
        </w:rPr>
      </w:pPr>
      <w:bookmarkStart w:id="67" w:name="_Toc2510"/>
      <w:r>
        <w:rPr>
          <w:rFonts w:hint="eastAsia" w:ascii="宋体" w:hAnsi="宋体" w:eastAsia="宋体" w:cs="宋体"/>
          <w:sz w:val="24"/>
          <w:szCs w:val="24"/>
        </w:rPr>
        <w:t>一、</w:t>
      </w:r>
      <w:r>
        <w:rPr>
          <w:rFonts w:hint="eastAsia" w:ascii="宋体" w:hAnsi="宋体" w:eastAsia="宋体" w:cs="宋体"/>
          <w:b/>
          <w:sz w:val="24"/>
          <w:szCs w:val="24"/>
          <w:lang w:eastAsia="zh-CN"/>
        </w:rPr>
        <w:t>服务内容</w:t>
      </w:r>
      <w:bookmarkEnd w:id="67"/>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7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400" w:lineRule="exact"/>
              <w:ind w:firstLine="241" w:firstLineChars="100"/>
              <w:jc w:val="both"/>
              <w:textAlignment w:val="baseline"/>
              <w:rPr>
                <w:rStyle w:val="46"/>
                <w:rFonts w:ascii="宋体" w:hAnsi="宋体"/>
                <w:b/>
                <w:i w:val="0"/>
                <w:caps w:val="0"/>
                <w:spacing w:val="0"/>
                <w:w w:val="100"/>
                <w:kern w:val="2"/>
                <w:sz w:val="24"/>
                <w:szCs w:val="22"/>
                <w:lang w:val="en-US" w:eastAsia="zh-CN" w:bidi="ar-SA"/>
              </w:rPr>
            </w:pPr>
            <w:bookmarkStart w:id="68" w:name="_Toc29543"/>
            <w:r>
              <w:rPr>
                <w:rStyle w:val="46"/>
                <w:rFonts w:ascii="宋体" w:hAnsi="宋体"/>
                <w:b/>
                <w:i w:val="0"/>
                <w:caps w:val="0"/>
                <w:spacing w:val="0"/>
                <w:w w:val="100"/>
                <w:kern w:val="2"/>
                <w:sz w:val="24"/>
                <w:szCs w:val="22"/>
                <w:lang w:val="en-US" w:eastAsia="zh-CN" w:bidi="ar-SA"/>
              </w:rPr>
              <w:t>序号</w:t>
            </w:r>
          </w:p>
        </w:tc>
        <w:tc>
          <w:tcPr>
            <w:tcW w:w="7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400" w:lineRule="exact"/>
              <w:ind w:firstLine="482" w:firstLineChars="200"/>
              <w:jc w:val="center"/>
              <w:textAlignment w:val="baseline"/>
              <w:rPr>
                <w:rStyle w:val="46"/>
                <w:rFonts w:ascii="宋体" w:hAnsi="宋体"/>
                <w:b/>
                <w:i w:val="0"/>
                <w:caps w:val="0"/>
                <w:spacing w:val="0"/>
                <w:w w:val="100"/>
                <w:kern w:val="2"/>
                <w:sz w:val="24"/>
                <w:szCs w:val="22"/>
                <w:lang w:val="en-US" w:eastAsia="zh-CN" w:bidi="ar-SA"/>
              </w:rPr>
            </w:pPr>
            <w:r>
              <w:rPr>
                <w:rStyle w:val="46"/>
                <w:rFonts w:ascii="宋体" w:hAnsi="宋体"/>
                <w:b/>
                <w:i w:val="0"/>
                <w:caps w:val="0"/>
                <w:spacing w:val="0"/>
                <w:w w:val="100"/>
                <w:kern w:val="2"/>
                <w:sz w:val="24"/>
                <w:szCs w:val="22"/>
                <w:lang w:val="en-US" w:eastAsia="zh-CN" w:bidi="ar-SA"/>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val="0"/>
              <w:spacing w:before="0" w:beforeAutospacing="0" w:after="0" w:afterAutospacing="0" w:line="240" w:lineRule="auto"/>
              <w:ind w:firstLine="420" w:firstLineChars="200"/>
              <w:jc w:val="center"/>
              <w:textAlignment w:val="baseline"/>
              <w:rPr>
                <w:rStyle w:val="46"/>
                <w:rFonts w:ascii="宋体" w:hAnsi="宋体"/>
                <w:b w:val="0"/>
                <w:i w:val="0"/>
                <w:caps w:val="0"/>
                <w:color w:val="000000"/>
                <w:spacing w:val="0"/>
                <w:w w:val="100"/>
                <w:kern w:val="2"/>
                <w:sz w:val="21"/>
                <w:szCs w:val="21"/>
                <w:lang w:val="en-US" w:eastAsia="zh-CN" w:bidi="ar-SA"/>
              </w:rPr>
            </w:pPr>
            <w:r>
              <w:rPr>
                <w:rStyle w:val="46"/>
                <w:rFonts w:ascii="宋体" w:hAnsi="宋体"/>
                <w:b w:val="0"/>
                <w:i w:val="0"/>
                <w:caps w:val="0"/>
                <w:color w:val="000000"/>
                <w:spacing w:val="0"/>
                <w:w w:val="100"/>
                <w:kern w:val="2"/>
                <w:sz w:val="21"/>
                <w:szCs w:val="21"/>
                <w:lang w:val="en-US" w:eastAsia="zh-CN" w:bidi="ar-SA"/>
              </w:rPr>
              <w:t>1</w:t>
            </w:r>
          </w:p>
        </w:tc>
        <w:tc>
          <w:tcPr>
            <w:tcW w:w="7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firstLine="420" w:firstLineChars="200"/>
              <w:jc w:val="center"/>
              <w:textAlignment w:val="center"/>
              <w:rPr>
                <w:rStyle w:val="46"/>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val="0"/>
              <w:spacing w:before="0" w:beforeAutospacing="0" w:after="0" w:afterAutospacing="0" w:line="240" w:lineRule="auto"/>
              <w:ind w:firstLine="420" w:firstLineChars="200"/>
              <w:jc w:val="center"/>
              <w:textAlignment w:val="baseline"/>
              <w:rPr>
                <w:rStyle w:val="46"/>
                <w:rFonts w:ascii="宋体" w:hAnsi="宋体"/>
                <w:b w:val="0"/>
                <w:i w:val="0"/>
                <w:caps w:val="0"/>
                <w:color w:val="000000"/>
                <w:spacing w:val="0"/>
                <w:w w:val="100"/>
                <w:kern w:val="2"/>
                <w:sz w:val="21"/>
                <w:szCs w:val="21"/>
                <w:lang w:val="en-US" w:eastAsia="zh-CN" w:bidi="ar-SA"/>
              </w:rPr>
            </w:pPr>
            <w:r>
              <w:rPr>
                <w:rStyle w:val="46"/>
                <w:rFonts w:ascii="宋体" w:hAnsi="宋体"/>
                <w:b w:val="0"/>
                <w:i w:val="0"/>
                <w:caps w:val="0"/>
                <w:color w:val="000000"/>
                <w:spacing w:val="0"/>
                <w:w w:val="100"/>
                <w:kern w:val="2"/>
                <w:sz w:val="21"/>
                <w:szCs w:val="21"/>
                <w:lang w:val="en-US" w:eastAsia="zh-CN" w:bidi="ar-SA"/>
              </w:rPr>
              <w:t>2</w:t>
            </w:r>
          </w:p>
        </w:tc>
        <w:tc>
          <w:tcPr>
            <w:tcW w:w="7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firstLine="420" w:firstLineChars="200"/>
              <w:jc w:val="center"/>
              <w:textAlignment w:val="center"/>
              <w:rPr>
                <w:rStyle w:val="46"/>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val="0"/>
              <w:spacing w:before="0" w:beforeAutospacing="0" w:after="0" w:afterAutospacing="0" w:line="240" w:lineRule="auto"/>
              <w:ind w:firstLine="420" w:firstLineChars="200"/>
              <w:jc w:val="center"/>
              <w:textAlignment w:val="baseline"/>
              <w:rPr>
                <w:rStyle w:val="46"/>
                <w:rFonts w:ascii="宋体" w:hAnsi="宋体"/>
                <w:b w:val="0"/>
                <w:i w:val="0"/>
                <w:caps w:val="0"/>
                <w:color w:val="000000"/>
                <w:spacing w:val="0"/>
                <w:w w:val="100"/>
                <w:kern w:val="2"/>
                <w:sz w:val="21"/>
                <w:szCs w:val="21"/>
                <w:lang w:val="en-US" w:eastAsia="zh-CN" w:bidi="ar-SA"/>
              </w:rPr>
            </w:pPr>
            <w:r>
              <w:rPr>
                <w:rStyle w:val="46"/>
                <w:rFonts w:ascii="宋体" w:hAnsi="宋体"/>
                <w:b w:val="0"/>
                <w:i w:val="0"/>
                <w:caps w:val="0"/>
                <w:color w:val="000000"/>
                <w:spacing w:val="0"/>
                <w:w w:val="100"/>
                <w:kern w:val="2"/>
                <w:sz w:val="21"/>
                <w:szCs w:val="21"/>
                <w:lang w:val="en-US" w:eastAsia="zh-CN" w:bidi="ar-SA"/>
              </w:rPr>
              <w:t>3</w:t>
            </w:r>
          </w:p>
        </w:tc>
        <w:tc>
          <w:tcPr>
            <w:tcW w:w="7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firstLine="420" w:firstLineChars="200"/>
              <w:jc w:val="center"/>
              <w:textAlignment w:val="center"/>
              <w:rPr>
                <w:rStyle w:val="46"/>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val="0"/>
              <w:spacing w:before="0" w:beforeAutospacing="0" w:after="0" w:afterAutospacing="0" w:line="240" w:lineRule="auto"/>
              <w:ind w:firstLine="420" w:firstLineChars="200"/>
              <w:jc w:val="center"/>
              <w:textAlignment w:val="baseline"/>
              <w:rPr>
                <w:rStyle w:val="46"/>
                <w:rFonts w:ascii="宋体" w:hAnsi="宋体"/>
                <w:b w:val="0"/>
                <w:i w:val="0"/>
                <w:caps w:val="0"/>
                <w:color w:val="000000"/>
                <w:spacing w:val="0"/>
                <w:w w:val="100"/>
                <w:kern w:val="2"/>
                <w:sz w:val="21"/>
                <w:szCs w:val="21"/>
                <w:lang w:val="en-US" w:eastAsia="zh-CN" w:bidi="ar-SA"/>
              </w:rPr>
            </w:pPr>
            <w:r>
              <w:rPr>
                <w:rStyle w:val="46"/>
                <w:rFonts w:ascii="宋体" w:hAnsi="宋体"/>
                <w:b w:val="0"/>
                <w:i w:val="0"/>
                <w:caps w:val="0"/>
                <w:color w:val="000000"/>
                <w:spacing w:val="0"/>
                <w:w w:val="100"/>
                <w:kern w:val="2"/>
                <w:sz w:val="21"/>
                <w:szCs w:val="21"/>
                <w:lang w:val="en-US" w:eastAsia="zh-CN" w:bidi="ar-SA"/>
              </w:rPr>
              <w:t>…</w:t>
            </w:r>
          </w:p>
        </w:tc>
        <w:tc>
          <w:tcPr>
            <w:tcW w:w="7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firstLine="420" w:firstLineChars="200"/>
              <w:jc w:val="center"/>
              <w:textAlignment w:val="center"/>
              <w:rPr>
                <w:rStyle w:val="46"/>
                <w:rFonts w:ascii="宋体" w:hAnsi="宋体"/>
                <w:b w:val="0"/>
                <w:i w:val="0"/>
                <w:caps w:val="0"/>
                <w:color w:val="000000"/>
                <w:spacing w:val="0"/>
                <w:w w:val="100"/>
                <w:kern w:val="2"/>
                <w:sz w:val="21"/>
                <w:szCs w:val="21"/>
                <w:lang w:val="en-US" w:eastAsia="zh-CN" w:bidi="ar-SA"/>
              </w:rPr>
            </w:pPr>
          </w:p>
        </w:tc>
      </w:tr>
    </w:tbl>
    <w:p>
      <w:pPr>
        <w:keepNext w:val="0"/>
        <w:keepLines w:val="0"/>
        <w:pageBreakBefore w:val="0"/>
        <w:widowControl w:val="0"/>
        <w:wordWrap/>
        <w:overflowPunct/>
        <w:topLinePunct w:val="0"/>
        <w:autoSpaceDE/>
        <w:autoSpaceDN/>
        <w:bidi w:val="0"/>
        <w:adjustRightInd/>
        <w:spacing w:line="360" w:lineRule="auto"/>
        <w:ind w:firstLine="480" w:firstLineChars="200"/>
        <w:outlineLvl w:val="9"/>
        <w:rPr>
          <w:rStyle w:val="46"/>
          <w:rFonts w:ascii="宋体" w:hAnsi="宋体"/>
          <w:b w:val="0"/>
          <w:i w:val="0"/>
          <w:caps w:val="0"/>
          <w:spacing w:val="0"/>
          <w:w w:val="100"/>
          <w:kern w:val="2"/>
          <w:sz w:val="24"/>
          <w:szCs w:val="24"/>
          <w:lang w:val="en-US" w:eastAsia="zh-CN" w:bidi="ar-SA"/>
        </w:rPr>
      </w:pPr>
      <w:r>
        <w:rPr>
          <w:rStyle w:val="46"/>
          <w:rFonts w:ascii="宋体" w:hAnsi="宋体"/>
          <w:b w:val="0"/>
          <w:i w:val="0"/>
          <w:caps w:val="0"/>
          <w:spacing w:val="0"/>
          <w:w w:val="100"/>
          <w:kern w:val="2"/>
          <w:sz w:val="24"/>
          <w:szCs w:val="24"/>
          <w:lang w:val="en-US" w:eastAsia="zh-CN" w:bidi="ar-SA"/>
        </w:rPr>
        <w:t>乙方负责按以上确定的服务及配套内容进行服务，及时制定服务计划，确保所有服务有序、安全、全面进行，做好服务工作。</w:t>
      </w:r>
    </w:p>
    <w:p>
      <w:pPr>
        <w:keepNext w:val="0"/>
        <w:keepLines w:val="0"/>
        <w:pageBreakBefore w:val="0"/>
        <w:widowControl w:val="0"/>
        <w:wordWrap/>
        <w:overflowPunct/>
        <w:topLinePunct w:val="0"/>
        <w:autoSpaceDE/>
        <w:autoSpaceDN/>
        <w:bidi w:val="0"/>
        <w:adjustRightInd/>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二、合同价格</w:t>
      </w:r>
      <w:bookmarkEnd w:id="68"/>
    </w:p>
    <w:tbl>
      <w:tblPr>
        <w:tblStyle w:val="22"/>
        <w:tblW w:w="8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
        <w:gridCol w:w="3261"/>
        <w:gridCol w:w="4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400" w:lineRule="exact"/>
              <w:jc w:val="both"/>
              <w:textAlignment w:val="baseline"/>
              <w:rPr>
                <w:rStyle w:val="46"/>
                <w:rFonts w:ascii="宋体" w:hAnsi="宋体"/>
                <w:b/>
                <w:i w:val="0"/>
                <w:caps w:val="0"/>
                <w:spacing w:val="0"/>
                <w:w w:val="100"/>
                <w:kern w:val="2"/>
                <w:sz w:val="24"/>
                <w:szCs w:val="22"/>
                <w:lang w:val="en-US" w:eastAsia="zh-CN" w:bidi="ar-SA"/>
              </w:rPr>
            </w:pPr>
            <w:r>
              <w:rPr>
                <w:rStyle w:val="46"/>
                <w:rFonts w:ascii="宋体" w:hAnsi="宋体"/>
                <w:b/>
                <w:i w:val="0"/>
                <w:caps w:val="0"/>
                <w:spacing w:val="0"/>
                <w:w w:val="100"/>
                <w:kern w:val="2"/>
                <w:sz w:val="24"/>
                <w:szCs w:val="22"/>
                <w:lang w:val="en-US" w:eastAsia="zh-CN" w:bidi="ar-SA"/>
              </w:rPr>
              <w:t>序号</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400" w:lineRule="exact"/>
              <w:ind w:firstLine="482" w:firstLineChars="200"/>
              <w:jc w:val="center"/>
              <w:textAlignment w:val="baseline"/>
              <w:rPr>
                <w:rStyle w:val="46"/>
                <w:rFonts w:ascii="宋体" w:hAnsi="宋体"/>
                <w:b/>
                <w:i w:val="0"/>
                <w:caps w:val="0"/>
                <w:spacing w:val="0"/>
                <w:w w:val="100"/>
                <w:kern w:val="2"/>
                <w:sz w:val="24"/>
                <w:szCs w:val="22"/>
                <w:lang w:val="en-US" w:eastAsia="zh-CN" w:bidi="ar-SA"/>
              </w:rPr>
            </w:pPr>
            <w:r>
              <w:rPr>
                <w:rStyle w:val="46"/>
                <w:rFonts w:ascii="宋体" w:hAnsi="宋体"/>
                <w:b/>
                <w:i w:val="0"/>
                <w:caps w:val="0"/>
                <w:spacing w:val="0"/>
                <w:w w:val="100"/>
                <w:kern w:val="2"/>
                <w:sz w:val="24"/>
                <w:szCs w:val="22"/>
                <w:lang w:val="en-US" w:eastAsia="zh-CN" w:bidi="ar-SA"/>
              </w:rPr>
              <w:t>服务内容</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400" w:lineRule="exact"/>
              <w:ind w:firstLine="482" w:firstLineChars="200"/>
              <w:jc w:val="center"/>
              <w:textAlignment w:val="baseline"/>
              <w:rPr>
                <w:rStyle w:val="46"/>
                <w:rFonts w:ascii="宋体" w:hAnsi="宋体"/>
                <w:b/>
                <w:i w:val="0"/>
                <w:caps w:val="0"/>
                <w:spacing w:val="0"/>
                <w:w w:val="100"/>
                <w:kern w:val="2"/>
                <w:sz w:val="24"/>
                <w:szCs w:val="22"/>
                <w:lang w:val="en-US" w:eastAsia="zh-CN" w:bidi="ar-SA"/>
              </w:rPr>
            </w:pPr>
            <w:r>
              <w:rPr>
                <w:rStyle w:val="46"/>
                <w:rFonts w:hint="eastAsia" w:ascii="宋体" w:hAnsi="宋体"/>
                <w:b/>
                <w:i w:val="0"/>
                <w:caps w:val="0"/>
                <w:spacing w:val="0"/>
                <w:w w:val="100"/>
                <w:kern w:val="2"/>
                <w:sz w:val="24"/>
                <w:szCs w:val="22"/>
                <w:lang w:val="en-US" w:eastAsia="zh-CN" w:bidi="ar-SA"/>
              </w:rPr>
              <w:t>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exact"/>
          <w:jc w:val="center"/>
        </w:trPr>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val="0"/>
              <w:spacing w:before="0" w:beforeAutospacing="0" w:after="0" w:afterAutospacing="0" w:line="240" w:lineRule="auto"/>
              <w:ind w:firstLine="420" w:firstLineChars="200"/>
              <w:jc w:val="center"/>
              <w:textAlignment w:val="baseline"/>
              <w:rPr>
                <w:rStyle w:val="46"/>
                <w:rFonts w:ascii="宋体" w:hAnsi="宋体"/>
                <w:b w:val="0"/>
                <w:i w:val="0"/>
                <w:caps w:val="0"/>
                <w:color w:val="000000"/>
                <w:spacing w:val="0"/>
                <w:w w:val="100"/>
                <w:kern w:val="2"/>
                <w:sz w:val="21"/>
                <w:szCs w:val="21"/>
                <w:lang w:val="en-US" w:eastAsia="zh-CN" w:bidi="ar-SA"/>
              </w:rPr>
            </w:pPr>
            <w:r>
              <w:rPr>
                <w:rStyle w:val="46"/>
                <w:rFonts w:ascii="宋体" w:hAnsi="宋体"/>
                <w:b w:val="0"/>
                <w:i w:val="0"/>
                <w:caps w:val="0"/>
                <w:color w:val="000000"/>
                <w:spacing w:val="0"/>
                <w:w w:val="100"/>
                <w:kern w:val="2"/>
                <w:sz w:val="21"/>
                <w:szCs w:val="21"/>
                <w:lang w:val="en-US" w:eastAsia="zh-CN" w:bidi="ar-SA"/>
              </w:rPr>
              <w:t>1</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firstLine="420" w:firstLineChars="200"/>
              <w:jc w:val="center"/>
              <w:textAlignment w:val="center"/>
              <w:rPr>
                <w:rStyle w:val="46"/>
                <w:rFonts w:ascii="宋体" w:hAnsi="宋体"/>
                <w:b w:val="0"/>
                <w:i w:val="0"/>
                <w:caps w:val="0"/>
                <w:color w:val="000000"/>
                <w:spacing w:val="0"/>
                <w:w w:val="100"/>
                <w:kern w:val="2"/>
                <w:sz w:val="21"/>
                <w:szCs w:val="21"/>
                <w:lang w:val="en-US" w:eastAsia="zh-CN" w:bidi="ar-SA"/>
              </w:rPr>
            </w:pPr>
          </w:p>
        </w:tc>
        <w:tc>
          <w:tcPr>
            <w:tcW w:w="4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firstLine="420" w:firstLineChars="200"/>
              <w:jc w:val="center"/>
              <w:textAlignment w:val="center"/>
              <w:rPr>
                <w:rStyle w:val="46"/>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exact"/>
          <w:jc w:val="center"/>
        </w:trPr>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val="0"/>
              <w:spacing w:before="0" w:beforeAutospacing="0" w:after="0" w:afterAutospacing="0" w:line="240" w:lineRule="auto"/>
              <w:ind w:firstLine="420" w:firstLineChars="200"/>
              <w:jc w:val="center"/>
              <w:textAlignment w:val="baseline"/>
              <w:rPr>
                <w:rStyle w:val="46"/>
                <w:rFonts w:ascii="宋体" w:hAnsi="宋体"/>
                <w:b w:val="0"/>
                <w:i w:val="0"/>
                <w:caps w:val="0"/>
                <w:color w:val="000000"/>
                <w:spacing w:val="0"/>
                <w:w w:val="100"/>
                <w:kern w:val="2"/>
                <w:sz w:val="21"/>
                <w:szCs w:val="21"/>
                <w:lang w:val="en-US" w:eastAsia="zh-CN" w:bidi="ar-SA"/>
              </w:rPr>
            </w:pPr>
            <w:r>
              <w:rPr>
                <w:rStyle w:val="46"/>
                <w:rFonts w:ascii="宋体" w:hAnsi="宋体"/>
                <w:b w:val="0"/>
                <w:i w:val="0"/>
                <w:caps w:val="0"/>
                <w:color w:val="000000"/>
                <w:spacing w:val="0"/>
                <w:w w:val="100"/>
                <w:kern w:val="2"/>
                <w:sz w:val="21"/>
                <w:szCs w:val="21"/>
                <w:lang w:val="en-US" w:eastAsia="zh-CN" w:bidi="ar-SA"/>
              </w:rPr>
              <w:t>2</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firstLine="420" w:firstLineChars="200"/>
              <w:jc w:val="center"/>
              <w:textAlignment w:val="center"/>
              <w:rPr>
                <w:rStyle w:val="46"/>
                <w:rFonts w:ascii="宋体" w:hAnsi="宋体"/>
                <w:b w:val="0"/>
                <w:i w:val="0"/>
                <w:caps w:val="0"/>
                <w:color w:val="000000"/>
                <w:spacing w:val="0"/>
                <w:w w:val="100"/>
                <w:kern w:val="2"/>
                <w:sz w:val="21"/>
                <w:szCs w:val="21"/>
                <w:lang w:val="en-US" w:eastAsia="zh-CN" w:bidi="ar-SA"/>
              </w:rPr>
            </w:pPr>
          </w:p>
        </w:tc>
        <w:tc>
          <w:tcPr>
            <w:tcW w:w="4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firstLine="420" w:firstLineChars="200"/>
              <w:jc w:val="center"/>
              <w:textAlignment w:val="center"/>
              <w:rPr>
                <w:rStyle w:val="46"/>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exact"/>
          <w:jc w:val="center"/>
        </w:trPr>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val="0"/>
              <w:spacing w:before="0" w:beforeAutospacing="0" w:after="0" w:afterAutospacing="0" w:line="240" w:lineRule="auto"/>
              <w:ind w:firstLine="420" w:firstLineChars="200"/>
              <w:jc w:val="center"/>
              <w:textAlignment w:val="baseline"/>
              <w:rPr>
                <w:rStyle w:val="46"/>
                <w:rFonts w:ascii="宋体" w:hAnsi="宋体"/>
                <w:b w:val="0"/>
                <w:i w:val="0"/>
                <w:caps w:val="0"/>
                <w:color w:val="000000"/>
                <w:spacing w:val="0"/>
                <w:w w:val="100"/>
                <w:kern w:val="2"/>
                <w:sz w:val="21"/>
                <w:szCs w:val="21"/>
                <w:lang w:val="en-US" w:eastAsia="zh-CN" w:bidi="ar-SA"/>
              </w:rPr>
            </w:pPr>
            <w:r>
              <w:rPr>
                <w:rStyle w:val="46"/>
                <w:rFonts w:ascii="宋体" w:hAnsi="宋体"/>
                <w:b w:val="0"/>
                <w:i w:val="0"/>
                <w:caps w:val="0"/>
                <w:color w:val="000000"/>
                <w:spacing w:val="0"/>
                <w:w w:val="100"/>
                <w:kern w:val="2"/>
                <w:sz w:val="21"/>
                <w:szCs w:val="21"/>
                <w:lang w:val="en-US" w:eastAsia="zh-CN" w:bidi="ar-SA"/>
              </w:rPr>
              <w:t>3</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firstLine="420" w:firstLineChars="200"/>
              <w:jc w:val="center"/>
              <w:textAlignment w:val="center"/>
              <w:rPr>
                <w:rStyle w:val="46"/>
                <w:rFonts w:ascii="宋体" w:hAnsi="宋体"/>
                <w:b w:val="0"/>
                <w:i w:val="0"/>
                <w:caps w:val="0"/>
                <w:color w:val="000000"/>
                <w:spacing w:val="0"/>
                <w:w w:val="100"/>
                <w:kern w:val="2"/>
                <w:sz w:val="21"/>
                <w:szCs w:val="21"/>
                <w:lang w:val="en-US" w:eastAsia="zh-CN" w:bidi="ar-SA"/>
              </w:rPr>
            </w:pPr>
          </w:p>
        </w:tc>
        <w:tc>
          <w:tcPr>
            <w:tcW w:w="4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firstLine="420" w:firstLineChars="200"/>
              <w:jc w:val="center"/>
              <w:textAlignment w:val="center"/>
              <w:rPr>
                <w:rStyle w:val="46"/>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val="0"/>
              <w:spacing w:before="0" w:beforeAutospacing="0" w:after="0" w:afterAutospacing="0" w:line="240" w:lineRule="auto"/>
              <w:ind w:firstLine="420" w:firstLineChars="200"/>
              <w:jc w:val="center"/>
              <w:textAlignment w:val="baseline"/>
              <w:rPr>
                <w:rStyle w:val="46"/>
                <w:rFonts w:ascii="宋体" w:hAnsi="宋体"/>
                <w:b w:val="0"/>
                <w:i w:val="0"/>
                <w:caps w:val="0"/>
                <w:color w:val="000000"/>
                <w:spacing w:val="0"/>
                <w:w w:val="100"/>
                <w:kern w:val="2"/>
                <w:sz w:val="21"/>
                <w:szCs w:val="21"/>
                <w:lang w:val="en-US" w:eastAsia="zh-CN" w:bidi="ar-SA"/>
              </w:rPr>
            </w:pPr>
            <w:r>
              <w:rPr>
                <w:rStyle w:val="46"/>
                <w:rFonts w:ascii="宋体" w:hAnsi="宋体"/>
                <w:b w:val="0"/>
                <w:i w:val="0"/>
                <w:caps w:val="0"/>
                <w:color w:val="000000"/>
                <w:spacing w:val="0"/>
                <w:w w:val="100"/>
                <w:kern w:val="2"/>
                <w:sz w:val="21"/>
                <w:szCs w:val="21"/>
                <w:lang w:val="en-US" w:eastAsia="zh-CN" w:bidi="ar-SA"/>
              </w:rPr>
              <w:t>…</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firstLine="420" w:firstLineChars="200"/>
              <w:jc w:val="center"/>
              <w:textAlignment w:val="center"/>
              <w:rPr>
                <w:rStyle w:val="46"/>
                <w:rFonts w:ascii="宋体" w:hAnsi="宋体"/>
                <w:b w:val="0"/>
                <w:i w:val="0"/>
                <w:caps w:val="0"/>
                <w:color w:val="000000"/>
                <w:spacing w:val="0"/>
                <w:w w:val="100"/>
                <w:kern w:val="2"/>
                <w:sz w:val="21"/>
                <w:szCs w:val="21"/>
                <w:lang w:val="en-US" w:eastAsia="zh-CN" w:bidi="ar-SA"/>
              </w:rPr>
            </w:pPr>
          </w:p>
        </w:tc>
        <w:tc>
          <w:tcPr>
            <w:tcW w:w="4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firstLine="420" w:firstLineChars="200"/>
              <w:jc w:val="center"/>
              <w:textAlignment w:val="center"/>
              <w:rPr>
                <w:rStyle w:val="46"/>
                <w:rFonts w:ascii="宋体" w:hAnsi="宋体"/>
                <w:b w:val="0"/>
                <w:i w:val="0"/>
                <w:caps w:val="0"/>
                <w:color w:val="000000"/>
                <w:spacing w:val="0"/>
                <w:w w:val="100"/>
                <w:kern w:val="2"/>
                <w:sz w:val="21"/>
                <w:szCs w:val="21"/>
                <w:lang w:val="en-US" w:eastAsia="zh-CN" w:bidi="ar-SA"/>
              </w:rPr>
            </w:pPr>
          </w:p>
        </w:tc>
      </w:tr>
    </w:tbl>
    <w:p>
      <w:pPr>
        <w:keepNext w:val="0"/>
        <w:keepLines w:val="0"/>
        <w:pageBreakBefore w:val="0"/>
        <w:widowControl w:val="0"/>
        <w:wordWrap/>
        <w:overflowPunct/>
        <w:topLinePunct w:val="0"/>
        <w:autoSpaceDE/>
        <w:autoSpaceDN/>
        <w:bidi w:val="0"/>
        <w:adjustRightInd/>
        <w:spacing w:line="360" w:lineRule="auto"/>
        <w:ind w:firstLine="482" w:firstLineChars="200"/>
        <w:outlineLvl w:val="9"/>
        <w:rPr>
          <w:rFonts w:hint="eastAsia" w:ascii="宋体" w:hAnsi="宋体" w:eastAsia="宋体" w:cs="宋体"/>
          <w:b/>
          <w:sz w:val="24"/>
          <w:szCs w:val="24"/>
        </w:rPr>
      </w:pPr>
      <w:bookmarkStart w:id="69" w:name="_Toc5501"/>
      <w:r>
        <w:rPr>
          <w:rFonts w:hint="eastAsia" w:ascii="宋体" w:hAnsi="宋体" w:eastAsia="宋体" w:cs="宋体"/>
          <w:b/>
          <w:sz w:val="24"/>
          <w:szCs w:val="24"/>
          <w:lang w:eastAsia="zh-CN"/>
        </w:rPr>
        <w:t>三</w:t>
      </w:r>
      <w:r>
        <w:rPr>
          <w:rFonts w:hint="eastAsia" w:ascii="宋体" w:hAnsi="宋体" w:eastAsia="宋体" w:cs="宋体"/>
          <w:b/>
          <w:sz w:val="24"/>
          <w:szCs w:val="24"/>
        </w:rPr>
        <w:t>、交货条件</w:t>
      </w:r>
      <w:bookmarkEnd w:id="69"/>
    </w:p>
    <w:p>
      <w:pPr>
        <w:keepNext w:val="0"/>
        <w:keepLines w:val="0"/>
        <w:pageBreakBefore w:val="0"/>
        <w:widowControl w:val="0"/>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乙方负责按合同中确定内容进行服务；按时完成采购项目工作，达到甲方要求；负责为甲方做好实施和售后服务工作。交付的货物、服务与响应文件、</w:t>
      </w:r>
      <w:r>
        <w:rPr>
          <w:rFonts w:hint="eastAsia" w:ascii="宋体" w:hAnsi="宋体" w:eastAsia="宋体" w:cs="宋体"/>
          <w:sz w:val="24"/>
          <w:szCs w:val="24"/>
          <w:lang w:eastAsia="zh-CN"/>
        </w:rPr>
        <w:t>竞争性谈判</w:t>
      </w:r>
      <w:r>
        <w:rPr>
          <w:rFonts w:hint="eastAsia" w:ascii="宋体" w:hAnsi="宋体" w:eastAsia="宋体" w:cs="宋体"/>
          <w:sz w:val="24"/>
          <w:szCs w:val="24"/>
          <w:lang w:val="zh-CN"/>
        </w:rPr>
        <w:t>文件等所指明的，或者与本合同所指明的内容相一致。</w:t>
      </w:r>
    </w:p>
    <w:p>
      <w:pPr>
        <w:keepNext w:val="0"/>
        <w:keepLines w:val="0"/>
        <w:pageBreakBefore w:val="0"/>
        <w:widowControl w:val="0"/>
        <w:wordWrap/>
        <w:overflowPunct/>
        <w:topLinePunct w:val="0"/>
        <w:autoSpaceDE/>
        <w:autoSpaceDN/>
        <w:bidi w:val="0"/>
        <w:adjustRightInd/>
        <w:spacing w:line="360" w:lineRule="auto"/>
        <w:ind w:firstLine="482" w:firstLineChars="200"/>
        <w:outlineLvl w:val="9"/>
        <w:rPr>
          <w:rFonts w:hint="eastAsia" w:ascii="宋体" w:hAnsi="宋体" w:eastAsia="宋体" w:cs="宋体"/>
          <w:b/>
          <w:sz w:val="24"/>
          <w:szCs w:val="24"/>
        </w:rPr>
      </w:pPr>
      <w:bookmarkStart w:id="70" w:name="_Toc25694"/>
      <w:r>
        <w:rPr>
          <w:rFonts w:hint="eastAsia" w:ascii="宋体" w:hAnsi="宋体" w:eastAsia="宋体" w:cs="宋体"/>
          <w:b/>
          <w:sz w:val="24"/>
          <w:szCs w:val="24"/>
          <w:lang w:eastAsia="zh-CN"/>
        </w:rPr>
        <w:t>四</w:t>
      </w:r>
      <w:r>
        <w:rPr>
          <w:rFonts w:hint="eastAsia" w:ascii="宋体" w:hAnsi="宋体" w:eastAsia="宋体" w:cs="宋体"/>
          <w:b/>
          <w:sz w:val="24"/>
          <w:szCs w:val="24"/>
        </w:rPr>
        <w:t>、付款方式</w:t>
      </w:r>
      <w:bookmarkEnd w:id="70"/>
    </w:p>
    <w:p>
      <w:pPr>
        <w:keepNext w:val="0"/>
        <w:keepLines w:val="0"/>
        <w:pageBreakBefore w:val="0"/>
        <w:widowControl w:val="0"/>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1.结算单位：采购人结算，在付款前必须开具全额增值税专用发票给采购人。</w:t>
      </w:r>
    </w:p>
    <w:p>
      <w:pPr>
        <w:keepNext w:val="0"/>
        <w:keepLines w:val="0"/>
        <w:pageBreakBefore w:val="0"/>
        <w:widowControl w:val="0"/>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2.付款方式：一次性付款</w:t>
      </w:r>
      <w:r>
        <w:rPr>
          <w:rFonts w:hint="eastAsia" w:ascii="宋体" w:hAnsi="宋体" w:eastAsia="宋体" w:cs="宋体"/>
          <w:sz w:val="24"/>
          <w:szCs w:val="24"/>
          <w:highlight w:val="none"/>
          <w:lang w:val="zh-CN"/>
        </w:rPr>
        <w:t>。</w:t>
      </w:r>
    </w:p>
    <w:p>
      <w:pPr>
        <w:keepNext w:val="0"/>
        <w:keepLines w:val="0"/>
        <w:pageBreakBefore w:val="0"/>
        <w:widowControl w:val="0"/>
        <w:tabs>
          <w:tab w:val="left" w:pos="840"/>
        </w:tabs>
        <w:wordWrap/>
        <w:overflowPunct/>
        <w:topLinePunct w:val="0"/>
        <w:autoSpaceDE/>
        <w:autoSpaceDN/>
        <w:bidi w:val="0"/>
        <w:adjustRightInd/>
        <w:spacing w:line="360" w:lineRule="auto"/>
        <w:ind w:firstLine="482" w:firstLineChars="200"/>
        <w:outlineLvl w:val="9"/>
        <w:rPr>
          <w:rFonts w:hint="eastAsia" w:ascii="宋体" w:hAnsi="宋体" w:eastAsia="宋体" w:cs="宋体"/>
          <w:b/>
          <w:sz w:val="24"/>
          <w:szCs w:val="24"/>
        </w:rPr>
      </w:pPr>
      <w:bookmarkStart w:id="71" w:name="_Toc27851"/>
      <w:r>
        <w:rPr>
          <w:rFonts w:hint="eastAsia" w:ascii="宋体" w:hAnsi="宋体" w:eastAsia="宋体" w:cs="宋体"/>
          <w:b/>
          <w:sz w:val="24"/>
          <w:szCs w:val="24"/>
          <w:lang w:eastAsia="zh-CN"/>
        </w:rPr>
        <w:t>五</w:t>
      </w:r>
      <w:r>
        <w:rPr>
          <w:rFonts w:hint="eastAsia" w:ascii="宋体" w:hAnsi="宋体" w:eastAsia="宋体" w:cs="宋体"/>
          <w:b/>
          <w:sz w:val="24"/>
          <w:szCs w:val="24"/>
        </w:rPr>
        <w:t>、双方的权利和义务</w:t>
      </w:r>
      <w:bookmarkEnd w:id="71"/>
    </w:p>
    <w:p>
      <w:pPr>
        <w:keepNext w:val="0"/>
        <w:keepLines w:val="0"/>
        <w:pageBreakBefore w:val="0"/>
        <w:widowControl w:val="0"/>
        <w:tabs>
          <w:tab w:val="left" w:pos="840"/>
        </w:tabs>
        <w:wordWrap/>
        <w:overflowPunct/>
        <w:topLinePunct w:val="0"/>
        <w:autoSpaceDE/>
        <w:autoSpaceDN/>
        <w:bidi w:val="0"/>
        <w:adjustRightInd/>
        <w:spacing w:line="360" w:lineRule="auto"/>
        <w:ind w:firstLine="480" w:firstLineChars="200"/>
        <w:outlineLvl w:val="9"/>
        <w:rPr>
          <w:rFonts w:hint="eastAsia" w:ascii="宋体" w:hAnsi="宋体" w:eastAsia="宋体" w:cs="宋体"/>
          <w:sz w:val="24"/>
          <w:szCs w:val="24"/>
        </w:rPr>
      </w:pPr>
      <w:bookmarkStart w:id="72" w:name="_Toc29312"/>
      <w:r>
        <w:rPr>
          <w:rFonts w:hint="eastAsia" w:ascii="宋体" w:hAnsi="宋体" w:eastAsia="宋体" w:cs="宋体"/>
          <w:sz w:val="24"/>
          <w:szCs w:val="24"/>
        </w:rPr>
        <w:t>1、甲方责任</w:t>
      </w:r>
      <w:bookmarkEnd w:id="72"/>
    </w:p>
    <w:p>
      <w:pPr>
        <w:keepNext w:val="0"/>
        <w:keepLines w:val="0"/>
        <w:pageBreakBefore w:val="0"/>
        <w:widowControl w:val="0"/>
        <w:tabs>
          <w:tab w:val="left" w:pos="840"/>
        </w:tabs>
        <w:wordWrap/>
        <w:overflowPunct/>
        <w:topLinePunct w:val="0"/>
        <w:autoSpaceDE/>
        <w:autoSpaceDN/>
        <w:bidi w:val="0"/>
        <w:adjustRightIn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负责核准、认定本项目相关技术资料文档；监督、参与项目执行的整个过程为乙方提供必要的工作条件，并提供产品及服务所必需的运行环境；按照合同约定支付合同款项。</w:t>
      </w:r>
    </w:p>
    <w:p>
      <w:pPr>
        <w:keepNext w:val="0"/>
        <w:keepLines w:val="0"/>
        <w:pageBreakBefore w:val="0"/>
        <w:widowControl w:val="0"/>
        <w:tabs>
          <w:tab w:val="left" w:pos="840"/>
        </w:tabs>
        <w:wordWrap/>
        <w:overflowPunct/>
        <w:topLinePunct w:val="0"/>
        <w:autoSpaceDE/>
        <w:autoSpaceDN/>
        <w:bidi w:val="0"/>
        <w:adjustRightInd/>
        <w:spacing w:line="360" w:lineRule="auto"/>
        <w:ind w:left="0" w:leftChars="0" w:firstLine="480" w:firstLineChars="200"/>
        <w:outlineLvl w:val="9"/>
        <w:rPr>
          <w:rFonts w:hint="eastAsia" w:ascii="宋体" w:hAnsi="宋体" w:eastAsia="宋体" w:cs="宋体"/>
          <w:sz w:val="24"/>
          <w:szCs w:val="24"/>
        </w:rPr>
      </w:pPr>
      <w:bookmarkStart w:id="73" w:name="_Toc27354"/>
      <w:r>
        <w:rPr>
          <w:rFonts w:hint="eastAsia" w:ascii="宋体" w:hAnsi="宋体" w:eastAsia="宋体" w:cs="宋体"/>
          <w:sz w:val="24"/>
          <w:szCs w:val="24"/>
        </w:rPr>
        <w:t>2、乙方责任</w:t>
      </w:r>
      <w:bookmarkEnd w:id="73"/>
    </w:p>
    <w:p>
      <w:pPr>
        <w:keepNext w:val="0"/>
        <w:keepLines w:val="0"/>
        <w:pageBreakBefore w:val="0"/>
        <w:widowControl w:val="0"/>
        <w:tabs>
          <w:tab w:val="left" w:pos="840"/>
        </w:tabs>
        <w:wordWrap/>
        <w:overflowPunct/>
        <w:topLinePunct w:val="0"/>
        <w:autoSpaceDE/>
        <w:autoSpaceDN/>
        <w:bidi w:val="0"/>
        <w:adjustRightIn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项目的交接；按时完成本合同所涉及产品及服务项目的验收工作；协助配合甲方完成</w:t>
      </w:r>
      <w:r>
        <w:rPr>
          <w:rFonts w:hint="eastAsia" w:ascii="宋体" w:hAnsi="宋体" w:eastAsia="宋体" w:cs="宋体"/>
          <w:sz w:val="24"/>
          <w:szCs w:val="24"/>
          <w:lang w:eastAsia="zh-CN"/>
        </w:rPr>
        <w:t>采购项目</w:t>
      </w:r>
      <w:r>
        <w:rPr>
          <w:rFonts w:hint="eastAsia" w:ascii="宋体" w:hAnsi="宋体" w:eastAsia="宋体" w:cs="宋体"/>
          <w:sz w:val="24"/>
          <w:szCs w:val="24"/>
        </w:rPr>
        <w:t>；做好整个项目的售后服务技术支持工作。</w:t>
      </w:r>
    </w:p>
    <w:p>
      <w:pPr>
        <w:keepNext w:val="0"/>
        <w:keepLines w:val="0"/>
        <w:pageBreakBefore w:val="0"/>
        <w:widowControl w:val="0"/>
        <w:tabs>
          <w:tab w:val="left" w:pos="840"/>
        </w:tabs>
        <w:wordWrap/>
        <w:overflowPunct/>
        <w:topLinePunct w:val="0"/>
        <w:autoSpaceDE/>
        <w:autoSpaceDN/>
        <w:bidi w:val="0"/>
        <w:adjustRightInd/>
        <w:spacing w:line="360" w:lineRule="auto"/>
        <w:ind w:firstLine="482" w:firstLineChars="200"/>
        <w:outlineLvl w:val="9"/>
        <w:rPr>
          <w:rFonts w:hint="eastAsia" w:ascii="宋体" w:hAnsi="宋体" w:eastAsia="宋体" w:cs="宋体"/>
          <w:b/>
          <w:sz w:val="24"/>
          <w:szCs w:val="24"/>
        </w:rPr>
      </w:pPr>
      <w:bookmarkStart w:id="74" w:name="_Toc22476"/>
      <w:r>
        <w:rPr>
          <w:rFonts w:hint="eastAsia" w:ascii="宋体" w:hAnsi="宋体" w:eastAsia="宋体" w:cs="宋体"/>
          <w:b/>
          <w:sz w:val="24"/>
          <w:szCs w:val="24"/>
          <w:lang w:eastAsia="zh-CN"/>
        </w:rPr>
        <w:t>六</w:t>
      </w:r>
      <w:r>
        <w:rPr>
          <w:rFonts w:hint="eastAsia" w:ascii="宋体" w:hAnsi="宋体" w:eastAsia="宋体" w:cs="宋体"/>
          <w:b/>
          <w:sz w:val="24"/>
          <w:szCs w:val="24"/>
        </w:rPr>
        <w:t>、质量保证</w:t>
      </w:r>
      <w:bookmarkEnd w:id="74"/>
    </w:p>
    <w:p>
      <w:pPr>
        <w:keepNext w:val="0"/>
        <w:keepLines w:val="0"/>
        <w:pageBreakBefore w:val="0"/>
        <w:widowControl w:val="0"/>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Style w:val="46"/>
          <w:rFonts w:ascii="宋体" w:hAnsi="宋体"/>
          <w:b w:val="0"/>
          <w:i w:val="0"/>
          <w:caps w:val="0"/>
          <w:spacing w:val="0"/>
          <w:w w:val="100"/>
          <w:kern w:val="2"/>
          <w:sz w:val="24"/>
          <w:szCs w:val="22"/>
          <w:lang w:val="en-US" w:eastAsia="zh-CN" w:bidi="ar-SA"/>
        </w:rPr>
      </w:pPr>
      <w:bookmarkStart w:id="75" w:name="_Toc27163"/>
      <w:r>
        <w:rPr>
          <w:rStyle w:val="46"/>
          <w:rFonts w:ascii="宋体" w:hAnsi="宋体"/>
          <w:b w:val="0"/>
          <w:i w:val="0"/>
          <w:caps w:val="0"/>
          <w:spacing w:val="0"/>
          <w:w w:val="100"/>
          <w:kern w:val="2"/>
          <w:sz w:val="24"/>
          <w:szCs w:val="22"/>
          <w:lang w:val="en-US" w:eastAsia="zh-CN" w:bidi="ar-SA"/>
        </w:rPr>
        <w:t>1、乙方保证所提供的服务有保障措施，包括组织保障、人员保障、产品保障，并安全按照相应文件计划、安排、配置进行；</w:t>
      </w:r>
    </w:p>
    <w:p>
      <w:pPr>
        <w:keepNext w:val="0"/>
        <w:keepLines w:val="0"/>
        <w:pageBreakBefore w:val="0"/>
        <w:widowControl w:val="0"/>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Style w:val="46"/>
          <w:rFonts w:ascii="宋体" w:hAnsi="宋体"/>
          <w:b w:val="0"/>
          <w:i w:val="0"/>
          <w:caps w:val="0"/>
          <w:spacing w:val="0"/>
          <w:w w:val="100"/>
          <w:kern w:val="2"/>
          <w:sz w:val="24"/>
          <w:szCs w:val="22"/>
          <w:lang w:val="en-US" w:eastAsia="zh-CN" w:bidi="ar-SA"/>
        </w:rPr>
      </w:pPr>
      <w:r>
        <w:rPr>
          <w:rStyle w:val="46"/>
          <w:rFonts w:ascii="宋体" w:hAnsi="宋体"/>
          <w:b w:val="0"/>
          <w:i w:val="0"/>
          <w:caps w:val="0"/>
          <w:spacing w:val="0"/>
          <w:w w:val="100"/>
          <w:kern w:val="2"/>
          <w:sz w:val="24"/>
          <w:szCs w:val="22"/>
          <w:lang w:val="en-US" w:eastAsia="zh-CN" w:bidi="ar-SA"/>
        </w:rPr>
        <w:t>3、乙方要以严肃认真、及时准确、高度负责的态度和行为，为甲方提供优质高效的服务。</w:t>
      </w:r>
    </w:p>
    <w:p>
      <w:pPr>
        <w:pStyle w:val="10"/>
        <w:keepNext w:val="0"/>
        <w:keepLines w:val="0"/>
        <w:pageBreakBefore w:val="0"/>
        <w:widowControl w:val="0"/>
        <w:wordWrap/>
        <w:overflowPunct/>
        <w:topLinePunct w:val="0"/>
        <w:autoSpaceDE/>
        <w:autoSpaceDN/>
        <w:bidi w:val="0"/>
        <w:adjustRightInd/>
        <w:spacing w:before="1" w:line="360" w:lineRule="auto"/>
        <w:ind w:firstLine="482" w:firstLineChars="200"/>
        <w:outlineLvl w:val="9"/>
        <w:rPr>
          <w:rFonts w:hint="eastAsia" w:ascii="宋体" w:hAnsi="宋体" w:eastAsia="宋体" w:cs="宋体"/>
          <w:b/>
          <w:bCs/>
          <w:color w:val="000000"/>
          <w:sz w:val="24"/>
          <w:szCs w:val="24"/>
          <w:lang w:val="zh-CN" w:bidi="zh-CN"/>
        </w:rPr>
      </w:pPr>
      <w:r>
        <w:rPr>
          <w:rFonts w:hint="eastAsia" w:ascii="宋体" w:hAnsi="宋体" w:eastAsia="宋体" w:cs="宋体"/>
          <w:b/>
          <w:bCs/>
          <w:color w:val="000000"/>
          <w:sz w:val="24"/>
          <w:szCs w:val="24"/>
          <w:lang w:val="zh-CN" w:bidi="zh-CN"/>
        </w:rPr>
        <w:t>七、违约责任</w:t>
      </w:r>
      <w:bookmarkEnd w:id="75"/>
    </w:p>
    <w:p>
      <w:pPr>
        <w:keepNext w:val="0"/>
        <w:keepLines w:val="0"/>
        <w:pageBreakBefore w:val="0"/>
        <w:widowControl w:val="0"/>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46"/>
          <w:rFonts w:ascii="宋体" w:hAnsi="宋体" w:cs="Times New Roman"/>
          <w:b w:val="0"/>
          <w:bCs/>
          <w:i w:val="0"/>
          <w:caps w:val="0"/>
          <w:spacing w:val="0"/>
          <w:w w:val="100"/>
          <w:kern w:val="2"/>
          <w:sz w:val="24"/>
          <w:szCs w:val="22"/>
          <w:lang w:val="en-US" w:eastAsia="zh-CN" w:bidi="ar-SA"/>
        </w:rPr>
      </w:pPr>
      <w:r>
        <w:rPr>
          <w:rStyle w:val="46"/>
          <w:rFonts w:hint="eastAsia" w:ascii="宋体" w:hAnsi="宋体" w:cs="Times New Roman"/>
          <w:b w:val="0"/>
          <w:bCs/>
          <w:i w:val="0"/>
          <w:caps w:val="0"/>
          <w:spacing w:val="0"/>
          <w:w w:val="100"/>
          <w:kern w:val="2"/>
          <w:sz w:val="24"/>
          <w:szCs w:val="22"/>
          <w:lang w:val="en-US" w:eastAsia="zh-CN" w:bidi="ar-SA"/>
        </w:rPr>
        <w:t>1</w:t>
      </w:r>
      <w:r>
        <w:rPr>
          <w:rStyle w:val="46"/>
          <w:rFonts w:ascii="宋体" w:hAnsi="宋体" w:cs="Times New Roman"/>
          <w:b w:val="0"/>
          <w:bCs/>
          <w:i w:val="0"/>
          <w:caps w:val="0"/>
          <w:spacing w:val="0"/>
          <w:w w:val="100"/>
          <w:kern w:val="2"/>
          <w:sz w:val="24"/>
          <w:szCs w:val="22"/>
          <w:lang w:val="en-US" w:eastAsia="zh-CN" w:bidi="ar-SA"/>
        </w:rPr>
        <w:t>、合同生效后，甲乙双方应按合同规定认真履约。合同履约责任只涉及合同甲乙双方，不考虑第三方因素。</w:t>
      </w:r>
    </w:p>
    <w:p>
      <w:pPr>
        <w:keepNext w:val="0"/>
        <w:keepLines w:val="0"/>
        <w:pageBreakBefore w:val="0"/>
        <w:widowControl w:val="0"/>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46"/>
          <w:rFonts w:ascii="宋体" w:hAnsi="宋体" w:cs="Times New Roman"/>
          <w:b w:val="0"/>
          <w:bCs/>
          <w:i w:val="0"/>
          <w:caps w:val="0"/>
          <w:spacing w:val="0"/>
          <w:w w:val="100"/>
          <w:kern w:val="2"/>
          <w:sz w:val="24"/>
          <w:szCs w:val="22"/>
          <w:lang w:val="en-US" w:eastAsia="zh-CN" w:bidi="ar-SA"/>
        </w:rPr>
      </w:pPr>
      <w:r>
        <w:rPr>
          <w:rStyle w:val="46"/>
          <w:rFonts w:ascii="宋体" w:hAnsi="宋体" w:cs="Times New Roman"/>
          <w:b w:val="0"/>
          <w:bCs/>
          <w:i w:val="0"/>
          <w:caps w:val="0"/>
          <w:spacing w:val="0"/>
          <w:w w:val="100"/>
          <w:kern w:val="2"/>
          <w:sz w:val="24"/>
          <w:szCs w:val="22"/>
          <w:lang w:val="en-US" w:eastAsia="zh-CN" w:bidi="ar-SA"/>
        </w:rPr>
        <w:t>2、乙方对服务过程中出现的问题推委、拖延，24小时未作出服务响应，应接受甲方的合理处罚。</w:t>
      </w:r>
    </w:p>
    <w:p>
      <w:pPr>
        <w:keepNext w:val="0"/>
        <w:keepLines w:val="0"/>
        <w:pageBreakBefore w:val="0"/>
        <w:widowControl w:val="0"/>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46"/>
          <w:rFonts w:ascii="宋体" w:hAnsi="宋体" w:cs="Times New Roman"/>
          <w:b w:val="0"/>
          <w:bCs/>
          <w:i w:val="0"/>
          <w:caps w:val="0"/>
          <w:spacing w:val="0"/>
          <w:w w:val="100"/>
          <w:kern w:val="2"/>
          <w:sz w:val="24"/>
          <w:szCs w:val="22"/>
          <w:lang w:val="en-US" w:eastAsia="zh-CN" w:bidi="ar-SA"/>
        </w:rPr>
      </w:pPr>
      <w:r>
        <w:rPr>
          <w:rStyle w:val="46"/>
          <w:rFonts w:ascii="宋体" w:hAnsi="宋体" w:cs="Times New Roman"/>
          <w:b w:val="0"/>
          <w:bCs/>
          <w:i w:val="0"/>
          <w:caps w:val="0"/>
          <w:spacing w:val="0"/>
          <w:w w:val="100"/>
          <w:kern w:val="2"/>
          <w:sz w:val="24"/>
          <w:szCs w:val="22"/>
          <w:lang w:val="en-US" w:eastAsia="zh-CN" w:bidi="ar-SA"/>
        </w:rPr>
        <w:t>3、由于乙方原因不能履行合同服务项目，或履行合同质效达不到规定，甲方有权聘请第三方公司执行合同内所列项目，有权终止合同。</w:t>
      </w:r>
    </w:p>
    <w:p>
      <w:pPr>
        <w:pStyle w:val="10"/>
        <w:keepNext w:val="0"/>
        <w:keepLines w:val="0"/>
        <w:pageBreakBefore w:val="0"/>
        <w:widowControl w:val="0"/>
        <w:wordWrap/>
        <w:overflowPunct/>
        <w:topLinePunct w:val="0"/>
        <w:autoSpaceDE/>
        <w:autoSpaceDN/>
        <w:bidi w:val="0"/>
        <w:adjustRightInd/>
        <w:spacing w:before="1" w:line="360" w:lineRule="auto"/>
        <w:ind w:firstLine="482" w:firstLineChars="200"/>
        <w:outlineLvl w:val="9"/>
        <w:rPr>
          <w:rFonts w:hint="eastAsia" w:ascii="宋体" w:hAnsi="宋体" w:eastAsia="宋体" w:cs="宋体"/>
          <w:b/>
          <w:bCs/>
          <w:color w:val="000000"/>
          <w:sz w:val="24"/>
          <w:szCs w:val="24"/>
          <w:lang w:val="zh-CN" w:bidi="zh-CN"/>
        </w:rPr>
      </w:pPr>
      <w:bookmarkStart w:id="76" w:name="_Toc19192"/>
      <w:r>
        <w:rPr>
          <w:rFonts w:hint="eastAsia" w:ascii="宋体" w:hAnsi="宋体" w:eastAsia="宋体" w:cs="宋体"/>
          <w:b/>
          <w:bCs/>
          <w:color w:val="000000"/>
          <w:sz w:val="24"/>
          <w:szCs w:val="24"/>
          <w:lang w:bidi="zh-CN"/>
        </w:rPr>
        <w:t>八</w:t>
      </w:r>
      <w:r>
        <w:rPr>
          <w:rFonts w:hint="eastAsia" w:ascii="宋体" w:hAnsi="宋体" w:eastAsia="宋体" w:cs="宋体"/>
          <w:b/>
          <w:bCs/>
          <w:color w:val="000000"/>
          <w:sz w:val="24"/>
          <w:szCs w:val="24"/>
          <w:lang w:val="zh-CN" w:bidi="zh-CN"/>
        </w:rPr>
        <w:t>、验收</w:t>
      </w:r>
      <w:bookmarkEnd w:id="76"/>
    </w:p>
    <w:p>
      <w:pPr>
        <w:pStyle w:val="10"/>
        <w:keepNext w:val="0"/>
        <w:keepLines w:val="0"/>
        <w:pageBreakBefore w:val="0"/>
        <w:widowControl w:val="0"/>
        <w:wordWrap/>
        <w:overflowPunct/>
        <w:topLinePunct w:val="0"/>
        <w:autoSpaceDE/>
        <w:autoSpaceDN/>
        <w:bidi w:val="0"/>
        <w:adjustRightInd/>
        <w:spacing w:before="1" w:line="360" w:lineRule="auto"/>
        <w:ind w:firstLine="480" w:firstLineChars="200"/>
        <w:rPr>
          <w:rFonts w:hint="eastAsia" w:ascii="宋体" w:hAnsi="宋体" w:eastAsia="宋体" w:cs="宋体"/>
          <w:color w:val="000000"/>
          <w:sz w:val="24"/>
          <w:szCs w:val="24"/>
          <w:lang w:val="zh-CN" w:bidi="zh-CN"/>
        </w:rPr>
      </w:pPr>
      <w:r>
        <w:rPr>
          <w:rFonts w:hint="eastAsia" w:ascii="宋体" w:hAnsi="宋体" w:eastAsia="宋体" w:cs="宋体"/>
          <w:color w:val="000000"/>
          <w:sz w:val="24"/>
          <w:szCs w:val="24"/>
          <w:lang w:val="zh-CN" w:bidi="zh-CN"/>
        </w:rPr>
        <w:t>验收：验收须以合同、</w:t>
      </w:r>
      <w:r>
        <w:rPr>
          <w:rFonts w:hint="eastAsia" w:ascii="宋体" w:hAnsi="宋体" w:eastAsia="宋体" w:cs="宋体"/>
          <w:sz w:val="24"/>
          <w:szCs w:val="24"/>
          <w:lang w:eastAsia="zh-CN"/>
        </w:rPr>
        <w:t>竞争性谈判</w:t>
      </w:r>
      <w:r>
        <w:rPr>
          <w:rFonts w:hint="eastAsia" w:ascii="宋体" w:hAnsi="宋体" w:eastAsia="宋体" w:cs="宋体"/>
          <w:color w:val="000000"/>
          <w:sz w:val="24"/>
          <w:szCs w:val="24"/>
          <w:lang w:val="zh-CN" w:bidi="zh-CN"/>
        </w:rPr>
        <w:t>文件、响应文件、澄清、及国家相应的标准、规范等为依据进行验收。</w:t>
      </w:r>
    </w:p>
    <w:p>
      <w:pPr>
        <w:pStyle w:val="10"/>
        <w:keepNext w:val="0"/>
        <w:keepLines w:val="0"/>
        <w:pageBreakBefore w:val="0"/>
        <w:widowControl w:val="0"/>
        <w:wordWrap/>
        <w:overflowPunct/>
        <w:topLinePunct w:val="0"/>
        <w:autoSpaceDE/>
        <w:autoSpaceDN/>
        <w:bidi w:val="0"/>
        <w:adjustRightInd/>
        <w:spacing w:before="1" w:line="360" w:lineRule="auto"/>
        <w:ind w:firstLine="482" w:firstLineChars="200"/>
        <w:outlineLvl w:val="9"/>
        <w:rPr>
          <w:rFonts w:hint="eastAsia" w:ascii="宋体" w:hAnsi="宋体" w:eastAsia="宋体" w:cs="宋体"/>
          <w:b/>
          <w:bCs/>
          <w:color w:val="000000"/>
          <w:sz w:val="24"/>
          <w:szCs w:val="24"/>
          <w:lang w:val="zh-CN" w:bidi="zh-CN"/>
        </w:rPr>
      </w:pPr>
      <w:bookmarkStart w:id="77" w:name="_Toc13541"/>
      <w:r>
        <w:rPr>
          <w:rFonts w:hint="eastAsia" w:ascii="宋体" w:hAnsi="宋体" w:eastAsia="宋体" w:cs="宋体"/>
          <w:b/>
          <w:bCs/>
          <w:color w:val="000000"/>
          <w:sz w:val="24"/>
          <w:szCs w:val="24"/>
          <w:lang w:val="zh-CN" w:bidi="zh-CN"/>
        </w:rPr>
        <w:t>九、合同争议解决的方式</w:t>
      </w:r>
      <w:bookmarkEnd w:id="77"/>
    </w:p>
    <w:p>
      <w:pPr>
        <w:keepNext w:val="0"/>
        <w:keepLines w:val="0"/>
        <w:pageBreakBefore w:val="0"/>
        <w:widowControl w:val="0"/>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46"/>
          <w:rFonts w:ascii="宋体" w:hAnsi="宋体" w:cs="Times New Roman"/>
          <w:b w:val="0"/>
          <w:bCs/>
          <w:i w:val="0"/>
          <w:caps w:val="0"/>
          <w:spacing w:val="0"/>
          <w:w w:val="100"/>
          <w:kern w:val="2"/>
          <w:sz w:val="24"/>
          <w:szCs w:val="22"/>
          <w:lang w:val="en-US" w:eastAsia="zh-CN" w:bidi="ar-SA"/>
        </w:rPr>
      </w:pPr>
      <w:bookmarkStart w:id="78" w:name="_Toc28994"/>
      <w:r>
        <w:rPr>
          <w:rStyle w:val="46"/>
          <w:rFonts w:ascii="宋体" w:hAnsi="宋体" w:cs="Times New Roman"/>
          <w:b w:val="0"/>
          <w:bCs/>
          <w:i w:val="0"/>
          <w:caps w:val="0"/>
          <w:spacing w:val="0"/>
          <w:w w:val="100"/>
          <w:kern w:val="2"/>
          <w:sz w:val="24"/>
          <w:szCs w:val="22"/>
          <w:lang w:val="en-US" w:eastAsia="zh-CN" w:bidi="ar-SA"/>
        </w:rPr>
        <w:t>1、合同一经签订，不得随意变更、中止或终止。对确需变更、调整或者中止、终止合同的，应按规定履行相应的手续。</w:t>
      </w:r>
    </w:p>
    <w:p>
      <w:pPr>
        <w:keepNext w:val="0"/>
        <w:keepLines w:val="0"/>
        <w:pageBreakBefore w:val="0"/>
        <w:widowControl w:val="0"/>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46"/>
          <w:rFonts w:ascii="宋体" w:hAnsi="宋体" w:cs="Times New Roman"/>
          <w:b w:val="0"/>
          <w:bCs/>
          <w:i w:val="0"/>
          <w:caps w:val="0"/>
          <w:spacing w:val="0"/>
          <w:w w:val="100"/>
          <w:kern w:val="2"/>
          <w:sz w:val="24"/>
          <w:szCs w:val="22"/>
          <w:lang w:val="en-US" w:eastAsia="zh-CN" w:bidi="ar-SA"/>
        </w:rPr>
      </w:pPr>
      <w:r>
        <w:rPr>
          <w:rStyle w:val="46"/>
          <w:rFonts w:ascii="宋体" w:hAnsi="宋体" w:cs="Times New Roman"/>
          <w:b w:val="0"/>
          <w:bCs/>
          <w:i w:val="0"/>
          <w:caps w:val="0"/>
          <w:spacing w:val="0"/>
          <w:w w:val="100"/>
          <w:kern w:val="2"/>
          <w:sz w:val="24"/>
          <w:szCs w:val="22"/>
          <w:lang w:val="en-US" w:eastAsia="zh-CN" w:bidi="ar-SA"/>
        </w:rPr>
        <w:t>2、合同执行中发生争议的，甲、乙双方应协商解决，协商达不成一致时，可向甲方所在地人民法院提请诉讼。</w:t>
      </w:r>
    </w:p>
    <w:p>
      <w:pPr>
        <w:pStyle w:val="10"/>
        <w:keepNext w:val="0"/>
        <w:keepLines w:val="0"/>
        <w:pageBreakBefore w:val="0"/>
        <w:widowControl w:val="0"/>
        <w:wordWrap/>
        <w:overflowPunct/>
        <w:topLinePunct w:val="0"/>
        <w:autoSpaceDE/>
        <w:autoSpaceDN/>
        <w:bidi w:val="0"/>
        <w:adjustRightInd/>
        <w:spacing w:before="1" w:line="360" w:lineRule="auto"/>
        <w:ind w:firstLine="482" w:firstLineChars="200"/>
        <w:outlineLvl w:val="9"/>
        <w:rPr>
          <w:rFonts w:hint="eastAsia" w:ascii="宋体" w:hAnsi="宋体" w:eastAsia="宋体" w:cs="宋体"/>
          <w:b/>
          <w:bCs/>
          <w:color w:val="000000"/>
          <w:sz w:val="24"/>
          <w:szCs w:val="24"/>
          <w:lang w:val="zh-CN" w:bidi="zh-CN"/>
        </w:rPr>
      </w:pPr>
      <w:r>
        <w:rPr>
          <w:rFonts w:hint="eastAsia" w:ascii="宋体" w:hAnsi="宋体" w:eastAsia="宋体" w:cs="宋体"/>
          <w:b/>
          <w:bCs/>
          <w:color w:val="000000"/>
          <w:sz w:val="24"/>
          <w:szCs w:val="24"/>
          <w:lang w:val="zh-CN" w:bidi="zh-CN"/>
        </w:rPr>
        <w:t>十、其他事项</w:t>
      </w:r>
      <w:bookmarkEnd w:id="78"/>
    </w:p>
    <w:p>
      <w:pPr>
        <w:pStyle w:val="10"/>
        <w:keepNext w:val="0"/>
        <w:keepLines w:val="0"/>
        <w:pageBreakBefore w:val="0"/>
        <w:widowControl w:val="0"/>
        <w:wordWrap/>
        <w:overflowPunct/>
        <w:topLinePunct w:val="0"/>
        <w:autoSpaceDE/>
        <w:autoSpaceDN/>
        <w:bidi w:val="0"/>
        <w:adjustRightInd/>
        <w:spacing w:before="1" w:line="360" w:lineRule="auto"/>
        <w:ind w:firstLine="480" w:firstLineChars="200"/>
        <w:rPr>
          <w:rFonts w:hint="eastAsia" w:ascii="宋体" w:hAnsi="宋体" w:eastAsia="宋体" w:cs="宋体"/>
          <w:color w:val="000000"/>
          <w:sz w:val="24"/>
          <w:szCs w:val="24"/>
          <w:lang w:val="zh-CN" w:bidi="zh-CN"/>
        </w:rPr>
      </w:pPr>
      <w:bookmarkStart w:id="79" w:name="_bookmark3"/>
      <w:bookmarkEnd w:id="79"/>
      <w:bookmarkStart w:id="80" w:name="第四章__竞争性磋商内容及服务要求"/>
      <w:bookmarkEnd w:id="80"/>
      <w:r>
        <w:rPr>
          <w:rFonts w:hint="eastAsia" w:ascii="宋体" w:hAnsi="宋体" w:eastAsia="宋体" w:cs="宋体"/>
          <w:color w:val="000000"/>
          <w:sz w:val="24"/>
          <w:szCs w:val="24"/>
          <w:lang w:bidi="zh-CN"/>
        </w:rPr>
        <w:t>1、</w:t>
      </w:r>
      <w:r>
        <w:rPr>
          <w:rFonts w:hint="eastAsia" w:ascii="宋体" w:hAnsi="宋体" w:eastAsia="宋体" w:cs="宋体"/>
          <w:color w:val="000000"/>
          <w:sz w:val="24"/>
          <w:szCs w:val="24"/>
          <w:lang w:val="zh-CN" w:bidi="zh-CN"/>
        </w:rPr>
        <w:t>本合同乙方在任何情况下都不得全部或部分转让其应履行的合同义务，乙方不得将本合同分包给他人。</w:t>
      </w:r>
    </w:p>
    <w:p>
      <w:pPr>
        <w:pStyle w:val="10"/>
        <w:keepNext w:val="0"/>
        <w:keepLines w:val="0"/>
        <w:pageBreakBefore w:val="0"/>
        <w:widowControl w:val="0"/>
        <w:wordWrap/>
        <w:overflowPunct/>
        <w:topLinePunct w:val="0"/>
        <w:autoSpaceDE/>
        <w:autoSpaceDN/>
        <w:bidi w:val="0"/>
        <w:adjustRightInd/>
        <w:spacing w:before="1" w:line="360" w:lineRule="auto"/>
        <w:ind w:firstLine="480" w:firstLineChars="200"/>
        <w:rPr>
          <w:rFonts w:hint="eastAsia" w:ascii="宋体" w:hAnsi="宋体" w:eastAsia="宋体" w:cs="宋体"/>
          <w:color w:val="000000"/>
          <w:sz w:val="24"/>
          <w:szCs w:val="24"/>
          <w:lang w:val="zh-CN" w:bidi="zh-CN"/>
        </w:rPr>
      </w:pPr>
      <w:r>
        <w:rPr>
          <w:rFonts w:hint="eastAsia" w:ascii="宋体" w:hAnsi="宋体" w:eastAsia="宋体" w:cs="宋体"/>
          <w:color w:val="000000"/>
          <w:sz w:val="24"/>
          <w:szCs w:val="24"/>
          <w:lang w:bidi="zh-CN"/>
        </w:rPr>
        <w:t>2、</w:t>
      </w:r>
      <w:r>
        <w:rPr>
          <w:rFonts w:hint="eastAsia" w:ascii="宋体" w:hAnsi="宋体" w:eastAsia="宋体" w:cs="宋体"/>
          <w:color w:val="000000"/>
          <w:sz w:val="24"/>
          <w:szCs w:val="24"/>
          <w:lang w:val="zh-CN" w:bidi="zh-CN"/>
        </w:rPr>
        <w:t>在执行本合同的过程中，所有经双方签署确认的文件（包括会议纪要、补充合同、合同修改书、往来信函等）均为本合同的有效组成部分，其生效日期为双方签字盖章或确认之日期。</w:t>
      </w:r>
    </w:p>
    <w:p>
      <w:pPr>
        <w:pStyle w:val="10"/>
        <w:keepNext w:val="0"/>
        <w:keepLines w:val="0"/>
        <w:pageBreakBefore w:val="0"/>
        <w:widowControl w:val="0"/>
        <w:wordWrap/>
        <w:overflowPunct/>
        <w:topLinePunct w:val="0"/>
        <w:autoSpaceDE/>
        <w:autoSpaceDN/>
        <w:bidi w:val="0"/>
        <w:adjustRightInd/>
        <w:spacing w:before="1" w:line="360" w:lineRule="auto"/>
        <w:ind w:firstLine="480" w:firstLineChars="200"/>
        <w:rPr>
          <w:rFonts w:hint="eastAsia" w:ascii="宋体" w:hAnsi="宋体" w:eastAsia="宋体" w:cs="宋体"/>
          <w:color w:val="000000"/>
          <w:sz w:val="24"/>
          <w:szCs w:val="24"/>
          <w:lang w:val="zh-CN" w:bidi="zh-CN"/>
        </w:rPr>
      </w:pPr>
      <w:r>
        <w:rPr>
          <w:rFonts w:hint="eastAsia" w:ascii="宋体" w:hAnsi="宋体" w:eastAsia="宋体" w:cs="宋体"/>
          <w:color w:val="000000"/>
          <w:sz w:val="24"/>
          <w:szCs w:val="24"/>
          <w:lang w:bidi="zh-CN"/>
        </w:rPr>
        <w:t>3、</w:t>
      </w:r>
      <w:r>
        <w:rPr>
          <w:rFonts w:hint="eastAsia" w:ascii="宋体" w:hAnsi="宋体" w:eastAsia="宋体" w:cs="宋体"/>
          <w:color w:val="000000"/>
          <w:sz w:val="24"/>
          <w:szCs w:val="24"/>
          <w:lang w:val="zh-CN" w:bidi="zh-CN"/>
        </w:rPr>
        <w:t>合同一式</w:t>
      </w:r>
      <w:r>
        <w:rPr>
          <w:rFonts w:hint="eastAsia" w:ascii="宋体" w:hAnsi="宋体" w:eastAsia="宋体" w:cs="宋体"/>
          <w:color w:val="000000"/>
          <w:sz w:val="24"/>
          <w:szCs w:val="24"/>
          <w:lang w:bidi="zh-CN"/>
        </w:rPr>
        <w:t>八</w:t>
      </w:r>
      <w:r>
        <w:rPr>
          <w:rFonts w:hint="eastAsia" w:ascii="宋体" w:hAnsi="宋体" w:eastAsia="宋体" w:cs="宋体"/>
          <w:color w:val="000000"/>
          <w:sz w:val="24"/>
          <w:szCs w:val="24"/>
          <w:lang w:val="zh-CN" w:bidi="zh-CN"/>
        </w:rPr>
        <w:t>份，采购人肆份，中标供应商贰份、招标代理机构壹份；政府采购监管机构备案一份</w:t>
      </w:r>
    </w:p>
    <w:p>
      <w:pPr>
        <w:pStyle w:val="10"/>
        <w:keepNext w:val="0"/>
        <w:keepLines w:val="0"/>
        <w:pageBreakBefore w:val="0"/>
        <w:widowControl w:val="0"/>
        <w:wordWrap/>
        <w:overflowPunct/>
        <w:topLinePunct w:val="0"/>
        <w:autoSpaceDE/>
        <w:autoSpaceDN/>
        <w:bidi w:val="0"/>
        <w:adjustRightInd/>
        <w:spacing w:before="1" w:line="360" w:lineRule="auto"/>
        <w:ind w:firstLine="480" w:firstLineChars="200"/>
        <w:rPr>
          <w:rFonts w:hint="eastAsia" w:ascii="宋体" w:hAnsi="宋体" w:eastAsia="宋体" w:cs="宋体"/>
          <w:color w:val="000000"/>
          <w:sz w:val="24"/>
          <w:szCs w:val="24"/>
          <w:lang w:val="zh-CN" w:bidi="zh-CN"/>
        </w:rPr>
      </w:pPr>
      <w:r>
        <w:rPr>
          <w:rFonts w:hint="eastAsia" w:ascii="宋体" w:hAnsi="宋体" w:eastAsia="宋体" w:cs="宋体"/>
          <w:color w:val="000000"/>
          <w:sz w:val="24"/>
          <w:szCs w:val="24"/>
          <w:lang w:bidi="zh-CN"/>
        </w:rPr>
        <w:t>4、</w:t>
      </w:r>
      <w:r>
        <w:rPr>
          <w:rFonts w:hint="eastAsia" w:ascii="宋体" w:hAnsi="宋体" w:eastAsia="宋体" w:cs="宋体"/>
          <w:color w:val="000000"/>
          <w:sz w:val="24"/>
          <w:szCs w:val="24"/>
          <w:lang w:val="zh-CN" w:bidi="zh-CN"/>
        </w:rPr>
        <w:t>合同经双方授权代表签字、盖章后生效，生效日期以签字日为准。</w:t>
      </w:r>
    </w:p>
    <w:p>
      <w:pPr>
        <w:pStyle w:val="10"/>
        <w:keepNext w:val="0"/>
        <w:keepLines w:val="0"/>
        <w:pageBreakBefore w:val="0"/>
        <w:widowControl w:val="0"/>
        <w:wordWrap/>
        <w:overflowPunct/>
        <w:topLinePunct w:val="0"/>
        <w:autoSpaceDE/>
        <w:autoSpaceDN/>
        <w:bidi w:val="0"/>
        <w:adjustRightInd/>
        <w:spacing w:before="1" w:line="360" w:lineRule="auto"/>
        <w:ind w:firstLine="480" w:firstLineChars="200"/>
        <w:rPr>
          <w:rFonts w:hint="eastAsia" w:ascii="宋体" w:hAnsi="宋体" w:eastAsia="宋体" w:cs="宋体"/>
          <w:color w:val="000000"/>
          <w:sz w:val="24"/>
          <w:szCs w:val="24"/>
          <w:lang w:val="zh-CN" w:bidi="zh-CN"/>
        </w:rPr>
      </w:pPr>
      <w:r>
        <w:rPr>
          <w:rFonts w:hint="eastAsia" w:ascii="宋体" w:hAnsi="宋体" w:eastAsia="宋体" w:cs="宋体"/>
          <w:color w:val="000000"/>
          <w:sz w:val="24"/>
          <w:szCs w:val="24"/>
          <w:lang w:val="en-US" w:bidi="zh-CN"/>
        </w:rPr>
        <w:t>5</w:t>
      </w:r>
      <w:r>
        <w:rPr>
          <w:rFonts w:hint="eastAsia" w:ascii="宋体" w:hAnsi="宋体" w:eastAsia="宋体" w:cs="宋体"/>
          <w:color w:val="000000"/>
          <w:sz w:val="24"/>
          <w:szCs w:val="24"/>
          <w:lang w:bidi="zh-CN"/>
        </w:rPr>
        <w:t>、</w:t>
      </w:r>
      <w:r>
        <w:rPr>
          <w:rFonts w:hint="eastAsia" w:ascii="宋体" w:hAnsi="宋体" w:eastAsia="宋体" w:cs="宋体"/>
          <w:color w:val="000000"/>
          <w:sz w:val="24"/>
          <w:szCs w:val="24"/>
          <w:lang w:val="zh-CN" w:bidi="zh-CN"/>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pStyle w:val="10"/>
        <w:keepNext w:val="0"/>
        <w:keepLines w:val="0"/>
        <w:pageBreakBefore w:val="0"/>
        <w:widowControl w:val="0"/>
        <w:wordWrap/>
        <w:overflowPunct/>
        <w:topLinePunct w:val="0"/>
        <w:autoSpaceDE/>
        <w:autoSpaceDN/>
        <w:bidi w:val="0"/>
        <w:adjustRightInd/>
        <w:spacing w:before="1" w:line="360" w:lineRule="auto"/>
        <w:ind w:firstLine="480" w:firstLineChars="200"/>
        <w:rPr>
          <w:rFonts w:hint="eastAsia" w:ascii="宋体" w:hAnsi="宋体" w:eastAsia="宋体" w:cs="宋体"/>
          <w:color w:val="000000"/>
          <w:sz w:val="24"/>
          <w:szCs w:val="24"/>
          <w:lang w:val="zh-CN" w:bidi="zh-CN"/>
        </w:rPr>
      </w:pPr>
      <w:r>
        <w:rPr>
          <w:rFonts w:hint="eastAsia" w:ascii="宋体" w:hAnsi="宋体" w:eastAsia="宋体" w:cs="宋体"/>
          <w:color w:val="000000"/>
          <w:sz w:val="24"/>
          <w:szCs w:val="24"/>
          <w:lang w:val="en-US" w:bidi="zh-CN"/>
        </w:rPr>
        <w:t>6</w:t>
      </w:r>
      <w:r>
        <w:rPr>
          <w:rFonts w:hint="eastAsia" w:ascii="宋体" w:hAnsi="宋体" w:eastAsia="宋体" w:cs="宋体"/>
          <w:color w:val="000000"/>
          <w:sz w:val="24"/>
          <w:szCs w:val="24"/>
          <w:lang w:bidi="zh-CN"/>
        </w:rPr>
        <w:t>、</w:t>
      </w:r>
      <w:r>
        <w:rPr>
          <w:rFonts w:hint="eastAsia" w:ascii="宋体" w:hAnsi="宋体" w:eastAsia="宋体" w:cs="宋体"/>
          <w:color w:val="000000"/>
          <w:sz w:val="24"/>
          <w:szCs w:val="24"/>
          <w:lang w:val="zh-CN" w:bidi="zh-CN"/>
        </w:rPr>
        <w:t>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pStyle w:val="10"/>
        <w:keepNext w:val="0"/>
        <w:keepLines w:val="0"/>
        <w:pageBreakBefore w:val="0"/>
        <w:widowControl w:val="0"/>
        <w:wordWrap/>
        <w:overflowPunct/>
        <w:topLinePunct w:val="0"/>
        <w:autoSpaceDE/>
        <w:autoSpaceDN/>
        <w:bidi w:val="0"/>
        <w:adjustRightInd/>
        <w:spacing w:before="1" w:line="360" w:lineRule="auto"/>
        <w:ind w:firstLine="480" w:firstLineChars="200"/>
        <w:rPr>
          <w:rFonts w:hint="eastAsia" w:ascii="宋体" w:hAnsi="宋体" w:eastAsia="宋体" w:cs="宋体"/>
          <w:color w:val="000000"/>
          <w:sz w:val="24"/>
          <w:szCs w:val="24"/>
          <w:lang w:val="zh-CN" w:bidi="zh-CN"/>
        </w:rPr>
      </w:pPr>
      <w:r>
        <w:rPr>
          <w:rFonts w:hint="eastAsia" w:ascii="宋体" w:hAnsi="宋体" w:eastAsia="宋体" w:cs="宋体"/>
          <w:color w:val="000000"/>
          <w:sz w:val="24"/>
          <w:szCs w:val="24"/>
          <w:lang w:val="en-US" w:bidi="zh-CN"/>
        </w:rPr>
        <w:t>7</w:t>
      </w:r>
      <w:r>
        <w:rPr>
          <w:rFonts w:hint="eastAsia" w:ascii="宋体" w:hAnsi="宋体" w:eastAsia="宋体" w:cs="宋体"/>
          <w:color w:val="000000"/>
          <w:sz w:val="24"/>
          <w:szCs w:val="24"/>
          <w:lang w:bidi="zh-CN"/>
        </w:rPr>
        <w:t>、</w:t>
      </w:r>
      <w:r>
        <w:rPr>
          <w:rFonts w:hint="eastAsia" w:ascii="宋体" w:hAnsi="宋体" w:eastAsia="宋体" w:cs="宋体"/>
          <w:color w:val="000000"/>
          <w:sz w:val="24"/>
          <w:szCs w:val="24"/>
          <w:lang w:val="zh-CN" w:bidi="zh-CN"/>
        </w:rPr>
        <w:t>未详尽之处双方协商解决。</w:t>
      </w:r>
    </w:p>
    <w:p>
      <w:pPr>
        <w:rPr>
          <w:rFonts w:hint="eastAsia"/>
          <w:lang w:val="zh-CN"/>
        </w:rPr>
      </w:pPr>
    </w:p>
    <w:tbl>
      <w:tblPr>
        <w:tblStyle w:val="22"/>
        <w:tblW w:w="96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51"/>
        <w:gridCol w:w="50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551" w:type="dxa"/>
            <w:noWrap w:val="0"/>
            <w:vAlign w:val="center"/>
          </w:tcPr>
          <w:p>
            <w:pPr>
              <w:rPr>
                <w:rFonts w:ascii="仿宋" w:hAnsi="仿宋" w:eastAsia="仿宋" w:cs="宋体"/>
                <w:color w:val="000000"/>
                <w:sz w:val="24"/>
                <w:szCs w:val="24"/>
              </w:rPr>
            </w:pPr>
            <w:r>
              <w:rPr>
                <w:rFonts w:hint="eastAsia" w:ascii="仿宋" w:hAnsi="仿宋" w:eastAsia="仿宋" w:cs="宋体"/>
                <w:color w:val="000000"/>
                <w:sz w:val="24"/>
                <w:szCs w:val="24"/>
              </w:rPr>
              <w:t>甲  方</w:t>
            </w:r>
          </w:p>
        </w:tc>
        <w:tc>
          <w:tcPr>
            <w:tcW w:w="5085" w:type="dxa"/>
            <w:noWrap w:val="0"/>
            <w:vAlign w:val="center"/>
          </w:tcPr>
          <w:p>
            <w:pPr>
              <w:rPr>
                <w:rFonts w:ascii="仿宋" w:hAnsi="仿宋" w:eastAsia="仿宋" w:cs="宋体"/>
                <w:color w:val="000000"/>
                <w:sz w:val="24"/>
                <w:szCs w:val="24"/>
              </w:rPr>
            </w:pPr>
            <w:r>
              <w:rPr>
                <w:rFonts w:hint="eastAsia" w:ascii="仿宋" w:hAnsi="仿宋" w:eastAsia="仿宋" w:cs="宋体"/>
                <w:color w:val="000000"/>
                <w:sz w:val="24"/>
                <w:szCs w:val="24"/>
              </w:rPr>
              <w:t>乙  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4551" w:type="dxa"/>
            <w:noWrap w:val="0"/>
            <w:vAlign w:val="center"/>
          </w:tcPr>
          <w:p>
            <w:pPr>
              <w:rPr>
                <w:rFonts w:ascii="仿宋" w:hAnsi="仿宋" w:eastAsia="仿宋" w:cs="宋体"/>
                <w:color w:val="000000"/>
                <w:sz w:val="24"/>
                <w:szCs w:val="24"/>
              </w:rPr>
            </w:pPr>
            <w:r>
              <w:rPr>
                <w:rFonts w:hint="eastAsia" w:ascii="仿宋" w:hAnsi="仿宋" w:eastAsia="仿宋" w:cs="宋体"/>
                <w:color w:val="000000"/>
                <w:sz w:val="24"/>
                <w:szCs w:val="24"/>
              </w:rPr>
              <w:t>（盖章）</w:t>
            </w:r>
          </w:p>
        </w:tc>
        <w:tc>
          <w:tcPr>
            <w:tcW w:w="5085" w:type="dxa"/>
            <w:noWrap w:val="0"/>
            <w:vAlign w:val="center"/>
          </w:tcPr>
          <w:p>
            <w:pPr>
              <w:jc w:val="right"/>
              <w:rPr>
                <w:rFonts w:ascii="仿宋" w:hAnsi="仿宋" w:eastAsia="仿宋" w:cs="宋体"/>
                <w:color w:val="FF0000"/>
                <w:szCs w:val="21"/>
              </w:rPr>
            </w:pPr>
            <w:r>
              <w:rPr>
                <w:rFonts w:hint="eastAsia" w:ascii="宋体" w:hAnsi="宋体" w:cs="宋体"/>
                <w:snapToGrid w:val="0"/>
                <w:sz w:val="24"/>
                <w:szCs w:val="24"/>
              </w:rPr>
              <w:t xml:space="preserve">   </w:t>
            </w:r>
            <w:r>
              <w:rPr>
                <w:rFonts w:hint="eastAsia" w:ascii="仿宋" w:hAnsi="仿宋" w:eastAsia="仿宋" w:cs="宋体"/>
                <w:color w:val="000000"/>
                <w:sz w:val="24"/>
                <w:szCs w:val="24"/>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noWrap w:val="0"/>
            <w:vAlign w:val="center"/>
          </w:tcPr>
          <w:p>
            <w:pPr>
              <w:spacing w:line="360" w:lineRule="auto"/>
              <w:rPr>
                <w:rFonts w:ascii="宋体" w:hAnsi="宋体" w:cs="宋体"/>
                <w:sz w:val="24"/>
              </w:rPr>
            </w:pPr>
            <w:r>
              <w:rPr>
                <w:rFonts w:hint="eastAsia" w:ascii="宋体" w:hAnsi="宋体" w:cs="宋体"/>
                <w:sz w:val="24"/>
              </w:rPr>
              <w:t>地址：</w:t>
            </w:r>
          </w:p>
        </w:tc>
        <w:tc>
          <w:tcPr>
            <w:tcW w:w="5085" w:type="dxa"/>
            <w:noWrap w:val="0"/>
            <w:vAlign w:val="center"/>
          </w:tcPr>
          <w:p>
            <w:pPr>
              <w:spacing w:line="360" w:lineRule="auto"/>
              <w:rPr>
                <w:rFonts w:ascii="宋体" w:hAnsi="宋体" w:cs="宋体"/>
                <w:sz w:val="24"/>
              </w:rPr>
            </w:pPr>
            <w:r>
              <w:rPr>
                <w:rFonts w:hint="eastAsia" w:ascii="宋体" w:hAnsi="宋体" w:cs="宋体"/>
                <w:sz w:val="24"/>
              </w:rPr>
              <w:t>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noWrap w:val="0"/>
            <w:vAlign w:val="center"/>
          </w:tcPr>
          <w:p>
            <w:pPr>
              <w:spacing w:line="360" w:lineRule="auto"/>
              <w:rPr>
                <w:rFonts w:ascii="宋体" w:hAnsi="宋体" w:cs="宋体"/>
                <w:sz w:val="24"/>
              </w:rPr>
            </w:pPr>
            <w:r>
              <w:rPr>
                <w:rFonts w:hint="eastAsia" w:ascii="宋体" w:hAnsi="宋体" w:cs="宋体"/>
                <w:sz w:val="24"/>
              </w:rPr>
              <w:t>邮编：</w:t>
            </w:r>
          </w:p>
        </w:tc>
        <w:tc>
          <w:tcPr>
            <w:tcW w:w="5085" w:type="dxa"/>
            <w:noWrap w:val="0"/>
            <w:vAlign w:val="center"/>
          </w:tcPr>
          <w:p>
            <w:pPr>
              <w:spacing w:line="360" w:lineRule="auto"/>
              <w:rPr>
                <w:rFonts w:ascii="宋体" w:hAnsi="宋体" w:cs="宋体"/>
                <w:sz w:val="24"/>
              </w:rPr>
            </w:pPr>
            <w:r>
              <w:rPr>
                <w:rFonts w:hint="eastAsia" w:ascii="宋体" w:hAnsi="宋体" w:cs="宋体"/>
                <w:sz w:val="24"/>
              </w:rPr>
              <w:t>邮编：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tcBorders>
              <w:bottom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法定代表人：</w:t>
            </w:r>
          </w:p>
        </w:tc>
        <w:tc>
          <w:tcPr>
            <w:tcW w:w="5085" w:type="dxa"/>
            <w:noWrap w:val="0"/>
            <w:vAlign w:val="center"/>
          </w:tcPr>
          <w:p>
            <w:pPr>
              <w:spacing w:line="360" w:lineRule="auto"/>
              <w:rPr>
                <w:rFonts w:ascii="宋体" w:hAnsi="宋体" w:cs="宋体"/>
                <w:sz w:val="24"/>
              </w:rPr>
            </w:pPr>
            <w:r>
              <w:rPr>
                <w:rFonts w:hint="eastAsia" w:ascii="宋体" w:hAnsi="宋体" w:cs="宋体"/>
                <w:sz w:val="24"/>
              </w:rPr>
              <w:t>法定代表人：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tcBorders>
              <w:top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被授权代表：（签字）</w:t>
            </w:r>
          </w:p>
        </w:tc>
        <w:tc>
          <w:tcPr>
            <w:tcW w:w="5085" w:type="dxa"/>
            <w:noWrap w:val="0"/>
            <w:vAlign w:val="center"/>
          </w:tcPr>
          <w:p>
            <w:pPr>
              <w:spacing w:line="360" w:lineRule="auto"/>
              <w:rPr>
                <w:rFonts w:ascii="宋体" w:hAnsi="宋体" w:cs="宋体"/>
                <w:sz w:val="24"/>
              </w:rPr>
            </w:pPr>
            <w:r>
              <w:rPr>
                <w:rFonts w:hint="eastAsia" w:ascii="宋体" w:hAnsi="宋体" w:cs="宋体"/>
                <w:sz w:val="24"/>
              </w:rPr>
              <w:t>被授权代表：（签字）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noWrap w:val="0"/>
            <w:vAlign w:val="center"/>
          </w:tcPr>
          <w:p>
            <w:pPr>
              <w:spacing w:line="360" w:lineRule="auto"/>
              <w:rPr>
                <w:rFonts w:ascii="宋体" w:hAnsi="宋体" w:cs="宋体"/>
                <w:sz w:val="24"/>
              </w:rPr>
            </w:pPr>
            <w:r>
              <w:rPr>
                <w:rFonts w:hint="eastAsia" w:ascii="宋体" w:hAnsi="宋体" w:cs="宋体"/>
                <w:sz w:val="24"/>
              </w:rPr>
              <w:t>电话：</w:t>
            </w:r>
          </w:p>
        </w:tc>
        <w:tc>
          <w:tcPr>
            <w:tcW w:w="5085" w:type="dxa"/>
            <w:noWrap w:val="0"/>
            <w:vAlign w:val="center"/>
          </w:tcPr>
          <w:p>
            <w:pPr>
              <w:spacing w:line="360" w:lineRule="auto"/>
              <w:rPr>
                <w:rFonts w:ascii="宋体" w:hAnsi="宋体" w:cs="宋体"/>
                <w:sz w:val="24"/>
              </w:rPr>
            </w:pPr>
            <w:r>
              <w:rPr>
                <w:rFonts w:hint="eastAsia" w:ascii="宋体" w:hAnsi="宋体" w:cs="宋体"/>
                <w:sz w:val="24"/>
              </w:rPr>
              <w:t>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tcBorders>
              <w:bottom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传真：</w:t>
            </w:r>
          </w:p>
        </w:tc>
        <w:tc>
          <w:tcPr>
            <w:tcW w:w="5085" w:type="dxa"/>
            <w:noWrap w:val="0"/>
            <w:vAlign w:val="center"/>
          </w:tcPr>
          <w:p>
            <w:pPr>
              <w:spacing w:line="360" w:lineRule="auto"/>
              <w:rPr>
                <w:rFonts w:ascii="宋体" w:hAnsi="宋体" w:cs="宋体"/>
                <w:sz w:val="24"/>
              </w:rPr>
            </w:pPr>
            <w:r>
              <w:rPr>
                <w:rFonts w:hint="eastAsia" w:ascii="宋体" w:hAnsi="宋体" w:cs="宋体"/>
                <w:sz w:val="24"/>
              </w:rPr>
              <w:t>传真：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tcBorders>
              <w:top w:val="single" w:color="auto" w:sz="4" w:space="0"/>
              <w:bottom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开户银行：</w:t>
            </w:r>
          </w:p>
        </w:tc>
        <w:tc>
          <w:tcPr>
            <w:tcW w:w="5085" w:type="dxa"/>
            <w:noWrap w:val="0"/>
            <w:vAlign w:val="center"/>
          </w:tcPr>
          <w:p>
            <w:pPr>
              <w:spacing w:line="360" w:lineRule="auto"/>
              <w:rPr>
                <w:rFonts w:ascii="宋体" w:hAnsi="宋体" w:cs="宋体"/>
                <w:sz w:val="24"/>
              </w:rPr>
            </w:pPr>
            <w:r>
              <w:rPr>
                <w:rFonts w:hint="eastAsia" w:ascii="宋体" w:hAnsi="宋体" w:cs="宋体"/>
                <w:sz w:val="24"/>
              </w:rPr>
              <w:t>开户银行：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tcBorders>
              <w:top w:val="single" w:color="auto" w:sz="4" w:space="0"/>
              <w:bottom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账户名称：</w:t>
            </w:r>
          </w:p>
        </w:tc>
        <w:tc>
          <w:tcPr>
            <w:tcW w:w="5085" w:type="dxa"/>
            <w:tcBorders>
              <w:bottom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账户名称：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tcBorders>
              <w:top w:val="single" w:color="auto" w:sz="4" w:space="0"/>
              <w:bottom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 xml:space="preserve">账号: </w:t>
            </w:r>
          </w:p>
        </w:tc>
        <w:tc>
          <w:tcPr>
            <w:tcW w:w="5085" w:type="dxa"/>
            <w:tcBorders>
              <w:top w:val="single" w:color="auto" w:sz="4" w:space="0"/>
              <w:bottom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账号: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636" w:type="dxa"/>
            <w:gridSpan w:val="2"/>
            <w:tcBorders>
              <w:top w:val="single" w:color="auto" w:sz="4" w:space="0"/>
              <w:bottom w:val="single" w:color="auto" w:sz="4" w:space="0"/>
            </w:tcBorders>
            <w:noWrap w:val="0"/>
            <w:vAlign w:val="center"/>
          </w:tcPr>
          <w:p>
            <w:pPr>
              <w:rPr>
                <w:rFonts w:ascii="宋体" w:hAnsi="宋体" w:cs="宋体"/>
                <w:sz w:val="24"/>
                <w:lang w:val="zh-CN" w:bidi="zh-CN"/>
              </w:rPr>
            </w:pPr>
            <w:bookmarkStart w:id="81" w:name="_Toc30893"/>
            <w:r>
              <w:rPr>
                <w:rFonts w:hint="eastAsia" w:ascii="宋体" w:hAnsi="宋体" w:cs="Tahoma"/>
                <w:b/>
                <w:sz w:val="24"/>
              </w:rPr>
              <w:t>陕西</w:t>
            </w:r>
            <w:r>
              <w:rPr>
                <w:rFonts w:hint="eastAsia" w:cs="Tahoma"/>
                <w:b/>
                <w:sz w:val="24"/>
              </w:rPr>
              <w:t>卓佲项目管理有限公司</w:t>
            </w:r>
            <w:r>
              <w:rPr>
                <w:rFonts w:hint="eastAsia" w:ascii="宋体" w:hAnsi="宋体" w:cs="宋体"/>
                <w:sz w:val="24"/>
              </w:rPr>
              <w:t>（盖章）</w:t>
            </w:r>
            <w:bookmarkEnd w:id="81"/>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636" w:type="dxa"/>
            <w:gridSpan w:val="2"/>
            <w:tcBorders>
              <w:top w:val="single" w:color="auto" w:sz="4" w:space="0"/>
              <w:bottom w:val="single" w:color="auto" w:sz="4" w:space="0"/>
            </w:tcBorders>
            <w:noWrap w:val="0"/>
            <w:vAlign w:val="center"/>
          </w:tcPr>
          <w:p>
            <w:pPr>
              <w:spacing w:line="360" w:lineRule="auto"/>
              <w:rPr>
                <w:rFonts w:ascii="宋体" w:hAnsi="宋体" w:cs="宋体"/>
                <w:sz w:val="24"/>
                <w:lang w:val="zh-CN" w:bidi="zh-CN"/>
              </w:rPr>
            </w:pPr>
            <w:r>
              <w:rPr>
                <w:rFonts w:hint="eastAsia" w:ascii="宋体" w:hAnsi="宋体" w:cs="宋体"/>
                <w:sz w:val="24"/>
              </w:rPr>
              <w:t>地址：西安市雁塔区科技路10号华奥大厦A座20层2002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636" w:type="dxa"/>
            <w:gridSpan w:val="2"/>
            <w:tcBorders>
              <w:top w:val="single" w:color="auto" w:sz="4" w:space="0"/>
              <w:bottom w:val="single" w:color="auto" w:sz="4" w:space="0"/>
            </w:tcBorders>
            <w:noWrap w:val="0"/>
            <w:vAlign w:val="center"/>
          </w:tcPr>
          <w:p>
            <w:pPr>
              <w:spacing w:line="360" w:lineRule="auto"/>
              <w:rPr>
                <w:rFonts w:ascii="宋体" w:hAnsi="宋体" w:cs="宋体"/>
                <w:sz w:val="24"/>
                <w:lang w:bidi="zh-CN"/>
              </w:rPr>
            </w:pPr>
            <w:r>
              <w:rPr>
                <w:rFonts w:hint="eastAsia" w:ascii="宋体" w:hAnsi="宋体" w:cs="宋体"/>
                <w:sz w:val="24"/>
              </w:rPr>
              <w:t>被授权代表：（签字）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636" w:type="dxa"/>
            <w:gridSpan w:val="2"/>
            <w:tcBorders>
              <w:top w:val="single" w:color="auto" w:sz="4" w:space="0"/>
              <w:bottom w:val="single" w:color="auto" w:sz="4" w:space="0"/>
            </w:tcBorders>
            <w:noWrap w:val="0"/>
            <w:vAlign w:val="center"/>
          </w:tcPr>
          <w:p>
            <w:pPr>
              <w:spacing w:line="360" w:lineRule="auto"/>
              <w:rPr>
                <w:rFonts w:ascii="宋体" w:hAnsi="宋体" w:cs="宋体"/>
                <w:sz w:val="24"/>
                <w:lang w:bidi="zh-CN"/>
              </w:rPr>
            </w:pPr>
            <w:r>
              <w:rPr>
                <w:rFonts w:hint="eastAsia" w:ascii="宋体" w:hAnsi="宋体" w:cs="宋体"/>
                <w:sz w:val="24"/>
              </w:rPr>
              <w:t>电话：029-88440695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636" w:type="dxa"/>
            <w:gridSpan w:val="2"/>
            <w:tcBorders>
              <w:top w:val="single" w:color="auto" w:sz="4" w:space="0"/>
              <w:bottom w:val="single" w:color="auto" w:sz="4" w:space="0"/>
            </w:tcBorders>
            <w:noWrap w:val="0"/>
            <w:vAlign w:val="center"/>
          </w:tcPr>
          <w:p>
            <w:pPr>
              <w:spacing w:line="360" w:lineRule="auto"/>
              <w:rPr>
                <w:rFonts w:ascii="宋体" w:hAnsi="宋体" w:cs="宋体"/>
                <w:sz w:val="24"/>
                <w:lang w:val="zh-CN" w:bidi="zh-CN"/>
              </w:rPr>
            </w:pPr>
            <w:r>
              <w:rPr>
                <w:rFonts w:hint="eastAsia" w:ascii="宋体" w:hAnsi="宋体" w:cs="宋体"/>
                <w:sz w:val="24"/>
              </w:rPr>
              <w:t xml:space="preserve">传真： </w:t>
            </w:r>
            <w:r>
              <w:rPr>
                <w:rFonts w:ascii="宋体" w:hAnsi="宋体" w:cs="Helvetica"/>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636" w:type="dxa"/>
            <w:gridSpan w:val="2"/>
            <w:tcBorders>
              <w:top w:val="single" w:color="auto" w:sz="4" w:space="0"/>
            </w:tcBorders>
            <w:noWrap w:val="0"/>
            <w:vAlign w:val="center"/>
          </w:tcPr>
          <w:p>
            <w:pPr>
              <w:spacing w:line="360" w:lineRule="auto"/>
              <w:ind w:firstLine="5760" w:firstLineChars="2400"/>
              <w:rPr>
                <w:rFonts w:ascii="宋体" w:hAnsi="宋体" w:cs="宋体"/>
                <w:sz w:val="24"/>
                <w:lang w:val="zh-CN" w:bidi="zh-CN"/>
              </w:rPr>
            </w:pPr>
            <w:r>
              <w:rPr>
                <w:rFonts w:hint="eastAsia" w:ascii="宋体" w:hAnsi="宋体" w:cs="宋体"/>
                <w:sz w:val="24"/>
              </w:rPr>
              <w:t>日期：     年   月   日</w:t>
            </w:r>
          </w:p>
        </w:tc>
      </w:tr>
    </w:tbl>
    <w:p/>
    <w:p>
      <w:pPr>
        <w:rPr>
          <w:rFonts w:ascii="宋体" w:hAnsi="宋体" w:cs="宋体"/>
        </w:rPr>
      </w:pPr>
    </w:p>
    <w:p/>
    <w:p>
      <w:pPr>
        <w:pStyle w:val="4"/>
        <w:keepNext w:val="0"/>
        <w:pageBreakBefore/>
        <w:rPr>
          <w:rFonts w:ascii="宋体" w:hAnsi="宋体" w:cs="宋体"/>
        </w:rPr>
      </w:pPr>
      <w:bookmarkStart w:id="82" w:name="_Toc19765"/>
      <w:r>
        <w:rPr>
          <w:rFonts w:hint="eastAsia" w:ascii="宋体" w:hAnsi="宋体" w:cs="宋体"/>
        </w:rPr>
        <w:t>第七部分  响应文件格式</w:t>
      </w:r>
      <w:bookmarkEnd w:id="65"/>
      <w:bookmarkEnd w:id="82"/>
    </w:p>
    <w:p>
      <w:pPr>
        <w:adjustRightInd w:val="0"/>
        <w:snapToGrid w:val="0"/>
        <w:spacing w:line="400" w:lineRule="exact"/>
        <w:jc w:val="left"/>
        <w:rPr>
          <w:rFonts w:ascii="宋体" w:hAnsi="宋体" w:eastAsia="宋体" w:cs="宋体"/>
          <w:b/>
          <w:w w:val="120"/>
          <w:sz w:val="28"/>
          <w:szCs w:val="28"/>
        </w:rPr>
      </w:pPr>
      <w:r>
        <w:rPr>
          <w:rFonts w:hint="eastAsia" w:ascii="宋体" w:hAnsi="宋体" w:eastAsia="宋体" w:cs="宋体"/>
          <w:b/>
          <w:w w:val="120"/>
          <w:sz w:val="28"/>
          <w:szCs w:val="28"/>
        </w:rPr>
        <w:t>项目编号：</w:t>
      </w:r>
      <w:r>
        <w:rPr>
          <w:rFonts w:hint="eastAsia" w:ascii="宋体" w:hAnsi="宋体" w:eastAsia="宋体" w:cs="宋体"/>
          <w:b/>
          <w:w w:val="120"/>
          <w:sz w:val="28"/>
          <w:szCs w:val="28"/>
          <w:lang w:eastAsia="zh-CN"/>
        </w:rPr>
        <w:t>ZMZB2022XKD-64R</w:t>
      </w:r>
      <w:r>
        <w:rPr>
          <w:rFonts w:hint="eastAsia" w:ascii="宋体" w:hAnsi="宋体" w:eastAsia="宋体" w:cs="宋体"/>
          <w:b/>
          <w:w w:val="120"/>
          <w:sz w:val="28"/>
          <w:szCs w:val="28"/>
        </w:rPr>
        <w:t xml:space="preserve">    （正本或副本）</w:t>
      </w:r>
    </w:p>
    <w:p>
      <w:pPr>
        <w:adjustRightInd w:val="0"/>
        <w:snapToGrid w:val="0"/>
        <w:spacing w:line="360" w:lineRule="auto"/>
        <w:jc w:val="left"/>
        <w:rPr>
          <w:rFonts w:ascii="宋体" w:hAnsi="宋体" w:eastAsia="宋体" w:cs="宋体"/>
          <w:bCs/>
          <w:spacing w:val="-34"/>
          <w:w w:val="120"/>
          <w:sz w:val="34"/>
        </w:rPr>
      </w:pPr>
    </w:p>
    <w:p>
      <w:pPr>
        <w:adjustRightInd w:val="0"/>
        <w:snapToGrid w:val="0"/>
        <w:spacing w:line="480" w:lineRule="auto"/>
        <w:jc w:val="center"/>
        <w:rPr>
          <w:rFonts w:hint="eastAsia" w:ascii="宋体" w:hAnsi="宋体" w:eastAsia="宋体" w:cs="宋体"/>
          <w:b/>
          <w:sz w:val="40"/>
          <w:szCs w:val="40"/>
          <w:lang w:eastAsia="zh-CN"/>
        </w:rPr>
      </w:pPr>
      <w:r>
        <w:rPr>
          <w:rFonts w:hint="eastAsia" w:ascii="宋体" w:hAnsi="宋体" w:eastAsia="宋体" w:cs="宋体"/>
          <w:b/>
          <w:sz w:val="40"/>
          <w:szCs w:val="40"/>
          <w:lang w:eastAsia="zh-CN"/>
        </w:rPr>
        <w:t>西安科技大学ACS数据库、ElsevierScienceDirect数据库、SCIE数据库</w:t>
      </w:r>
    </w:p>
    <w:p>
      <w:pPr>
        <w:adjustRightInd w:val="0"/>
        <w:snapToGrid w:val="0"/>
        <w:spacing w:line="480" w:lineRule="auto"/>
        <w:jc w:val="center"/>
        <w:rPr>
          <w:rFonts w:hint="default" w:ascii="宋体" w:hAnsi="宋体" w:eastAsia="宋体" w:cs="宋体"/>
          <w:b/>
          <w:sz w:val="40"/>
          <w:szCs w:val="40"/>
          <w:lang w:val="en-US" w:eastAsia="zh-CN"/>
        </w:rPr>
      </w:pPr>
      <w:r>
        <w:rPr>
          <w:rFonts w:hint="eastAsia" w:ascii="宋体" w:hAnsi="宋体" w:eastAsia="宋体" w:cs="宋体"/>
          <w:b/>
          <w:sz w:val="40"/>
          <w:szCs w:val="40"/>
          <w:lang w:eastAsia="zh-CN"/>
        </w:rPr>
        <w:t>服务采购项目（二次）</w:t>
      </w:r>
    </w:p>
    <w:p>
      <w:pPr>
        <w:adjustRightInd w:val="0"/>
        <w:snapToGrid w:val="0"/>
        <w:spacing w:line="480" w:lineRule="auto"/>
        <w:jc w:val="center"/>
        <w:rPr>
          <w:rFonts w:ascii="宋体" w:hAnsi="宋体" w:eastAsia="宋体" w:cs="宋体"/>
          <w:b/>
          <w:sz w:val="56"/>
          <w:szCs w:val="56"/>
        </w:rPr>
      </w:pPr>
      <w:r>
        <w:rPr>
          <w:rFonts w:hint="eastAsia" w:ascii="宋体" w:hAnsi="宋体" w:eastAsia="宋体" w:cs="宋体"/>
          <w:b/>
          <w:sz w:val="56"/>
          <w:szCs w:val="56"/>
        </w:rPr>
        <w:t>响</w:t>
      </w:r>
    </w:p>
    <w:p>
      <w:pPr>
        <w:adjustRightInd w:val="0"/>
        <w:snapToGrid w:val="0"/>
        <w:spacing w:line="480" w:lineRule="auto"/>
        <w:jc w:val="center"/>
        <w:rPr>
          <w:rFonts w:ascii="宋体" w:hAnsi="宋体" w:eastAsia="宋体" w:cs="宋体"/>
          <w:b/>
          <w:sz w:val="56"/>
          <w:szCs w:val="56"/>
        </w:rPr>
      </w:pPr>
      <w:r>
        <w:rPr>
          <w:rFonts w:hint="eastAsia" w:ascii="宋体" w:hAnsi="宋体" w:eastAsia="宋体" w:cs="宋体"/>
          <w:b/>
          <w:sz w:val="56"/>
          <w:szCs w:val="56"/>
        </w:rPr>
        <w:t>应</w:t>
      </w:r>
    </w:p>
    <w:p>
      <w:pPr>
        <w:adjustRightInd w:val="0"/>
        <w:snapToGrid w:val="0"/>
        <w:spacing w:line="480" w:lineRule="auto"/>
        <w:jc w:val="center"/>
        <w:rPr>
          <w:rFonts w:ascii="宋体" w:hAnsi="宋体" w:eastAsia="宋体" w:cs="宋体"/>
          <w:b/>
          <w:sz w:val="72"/>
          <w:szCs w:val="72"/>
        </w:rPr>
      </w:pPr>
      <w:r>
        <w:rPr>
          <w:rFonts w:hint="eastAsia" w:ascii="宋体" w:hAnsi="宋体" w:eastAsia="宋体" w:cs="宋体"/>
          <w:b/>
          <w:sz w:val="56"/>
          <w:szCs w:val="56"/>
        </w:rPr>
        <w:t>文</w:t>
      </w:r>
    </w:p>
    <w:p>
      <w:pPr>
        <w:adjustRightInd w:val="0"/>
        <w:snapToGrid w:val="0"/>
        <w:spacing w:line="480" w:lineRule="auto"/>
        <w:jc w:val="center"/>
        <w:rPr>
          <w:rFonts w:ascii="宋体" w:hAnsi="宋体" w:eastAsia="宋体" w:cs="宋体"/>
          <w:b/>
          <w:sz w:val="56"/>
          <w:szCs w:val="56"/>
        </w:rPr>
      </w:pPr>
      <w:r>
        <w:rPr>
          <w:rFonts w:hint="eastAsia" w:ascii="宋体" w:hAnsi="宋体" w:eastAsia="宋体" w:cs="宋体"/>
          <w:b/>
          <w:sz w:val="56"/>
          <w:szCs w:val="56"/>
        </w:rPr>
        <w:t>件</w:t>
      </w:r>
    </w:p>
    <w:p>
      <w:pPr>
        <w:snapToGrid w:val="0"/>
        <w:spacing w:line="360" w:lineRule="auto"/>
        <w:ind w:firstLine="640" w:firstLineChars="200"/>
        <w:jc w:val="left"/>
        <w:rPr>
          <w:rFonts w:ascii="宋体" w:cs="宋体"/>
          <w:sz w:val="32"/>
          <w:szCs w:val="32"/>
          <w:u w:val="single"/>
        </w:rPr>
      </w:pPr>
      <w:r>
        <w:rPr>
          <w:rFonts w:hint="eastAsia" w:ascii="宋体" w:hAnsi="宋体" w:cs="宋体"/>
          <w:sz w:val="32"/>
          <w:szCs w:val="32"/>
          <w:lang w:val="zh-CN"/>
        </w:rPr>
        <w:t>供应商（单位名称）：</w:t>
      </w:r>
      <w:r>
        <w:rPr>
          <w:rFonts w:hint="eastAsia" w:ascii="宋体" w:hAnsi="宋体" w:cs="宋体"/>
          <w:sz w:val="32"/>
          <w:szCs w:val="32"/>
        </w:rPr>
        <w:t>______________</w:t>
      </w:r>
    </w:p>
    <w:p>
      <w:pPr>
        <w:snapToGrid w:val="0"/>
        <w:spacing w:line="360" w:lineRule="auto"/>
        <w:ind w:firstLine="640" w:firstLineChars="200"/>
        <w:jc w:val="left"/>
        <w:rPr>
          <w:rFonts w:ascii="宋体" w:cs="宋体"/>
          <w:sz w:val="36"/>
          <w:szCs w:val="36"/>
          <w:u w:val="single"/>
        </w:rPr>
      </w:pPr>
      <w:r>
        <w:rPr>
          <w:rFonts w:hint="eastAsia" w:ascii="宋体" w:hAnsi="宋体" w:cs="宋体"/>
          <w:sz w:val="32"/>
          <w:szCs w:val="32"/>
        </w:rPr>
        <w:t>日期</w:t>
      </w:r>
      <w:r>
        <w:rPr>
          <w:rFonts w:hint="eastAsia" w:ascii="宋体" w:hAnsi="宋体" w:cs="宋体"/>
          <w:sz w:val="32"/>
          <w:szCs w:val="32"/>
          <w:lang w:val="zh-CN"/>
        </w:rPr>
        <w:t>：</w:t>
      </w:r>
      <w:r>
        <w:rPr>
          <w:rFonts w:hint="eastAsia" w:ascii="宋体" w:hAnsi="宋体" w:cs="宋体"/>
          <w:sz w:val="32"/>
          <w:szCs w:val="32"/>
        </w:rPr>
        <w:t>______</w:t>
      </w:r>
    </w:p>
    <w:p>
      <w:pPr>
        <w:pageBreakBefore/>
        <w:ind w:firstLine="1004" w:firstLineChars="200"/>
        <w:jc w:val="center"/>
        <w:rPr>
          <w:rFonts w:ascii="宋体" w:hAnsi="宋体" w:eastAsia="宋体" w:cs="宋体"/>
          <w:b/>
          <w:sz w:val="50"/>
        </w:rPr>
      </w:pPr>
      <w:r>
        <w:rPr>
          <w:rFonts w:hint="eastAsia" w:ascii="宋体" w:hAnsi="宋体" w:eastAsia="宋体" w:cs="宋体"/>
          <w:b/>
          <w:sz w:val="50"/>
        </w:rPr>
        <w:t>目录</w:t>
      </w:r>
    </w:p>
    <w:p>
      <w:pPr>
        <w:ind w:firstLine="1004" w:firstLineChars="200"/>
        <w:jc w:val="left"/>
        <w:rPr>
          <w:rFonts w:ascii="宋体" w:hAnsi="宋体" w:eastAsia="宋体" w:cs="宋体"/>
          <w:b/>
          <w:sz w:val="50"/>
        </w:rPr>
      </w:pPr>
    </w:p>
    <w:p>
      <w:pPr>
        <w:pStyle w:val="3"/>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第一部分   响应函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 xml:space="preserve">第二部分   响应一览表 </w:t>
      </w:r>
    </w:p>
    <w:p>
      <w:pPr>
        <w:pStyle w:val="3"/>
        <w:snapToGrid w:val="0"/>
        <w:spacing w:line="480" w:lineRule="auto"/>
        <w:ind w:firstLine="1687" w:firstLineChars="600"/>
        <w:jc w:val="left"/>
        <w:rPr>
          <w:rFonts w:asciiTheme="minorEastAsia" w:hAnsiTheme="minorEastAsia" w:cstheme="minorEastAsia"/>
          <w:b/>
          <w:kern w:val="0"/>
          <w:sz w:val="28"/>
          <w:szCs w:val="28"/>
        </w:rPr>
      </w:pPr>
      <w:r>
        <w:rPr>
          <w:rFonts w:hint="eastAsia" w:asciiTheme="minorEastAsia" w:hAnsiTheme="minorEastAsia" w:cstheme="minorEastAsia"/>
          <w:b/>
          <w:bCs/>
          <w:sz w:val="28"/>
          <w:szCs w:val="28"/>
        </w:rPr>
        <w:t xml:space="preserve">   </w:t>
      </w:r>
      <w:r>
        <w:rPr>
          <w:rFonts w:hint="eastAsia" w:asciiTheme="minorEastAsia" w:hAnsiTheme="minorEastAsia" w:cstheme="minorEastAsia"/>
          <w:b/>
          <w:kern w:val="0"/>
          <w:sz w:val="28"/>
          <w:szCs w:val="28"/>
        </w:rPr>
        <w:t>分项报价表</w:t>
      </w:r>
    </w:p>
    <w:p>
      <w:pPr>
        <w:pStyle w:val="3"/>
        <w:snapToGrid w:val="0"/>
        <w:spacing w:line="480" w:lineRule="auto"/>
        <w:ind w:firstLine="562" w:firstLineChars="200"/>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第三部分   商务及技术响应说明</w:t>
      </w:r>
    </w:p>
    <w:p>
      <w:pPr>
        <w:pStyle w:val="3"/>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第四部分   </w:t>
      </w:r>
      <w:r>
        <w:rPr>
          <w:rFonts w:hint="eastAsia" w:asciiTheme="minorEastAsia" w:hAnsiTheme="minorEastAsia" w:cstheme="minorEastAsia"/>
          <w:b/>
          <w:sz w:val="28"/>
          <w:szCs w:val="28"/>
        </w:rPr>
        <w:t>供应商资格要求</w:t>
      </w:r>
    </w:p>
    <w:p>
      <w:pPr>
        <w:pStyle w:val="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第五部分   技术与服务方案</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第六部分   服务承诺</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第七部分   供应商认为有必要说明的其他问题</w:t>
      </w:r>
    </w:p>
    <w:p>
      <w:pPr>
        <w:snapToGrid w:val="0"/>
        <w:spacing w:line="480" w:lineRule="auto"/>
        <w:ind w:firstLine="562" w:firstLineChars="200"/>
        <w:jc w:val="left"/>
        <w:rPr>
          <w:rFonts w:ascii="宋体" w:hAnsi="宋体" w:eastAsia="宋体" w:cs="宋体"/>
          <w:b/>
          <w:bCs/>
          <w:sz w:val="28"/>
          <w:szCs w:val="28"/>
        </w:rPr>
      </w:pPr>
      <w:r>
        <w:rPr>
          <w:rFonts w:hint="eastAsia" w:asciiTheme="minorEastAsia" w:hAnsiTheme="minorEastAsia" w:cstheme="minorEastAsia"/>
          <w:b/>
          <w:bCs/>
          <w:sz w:val="28"/>
          <w:szCs w:val="28"/>
        </w:rPr>
        <w:t xml:space="preserve">  </w:t>
      </w:r>
    </w:p>
    <w:p>
      <w:pPr>
        <w:pStyle w:val="5"/>
        <w:pageBreakBefore/>
        <w:rPr>
          <w:rFonts w:ascii="宋体" w:hAnsi="宋体" w:cs="宋体"/>
        </w:rPr>
      </w:pPr>
      <w:bookmarkStart w:id="83" w:name="_Toc19981"/>
      <w:bookmarkStart w:id="84" w:name="_Toc2536"/>
      <w:r>
        <w:rPr>
          <w:rFonts w:hint="eastAsia" w:ascii="宋体" w:hAnsi="宋体" w:cs="宋体"/>
        </w:rPr>
        <w:t>第一部分响应函</w:t>
      </w:r>
      <w:bookmarkEnd w:id="83"/>
      <w:bookmarkEnd w:id="84"/>
    </w:p>
    <w:p>
      <w:pPr>
        <w:adjustRightInd w:val="0"/>
        <w:snapToGrid w:val="0"/>
        <w:spacing w:line="276" w:lineRule="auto"/>
        <w:jc w:val="left"/>
        <w:rPr>
          <w:rFonts w:ascii="宋体" w:hAnsi="宋体" w:eastAsia="宋体" w:cs="宋体"/>
          <w:bCs/>
          <w:sz w:val="32"/>
          <w:szCs w:val="32"/>
        </w:rPr>
      </w:pPr>
      <w:r>
        <w:rPr>
          <w:rFonts w:hint="eastAsia" w:ascii="宋体" w:hAnsi="宋体" w:eastAsia="宋体" w:cs="宋体"/>
          <w:b/>
          <w:bCs/>
          <w:sz w:val="28"/>
          <w:szCs w:val="28"/>
        </w:rPr>
        <w:t>陕西卓佲项目管理有限公司</w:t>
      </w:r>
      <w:r>
        <w:rPr>
          <w:rFonts w:hint="eastAsia" w:ascii="宋体" w:hAnsi="宋体" w:eastAsia="宋体" w:cs="宋体"/>
          <w:bCs/>
          <w:sz w:val="32"/>
          <w:szCs w:val="32"/>
        </w:rPr>
        <w:t>：</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我单位收到编号为：</w:t>
      </w:r>
      <w:r>
        <w:rPr>
          <w:rFonts w:hint="eastAsia" w:ascii="宋体" w:hAnsi="宋体" w:eastAsia="宋体" w:cs="宋体"/>
          <w:sz w:val="24"/>
          <w:u w:val="single"/>
          <w:lang w:eastAsia="zh-CN"/>
        </w:rPr>
        <w:t>ZMZB2022XKD-64R</w:t>
      </w:r>
      <w:r>
        <w:rPr>
          <w:rFonts w:hint="eastAsia" w:ascii="宋体" w:hAnsi="宋体" w:eastAsia="宋体" w:cs="宋体"/>
          <w:sz w:val="24"/>
        </w:rPr>
        <w:t>的竞争性谈判文件，经详细研究，我公司决定参加本次谈判活动。为此，我方郑重承诺以下诸点，并负法律责任。</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1、愿意按照竞争性谈判文件中的全部要求，提供合格的产品及完善的技术服务，履行合同的责任和义务。</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2、我方提交的响应文件正本____份、副本____份，电子文档____份、</w:t>
      </w:r>
      <w:r>
        <w:rPr>
          <w:rFonts w:hint="eastAsia" w:ascii="宋体" w:hAnsi="宋体" w:eastAsia="宋体" w:cs="宋体"/>
          <w:sz w:val="24"/>
          <w:szCs w:val="24"/>
        </w:rPr>
        <w:t>响应一览表_____份</w:t>
      </w:r>
      <w:r>
        <w:rPr>
          <w:rFonts w:hint="eastAsia" w:ascii="宋体" w:hAnsi="宋体" w:eastAsia="宋体" w:cs="宋体"/>
          <w:sz w:val="24"/>
        </w:rPr>
        <w:t>。</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3、我们已详细阅读了竞争性谈判文件，完全理解并同意放弃提出含糊不清和误解问题的权力。</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4、如果我方在谈判后到规定的响应有效期内撤回响应文件及承诺，我们的保证金将被对方没收。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5、同意向贵方提供贵方可能要求的、与本次谈判有关的任何证据资料。</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6、我方承诺响应有效期为谈判之日起</w:t>
      </w:r>
      <w:r>
        <w:rPr>
          <w:rFonts w:hint="eastAsia" w:ascii="宋体" w:hAnsi="宋体" w:eastAsia="宋体" w:cs="宋体"/>
          <w:sz w:val="24"/>
          <w:u w:val="single"/>
        </w:rPr>
        <w:t xml:space="preserve">         </w:t>
      </w:r>
      <w:r>
        <w:rPr>
          <w:rFonts w:hint="eastAsia" w:ascii="宋体" w:hAnsi="宋体" w:eastAsia="宋体" w:cs="宋体"/>
          <w:sz w:val="24"/>
        </w:rPr>
        <w:t>日历日内有效。</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7、所有关于本次谈判的函电，请按下列地址联系：</w:t>
      </w:r>
    </w:p>
    <w:p>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供应商（单位名称及公章）：_________________</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法定代表人或被授权人（签字或盖章）：______________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地    址：________________________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开户银行：________________________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帐    号：________________________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电    话：________________________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传    真：________________________</w:t>
      </w:r>
    </w:p>
    <w:p>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邮    编：________________________</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spacing w:line="460" w:lineRule="exact"/>
        <w:ind w:firstLine="720" w:firstLineChars="200"/>
        <w:jc w:val="left"/>
        <w:rPr>
          <w:rFonts w:ascii="宋体" w:hAnsi="宋体" w:eastAsia="宋体" w:cs="宋体"/>
          <w:sz w:val="36"/>
          <w:szCs w:val="36"/>
          <w:u w:val="single"/>
        </w:rPr>
      </w:pPr>
    </w:p>
    <w:p>
      <w:pPr>
        <w:pStyle w:val="5"/>
        <w:rPr>
          <w:rFonts w:ascii="宋体" w:hAnsi="宋体" w:cs="宋体"/>
        </w:rPr>
        <w:sectPr>
          <w:pgSz w:w="11906" w:h="16838"/>
          <w:pgMar w:top="1440" w:right="1483" w:bottom="1440" w:left="1803" w:header="851" w:footer="992" w:gutter="0"/>
          <w:cols w:space="720" w:num="1"/>
          <w:docGrid w:type="lines" w:linePitch="319" w:charSpace="0"/>
        </w:sectPr>
      </w:pPr>
      <w:bookmarkStart w:id="85" w:name="_Toc28494"/>
    </w:p>
    <w:p>
      <w:pPr>
        <w:pStyle w:val="5"/>
        <w:pageBreakBefore/>
        <w:rPr>
          <w:rFonts w:ascii="宋体" w:hAnsi="宋体" w:cs="宋体"/>
        </w:rPr>
      </w:pPr>
      <w:bookmarkStart w:id="86" w:name="_Toc24608"/>
      <w:r>
        <w:rPr>
          <w:rFonts w:hint="eastAsia" w:ascii="宋体" w:hAnsi="宋体" w:cs="宋体"/>
        </w:rPr>
        <w:t>第二部分</w:t>
      </w:r>
      <w:bookmarkEnd w:id="85"/>
      <w:r>
        <w:rPr>
          <w:rFonts w:hint="eastAsia" w:ascii="宋体" w:hAnsi="宋体" w:cs="宋体"/>
        </w:rPr>
        <w:t>响应一览表</w:t>
      </w:r>
      <w:bookmarkEnd w:id="86"/>
    </w:p>
    <w:p>
      <w:pPr>
        <w:widowControl/>
        <w:wordWrap w:val="0"/>
        <w:spacing w:line="360" w:lineRule="auto"/>
        <w:jc w:val="left"/>
        <w:rPr>
          <w:rFonts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lang w:eastAsia="zh-CN"/>
        </w:rPr>
        <w:t>西安科技大学ACS数据库、ElsevierScienceDirect数据库、SCIE数据库服务采购项目</w:t>
      </w:r>
    </w:p>
    <w:p>
      <w:pPr>
        <w:widowControl/>
        <w:wordWrap w:val="0"/>
        <w:spacing w:line="360" w:lineRule="auto"/>
        <w:jc w:val="left"/>
        <w:rPr>
          <w:rFonts w:ascii="宋体" w:hAnsi="宋体" w:eastAsia="宋体" w:cs="宋体"/>
          <w:sz w:val="24"/>
        </w:rPr>
      </w:pPr>
      <w:r>
        <w:rPr>
          <w:rFonts w:hint="eastAsia" w:ascii="宋体" w:hAnsi="宋体" w:eastAsia="宋体" w:cs="宋体"/>
          <w:sz w:val="24"/>
        </w:rPr>
        <w:t>单    位：元</w:t>
      </w:r>
    </w:p>
    <w:tbl>
      <w:tblPr>
        <w:tblStyle w:val="22"/>
        <w:tblpPr w:leftFromText="180" w:rightFromText="180" w:vertAnchor="text" w:horzAnchor="margin" w:tblpXSpec="center" w:tblpY="95"/>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1"/>
        <w:gridCol w:w="2176"/>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3721" w:type="dxa"/>
            <w:tcBorders>
              <w:tl2br w:val="single" w:color="auto" w:sz="4" w:space="0"/>
            </w:tcBorders>
          </w:tcPr>
          <w:p>
            <w:pPr>
              <w:kinsoku w:val="0"/>
              <w:spacing w:line="480" w:lineRule="auto"/>
              <w:ind w:right="-199" w:rightChars="-95" w:firstLine="1920" w:firstLineChars="800"/>
              <w:rPr>
                <w:rFonts w:ascii="宋体" w:hAnsi="宋体" w:cs="宋体"/>
                <w:sz w:val="24"/>
              </w:rPr>
            </w:pPr>
            <w:r>
              <w:rPr>
                <w:rFonts w:hint="eastAsia" w:ascii="宋体" w:hAnsi="宋体" w:cs="宋体"/>
                <w:sz w:val="24"/>
              </w:rPr>
              <w:t>报价内容</w:t>
            </w:r>
          </w:p>
          <w:p>
            <w:pPr>
              <w:kinsoku w:val="0"/>
              <w:spacing w:line="480" w:lineRule="auto"/>
              <w:ind w:left="10" w:right="-199" w:rightChars="-95" w:firstLine="501" w:firstLineChars="209"/>
              <w:rPr>
                <w:rFonts w:ascii="宋体" w:hAnsi="宋体" w:cs="宋体"/>
                <w:sz w:val="24"/>
              </w:rPr>
            </w:pPr>
          </w:p>
          <w:p>
            <w:pPr>
              <w:kinsoku w:val="0"/>
              <w:spacing w:line="480" w:lineRule="auto"/>
              <w:ind w:right="-199" w:rightChars="-95"/>
              <w:rPr>
                <w:rFonts w:ascii="宋体" w:hAnsi="宋体" w:cs="宋体"/>
                <w:sz w:val="24"/>
              </w:rPr>
            </w:pPr>
            <w:r>
              <w:rPr>
                <w:rFonts w:hint="eastAsia" w:ascii="宋体" w:hAnsi="宋体" w:cs="宋体"/>
                <w:sz w:val="24"/>
              </w:rPr>
              <w:t>响应内容</w:t>
            </w:r>
          </w:p>
        </w:tc>
        <w:tc>
          <w:tcPr>
            <w:tcW w:w="2176" w:type="dxa"/>
            <w:vAlign w:val="center"/>
          </w:tcPr>
          <w:p>
            <w:pPr>
              <w:kinsoku w:val="0"/>
              <w:spacing w:line="480" w:lineRule="auto"/>
              <w:ind w:right="-199" w:rightChars="-95"/>
              <w:jc w:val="center"/>
              <w:rPr>
                <w:rFonts w:ascii="宋体" w:hAnsi="宋体" w:cs="宋体"/>
                <w:sz w:val="24"/>
              </w:rPr>
            </w:pPr>
            <w:r>
              <w:rPr>
                <w:rFonts w:hint="eastAsia" w:ascii="宋体" w:hAnsi="宋体" w:cs="宋体"/>
                <w:sz w:val="24"/>
              </w:rPr>
              <w:t>报价（元）</w:t>
            </w:r>
          </w:p>
        </w:tc>
        <w:tc>
          <w:tcPr>
            <w:tcW w:w="3341" w:type="dxa"/>
            <w:vAlign w:val="center"/>
          </w:tcPr>
          <w:p>
            <w:pPr>
              <w:kinsoku w:val="0"/>
              <w:ind w:right="-199" w:rightChars="-95"/>
              <w:jc w:val="center"/>
            </w:pPr>
            <w:r>
              <w:rPr>
                <w:rFonts w:hint="eastAsia" w:ascii="宋体" w:hAnsi="宋体" w:eastAsia="宋体" w:cs="宋体"/>
                <w:sz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3721" w:type="dxa"/>
            <w:vAlign w:val="center"/>
          </w:tcPr>
          <w:p>
            <w:pPr>
              <w:kinsoku w:val="0"/>
              <w:ind w:right="59" w:rightChars="28"/>
              <w:jc w:val="center"/>
              <w:rPr>
                <w:rFonts w:hint="eastAsia" w:ascii="宋体" w:hAnsi="宋体" w:eastAsia="宋体" w:cs="宋体"/>
                <w:sz w:val="24"/>
                <w:lang w:eastAsia="zh-CN"/>
              </w:rPr>
            </w:pPr>
            <w:r>
              <w:rPr>
                <w:rFonts w:hint="eastAsia" w:ascii="宋体" w:hAnsi="宋体" w:cs="宋体"/>
                <w:sz w:val="24"/>
                <w:lang w:eastAsia="zh-CN"/>
              </w:rPr>
              <w:t>西安科技大学ACS数据库、ElsevierScienceDirect数据库、SCIE数据库服务采购项目</w:t>
            </w:r>
          </w:p>
        </w:tc>
        <w:tc>
          <w:tcPr>
            <w:tcW w:w="2176" w:type="dxa"/>
            <w:vAlign w:val="center"/>
          </w:tcPr>
          <w:p>
            <w:pPr>
              <w:kinsoku w:val="0"/>
              <w:spacing w:line="480" w:lineRule="auto"/>
              <w:ind w:left="10" w:right="-199" w:rightChars="-95" w:firstLine="501" w:firstLineChars="209"/>
              <w:rPr>
                <w:rFonts w:ascii="宋体" w:hAnsi="宋体" w:cs="宋体"/>
                <w:sz w:val="24"/>
              </w:rPr>
            </w:pPr>
          </w:p>
        </w:tc>
        <w:tc>
          <w:tcPr>
            <w:tcW w:w="3341" w:type="dxa"/>
            <w:vAlign w:val="center"/>
          </w:tcPr>
          <w:p>
            <w:pPr>
              <w:kinsoku w:val="0"/>
              <w:spacing w:line="480" w:lineRule="auto"/>
              <w:ind w:left="10" w:right="-199" w:rightChars="-95" w:firstLine="501" w:firstLineChars="209"/>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9238" w:type="dxa"/>
            <w:gridSpan w:val="3"/>
            <w:vAlign w:val="center"/>
          </w:tcPr>
          <w:p>
            <w:pPr>
              <w:kinsoku w:val="0"/>
              <w:spacing w:line="480" w:lineRule="auto"/>
              <w:ind w:right="-199" w:rightChars="-95"/>
              <w:jc w:val="left"/>
              <w:rPr>
                <w:rFonts w:ascii="宋体" w:hAnsi="宋体" w:cs="宋体"/>
                <w:sz w:val="24"/>
              </w:rPr>
            </w:pPr>
            <w:r>
              <w:rPr>
                <w:rFonts w:hint="eastAsia" w:ascii="宋体" w:hAnsi="宋体" w:cs="宋体"/>
                <w:sz w:val="24"/>
              </w:rPr>
              <w:t>报价：（大写）</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238" w:type="dxa"/>
            <w:gridSpan w:val="3"/>
            <w:vAlign w:val="center"/>
          </w:tcPr>
          <w:p>
            <w:pPr>
              <w:kinsoku w:val="0"/>
              <w:ind w:right="-199" w:rightChars="-95"/>
              <w:rPr>
                <w:rFonts w:ascii="宋体" w:hAnsi="宋体" w:cs="宋体"/>
                <w:b/>
                <w:bCs/>
                <w:sz w:val="24"/>
                <w:szCs w:val="24"/>
              </w:rPr>
            </w:pPr>
            <w:r>
              <w:rPr>
                <w:rFonts w:hint="eastAsia" w:ascii="宋体" w:hAnsi="宋体" w:cs="宋体"/>
                <w:b/>
                <w:bCs/>
                <w:sz w:val="24"/>
                <w:szCs w:val="24"/>
              </w:rPr>
              <w:t>备注：报价金额以元为单位，精确到小数点后两位，不进行四舍五入。</w:t>
            </w:r>
          </w:p>
        </w:tc>
      </w:tr>
    </w:tbl>
    <w:p>
      <w:pPr>
        <w:widowControl/>
        <w:tabs>
          <w:tab w:val="left" w:pos="4000"/>
        </w:tabs>
        <w:snapToGrid w:val="0"/>
        <w:spacing w:line="300" w:lineRule="auto"/>
        <w:jc w:val="left"/>
        <w:rPr>
          <w:rFonts w:ascii="宋体" w:hAnsi="宋体" w:cs="宋体"/>
          <w:b/>
          <w:bCs/>
          <w:spacing w:val="20"/>
          <w:kern w:val="0"/>
          <w:sz w:val="24"/>
          <w:szCs w:val="24"/>
        </w:rPr>
      </w:pPr>
    </w:p>
    <w:p>
      <w:pPr>
        <w:widowControl/>
        <w:tabs>
          <w:tab w:val="left" w:pos="4000"/>
        </w:tabs>
        <w:snapToGrid w:val="0"/>
        <w:spacing w:line="300" w:lineRule="auto"/>
        <w:jc w:val="left"/>
        <w:rPr>
          <w:rFonts w:ascii="宋体" w:hAnsi="宋体" w:cs="宋体"/>
          <w:b/>
          <w:bCs/>
          <w:spacing w:val="20"/>
          <w:kern w:val="0"/>
          <w:sz w:val="24"/>
          <w:szCs w:val="24"/>
        </w:rPr>
      </w:pPr>
    </w:p>
    <w:p>
      <w:pPr>
        <w:widowControl/>
        <w:tabs>
          <w:tab w:val="left" w:pos="4000"/>
        </w:tabs>
        <w:snapToGrid w:val="0"/>
        <w:spacing w:line="300" w:lineRule="auto"/>
        <w:jc w:val="left"/>
        <w:rPr>
          <w:rFonts w:ascii="宋体" w:hAnsi="宋体" w:eastAsia="宋体" w:cs="宋体"/>
          <w:sz w:val="32"/>
          <w:szCs w:val="32"/>
        </w:rPr>
      </w:pPr>
      <w:r>
        <w:rPr>
          <w:rFonts w:hint="eastAsia" w:ascii="宋体" w:hAnsi="宋体" w:cs="宋体"/>
          <w:b/>
          <w:bCs/>
          <w:spacing w:val="20"/>
          <w:kern w:val="0"/>
          <w:sz w:val="24"/>
          <w:szCs w:val="24"/>
        </w:rPr>
        <w:t>注：此表还需再单独密封一份递交。</w:t>
      </w:r>
    </w:p>
    <w:p>
      <w:pPr>
        <w:adjustRightInd w:val="0"/>
        <w:snapToGrid w:val="0"/>
        <w:spacing w:line="480" w:lineRule="auto"/>
        <w:jc w:val="left"/>
        <w:rPr>
          <w:rFonts w:ascii="宋体" w:hAnsi="宋体" w:eastAsia="宋体" w:cs="宋体"/>
          <w:sz w:val="24"/>
        </w:rPr>
      </w:pPr>
    </w:p>
    <w:p>
      <w:pPr>
        <w:adjustRightInd w:val="0"/>
        <w:snapToGrid w:val="0"/>
        <w:spacing w:line="480" w:lineRule="auto"/>
        <w:jc w:val="left"/>
        <w:rPr>
          <w:rFonts w:ascii="宋体" w:hAnsi="宋体" w:eastAsia="宋体" w:cs="宋体"/>
          <w:sz w:val="24"/>
          <w:u w:val="single"/>
        </w:rPr>
      </w:pPr>
      <w:r>
        <w:rPr>
          <w:rFonts w:hint="eastAsia" w:ascii="宋体" w:hAnsi="宋体" w:eastAsia="宋体" w:cs="宋体"/>
          <w:sz w:val="24"/>
        </w:rPr>
        <w:t>供应商（单位名称及公章）：______________________</w:t>
      </w:r>
    </w:p>
    <w:p>
      <w:pPr>
        <w:adjustRightInd w:val="0"/>
        <w:snapToGrid w:val="0"/>
        <w:spacing w:line="480" w:lineRule="auto"/>
        <w:rPr>
          <w:rFonts w:ascii="宋体" w:hAnsi="宋体" w:eastAsia="宋体" w:cs="宋体"/>
          <w:sz w:val="24"/>
        </w:rPr>
      </w:pPr>
      <w:r>
        <w:rPr>
          <w:rFonts w:hint="eastAsia" w:ascii="宋体" w:hAnsi="宋体" w:eastAsia="宋体" w:cs="宋体"/>
          <w:sz w:val="24"/>
        </w:rPr>
        <w:t>法定代表人或被授权人（签字或盖章）：______________________</w:t>
      </w:r>
    </w:p>
    <w:p>
      <w:pPr>
        <w:adjustRightInd w:val="0"/>
        <w:snapToGrid w:val="0"/>
        <w:spacing w:line="480" w:lineRule="auto"/>
        <w:rPr>
          <w:rFonts w:ascii="宋体" w:hAnsi="宋体" w:eastAsia="宋体" w:cs="宋体"/>
          <w:sz w:val="24"/>
        </w:rPr>
      </w:pPr>
      <w:r>
        <w:rPr>
          <w:rFonts w:hint="eastAsia" w:ascii="宋体" w:hAnsi="宋体" w:eastAsia="宋体" w:cs="宋体"/>
          <w:sz w:val="24"/>
        </w:rPr>
        <w:t>日    期：_____年_____月_____日</w:t>
      </w:r>
    </w:p>
    <w:p>
      <w:pPr>
        <w:rPr>
          <w:rFonts w:ascii="宋体" w:hAnsi="宋体" w:eastAsia="宋体" w:cs="宋体"/>
        </w:rPr>
        <w:sectPr>
          <w:pgSz w:w="11906" w:h="16838"/>
          <w:pgMar w:top="1440" w:right="1803" w:bottom="1440" w:left="1803" w:header="851" w:footer="992" w:gutter="0"/>
          <w:cols w:space="720" w:num="1"/>
          <w:docGrid w:type="lines" w:linePitch="319" w:charSpace="0"/>
        </w:sectPr>
      </w:pPr>
    </w:p>
    <w:p>
      <w:pPr>
        <w:pStyle w:val="5"/>
        <w:rPr>
          <w:sz w:val="36"/>
          <w:szCs w:val="36"/>
        </w:rPr>
      </w:pPr>
      <w:bookmarkStart w:id="87" w:name="_Toc14444"/>
      <w:bookmarkStart w:id="88" w:name="_Toc9537"/>
      <w:bookmarkStart w:id="89" w:name="_Toc6064"/>
      <w:bookmarkStart w:id="90" w:name="_Toc11309"/>
      <w:r>
        <w:rPr>
          <w:rFonts w:hint="eastAsia"/>
          <w:sz w:val="36"/>
          <w:szCs w:val="36"/>
        </w:rPr>
        <w:t>分项报价表</w:t>
      </w:r>
      <w:bookmarkEnd w:id="87"/>
      <w:bookmarkEnd w:id="88"/>
      <w:bookmarkEnd w:id="89"/>
    </w:p>
    <w:p>
      <w:pPr>
        <w:widowControl/>
        <w:wordWrap w:val="0"/>
        <w:spacing w:line="360" w:lineRule="auto"/>
        <w:jc w:val="left"/>
        <w:rPr>
          <w:rFonts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lang w:eastAsia="zh-CN"/>
        </w:rPr>
        <w:t>西安科技大学ACS数据库、ElsevierScienceDirect数据库、SCIE数据库服务采购项目</w:t>
      </w:r>
    </w:p>
    <w:p>
      <w:pPr>
        <w:widowControl/>
        <w:wordWrap w:val="0"/>
        <w:spacing w:line="360" w:lineRule="auto"/>
        <w:jc w:val="left"/>
        <w:rPr>
          <w:rFonts w:ascii="宋体" w:hAnsi="宋体" w:eastAsia="宋体" w:cs="宋体"/>
          <w:sz w:val="24"/>
        </w:rPr>
      </w:pPr>
      <w:r>
        <w:rPr>
          <w:rFonts w:hint="eastAsia" w:ascii="宋体" w:hAnsi="宋体" w:eastAsia="宋体" w:cs="宋体"/>
          <w:sz w:val="24"/>
        </w:rPr>
        <w:t>单    位：元</w:t>
      </w:r>
    </w:p>
    <w:p>
      <w:pPr>
        <w:pStyle w:val="2"/>
        <w:ind w:firstLine="0"/>
      </w:pPr>
    </w:p>
    <w:tbl>
      <w:tblPr>
        <w:tblStyle w:val="22"/>
        <w:tblpPr w:leftFromText="180" w:rightFromText="180" w:vertAnchor="text" w:horzAnchor="page" w:tblpX="1534" w:tblpY="373"/>
        <w:tblOverlap w:val="never"/>
        <w:tblW w:w="9214" w:type="dxa"/>
        <w:tblInd w:w="0" w:type="dxa"/>
        <w:tblLayout w:type="fixed"/>
        <w:tblCellMar>
          <w:top w:w="0" w:type="dxa"/>
          <w:left w:w="28" w:type="dxa"/>
          <w:bottom w:w="0" w:type="dxa"/>
          <w:right w:w="28" w:type="dxa"/>
        </w:tblCellMar>
      </w:tblPr>
      <w:tblGrid>
        <w:gridCol w:w="1167"/>
        <w:gridCol w:w="539"/>
        <w:gridCol w:w="1450"/>
        <w:gridCol w:w="1750"/>
        <w:gridCol w:w="984"/>
        <w:gridCol w:w="1283"/>
        <w:gridCol w:w="2041"/>
      </w:tblGrid>
      <w:tr>
        <w:tblPrEx>
          <w:tblCellMar>
            <w:top w:w="0" w:type="dxa"/>
            <w:left w:w="28" w:type="dxa"/>
            <w:bottom w:w="0" w:type="dxa"/>
            <w:right w:w="28" w:type="dxa"/>
          </w:tblCellMar>
        </w:tblPrEx>
        <w:trPr>
          <w:trHeight w:val="675" w:hRule="atLeast"/>
        </w:trPr>
        <w:tc>
          <w:tcPr>
            <w:tcW w:w="1167" w:type="dxa"/>
            <w:vMerge w:val="restart"/>
            <w:tcBorders>
              <w:top w:val="single" w:color="auto" w:sz="6" w:space="0"/>
              <w:left w:val="single" w:color="auto" w:sz="6" w:space="0"/>
              <w:right w:val="single" w:color="auto" w:sz="4" w:space="0"/>
            </w:tcBorders>
            <w:noWrap/>
            <w:vAlign w:val="center"/>
          </w:tcPr>
          <w:p>
            <w:pPr>
              <w:jc w:val="left"/>
              <w:rPr>
                <w:rFonts w:ascii="宋体" w:hAnsi="宋体" w:cs="宋体"/>
                <w:sz w:val="24"/>
                <w:szCs w:val="24"/>
              </w:rPr>
            </w:pPr>
            <w:r>
              <w:rPr>
                <w:rFonts w:hint="eastAsia" w:ascii="宋体" w:hAnsi="宋体" w:cs="宋体"/>
                <w:sz w:val="24"/>
                <w:szCs w:val="24"/>
              </w:rPr>
              <w:t>费用</w:t>
            </w:r>
          </w:p>
        </w:tc>
        <w:tc>
          <w:tcPr>
            <w:tcW w:w="539" w:type="dxa"/>
            <w:tcBorders>
              <w:top w:val="single" w:color="auto" w:sz="6" w:space="0"/>
              <w:left w:val="single" w:color="auto" w:sz="4" w:space="0"/>
              <w:bottom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rPr>
              <w:t>序号</w:t>
            </w:r>
          </w:p>
        </w:tc>
        <w:tc>
          <w:tcPr>
            <w:tcW w:w="1450" w:type="dxa"/>
            <w:tcBorders>
              <w:top w:val="single" w:color="auto" w:sz="6" w:space="0"/>
              <w:left w:val="single" w:color="auto" w:sz="6" w:space="0"/>
              <w:bottom w:val="single" w:color="auto" w:sz="6" w:space="0"/>
              <w:right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lang w:eastAsia="zh-CN"/>
              </w:rPr>
              <w:t>数据库</w:t>
            </w:r>
            <w:r>
              <w:rPr>
                <w:rFonts w:hint="eastAsia" w:ascii="宋体" w:hAnsi="宋体" w:cs="宋体"/>
                <w:sz w:val="24"/>
                <w:szCs w:val="24"/>
              </w:rPr>
              <w:t>名称</w:t>
            </w:r>
          </w:p>
        </w:tc>
        <w:tc>
          <w:tcPr>
            <w:tcW w:w="1750" w:type="dxa"/>
            <w:tcBorders>
              <w:top w:val="single" w:color="auto" w:sz="6" w:space="0"/>
              <w:left w:val="single" w:color="auto" w:sz="6" w:space="0"/>
              <w:bottom w:val="single" w:color="auto" w:sz="6" w:space="0"/>
              <w:right w:val="single" w:color="auto" w:sz="4" w:space="0"/>
            </w:tcBorders>
            <w:noWrap/>
            <w:vAlign w:val="center"/>
          </w:tcPr>
          <w:p>
            <w:pPr>
              <w:spacing w:after="120"/>
              <w:jc w:val="center"/>
              <w:rPr>
                <w:rFonts w:ascii="宋体" w:hAnsi="宋体" w:cs="宋体"/>
                <w:sz w:val="24"/>
                <w:szCs w:val="24"/>
              </w:rPr>
            </w:pPr>
            <w:r>
              <w:rPr>
                <w:rFonts w:hint="eastAsia" w:ascii="宋体" w:hAnsi="宋体" w:cs="宋体"/>
                <w:sz w:val="24"/>
                <w:szCs w:val="24"/>
              </w:rPr>
              <w:t>数据库</w:t>
            </w:r>
            <w:r>
              <w:rPr>
                <w:rFonts w:hint="eastAsia" w:ascii="宋体" w:hAnsi="宋体" w:eastAsia="宋体" w:cs="宋体"/>
                <w:sz w:val="24"/>
                <w:lang w:val="en-US" w:eastAsia="zh-CN"/>
              </w:rPr>
              <w:t>服务期限</w:t>
            </w:r>
          </w:p>
        </w:tc>
        <w:tc>
          <w:tcPr>
            <w:tcW w:w="984" w:type="dxa"/>
            <w:tcBorders>
              <w:top w:val="single" w:color="auto" w:sz="6" w:space="0"/>
              <w:left w:val="single" w:color="auto" w:sz="4" w:space="0"/>
              <w:bottom w:val="single" w:color="auto" w:sz="6" w:space="0"/>
              <w:right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rPr>
              <w:t>数量</w:t>
            </w:r>
          </w:p>
        </w:tc>
        <w:tc>
          <w:tcPr>
            <w:tcW w:w="1283" w:type="dxa"/>
            <w:tcBorders>
              <w:top w:val="single" w:color="auto" w:sz="6" w:space="0"/>
              <w:left w:val="single" w:color="auto" w:sz="6" w:space="0"/>
              <w:bottom w:val="single" w:color="auto" w:sz="6" w:space="0"/>
              <w:right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rPr>
              <w:t>单价</w:t>
            </w:r>
          </w:p>
          <w:p>
            <w:pPr>
              <w:spacing w:after="120"/>
              <w:jc w:val="center"/>
              <w:rPr>
                <w:rFonts w:ascii="宋体" w:hAnsi="宋体" w:cs="宋体"/>
                <w:sz w:val="24"/>
                <w:szCs w:val="24"/>
              </w:rPr>
            </w:pPr>
            <w:r>
              <w:rPr>
                <w:rFonts w:hint="eastAsia" w:ascii="宋体" w:hAnsi="宋体" w:cs="宋体"/>
                <w:sz w:val="24"/>
                <w:szCs w:val="24"/>
              </w:rPr>
              <w:t>（元）</w:t>
            </w:r>
          </w:p>
        </w:tc>
        <w:tc>
          <w:tcPr>
            <w:tcW w:w="2041" w:type="dxa"/>
            <w:tcBorders>
              <w:top w:val="single" w:color="auto" w:sz="6" w:space="0"/>
              <w:left w:val="single" w:color="auto" w:sz="6" w:space="0"/>
              <w:bottom w:val="single" w:color="auto" w:sz="6" w:space="0"/>
              <w:right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rPr>
              <w:t>总价</w:t>
            </w:r>
          </w:p>
          <w:p>
            <w:pPr>
              <w:spacing w:after="120"/>
              <w:jc w:val="center"/>
              <w:rPr>
                <w:rFonts w:ascii="宋体" w:hAnsi="宋体" w:cs="宋体"/>
                <w:sz w:val="24"/>
                <w:szCs w:val="24"/>
              </w:rPr>
            </w:pPr>
            <w:r>
              <w:rPr>
                <w:rFonts w:hint="eastAsia" w:ascii="宋体" w:hAnsi="宋体" w:cs="宋体"/>
                <w:sz w:val="24"/>
                <w:szCs w:val="24"/>
              </w:rPr>
              <w:t>（元）</w:t>
            </w: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6" w:space="0"/>
              <w:left w:val="single" w:color="auto" w:sz="4" w:space="0"/>
              <w:bottom w:val="single" w:color="auto" w:sz="4" w:space="0"/>
            </w:tcBorders>
            <w:noWrap/>
            <w:vAlign w:val="center"/>
          </w:tcPr>
          <w:p>
            <w:pPr>
              <w:spacing w:before="319" w:beforeLines="100"/>
              <w:jc w:val="center"/>
              <w:rPr>
                <w:rFonts w:ascii="宋体" w:hAnsi="宋体" w:cs="宋体"/>
                <w:sz w:val="24"/>
                <w:szCs w:val="24"/>
              </w:rPr>
            </w:pPr>
            <w:r>
              <w:rPr>
                <w:rFonts w:hint="eastAsia" w:ascii="宋体" w:hAnsi="宋体" w:cs="宋体"/>
                <w:sz w:val="24"/>
                <w:szCs w:val="24"/>
              </w:rPr>
              <w:t>1</w:t>
            </w:r>
          </w:p>
        </w:tc>
        <w:tc>
          <w:tcPr>
            <w:tcW w:w="1450" w:type="dxa"/>
            <w:tcBorders>
              <w:top w:val="single" w:color="auto" w:sz="6" w:space="0"/>
              <w:left w:val="single" w:color="auto" w:sz="6" w:space="0"/>
              <w:bottom w:val="single" w:color="auto" w:sz="4" w:space="0"/>
              <w:right w:val="single" w:color="auto" w:sz="6" w:space="0"/>
            </w:tcBorders>
            <w:noWrap/>
            <w:vAlign w:val="center"/>
          </w:tcPr>
          <w:p>
            <w:pPr>
              <w:spacing w:before="159" w:beforeLines="50"/>
              <w:jc w:val="center"/>
              <w:rPr>
                <w:rFonts w:ascii="宋体" w:hAnsi="宋体" w:cs="宋体"/>
                <w:sz w:val="24"/>
                <w:szCs w:val="24"/>
              </w:rPr>
            </w:pPr>
          </w:p>
        </w:tc>
        <w:tc>
          <w:tcPr>
            <w:tcW w:w="1750" w:type="dxa"/>
            <w:tcBorders>
              <w:top w:val="single" w:color="auto" w:sz="6" w:space="0"/>
              <w:left w:val="single" w:color="auto" w:sz="6" w:space="0"/>
              <w:bottom w:val="single" w:color="auto" w:sz="4"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6" w:space="0"/>
              <w:left w:val="single" w:color="auto" w:sz="4" w:space="0"/>
              <w:bottom w:val="single" w:color="auto" w:sz="4"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6" w:space="0"/>
              <w:left w:val="single" w:color="auto" w:sz="6" w:space="0"/>
              <w:bottom w:val="single" w:color="auto" w:sz="4"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6" w:space="0"/>
              <w:left w:val="single" w:color="auto" w:sz="6" w:space="0"/>
              <w:bottom w:val="single" w:color="auto" w:sz="4"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4" w:space="0"/>
              <w:left w:val="single" w:color="auto" w:sz="4" w:space="0"/>
              <w:bottom w:val="single" w:color="auto" w:sz="6" w:space="0"/>
            </w:tcBorders>
            <w:noWrap/>
            <w:vAlign w:val="center"/>
          </w:tcPr>
          <w:p>
            <w:pPr>
              <w:spacing w:before="319" w:beforeLines="100"/>
              <w:jc w:val="center"/>
              <w:rPr>
                <w:rFonts w:ascii="宋体" w:hAnsi="宋体" w:cs="宋体"/>
                <w:sz w:val="24"/>
                <w:szCs w:val="24"/>
              </w:rPr>
            </w:pPr>
            <w:r>
              <w:rPr>
                <w:rFonts w:hint="eastAsia" w:ascii="宋体" w:hAnsi="宋体" w:cs="宋体"/>
                <w:sz w:val="24"/>
                <w:szCs w:val="24"/>
              </w:rPr>
              <w:t>2</w:t>
            </w:r>
          </w:p>
        </w:tc>
        <w:tc>
          <w:tcPr>
            <w:tcW w:w="1450" w:type="dxa"/>
            <w:tcBorders>
              <w:top w:val="single" w:color="auto" w:sz="4" w:space="0"/>
              <w:left w:val="single" w:color="auto" w:sz="6" w:space="0"/>
              <w:bottom w:val="single" w:color="auto" w:sz="6" w:space="0"/>
              <w:right w:val="single" w:color="auto" w:sz="6" w:space="0"/>
            </w:tcBorders>
            <w:noWrap/>
            <w:vAlign w:val="center"/>
          </w:tcPr>
          <w:p>
            <w:pPr>
              <w:spacing w:before="319" w:beforeLines="100"/>
              <w:jc w:val="center"/>
              <w:rPr>
                <w:rFonts w:ascii="宋体" w:hAnsi="宋体" w:cs="宋体"/>
                <w:sz w:val="24"/>
                <w:szCs w:val="24"/>
              </w:rPr>
            </w:pPr>
          </w:p>
        </w:tc>
        <w:tc>
          <w:tcPr>
            <w:tcW w:w="1750" w:type="dxa"/>
            <w:tcBorders>
              <w:top w:val="single" w:color="auto" w:sz="4" w:space="0"/>
              <w:left w:val="single" w:color="auto" w:sz="6" w:space="0"/>
              <w:bottom w:val="single" w:color="auto" w:sz="6"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4" w:space="0"/>
              <w:left w:val="single" w:color="auto" w:sz="4"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4" w:space="0"/>
              <w:left w:val="single" w:color="auto" w:sz="4" w:space="0"/>
              <w:bottom w:val="single" w:color="auto" w:sz="6" w:space="0"/>
            </w:tcBorders>
            <w:noWrap/>
            <w:vAlign w:val="center"/>
          </w:tcPr>
          <w:p>
            <w:pPr>
              <w:spacing w:before="319" w:beforeLines="100"/>
              <w:jc w:val="center"/>
              <w:rPr>
                <w:rFonts w:ascii="宋体" w:hAnsi="宋体" w:cs="宋体"/>
                <w:sz w:val="24"/>
                <w:szCs w:val="24"/>
              </w:rPr>
            </w:pPr>
            <w:r>
              <w:rPr>
                <w:rFonts w:hint="eastAsia" w:ascii="宋体" w:hAnsi="宋体" w:cs="宋体"/>
                <w:sz w:val="24"/>
                <w:szCs w:val="24"/>
              </w:rPr>
              <w:t>3</w:t>
            </w:r>
          </w:p>
        </w:tc>
        <w:tc>
          <w:tcPr>
            <w:tcW w:w="1450" w:type="dxa"/>
            <w:tcBorders>
              <w:top w:val="single" w:color="auto" w:sz="4" w:space="0"/>
              <w:left w:val="single" w:color="auto" w:sz="6" w:space="0"/>
              <w:bottom w:val="single" w:color="auto" w:sz="6" w:space="0"/>
              <w:right w:val="single" w:color="auto" w:sz="6" w:space="0"/>
            </w:tcBorders>
            <w:noWrap/>
            <w:vAlign w:val="center"/>
          </w:tcPr>
          <w:p>
            <w:pPr>
              <w:spacing w:before="319" w:beforeLines="100"/>
              <w:jc w:val="center"/>
              <w:rPr>
                <w:rFonts w:ascii="宋体" w:hAnsi="宋体" w:cs="宋体"/>
                <w:sz w:val="24"/>
                <w:szCs w:val="24"/>
              </w:rPr>
            </w:pPr>
          </w:p>
        </w:tc>
        <w:tc>
          <w:tcPr>
            <w:tcW w:w="1750" w:type="dxa"/>
            <w:tcBorders>
              <w:top w:val="single" w:color="auto" w:sz="4" w:space="0"/>
              <w:left w:val="single" w:color="auto" w:sz="6" w:space="0"/>
              <w:bottom w:val="single" w:color="auto" w:sz="6"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4" w:space="0"/>
              <w:left w:val="single" w:color="auto" w:sz="4"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4" w:space="0"/>
              <w:left w:val="single" w:color="auto" w:sz="4" w:space="0"/>
              <w:bottom w:val="single" w:color="auto" w:sz="6" w:space="0"/>
            </w:tcBorders>
            <w:noWrap/>
            <w:vAlign w:val="center"/>
          </w:tcPr>
          <w:p>
            <w:pPr>
              <w:spacing w:before="319" w:beforeLines="100"/>
              <w:jc w:val="center"/>
              <w:rPr>
                <w:rFonts w:ascii="宋体" w:hAnsi="宋体" w:cs="宋体"/>
                <w:sz w:val="24"/>
                <w:szCs w:val="24"/>
              </w:rPr>
            </w:pPr>
            <w:r>
              <w:rPr>
                <w:rFonts w:hint="eastAsia" w:ascii="宋体" w:hAnsi="宋体" w:cs="宋体"/>
                <w:sz w:val="24"/>
                <w:szCs w:val="24"/>
              </w:rPr>
              <w:t>……</w:t>
            </w:r>
          </w:p>
        </w:tc>
        <w:tc>
          <w:tcPr>
            <w:tcW w:w="1450"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750" w:type="dxa"/>
            <w:tcBorders>
              <w:top w:val="single" w:color="auto" w:sz="4" w:space="0"/>
              <w:left w:val="single" w:color="auto" w:sz="6" w:space="0"/>
              <w:bottom w:val="single" w:color="auto" w:sz="6"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4" w:space="0"/>
              <w:left w:val="single" w:color="auto" w:sz="4"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bottom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4" w:space="0"/>
              <w:left w:val="single" w:color="auto" w:sz="4" w:space="0"/>
              <w:bottom w:val="single" w:color="auto" w:sz="6" w:space="0"/>
            </w:tcBorders>
            <w:noWrap/>
            <w:vAlign w:val="center"/>
          </w:tcPr>
          <w:p>
            <w:pPr>
              <w:spacing w:before="319" w:beforeLines="100"/>
              <w:jc w:val="center"/>
              <w:rPr>
                <w:rFonts w:ascii="宋体" w:hAnsi="宋体" w:cs="宋体"/>
                <w:b/>
                <w:bCs/>
                <w:sz w:val="24"/>
                <w:szCs w:val="24"/>
              </w:rPr>
            </w:pPr>
            <w:r>
              <w:rPr>
                <w:rFonts w:hint="eastAsia" w:ascii="宋体" w:hAnsi="宋体" w:cs="宋体"/>
                <w:sz w:val="24"/>
                <w:szCs w:val="24"/>
              </w:rPr>
              <w:t>……</w:t>
            </w:r>
          </w:p>
        </w:tc>
        <w:tc>
          <w:tcPr>
            <w:tcW w:w="1450"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750" w:type="dxa"/>
            <w:tcBorders>
              <w:top w:val="single" w:color="auto" w:sz="4" w:space="0"/>
              <w:left w:val="single" w:color="auto" w:sz="6" w:space="0"/>
              <w:bottom w:val="single" w:color="auto" w:sz="6"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4" w:space="0"/>
              <w:left w:val="single" w:color="auto" w:sz="4"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5890" w:type="dxa"/>
            <w:gridSpan w:val="5"/>
            <w:tcBorders>
              <w:left w:val="single" w:color="auto" w:sz="6" w:space="0"/>
              <w:bottom w:val="single" w:color="auto" w:sz="6" w:space="0"/>
              <w:right w:val="single" w:color="auto" w:sz="6" w:space="0"/>
            </w:tcBorders>
            <w:noWrap/>
            <w:vAlign w:val="center"/>
          </w:tcPr>
          <w:p>
            <w:pPr>
              <w:spacing w:before="159" w:beforeLines="50"/>
              <w:jc w:val="center"/>
              <w:rPr>
                <w:rFonts w:hint="eastAsia" w:ascii="宋体" w:hAnsi="宋体" w:eastAsia="宋体" w:cs="宋体"/>
                <w:sz w:val="24"/>
                <w:szCs w:val="24"/>
                <w:lang w:eastAsia="zh-CN"/>
              </w:rPr>
            </w:pPr>
            <w:r>
              <w:rPr>
                <w:rFonts w:hint="eastAsia" w:ascii="宋体" w:hAnsi="宋体" w:cs="宋体"/>
                <w:sz w:val="24"/>
                <w:szCs w:val="24"/>
                <w:lang w:eastAsia="zh-CN"/>
              </w:rPr>
              <w:t>合计（元）</w:t>
            </w:r>
          </w:p>
        </w:tc>
        <w:tc>
          <w:tcPr>
            <w:tcW w:w="3324" w:type="dxa"/>
            <w:gridSpan w:val="2"/>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706" w:type="dxa"/>
            <w:gridSpan w:val="2"/>
            <w:tcBorders>
              <w:top w:val="single" w:color="auto" w:sz="4" w:space="0"/>
              <w:left w:val="single" w:color="auto" w:sz="6" w:space="0"/>
              <w:bottom w:val="single" w:color="auto" w:sz="6" w:space="0"/>
            </w:tcBorders>
            <w:noWrap/>
            <w:vAlign w:val="center"/>
          </w:tcPr>
          <w:p>
            <w:pPr>
              <w:jc w:val="center"/>
              <w:rPr>
                <w:rFonts w:ascii="宋体" w:hAnsi="宋体" w:cs="宋体"/>
                <w:sz w:val="24"/>
                <w:szCs w:val="24"/>
              </w:rPr>
            </w:pPr>
            <w:r>
              <w:rPr>
                <w:rFonts w:hint="eastAsia" w:ascii="宋体" w:hAnsi="宋体" w:cs="宋体"/>
                <w:sz w:val="24"/>
                <w:szCs w:val="24"/>
              </w:rPr>
              <w:t>备注</w:t>
            </w:r>
          </w:p>
        </w:tc>
        <w:tc>
          <w:tcPr>
            <w:tcW w:w="7508" w:type="dxa"/>
            <w:gridSpan w:val="5"/>
            <w:tcBorders>
              <w:top w:val="single" w:color="auto" w:sz="4" w:space="0"/>
              <w:left w:val="single" w:color="auto" w:sz="6" w:space="0"/>
              <w:bottom w:val="single" w:color="auto" w:sz="6" w:space="0"/>
              <w:right w:val="single" w:color="auto" w:sz="6" w:space="0"/>
            </w:tcBorders>
            <w:noWrap/>
            <w:vAlign w:val="center"/>
          </w:tcPr>
          <w:p>
            <w:pPr>
              <w:spacing w:before="159" w:beforeLines="50"/>
              <w:rPr>
                <w:rFonts w:ascii="宋体" w:hAnsi="宋体" w:cs="宋体"/>
                <w:sz w:val="24"/>
                <w:szCs w:val="24"/>
              </w:rPr>
            </w:pPr>
            <w:r>
              <w:rPr>
                <w:rFonts w:hint="eastAsia" w:ascii="宋体" w:hAnsi="宋体" w:cs="宋体"/>
                <w:sz w:val="24"/>
                <w:szCs w:val="24"/>
              </w:rPr>
              <w:t>表内报价内容以元为单位，精确到小数点后两位。</w:t>
            </w:r>
          </w:p>
        </w:tc>
      </w:tr>
    </w:tbl>
    <w:p>
      <w:pPr>
        <w:adjustRightInd w:val="0"/>
        <w:snapToGrid w:val="0"/>
        <w:spacing w:line="480" w:lineRule="auto"/>
        <w:rPr>
          <w:rFonts w:ascii="宋体" w:hAnsi="宋体"/>
          <w:sz w:val="24"/>
          <w:szCs w:val="24"/>
        </w:rPr>
      </w:pP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供应商（单位名称及公章）：_______________</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法定代表人或被授权人（签字或盖章）：_______________</w:t>
      </w:r>
    </w:p>
    <w:p>
      <w:pPr>
        <w:adjustRightInd w:val="0"/>
        <w:snapToGrid w:val="0"/>
        <w:spacing w:line="360" w:lineRule="auto"/>
        <w:ind w:firstLine="480" w:firstLineChars="200"/>
        <w:jc w:val="left"/>
        <w:rPr>
          <w:sz w:val="36"/>
          <w:szCs w:val="36"/>
        </w:rPr>
        <w:sectPr>
          <w:pgSz w:w="11906" w:h="16838"/>
          <w:pgMar w:top="1440" w:right="1800" w:bottom="1440" w:left="1800" w:header="851" w:footer="992" w:gutter="0"/>
          <w:cols w:space="720" w:num="1"/>
          <w:docGrid w:type="lines" w:linePitch="319" w:charSpace="0"/>
        </w:sectPr>
      </w:pPr>
      <w:r>
        <w:rPr>
          <w:rFonts w:hint="eastAsia" w:asciiTheme="minorEastAsia" w:hAnsiTheme="minorEastAsia" w:cstheme="minorEastAsia"/>
          <w:sz w:val="24"/>
          <w:szCs w:val="24"/>
        </w:rPr>
        <w:t>日    期：_____年_____月_____日</w:t>
      </w:r>
    </w:p>
    <w:p>
      <w:pPr>
        <w:pStyle w:val="5"/>
        <w:rPr>
          <w:rFonts w:ascii="宋体" w:hAnsi="宋体" w:cs="宋体"/>
        </w:rPr>
      </w:pPr>
      <w:bookmarkStart w:id="91" w:name="_Toc30782"/>
      <w:bookmarkStart w:id="92" w:name="OLE_LINK1"/>
      <w:r>
        <w:rPr>
          <w:rFonts w:hint="eastAsia" w:ascii="宋体" w:hAnsi="宋体" w:cs="宋体"/>
        </w:rPr>
        <w:t>第三部分 商务及技术响应说明</w:t>
      </w:r>
      <w:bookmarkEnd w:id="91"/>
    </w:p>
    <w:p>
      <w:pPr>
        <w:pStyle w:val="2"/>
        <w:ind w:firstLine="0"/>
        <w:rPr>
          <w:rFonts w:ascii="宋体" w:hAnsi="宋体" w:eastAsia="宋体" w:cs="宋体"/>
        </w:rPr>
      </w:pPr>
    </w:p>
    <w:p>
      <w:pPr>
        <w:jc w:val="center"/>
        <w:rPr>
          <w:rFonts w:ascii="宋体" w:hAnsi="宋体" w:eastAsia="宋体" w:cs="宋体"/>
          <w:b/>
          <w:bCs/>
          <w:sz w:val="28"/>
          <w:szCs w:val="32"/>
        </w:rPr>
      </w:pPr>
      <w:r>
        <w:rPr>
          <w:rFonts w:hint="eastAsia" w:ascii="宋体" w:hAnsi="宋体" w:eastAsia="宋体" w:cs="宋体"/>
          <w:b/>
          <w:bCs/>
          <w:sz w:val="28"/>
          <w:szCs w:val="32"/>
        </w:rPr>
        <w:t>商务偏离表</w:t>
      </w:r>
    </w:p>
    <w:tbl>
      <w:tblPr>
        <w:tblStyle w:val="22"/>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3"/>
              <w:spacing w:line="360" w:lineRule="auto"/>
              <w:jc w:val="center"/>
              <w:rPr>
                <w:rFonts w:hAnsi="宋体" w:eastAsia="宋体" w:cs="宋体"/>
                <w:sz w:val="24"/>
                <w:szCs w:val="24"/>
              </w:rPr>
            </w:pPr>
            <w:r>
              <w:rPr>
                <w:rFonts w:hint="eastAsia" w:hAnsi="宋体" w:eastAsia="宋体" w:cs="宋体"/>
                <w:sz w:val="24"/>
                <w:szCs w:val="24"/>
              </w:rPr>
              <w:t>序号</w:t>
            </w:r>
          </w:p>
        </w:tc>
        <w:tc>
          <w:tcPr>
            <w:tcW w:w="1521" w:type="dxa"/>
            <w:vAlign w:val="center"/>
          </w:tcPr>
          <w:p>
            <w:pPr>
              <w:pStyle w:val="3"/>
              <w:spacing w:line="360" w:lineRule="auto"/>
              <w:jc w:val="center"/>
              <w:rPr>
                <w:rFonts w:hAnsi="宋体" w:eastAsia="宋体" w:cs="宋体"/>
                <w:sz w:val="24"/>
                <w:szCs w:val="24"/>
              </w:rPr>
            </w:pPr>
            <w:r>
              <w:rPr>
                <w:rFonts w:hint="eastAsia" w:hAnsi="宋体" w:eastAsia="宋体" w:cs="宋体"/>
                <w:sz w:val="24"/>
                <w:szCs w:val="24"/>
              </w:rPr>
              <w:t>商务条款</w:t>
            </w:r>
          </w:p>
        </w:tc>
        <w:tc>
          <w:tcPr>
            <w:tcW w:w="1600" w:type="dxa"/>
            <w:vAlign w:val="center"/>
          </w:tcPr>
          <w:p>
            <w:pPr>
              <w:pStyle w:val="3"/>
              <w:spacing w:line="360" w:lineRule="auto"/>
              <w:jc w:val="center"/>
              <w:rPr>
                <w:rFonts w:hAnsi="宋体" w:eastAsia="宋体" w:cs="宋体"/>
                <w:sz w:val="24"/>
                <w:szCs w:val="24"/>
              </w:rPr>
            </w:pPr>
            <w:r>
              <w:rPr>
                <w:rFonts w:hint="eastAsia" w:hAnsi="宋体" w:eastAsia="宋体" w:cs="宋体"/>
                <w:sz w:val="24"/>
                <w:szCs w:val="24"/>
              </w:rPr>
              <w:t>商务要求</w:t>
            </w:r>
          </w:p>
          <w:p>
            <w:pPr>
              <w:pStyle w:val="3"/>
              <w:spacing w:line="360" w:lineRule="auto"/>
              <w:jc w:val="center"/>
              <w:rPr>
                <w:rFonts w:hAnsi="宋体" w:eastAsia="宋体" w:cs="宋体"/>
                <w:sz w:val="24"/>
                <w:szCs w:val="24"/>
              </w:rPr>
            </w:pPr>
            <w:r>
              <w:rPr>
                <w:rFonts w:hint="eastAsia" w:hAnsi="宋体" w:eastAsia="宋体" w:cs="宋体"/>
                <w:sz w:val="24"/>
                <w:szCs w:val="24"/>
              </w:rPr>
              <w:t>内容</w:t>
            </w:r>
          </w:p>
        </w:tc>
        <w:tc>
          <w:tcPr>
            <w:tcW w:w="1938" w:type="dxa"/>
            <w:vAlign w:val="center"/>
          </w:tcPr>
          <w:p>
            <w:pPr>
              <w:pStyle w:val="3"/>
              <w:spacing w:line="360" w:lineRule="auto"/>
              <w:jc w:val="center"/>
              <w:rPr>
                <w:rFonts w:hAnsi="宋体" w:eastAsia="宋体" w:cs="宋体"/>
                <w:sz w:val="24"/>
                <w:szCs w:val="24"/>
              </w:rPr>
            </w:pPr>
            <w:r>
              <w:rPr>
                <w:rFonts w:hint="eastAsia" w:hAnsi="宋体" w:eastAsia="宋体" w:cs="宋体"/>
                <w:sz w:val="24"/>
                <w:szCs w:val="24"/>
              </w:rPr>
              <w:t>响应文件</w:t>
            </w:r>
          </w:p>
          <w:p>
            <w:pPr>
              <w:pStyle w:val="3"/>
              <w:spacing w:line="360" w:lineRule="auto"/>
              <w:jc w:val="center"/>
              <w:rPr>
                <w:rFonts w:hAnsi="宋体" w:eastAsia="宋体" w:cs="宋体"/>
                <w:sz w:val="24"/>
                <w:szCs w:val="24"/>
              </w:rPr>
            </w:pPr>
            <w:r>
              <w:rPr>
                <w:rFonts w:hint="eastAsia" w:hAnsi="宋体" w:eastAsia="宋体" w:cs="宋体"/>
                <w:sz w:val="24"/>
                <w:szCs w:val="24"/>
              </w:rPr>
              <w:t>响应商务内容</w:t>
            </w:r>
          </w:p>
        </w:tc>
        <w:tc>
          <w:tcPr>
            <w:tcW w:w="1410" w:type="dxa"/>
            <w:vAlign w:val="center"/>
          </w:tcPr>
          <w:p>
            <w:pPr>
              <w:pStyle w:val="3"/>
              <w:spacing w:line="360" w:lineRule="auto"/>
              <w:jc w:val="center"/>
              <w:rPr>
                <w:rFonts w:hAnsi="宋体" w:eastAsia="宋体" w:cs="宋体"/>
                <w:sz w:val="24"/>
                <w:szCs w:val="24"/>
              </w:rPr>
            </w:pPr>
            <w:r>
              <w:rPr>
                <w:rFonts w:hint="eastAsia" w:hAnsi="宋体" w:eastAsia="宋体" w:cs="宋体"/>
                <w:sz w:val="24"/>
                <w:szCs w:val="24"/>
              </w:rPr>
              <w:t>偏离情况</w:t>
            </w:r>
          </w:p>
        </w:tc>
        <w:tc>
          <w:tcPr>
            <w:tcW w:w="1356" w:type="dxa"/>
            <w:vAlign w:val="center"/>
          </w:tcPr>
          <w:p>
            <w:pPr>
              <w:pStyle w:val="3"/>
              <w:spacing w:line="360" w:lineRule="auto"/>
              <w:jc w:val="center"/>
              <w:rPr>
                <w:rFonts w:hAnsi="宋体" w:eastAsia="宋体" w:cs="宋体"/>
                <w:sz w:val="24"/>
                <w:szCs w:val="24"/>
              </w:rPr>
            </w:pPr>
            <w:r>
              <w:rPr>
                <w:rFonts w:hint="eastAsia"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vAlign w:val="center"/>
          </w:tcPr>
          <w:p>
            <w:pPr>
              <w:pStyle w:val="3"/>
              <w:spacing w:line="480" w:lineRule="auto"/>
              <w:ind w:firstLine="480" w:firstLineChars="200"/>
              <w:jc w:val="left"/>
              <w:rPr>
                <w:rFonts w:hAnsi="宋体" w:eastAsia="宋体" w:cs="宋体"/>
                <w:sz w:val="24"/>
                <w:szCs w:val="24"/>
              </w:rPr>
            </w:pPr>
          </w:p>
        </w:tc>
        <w:tc>
          <w:tcPr>
            <w:tcW w:w="1938" w:type="dxa"/>
            <w:vAlign w:val="center"/>
          </w:tcPr>
          <w:p>
            <w:pPr>
              <w:pStyle w:val="3"/>
              <w:spacing w:line="480" w:lineRule="auto"/>
              <w:ind w:firstLine="480" w:firstLineChars="200"/>
              <w:jc w:val="left"/>
              <w:rPr>
                <w:rFonts w:hAnsi="宋体" w:eastAsia="宋体" w:cs="宋体"/>
                <w:sz w:val="24"/>
                <w:szCs w:val="24"/>
              </w:rPr>
            </w:pPr>
          </w:p>
        </w:tc>
        <w:tc>
          <w:tcPr>
            <w:tcW w:w="1410" w:type="dxa"/>
            <w:vAlign w:val="center"/>
          </w:tcPr>
          <w:p>
            <w:pPr>
              <w:pStyle w:val="3"/>
              <w:spacing w:line="480" w:lineRule="auto"/>
              <w:ind w:firstLine="480" w:firstLineChars="200"/>
              <w:jc w:val="left"/>
              <w:rPr>
                <w:rFonts w:hAnsi="宋体" w:eastAsia="宋体" w:cs="宋体"/>
                <w:sz w:val="24"/>
                <w:szCs w:val="24"/>
              </w:rPr>
            </w:pPr>
          </w:p>
        </w:tc>
        <w:tc>
          <w:tcPr>
            <w:tcW w:w="1356" w:type="dxa"/>
            <w:vAlign w:val="center"/>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3"/>
              <w:spacing w:line="480" w:lineRule="auto"/>
              <w:jc w:val="left"/>
              <w:rPr>
                <w:rFonts w:hAnsi="宋体" w:eastAsia="宋体" w:cs="宋体"/>
                <w:sz w:val="24"/>
                <w:szCs w:val="24"/>
              </w:rPr>
            </w:pPr>
          </w:p>
        </w:tc>
        <w:tc>
          <w:tcPr>
            <w:tcW w:w="1521" w:type="dxa"/>
          </w:tcPr>
          <w:p>
            <w:pPr>
              <w:pStyle w:val="3"/>
              <w:spacing w:line="480" w:lineRule="auto"/>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bl>
    <w:p>
      <w:pPr>
        <w:pStyle w:val="2"/>
        <w:numPr>
          <w:ilvl w:val="0"/>
          <w:numId w:val="22"/>
        </w:numPr>
        <w:spacing w:line="360" w:lineRule="auto"/>
        <w:rPr>
          <w:rFonts w:ascii="宋体" w:hAnsi="宋体" w:eastAsia="宋体" w:cs="宋体"/>
          <w:b/>
          <w:bCs/>
          <w:sz w:val="24"/>
          <w:szCs w:val="24"/>
        </w:rPr>
      </w:pPr>
      <w:r>
        <w:rPr>
          <w:rFonts w:hint="eastAsia" w:ascii="宋体" w:hAnsi="宋体" w:eastAsia="宋体" w:cs="宋体"/>
          <w:b/>
          <w:bCs/>
          <w:sz w:val="24"/>
          <w:szCs w:val="24"/>
        </w:rPr>
        <w:t>本表须按“供应商须知前附表”中所列商务条款进行比较和响应；</w:t>
      </w:r>
    </w:p>
    <w:p>
      <w:pPr>
        <w:pStyle w:val="2"/>
        <w:numPr>
          <w:ilvl w:val="0"/>
          <w:numId w:val="22"/>
        </w:numPr>
        <w:spacing w:line="360" w:lineRule="auto"/>
        <w:rPr>
          <w:rFonts w:ascii="宋体" w:hAnsi="宋体" w:eastAsia="宋体" w:cs="宋体"/>
          <w:sz w:val="24"/>
          <w:szCs w:val="24"/>
        </w:rPr>
      </w:pPr>
      <w:r>
        <w:rPr>
          <w:rFonts w:hint="eastAsia" w:ascii="宋体" w:hAnsi="宋体" w:eastAsia="宋体" w:cs="宋体"/>
          <w:b/>
          <w:bCs/>
          <w:sz w:val="24"/>
          <w:szCs w:val="24"/>
        </w:rPr>
        <w:t>该表必须按照招标文件要求逐条如实填写，根据情况在“偏离情况”项填写正偏离或负偏离或无偏离，在“说明”项填写正偏离或负偏离原因。</w:t>
      </w:r>
    </w:p>
    <w:p>
      <w:pPr>
        <w:pStyle w:val="2"/>
        <w:numPr>
          <w:ilvl w:val="0"/>
          <w:numId w:val="22"/>
        </w:numPr>
        <w:spacing w:line="360" w:lineRule="auto"/>
        <w:rPr>
          <w:rFonts w:ascii="宋体" w:hAnsi="宋体" w:eastAsia="宋体" w:cs="宋体"/>
          <w:sz w:val="24"/>
          <w:szCs w:val="24"/>
        </w:rPr>
      </w:pPr>
      <w:r>
        <w:rPr>
          <w:rFonts w:hint="eastAsia" w:ascii="宋体" w:hAnsi="宋体" w:eastAsia="宋体" w:cs="宋体"/>
          <w:b/>
          <w:bCs/>
          <w:sz w:val="24"/>
          <w:szCs w:val="24"/>
        </w:rPr>
        <w:t>该表可扩展。</w:t>
      </w:r>
    </w:p>
    <w:p>
      <w:pPr>
        <w:pStyle w:val="2"/>
        <w:spacing w:line="360" w:lineRule="auto"/>
        <w:ind w:left="140" w:firstLine="0"/>
        <w:rPr>
          <w:rFonts w:ascii="宋体" w:hAnsi="宋体" w:eastAsia="宋体" w:cs="宋体"/>
          <w:sz w:val="28"/>
          <w:szCs w:val="28"/>
        </w:rPr>
      </w:pPr>
      <w:r>
        <w:rPr>
          <w:rFonts w:hint="eastAsia" w:ascii="宋体" w:hAnsi="宋体" w:eastAsia="宋体" w:cs="宋体"/>
          <w:b/>
          <w:bCs/>
          <w:sz w:val="24"/>
          <w:szCs w:val="24"/>
        </w:rPr>
        <w:t>商务条款不允许负偏离；</w:t>
      </w:r>
    </w:p>
    <w:p>
      <w:pPr>
        <w:pStyle w:val="2"/>
        <w:ind w:firstLine="0"/>
        <w:rPr>
          <w:rFonts w:ascii="宋体" w:hAnsi="宋体" w:eastAsia="宋体" w:cs="宋体"/>
          <w:sz w:val="28"/>
          <w:szCs w:val="28"/>
        </w:rPr>
      </w:pPr>
    </w:p>
    <w:p>
      <w:pPr>
        <w:adjustRightInd w:val="0"/>
        <w:snapToGrid w:val="0"/>
        <w:spacing w:line="480" w:lineRule="auto"/>
        <w:jc w:val="left"/>
        <w:rPr>
          <w:rFonts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8"/>
          <w:szCs w:val="28"/>
        </w:rPr>
      </w:pPr>
      <w:r>
        <w:rPr>
          <w:rFonts w:hint="eastAsia" w:ascii="宋体" w:hAnsi="宋体" w:eastAsia="宋体" w:cs="宋体"/>
          <w:sz w:val="24"/>
          <w:szCs w:val="24"/>
        </w:rPr>
        <w:t xml:space="preserve">日    期： </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p>
    <w:p>
      <w:pPr>
        <w:jc w:val="center"/>
        <w:rPr>
          <w:rFonts w:ascii="宋体" w:hAnsi="宋体" w:eastAsia="宋体" w:cs="宋体"/>
          <w:b/>
          <w:bCs/>
          <w:sz w:val="28"/>
          <w:szCs w:val="32"/>
        </w:rPr>
        <w:sectPr>
          <w:pgSz w:w="11906" w:h="16838"/>
          <w:pgMar w:top="1440" w:right="1803" w:bottom="1440" w:left="1803" w:header="851" w:footer="992" w:gutter="0"/>
          <w:cols w:space="720" w:num="1"/>
          <w:docGrid w:type="lines" w:linePitch="319" w:charSpace="0"/>
        </w:sectPr>
      </w:pPr>
    </w:p>
    <w:p>
      <w:pPr>
        <w:jc w:val="center"/>
        <w:rPr>
          <w:rFonts w:ascii="宋体" w:hAnsi="宋体" w:eastAsia="宋体" w:cs="宋体"/>
          <w:b/>
          <w:bCs/>
          <w:sz w:val="28"/>
          <w:szCs w:val="32"/>
        </w:rPr>
      </w:pPr>
      <w:r>
        <w:rPr>
          <w:rFonts w:hint="eastAsia" w:ascii="宋体" w:hAnsi="宋体" w:eastAsia="宋体" w:cs="宋体"/>
          <w:b/>
          <w:bCs/>
          <w:sz w:val="28"/>
          <w:szCs w:val="32"/>
        </w:rPr>
        <w:t>技术偏离表</w:t>
      </w:r>
    </w:p>
    <w:p>
      <w:pPr>
        <w:pStyle w:val="2"/>
        <w:ind w:firstLine="0"/>
        <w:rPr>
          <w:rFonts w:ascii="宋体" w:hAnsi="宋体" w:eastAsia="宋体" w:cs="宋体"/>
        </w:rPr>
      </w:pPr>
    </w:p>
    <w:p>
      <w:pPr>
        <w:rPr>
          <w:rFonts w:ascii="宋体" w:hAnsi="宋体" w:eastAsia="宋体" w:cs="宋体"/>
          <w:sz w:val="24"/>
          <w:szCs w:val="24"/>
        </w:rPr>
      </w:pPr>
    </w:p>
    <w:tbl>
      <w:tblPr>
        <w:tblStyle w:val="22"/>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3"/>
              <w:spacing w:line="360" w:lineRule="auto"/>
              <w:jc w:val="center"/>
              <w:rPr>
                <w:rFonts w:hAnsi="宋体" w:eastAsia="宋体" w:cs="宋体"/>
                <w:sz w:val="24"/>
                <w:szCs w:val="24"/>
              </w:rPr>
            </w:pPr>
            <w:r>
              <w:rPr>
                <w:rFonts w:hint="eastAsia" w:hAnsi="宋体" w:eastAsia="宋体" w:cs="宋体"/>
                <w:sz w:val="24"/>
                <w:szCs w:val="24"/>
              </w:rPr>
              <w:t>序号</w:t>
            </w:r>
          </w:p>
        </w:tc>
        <w:tc>
          <w:tcPr>
            <w:tcW w:w="1521" w:type="dxa"/>
            <w:vAlign w:val="center"/>
          </w:tcPr>
          <w:p>
            <w:pPr>
              <w:pStyle w:val="3"/>
              <w:spacing w:line="360" w:lineRule="auto"/>
              <w:jc w:val="center"/>
              <w:rPr>
                <w:rFonts w:hAnsi="宋体" w:eastAsia="宋体" w:cs="宋体"/>
                <w:sz w:val="24"/>
                <w:szCs w:val="24"/>
              </w:rPr>
            </w:pPr>
            <w:r>
              <w:rPr>
                <w:rFonts w:hint="eastAsia" w:hAnsi="宋体" w:eastAsia="宋体" w:cs="宋体"/>
                <w:sz w:val="24"/>
              </w:rPr>
              <w:t>产品名称</w:t>
            </w:r>
          </w:p>
        </w:tc>
        <w:tc>
          <w:tcPr>
            <w:tcW w:w="1600" w:type="dxa"/>
            <w:vAlign w:val="center"/>
          </w:tcPr>
          <w:p>
            <w:pPr>
              <w:spacing w:line="500" w:lineRule="exact"/>
              <w:jc w:val="center"/>
              <w:rPr>
                <w:rFonts w:ascii="宋体" w:hAnsi="宋体" w:eastAsia="宋体" w:cs="宋体"/>
                <w:sz w:val="24"/>
              </w:rPr>
            </w:pPr>
            <w:r>
              <w:rPr>
                <w:rFonts w:hint="eastAsia" w:ascii="宋体" w:hAnsi="宋体" w:eastAsia="宋体" w:cs="宋体"/>
                <w:sz w:val="24"/>
              </w:rPr>
              <w:t>标书要求</w:t>
            </w:r>
          </w:p>
          <w:p>
            <w:pPr>
              <w:spacing w:line="500" w:lineRule="exact"/>
              <w:jc w:val="center"/>
              <w:rPr>
                <w:rFonts w:ascii="宋体" w:hAnsi="宋体" w:eastAsia="宋体" w:cs="宋体"/>
                <w:sz w:val="24"/>
                <w:szCs w:val="24"/>
              </w:rPr>
            </w:pPr>
            <w:r>
              <w:rPr>
                <w:rFonts w:hint="eastAsia" w:ascii="宋体" w:hAnsi="宋体" w:eastAsia="宋体" w:cs="宋体"/>
                <w:sz w:val="24"/>
              </w:rPr>
              <w:t>技术指标</w:t>
            </w:r>
          </w:p>
        </w:tc>
        <w:tc>
          <w:tcPr>
            <w:tcW w:w="1938" w:type="dxa"/>
            <w:vAlign w:val="center"/>
          </w:tcPr>
          <w:p>
            <w:pPr>
              <w:spacing w:line="500" w:lineRule="exact"/>
              <w:jc w:val="center"/>
              <w:rPr>
                <w:rFonts w:ascii="宋体" w:hAnsi="宋体" w:eastAsia="宋体" w:cs="宋体"/>
                <w:sz w:val="24"/>
              </w:rPr>
            </w:pPr>
            <w:r>
              <w:rPr>
                <w:rFonts w:hint="eastAsia" w:ascii="宋体" w:hAnsi="宋体" w:eastAsia="宋体" w:cs="宋体"/>
                <w:sz w:val="24"/>
              </w:rPr>
              <w:t>投标产品</w:t>
            </w:r>
          </w:p>
          <w:p>
            <w:pPr>
              <w:spacing w:line="500" w:lineRule="exact"/>
              <w:jc w:val="center"/>
              <w:rPr>
                <w:rFonts w:ascii="宋体" w:hAnsi="宋体" w:eastAsia="宋体" w:cs="宋体"/>
                <w:sz w:val="24"/>
                <w:szCs w:val="24"/>
              </w:rPr>
            </w:pPr>
            <w:r>
              <w:rPr>
                <w:rFonts w:hint="eastAsia" w:ascii="宋体" w:hAnsi="宋体" w:eastAsia="宋体" w:cs="宋体"/>
                <w:sz w:val="24"/>
              </w:rPr>
              <w:t>技术指标</w:t>
            </w:r>
          </w:p>
        </w:tc>
        <w:tc>
          <w:tcPr>
            <w:tcW w:w="1410"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rPr>
              <w:t>偏离说明</w:t>
            </w:r>
          </w:p>
        </w:tc>
        <w:tc>
          <w:tcPr>
            <w:tcW w:w="1356" w:type="dxa"/>
            <w:vAlign w:val="center"/>
          </w:tcPr>
          <w:p>
            <w:pPr>
              <w:pStyle w:val="3"/>
              <w:spacing w:line="360" w:lineRule="auto"/>
              <w:jc w:val="center"/>
              <w:rPr>
                <w:rFonts w:hAnsi="宋体" w:eastAsia="宋体" w:cs="宋体"/>
                <w:sz w:val="24"/>
                <w:szCs w:val="24"/>
              </w:rPr>
            </w:pPr>
            <w:r>
              <w:rPr>
                <w:rFonts w:hint="eastAsia"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vAlign w:val="center"/>
          </w:tcPr>
          <w:p>
            <w:pPr>
              <w:pStyle w:val="3"/>
              <w:spacing w:line="480" w:lineRule="auto"/>
              <w:ind w:firstLine="480" w:firstLineChars="200"/>
              <w:jc w:val="left"/>
              <w:rPr>
                <w:rFonts w:hAnsi="宋体" w:eastAsia="宋体" w:cs="宋体"/>
                <w:sz w:val="24"/>
                <w:szCs w:val="24"/>
              </w:rPr>
            </w:pPr>
          </w:p>
        </w:tc>
        <w:tc>
          <w:tcPr>
            <w:tcW w:w="1938" w:type="dxa"/>
            <w:vAlign w:val="center"/>
          </w:tcPr>
          <w:p>
            <w:pPr>
              <w:pStyle w:val="3"/>
              <w:spacing w:line="480" w:lineRule="auto"/>
              <w:ind w:firstLine="480" w:firstLineChars="200"/>
              <w:jc w:val="left"/>
              <w:rPr>
                <w:rFonts w:hAnsi="宋体" w:eastAsia="宋体" w:cs="宋体"/>
                <w:sz w:val="24"/>
                <w:szCs w:val="24"/>
              </w:rPr>
            </w:pPr>
          </w:p>
        </w:tc>
        <w:tc>
          <w:tcPr>
            <w:tcW w:w="1410" w:type="dxa"/>
            <w:vAlign w:val="center"/>
          </w:tcPr>
          <w:p>
            <w:pPr>
              <w:pStyle w:val="3"/>
              <w:spacing w:line="480" w:lineRule="auto"/>
              <w:ind w:firstLine="480" w:firstLineChars="200"/>
              <w:jc w:val="left"/>
              <w:rPr>
                <w:rFonts w:hAnsi="宋体" w:eastAsia="宋体" w:cs="宋体"/>
                <w:sz w:val="24"/>
                <w:szCs w:val="24"/>
              </w:rPr>
            </w:pPr>
          </w:p>
        </w:tc>
        <w:tc>
          <w:tcPr>
            <w:tcW w:w="1356" w:type="dxa"/>
            <w:vAlign w:val="center"/>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3"/>
              <w:spacing w:line="480" w:lineRule="auto"/>
              <w:ind w:firstLine="480" w:firstLineChars="200"/>
              <w:jc w:val="left"/>
              <w:rPr>
                <w:rFonts w:hAnsi="宋体" w:eastAsia="宋体" w:cs="宋体"/>
                <w:sz w:val="24"/>
                <w:szCs w:val="24"/>
              </w:rPr>
            </w:pPr>
          </w:p>
        </w:tc>
        <w:tc>
          <w:tcPr>
            <w:tcW w:w="1521" w:type="dxa"/>
          </w:tcPr>
          <w:p>
            <w:pPr>
              <w:pStyle w:val="3"/>
              <w:spacing w:line="480" w:lineRule="auto"/>
              <w:ind w:firstLine="480" w:firstLineChars="200"/>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3"/>
              <w:spacing w:line="480" w:lineRule="auto"/>
              <w:jc w:val="left"/>
              <w:rPr>
                <w:rFonts w:hAnsi="宋体" w:eastAsia="宋体" w:cs="宋体"/>
                <w:sz w:val="24"/>
                <w:szCs w:val="24"/>
              </w:rPr>
            </w:pPr>
          </w:p>
        </w:tc>
        <w:tc>
          <w:tcPr>
            <w:tcW w:w="1521" w:type="dxa"/>
          </w:tcPr>
          <w:p>
            <w:pPr>
              <w:pStyle w:val="3"/>
              <w:spacing w:line="480" w:lineRule="auto"/>
              <w:jc w:val="left"/>
              <w:rPr>
                <w:rFonts w:hAnsi="宋体" w:eastAsia="宋体" w:cs="宋体"/>
                <w:sz w:val="24"/>
                <w:szCs w:val="24"/>
              </w:rPr>
            </w:pPr>
          </w:p>
        </w:tc>
        <w:tc>
          <w:tcPr>
            <w:tcW w:w="1600" w:type="dxa"/>
          </w:tcPr>
          <w:p>
            <w:pPr>
              <w:pStyle w:val="3"/>
              <w:spacing w:line="480" w:lineRule="auto"/>
              <w:ind w:firstLine="480" w:firstLineChars="200"/>
              <w:jc w:val="left"/>
              <w:rPr>
                <w:rFonts w:hAnsi="宋体" w:eastAsia="宋体" w:cs="宋体"/>
                <w:sz w:val="24"/>
                <w:szCs w:val="24"/>
              </w:rPr>
            </w:pPr>
          </w:p>
        </w:tc>
        <w:tc>
          <w:tcPr>
            <w:tcW w:w="1938" w:type="dxa"/>
          </w:tcPr>
          <w:p>
            <w:pPr>
              <w:pStyle w:val="3"/>
              <w:spacing w:line="480" w:lineRule="auto"/>
              <w:ind w:firstLine="480" w:firstLineChars="200"/>
              <w:jc w:val="left"/>
              <w:rPr>
                <w:rFonts w:hAnsi="宋体" w:eastAsia="宋体" w:cs="宋体"/>
                <w:sz w:val="24"/>
                <w:szCs w:val="24"/>
              </w:rPr>
            </w:pPr>
          </w:p>
        </w:tc>
        <w:tc>
          <w:tcPr>
            <w:tcW w:w="1410" w:type="dxa"/>
          </w:tcPr>
          <w:p>
            <w:pPr>
              <w:pStyle w:val="3"/>
              <w:spacing w:line="480" w:lineRule="auto"/>
              <w:ind w:firstLine="480" w:firstLineChars="200"/>
              <w:jc w:val="left"/>
              <w:rPr>
                <w:rFonts w:hAnsi="宋体" w:eastAsia="宋体" w:cs="宋体"/>
                <w:sz w:val="24"/>
                <w:szCs w:val="24"/>
              </w:rPr>
            </w:pPr>
          </w:p>
        </w:tc>
        <w:tc>
          <w:tcPr>
            <w:tcW w:w="1356" w:type="dxa"/>
          </w:tcPr>
          <w:p>
            <w:pPr>
              <w:pStyle w:val="3"/>
              <w:spacing w:line="480" w:lineRule="auto"/>
              <w:ind w:firstLine="480" w:firstLineChars="200"/>
              <w:jc w:val="left"/>
              <w:rPr>
                <w:rFonts w:hAnsi="宋体" w:eastAsia="宋体" w:cs="宋体"/>
                <w:sz w:val="24"/>
                <w:szCs w:val="24"/>
              </w:rPr>
            </w:pPr>
          </w:p>
        </w:tc>
      </w:tr>
    </w:tbl>
    <w:p>
      <w:pPr>
        <w:pStyle w:val="2"/>
        <w:spacing w:line="360" w:lineRule="auto"/>
        <w:ind w:left="140" w:firstLine="0"/>
        <w:rPr>
          <w:rFonts w:ascii="宋体" w:hAnsi="宋体" w:eastAsia="宋体" w:cs="宋体"/>
          <w:b/>
          <w:bCs/>
          <w:sz w:val="24"/>
          <w:szCs w:val="24"/>
        </w:rPr>
      </w:pPr>
      <w:r>
        <w:rPr>
          <w:rFonts w:hint="eastAsia" w:ascii="宋体" w:hAnsi="宋体" w:eastAsia="宋体" w:cs="宋体"/>
          <w:b/>
          <w:bCs/>
          <w:sz w:val="24"/>
          <w:szCs w:val="24"/>
        </w:rPr>
        <w:t>1、本表须按“第五部分采购要求”中所列技术要求进行比较和响应；</w:t>
      </w:r>
    </w:p>
    <w:p>
      <w:pPr>
        <w:pStyle w:val="2"/>
        <w:spacing w:line="360" w:lineRule="auto"/>
        <w:ind w:left="140" w:firstLine="0"/>
        <w:rPr>
          <w:rFonts w:ascii="宋体" w:hAnsi="宋体" w:eastAsia="宋体" w:cs="宋体"/>
          <w:sz w:val="24"/>
          <w:szCs w:val="24"/>
        </w:rPr>
      </w:pPr>
      <w:r>
        <w:rPr>
          <w:rFonts w:hint="eastAsia" w:ascii="宋体" w:hAnsi="宋体" w:eastAsia="宋体" w:cs="宋体"/>
          <w:b/>
          <w:bCs/>
          <w:sz w:val="24"/>
          <w:szCs w:val="24"/>
        </w:rPr>
        <w:t>2、该表必须按照招标文件要求逐条如实填写，根据情况在“偏离情况”项填写正偏离或负偏离或无偏离，在“说明”项填写正偏离或负偏离原因。</w:t>
      </w:r>
    </w:p>
    <w:p>
      <w:pPr>
        <w:pStyle w:val="2"/>
        <w:spacing w:line="360" w:lineRule="auto"/>
        <w:ind w:left="140" w:firstLine="0"/>
        <w:rPr>
          <w:rFonts w:ascii="宋体" w:hAnsi="宋体" w:eastAsia="宋体" w:cs="宋体"/>
          <w:sz w:val="24"/>
          <w:szCs w:val="24"/>
        </w:rPr>
      </w:pPr>
      <w:r>
        <w:rPr>
          <w:rFonts w:hint="eastAsia" w:ascii="宋体" w:hAnsi="宋体" w:eastAsia="宋体" w:cs="宋体"/>
          <w:b/>
          <w:bCs/>
          <w:sz w:val="24"/>
          <w:szCs w:val="24"/>
        </w:rPr>
        <w:t>3、该表可扩展。</w:t>
      </w:r>
    </w:p>
    <w:p>
      <w:pPr>
        <w:pStyle w:val="2"/>
        <w:ind w:firstLine="0"/>
        <w:rPr>
          <w:rFonts w:ascii="宋体" w:hAnsi="宋体" w:eastAsia="宋体" w:cs="宋体"/>
          <w:sz w:val="28"/>
          <w:szCs w:val="28"/>
        </w:rPr>
      </w:pPr>
    </w:p>
    <w:p>
      <w:pPr>
        <w:adjustRightInd w:val="0"/>
        <w:snapToGrid w:val="0"/>
        <w:spacing w:line="480" w:lineRule="auto"/>
        <w:jc w:val="left"/>
        <w:rPr>
          <w:rFonts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8"/>
          <w:szCs w:val="28"/>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4"/>
          <w:szCs w:val="24"/>
        </w:rPr>
        <w:t xml:space="preserve">日    期： </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p>
    <w:p>
      <w:pPr>
        <w:pStyle w:val="5"/>
        <w:rPr>
          <w:rFonts w:ascii="宋体" w:hAnsi="宋体" w:cs="宋体"/>
        </w:rPr>
      </w:pPr>
      <w:bookmarkStart w:id="93" w:name="_Toc6869"/>
      <w:r>
        <w:rPr>
          <w:rFonts w:hint="eastAsia" w:ascii="宋体" w:hAnsi="宋体" w:cs="宋体"/>
        </w:rPr>
        <w:t>第四部分</w:t>
      </w:r>
      <w:bookmarkEnd w:id="90"/>
      <w:bookmarkEnd w:id="92"/>
      <w:r>
        <w:rPr>
          <w:rFonts w:hint="eastAsia" w:ascii="宋体" w:hAnsi="宋体" w:cs="宋体"/>
        </w:rPr>
        <w:t xml:space="preserve"> 供应商资格要求</w:t>
      </w:r>
      <w:bookmarkEnd w:id="93"/>
    </w:p>
    <w:p>
      <w:pPr>
        <w:snapToGrid w:val="0"/>
        <w:spacing w:line="360" w:lineRule="auto"/>
        <w:ind w:right="-199" w:rightChars="-95"/>
        <w:jc w:val="left"/>
        <w:rPr>
          <w:rFonts w:ascii="宋体" w:hAnsi="宋体" w:eastAsia="宋体" w:cs="宋体"/>
          <w:bCs/>
          <w:kern w:val="0"/>
          <w:sz w:val="24"/>
          <w:szCs w:val="24"/>
        </w:rPr>
      </w:pPr>
    </w:p>
    <w:p>
      <w:pPr>
        <w:snapToGrid w:val="0"/>
        <w:spacing w:line="360" w:lineRule="auto"/>
        <w:ind w:right="-199" w:rightChars="-95"/>
        <w:jc w:val="left"/>
        <w:rPr>
          <w:rFonts w:ascii="宋体" w:hAnsi="宋体" w:cs="宋体"/>
          <w:b/>
          <w:bCs/>
          <w:sz w:val="36"/>
          <w:szCs w:val="36"/>
        </w:rPr>
      </w:pPr>
      <w:bookmarkStart w:id="94" w:name="_Toc1408"/>
      <w:r>
        <w:rPr>
          <w:rFonts w:hint="eastAsia" w:ascii="宋体" w:hAnsi="宋体" w:cs="宋体"/>
          <w:kern w:val="0"/>
          <w:sz w:val="24"/>
          <w:szCs w:val="24"/>
        </w:rPr>
        <w:t>供应商根据招采购文件公告资格要求内容附资格证明文件。</w:t>
      </w:r>
    </w:p>
    <w:p>
      <w:pPr>
        <w:rPr>
          <w:rFonts w:hint="eastAsia"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rPr>
          <w:rFonts w:ascii="宋体" w:hAnsi="宋体" w:cs="宋体"/>
          <w:sz w:val="24"/>
          <w:szCs w:val="24"/>
        </w:rPr>
      </w:pPr>
      <w:r>
        <w:rPr>
          <w:rFonts w:hint="eastAsia" w:ascii="宋体" w:hAnsi="宋体" w:cs="宋体"/>
          <w:sz w:val="24"/>
          <w:szCs w:val="24"/>
        </w:rPr>
        <w:t>（一）基本资格条件</w:t>
      </w:r>
    </w:p>
    <w:p>
      <w:pPr>
        <w:rPr>
          <w:rFonts w:ascii="宋体" w:hAnsi="宋体" w:cs="宋体"/>
          <w:sz w:val="24"/>
          <w:szCs w:val="24"/>
        </w:rPr>
      </w:pPr>
    </w:p>
    <w:p>
      <w:pPr>
        <w:pStyle w:val="10"/>
        <w:rPr>
          <w:rFonts w:ascii="宋体" w:hAnsi="宋体" w:cs="宋体"/>
          <w:color w:val="auto"/>
          <w:sz w:val="32"/>
          <w:szCs w:val="32"/>
        </w:rPr>
      </w:pPr>
      <w:r>
        <w:rPr>
          <w:rFonts w:hint="eastAsia" w:ascii="宋体" w:hAnsi="宋体" w:cs="宋体"/>
          <w:color w:val="auto"/>
          <w:sz w:val="32"/>
          <w:szCs w:val="32"/>
        </w:rPr>
        <w:t>满足《中华人民共和国政府采购法》第二十二条规定的</w:t>
      </w:r>
    </w:p>
    <w:p>
      <w:pPr>
        <w:pStyle w:val="10"/>
        <w:jc w:val="center"/>
        <w:rPr>
          <w:rFonts w:ascii="宋体" w:hAnsi="宋体" w:cs="宋体"/>
          <w:color w:val="auto"/>
          <w:sz w:val="32"/>
          <w:szCs w:val="32"/>
        </w:rPr>
      </w:pPr>
      <w:r>
        <w:rPr>
          <w:rFonts w:hint="eastAsia" w:ascii="宋体" w:hAnsi="宋体" w:cs="宋体"/>
          <w:color w:val="auto"/>
          <w:sz w:val="32"/>
          <w:szCs w:val="32"/>
        </w:rPr>
        <w:t>资格承诺（格式）</w:t>
      </w: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我单位参与陕西卓佲项目管理有限公司组织________________________(项目名称)</w:t>
      </w:r>
      <w:r>
        <w:rPr>
          <w:rFonts w:hint="eastAsia" w:ascii="宋体" w:hAnsi="宋体" w:cs="宋体"/>
          <w:kern w:val="0"/>
          <w:sz w:val="24"/>
          <w:szCs w:val="24"/>
          <w:lang w:eastAsia="zh-CN"/>
        </w:rPr>
        <w:t>竞争性谈判</w:t>
      </w:r>
      <w:r>
        <w:rPr>
          <w:rFonts w:hint="eastAsia" w:ascii="宋体" w:hAnsi="宋体" w:cs="宋体"/>
          <w:kern w:val="0"/>
          <w:sz w:val="24"/>
          <w:szCs w:val="24"/>
        </w:rPr>
        <w:t>，我公司符合《中华人民共和国政府采购法》规定的供应商资格条件：</w:t>
      </w:r>
    </w:p>
    <w:p>
      <w:pPr>
        <w:numPr>
          <w:ilvl w:val="0"/>
          <w:numId w:val="23"/>
        </w:numPr>
        <w:spacing w:line="500" w:lineRule="exact"/>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23"/>
        </w:numPr>
        <w:spacing w:line="500" w:lineRule="exact"/>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23"/>
        </w:numPr>
        <w:spacing w:line="500" w:lineRule="exact"/>
        <w:jc w:val="left"/>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23"/>
        </w:numPr>
        <w:spacing w:line="500" w:lineRule="exact"/>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23"/>
        </w:numPr>
        <w:spacing w:line="500" w:lineRule="exact"/>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23"/>
        </w:numPr>
        <w:spacing w:line="500" w:lineRule="exact"/>
        <w:jc w:val="left"/>
        <w:rPr>
          <w:rFonts w:ascii="宋体" w:hAnsi="宋体" w:cs="宋体"/>
          <w:sz w:val="24"/>
          <w:szCs w:val="24"/>
        </w:rPr>
      </w:pPr>
      <w:r>
        <w:rPr>
          <w:rFonts w:hint="eastAsia" w:ascii="宋体" w:hAnsi="宋体" w:cs="宋体"/>
          <w:sz w:val="24"/>
          <w:szCs w:val="24"/>
        </w:rPr>
        <w:t>法律、行政法规规定的其他条件。</w:t>
      </w:r>
    </w:p>
    <w:p>
      <w:pPr>
        <w:pStyle w:val="10"/>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我方对此声明负全部法律责任。</w:t>
      </w:r>
    </w:p>
    <w:p>
      <w:pPr>
        <w:pStyle w:val="3"/>
        <w:spacing w:line="500" w:lineRule="exact"/>
        <w:jc w:val="left"/>
        <w:rPr>
          <w:rFonts w:hAnsi="宋体" w:cs="宋体"/>
          <w:sz w:val="24"/>
          <w:szCs w:val="24"/>
        </w:rPr>
      </w:pPr>
    </w:p>
    <w:p>
      <w:pPr>
        <w:pStyle w:val="3"/>
        <w:spacing w:line="480" w:lineRule="auto"/>
        <w:jc w:val="left"/>
        <w:rPr>
          <w:rFonts w:hAnsi="宋体" w:cs="宋体"/>
          <w:sz w:val="24"/>
        </w:rPr>
      </w:pPr>
    </w:p>
    <w:p>
      <w:pPr>
        <w:pStyle w:val="3"/>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3"/>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pacing w:line="360" w:lineRule="auto"/>
        <w:rPr>
          <w:rFonts w:hint="eastAsia"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spacing w:line="360" w:lineRule="auto"/>
        <w:rPr>
          <w:rFonts w:ascii="宋体" w:cs="宋体"/>
          <w:sz w:val="24"/>
          <w:szCs w:val="24"/>
        </w:rPr>
      </w:pPr>
      <w:r>
        <w:rPr>
          <w:rFonts w:hint="eastAsia" w:ascii="宋体" w:hAnsi="宋体" w:cs="宋体"/>
          <w:sz w:val="24"/>
          <w:szCs w:val="24"/>
          <w:lang w:eastAsia="zh-CN"/>
        </w:rPr>
        <w:t>（二）</w:t>
      </w:r>
      <w:r>
        <w:rPr>
          <w:rFonts w:hint="eastAsia" w:ascii="宋体" w:hAnsi="宋体" w:cs="宋体"/>
          <w:sz w:val="24"/>
          <w:szCs w:val="24"/>
        </w:rPr>
        <w:t>特定资格条件：</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pPr>
        <w:spacing w:line="360" w:lineRule="auto"/>
        <w:ind w:firstLine="480" w:firstLineChars="200"/>
        <w:rPr>
          <w:rFonts w:ascii="宋体" w:hAnsi="宋体" w:cs="宋体"/>
          <w:sz w:val="24"/>
          <w:szCs w:val="24"/>
        </w:rPr>
      </w:pPr>
      <w:r>
        <w:rPr>
          <w:rFonts w:hint="eastAsia" w:ascii="宋体" w:hAnsi="宋体" w:cs="宋体"/>
          <w:sz w:val="24"/>
          <w:szCs w:val="24"/>
        </w:rPr>
        <w:t>2、财务状况证明：供应商提供2020年</w:t>
      </w:r>
      <w:r>
        <w:rPr>
          <w:rFonts w:hint="eastAsia" w:ascii="宋体" w:hAnsi="宋体" w:cs="宋体"/>
          <w:sz w:val="24"/>
          <w:szCs w:val="24"/>
          <w:lang w:eastAsia="zh-CN"/>
        </w:rPr>
        <w:t>或</w:t>
      </w:r>
      <w:r>
        <w:rPr>
          <w:rFonts w:hint="eastAsia" w:ascii="宋体" w:hAnsi="宋体" w:cs="宋体"/>
          <w:sz w:val="24"/>
          <w:szCs w:val="24"/>
          <w:lang w:val="en-US" w:eastAsia="zh-CN"/>
        </w:rPr>
        <w:t>2021年</w:t>
      </w:r>
      <w:r>
        <w:rPr>
          <w:rFonts w:hint="eastAsia" w:ascii="宋体" w:hAnsi="宋体" w:cs="宋体"/>
          <w:sz w:val="24"/>
          <w:szCs w:val="24"/>
        </w:rPr>
        <w:t>度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p>
    <w:p>
      <w:pPr>
        <w:keepNext/>
        <w:keepLines/>
        <w:spacing w:line="413" w:lineRule="auto"/>
        <w:jc w:val="center"/>
        <w:rPr>
          <w:rFonts w:ascii="宋体" w:hAnsi="宋体" w:cs="宋体"/>
          <w:sz w:val="32"/>
          <w:szCs w:val="24"/>
        </w:rPr>
        <w:sectPr>
          <w:headerReference r:id="rId12" w:type="default"/>
          <w:pgSz w:w="11906" w:h="16838"/>
          <w:pgMar w:top="1440" w:right="1803" w:bottom="1440" w:left="1803" w:header="851" w:footer="992" w:gutter="0"/>
          <w:pgNumType w:fmt="decimal"/>
          <w:cols w:space="720" w:num="1"/>
          <w:docGrid w:type="lines" w:linePitch="319" w:charSpace="0"/>
        </w:sectPr>
      </w:pPr>
    </w:p>
    <w:p>
      <w:pPr>
        <w:keepNext/>
        <w:keepLines/>
        <w:spacing w:line="413" w:lineRule="auto"/>
        <w:jc w:val="center"/>
        <w:rPr>
          <w:rFonts w:ascii="宋体" w:hAnsi="宋体" w:cs="宋体"/>
          <w:sz w:val="32"/>
          <w:szCs w:val="24"/>
        </w:rPr>
      </w:pPr>
      <w:r>
        <w:rPr>
          <w:rFonts w:hint="eastAsia" w:ascii="宋体" w:hAnsi="宋体" w:cs="宋体"/>
          <w:sz w:val="32"/>
          <w:szCs w:val="24"/>
        </w:rPr>
        <w:t>3、履行合同所必需的设备和专业技术能力声明（格式）</w:t>
      </w:r>
    </w:p>
    <w:p>
      <w:pPr>
        <w:rPr>
          <w:rFonts w:ascii="宋体" w:hAnsi="宋体" w:cs="宋体"/>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720" w:firstLineChars="300"/>
        <w:jc w:val="left"/>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w:t>
      </w:r>
      <w:r>
        <w:rPr>
          <w:rFonts w:hint="eastAsia" w:ascii="宋体" w:hAnsi="宋体" w:cs="宋体"/>
          <w:kern w:val="0"/>
          <w:sz w:val="24"/>
          <w:szCs w:val="24"/>
          <w:lang w:eastAsia="zh-CN"/>
        </w:rPr>
        <w:t>竞争性谈判</w:t>
      </w:r>
      <w:r>
        <w:rPr>
          <w:rFonts w:hint="eastAsia" w:ascii="宋体" w:hAnsi="宋体" w:cs="宋体"/>
          <w:kern w:val="0"/>
          <w:sz w:val="24"/>
          <w:szCs w:val="24"/>
        </w:rPr>
        <w:t>，我单位郑重声明：我方</w:t>
      </w:r>
      <w:r>
        <w:rPr>
          <w:rFonts w:hint="eastAsia" w:ascii="宋体" w:hAnsi="宋体" w:cs="宋体"/>
          <w:b/>
          <w:bCs/>
          <w:sz w:val="24"/>
          <w:szCs w:val="24"/>
        </w:rPr>
        <w:t>具有履行合同所必需的设备和专业技术能力</w:t>
      </w:r>
      <w:r>
        <w:rPr>
          <w:rFonts w:hint="eastAsia" w:ascii="宋体" w:hAnsi="宋体" w:cs="宋体"/>
          <w:kern w:val="0"/>
          <w:sz w:val="24"/>
          <w:szCs w:val="24"/>
        </w:rPr>
        <w:t>，符合《中华人民共和国政府采购法》规定的供应商资格条件，我方对此声明负全部法律责任。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3"/>
        <w:spacing w:line="500" w:lineRule="exact"/>
        <w:jc w:val="left"/>
        <w:rPr>
          <w:rFonts w:hAnsi="宋体" w:cs="宋体"/>
          <w:sz w:val="24"/>
          <w:szCs w:val="24"/>
        </w:rPr>
      </w:pPr>
    </w:p>
    <w:p>
      <w:pPr>
        <w:pStyle w:val="3"/>
        <w:spacing w:line="480" w:lineRule="auto"/>
        <w:jc w:val="left"/>
        <w:rPr>
          <w:rFonts w:hAnsi="宋体" w:cs="宋体"/>
          <w:sz w:val="24"/>
        </w:rPr>
      </w:pPr>
      <w:r>
        <w:rPr>
          <w:rFonts w:hint="eastAsia" w:hAnsi="宋体" w:cs="宋体"/>
          <w:sz w:val="24"/>
          <w:szCs w:val="24"/>
        </w:rPr>
        <w:br w:type="textWrapping"/>
      </w:r>
      <w:r>
        <w:rPr>
          <w:rFonts w:hint="eastAsia" w:hAnsi="宋体" w:cs="宋体"/>
          <w:sz w:val="24"/>
        </w:rPr>
        <w:t>供应商（单位名称及公章）：</w:t>
      </w:r>
      <w:r>
        <w:rPr>
          <w:rFonts w:hint="eastAsia" w:hAnsi="宋体" w:cs="宋体"/>
          <w:sz w:val="28"/>
          <w:szCs w:val="28"/>
        </w:rPr>
        <w:t>______________________</w:t>
      </w:r>
    </w:p>
    <w:p>
      <w:pPr>
        <w:pStyle w:val="3"/>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ectPr>
          <w:pgSz w:w="11906" w:h="16838"/>
          <w:pgMar w:top="1440" w:right="1803" w:bottom="1440" w:left="1803" w:header="851" w:footer="992" w:gutter="0"/>
          <w:pgNumType w:fmt="decimal"/>
          <w:cols w:space="720" w:num="1"/>
          <w:docGrid w:type="lines" w:linePitch="319" w:charSpace="0"/>
        </w:sect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4、税收缴纳证明：提供2021年</w:t>
      </w:r>
      <w:r>
        <w:rPr>
          <w:rFonts w:hint="eastAsia" w:ascii="宋体" w:hAnsi="宋体" w:cs="宋体"/>
          <w:sz w:val="24"/>
          <w:szCs w:val="24"/>
          <w:lang w:val="en-US" w:eastAsia="zh-CN"/>
        </w:rPr>
        <w:t>9</w:t>
      </w:r>
      <w:r>
        <w:rPr>
          <w:rFonts w:hint="eastAsia" w:ascii="宋体" w:hAnsi="宋体" w:cs="宋体"/>
          <w:sz w:val="24"/>
          <w:szCs w:val="24"/>
        </w:rPr>
        <w:t>月以来至少一个月的纳税证明或完税证明，依法免税的单位应提供相关证明材料；</w:t>
      </w:r>
    </w:p>
    <w:p>
      <w:pPr>
        <w:spacing w:line="360" w:lineRule="auto"/>
        <w:ind w:firstLine="480" w:firstLineChars="200"/>
        <w:rPr>
          <w:rFonts w:ascii="宋体" w:hAnsi="宋体" w:cs="宋体"/>
          <w:sz w:val="24"/>
          <w:szCs w:val="24"/>
        </w:rPr>
      </w:pPr>
      <w:r>
        <w:rPr>
          <w:rFonts w:hint="eastAsia" w:ascii="宋体" w:hAnsi="宋体" w:cs="宋体"/>
          <w:sz w:val="24"/>
          <w:szCs w:val="24"/>
        </w:rPr>
        <w:t>5、社会保障资金缴纳证明：提供2021年</w:t>
      </w:r>
      <w:r>
        <w:rPr>
          <w:rFonts w:hint="eastAsia" w:ascii="宋体" w:hAnsi="宋体" w:cs="宋体"/>
          <w:sz w:val="24"/>
          <w:szCs w:val="24"/>
          <w:lang w:val="en-US" w:eastAsia="zh-CN"/>
        </w:rPr>
        <w:t>9</w:t>
      </w:r>
      <w:r>
        <w:rPr>
          <w:rFonts w:hint="eastAsia" w:ascii="宋体" w:hAnsi="宋体" w:cs="宋体"/>
          <w:sz w:val="24"/>
          <w:szCs w:val="24"/>
        </w:rPr>
        <w:t>月以来至少一个月的社会保障资金缴存单据或社保机构开具的社会保险参保缴费情况证明。依法不需要缴纳社会保障资金的供应商应提供相关文件证明；</w:t>
      </w:r>
    </w:p>
    <w:p>
      <w:pPr>
        <w:pStyle w:val="18"/>
        <w:spacing w:before="0" w:beforeAutospacing="0" w:after="0" w:afterAutospacing="0" w:line="510" w:lineRule="atLeast"/>
        <w:ind w:firstLine="420"/>
      </w:pPr>
    </w:p>
    <w:p>
      <w:pPr>
        <w:spacing w:line="360" w:lineRule="auto"/>
        <w:rPr>
          <w:sz w:val="24"/>
          <w:szCs w:val="28"/>
        </w:rPr>
      </w:pPr>
    </w:p>
    <w:p>
      <w:pPr>
        <w:pStyle w:val="20"/>
        <w:ind w:firstLine="0" w:firstLineChars="0"/>
        <w:sectPr>
          <w:pgSz w:w="11906" w:h="16838"/>
          <w:pgMar w:top="1440" w:right="1803" w:bottom="1440" w:left="1803" w:header="851" w:footer="992" w:gutter="0"/>
          <w:pgNumType w:fmt="decimal"/>
          <w:cols w:space="720" w:num="1"/>
          <w:docGrid w:type="lines" w:linePitch="319" w:charSpace="0"/>
        </w:sectPr>
      </w:pPr>
    </w:p>
    <w:p>
      <w:pPr>
        <w:keepNext/>
        <w:keepLines/>
        <w:spacing w:line="413" w:lineRule="auto"/>
        <w:jc w:val="center"/>
        <w:rPr>
          <w:rFonts w:ascii="宋体" w:hAnsi="宋体" w:cs="宋体"/>
          <w:sz w:val="32"/>
          <w:szCs w:val="24"/>
        </w:rPr>
      </w:pPr>
      <w:r>
        <w:rPr>
          <w:rFonts w:hint="eastAsia" w:ascii="宋体" w:hAnsi="宋体" w:cs="宋体"/>
          <w:sz w:val="32"/>
          <w:szCs w:val="24"/>
          <w:lang w:val="en-US" w:eastAsia="zh-CN"/>
        </w:rPr>
        <w:t>6</w:t>
      </w:r>
      <w:r>
        <w:rPr>
          <w:rFonts w:hint="eastAsia" w:ascii="宋体" w:hAnsi="宋体" w:cs="宋体"/>
          <w:sz w:val="32"/>
          <w:szCs w:val="24"/>
        </w:rPr>
        <w:t>、无重大违法记录声明</w:t>
      </w:r>
    </w:p>
    <w:p>
      <w:pPr>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我单位参与陕西卓佲项目管理有限公司组织________________________(项目名称)</w:t>
      </w:r>
      <w:r>
        <w:rPr>
          <w:rFonts w:hint="eastAsia" w:ascii="宋体" w:hAnsi="宋体" w:cs="宋体"/>
          <w:kern w:val="0"/>
          <w:sz w:val="24"/>
          <w:szCs w:val="24"/>
          <w:lang w:eastAsia="zh-CN"/>
        </w:rPr>
        <w:t>竞争性谈判</w:t>
      </w:r>
      <w:r>
        <w:rPr>
          <w:rFonts w:hint="eastAsia" w:ascii="宋体" w:hAnsi="宋体" w:cs="宋体"/>
          <w:kern w:val="0"/>
          <w:sz w:val="24"/>
          <w:szCs w:val="24"/>
        </w:rPr>
        <w:t>，我单位郑重声明：我方参加本项目工作前三年内无重大违法活动记录，符合《中华人民共和国政府采购法》规定的供应商资格条件，我方对此声明负全部法律责任。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3"/>
        <w:spacing w:line="500" w:lineRule="exact"/>
        <w:jc w:val="left"/>
        <w:rPr>
          <w:rFonts w:hAnsi="宋体" w:cs="宋体"/>
          <w:sz w:val="24"/>
          <w:szCs w:val="24"/>
        </w:rPr>
      </w:pPr>
    </w:p>
    <w:p>
      <w:pPr>
        <w:pStyle w:val="3"/>
        <w:spacing w:line="480" w:lineRule="auto"/>
        <w:jc w:val="left"/>
        <w:rPr>
          <w:rFonts w:hAnsi="宋体" w:cs="宋体"/>
          <w:sz w:val="24"/>
        </w:rPr>
      </w:pPr>
      <w:r>
        <w:rPr>
          <w:rFonts w:hint="eastAsia" w:hAnsi="宋体" w:cs="宋体"/>
          <w:sz w:val="24"/>
          <w:szCs w:val="24"/>
        </w:rPr>
        <w:br w:type="textWrapping"/>
      </w:r>
      <w:r>
        <w:rPr>
          <w:rFonts w:hint="eastAsia" w:hAnsi="宋体" w:cs="宋体"/>
          <w:sz w:val="24"/>
        </w:rPr>
        <w:t>供应商（单位名称及公章）：</w:t>
      </w:r>
      <w:r>
        <w:rPr>
          <w:rFonts w:hint="eastAsia" w:hAnsi="宋体" w:cs="宋体"/>
          <w:sz w:val="28"/>
          <w:szCs w:val="28"/>
        </w:rPr>
        <w:t>______________________</w:t>
      </w:r>
    </w:p>
    <w:p>
      <w:pPr>
        <w:pStyle w:val="3"/>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ectPr>
          <w:pgSz w:w="11906" w:h="16838"/>
          <w:pgMar w:top="1440" w:right="1803" w:bottom="1440" w:left="1803" w:header="851" w:footer="992" w:gutter="0"/>
          <w:pgNumType w:fmt="decimal"/>
          <w:cols w:space="720" w:num="1"/>
          <w:docGrid w:type="lines" w:linePitch="319" w:charSpace="0"/>
        </w:sectPr>
      </w:pPr>
    </w:p>
    <w:p>
      <w:pPr>
        <w:jc w:val="center"/>
        <w:rPr>
          <w:sz w:val="28"/>
          <w:szCs w:val="32"/>
        </w:rPr>
      </w:pPr>
      <w:r>
        <w:rPr>
          <w:rFonts w:hint="eastAsia"/>
          <w:sz w:val="28"/>
          <w:szCs w:val="32"/>
          <w:lang w:val="en-US" w:eastAsia="zh-CN"/>
        </w:rPr>
        <w:t>7</w:t>
      </w:r>
      <w:r>
        <w:rPr>
          <w:rFonts w:hint="eastAsia"/>
          <w:sz w:val="28"/>
          <w:szCs w:val="32"/>
        </w:rPr>
        <w:t>-1法定代表人证明书</w:t>
      </w:r>
    </w:p>
    <w:tbl>
      <w:tblPr>
        <w:tblStyle w:val="22"/>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0" w:type="dxa"/>
            <w:gridSpan w:val="6"/>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致：陕西卓佲项目管理有限公司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邮政编码</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统一社会信用代码</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vAlign w:val="center"/>
          </w:tcPr>
          <w:p>
            <w:pPr>
              <w:tabs>
                <w:tab w:val="left" w:pos="210"/>
              </w:tabs>
              <w:spacing w:line="360" w:lineRule="auto"/>
              <w:ind w:firstLine="420" w:firstLineChars="200"/>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性别</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vAlign w:val="center"/>
          </w:tcPr>
          <w:p>
            <w:pPr>
              <w:tabs>
                <w:tab w:val="left" w:pos="210"/>
              </w:tabs>
              <w:spacing w:line="360" w:lineRule="auto"/>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联系电话</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身</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份</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复</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（正反面）</w:t>
            </w:r>
          </w:p>
        </w:tc>
        <w:tc>
          <w:tcPr>
            <w:tcW w:w="4500" w:type="dxa"/>
            <w:gridSpan w:val="3"/>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500" w:type="dxa"/>
            <w:gridSpan w:val="3"/>
            <w:vAlign w:val="bottom"/>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（公章）</w:t>
            </w: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adjustRightInd w:val="0"/>
              <w:snapToGrid w:val="0"/>
              <w:spacing w:line="480" w:lineRule="auto"/>
              <w:ind w:firstLine="480" w:firstLineChars="200"/>
              <w:jc w:val="right"/>
              <w:rPr>
                <w:rFonts w:ascii="宋体" w:hAnsi="宋体" w:cs="宋体"/>
                <w:kern w:val="0"/>
                <w:szCs w:val="21"/>
              </w:rPr>
            </w:pPr>
            <w:r>
              <w:rPr>
                <w:rFonts w:hint="eastAsia" w:ascii="宋体" w:hAnsi="宋体" w:cs="宋体"/>
                <w:sz w:val="24"/>
              </w:rPr>
              <w:t>_________年______月 _____日</w:t>
            </w:r>
          </w:p>
        </w:tc>
      </w:tr>
    </w:tbl>
    <w:p>
      <w:pPr>
        <w:pStyle w:val="7"/>
        <w:sectPr>
          <w:pgSz w:w="11906" w:h="16838"/>
          <w:pgMar w:top="1440" w:right="1803" w:bottom="1440" w:left="1803" w:header="851" w:footer="992" w:gutter="0"/>
          <w:pgNumType w:fmt="decimal"/>
          <w:cols w:space="720" w:num="1"/>
          <w:docGrid w:type="lines" w:linePitch="319" w:charSpace="0"/>
        </w:sectPr>
      </w:pPr>
    </w:p>
    <w:p>
      <w:pPr>
        <w:pStyle w:val="3"/>
        <w:spacing w:line="500" w:lineRule="exact"/>
        <w:jc w:val="center"/>
        <w:rPr>
          <w:rFonts w:hAnsi="宋体" w:cs="宋体"/>
          <w:sz w:val="24"/>
          <w:szCs w:val="24"/>
        </w:rPr>
      </w:pPr>
      <w:r>
        <w:rPr>
          <w:rFonts w:hint="eastAsia" w:hAnsi="宋体" w:cs="宋体"/>
          <w:b/>
          <w:sz w:val="24"/>
          <w:szCs w:val="24"/>
          <w:lang w:val="en-US" w:eastAsia="zh-CN"/>
        </w:rPr>
        <w:t>7</w:t>
      </w:r>
      <w:r>
        <w:rPr>
          <w:rFonts w:hint="eastAsia" w:hAnsi="宋体" w:cs="宋体"/>
          <w:b/>
          <w:sz w:val="24"/>
          <w:szCs w:val="24"/>
        </w:rPr>
        <w:t>-2法定代表人授权书</w:t>
      </w:r>
    </w:p>
    <w:p>
      <w:pPr>
        <w:pStyle w:val="3"/>
        <w:spacing w:line="500" w:lineRule="exact"/>
        <w:jc w:val="left"/>
        <w:rPr>
          <w:rFonts w:hAnsi="宋体" w:cs="宋体"/>
          <w:sz w:val="24"/>
          <w:szCs w:val="24"/>
        </w:rPr>
      </w:pPr>
      <w:r>
        <w:rPr>
          <w:rFonts w:hint="eastAsia" w:hAnsi="宋体" w:cs="宋体"/>
          <w:sz w:val="24"/>
          <w:szCs w:val="24"/>
        </w:rPr>
        <w:t>陕西卓佲项目管理有限公司：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（项目名称） （项目编号）   </w:t>
      </w:r>
      <w:r>
        <w:rPr>
          <w:rFonts w:hint="eastAsia" w:ascii="宋体" w:hAnsi="宋体" w:cs="宋体"/>
          <w:sz w:val="24"/>
        </w:rPr>
        <w:t>的采购活动。以我方名义全权处理该项目有关投标、签订合同以及执行合同等一切事宜。</w:t>
      </w:r>
    </w:p>
    <w:p>
      <w:pPr>
        <w:spacing w:line="360" w:lineRule="auto"/>
        <w:ind w:firstLine="480" w:firstLineChars="200"/>
        <w:rPr>
          <w:rFonts w:ascii="宋体" w:hAnsi="宋体" w:cs="宋体"/>
          <w:sz w:val="24"/>
          <w:szCs w:val="24"/>
        </w:rPr>
      </w:pPr>
      <w:r>
        <w:rPr>
          <w:rFonts w:hint="eastAsia" w:ascii="宋体" w:hAnsi="宋体" w:cs="宋体"/>
          <w:sz w:val="24"/>
        </w:rPr>
        <w:t>本授权书自响应文件递交截止之日生效，有效期与投标有效期一致，特此声明。</w:t>
      </w:r>
    </w:p>
    <w:p>
      <w:pPr>
        <w:pStyle w:val="3"/>
        <w:spacing w:line="500" w:lineRule="exact"/>
        <w:ind w:firstLine="480" w:firstLineChars="200"/>
        <w:jc w:val="left"/>
        <w:rPr>
          <w:rFonts w:hAnsi="宋体" w:cs="宋体"/>
          <w:sz w:val="24"/>
          <w:szCs w:val="24"/>
        </w:rPr>
      </w:pPr>
      <w:r>
        <w:rPr>
          <w:rFonts w:hint="eastAsia" w:hAnsi="宋体" w:cs="宋体"/>
          <w:sz w:val="24"/>
          <w:szCs w:val="24"/>
        </w:rPr>
        <w:t>供应商（单位名称及公章）</w:t>
      </w:r>
      <w:r>
        <w:rPr>
          <w:rFonts w:hint="eastAsia" w:hAnsi="宋体" w:cs="宋体"/>
          <w:sz w:val="24"/>
          <w:szCs w:val="24"/>
          <w:u w:val="single"/>
        </w:rPr>
        <w:t xml:space="preserve">：                  </w:t>
      </w:r>
    </w:p>
    <w:p>
      <w:pPr>
        <w:pStyle w:val="3"/>
        <w:spacing w:line="500" w:lineRule="exact"/>
        <w:ind w:firstLine="480"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szCs w:val="24"/>
          <w:u w:val="single"/>
        </w:rPr>
        <w:t xml:space="preserve">：                  </w:t>
      </w:r>
    </w:p>
    <w:p>
      <w:pPr>
        <w:pStyle w:val="3"/>
        <w:spacing w:line="500" w:lineRule="exact"/>
        <w:ind w:firstLine="480" w:firstLineChars="200"/>
        <w:jc w:val="left"/>
        <w:rPr>
          <w:rFonts w:hAnsi="宋体" w:cs="宋体"/>
          <w:sz w:val="24"/>
          <w:szCs w:val="24"/>
          <w:u w:val="single"/>
        </w:rPr>
      </w:pPr>
      <w:r>
        <w:rPr>
          <w:rFonts w:hint="eastAsia" w:hAnsi="宋体" w:cs="宋体"/>
          <w:sz w:val="24"/>
          <w:szCs w:val="24"/>
        </w:rPr>
        <w:t>被授权人</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3"/>
        <w:spacing w:line="500" w:lineRule="exact"/>
        <w:ind w:firstLine="480"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pPr>
        <w:pStyle w:val="3"/>
        <w:spacing w:line="500" w:lineRule="exact"/>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p>
    <w:p>
      <w:pPr>
        <w:pStyle w:val="3"/>
        <w:spacing w:line="500" w:lineRule="exact"/>
        <w:ind w:firstLine="480" w:firstLineChars="200"/>
        <w:jc w:val="left"/>
        <w:rPr>
          <w:rFonts w:hAnsi="宋体" w:cs="宋体"/>
          <w:sz w:val="24"/>
          <w:szCs w:val="24"/>
        </w:rPr>
      </w:pPr>
      <w:r>
        <w:rPr>
          <w:rFonts w:hint="eastAsia" w:hAnsi="宋体" w:cs="宋体"/>
          <w:sz w:val="24"/>
          <w:szCs w:val="24"/>
        </w:rPr>
        <w:t>法定代表人及被授权人身份证复印件或扫描件</w:t>
      </w:r>
    </w:p>
    <w:tbl>
      <w:tblPr>
        <w:tblStyle w:val="22"/>
        <w:tblW w:w="89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vAlign w:val="center"/>
          </w:tcPr>
          <w:p>
            <w:pPr>
              <w:pStyle w:val="3"/>
              <w:spacing w:line="500" w:lineRule="exact"/>
              <w:jc w:val="left"/>
              <w:rPr>
                <w:rFonts w:hAnsi="宋体" w:cs="宋体"/>
                <w:sz w:val="24"/>
                <w:szCs w:val="24"/>
                <w:shd w:val="pct10" w:color="auto" w:fill="FFFFFF"/>
              </w:rPr>
            </w:pPr>
            <w:r>
              <w:rPr>
                <w:rFonts w:hint="eastAsia" w:hAnsi="宋体" w:cs="宋体"/>
                <w:sz w:val="24"/>
                <w:szCs w:val="24"/>
                <w:shd w:val="pct10" w:color="auto" w:fill="FFFFFF"/>
              </w:rPr>
              <w:t>法定代表人身份证复印件/扫描件</w:t>
            </w:r>
          </w:p>
          <w:p>
            <w:pPr>
              <w:pStyle w:val="3"/>
              <w:spacing w:line="500" w:lineRule="exact"/>
              <w:jc w:val="left"/>
              <w:rPr>
                <w:rFonts w:hAnsi="宋体" w:cs="宋体"/>
                <w:sz w:val="24"/>
                <w:szCs w:val="24"/>
                <w:shd w:val="pct10" w:color="auto" w:fill="FFFFFF"/>
              </w:rPr>
            </w:pPr>
            <w:r>
              <w:rPr>
                <w:rFonts w:hint="eastAsia" w:hAnsi="宋体" w:cs="宋体"/>
                <w:sz w:val="24"/>
                <w:szCs w:val="24"/>
                <w:shd w:val="pct10" w:color="auto" w:fill="FFFFFF"/>
              </w:rPr>
              <w:t>（正反面）</w:t>
            </w:r>
          </w:p>
          <w:p>
            <w:pPr>
              <w:pStyle w:val="3"/>
              <w:spacing w:line="500" w:lineRule="exact"/>
              <w:jc w:val="left"/>
              <w:rPr>
                <w:rFonts w:hAnsi="宋体" w:cs="宋体"/>
                <w:sz w:val="24"/>
                <w:szCs w:val="24"/>
                <w:shd w:val="pct10" w:color="auto" w:fill="FFFFFF"/>
              </w:rPr>
            </w:pPr>
          </w:p>
        </w:tc>
        <w:tc>
          <w:tcPr>
            <w:tcW w:w="4546" w:type="dxa"/>
            <w:shd w:val="clear" w:color="auto" w:fill="D9D9D9"/>
            <w:vAlign w:val="center"/>
          </w:tcPr>
          <w:p>
            <w:pPr>
              <w:pStyle w:val="3"/>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被授权人身份证复印件/扫描件</w:t>
            </w:r>
          </w:p>
          <w:p>
            <w:pPr>
              <w:pStyle w:val="3"/>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（正反面）</w:t>
            </w:r>
          </w:p>
          <w:p>
            <w:pPr>
              <w:pStyle w:val="3"/>
              <w:spacing w:line="500" w:lineRule="exact"/>
              <w:ind w:firstLine="480" w:firstLineChars="200"/>
              <w:jc w:val="left"/>
              <w:rPr>
                <w:rFonts w:hAnsi="宋体" w:cs="宋体"/>
                <w:sz w:val="24"/>
                <w:szCs w:val="24"/>
                <w:shd w:val="pct10" w:color="auto" w:fill="FFFFFF"/>
              </w:rPr>
            </w:pPr>
          </w:p>
        </w:tc>
      </w:tr>
    </w:tbl>
    <w:p>
      <w:pPr>
        <w:rPr>
          <w:rFonts w:hAnsi="宋体" w:cs="宋体"/>
          <w:sz w:val="24"/>
          <w:szCs w:val="24"/>
        </w:rPr>
      </w:pPr>
    </w:p>
    <w:p>
      <w:pPr>
        <w:rPr>
          <w:rFonts w:hAnsi="宋体" w:cs="宋体"/>
          <w:sz w:val="24"/>
          <w:szCs w:val="24"/>
        </w:rPr>
      </w:pPr>
    </w:p>
    <w:p>
      <w:pPr>
        <w:keepNext/>
        <w:keepLines/>
        <w:spacing w:line="413" w:lineRule="auto"/>
        <w:jc w:val="center"/>
        <w:rPr>
          <w:rFonts w:ascii="宋体" w:hAnsi="宋体" w:cs="宋体"/>
          <w:sz w:val="32"/>
          <w:szCs w:val="24"/>
        </w:rPr>
        <w:sectPr>
          <w:pgSz w:w="11906" w:h="16838"/>
          <w:pgMar w:top="1440" w:right="1803" w:bottom="1440" w:left="1803" w:header="851" w:footer="992" w:gutter="0"/>
          <w:pgNumType w:fmt="decimal"/>
          <w:cols w:space="720" w:num="1"/>
          <w:docGrid w:type="lines" w:linePitch="319" w:charSpace="0"/>
        </w:sectPr>
      </w:pPr>
    </w:p>
    <w:p>
      <w:pPr>
        <w:widowControl/>
        <w:spacing w:line="360" w:lineRule="auto"/>
        <w:ind w:left="840"/>
        <w:jc w:val="left"/>
        <w:rPr>
          <w:rFonts w:hint="eastAsia" w:ascii="宋体" w:hAnsi="宋体" w:cs="宋体" w:eastAsiaTheme="minorEastAsia"/>
          <w:sz w:val="32"/>
          <w:szCs w:val="32"/>
          <w:lang w:eastAsia="zh-CN"/>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sz w:val="32"/>
          <w:szCs w:val="32"/>
        </w:rPr>
        <w:t>8、提供出版物进口经营许可证</w:t>
      </w:r>
      <w:r>
        <w:rPr>
          <w:rFonts w:hint="eastAsia" w:ascii="宋体" w:hAnsi="宋体" w:cs="宋体"/>
          <w:sz w:val="32"/>
          <w:szCs w:val="32"/>
          <w:lang w:eastAsia="zh-CN"/>
        </w:rPr>
        <w:t>；</w:t>
      </w:r>
    </w:p>
    <w:p>
      <w:pPr>
        <w:widowControl/>
        <w:spacing w:line="360" w:lineRule="auto"/>
        <w:ind w:left="840"/>
        <w:jc w:val="left"/>
        <w:rPr>
          <w:rFonts w:ascii="宋体" w:hAnsi="宋体" w:cs="宋体"/>
          <w:sz w:val="32"/>
          <w:szCs w:val="32"/>
        </w:rPr>
      </w:pPr>
      <w:r>
        <w:rPr>
          <w:rFonts w:hint="eastAsia" w:ascii="宋体" w:hAnsi="宋体" w:cs="宋体"/>
          <w:sz w:val="32"/>
          <w:szCs w:val="32"/>
          <w:lang w:val="en-US" w:eastAsia="zh-CN"/>
        </w:rPr>
        <w:t>9、</w:t>
      </w:r>
      <w:r>
        <w:rPr>
          <w:rFonts w:hint="eastAsia" w:ascii="宋体" w:hAnsi="宋体" w:cs="宋体"/>
          <w:sz w:val="32"/>
          <w:szCs w:val="32"/>
        </w:rPr>
        <w:t>本项目不接受联合体投标</w:t>
      </w:r>
    </w:p>
    <w:p>
      <w:pPr>
        <w:pStyle w:val="2"/>
        <w:ind w:left="420" w:leftChars="200" w:firstLine="0"/>
        <w:rPr>
          <w:rFonts w:ascii="宋体" w:hAnsi="宋体" w:cs="宋体"/>
        </w:rPr>
      </w:pPr>
    </w:p>
    <w:p>
      <w:pPr>
        <w:pStyle w:val="21"/>
        <w:ind w:firstLine="400"/>
        <w:rPr>
          <w:rFonts w:ascii="宋体" w:hAnsi="宋体" w:cs="宋体"/>
        </w:rPr>
      </w:pPr>
    </w:p>
    <w:p>
      <w:pPr>
        <w:widowControl/>
        <w:spacing w:line="360" w:lineRule="auto"/>
        <w:ind w:left="420"/>
        <w:jc w:val="center"/>
        <w:rPr>
          <w:rFonts w:ascii="宋体" w:hAnsi="宋体" w:cs="宋体"/>
          <w:sz w:val="24"/>
          <w:szCs w:val="24"/>
        </w:rPr>
      </w:pPr>
      <w:r>
        <w:rPr>
          <w:rFonts w:hint="eastAsia" w:ascii="宋体" w:hAnsi="宋体" w:cs="宋体"/>
          <w:sz w:val="24"/>
          <w:szCs w:val="24"/>
        </w:rPr>
        <w:t>非联合体投标声明</w:t>
      </w: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pacing w:line="360" w:lineRule="auto"/>
        <w:ind w:firstLine="480"/>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w:t>
      </w:r>
      <w:r>
        <w:rPr>
          <w:rFonts w:hint="eastAsia" w:ascii="宋体" w:cs="宋体"/>
          <w:kern w:val="0"/>
          <w:sz w:val="24"/>
          <w:szCs w:val="24"/>
        </w:rPr>
        <w:t>政府采购的投标</w:t>
      </w:r>
      <w:r>
        <w:rPr>
          <w:rFonts w:hint="eastAsia" w:ascii="宋体" w:hAnsi="宋体" w:cs="宋体"/>
          <w:kern w:val="0"/>
          <w:sz w:val="24"/>
          <w:szCs w:val="24"/>
        </w:rPr>
        <w:t>，我单位郑重声明：我方非联合体投标，如有虚假，承担相应责任。</w:t>
      </w:r>
    </w:p>
    <w:p>
      <w:pPr>
        <w:widowControl/>
        <w:spacing w:line="360" w:lineRule="auto"/>
        <w:ind w:firstLine="480"/>
        <w:rPr>
          <w:rFonts w:ascii="宋体" w:hAnsi="宋体" w:cs="宋体"/>
          <w:kern w:val="0"/>
          <w:sz w:val="24"/>
          <w:szCs w:val="24"/>
        </w:rPr>
      </w:pPr>
      <w:r>
        <w:rPr>
          <w:rFonts w:hint="eastAsia" w:ascii="宋体" w:hAnsi="宋体" w:cs="宋体"/>
          <w:kern w:val="0"/>
          <w:sz w:val="24"/>
          <w:szCs w:val="24"/>
        </w:rPr>
        <w:t>特此声明！</w:t>
      </w:r>
    </w:p>
    <w:p>
      <w:pPr>
        <w:rPr>
          <w:rFonts w:ascii="宋体" w:hAnsi="宋体" w:cs="宋体"/>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3"/>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3"/>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pStyle w:val="10"/>
        <w:sectPr>
          <w:pgSz w:w="11906" w:h="16838"/>
          <w:pgMar w:top="1440" w:right="1803" w:bottom="1440" w:left="1803" w:header="851" w:footer="992" w:gutter="0"/>
          <w:pgNumType w:fmt="decimal"/>
          <w:cols w:space="720" w:num="1"/>
          <w:docGrid w:type="lines" w:linePitch="319" w:charSpace="0"/>
        </w:sectPr>
      </w:pPr>
    </w:p>
    <w:p>
      <w:pPr>
        <w:pStyle w:val="5"/>
        <w:spacing w:before="312" w:beforeLines="100" w:after="468" w:afterLines="150" w:line="500" w:lineRule="exact"/>
        <w:rPr>
          <w:rFonts w:ascii="宋体" w:hAnsi="宋体"/>
          <w:sz w:val="36"/>
          <w:szCs w:val="36"/>
        </w:rPr>
      </w:pPr>
      <w:bookmarkStart w:id="95" w:name="_Toc6232"/>
      <w:r>
        <w:rPr>
          <w:rFonts w:hint="eastAsia" w:ascii="宋体" w:hAnsi="宋体" w:cs="宋体"/>
          <w:sz w:val="36"/>
          <w:szCs w:val="36"/>
        </w:rPr>
        <w:t>第五部分</w:t>
      </w:r>
      <w:bookmarkEnd w:id="94"/>
      <w:r>
        <w:rPr>
          <w:rFonts w:hint="eastAsia" w:ascii="宋体" w:hAnsi="宋体" w:cs="宋体"/>
          <w:sz w:val="36"/>
          <w:szCs w:val="36"/>
        </w:rPr>
        <w:t xml:space="preserve"> 技术与服务方案</w:t>
      </w:r>
      <w:bookmarkEnd w:id="95"/>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技术与服务方案由供应商自行编写，无具体格式。</w:t>
      </w:r>
    </w:p>
    <w:p>
      <w:pPr>
        <w:sectPr>
          <w:headerReference r:id="rId13" w:type="default"/>
          <w:pgSz w:w="11906" w:h="16838"/>
          <w:pgMar w:top="1440" w:right="1800" w:bottom="1440" w:left="1800" w:header="851" w:footer="992" w:gutter="0"/>
          <w:cols w:space="720" w:num="1"/>
          <w:docGrid w:type="lines" w:linePitch="312" w:charSpace="0"/>
        </w:sectPr>
      </w:pPr>
    </w:p>
    <w:p>
      <w:pPr>
        <w:pStyle w:val="5"/>
        <w:rPr>
          <w:rFonts w:ascii="宋体" w:hAnsi="宋体" w:cs="宋体"/>
          <w:sz w:val="32"/>
          <w:szCs w:val="24"/>
        </w:rPr>
      </w:pPr>
      <w:bookmarkStart w:id="96" w:name="_Toc2087"/>
      <w:r>
        <w:rPr>
          <w:rFonts w:hint="eastAsia" w:ascii="宋体" w:hAnsi="宋体" w:cs="宋体"/>
          <w:sz w:val="36"/>
          <w:szCs w:val="36"/>
        </w:rPr>
        <w:t>第六部分 服务承诺</w:t>
      </w:r>
      <w:bookmarkEnd w:id="96"/>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服务承诺由供应商自行编写，无具体格式。</w:t>
      </w:r>
    </w:p>
    <w:p>
      <w:pPr>
        <w:jc w:val="center"/>
        <w:rPr>
          <w:rFonts w:ascii="宋体" w:hAnsi="宋体" w:eastAsia="宋体" w:cs="宋体"/>
          <w:sz w:val="36"/>
          <w:szCs w:val="36"/>
        </w:rPr>
        <w:sectPr>
          <w:pgSz w:w="11906" w:h="16838"/>
          <w:pgMar w:top="1440" w:right="1800" w:bottom="1440" w:left="1800" w:header="851" w:footer="992" w:gutter="0"/>
          <w:cols w:space="720" w:num="1"/>
          <w:docGrid w:type="lines" w:linePitch="312" w:charSpace="0"/>
        </w:sectPr>
      </w:pPr>
    </w:p>
    <w:p>
      <w:pPr>
        <w:numPr>
          <w:ilvl w:val="0"/>
          <w:numId w:val="24"/>
        </w:numPr>
        <w:jc w:val="center"/>
        <w:outlineLvl w:val="1"/>
        <w:rPr>
          <w:rFonts w:ascii="宋体" w:hAnsi="宋体" w:eastAsia="宋体" w:cs="宋体"/>
          <w:b/>
          <w:sz w:val="28"/>
        </w:rPr>
      </w:pPr>
      <w:r>
        <w:rPr>
          <w:rFonts w:hint="eastAsia" w:ascii="宋体" w:hAnsi="宋体" w:eastAsia="宋体" w:cs="宋体"/>
          <w:b/>
          <w:sz w:val="28"/>
        </w:rPr>
        <w:t xml:space="preserve"> </w:t>
      </w:r>
      <w:bookmarkStart w:id="97" w:name="_Toc30500"/>
      <w:r>
        <w:rPr>
          <w:rFonts w:hint="eastAsia" w:ascii="宋体" w:hAnsi="宋体" w:eastAsia="宋体" w:cs="宋体"/>
          <w:b/>
          <w:sz w:val="28"/>
        </w:rPr>
        <w:t>供应商认为有必要说明的其他问题</w:t>
      </w:r>
      <w:bookmarkEnd w:id="97"/>
    </w:p>
    <w:p>
      <w:r>
        <w:rPr>
          <w:rFonts w:hint="eastAsia"/>
          <w:b/>
          <w:bCs/>
        </w:rPr>
        <w:t>例如：保证金缴纳凭证。</w:t>
      </w:r>
    </w:p>
    <w:p>
      <w:pPr>
        <w:widowControl/>
        <w:spacing w:line="360" w:lineRule="auto"/>
        <w:ind w:left="420" w:leftChars="200" w:firstLine="0" w:firstLineChars="0"/>
        <w:jc w:val="left"/>
        <w:rPr>
          <w:rFonts w:ascii="宋体" w:hAnsi="宋体" w:cs="宋体"/>
          <w:sz w:val="24"/>
          <w:szCs w:val="24"/>
        </w:rPr>
        <w:sectPr>
          <w:pgSz w:w="11906" w:h="16838"/>
          <w:pgMar w:top="1440" w:right="1080" w:bottom="1440" w:left="1080" w:header="851" w:footer="992" w:gutter="0"/>
          <w:cols w:space="720" w:num="1"/>
          <w:docGrid w:type="lines" w:linePitch="319" w:charSpace="0"/>
        </w:sectPr>
      </w:pPr>
    </w:p>
    <w:p>
      <w:pPr>
        <w:pStyle w:val="5"/>
        <w:adjustRightInd w:val="0"/>
        <w:spacing w:line="416" w:lineRule="atLeast"/>
        <w:jc w:val="left"/>
        <w:textAlignment w:val="baseline"/>
        <w:rPr>
          <w:rFonts w:ascii="宋体" w:hAnsi="宋体" w:cs="宋体"/>
        </w:rPr>
      </w:pPr>
      <w:bookmarkStart w:id="98" w:name="_Toc18590"/>
      <w:r>
        <w:rPr>
          <w:rFonts w:hint="eastAsia" w:ascii="宋体" w:hAnsi="宋体" w:cs="宋体"/>
        </w:rPr>
        <w:t>附件一、封袋正面标识式样</w:t>
      </w:r>
      <w:bookmarkEnd w:id="98"/>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响应文件正本封袋正面标识式样</w:t>
      </w:r>
    </w:p>
    <w:p>
      <w:pPr>
        <w:spacing w:line="460" w:lineRule="exact"/>
        <w:ind w:firstLine="420" w:firstLineChars="200"/>
        <w:jc w:val="center"/>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-423545</wp:posOffset>
                </wp:positionH>
                <wp:positionV relativeFrom="paragraph">
                  <wp:posOffset>132080</wp:posOffset>
                </wp:positionV>
                <wp:extent cx="6255385" cy="3545840"/>
                <wp:effectExtent l="4445" t="4445" r="7620" b="12065"/>
                <wp:wrapNone/>
                <wp:docPr id="13" name="Text Box 3"/>
                <wp:cNvGraphicFramePr/>
                <a:graphic xmlns:a="http://schemas.openxmlformats.org/drawingml/2006/main">
                  <a:graphicData uri="http://schemas.microsoft.com/office/word/2010/wordprocessingShape">
                    <wps:wsp>
                      <wps:cNvSpPr txBox="1"/>
                      <wps:spPr>
                        <a:xfrm>
                          <a:off x="0" y="0"/>
                          <a:ext cx="6255385" cy="3545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ZMZB2022XKD-64R</w:t>
                            </w:r>
                          </w:p>
                          <w:p>
                            <w:pPr>
                              <w:rPr>
                                <w:sz w:val="28"/>
                                <w:szCs w:val="28"/>
                              </w:rPr>
                            </w:pPr>
                            <w:r>
                              <w:rPr>
                                <w:rFonts w:hint="eastAsia"/>
                                <w:sz w:val="28"/>
                                <w:szCs w:val="28"/>
                              </w:rPr>
                              <w:t>项目名称：</w:t>
                            </w:r>
                            <w:r>
                              <w:rPr>
                                <w:rFonts w:hint="eastAsia"/>
                                <w:sz w:val="28"/>
                                <w:szCs w:val="28"/>
                                <w:lang w:eastAsia="zh-CN"/>
                              </w:rPr>
                              <w:t>西安科技大学ACS数据库、ElsevierScienceDirect数据库、SCIE数据库服务采购项目（二次）</w:t>
                            </w:r>
                          </w:p>
                          <w:p>
                            <w:pPr>
                              <w:jc w:val="center"/>
                              <w:rPr>
                                <w:sz w:val="28"/>
                                <w:szCs w:val="28"/>
                              </w:rPr>
                            </w:pPr>
                            <w:r>
                              <w:rPr>
                                <w:rFonts w:hint="eastAsia"/>
                                <w:b/>
                                <w:sz w:val="44"/>
                                <w:szCs w:val="44"/>
                              </w:rPr>
                              <w:t>响应文件（正本）</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3.35pt;margin-top:10.4pt;height:279.2pt;width:492.55pt;z-index:251662336;mso-width-relative:page;mso-height-relative:page;" fillcolor="#FFFFFF" filled="t" stroked="t" coordsize="21600,21600" o:gfxdata="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I6P+2gAAAAoBAAAPAAAAAAAAAAEAIAAAACIAAABk&#10;cnMvZG93bnJldi54bWxQSwECFAAUAAAACACHTuJAUs0VsAQCAABFBAAADgAAAAAAAAABACAAAAAp&#10;AQAAZHJzL2Uyb0RvYy54bWxQSwUGAAAAAAYABgBZAQAAnwU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ZMZB2022XKD-64R</w:t>
                      </w:r>
                    </w:p>
                    <w:p>
                      <w:pPr>
                        <w:rPr>
                          <w:sz w:val="28"/>
                          <w:szCs w:val="28"/>
                        </w:rPr>
                      </w:pPr>
                      <w:r>
                        <w:rPr>
                          <w:rFonts w:hint="eastAsia"/>
                          <w:sz w:val="28"/>
                          <w:szCs w:val="28"/>
                        </w:rPr>
                        <w:t>项目名称：</w:t>
                      </w:r>
                      <w:r>
                        <w:rPr>
                          <w:rFonts w:hint="eastAsia"/>
                          <w:sz w:val="28"/>
                          <w:szCs w:val="28"/>
                          <w:lang w:eastAsia="zh-CN"/>
                        </w:rPr>
                        <w:t>西安科技大学ACS数据库、ElsevierScienceDirect数据库、SCIE数据库服务采购项目（二次）</w:t>
                      </w:r>
                    </w:p>
                    <w:p>
                      <w:pPr>
                        <w:jc w:val="center"/>
                        <w:rPr>
                          <w:sz w:val="28"/>
                          <w:szCs w:val="28"/>
                        </w:rPr>
                      </w:pPr>
                      <w:r>
                        <w:rPr>
                          <w:rFonts w:hint="eastAsia"/>
                          <w:b/>
                          <w:sz w:val="44"/>
                          <w:szCs w:val="44"/>
                        </w:rPr>
                        <w:t>响应文件（正本）</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响应文件副本封袋正面标识式样</w: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r>
        <w:rPr>
          <w:rFonts w:ascii="宋体" w:hAnsi="宋体" w:eastAsia="宋体" w:cs="宋体"/>
          <w:b/>
          <w:sz w:val="24"/>
        </w:rPr>
        <mc:AlternateContent>
          <mc:Choice Requires="wps">
            <w:drawing>
              <wp:anchor distT="0" distB="0" distL="114300" distR="114300" simplePos="0" relativeHeight="251663360" behindDoc="0" locked="0" layoutInCell="1" allowOverlap="1">
                <wp:simplePos x="0" y="0"/>
                <wp:positionH relativeFrom="column">
                  <wp:posOffset>-413385</wp:posOffset>
                </wp:positionH>
                <wp:positionV relativeFrom="paragraph">
                  <wp:posOffset>76835</wp:posOffset>
                </wp:positionV>
                <wp:extent cx="6288405" cy="3580765"/>
                <wp:effectExtent l="4445" t="4445" r="12700" b="15240"/>
                <wp:wrapNone/>
                <wp:docPr id="12" name="Text Box 4"/>
                <wp:cNvGraphicFramePr/>
                <a:graphic xmlns:a="http://schemas.openxmlformats.org/drawingml/2006/main">
                  <a:graphicData uri="http://schemas.microsoft.com/office/word/2010/wordprocessingShape">
                    <wps:wsp>
                      <wps:cNvSpPr txBox="1"/>
                      <wps:spPr>
                        <a:xfrm>
                          <a:off x="0" y="0"/>
                          <a:ext cx="6288405" cy="3580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ZMZB2022XKD-64R</w:t>
                            </w:r>
                          </w:p>
                          <w:p>
                            <w:pPr>
                              <w:rPr>
                                <w:sz w:val="28"/>
                                <w:szCs w:val="28"/>
                              </w:rPr>
                            </w:pPr>
                            <w:r>
                              <w:rPr>
                                <w:rFonts w:hint="eastAsia"/>
                                <w:sz w:val="28"/>
                                <w:szCs w:val="28"/>
                              </w:rPr>
                              <w:t>项目名称：</w:t>
                            </w:r>
                            <w:r>
                              <w:rPr>
                                <w:rFonts w:hint="eastAsia"/>
                                <w:sz w:val="28"/>
                                <w:szCs w:val="28"/>
                                <w:lang w:eastAsia="zh-CN"/>
                              </w:rPr>
                              <w:t>西安科技大学ACS数据库、ElsevierScienceDirect数据库、SCIE数据库服务采购项目（二次）</w:t>
                            </w:r>
                          </w:p>
                          <w:p>
                            <w:pPr>
                              <w:jc w:val="center"/>
                              <w:rPr>
                                <w:sz w:val="28"/>
                                <w:szCs w:val="28"/>
                              </w:rPr>
                            </w:pPr>
                            <w:r>
                              <w:rPr>
                                <w:rFonts w:hint="eastAsia"/>
                                <w:b/>
                                <w:sz w:val="44"/>
                                <w:szCs w:val="44"/>
                              </w:rPr>
                              <w:t>响应文件（副本）</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4" o:spid="_x0000_s1026" o:spt="202" type="#_x0000_t202" style="position:absolute;left:0pt;margin-left:-32.55pt;margin-top:6.05pt;height:281.95pt;width:495.15pt;z-index:251663360;mso-width-relative:page;mso-height-relative:page;" fillcolor="#FFFFFF" filled="t" stroked="t" coordsize="21600,21600" o:gfxdata="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QpBndoAAAAKAQAADwAAAAAAAAABACAAAAAiAAAAZHJz&#10;L2Rvd25yZXYueG1sUEsBAhQAFAAAAAgAh07iQNdb0LkCAgAARQQAAA4AAAAAAAAAAQAgAAAAKQEA&#10;AGRycy9lMm9Eb2MueG1sUEsFBgAAAAAGAAYAWQEAAJ0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ZMZB2022XKD-64R</w:t>
                      </w:r>
                    </w:p>
                    <w:p>
                      <w:pPr>
                        <w:rPr>
                          <w:sz w:val="28"/>
                          <w:szCs w:val="28"/>
                        </w:rPr>
                      </w:pPr>
                      <w:r>
                        <w:rPr>
                          <w:rFonts w:hint="eastAsia"/>
                          <w:sz w:val="28"/>
                          <w:szCs w:val="28"/>
                        </w:rPr>
                        <w:t>项目名称：</w:t>
                      </w:r>
                      <w:r>
                        <w:rPr>
                          <w:rFonts w:hint="eastAsia"/>
                          <w:sz w:val="28"/>
                          <w:szCs w:val="28"/>
                          <w:lang w:eastAsia="zh-CN"/>
                        </w:rPr>
                        <w:t>西安科技大学ACS数据库、ElsevierScienceDirect数据库、SCIE数据库服务采购项目（二次）</w:t>
                      </w:r>
                    </w:p>
                    <w:p>
                      <w:pPr>
                        <w:jc w:val="center"/>
                        <w:rPr>
                          <w:sz w:val="28"/>
                          <w:szCs w:val="28"/>
                        </w:rPr>
                      </w:pPr>
                      <w:r>
                        <w:rPr>
                          <w:rFonts w:hint="eastAsia"/>
                          <w:b/>
                          <w:sz w:val="44"/>
                          <w:szCs w:val="44"/>
                        </w:rPr>
                        <w:t>响应文件（副本）</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tabs>
          <w:tab w:val="left" w:pos="8280"/>
        </w:tabs>
        <w:spacing w:line="460" w:lineRule="exact"/>
        <w:ind w:firstLine="482" w:firstLineChars="200"/>
        <w:jc w:val="center"/>
        <w:rPr>
          <w:rFonts w:ascii="宋体" w:hAnsi="宋体" w:eastAsia="宋体" w:cs="宋体"/>
          <w:b/>
          <w:sz w:val="24"/>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1004" w:firstLineChars="200"/>
        <w:jc w:val="center"/>
        <w:rPr>
          <w:rFonts w:ascii="宋体" w:hAnsi="宋体" w:eastAsia="宋体" w:cs="宋体"/>
          <w:b/>
          <w:sz w:val="50"/>
        </w:rPr>
      </w:pPr>
    </w:p>
    <w:p>
      <w:pPr>
        <w:widowControl/>
        <w:spacing w:line="460" w:lineRule="exact"/>
        <w:ind w:firstLine="480" w:firstLineChars="200"/>
        <w:jc w:val="center"/>
        <w:rPr>
          <w:rFonts w:ascii="宋体" w:hAnsi="宋体" w:eastAsia="宋体" w:cs="宋体"/>
          <w:sz w:val="24"/>
          <w:szCs w:val="28"/>
        </w:rPr>
        <w:sectPr>
          <w:pgSz w:w="11906" w:h="16838"/>
          <w:pgMar w:top="1440" w:right="1800" w:bottom="1440" w:left="1800" w:header="851" w:footer="992" w:gutter="0"/>
          <w:cols w:space="720" w:num="1"/>
          <w:docGrid w:type="lines" w:linePitch="312" w:charSpace="0"/>
        </w:sectPr>
      </w:pPr>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响应一览表封袋正面标识式样</w:t>
      </w:r>
    </w:p>
    <w:p>
      <w:pPr>
        <w:spacing w:line="460" w:lineRule="exact"/>
        <w:ind w:firstLine="482" w:firstLineChars="200"/>
        <w:jc w:val="center"/>
        <w:rPr>
          <w:rFonts w:ascii="宋体" w:hAnsi="宋体" w:eastAsia="宋体" w:cs="宋体"/>
          <w:b/>
          <w:sz w:val="24"/>
        </w:rPr>
      </w:pPr>
    </w:p>
    <w:p>
      <w:pPr>
        <w:spacing w:line="460" w:lineRule="exact"/>
        <w:ind w:firstLine="420" w:firstLineChars="200"/>
        <w:jc w:val="center"/>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-406400</wp:posOffset>
                </wp:positionH>
                <wp:positionV relativeFrom="paragraph">
                  <wp:posOffset>188595</wp:posOffset>
                </wp:positionV>
                <wp:extent cx="6244590" cy="3326765"/>
                <wp:effectExtent l="4445" t="5080" r="18415" b="20955"/>
                <wp:wrapNone/>
                <wp:docPr id="11" name="Text Box 3"/>
                <wp:cNvGraphicFramePr/>
                <a:graphic xmlns:a="http://schemas.openxmlformats.org/drawingml/2006/main">
                  <a:graphicData uri="http://schemas.microsoft.com/office/word/2010/wordprocessingShape">
                    <wps:wsp>
                      <wps:cNvSpPr txBox="1"/>
                      <wps:spPr>
                        <a:xfrm>
                          <a:off x="0" y="0"/>
                          <a:ext cx="6244590" cy="3326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ZMZB2022XKD-64R</w:t>
                            </w:r>
                          </w:p>
                          <w:p>
                            <w:pPr>
                              <w:rPr>
                                <w:sz w:val="28"/>
                                <w:szCs w:val="28"/>
                              </w:rPr>
                            </w:pPr>
                            <w:r>
                              <w:rPr>
                                <w:rFonts w:hint="eastAsia"/>
                                <w:sz w:val="28"/>
                                <w:szCs w:val="28"/>
                              </w:rPr>
                              <w:t>项目名称：</w:t>
                            </w:r>
                            <w:r>
                              <w:rPr>
                                <w:rFonts w:hint="eastAsia"/>
                                <w:sz w:val="28"/>
                                <w:szCs w:val="28"/>
                                <w:lang w:eastAsia="zh-CN"/>
                              </w:rPr>
                              <w:t>西安科技大学ACS数据库、ElsevierScienceDirect数据库、SCIE数据库服务采购项目（二次）</w:t>
                            </w:r>
                          </w:p>
                          <w:p>
                            <w:pPr>
                              <w:jc w:val="center"/>
                              <w:rPr>
                                <w:sz w:val="28"/>
                                <w:szCs w:val="28"/>
                              </w:rPr>
                            </w:pPr>
                            <w:r>
                              <w:rPr>
                                <w:rFonts w:hint="eastAsia"/>
                                <w:b/>
                                <w:sz w:val="44"/>
                                <w:szCs w:val="44"/>
                              </w:rPr>
                              <w:t>响应一览表</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2pt;margin-top:14.85pt;height:261.95pt;width:491.7pt;z-index:251665408;mso-width-relative:page;mso-height-relative:page;" fillcolor="#FFFFFF" filled="t" stroked="t" coordsize="21600,21600" o:gfxdata="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HfzNtoAAAAKAQAADwAAAAAAAAABACAAAAAiAAAAZHJz&#10;L2Rvd25yZXYueG1sUEsBAhQAFAAAAAgAh07iQErSq/0CAgAARQQAAA4AAAAAAAAAAQAgAAAAKQEA&#10;AGRycy9lMm9Eb2MueG1sUEsFBgAAAAAGAAYAWQEAAJ0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ZMZB2022XKD-64R</w:t>
                      </w:r>
                    </w:p>
                    <w:p>
                      <w:pPr>
                        <w:rPr>
                          <w:sz w:val="28"/>
                          <w:szCs w:val="28"/>
                        </w:rPr>
                      </w:pPr>
                      <w:r>
                        <w:rPr>
                          <w:rFonts w:hint="eastAsia"/>
                          <w:sz w:val="28"/>
                          <w:szCs w:val="28"/>
                        </w:rPr>
                        <w:t>项目名称：</w:t>
                      </w:r>
                      <w:r>
                        <w:rPr>
                          <w:rFonts w:hint="eastAsia"/>
                          <w:sz w:val="28"/>
                          <w:szCs w:val="28"/>
                          <w:lang w:eastAsia="zh-CN"/>
                        </w:rPr>
                        <w:t>西安科技大学ACS数据库、ElsevierScienceDirect数据库、SCIE数据库服务采购项目（二次）</w:t>
                      </w:r>
                    </w:p>
                    <w:p>
                      <w:pPr>
                        <w:jc w:val="center"/>
                        <w:rPr>
                          <w:sz w:val="28"/>
                          <w:szCs w:val="28"/>
                        </w:rPr>
                      </w:pPr>
                      <w:r>
                        <w:rPr>
                          <w:rFonts w:hint="eastAsia"/>
                          <w:b/>
                          <w:sz w:val="44"/>
                          <w:szCs w:val="44"/>
                        </w:rPr>
                        <w:t>响应一览表</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center"/>
        <w:rPr>
          <w:rFonts w:ascii="宋体" w:hAnsi="宋体" w:eastAsia="宋体" w:cs="宋体"/>
          <w:b/>
          <w:sz w:val="24"/>
        </w:rPr>
      </w:pPr>
      <w:r>
        <w:rPr>
          <w:rFonts w:hint="eastAsia" w:ascii="宋体" w:hAnsi="宋体" w:eastAsia="宋体" w:cs="宋体"/>
          <w:b/>
          <w:sz w:val="24"/>
        </w:rPr>
        <w:t>电子文档封袋正面标识式样</w:t>
      </w:r>
    </w:p>
    <w:p>
      <w:pPr>
        <w:tabs>
          <w:tab w:val="left" w:pos="8280"/>
        </w:tabs>
        <w:spacing w:line="460" w:lineRule="exact"/>
        <w:ind w:firstLine="420" w:firstLineChars="200"/>
        <w:jc w:val="left"/>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7456" behindDoc="0" locked="0" layoutInCell="1" allowOverlap="1">
                <wp:simplePos x="0" y="0"/>
                <wp:positionH relativeFrom="column">
                  <wp:posOffset>-425450</wp:posOffset>
                </wp:positionH>
                <wp:positionV relativeFrom="paragraph">
                  <wp:posOffset>55245</wp:posOffset>
                </wp:positionV>
                <wp:extent cx="6351270" cy="3234055"/>
                <wp:effectExtent l="5080" t="5080" r="6350" b="18415"/>
                <wp:wrapNone/>
                <wp:docPr id="10" name="Text Box 3"/>
                <wp:cNvGraphicFramePr/>
                <a:graphic xmlns:a="http://schemas.openxmlformats.org/drawingml/2006/main">
                  <a:graphicData uri="http://schemas.microsoft.com/office/word/2010/wordprocessingShape">
                    <wps:wsp>
                      <wps:cNvSpPr txBox="1"/>
                      <wps:spPr>
                        <a:xfrm>
                          <a:off x="0" y="0"/>
                          <a:ext cx="6455410" cy="3234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ZMZB2022XKD-64R</w:t>
                            </w:r>
                          </w:p>
                          <w:p>
                            <w:pPr>
                              <w:rPr>
                                <w:sz w:val="28"/>
                                <w:szCs w:val="28"/>
                              </w:rPr>
                            </w:pPr>
                            <w:r>
                              <w:rPr>
                                <w:rFonts w:hint="eastAsia"/>
                                <w:sz w:val="28"/>
                                <w:szCs w:val="28"/>
                              </w:rPr>
                              <w:t>项目名称：</w:t>
                            </w:r>
                            <w:r>
                              <w:rPr>
                                <w:rFonts w:hint="eastAsia"/>
                                <w:sz w:val="28"/>
                                <w:szCs w:val="28"/>
                                <w:lang w:eastAsia="zh-CN"/>
                              </w:rPr>
                              <w:t>西安科技大学ACS数据库、ElsevierScienceDirect数据库、SCIE数据库服务采购项目（二次）</w:t>
                            </w:r>
                          </w:p>
                          <w:p>
                            <w:pPr>
                              <w:jc w:val="center"/>
                              <w:rPr>
                                <w:sz w:val="28"/>
                                <w:szCs w:val="28"/>
                              </w:rPr>
                            </w:pPr>
                            <w:r>
                              <w:rPr>
                                <w:rFonts w:hint="eastAsia"/>
                                <w:b/>
                                <w:sz w:val="44"/>
                                <w:szCs w:val="44"/>
                              </w:rPr>
                              <w:t>电子文档</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3.5pt;margin-top:4.35pt;height:254.65pt;width:500.1pt;z-index:251667456;mso-width-relative:page;mso-height-relative:page;" fillcolor="#FFFFFF" filled="t" stroked="t" coordsize="21600,21600" o:gfxdata="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eK+ZtkAAAAJAQAADwAAAAAAAAABACAAAAAiAAAAZHJzL2Rv&#10;d25yZXYueG1sUEsBAhQAFAAAAAgAh07iQPF8YFAAAgAARQQAAA4AAAAAAAAAAQAgAAAAKAEAAGRy&#10;cy9lMm9Eb2MueG1sUEsFBgAAAAAGAAYAWQEAAJo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ZMZB2022XKD-64R</w:t>
                      </w:r>
                    </w:p>
                    <w:p>
                      <w:pPr>
                        <w:rPr>
                          <w:sz w:val="28"/>
                          <w:szCs w:val="28"/>
                        </w:rPr>
                      </w:pPr>
                      <w:r>
                        <w:rPr>
                          <w:rFonts w:hint="eastAsia"/>
                          <w:sz w:val="28"/>
                          <w:szCs w:val="28"/>
                        </w:rPr>
                        <w:t>项目名称：</w:t>
                      </w:r>
                      <w:r>
                        <w:rPr>
                          <w:rFonts w:hint="eastAsia"/>
                          <w:sz w:val="28"/>
                          <w:szCs w:val="28"/>
                          <w:lang w:eastAsia="zh-CN"/>
                        </w:rPr>
                        <w:t>西安科技大学ACS数据库、ElsevierScienceDirect数据库、SCIE数据库服务采购项目（二次）</w:t>
                      </w:r>
                    </w:p>
                    <w:p>
                      <w:pPr>
                        <w:jc w:val="center"/>
                        <w:rPr>
                          <w:sz w:val="28"/>
                          <w:szCs w:val="28"/>
                        </w:rPr>
                      </w:pPr>
                      <w:r>
                        <w:rPr>
                          <w:rFonts w:hint="eastAsia"/>
                          <w:b/>
                          <w:sz w:val="44"/>
                          <w:szCs w:val="44"/>
                        </w:rPr>
                        <w:t>电子文档</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1004" w:firstLineChars="200"/>
        <w:jc w:val="left"/>
        <w:rPr>
          <w:rFonts w:ascii="宋体" w:hAnsi="宋体" w:eastAsia="宋体" w:cs="宋体"/>
          <w:b/>
          <w:sz w:val="50"/>
        </w:rPr>
      </w:pPr>
    </w:p>
    <w:p>
      <w:pPr>
        <w:pageBreakBefore/>
        <w:spacing w:line="420" w:lineRule="auto"/>
        <w:rPr>
          <w:rFonts w:ascii="宋体" w:hAnsi="宋体" w:eastAsia="宋体" w:cs="宋体"/>
          <w:b/>
          <w:bCs/>
          <w:sz w:val="36"/>
          <w:szCs w:val="36"/>
        </w:rPr>
        <w:sectPr>
          <w:pgSz w:w="11906" w:h="16838"/>
          <w:pgMar w:top="1440" w:right="1803" w:bottom="1440" w:left="1803" w:header="851" w:footer="992" w:gutter="0"/>
          <w:cols w:space="720" w:num="1"/>
          <w:docGrid w:type="lines" w:linePitch="319" w:charSpace="0"/>
        </w:sectPr>
      </w:pPr>
    </w:p>
    <w:p>
      <w:pPr>
        <w:pStyle w:val="5"/>
        <w:adjustRightInd w:val="0"/>
        <w:spacing w:line="416" w:lineRule="atLeast"/>
        <w:textAlignment w:val="baseline"/>
        <w:rPr>
          <w:rFonts w:ascii="宋体" w:hAnsi="宋体" w:cs="宋体"/>
        </w:rPr>
      </w:pPr>
      <w:bookmarkStart w:id="99" w:name="_Toc17991"/>
      <w:bookmarkStart w:id="100" w:name="_Toc18633"/>
      <w:bookmarkStart w:id="101" w:name="_Toc20374"/>
      <w:bookmarkStart w:id="102" w:name="_Toc1641"/>
      <w:bookmarkStart w:id="103" w:name="_Toc3008"/>
      <w:bookmarkStart w:id="104" w:name="_Toc2630"/>
      <w:bookmarkStart w:id="105" w:name="_Toc30485"/>
      <w:bookmarkStart w:id="106" w:name="_Toc20088"/>
      <w:bookmarkStart w:id="107" w:name="_Toc11632"/>
      <w:bookmarkStart w:id="108" w:name="_Toc8177"/>
      <w:bookmarkStart w:id="109" w:name="_Toc11215"/>
      <w:bookmarkStart w:id="110" w:name="_Toc30870"/>
      <w:bookmarkStart w:id="111" w:name="_Toc15467"/>
      <w:bookmarkStart w:id="112" w:name="_Toc30536"/>
      <w:bookmarkStart w:id="113" w:name="_Toc13303"/>
      <w:bookmarkStart w:id="114" w:name="_Toc22153"/>
      <w:bookmarkStart w:id="115" w:name="_Toc14361"/>
      <w:r>
        <w:rPr>
          <w:rFonts w:hint="eastAsia" w:ascii="宋体" w:hAnsi="宋体" w:cs="宋体"/>
        </w:rPr>
        <w:t>附件二、中小企业申明</w:t>
      </w:r>
      <w:bookmarkEnd w:id="99"/>
      <w:bookmarkEnd w:id="100"/>
      <w:bookmarkEnd w:id="101"/>
      <w:bookmarkEnd w:id="102"/>
      <w:bookmarkEnd w:id="103"/>
      <w:bookmarkEnd w:id="104"/>
      <w:bookmarkEnd w:id="105"/>
      <w:bookmarkEnd w:id="106"/>
      <w:bookmarkEnd w:id="107"/>
      <w:bookmarkEnd w:id="108"/>
      <w:r>
        <w:rPr>
          <w:rFonts w:hint="eastAsia" w:ascii="宋体" w:hAnsi="宋体" w:cs="宋体"/>
        </w:rPr>
        <w:t>（</w:t>
      </w:r>
      <w:r>
        <w:rPr>
          <w:rFonts w:hint="eastAsia" w:ascii="宋体" w:hAnsi="宋体" w:cs="宋体"/>
          <w:lang w:eastAsia="zh-CN"/>
        </w:rPr>
        <w:t>服务</w:t>
      </w:r>
      <w:r>
        <w:rPr>
          <w:rFonts w:hint="eastAsia" w:ascii="宋体" w:hAnsi="宋体" w:cs="宋体"/>
        </w:rPr>
        <w:t>）</w:t>
      </w:r>
      <w:bookmarkEnd w:id="109"/>
    </w:p>
    <w:p>
      <w:pPr>
        <w:widowControl/>
        <w:spacing w:line="432" w:lineRule="auto"/>
        <w:ind w:firstLine="480" w:firstLineChars="200"/>
        <w:jc w:val="left"/>
        <w:rPr>
          <w:rFonts w:hint="eastAsia" w:ascii="宋体" w:hAnsi="宋体" w:cs="宋体"/>
          <w:sz w:val="24"/>
          <w:szCs w:val="16"/>
        </w:rPr>
      </w:pPr>
      <w:bookmarkStart w:id="116" w:name="_Toc12531"/>
      <w:bookmarkStart w:id="117" w:name="_Toc21117"/>
      <w:bookmarkStart w:id="118" w:name="_Toc7105"/>
      <w:bookmarkStart w:id="119" w:name="_Toc11896"/>
      <w:bookmarkStart w:id="120" w:name="_Toc10807"/>
      <w:bookmarkStart w:id="121" w:name="_Toc32438"/>
      <w:bookmarkStart w:id="122" w:name="_Toc5814"/>
      <w:bookmarkStart w:id="123" w:name="_Toc6022"/>
      <w:r>
        <w:rPr>
          <w:rFonts w:hint="eastAsia" w:ascii="宋体" w:hAnsi="宋体" w:cs="宋体"/>
          <w:sz w:val="24"/>
          <w:szCs w:val="16"/>
        </w:rPr>
        <w:t>本公司（联合体）郑重声明，根据《政府采购促进中小企业发展管理办法》（财库﹝2020﹞46 号）的规定，本公司（联合体）参加</w:t>
      </w:r>
      <w:r>
        <w:rPr>
          <w:rFonts w:hint="eastAsia" w:ascii="宋体" w:hAnsi="宋体" w:cs="宋体"/>
          <w:sz w:val="24"/>
          <w:szCs w:val="16"/>
          <w:u w:val="single"/>
        </w:rPr>
        <w:t>（单位名称）</w:t>
      </w:r>
      <w:r>
        <w:rPr>
          <w:rFonts w:hint="eastAsia" w:ascii="宋体" w:hAnsi="宋体" w:cs="宋体"/>
          <w:sz w:val="24"/>
          <w:szCs w:val="16"/>
        </w:rPr>
        <w:t>的</w:t>
      </w:r>
      <w:r>
        <w:rPr>
          <w:rFonts w:hint="eastAsia" w:ascii="宋体" w:hAnsi="宋体" w:cs="宋体"/>
          <w:sz w:val="24"/>
          <w:szCs w:val="16"/>
          <w:u w:val="single"/>
        </w:rPr>
        <w:t>（项目名称</w:t>
      </w:r>
      <w:r>
        <w:rPr>
          <w:rFonts w:hint="eastAsia" w:ascii="宋体" w:hAnsi="宋体" w:cs="宋体"/>
          <w:sz w:val="24"/>
          <w:szCs w:val="16"/>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1.</w:t>
      </w:r>
      <w:r>
        <w:rPr>
          <w:rFonts w:hint="eastAsia" w:ascii="宋体" w:hAnsi="宋体" w:cs="宋体"/>
          <w:sz w:val="24"/>
          <w:szCs w:val="16"/>
          <w:u w:val="single"/>
        </w:rPr>
        <w:t>（标的名称）</w:t>
      </w:r>
      <w:r>
        <w:rPr>
          <w:rFonts w:hint="eastAsia" w:ascii="宋体" w:hAnsi="宋体" w:cs="宋体"/>
          <w:sz w:val="24"/>
          <w:szCs w:val="16"/>
        </w:rPr>
        <w:t xml:space="preserve"> ，属于</w:t>
      </w:r>
      <w:r>
        <w:rPr>
          <w:rFonts w:hint="eastAsia" w:ascii="宋体" w:hAnsi="宋体" w:cs="宋体"/>
          <w:sz w:val="24"/>
          <w:szCs w:val="16"/>
          <w:u w:val="single"/>
        </w:rPr>
        <w:t>（采购文件中明确的所属行业）</w:t>
      </w:r>
      <w:r>
        <w:rPr>
          <w:rFonts w:hint="eastAsia" w:ascii="宋体" w:hAnsi="宋体" w:cs="宋体"/>
          <w:sz w:val="24"/>
          <w:szCs w:val="16"/>
        </w:rPr>
        <w:t>；承建（承接）企业为</w:t>
      </w:r>
      <w:r>
        <w:rPr>
          <w:rFonts w:hint="eastAsia" w:ascii="宋体" w:hAnsi="宋体" w:cs="宋体"/>
          <w:sz w:val="24"/>
          <w:szCs w:val="16"/>
          <w:u w:val="single"/>
        </w:rPr>
        <w:t>（企业名称）</w:t>
      </w:r>
      <w:r>
        <w:rPr>
          <w:rFonts w:hint="eastAsia" w:ascii="宋体" w:hAnsi="宋体" w:cs="宋体"/>
          <w:sz w:val="24"/>
          <w:szCs w:val="16"/>
        </w:rPr>
        <w:t>，从业人员</w:t>
      </w:r>
      <w:r>
        <w:rPr>
          <w:rFonts w:hint="eastAsia" w:ascii="宋体" w:hAnsi="宋体" w:cs="宋体"/>
          <w:sz w:val="24"/>
          <w:szCs w:val="16"/>
          <w:u w:val="single"/>
        </w:rPr>
        <w:t xml:space="preserve">    </w:t>
      </w:r>
      <w:r>
        <w:rPr>
          <w:rFonts w:hint="eastAsia" w:ascii="宋体" w:hAnsi="宋体" w:cs="宋体"/>
          <w:sz w:val="24"/>
          <w:szCs w:val="16"/>
        </w:rPr>
        <w:t>人，营业收入为</w:t>
      </w:r>
      <w:r>
        <w:rPr>
          <w:rFonts w:hint="eastAsia" w:ascii="宋体" w:hAnsi="宋体" w:cs="宋体"/>
          <w:sz w:val="24"/>
          <w:szCs w:val="16"/>
          <w:u w:val="single"/>
        </w:rPr>
        <w:t xml:space="preserve">    </w:t>
      </w:r>
      <w:r>
        <w:rPr>
          <w:rFonts w:hint="eastAsia" w:ascii="宋体" w:hAnsi="宋体" w:cs="宋体"/>
          <w:sz w:val="24"/>
          <w:szCs w:val="16"/>
        </w:rPr>
        <w:t>万元，资产总额为</w:t>
      </w:r>
      <w:r>
        <w:rPr>
          <w:rFonts w:hint="eastAsia" w:ascii="宋体" w:hAnsi="宋体" w:cs="宋体"/>
          <w:sz w:val="24"/>
          <w:szCs w:val="16"/>
          <w:u w:val="single"/>
        </w:rPr>
        <w:t xml:space="preserve">   </w:t>
      </w:r>
      <w:r>
        <w:rPr>
          <w:rFonts w:hint="eastAsia" w:ascii="宋体" w:hAnsi="宋体" w:cs="宋体"/>
          <w:sz w:val="24"/>
          <w:szCs w:val="16"/>
        </w:rPr>
        <w:t>万元，属于</w:t>
      </w:r>
      <w:r>
        <w:rPr>
          <w:rFonts w:hint="eastAsia" w:ascii="宋体" w:hAnsi="宋体" w:cs="宋体"/>
          <w:sz w:val="24"/>
          <w:szCs w:val="16"/>
          <w:u w:val="single"/>
        </w:rPr>
        <w:t>（中型企业、小型企业、微型企业）</w:t>
      </w:r>
      <w:r>
        <w:rPr>
          <w:rFonts w:hint="eastAsia" w:ascii="宋体" w:hAnsi="宋体" w:cs="宋体"/>
          <w:sz w:val="24"/>
          <w:szCs w:val="16"/>
        </w:rPr>
        <w:t>；</w:t>
      </w: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2.</w:t>
      </w:r>
      <w:r>
        <w:rPr>
          <w:rFonts w:hint="eastAsia" w:ascii="宋体" w:hAnsi="宋体" w:cs="宋体"/>
          <w:sz w:val="24"/>
          <w:szCs w:val="16"/>
          <w:u w:val="single"/>
        </w:rPr>
        <w:t>（标的名称）</w:t>
      </w:r>
      <w:r>
        <w:rPr>
          <w:rFonts w:hint="eastAsia" w:ascii="宋体" w:hAnsi="宋体" w:cs="宋体"/>
          <w:sz w:val="24"/>
          <w:szCs w:val="16"/>
        </w:rPr>
        <w:t xml:space="preserve"> ，属于</w:t>
      </w:r>
      <w:r>
        <w:rPr>
          <w:rFonts w:hint="eastAsia" w:ascii="宋体" w:hAnsi="宋体" w:cs="宋体"/>
          <w:sz w:val="24"/>
          <w:szCs w:val="16"/>
          <w:u w:val="single"/>
        </w:rPr>
        <w:t>（采购文件中明确的所属行业）</w:t>
      </w:r>
      <w:r>
        <w:rPr>
          <w:rFonts w:hint="eastAsia" w:ascii="宋体" w:hAnsi="宋体" w:cs="宋体"/>
          <w:sz w:val="24"/>
          <w:szCs w:val="16"/>
        </w:rPr>
        <w:t>；承建（承接）企业为</w:t>
      </w:r>
      <w:r>
        <w:rPr>
          <w:rFonts w:hint="eastAsia" w:ascii="宋体" w:hAnsi="宋体" w:cs="宋体"/>
          <w:sz w:val="24"/>
          <w:szCs w:val="16"/>
          <w:u w:val="single"/>
        </w:rPr>
        <w:t>（企业名称）</w:t>
      </w:r>
      <w:r>
        <w:rPr>
          <w:rFonts w:hint="eastAsia" w:ascii="宋体" w:hAnsi="宋体" w:cs="宋体"/>
          <w:sz w:val="24"/>
          <w:szCs w:val="16"/>
        </w:rPr>
        <w:t>，从业人员</w:t>
      </w:r>
      <w:r>
        <w:rPr>
          <w:rFonts w:hint="eastAsia" w:ascii="宋体" w:hAnsi="宋体" w:cs="宋体"/>
          <w:sz w:val="24"/>
          <w:szCs w:val="16"/>
          <w:u w:val="single"/>
        </w:rPr>
        <w:t xml:space="preserve">    </w:t>
      </w:r>
      <w:r>
        <w:rPr>
          <w:rFonts w:hint="eastAsia" w:ascii="宋体" w:hAnsi="宋体" w:cs="宋体"/>
          <w:sz w:val="24"/>
          <w:szCs w:val="16"/>
        </w:rPr>
        <w:t>人，营业收入为</w:t>
      </w:r>
      <w:r>
        <w:rPr>
          <w:rFonts w:hint="eastAsia" w:ascii="宋体" w:hAnsi="宋体" w:cs="宋体"/>
          <w:sz w:val="24"/>
          <w:szCs w:val="16"/>
          <w:u w:val="single"/>
        </w:rPr>
        <w:t xml:space="preserve">    </w:t>
      </w:r>
      <w:r>
        <w:rPr>
          <w:rFonts w:hint="eastAsia" w:ascii="宋体" w:hAnsi="宋体" w:cs="宋体"/>
          <w:sz w:val="24"/>
          <w:szCs w:val="16"/>
        </w:rPr>
        <w:t>万元，资产总额为</w:t>
      </w:r>
      <w:r>
        <w:rPr>
          <w:rFonts w:hint="eastAsia" w:ascii="宋体" w:hAnsi="宋体" w:cs="宋体"/>
          <w:sz w:val="24"/>
          <w:szCs w:val="16"/>
          <w:u w:val="single"/>
        </w:rPr>
        <w:t xml:space="preserve">   </w:t>
      </w:r>
      <w:r>
        <w:rPr>
          <w:rFonts w:hint="eastAsia" w:ascii="宋体" w:hAnsi="宋体" w:cs="宋体"/>
          <w:sz w:val="24"/>
          <w:szCs w:val="16"/>
        </w:rPr>
        <w:t>万元，属于</w:t>
      </w:r>
      <w:r>
        <w:rPr>
          <w:rFonts w:hint="eastAsia" w:ascii="宋体" w:hAnsi="宋体" w:cs="宋体"/>
          <w:sz w:val="24"/>
          <w:szCs w:val="16"/>
          <w:u w:val="single"/>
        </w:rPr>
        <w:t>（中型企业、小型企业、微型企业）</w:t>
      </w:r>
      <w:r>
        <w:rPr>
          <w:rFonts w:hint="eastAsia" w:ascii="宋体" w:hAnsi="宋体" w:cs="宋体"/>
          <w:sz w:val="24"/>
          <w:szCs w:val="16"/>
        </w:rPr>
        <w:t>；</w:t>
      </w: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w:t>
      </w: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以上企业，不属于大企业的分支机构，不存在控股股东为大企业的情形，也不存在与大企业的负责人为同一人的情形。</w:t>
      </w: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本企业对上述声明内容的真实性负责。如有虚假，将依法承担相应责任。</w:t>
      </w:r>
    </w:p>
    <w:p>
      <w:pPr>
        <w:widowControl/>
        <w:spacing w:line="432" w:lineRule="auto"/>
        <w:ind w:firstLine="480" w:firstLineChars="200"/>
        <w:jc w:val="right"/>
        <w:rPr>
          <w:rFonts w:hint="eastAsia" w:ascii="宋体" w:hAnsi="宋体" w:cs="宋体"/>
          <w:sz w:val="24"/>
          <w:szCs w:val="16"/>
        </w:rPr>
      </w:pPr>
    </w:p>
    <w:p>
      <w:pPr>
        <w:widowControl/>
        <w:spacing w:line="432" w:lineRule="auto"/>
        <w:ind w:firstLine="480" w:firstLineChars="200"/>
        <w:jc w:val="right"/>
        <w:rPr>
          <w:rFonts w:hint="eastAsia" w:ascii="宋体" w:hAnsi="宋体" w:cs="宋体"/>
          <w:sz w:val="24"/>
          <w:szCs w:val="16"/>
        </w:rPr>
      </w:pPr>
    </w:p>
    <w:p>
      <w:pPr>
        <w:widowControl/>
        <w:spacing w:line="432" w:lineRule="auto"/>
        <w:ind w:firstLine="480" w:firstLineChars="200"/>
        <w:jc w:val="right"/>
        <w:rPr>
          <w:rFonts w:hint="eastAsia" w:ascii="宋体" w:hAnsi="宋体" w:cs="宋体"/>
          <w:sz w:val="24"/>
          <w:szCs w:val="16"/>
        </w:rPr>
      </w:pPr>
      <w:r>
        <w:rPr>
          <w:rFonts w:hint="eastAsia" w:ascii="宋体" w:hAnsi="宋体" w:cs="宋体"/>
          <w:sz w:val="24"/>
          <w:szCs w:val="16"/>
        </w:rPr>
        <w:t>企业名称（盖章）：</w:t>
      </w:r>
    </w:p>
    <w:p>
      <w:pPr>
        <w:rPr>
          <w:rFonts w:hint="eastAsia" w:ascii="宋体" w:hAnsi="宋体" w:cs="宋体"/>
          <w:sz w:val="24"/>
          <w:szCs w:val="16"/>
        </w:rPr>
      </w:pPr>
      <w:r>
        <w:rPr>
          <w:rFonts w:hint="eastAsia" w:ascii="宋体" w:hAnsi="宋体" w:cs="宋体"/>
          <w:sz w:val="24"/>
          <w:szCs w:val="16"/>
        </w:rPr>
        <w:t>日期：</w:t>
      </w:r>
    </w:p>
    <w:p>
      <w:pPr>
        <w:rPr>
          <w:rFonts w:ascii="宋体" w:hAnsi="宋体"/>
          <w:sz w:val="18"/>
        </w:rPr>
      </w:pPr>
      <w:r>
        <w:rPr>
          <w:rFonts w:ascii="仿宋" w:hAnsi="仿宋" w:eastAsia="仿宋"/>
          <w:sz w:val="32"/>
        </w:rPr>
        <w:drawing>
          <wp:anchor distT="0" distB="0" distL="114300" distR="114300" simplePos="0" relativeHeight="251668480" behindDoc="1" locked="0" layoutInCell="0" allowOverlap="1">
            <wp:simplePos x="0" y="0"/>
            <wp:positionH relativeFrom="column">
              <wp:posOffset>0</wp:posOffset>
            </wp:positionH>
            <wp:positionV relativeFrom="paragraph">
              <wp:posOffset>224790</wp:posOffset>
            </wp:positionV>
            <wp:extent cx="1828800" cy="12700"/>
            <wp:effectExtent l="0" t="0" r="0" b="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21"/>
                    <a:stretch>
                      <a:fillRect/>
                    </a:stretch>
                  </pic:blipFill>
                  <pic:spPr>
                    <a:xfrm>
                      <a:off x="0" y="0"/>
                      <a:ext cx="1828800" cy="12700"/>
                    </a:xfrm>
                    <a:prstGeom prst="rect">
                      <a:avLst/>
                    </a:prstGeom>
                    <a:noFill/>
                    <a:ln>
                      <a:noFill/>
                    </a:ln>
                  </pic:spPr>
                </pic:pic>
              </a:graphicData>
            </a:graphic>
          </wp:anchor>
        </w:drawing>
      </w:r>
      <w:r>
        <w:rPr>
          <w:rFonts w:eastAsia="Times New Roman"/>
          <w:sz w:val="23"/>
          <w:vertAlign w:val="superscript"/>
        </w:rPr>
        <w:t>1</w:t>
      </w:r>
      <w:r>
        <w:rPr>
          <w:rFonts w:ascii="宋体" w:hAnsi="宋体"/>
          <w:sz w:val="18"/>
        </w:rPr>
        <w:t>从业人员、营业收入、资产总额填报上一年度数据，无上一年度数据的新成立企业可不填报。</w:t>
      </w:r>
    </w:p>
    <w:p>
      <w:pPr>
        <w:pStyle w:val="6"/>
        <w:outlineLvl w:val="2"/>
        <w:rPr>
          <w:rFonts w:hint="eastAsia" w:ascii="宋体" w:hAnsi="宋体" w:cs="宋体"/>
        </w:rPr>
        <w:sectPr>
          <w:footerReference r:id="rId14" w:type="default"/>
          <w:pgSz w:w="11906" w:h="16838"/>
          <w:pgMar w:top="1440" w:right="1803" w:bottom="1440" w:left="1803" w:header="851" w:footer="992" w:gutter="0"/>
          <w:cols w:space="720" w:num="1"/>
          <w:docGrid w:type="lines" w:linePitch="319" w:charSpace="0"/>
        </w:sectPr>
      </w:pPr>
    </w:p>
    <w:bookmarkEnd w:id="110"/>
    <w:bookmarkEnd w:id="111"/>
    <w:bookmarkEnd w:id="112"/>
    <w:bookmarkEnd w:id="116"/>
    <w:bookmarkEnd w:id="117"/>
    <w:bookmarkEnd w:id="118"/>
    <w:bookmarkEnd w:id="119"/>
    <w:bookmarkEnd w:id="120"/>
    <w:bookmarkEnd w:id="121"/>
    <w:bookmarkEnd w:id="122"/>
    <w:bookmarkEnd w:id="123"/>
    <w:p>
      <w:pPr>
        <w:pStyle w:val="6"/>
        <w:outlineLvl w:val="2"/>
        <w:rPr>
          <w:rFonts w:ascii="宋体" w:hAnsi="宋体" w:cs="宋体"/>
        </w:rPr>
      </w:pPr>
      <w:bookmarkStart w:id="124" w:name="_Toc18884"/>
      <w:r>
        <w:rPr>
          <w:rFonts w:hint="eastAsia" w:ascii="宋体" w:hAnsi="宋体" w:cs="宋体"/>
        </w:rPr>
        <w:t>附件三、残疾人福利性单位声明</w:t>
      </w:r>
      <w:bookmarkEnd w:id="124"/>
    </w:p>
    <w:p>
      <w:pPr>
        <w:spacing w:line="588" w:lineRule="exact"/>
        <w:ind w:firstLine="504" w:firstLineChars="200"/>
        <w:rPr>
          <w:rFonts w:ascii="宋体" w:hAnsi="宋体" w:cs="宋体"/>
          <w:spacing w:val="6"/>
          <w:sz w:val="24"/>
        </w:rPr>
      </w:pPr>
      <w:r>
        <w:rPr>
          <w:rFonts w:hint="eastAsia" w:ascii="宋体" w:hAnsi="宋体" w:cs="宋体"/>
          <w:spacing w:val="6"/>
          <w:sz w:val="24"/>
        </w:rPr>
        <w:t>根据《三部门联合发布关于促进残疾人就业政府采购政策的通知》（财库〔2017〕141号）的规定，由供应商自行申明，并对申明真实性负责。如有虚假，将依法承担相应责任。</w:t>
      </w:r>
    </w:p>
    <w:p>
      <w:pPr>
        <w:rPr>
          <w:rFonts w:ascii="宋体" w:hAnsi="宋体" w:cs="宋体"/>
        </w:rPr>
      </w:pPr>
    </w:p>
    <w:p>
      <w:pPr>
        <w:pStyle w:val="6"/>
        <w:outlineLvl w:val="2"/>
        <w:rPr>
          <w:rFonts w:ascii="宋体" w:hAnsi="宋体" w:cs="宋体"/>
        </w:rPr>
      </w:pPr>
      <w:bookmarkStart w:id="125" w:name="_Toc25235"/>
      <w:bookmarkStart w:id="126" w:name="_Toc26509"/>
      <w:bookmarkStart w:id="127" w:name="_Toc3053"/>
      <w:bookmarkStart w:id="128" w:name="_Toc2723"/>
      <w:r>
        <w:rPr>
          <w:rFonts w:hint="eastAsia" w:ascii="宋体" w:hAnsi="宋体" w:cs="宋体"/>
        </w:rPr>
        <w:t>附件四、监狱企业证明文件</w:t>
      </w:r>
      <w:bookmarkEnd w:id="125"/>
      <w:bookmarkEnd w:id="126"/>
      <w:bookmarkEnd w:id="127"/>
      <w:bookmarkEnd w:id="128"/>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6"/>
        <w:adjustRightInd w:val="0"/>
        <w:spacing w:line="416" w:lineRule="atLeast"/>
        <w:textAlignment w:val="baseline"/>
        <w:outlineLvl w:val="2"/>
        <w:rPr>
          <w:rFonts w:ascii="宋体" w:hAnsi="宋体" w:cs="宋体"/>
        </w:rPr>
      </w:pPr>
      <w:bookmarkStart w:id="129" w:name="_Toc13122"/>
      <w:bookmarkStart w:id="130" w:name="_Toc25479"/>
      <w:bookmarkStart w:id="131" w:name="_Toc2126"/>
      <w:bookmarkStart w:id="132" w:name="_Toc3267"/>
      <w:bookmarkStart w:id="133" w:name="_Toc11969"/>
      <w:bookmarkStart w:id="134" w:name="_Toc19198"/>
      <w:bookmarkStart w:id="135" w:name="_Toc563"/>
      <w:r>
        <w:rPr>
          <w:rFonts w:hint="eastAsia" w:ascii="宋体" w:hAnsi="宋体" w:cs="宋体"/>
        </w:rPr>
        <w:t>附件五、“节能产品”，“环境标志产品”证明材料</w:t>
      </w:r>
      <w:bookmarkEnd w:id="129"/>
      <w:bookmarkEnd w:id="130"/>
      <w:bookmarkEnd w:id="131"/>
      <w:bookmarkEnd w:id="132"/>
      <w:bookmarkEnd w:id="133"/>
      <w:bookmarkEnd w:id="134"/>
      <w:bookmarkEnd w:id="135"/>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1、供应商提供的产品属于“节能产品”，“环境标志产品”，应提供产品列入“节能产品”，“环境标志产品”相应产品的国家确定的认证机构出具的、处于有效期内的节能产品、环境标志产品认证证书。</w:t>
      </w:r>
    </w:p>
    <w:p>
      <w:pPr>
        <w:widowControl/>
        <w:spacing w:line="360" w:lineRule="auto"/>
        <w:ind w:left="420" w:leftChars="200"/>
        <w:rPr>
          <w:rFonts w:ascii="宋体" w:hAnsi="宋体" w:cs="宋体"/>
          <w:sz w:val="24"/>
          <w:szCs w:val="24"/>
        </w:rPr>
      </w:pPr>
      <w:r>
        <w:rPr>
          <w:rFonts w:hint="eastAsia" w:ascii="宋体" w:hAnsi="宋体" w:cs="宋体"/>
          <w:sz w:val="24"/>
          <w:szCs w:val="24"/>
        </w:rPr>
        <w:t>2、未按照上述要求提供的，评审时不予以考虑。</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p>
    <w:p>
      <w:pPr>
        <w:pStyle w:val="5"/>
        <w:adjustRightInd w:val="0"/>
        <w:spacing w:line="416" w:lineRule="atLeast"/>
        <w:textAlignment w:val="baseline"/>
        <w:rPr>
          <w:rFonts w:ascii="宋体" w:hAnsi="宋体" w:cs="宋体"/>
        </w:rPr>
        <w:sectPr>
          <w:footerReference r:id="rId15" w:type="default"/>
          <w:pgSz w:w="11906" w:h="16838"/>
          <w:pgMar w:top="1440" w:right="1803" w:bottom="1440" w:left="1803" w:header="851" w:footer="992" w:gutter="0"/>
          <w:cols w:space="720" w:num="1"/>
          <w:docGrid w:type="lines" w:linePitch="319" w:charSpace="0"/>
        </w:sectPr>
      </w:pPr>
    </w:p>
    <w:p>
      <w:pPr>
        <w:pStyle w:val="5"/>
        <w:rPr>
          <w:rFonts w:ascii="宋体" w:hAnsi="宋体" w:cs="宋体"/>
        </w:rPr>
      </w:pPr>
      <w:bookmarkStart w:id="136" w:name="_Toc26351"/>
      <w:bookmarkStart w:id="137" w:name="_Toc8845"/>
      <w:bookmarkStart w:id="138" w:name="_Toc4414"/>
      <w:bookmarkStart w:id="139" w:name="_Toc23799"/>
      <w:bookmarkStart w:id="140" w:name="_Toc2461"/>
      <w:bookmarkStart w:id="141" w:name="_Toc24855"/>
      <w:r>
        <w:rPr>
          <w:rFonts w:hint="eastAsia" w:ascii="宋体" w:hAnsi="宋体" w:cs="宋体"/>
        </w:rPr>
        <w:t>附件六、质疑函范本</w:t>
      </w:r>
      <w:bookmarkEnd w:id="136"/>
      <w:bookmarkEnd w:id="137"/>
      <w:bookmarkEnd w:id="138"/>
      <w:bookmarkEnd w:id="139"/>
      <w:bookmarkEnd w:id="140"/>
      <w:bookmarkEnd w:id="141"/>
    </w:p>
    <w:p>
      <w:pPr>
        <w:widowControl/>
        <w:spacing w:line="360" w:lineRule="auto"/>
        <w:ind w:left="420" w:leftChars="200"/>
        <w:rPr>
          <w:rFonts w:ascii="宋体" w:hAnsi="宋体" w:cs="宋体"/>
          <w:sz w:val="24"/>
          <w:szCs w:val="24"/>
        </w:rPr>
      </w:pPr>
      <w:r>
        <w:rPr>
          <w:rFonts w:hint="eastAsia" w:ascii="宋体" w:hAnsi="宋体" w:cs="宋体"/>
          <w:sz w:val="24"/>
          <w:szCs w:val="24"/>
        </w:rPr>
        <w:t>一、质疑供应商基本信息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rPr>
          <w:rFonts w:ascii="宋体" w:hAnsi="宋体" w:cs="宋体"/>
        </w:rPr>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pPr>
        <w:pStyle w:val="5"/>
        <w:adjustRightInd w:val="0"/>
        <w:spacing w:line="416" w:lineRule="atLeast"/>
        <w:jc w:val="both"/>
        <w:textAlignment w:val="baseline"/>
        <w:rPr>
          <w:rFonts w:ascii="宋体" w:hAnsi="宋体" w:cs="宋体"/>
        </w:rPr>
        <w:sectPr>
          <w:pgSz w:w="11906" w:h="16838"/>
          <w:pgMar w:top="1440" w:right="1803" w:bottom="1440" w:left="1803" w:header="851" w:footer="992" w:gutter="0"/>
          <w:cols w:space="720" w:num="1"/>
          <w:docGrid w:type="lines" w:linePitch="319" w:charSpace="0"/>
        </w:sectPr>
      </w:pPr>
    </w:p>
    <w:p>
      <w:pPr>
        <w:pStyle w:val="5"/>
        <w:adjustRightInd w:val="0"/>
        <w:spacing w:line="416" w:lineRule="atLeast"/>
        <w:jc w:val="left"/>
        <w:textAlignment w:val="baseline"/>
        <w:rPr>
          <w:rFonts w:ascii="宋体" w:hAnsi="宋体" w:cs="宋体"/>
        </w:rPr>
      </w:pPr>
      <w:bookmarkStart w:id="142" w:name="_Toc10196"/>
      <w:r>
        <w:rPr>
          <w:rFonts w:hint="eastAsia" w:ascii="宋体" w:hAnsi="宋体" w:cs="宋体"/>
        </w:rPr>
        <w:t>附件</w:t>
      </w:r>
      <w:bookmarkEnd w:id="113"/>
      <w:bookmarkEnd w:id="114"/>
      <w:r>
        <w:rPr>
          <w:rFonts w:hint="eastAsia" w:ascii="宋体" w:hAnsi="宋体" w:cs="宋体"/>
        </w:rPr>
        <w:t>七、保证金退还账户信息确认表</w:t>
      </w:r>
      <w:bookmarkEnd w:id="115"/>
      <w:bookmarkEnd w:id="142"/>
      <w:bookmarkStart w:id="143" w:name="_Toc378248335"/>
    </w:p>
    <w:p>
      <w:pPr>
        <w:rPr>
          <w:rFonts w:ascii="宋体" w:hAnsi="宋体" w:eastAsia="宋体" w:cs="宋体"/>
        </w:rPr>
      </w:pPr>
    </w:p>
    <w:bookmarkEnd w:id="0"/>
    <w:bookmarkEnd w:id="143"/>
    <w:p>
      <w:pPr>
        <w:outlineLvl w:val="9"/>
        <w:rPr>
          <w:rFonts w:ascii="宋体" w:hAnsi="宋体" w:cs="宋体"/>
          <w:sz w:val="28"/>
          <w:szCs w:val="28"/>
        </w:rPr>
      </w:pPr>
      <w:bookmarkStart w:id="144" w:name="_Toc27416"/>
      <w:r>
        <w:rPr>
          <w:rFonts w:hint="eastAsia" w:ascii="宋体" w:hAnsi="宋体" w:cs="宋体"/>
          <w:sz w:val="28"/>
          <w:szCs w:val="28"/>
        </w:rPr>
        <w:t>项目名称：</w:t>
      </w:r>
      <w:r>
        <w:rPr>
          <w:rFonts w:hint="eastAsia" w:ascii="宋体" w:hAnsi="宋体" w:cs="宋体"/>
          <w:kern w:val="0"/>
          <w:sz w:val="24"/>
          <w:szCs w:val="24"/>
        </w:rPr>
        <w:t>_____________________________</w:t>
      </w:r>
      <w:bookmarkEnd w:id="144"/>
    </w:p>
    <w:p>
      <w:pPr>
        <w:tabs>
          <w:tab w:val="center" w:pos="4150"/>
        </w:tabs>
        <w:outlineLvl w:val="9"/>
        <w:rPr>
          <w:rFonts w:hint="eastAsia" w:ascii="宋体" w:hAnsi="宋体" w:cs="宋体"/>
          <w:sz w:val="28"/>
          <w:szCs w:val="28"/>
        </w:rPr>
      </w:pPr>
      <w:bookmarkStart w:id="145" w:name="_Toc14801"/>
      <w:r>
        <w:rPr>
          <w:rFonts w:hint="eastAsia" w:ascii="宋体" w:hAnsi="宋体" w:cs="宋体"/>
          <w:sz w:val="28"/>
          <w:szCs w:val="28"/>
        </w:rPr>
        <w:t>项目编号：</w:t>
      </w:r>
      <w:r>
        <w:rPr>
          <w:rFonts w:hint="eastAsia" w:ascii="宋体" w:hAnsi="宋体" w:cs="宋体"/>
          <w:kern w:val="0"/>
          <w:sz w:val="24"/>
          <w:szCs w:val="24"/>
        </w:rPr>
        <w:t>_____________________________</w:t>
      </w:r>
      <w:bookmarkEnd w:id="145"/>
      <w:r>
        <w:rPr>
          <w:rFonts w:hint="eastAsia" w:ascii="宋体" w:hAnsi="宋体" w:cs="宋体"/>
          <w:sz w:val="28"/>
          <w:szCs w:val="28"/>
        </w:rPr>
        <w:tab/>
      </w:r>
    </w:p>
    <w:p>
      <w:pPr>
        <w:pStyle w:val="20"/>
      </w:pPr>
    </w:p>
    <w:tbl>
      <w:tblPr>
        <w:tblStyle w:val="22"/>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noWrap w:val="0"/>
            <w:vAlign w:val="center"/>
          </w:tcPr>
          <w:p>
            <w:pPr>
              <w:jc w:val="center"/>
              <w:rPr>
                <w:rFonts w:ascii="宋体" w:hAnsi="宋体" w:cs="宋体"/>
                <w:sz w:val="24"/>
                <w:szCs w:val="24"/>
              </w:rPr>
            </w:pPr>
            <w:r>
              <w:rPr>
                <w:rFonts w:hint="eastAsia" w:ascii="宋体" w:hAnsi="宋体" w:cs="宋体"/>
                <w:sz w:val="24"/>
                <w:szCs w:val="24"/>
              </w:rPr>
              <w:t>应退投标保证金</w:t>
            </w:r>
          </w:p>
        </w:tc>
        <w:tc>
          <w:tcPr>
            <w:tcW w:w="6372" w:type="dxa"/>
            <w:gridSpan w:val="2"/>
            <w:noWrap w:val="0"/>
            <w:vAlign w:val="top"/>
          </w:tcPr>
          <w:p>
            <w:pPr>
              <w:rPr>
                <w:rFonts w:ascii="宋体" w:hAnsi="宋体" w:cs="宋体"/>
                <w:sz w:val="24"/>
                <w:szCs w:val="24"/>
              </w:rPr>
            </w:pPr>
            <w:r>
              <w:rPr>
                <w:rFonts w:hint="eastAsia" w:ascii="宋体" w:hAnsi="宋体" w:cs="宋体"/>
                <w:sz w:val="24"/>
                <w:szCs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noWrap w:val="0"/>
            <w:vAlign w:val="top"/>
          </w:tcPr>
          <w:p>
            <w:pPr>
              <w:rPr>
                <w:rFonts w:ascii="宋体" w:hAnsi="宋体" w:cs="宋体"/>
                <w:sz w:val="24"/>
                <w:szCs w:val="24"/>
              </w:rPr>
            </w:pPr>
          </w:p>
        </w:tc>
        <w:tc>
          <w:tcPr>
            <w:tcW w:w="6372" w:type="dxa"/>
            <w:gridSpan w:val="2"/>
            <w:noWrap w:val="0"/>
            <w:vAlign w:val="top"/>
          </w:tcPr>
          <w:p>
            <w:pPr>
              <w:rPr>
                <w:rFonts w:ascii="宋体" w:hAnsi="宋体" w:cs="宋体"/>
                <w:sz w:val="24"/>
                <w:szCs w:val="24"/>
              </w:rPr>
            </w:pPr>
            <w:r>
              <w:rPr>
                <w:rFonts w:hint="eastAsia" w:ascii="宋体" w:hAnsi="宋体" w:cs="宋体"/>
                <w:sz w:val="24"/>
                <w:szCs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noWrap w:val="0"/>
            <w:vAlign w:val="center"/>
          </w:tcPr>
          <w:p>
            <w:pPr>
              <w:rPr>
                <w:rFonts w:ascii="宋体" w:hAnsi="宋体" w:cs="宋体"/>
              </w:rPr>
            </w:pPr>
            <w:r>
              <w:rPr>
                <w:rFonts w:hint="eastAsia" w:ascii="宋体" w:hAnsi="宋体" w:cs="宋体"/>
              </w:rPr>
              <w:t>收款单位（盖章）</w:t>
            </w:r>
          </w:p>
        </w:tc>
        <w:tc>
          <w:tcPr>
            <w:tcW w:w="2370" w:type="dxa"/>
            <w:noWrap w:val="0"/>
            <w:vAlign w:val="center"/>
          </w:tcPr>
          <w:p>
            <w:pPr>
              <w:jc w:val="center"/>
              <w:rPr>
                <w:rFonts w:ascii="宋体" w:hAnsi="宋体" w:cs="宋体"/>
                <w:sz w:val="24"/>
                <w:szCs w:val="24"/>
              </w:rPr>
            </w:pPr>
            <w:r>
              <w:rPr>
                <w:rFonts w:hint="eastAsia" w:ascii="宋体" w:hAnsi="宋体" w:cs="宋体"/>
                <w:sz w:val="24"/>
                <w:szCs w:val="24"/>
              </w:rPr>
              <w:t>单  位 名 称</w:t>
            </w:r>
          </w:p>
        </w:tc>
        <w:tc>
          <w:tcPr>
            <w:tcW w:w="4002" w:type="dxa"/>
            <w:noWrap w:val="0"/>
            <w:vAlign w:val="top"/>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noWrap w:val="0"/>
            <w:vAlign w:val="top"/>
          </w:tcPr>
          <w:p>
            <w:pPr>
              <w:rPr>
                <w:rFonts w:ascii="宋体" w:hAnsi="宋体" w:cs="宋体"/>
                <w:sz w:val="24"/>
                <w:szCs w:val="24"/>
              </w:rPr>
            </w:pPr>
          </w:p>
        </w:tc>
        <w:tc>
          <w:tcPr>
            <w:tcW w:w="2370" w:type="dxa"/>
            <w:noWrap w:val="0"/>
            <w:vAlign w:val="center"/>
          </w:tcPr>
          <w:p>
            <w:pPr>
              <w:jc w:val="center"/>
              <w:rPr>
                <w:rFonts w:ascii="宋体" w:hAnsi="宋体" w:cs="宋体"/>
                <w:sz w:val="24"/>
                <w:szCs w:val="24"/>
              </w:rPr>
            </w:pPr>
            <w:r>
              <w:rPr>
                <w:rFonts w:hint="eastAsia" w:ascii="宋体" w:hAnsi="宋体" w:cs="宋体"/>
                <w:sz w:val="24"/>
                <w:szCs w:val="24"/>
              </w:rPr>
              <w:t>开   户   行</w:t>
            </w:r>
          </w:p>
        </w:tc>
        <w:tc>
          <w:tcPr>
            <w:tcW w:w="4002" w:type="dxa"/>
            <w:noWrap w:val="0"/>
            <w:vAlign w:val="top"/>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noWrap w:val="0"/>
            <w:vAlign w:val="top"/>
          </w:tcPr>
          <w:p>
            <w:pPr>
              <w:rPr>
                <w:rFonts w:ascii="宋体" w:hAnsi="宋体" w:cs="宋体"/>
                <w:sz w:val="24"/>
                <w:szCs w:val="24"/>
              </w:rPr>
            </w:pPr>
          </w:p>
        </w:tc>
        <w:tc>
          <w:tcPr>
            <w:tcW w:w="2370" w:type="dxa"/>
            <w:noWrap w:val="0"/>
            <w:vAlign w:val="center"/>
          </w:tcPr>
          <w:p>
            <w:pPr>
              <w:jc w:val="center"/>
              <w:rPr>
                <w:rFonts w:ascii="宋体" w:hAnsi="宋体" w:cs="宋体"/>
                <w:sz w:val="24"/>
                <w:szCs w:val="24"/>
              </w:rPr>
            </w:pPr>
            <w:r>
              <w:rPr>
                <w:rFonts w:hint="eastAsia" w:ascii="宋体" w:hAnsi="宋体" w:cs="宋体"/>
                <w:sz w:val="24"/>
                <w:szCs w:val="24"/>
              </w:rPr>
              <w:t>账        号</w:t>
            </w:r>
          </w:p>
        </w:tc>
        <w:tc>
          <w:tcPr>
            <w:tcW w:w="4002" w:type="dxa"/>
            <w:noWrap w:val="0"/>
            <w:vAlign w:val="top"/>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noWrap w:val="0"/>
            <w:vAlign w:val="top"/>
          </w:tcPr>
          <w:p>
            <w:pPr>
              <w:rPr>
                <w:rFonts w:ascii="宋体" w:hAnsi="宋体" w:cs="宋体"/>
                <w:sz w:val="24"/>
                <w:szCs w:val="24"/>
              </w:rPr>
            </w:pPr>
          </w:p>
        </w:tc>
        <w:tc>
          <w:tcPr>
            <w:tcW w:w="2370" w:type="dxa"/>
            <w:noWrap w:val="0"/>
            <w:vAlign w:val="center"/>
          </w:tcPr>
          <w:p>
            <w:pPr>
              <w:jc w:val="center"/>
              <w:rPr>
                <w:rFonts w:ascii="宋体" w:hAnsi="宋体" w:cs="宋体"/>
                <w:sz w:val="24"/>
                <w:szCs w:val="24"/>
              </w:rPr>
            </w:pPr>
            <w:r>
              <w:rPr>
                <w:rFonts w:hint="eastAsia" w:ascii="宋体" w:hAnsi="宋体" w:cs="宋体"/>
                <w:sz w:val="24"/>
                <w:szCs w:val="24"/>
              </w:rPr>
              <w:t>联系人及电话</w:t>
            </w:r>
          </w:p>
        </w:tc>
        <w:tc>
          <w:tcPr>
            <w:tcW w:w="4002" w:type="dxa"/>
            <w:noWrap w:val="0"/>
            <w:vAlign w:val="top"/>
          </w:tcPr>
          <w:p>
            <w:pPr>
              <w:rPr>
                <w:rFonts w:ascii="宋体" w:hAnsi="宋体" w:cs="宋体"/>
                <w:sz w:val="24"/>
                <w:szCs w:val="24"/>
              </w:rPr>
            </w:pPr>
          </w:p>
        </w:tc>
      </w:tr>
    </w:tbl>
    <w:p>
      <w:pPr>
        <w:keepNext/>
        <w:keepLines/>
        <w:adjustRightInd w:val="0"/>
        <w:spacing w:line="416" w:lineRule="atLeast"/>
        <w:textAlignment w:val="baseline"/>
        <w:rPr>
          <w:rFonts w:ascii="宋体" w:hAnsi="宋体" w:cs="宋体"/>
          <w:b/>
          <w:bCs/>
          <w:sz w:val="24"/>
          <w:szCs w:val="24"/>
        </w:rPr>
      </w:pPr>
      <w:r>
        <w:rPr>
          <w:rFonts w:hint="eastAsia" w:ascii="宋体" w:hAnsi="宋体" w:cs="宋体"/>
          <w:b/>
          <w:bCs/>
          <w:sz w:val="24"/>
          <w:szCs w:val="24"/>
        </w:rPr>
        <w:t>注：单位公章需清晰完整。（仅作为退还保证金时使用，需单独提供）</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供应商可在开标当天将保证金退还账户信息确认表与保证金汇款凭证复印件加盖公章一并交给工作人员，当天未提交保证金退还账户信息确认表与保证金汇款凭证复印件加盖公章的供应商，在开标后自行找财务办理保证金退还手续。</w:t>
      </w:r>
    </w:p>
    <w:p>
      <w:pPr>
        <w:ind w:firstLine="819" w:firstLineChars="100"/>
        <w:jc w:val="left"/>
        <w:rPr>
          <w:rFonts w:hint="eastAsia" w:ascii="宋体" w:hAnsi="宋体" w:cs="宋体"/>
          <w:b/>
          <w:spacing w:val="48"/>
          <w:sz w:val="72"/>
          <w:szCs w:val="72"/>
        </w:rPr>
        <w:sectPr>
          <w:headerReference r:id="rId16" w:type="default"/>
          <w:footerReference r:id="rId17" w:type="default"/>
          <w:pgSz w:w="11906" w:h="16838"/>
          <w:pgMar w:top="1440" w:right="1803" w:bottom="1440" w:left="1803" w:header="851" w:footer="992" w:gutter="0"/>
          <w:cols w:space="720" w:num="1"/>
          <w:docGrid w:type="lines" w:linePitch="319" w:charSpace="0"/>
        </w:sectPr>
      </w:pPr>
    </w:p>
    <w:p>
      <w:pPr>
        <w:ind w:firstLine="819" w:firstLineChars="100"/>
        <w:jc w:val="left"/>
        <w:rPr>
          <w:rFonts w:ascii="宋体" w:cs="宋体"/>
          <w:b/>
          <w:spacing w:val="48"/>
          <w:sz w:val="72"/>
          <w:szCs w:val="72"/>
        </w:rPr>
      </w:pPr>
      <w:r>
        <w:rPr>
          <w:rFonts w:hint="eastAsia" w:ascii="宋体" w:hAnsi="宋体" w:cs="宋体"/>
          <w:b/>
          <w:spacing w:val="48"/>
          <w:sz w:val="72"/>
          <w:szCs w:val="72"/>
        </w:rPr>
        <w:t>公平       公正</w:t>
      </w:r>
    </w:p>
    <w:p>
      <w:pPr>
        <w:jc w:val="left"/>
        <w:rPr>
          <w:rFonts w:ascii="宋体" w:cs="宋体"/>
          <w:b/>
          <w:spacing w:val="48"/>
          <w:sz w:val="72"/>
          <w:szCs w:val="72"/>
        </w:rPr>
      </w:pPr>
    </w:p>
    <w:p>
      <w:pPr>
        <w:rPr>
          <w:rFonts w:ascii="宋体" w:cs="宋体"/>
          <w:spacing w:val="48"/>
          <w:sz w:val="72"/>
          <w:szCs w:val="72"/>
        </w:rPr>
      </w:pPr>
    </w:p>
    <w:p/>
    <w:p>
      <w:pPr>
        <w:ind w:firstLine="819" w:firstLineChars="100"/>
        <w:rPr>
          <w:rFonts w:ascii="宋体" w:hAnsi="宋体" w:cs="宋体"/>
          <w:b/>
          <w:spacing w:val="48"/>
          <w:sz w:val="72"/>
          <w:szCs w:val="72"/>
        </w:rPr>
      </w:pPr>
      <w:r>
        <w:rPr>
          <w:rFonts w:hint="eastAsia" w:ascii="宋体" w:hAnsi="宋体" w:cs="宋体"/>
          <w:b/>
          <w:spacing w:val="48"/>
          <w:sz w:val="72"/>
          <w:szCs w:val="72"/>
        </w:rPr>
        <w:t>专业       高效</w:t>
      </w:r>
    </w:p>
    <w:p>
      <w:pPr>
        <w:rPr>
          <w:rFonts w:ascii="宋体" w:hAnsi="宋体" w:cs="宋体"/>
          <w:spacing w:val="48"/>
          <w:sz w:val="72"/>
          <w:szCs w:val="72"/>
        </w:rPr>
      </w:pPr>
    </w:p>
    <w:p>
      <w:pPr>
        <w:rPr>
          <w:rFonts w:ascii="宋体" w:hAnsi="宋体" w:cs="宋体"/>
          <w:spacing w:val="48"/>
          <w:sz w:val="72"/>
          <w:szCs w:val="72"/>
        </w:rPr>
      </w:pPr>
    </w:p>
    <w:p>
      <w:pPr>
        <w:pStyle w:val="10"/>
        <w:rPr>
          <w:rFonts w:ascii="宋体" w:hAnsi="宋体" w:cs="宋体"/>
          <w:spacing w:val="48"/>
          <w:sz w:val="72"/>
          <w:szCs w:val="72"/>
        </w:rPr>
      </w:pPr>
    </w:p>
    <w:p>
      <w:pPr>
        <w:rPr>
          <w:rFonts w:ascii="宋体" w:hAnsi="宋体" w:cs="宋体"/>
          <w:spacing w:val="48"/>
          <w:sz w:val="72"/>
          <w:szCs w:val="72"/>
        </w:rPr>
      </w:pPr>
    </w:p>
    <w:p>
      <w:pPr>
        <w:pStyle w:val="10"/>
        <w:rPr>
          <w:rFonts w:ascii="宋体" w:hAnsi="宋体" w:cs="宋体"/>
          <w:spacing w:val="48"/>
          <w:sz w:val="72"/>
          <w:szCs w:val="72"/>
        </w:rPr>
      </w:pPr>
    </w:p>
    <w:p/>
    <w:p/>
    <w:p>
      <w:pPr>
        <w:pStyle w:val="7"/>
        <w:rPr>
          <w:rFonts w:hint="default"/>
        </w:rPr>
      </w:pPr>
    </w:p>
    <w:p/>
    <w:p>
      <w:pPr>
        <w:rPr>
          <w:rFonts w:ascii="宋体" w:cs="宋体"/>
          <w:b/>
          <w:sz w:val="30"/>
          <w:szCs w:val="30"/>
        </w:rPr>
      </w:pPr>
      <w:r>
        <w:rPr>
          <w:rFonts w:hint="eastAsia" w:ascii="宋体" w:hAnsi="宋体" w:cs="宋体"/>
          <w:b/>
          <w:sz w:val="30"/>
          <w:szCs w:val="30"/>
        </w:rPr>
        <w:t>企业名称：陕西卓佲项目管理有限公司</w:t>
      </w:r>
    </w:p>
    <w:p>
      <w:pPr>
        <w:rPr>
          <w:rFonts w:ascii="宋体" w:cs="宋体"/>
          <w:b/>
          <w:sz w:val="30"/>
          <w:szCs w:val="30"/>
        </w:rPr>
      </w:pPr>
      <w:r>
        <w:rPr>
          <w:rFonts w:hint="eastAsia" w:ascii="宋体" w:hAnsi="宋体" w:cs="宋体"/>
          <w:b/>
          <w:sz w:val="30"/>
          <w:szCs w:val="30"/>
        </w:rPr>
        <w:t>地址：西安市雁塔区科技路十号华奥大厦A座2002室</w:t>
      </w:r>
    </w:p>
    <w:p>
      <w:pPr>
        <w:rPr>
          <w:rFonts w:ascii="宋体" w:cs="宋体"/>
          <w:b/>
          <w:sz w:val="30"/>
          <w:szCs w:val="30"/>
        </w:rPr>
      </w:pPr>
      <w:r>
        <w:rPr>
          <w:rFonts w:hint="eastAsia" w:ascii="宋体" w:hAnsi="宋体" w:cs="宋体"/>
          <w:b/>
          <w:sz w:val="30"/>
          <w:szCs w:val="30"/>
        </w:rPr>
        <w:t>邮政编码：</w:t>
      </w:r>
      <w:r>
        <w:rPr>
          <w:rFonts w:ascii="宋体" w:hAnsi="宋体" w:cs="宋体"/>
          <w:b/>
          <w:sz w:val="30"/>
          <w:szCs w:val="30"/>
        </w:rPr>
        <w:t>7100</w:t>
      </w:r>
      <w:r>
        <w:rPr>
          <w:rFonts w:hint="eastAsia" w:ascii="宋体" w:hAnsi="宋体" w:cs="宋体"/>
          <w:b/>
          <w:sz w:val="30"/>
          <w:szCs w:val="30"/>
        </w:rPr>
        <w:t>65</w:t>
      </w:r>
    </w:p>
    <w:p>
      <w:pPr>
        <w:rPr>
          <w:rFonts w:ascii="宋体" w:cs="宋体"/>
          <w:b/>
          <w:sz w:val="30"/>
          <w:szCs w:val="30"/>
        </w:rPr>
      </w:pPr>
      <w:r>
        <w:rPr>
          <w:rFonts w:hint="eastAsia" w:ascii="宋体" w:hAnsi="宋体" w:cs="宋体"/>
          <w:b/>
          <w:sz w:val="30"/>
          <w:szCs w:val="30"/>
        </w:rPr>
        <w:t>电话：029-88440695</w:t>
      </w:r>
    </w:p>
    <w:p>
      <w:pPr>
        <w:rPr>
          <w:rFonts w:ascii="宋体" w:hAnsi="宋体" w:eastAsia="宋体" w:cs="宋体"/>
        </w:rPr>
      </w:pPr>
      <w:r>
        <w:rPr>
          <w:rFonts w:hint="eastAsia" w:ascii="宋体" w:hAnsi="宋体" w:cs="宋体"/>
          <w:b/>
          <w:sz w:val="30"/>
          <w:szCs w:val="30"/>
        </w:rPr>
        <w:t>传真：029-88440695</w:t>
      </w:r>
    </w:p>
    <w:sectPr>
      <w:footerReference r:id="rId18"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cs="宋体"/>
      </w:rPr>
    </w:pPr>
    <w:r>
      <w:rPr>
        <w:rFonts w:hint="eastAsia" w:ascii="宋体" w:hAnsi="宋体" w:cs="宋体"/>
      </w:rPr>
      <w:t>陕西卓佲项目管理有限公司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cs="宋体"/>
      </w:rPr>
    </w:pPr>
    <w:r>
      <w:rPr>
        <w:rFonts w:ascii="宋体" w:cs="宋体"/>
      </w:rPr>
      <w:tab/>
    </w:r>
    <w:r>
      <w:rPr>
        <w:rFonts w:ascii="宋体" w:cs="宋体"/>
      </w:rPr>
      <w:tab/>
    </w: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8426"/>
      </w:tabs>
      <w:rPr>
        <w:rFonts w:ascii="宋体" w:hAnsi="宋体" w:cs="宋体"/>
      </w:rPr>
    </w:pPr>
    <w:r>
      <w:rPr>
        <w:rFonts w:hint="eastAsia" w:ascii="宋体" w:hAnsi="宋体" w:cs="宋体"/>
      </w:rPr>
      <w:tab/>
    </w:r>
    <w:r>
      <w:rPr>
        <w:rFonts w:hint="eastAsia" w:ascii="宋体" w:hAnsi="宋体" w:cs="宋体"/>
      </w:rPr>
      <w:tab/>
    </w:r>
    <w:r>
      <w:rPr>
        <w:rFonts w:hint="eastAsia" w:ascii="宋体" w:hAnsi="宋体" w:cs="宋体"/>
      </w:rPr>
      <w:t>陕西卓佲项目管理有限公司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w:t>
                    </w:r>
                  </w:p>
                </w:txbxContent>
              </v:textbox>
            </v:shape>
          </w:pict>
        </mc:Fallback>
      </mc:AlternateContent>
    </w:r>
    <w:r>
      <w:rPr>
        <w:rFonts w:hint="eastAsia" w:ascii="宋体" w:hAnsi="宋体" w:cs="宋体"/>
      </w:rPr>
      <w:t>陕西卓佲项目管理有限公司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v:textbox>
            </v:shape>
          </w:pict>
        </mc:Fallback>
      </mc:AlternateContent>
    </w:r>
    <w:r>
      <w:rPr>
        <w:rFonts w:hint="eastAsia" w:ascii="宋体" w:hAnsi="宋体" w:cs="宋体"/>
      </w:rPr>
      <w:t>陕西卓佲项目管理有限公司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cs="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t xml:space="preserve">第 </w:t>
                          </w:r>
                          <w:r>
                            <w:fldChar w:fldCharType="begin"/>
                          </w:r>
                          <w:r>
                            <w:instrText xml:space="preserve"> PAGE  \* MERGEFORMAT </w:instrText>
                          </w:r>
                          <w:r>
                            <w:fldChar w:fldCharType="separate"/>
                          </w:r>
                          <w:r>
                            <w:t>112</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CNFMcBAACd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hCNFMcBAACdAwAADgAAAAAAAAABACAAAAAeAQAAZHJzL2Uyb0RvYy54&#10;bWxQSwUGAAAAAAYABgBZAQAAVw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112</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r>
                      <w:rPr>
                        <w:rFonts w:hint="eastAsia"/>
                        <w:sz w:val="18"/>
                      </w:rP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cs="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r>
                      <w:rPr>
                        <w:rFonts w:hint="eastAsia"/>
                        <w:sz w:val="18"/>
                      </w:rP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陕西卓佲项目管理有限公司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hAnsi="宋体" w:cs="宋体"/>
        <w:u w:val="single"/>
      </w:rPr>
    </w:pPr>
    <w:r>
      <w:rPr>
        <w:rFonts w:hint="eastAsia" w:ascii="宋体" w:hAnsi="宋体" w:cs="宋体"/>
        <w:sz w:val="15"/>
        <w:szCs w:val="15"/>
        <w:u w:val="single"/>
        <w:lang w:eastAsia="zh-CN"/>
      </w:rPr>
      <w:t>西安科技大学ACS数据库、ElsevierScienceDirect数据库、SCIE数据库服务采购项目（二次）</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r>
      <w:rPr>
        <w:rFonts w:hint="eastAsia" w:ascii="宋体" w:hAnsi="宋体" w:cs="宋体"/>
        <w:sz w:val="15"/>
        <w:szCs w:val="15"/>
        <w:u w:val="single"/>
        <w:lang w:eastAsia="zh-CN"/>
      </w:rPr>
      <w:t>ZMZB2022XKD-64R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lang w:eastAsia="zh-CN"/>
      </w:rPr>
      <w:t>西安科技大学ACS数据库、ElsevierScienceDirect数据库、SCIE数据库服务采购项目（二次）</w:t>
    </w:r>
    <w:r>
      <w:rPr>
        <w:rFonts w:hint="eastAsia" w:ascii="宋体" w:hAnsi="宋体" w:cs="宋体"/>
        <w:sz w:val="15"/>
        <w:szCs w:val="15"/>
        <w:u w:val="single"/>
      </w:rPr>
      <w:t xml:space="preserve">                                                    </w:t>
    </w:r>
    <w:r>
      <w:rPr>
        <w:rFonts w:hint="eastAsia" w:ascii="宋体" w:hAnsi="宋体" w:cs="宋体"/>
        <w:sz w:val="15"/>
        <w:szCs w:val="15"/>
        <w:u w:val="single"/>
        <w:lang w:eastAsia="zh-CN"/>
      </w:rPr>
      <w:t>ZMZB2022XKD-64R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hAnsi="宋体" w:cs="宋体"/>
        <w:u w:val="single"/>
      </w:rPr>
    </w:pPr>
    <w:r>
      <w:rPr>
        <w:rFonts w:hint="eastAsia" w:ascii="宋体" w:hAnsi="宋体" w:cs="宋体"/>
        <w:sz w:val="15"/>
        <w:szCs w:val="15"/>
        <w:u w:val="single"/>
        <w:lang w:eastAsia="zh-CN"/>
      </w:rPr>
      <w:t>西安科技大学ACS数据库、ElsevierScienceDirect数据库、SCIE数据库服务采购项目（二次）</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r>
      <w:rPr>
        <w:rFonts w:hint="eastAsia" w:ascii="宋体" w:hAnsi="宋体" w:cs="宋体"/>
        <w:sz w:val="15"/>
        <w:szCs w:val="15"/>
        <w:u w:val="single"/>
        <w:lang w:eastAsia="zh-CN"/>
      </w:rPr>
      <w:t>ZMZB2022XKD-64R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lang w:eastAsia="zh-CN"/>
      </w:rPr>
    </w:pPr>
    <w:r>
      <w:rPr>
        <w:rFonts w:hint="eastAsia" w:ascii="宋体" w:hAnsi="宋体" w:cs="宋体"/>
        <w:sz w:val="15"/>
        <w:szCs w:val="15"/>
        <w:u w:val="single"/>
        <w:lang w:eastAsia="zh-CN"/>
      </w:rPr>
      <w:t>西安科技大学ACS数据库、ElsevierScienceDirect数据库、SCIE数据库服务采购项目（二次）</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r>
      <w:rPr>
        <w:rFonts w:hint="eastAsia" w:ascii="宋体" w:hAnsi="宋体" w:cs="宋体"/>
        <w:sz w:val="15"/>
        <w:szCs w:val="15"/>
        <w:u w:val="single"/>
        <w:lang w:eastAsia="zh-CN"/>
      </w:rPr>
      <w:t>ZMZB2022XKD-64R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lang w:eastAsia="zh-CN"/>
      </w:rPr>
      <w:t>西安科技大学ACS数据库、ElsevierScienceDirect数据库、SCIE数据库服务采购项目（二次）</w:t>
    </w:r>
    <w:r>
      <w:rPr>
        <w:rFonts w:hint="eastAsia" w:ascii="宋体" w:hAnsi="宋体" w:cs="宋体"/>
        <w:sz w:val="15"/>
        <w:szCs w:val="15"/>
        <w:u w:val="single"/>
      </w:rPr>
      <w:t xml:space="preserve">               </w:t>
    </w:r>
    <w:r>
      <w:rPr>
        <w:rFonts w:hint="eastAsia" w:ascii="宋体" w:hAnsi="宋体" w:cs="宋体"/>
        <w:sz w:val="15"/>
        <w:szCs w:val="15"/>
        <w:u w:val="single"/>
        <w:lang w:eastAsia="zh-CN"/>
      </w:rPr>
      <w:t>ZMZB2022XKD-64R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lang w:eastAsia="zh-CN"/>
      </w:rPr>
      <w:t>西安科技大学ACS数据库、ElsevierScienceDirect数据库、SCIE数据库服务采购项目（二次）</w:t>
    </w:r>
    <w:r>
      <w:rPr>
        <w:rFonts w:hint="eastAsia" w:ascii="宋体" w:hAnsi="宋体" w:cs="宋体"/>
        <w:sz w:val="15"/>
        <w:szCs w:val="15"/>
        <w:u w:val="single"/>
      </w:rPr>
      <w:t xml:space="preserve">               </w:t>
    </w:r>
    <w:r>
      <w:rPr>
        <w:rFonts w:hint="eastAsia" w:ascii="宋体" w:hAnsi="宋体" w:cs="宋体"/>
        <w:sz w:val="15"/>
        <w:szCs w:val="15"/>
        <w:u w:val="single"/>
        <w:lang w:eastAsia="zh-CN"/>
      </w:rPr>
      <w:t>ZMZB2022XKD-64R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42028"/>
    <w:multiLevelType w:val="singleLevel"/>
    <w:tmpl w:val="9F442028"/>
    <w:lvl w:ilvl="0" w:tentative="0">
      <w:start w:val="1"/>
      <w:numFmt w:val="decimal"/>
      <w:suff w:val="nothing"/>
      <w:lvlText w:val="%1、"/>
      <w:lvlJc w:val="left"/>
      <w:pPr>
        <w:ind w:firstLine="420"/>
      </w:pPr>
      <w:rPr>
        <w:rFonts w:hint="default" w:cs="Times New Roman"/>
      </w:rPr>
    </w:lvl>
  </w:abstractNum>
  <w:abstractNum w:abstractNumId="1">
    <w:nsid w:val="C99BDCD1"/>
    <w:multiLevelType w:val="singleLevel"/>
    <w:tmpl w:val="C99BDCD1"/>
    <w:lvl w:ilvl="0" w:tentative="0">
      <w:start w:val="1"/>
      <w:numFmt w:val="chineseCounting"/>
      <w:suff w:val="nothing"/>
      <w:lvlText w:val="（%1）"/>
      <w:lvlJc w:val="left"/>
      <w:rPr>
        <w:rFonts w:hint="eastAsia"/>
      </w:rPr>
    </w:lvl>
  </w:abstractNum>
  <w:abstractNum w:abstractNumId="2">
    <w:nsid w:val="D12F5381"/>
    <w:multiLevelType w:val="singleLevel"/>
    <w:tmpl w:val="D12F5381"/>
    <w:lvl w:ilvl="0" w:tentative="0">
      <w:start w:val="7"/>
      <w:numFmt w:val="chineseCounting"/>
      <w:suff w:val="space"/>
      <w:lvlText w:val="第%1部分"/>
      <w:lvlJc w:val="left"/>
      <w:rPr>
        <w:rFonts w:hint="eastAsia"/>
      </w:rPr>
    </w:lvl>
  </w:abstractNum>
  <w:abstractNum w:abstractNumId="3">
    <w:nsid w:val="DF87DBDD"/>
    <w:multiLevelType w:val="singleLevel"/>
    <w:tmpl w:val="DF87DBDD"/>
    <w:lvl w:ilvl="0" w:tentative="0">
      <w:start w:val="1"/>
      <w:numFmt w:val="decimal"/>
      <w:suff w:val="nothing"/>
      <w:lvlText w:val="%1、"/>
      <w:lvlJc w:val="left"/>
      <w:pPr>
        <w:ind w:firstLine="420"/>
      </w:pPr>
      <w:rPr>
        <w:rFonts w:hint="default" w:cs="Times New Roman"/>
      </w:rPr>
    </w:lvl>
  </w:abstractNum>
  <w:abstractNum w:abstractNumId="4">
    <w:nsid w:val="E8C911B6"/>
    <w:multiLevelType w:val="singleLevel"/>
    <w:tmpl w:val="E8C911B6"/>
    <w:lvl w:ilvl="0" w:tentative="0">
      <w:start w:val="1"/>
      <w:numFmt w:val="chineseCounting"/>
      <w:suff w:val="nothing"/>
      <w:lvlText w:val="%1、"/>
      <w:lvlJc w:val="left"/>
      <w:pPr>
        <w:ind w:left="0" w:firstLine="420"/>
      </w:pPr>
      <w:rPr>
        <w:rFonts w:hint="eastAsia"/>
      </w:rPr>
    </w:lvl>
  </w:abstractNum>
  <w:abstractNum w:abstractNumId="5">
    <w:nsid w:val="19B057FC"/>
    <w:multiLevelType w:val="singleLevel"/>
    <w:tmpl w:val="19B057FC"/>
    <w:lvl w:ilvl="0" w:tentative="0">
      <w:start w:val="1"/>
      <w:numFmt w:val="decimal"/>
      <w:suff w:val="nothing"/>
      <w:lvlText w:val="%1、"/>
      <w:lvlJc w:val="left"/>
      <w:pPr>
        <w:ind w:left="140" w:firstLine="0"/>
      </w:pPr>
    </w:lvl>
  </w:abstractNum>
  <w:abstractNum w:abstractNumId="6">
    <w:nsid w:val="3F2B4A30"/>
    <w:multiLevelType w:val="singleLevel"/>
    <w:tmpl w:val="3F2B4A30"/>
    <w:lvl w:ilvl="0" w:tentative="0">
      <w:start w:val="6"/>
      <w:numFmt w:val="chineseCounting"/>
      <w:suff w:val="space"/>
      <w:lvlText w:val="第%1部分"/>
      <w:lvlJc w:val="left"/>
      <w:rPr>
        <w:rFonts w:hint="eastAsia"/>
      </w:rPr>
    </w:lvl>
  </w:abstractNum>
  <w:abstractNum w:abstractNumId="7">
    <w:nsid w:val="451D8B65"/>
    <w:multiLevelType w:val="singleLevel"/>
    <w:tmpl w:val="451D8B65"/>
    <w:lvl w:ilvl="0" w:tentative="0">
      <w:start w:val="1"/>
      <w:numFmt w:val="decimal"/>
      <w:suff w:val="nothing"/>
      <w:lvlText w:val="（%1）"/>
      <w:lvlJc w:val="left"/>
      <w:pPr>
        <w:ind w:left="0" w:firstLine="420"/>
      </w:pPr>
      <w:rPr>
        <w:rFonts w:hint="default"/>
      </w:rPr>
    </w:lvl>
  </w:abstractNum>
  <w:abstractNum w:abstractNumId="8">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9">
    <w:nsid w:val="58BE4A74"/>
    <w:multiLevelType w:val="singleLevel"/>
    <w:tmpl w:val="58BE4A74"/>
    <w:lvl w:ilvl="0" w:tentative="0">
      <w:start w:val="1"/>
      <w:numFmt w:val="chineseCounting"/>
      <w:suff w:val="nothing"/>
      <w:lvlText w:val="%1、"/>
      <w:lvlJc w:val="left"/>
      <w:pPr>
        <w:ind w:left="0" w:firstLine="420"/>
      </w:pPr>
      <w:rPr>
        <w:rFonts w:hint="eastAsia"/>
      </w:rPr>
    </w:lvl>
  </w:abstractNum>
  <w:abstractNum w:abstractNumId="10">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11">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2">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3">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4">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5">
    <w:nsid w:val="58BE8DA8"/>
    <w:multiLevelType w:val="singleLevel"/>
    <w:tmpl w:val="58BE8DA8"/>
    <w:lvl w:ilvl="0" w:tentative="0">
      <w:start w:val="1"/>
      <w:numFmt w:val="decimal"/>
      <w:suff w:val="nothing"/>
      <w:lvlText w:val="（%1）"/>
      <w:lvlJc w:val="left"/>
      <w:pPr>
        <w:ind w:left="210" w:firstLine="420"/>
      </w:pPr>
      <w:rPr>
        <w:rFonts w:hint="default"/>
      </w:rPr>
    </w:lvl>
  </w:abstractNum>
  <w:abstractNum w:abstractNumId="16">
    <w:nsid w:val="58BE9BEE"/>
    <w:multiLevelType w:val="singleLevel"/>
    <w:tmpl w:val="58BE9BEE"/>
    <w:lvl w:ilvl="0" w:tentative="0">
      <w:start w:val="1"/>
      <w:numFmt w:val="lowerLetter"/>
      <w:lvlText w:val="%1."/>
      <w:lvlJc w:val="left"/>
      <w:pPr>
        <w:ind w:left="425" w:hanging="425"/>
      </w:pPr>
      <w:rPr>
        <w:rFonts w:hint="default"/>
      </w:rPr>
    </w:lvl>
  </w:abstractNum>
  <w:abstractNum w:abstractNumId="17">
    <w:nsid w:val="58BE9C35"/>
    <w:multiLevelType w:val="singleLevel"/>
    <w:tmpl w:val="58BE9C35"/>
    <w:lvl w:ilvl="0" w:tentative="0">
      <w:start w:val="1"/>
      <w:numFmt w:val="decimal"/>
      <w:suff w:val="nothing"/>
      <w:lvlText w:val="（%1）"/>
      <w:lvlJc w:val="left"/>
      <w:pPr>
        <w:ind w:left="0" w:firstLine="420"/>
      </w:pPr>
      <w:rPr>
        <w:rFonts w:hint="default"/>
      </w:rPr>
    </w:lvl>
  </w:abstractNum>
  <w:abstractNum w:abstractNumId="18">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9">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20">
    <w:nsid w:val="59DADF1A"/>
    <w:multiLevelType w:val="singleLevel"/>
    <w:tmpl w:val="59DADF1A"/>
    <w:lvl w:ilvl="0" w:tentative="0">
      <w:start w:val="1"/>
      <w:numFmt w:val="lowerLetter"/>
      <w:lvlText w:val="%1."/>
      <w:lvlJc w:val="left"/>
      <w:pPr>
        <w:ind w:left="425" w:hanging="425"/>
      </w:pPr>
      <w:rPr>
        <w:rFonts w:hint="default"/>
      </w:rPr>
    </w:lvl>
  </w:abstractNum>
  <w:abstractNum w:abstractNumId="21">
    <w:nsid w:val="59F098CD"/>
    <w:multiLevelType w:val="singleLevel"/>
    <w:tmpl w:val="59F098CD"/>
    <w:lvl w:ilvl="0" w:tentative="0">
      <w:start w:val="1"/>
      <w:numFmt w:val="decimal"/>
      <w:suff w:val="nothing"/>
      <w:lvlText w:val="（%1）"/>
      <w:lvlJc w:val="left"/>
      <w:pPr>
        <w:ind w:firstLine="420"/>
      </w:pPr>
      <w:rPr>
        <w:rFonts w:hint="default" w:cs="Times New Roman"/>
      </w:rPr>
    </w:lvl>
  </w:abstractNum>
  <w:abstractNum w:abstractNumId="22">
    <w:nsid w:val="5FB1E77F"/>
    <w:multiLevelType w:val="singleLevel"/>
    <w:tmpl w:val="5FB1E77F"/>
    <w:lvl w:ilvl="0" w:tentative="0">
      <w:start w:val="1"/>
      <w:numFmt w:val="decimal"/>
      <w:suff w:val="nothing"/>
      <w:lvlText w:val="%1、"/>
      <w:lvlJc w:val="left"/>
    </w:lvl>
  </w:abstractNum>
  <w:abstractNum w:abstractNumId="23">
    <w:nsid w:val="744D776A"/>
    <w:multiLevelType w:val="singleLevel"/>
    <w:tmpl w:val="744D776A"/>
    <w:lvl w:ilvl="0" w:tentative="0">
      <w:start w:val="2"/>
      <w:numFmt w:val="decimal"/>
      <w:suff w:val="nothing"/>
      <w:lvlText w:val="%1、"/>
      <w:lvlJc w:val="left"/>
    </w:lvl>
  </w:abstractNum>
  <w:num w:numId="1">
    <w:abstractNumId w:val="1"/>
  </w:num>
  <w:num w:numId="2">
    <w:abstractNumId w:val="19"/>
  </w:num>
  <w:num w:numId="3">
    <w:abstractNumId w:val="22"/>
  </w:num>
  <w:num w:numId="4">
    <w:abstractNumId w:val="23"/>
  </w:num>
  <w:num w:numId="5">
    <w:abstractNumId w:val="21"/>
  </w:num>
  <w:num w:numId="6">
    <w:abstractNumId w:val="3"/>
  </w:num>
  <w:num w:numId="7">
    <w:abstractNumId w:val="0"/>
  </w:num>
  <w:num w:numId="8">
    <w:abstractNumId w:val="4"/>
  </w:num>
  <w:num w:numId="9">
    <w:abstractNumId w:val="10"/>
  </w:num>
  <w:num w:numId="10">
    <w:abstractNumId w:val="8"/>
  </w:num>
  <w:num w:numId="11">
    <w:abstractNumId w:val="14"/>
  </w:num>
  <w:num w:numId="12">
    <w:abstractNumId w:val="18"/>
  </w:num>
  <w:num w:numId="13">
    <w:abstractNumId w:val="9"/>
  </w:num>
  <w:num w:numId="14">
    <w:abstractNumId w:val="11"/>
  </w:num>
  <w:num w:numId="15">
    <w:abstractNumId w:val="17"/>
  </w:num>
  <w:num w:numId="16">
    <w:abstractNumId w:val="16"/>
  </w:num>
  <w:num w:numId="17">
    <w:abstractNumId w:val="12"/>
  </w:num>
  <w:num w:numId="18">
    <w:abstractNumId w:val="13"/>
  </w:num>
  <w:num w:numId="19">
    <w:abstractNumId w:val="20"/>
  </w:num>
  <w:num w:numId="20">
    <w:abstractNumId w:val="15"/>
  </w:num>
  <w:num w:numId="21">
    <w:abstractNumId w:val="6"/>
  </w:num>
  <w:num w:numId="22">
    <w:abstractNumId w:val="5"/>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YTA0NjEzNzRiZjFlNmM3ZmM1ZDMxNzJjMjc3Y2MifQ=="/>
  </w:docVars>
  <w:rsids>
    <w:rsidRoot w:val="73D96FF7"/>
    <w:rsid w:val="000211C9"/>
    <w:rsid w:val="000231DC"/>
    <w:rsid w:val="00023390"/>
    <w:rsid w:val="000238BB"/>
    <w:rsid w:val="00033E46"/>
    <w:rsid w:val="00034CB8"/>
    <w:rsid w:val="000447C6"/>
    <w:rsid w:val="00050E3A"/>
    <w:rsid w:val="00051C70"/>
    <w:rsid w:val="0006579C"/>
    <w:rsid w:val="00067E50"/>
    <w:rsid w:val="0007496A"/>
    <w:rsid w:val="00075A4D"/>
    <w:rsid w:val="00084123"/>
    <w:rsid w:val="0009091C"/>
    <w:rsid w:val="000930F9"/>
    <w:rsid w:val="00093688"/>
    <w:rsid w:val="00094D6D"/>
    <w:rsid w:val="00096BFC"/>
    <w:rsid w:val="000A28E9"/>
    <w:rsid w:val="000B2B5F"/>
    <w:rsid w:val="000B54D7"/>
    <w:rsid w:val="000C078D"/>
    <w:rsid w:val="000C494B"/>
    <w:rsid w:val="000D07D2"/>
    <w:rsid w:val="000E03BF"/>
    <w:rsid w:val="000E06F6"/>
    <w:rsid w:val="00104C7F"/>
    <w:rsid w:val="00105CEF"/>
    <w:rsid w:val="00116077"/>
    <w:rsid w:val="0011645B"/>
    <w:rsid w:val="00127E5F"/>
    <w:rsid w:val="00147DB8"/>
    <w:rsid w:val="00150211"/>
    <w:rsid w:val="00165B88"/>
    <w:rsid w:val="001660DB"/>
    <w:rsid w:val="00170F41"/>
    <w:rsid w:val="0017206B"/>
    <w:rsid w:val="00172D09"/>
    <w:rsid w:val="00177B3B"/>
    <w:rsid w:val="00194A9B"/>
    <w:rsid w:val="001977B7"/>
    <w:rsid w:val="001C6002"/>
    <w:rsid w:val="001D7C98"/>
    <w:rsid w:val="0020496B"/>
    <w:rsid w:val="002056B6"/>
    <w:rsid w:val="002129A4"/>
    <w:rsid w:val="00215036"/>
    <w:rsid w:val="0021740C"/>
    <w:rsid w:val="00217AC1"/>
    <w:rsid w:val="00223417"/>
    <w:rsid w:val="00231B14"/>
    <w:rsid w:val="00235885"/>
    <w:rsid w:val="00270726"/>
    <w:rsid w:val="002738E0"/>
    <w:rsid w:val="002741EB"/>
    <w:rsid w:val="0027762D"/>
    <w:rsid w:val="00282BBC"/>
    <w:rsid w:val="002852D2"/>
    <w:rsid w:val="00290808"/>
    <w:rsid w:val="00294A47"/>
    <w:rsid w:val="00295107"/>
    <w:rsid w:val="00295734"/>
    <w:rsid w:val="002A48B6"/>
    <w:rsid w:val="002B7581"/>
    <w:rsid w:val="002C270B"/>
    <w:rsid w:val="002C270E"/>
    <w:rsid w:val="002E2D34"/>
    <w:rsid w:val="002F3450"/>
    <w:rsid w:val="002F4DAB"/>
    <w:rsid w:val="002F72C6"/>
    <w:rsid w:val="00302EA2"/>
    <w:rsid w:val="00312C6A"/>
    <w:rsid w:val="00335D7C"/>
    <w:rsid w:val="00336890"/>
    <w:rsid w:val="00337DD7"/>
    <w:rsid w:val="00341F1A"/>
    <w:rsid w:val="0034773D"/>
    <w:rsid w:val="0035259F"/>
    <w:rsid w:val="00353817"/>
    <w:rsid w:val="003572BD"/>
    <w:rsid w:val="003612FE"/>
    <w:rsid w:val="00366AA2"/>
    <w:rsid w:val="0038235A"/>
    <w:rsid w:val="003862A4"/>
    <w:rsid w:val="00393768"/>
    <w:rsid w:val="003A607D"/>
    <w:rsid w:val="003E23A6"/>
    <w:rsid w:val="003E3530"/>
    <w:rsid w:val="003F3F76"/>
    <w:rsid w:val="003F6452"/>
    <w:rsid w:val="00405C58"/>
    <w:rsid w:val="00440843"/>
    <w:rsid w:val="00442960"/>
    <w:rsid w:val="00483AF6"/>
    <w:rsid w:val="0048715E"/>
    <w:rsid w:val="004A6288"/>
    <w:rsid w:val="004B74EA"/>
    <w:rsid w:val="004C20E4"/>
    <w:rsid w:val="004E0DB0"/>
    <w:rsid w:val="004E1511"/>
    <w:rsid w:val="004E727F"/>
    <w:rsid w:val="004F73C4"/>
    <w:rsid w:val="0051677A"/>
    <w:rsid w:val="00517FC5"/>
    <w:rsid w:val="005205B4"/>
    <w:rsid w:val="005233BF"/>
    <w:rsid w:val="00540EAF"/>
    <w:rsid w:val="00542C94"/>
    <w:rsid w:val="005455C2"/>
    <w:rsid w:val="00546F4D"/>
    <w:rsid w:val="00550FA1"/>
    <w:rsid w:val="00557479"/>
    <w:rsid w:val="00563ABD"/>
    <w:rsid w:val="005654BD"/>
    <w:rsid w:val="00574B0A"/>
    <w:rsid w:val="005B0FDD"/>
    <w:rsid w:val="005C3C4A"/>
    <w:rsid w:val="005C70B4"/>
    <w:rsid w:val="005D2B92"/>
    <w:rsid w:val="005E2DE4"/>
    <w:rsid w:val="005F155C"/>
    <w:rsid w:val="005F7BCF"/>
    <w:rsid w:val="0061645E"/>
    <w:rsid w:val="00622B85"/>
    <w:rsid w:val="006266A4"/>
    <w:rsid w:val="0062740F"/>
    <w:rsid w:val="00627D03"/>
    <w:rsid w:val="006553C8"/>
    <w:rsid w:val="00672E94"/>
    <w:rsid w:val="006742B1"/>
    <w:rsid w:val="00676AE8"/>
    <w:rsid w:val="00687D5E"/>
    <w:rsid w:val="00696708"/>
    <w:rsid w:val="006A08BB"/>
    <w:rsid w:val="006A0EE3"/>
    <w:rsid w:val="006A3EA7"/>
    <w:rsid w:val="006B5E79"/>
    <w:rsid w:val="006C1797"/>
    <w:rsid w:val="006C2480"/>
    <w:rsid w:val="006C6460"/>
    <w:rsid w:val="006D0D2F"/>
    <w:rsid w:val="006D460F"/>
    <w:rsid w:val="006E0B29"/>
    <w:rsid w:val="006E40E0"/>
    <w:rsid w:val="006F3C69"/>
    <w:rsid w:val="006F5317"/>
    <w:rsid w:val="006F5396"/>
    <w:rsid w:val="006F5D6F"/>
    <w:rsid w:val="006F6DCE"/>
    <w:rsid w:val="00714BDE"/>
    <w:rsid w:val="0072263E"/>
    <w:rsid w:val="007312B5"/>
    <w:rsid w:val="00732B2E"/>
    <w:rsid w:val="0073574E"/>
    <w:rsid w:val="00736C47"/>
    <w:rsid w:val="00765CB7"/>
    <w:rsid w:val="00772F53"/>
    <w:rsid w:val="00792EC9"/>
    <w:rsid w:val="007971D3"/>
    <w:rsid w:val="007A7755"/>
    <w:rsid w:val="007B0C1D"/>
    <w:rsid w:val="007B1DB3"/>
    <w:rsid w:val="007B3CC8"/>
    <w:rsid w:val="007B3DE2"/>
    <w:rsid w:val="007B710E"/>
    <w:rsid w:val="007C1517"/>
    <w:rsid w:val="007C1F6E"/>
    <w:rsid w:val="007D04F6"/>
    <w:rsid w:val="007D25DB"/>
    <w:rsid w:val="007D30BD"/>
    <w:rsid w:val="007D535E"/>
    <w:rsid w:val="007D694A"/>
    <w:rsid w:val="007E2C9D"/>
    <w:rsid w:val="007F7BFB"/>
    <w:rsid w:val="00806745"/>
    <w:rsid w:val="0082192B"/>
    <w:rsid w:val="00825BC9"/>
    <w:rsid w:val="0083155E"/>
    <w:rsid w:val="00860E6A"/>
    <w:rsid w:val="00866912"/>
    <w:rsid w:val="00877EF0"/>
    <w:rsid w:val="00887396"/>
    <w:rsid w:val="008909F4"/>
    <w:rsid w:val="00896129"/>
    <w:rsid w:val="008A4789"/>
    <w:rsid w:val="008A4C61"/>
    <w:rsid w:val="008A5167"/>
    <w:rsid w:val="008B07F2"/>
    <w:rsid w:val="008B0810"/>
    <w:rsid w:val="008B1617"/>
    <w:rsid w:val="008B217C"/>
    <w:rsid w:val="008C0DA3"/>
    <w:rsid w:val="008D2180"/>
    <w:rsid w:val="008D5F96"/>
    <w:rsid w:val="008E706B"/>
    <w:rsid w:val="00907ACF"/>
    <w:rsid w:val="0091005F"/>
    <w:rsid w:val="0091056D"/>
    <w:rsid w:val="0093690D"/>
    <w:rsid w:val="00942C88"/>
    <w:rsid w:val="00962424"/>
    <w:rsid w:val="0096664F"/>
    <w:rsid w:val="00973C40"/>
    <w:rsid w:val="009844C9"/>
    <w:rsid w:val="009A0E9B"/>
    <w:rsid w:val="009B4737"/>
    <w:rsid w:val="009C2C63"/>
    <w:rsid w:val="009E16B7"/>
    <w:rsid w:val="009F2F47"/>
    <w:rsid w:val="009F49F1"/>
    <w:rsid w:val="009F5386"/>
    <w:rsid w:val="00A0037E"/>
    <w:rsid w:val="00A064D9"/>
    <w:rsid w:val="00A155EB"/>
    <w:rsid w:val="00A248C2"/>
    <w:rsid w:val="00A24C3D"/>
    <w:rsid w:val="00A250DB"/>
    <w:rsid w:val="00A408C9"/>
    <w:rsid w:val="00A438FC"/>
    <w:rsid w:val="00A44779"/>
    <w:rsid w:val="00A46C3A"/>
    <w:rsid w:val="00A50364"/>
    <w:rsid w:val="00A536EE"/>
    <w:rsid w:val="00A55CE7"/>
    <w:rsid w:val="00A70F35"/>
    <w:rsid w:val="00A93A06"/>
    <w:rsid w:val="00A955D8"/>
    <w:rsid w:val="00AA033B"/>
    <w:rsid w:val="00AA4076"/>
    <w:rsid w:val="00AA607D"/>
    <w:rsid w:val="00AB0507"/>
    <w:rsid w:val="00AB1511"/>
    <w:rsid w:val="00AD6B7E"/>
    <w:rsid w:val="00AE5665"/>
    <w:rsid w:val="00AE78B4"/>
    <w:rsid w:val="00AF3A88"/>
    <w:rsid w:val="00B17480"/>
    <w:rsid w:val="00B208CC"/>
    <w:rsid w:val="00B22AA5"/>
    <w:rsid w:val="00B32208"/>
    <w:rsid w:val="00B5790B"/>
    <w:rsid w:val="00B61634"/>
    <w:rsid w:val="00B63E6C"/>
    <w:rsid w:val="00B6588D"/>
    <w:rsid w:val="00B92C9A"/>
    <w:rsid w:val="00B94DB5"/>
    <w:rsid w:val="00BA6328"/>
    <w:rsid w:val="00BA7223"/>
    <w:rsid w:val="00BB63E2"/>
    <w:rsid w:val="00BC7B00"/>
    <w:rsid w:val="00BD20A7"/>
    <w:rsid w:val="00BD21CE"/>
    <w:rsid w:val="00BE0B22"/>
    <w:rsid w:val="00BF25D2"/>
    <w:rsid w:val="00C03D95"/>
    <w:rsid w:val="00C12406"/>
    <w:rsid w:val="00C2375E"/>
    <w:rsid w:val="00C42D03"/>
    <w:rsid w:val="00C45A0B"/>
    <w:rsid w:val="00C70CA0"/>
    <w:rsid w:val="00CA3986"/>
    <w:rsid w:val="00CA77AE"/>
    <w:rsid w:val="00CC4A0A"/>
    <w:rsid w:val="00CC5E31"/>
    <w:rsid w:val="00CD068E"/>
    <w:rsid w:val="00CD08DB"/>
    <w:rsid w:val="00CD26FE"/>
    <w:rsid w:val="00CD6C1E"/>
    <w:rsid w:val="00CE3F73"/>
    <w:rsid w:val="00CE7F49"/>
    <w:rsid w:val="00CF12F8"/>
    <w:rsid w:val="00D13372"/>
    <w:rsid w:val="00D14D31"/>
    <w:rsid w:val="00D17765"/>
    <w:rsid w:val="00D17FBF"/>
    <w:rsid w:val="00D21431"/>
    <w:rsid w:val="00D4535F"/>
    <w:rsid w:val="00D46AC8"/>
    <w:rsid w:val="00D54846"/>
    <w:rsid w:val="00D571EE"/>
    <w:rsid w:val="00D752E3"/>
    <w:rsid w:val="00D8338D"/>
    <w:rsid w:val="00D9385B"/>
    <w:rsid w:val="00DB2477"/>
    <w:rsid w:val="00DB7527"/>
    <w:rsid w:val="00DC68B6"/>
    <w:rsid w:val="00DE0A1E"/>
    <w:rsid w:val="00DE7DF5"/>
    <w:rsid w:val="00DF1139"/>
    <w:rsid w:val="00DF27BF"/>
    <w:rsid w:val="00DF5299"/>
    <w:rsid w:val="00E0117B"/>
    <w:rsid w:val="00E11323"/>
    <w:rsid w:val="00E13591"/>
    <w:rsid w:val="00E13948"/>
    <w:rsid w:val="00E160E9"/>
    <w:rsid w:val="00E21400"/>
    <w:rsid w:val="00E22A1B"/>
    <w:rsid w:val="00E37511"/>
    <w:rsid w:val="00E40E27"/>
    <w:rsid w:val="00E52716"/>
    <w:rsid w:val="00E661CC"/>
    <w:rsid w:val="00E72E0D"/>
    <w:rsid w:val="00E73867"/>
    <w:rsid w:val="00E75DBC"/>
    <w:rsid w:val="00E814EC"/>
    <w:rsid w:val="00E844BB"/>
    <w:rsid w:val="00E86E4B"/>
    <w:rsid w:val="00E90711"/>
    <w:rsid w:val="00EA2EE5"/>
    <w:rsid w:val="00EA7A49"/>
    <w:rsid w:val="00EB54D7"/>
    <w:rsid w:val="00F1148E"/>
    <w:rsid w:val="00F11A9A"/>
    <w:rsid w:val="00F1478D"/>
    <w:rsid w:val="00F1601A"/>
    <w:rsid w:val="00F35029"/>
    <w:rsid w:val="00F465E3"/>
    <w:rsid w:val="00F549A0"/>
    <w:rsid w:val="00F572F6"/>
    <w:rsid w:val="00F61A0D"/>
    <w:rsid w:val="00F65CA7"/>
    <w:rsid w:val="00F66EB2"/>
    <w:rsid w:val="00F7126A"/>
    <w:rsid w:val="00F74AE3"/>
    <w:rsid w:val="00F83468"/>
    <w:rsid w:val="00F97C3A"/>
    <w:rsid w:val="00FA36A5"/>
    <w:rsid w:val="00FB36FC"/>
    <w:rsid w:val="00FC229C"/>
    <w:rsid w:val="00FC6545"/>
    <w:rsid w:val="00FC6B33"/>
    <w:rsid w:val="00FD23A8"/>
    <w:rsid w:val="00FE04D1"/>
    <w:rsid w:val="00FE1A44"/>
    <w:rsid w:val="00FE653D"/>
    <w:rsid w:val="00FF2B29"/>
    <w:rsid w:val="00FF5059"/>
    <w:rsid w:val="00FF79F8"/>
    <w:rsid w:val="01016F77"/>
    <w:rsid w:val="01235CBB"/>
    <w:rsid w:val="0147272E"/>
    <w:rsid w:val="015F7291"/>
    <w:rsid w:val="016601B5"/>
    <w:rsid w:val="016C6285"/>
    <w:rsid w:val="01905D4E"/>
    <w:rsid w:val="01BF446B"/>
    <w:rsid w:val="01C33E75"/>
    <w:rsid w:val="01CF4650"/>
    <w:rsid w:val="01DC4B6D"/>
    <w:rsid w:val="01DE0A3D"/>
    <w:rsid w:val="01FF0589"/>
    <w:rsid w:val="021A2C53"/>
    <w:rsid w:val="02262629"/>
    <w:rsid w:val="023D07CA"/>
    <w:rsid w:val="024B29A8"/>
    <w:rsid w:val="025B2BDD"/>
    <w:rsid w:val="025C1F43"/>
    <w:rsid w:val="02691867"/>
    <w:rsid w:val="02BC1EC1"/>
    <w:rsid w:val="02C33764"/>
    <w:rsid w:val="02DD6925"/>
    <w:rsid w:val="02FB3B23"/>
    <w:rsid w:val="030A3205"/>
    <w:rsid w:val="03366953"/>
    <w:rsid w:val="034A7BA5"/>
    <w:rsid w:val="034C23A0"/>
    <w:rsid w:val="0353555C"/>
    <w:rsid w:val="036C5F1A"/>
    <w:rsid w:val="037E757B"/>
    <w:rsid w:val="038E1A4F"/>
    <w:rsid w:val="03A35E51"/>
    <w:rsid w:val="03B24429"/>
    <w:rsid w:val="03CF2F3E"/>
    <w:rsid w:val="040403C7"/>
    <w:rsid w:val="040E0152"/>
    <w:rsid w:val="04166D26"/>
    <w:rsid w:val="043A7A3B"/>
    <w:rsid w:val="046924E7"/>
    <w:rsid w:val="048D0480"/>
    <w:rsid w:val="04B42133"/>
    <w:rsid w:val="04BA794E"/>
    <w:rsid w:val="04C31C0F"/>
    <w:rsid w:val="04C37E19"/>
    <w:rsid w:val="04D12D71"/>
    <w:rsid w:val="04FD40F2"/>
    <w:rsid w:val="05372DA4"/>
    <w:rsid w:val="054A41B7"/>
    <w:rsid w:val="05741D34"/>
    <w:rsid w:val="05A50E7C"/>
    <w:rsid w:val="06023542"/>
    <w:rsid w:val="067C233D"/>
    <w:rsid w:val="06937984"/>
    <w:rsid w:val="06967A3F"/>
    <w:rsid w:val="06A628AE"/>
    <w:rsid w:val="06C771A3"/>
    <w:rsid w:val="0708350A"/>
    <w:rsid w:val="0711360B"/>
    <w:rsid w:val="072B23BE"/>
    <w:rsid w:val="073C007C"/>
    <w:rsid w:val="077274B4"/>
    <w:rsid w:val="07A01238"/>
    <w:rsid w:val="07CB6CD5"/>
    <w:rsid w:val="07D05206"/>
    <w:rsid w:val="08140636"/>
    <w:rsid w:val="081A04E8"/>
    <w:rsid w:val="084166EA"/>
    <w:rsid w:val="088A04F0"/>
    <w:rsid w:val="088A3FB8"/>
    <w:rsid w:val="093C0A37"/>
    <w:rsid w:val="09B0067D"/>
    <w:rsid w:val="09DC53A7"/>
    <w:rsid w:val="0A6E15A5"/>
    <w:rsid w:val="0A874C05"/>
    <w:rsid w:val="0A8F50B9"/>
    <w:rsid w:val="0A9E0AC8"/>
    <w:rsid w:val="0ACD7171"/>
    <w:rsid w:val="0AE15B50"/>
    <w:rsid w:val="0AF807D7"/>
    <w:rsid w:val="0B0F5C9F"/>
    <w:rsid w:val="0B4B1E06"/>
    <w:rsid w:val="0B532BA8"/>
    <w:rsid w:val="0B6A5D37"/>
    <w:rsid w:val="0B7C3EA1"/>
    <w:rsid w:val="0BAB4E0E"/>
    <w:rsid w:val="0BAD6248"/>
    <w:rsid w:val="0BAF4CCB"/>
    <w:rsid w:val="0BBA3C56"/>
    <w:rsid w:val="0C0309BA"/>
    <w:rsid w:val="0C59040C"/>
    <w:rsid w:val="0C665824"/>
    <w:rsid w:val="0C8D1F69"/>
    <w:rsid w:val="0C9310A3"/>
    <w:rsid w:val="0C984361"/>
    <w:rsid w:val="0CB03CD2"/>
    <w:rsid w:val="0CE41B31"/>
    <w:rsid w:val="0CF301A5"/>
    <w:rsid w:val="0CFD04BC"/>
    <w:rsid w:val="0D204A5D"/>
    <w:rsid w:val="0D323FC1"/>
    <w:rsid w:val="0D514FF5"/>
    <w:rsid w:val="0D614C51"/>
    <w:rsid w:val="0D751E61"/>
    <w:rsid w:val="0D8777F6"/>
    <w:rsid w:val="0DB713C3"/>
    <w:rsid w:val="0DC62A71"/>
    <w:rsid w:val="0E3D6A8E"/>
    <w:rsid w:val="0E4076C5"/>
    <w:rsid w:val="0E837DDF"/>
    <w:rsid w:val="0E9E3572"/>
    <w:rsid w:val="0EB5635E"/>
    <w:rsid w:val="0EB8754C"/>
    <w:rsid w:val="0EEB7659"/>
    <w:rsid w:val="0EFB59A3"/>
    <w:rsid w:val="0F01175D"/>
    <w:rsid w:val="0F025BAA"/>
    <w:rsid w:val="0F7B63A0"/>
    <w:rsid w:val="0F7B7C0B"/>
    <w:rsid w:val="0F9C0159"/>
    <w:rsid w:val="0FC04A43"/>
    <w:rsid w:val="0FE60143"/>
    <w:rsid w:val="0FE6342C"/>
    <w:rsid w:val="101476C3"/>
    <w:rsid w:val="10170212"/>
    <w:rsid w:val="10275AEB"/>
    <w:rsid w:val="1080507E"/>
    <w:rsid w:val="108064F2"/>
    <w:rsid w:val="10821A66"/>
    <w:rsid w:val="109B45F4"/>
    <w:rsid w:val="10A56817"/>
    <w:rsid w:val="10B4058D"/>
    <w:rsid w:val="10C35B5C"/>
    <w:rsid w:val="10D77C07"/>
    <w:rsid w:val="112F00E3"/>
    <w:rsid w:val="11611D49"/>
    <w:rsid w:val="11674F3D"/>
    <w:rsid w:val="11694370"/>
    <w:rsid w:val="117141C3"/>
    <w:rsid w:val="118F1C4B"/>
    <w:rsid w:val="11915752"/>
    <w:rsid w:val="11A54DB1"/>
    <w:rsid w:val="11C473B7"/>
    <w:rsid w:val="11D263D2"/>
    <w:rsid w:val="11F93CC8"/>
    <w:rsid w:val="121D5AA7"/>
    <w:rsid w:val="123E07AF"/>
    <w:rsid w:val="128B082A"/>
    <w:rsid w:val="12914B30"/>
    <w:rsid w:val="12B17AA6"/>
    <w:rsid w:val="12D76A20"/>
    <w:rsid w:val="12F46E80"/>
    <w:rsid w:val="136B5FEA"/>
    <w:rsid w:val="13A91C52"/>
    <w:rsid w:val="13D83775"/>
    <w:rsid w:val="13ED1D45"/>
    <w:rsid w:val="141D790D"/>
    <w:rsid w:val="144B4EFE"/>
    <w:rsid w:val="145910E0"/>
    <w:rsid w:val="147501D3"/>
    <w:rsid w:val="15007ACD"/>
    <w:rsid w:val="151F4732"/>
    <w:rsid w:val="15372FA4"/>
    <w:rsid w:val="153A1F28"/>
    <w:rsid w:val="153F05C2"/>
    <w:rsid w:val="15565AEA"/>
    <w:rsid w:val="158F403B"/>
    <w:rsid w:val="159076D6"/>
    <w:rsid w:val="15C11B01"/>
    <w:rsid w:val="15CE0A89"/>
    <w:rsid w:val="15E3346A"/>
    <w:rsid w:val="162A541E"/>
    <w:rsid w:val="166B472B"/>
    <w:rsid w:val="16704C68"/>
    <w:rsid w:val="16B877F8"/>
    <w:rsid w:val="16BC52DE"/>
    <w:rsid w:val="171A2CB4"/>
    <w:rsid w:val="171B2434"/>
    <w:rsid w:val="173C04C3"/>
    <w:rsid w:val="173E2A85"/>
    <w:rsid w:val="176652E8"/>
    <w:rsid w:val="176F4594"/>
    <w:rsid w:val="17915A7E"/>
    <w:rsid w:val="181803D7"/>
    <w:rsid w:val="18196EE4"/>
    <w:rsid w:val="184D4A07"/>
    <w:rsid w:val="188C4E41"/>
    <w:rsid w:val="18C56911"/>
    <w:rsid w:val="18CB0D78"/>
    <w:rsid w:val="18E447E1"/>
    <w:rsid w:val="18F1275C"/>
    <w:rsid w:val="19217C54"/>
    <w:rsid w:val="19247ED6"/>
    <w:rsid w:val="194E4D9E"/>
    <w:rsid w:val="196B2692"/>
    <w:rsid w:val="198C2B7E"/>
    <w:rsid w:val="19947705"/>
    <w:rsid w:val="19B86659"/>
    <w:rsid w:val="19B95A0C"/>
    <w:rsid w:val="19F02A92"/>
    <w:rsid w:val="19F70E42"/>
    <w:rsid w:val="1A195EF1"/>
    <w:rsid w:val="1A1B111D"/>
    <w:rsid w:val="1A4E3356"/>
    <w:rsid w:val="1A5D78BC"/>
    <w:rsid w:val="1A681627"/>
    <w:rsid w:val="1A7847F0"/>
    <w:rsid w:val="1A7B4DAB"/>
    <w:rsid w:val="1ACD364A"/>
    <w:rsid w:val="1ADD5B4A"/>
    <w:rsid w:val="1AE678F5"/>
    <w:rsid w:val="1B117444"/>
    <w:rsid w:val="1B242D7C"/>
    <w:rsid w:val="1B5148C2"/>
    <w:rsid w:val="1B5D0A58"/>
    <w:rsid w:val="1B8018C9"/>
    <w:rsid w:val="1B9A5644"/>
    <w:rsid w:val="1BAB764D"/>
    <w:rsid w:val="1BE374A9"/>
    <w:rsid w:val="1C1C3E85"/>
    <w:rsid w:val="1C4F3974"/>
    <w:rsid w:val="1C8C2322"/>
    <w:rsid w:val="1CA52C2F"/>
    <w:rsid w:val="1CAF7990"/>
    <w:rsid w:val="1CC33031"/>
    <w:rsid w:val="1CD157D9"/>
    <w:rsid w:val="1CDF1CFC"/>
    <w:rsid w:val="1D063AAC"/>
    <w:rsid w:val="1D3B78D9"/>
    <w:rsid w:val="1D7840F1"/>
    <w:rsid w:val="1D836679"/>
    <w:rsid w:val="1D9D3D4A"/>
    <w:rsid w:val="1DC96E12"/>
    <w:rsid w:val="1E0D50FB"/>
    <w:rsid w:val="1E352C70"/>
    <w:rsid w:val="1E4574C2"/>
    <w:rsid w:val="1E536B13"/>
    <w:rsid w:val="1E5545E4"/>
    <w:rsid w:val="1E557FB0"/>
    <w:rsid w:val="1E853844"/>
    <w:rsid w:val="1E9D58D6"/>
    <w:rsid w:val="1EE51DD3"/>
    <w:rsid w:val="1F066F88"/>
    <w:rsid w:val="1F254E7A"/>
    <w:rsid w:val="1F772657"/>
    <w:rsid w:val="1FA62D37"/>
    <w:rsid w:val="1FB168A4"/>
    <w:rsid w:val="1FCA7CDE"/>
    <w:rsid w:val="1FE3716A"/>
    <w:rsid w:val="1FED24E5"/>
    <w:rsid w:val="202D7E73"/>
    <w:rsid w:val="202F40D9"/>
    <w:rsid w:val="202F4E7D"/>
    <w:rsid w:val="2037677D"/>
    <w:rsid w:val="206007DE"/>
    <w:rsid w:val="206B4F6D"/>
    <w:rsid w:val="207D383C"/>
    <w:rsid w:val="20851F20"/>
    <w:rsid w:val="20B42211"/>
    <w:rsid w:val="20BA0299"/>
    <w:rsid w:val="20C47A5B"/>
    <w:rsid w:val="20E6100E"/>
    <w:rsid w:val="20F52E31"/>
    <w:rsid w:val="20FA64C2"/>
    <w:rsid w:val="21283873"/>
    <w:rsid w:val="21430515"/>
    <w:rsid w:val="214E24EE"/>
    <w:rsid w:val="21805ABF"/>
    <w:rsid w:val="21A47267"/>
    <w:rsid w:val="21A85F9F"/>
    <w:rsid w:val="21B5407C"/>
    <w:rsid w:val="21BC252B"/>
    <w:rsid w:val="21CA7177"/>
    <w:rsid w:val="21DD6CCE"/>
    <w:rsid w:val="21F15373"/>
    <w:rsid w:val="221710F1"/>
    <w:rsid w:val="224F3B68"/>
    <w:rsid w:val="22547778"/>
    <w:rsid w:val="22745C5B"/>
    <w:rsid w:val="227F1D33"/>
    <w:rsid w:val="22A56E76"/>
    <w:rsid w:val="22B25267"/>
    <w:rsid w:val="22C84DCC"/>
    <w:rsid w:val="231A43B2"/>
    <w:rsid w:val="23280C8D"/>
    <w:rsid w:val="232910C4"/>
    <w:rsid w:val="23302798"/>
    <w:rsid w:val="23423B80"/>
    <w:rsid w:val="236915C9"/>
    <w:rsid w:val="239E1028"/>
    <w:rsid w:val="23A139B1"/>
    <w:rsid w:val="23B41069"/>
    <w:rsid w:val="23CB460C"/>
    <w:rsid w:val="23DD33CC"/>
    <w:rsid w:val="23E16E04"/>
    <w:rsid w:val="23EB433F"/>
    <w:rsid w:val="240C32C9"/>
    <w:rsid w:val="24132D46"/>
    <w:rsid w:val="242817F7"/>
    <w:rsid w:val="244F371F"/>
    <w:rsid w:val="2465351D"/>
    <w:rsid w:val="24681476"/>
    <w:rsid w:val="248E37F3"/>
    <w:rsid w:val="249220C6"/>
    <w:rsid w:val="24A9239B"/>
    <w:rsid w:val="24AA65D4"/>
    <w:rsid w:val="24C85D1D"/>
    <w:rsid w:val="24D526FD"/>
    <w:rsid w:val="24E76BE8"/>
    <w:rsid w:val="25035A1C"/>
    <w:rsid w:val="25070CC1"/>
    <w:rsid w:val="252B0BB3"/>
    <w:rsid w:val="252E7189"/>
    <w:rsid w:val="255C02B9"/>
    <w:rsid w:val="25645475"/>
    <w:rsid w:val="25722BAF"/>
    <w:rsid w:val="258E7B7F"/>
    <w:rsid w:val="259B0C90"/>
    <w:rsid w:val="25A55A28"/>
    <w:rsid w:val="262A3084"/>
    <w:rsid w:val="262C35F3"/>
    <w:rsid w:val="26574779"/>
    <w:rsid w:val="26720AE8"/>
    <w:rsid w:val="26722DF5"/>
    <w:rsid w:val="26850A44"/>
    <w:rsid w:val="26A42276"/>
    <w:rsid w:val="26A95916"/>
    <w:rsid w:val="26AC2D46"/>
    <w:rsid w:val="26B048CF"/>
    <w:rsid w:val="26BC75B0"/>
    <w:rsid w:val="26D95C81"/>
    <w:rsid w:val="271375AF"/>
    <w:rsid w:val="27200E83"/>
    <w:rsid w:val="27226628"/>
    <w:rsid w:val="27240C26"/>
    <w:rsid w:val="27272B7E"/>
    <w:rsid w:val="272804A6"/>
    <w:rsid w:val="273F53E1"/>
    <w:rsid w:val="27685E57"/>
    <w:rsid w:val="277A6499"/>
    <w:rsid w:val="27AD4732"/>
    <w:rsid w:val="27EF5D71"/>
    <w:rsid w:val="27FC6AB7"/>
    <w:rsid w:val="281A3B7F"/>
    <w:rsid w:val="281D4CB6"/>
    <w:rsid w:val="28225114"/>
    <w:rsid w:val="28414907"/>
    <w:rsid w:val="285F4DA4"/>
    <w:rsid w:val="28641DDC"/>
    <w:rsid w:val="286D7311"/>
    <w:rsid w:val="288663F2"/>
    <w:rsid w:val="28907CBF"/>
    <w:rsid w:val="28983BDF"/>
    <w:rsid w:val="28994044"/>
    <w:rsid w:val="28BA778B"/>
    <w:rsid w:val="28CF7855"/>
    <w:rsid w:val="28E37577"/>
    <w:rsid w:val="292667B7"/>
    <w:rsid w:val="2927416E"/>
    <w:rsid w:val="292852C2"/>
    <w:rsid w:val="29403833"/>
    <w:rsid w:val="2961335E"/>
    <w:rsid w:val="296278BF"/>
    <w:rsid w:val="29840596"/>
    <w:rsid w:val="298C53B4"/>
    <w:rsid w:val="2A066D84"/>
    <w:rsid w:val="2A1F0EA2"/>
    <w:rsid w:val="2A8B74F7"/>
    <w:rsid w:val="2A9C4475"/>
    <w:rsid w:val="2AA03DAB"/>
    <w:rsid w:val="2AB526BC"/>
    <w:rsid w:val="2AE74455"/>
    <w:rsid w:val="2AEE3A39"/>
    <w:rsid w:val="2B333009"/>
    <w:rsid w:val="2B4D7F9A"/>
    <w:rsid w:val="2B81314E"/>
    <w:rsid w:val="2BB704E0"/>
    <w:rsid w:val="2BE84F13"/>
    <w:rsid w:val="2C0C1A2C"/>
    <w:rsid w:val="2C253078"/>
    <w:rsid w:val="2C494E79"/>
    <w:rsid w:val="2C4E2C7E"/>
    <w:rsid w:val="2C4F375B"/>
    <w:rsid w:val="2C682DF7"/>
    <w:rsid w:val="2C6C1C2D"/>
    <w:rsid w:val="2C6C1EF3"/>
    <w:rsid w:val="2CB07168"/>
    <w:rsid w:val="2CB62549"/>
    <w:rsid w:val="2CDC63DA"/>
    <w:rsid w:val="2CDF0540"/>
    <w:rsid w:val="2CEA061D"/>
    <w:rsid w:val="2D1A6B8B"/>
    <w:rsid w:val="2D3C7A1B"/>
    <w:rsid w:val="2D400C03"/>
    <w:rsid w:val="2D527FBC"/>
    <w:rsid w:val="2D9B2B4F"/>
    <w:rsid w:val="2DAA3BA2"/>
    <w:rsid w:val="2DC3526B"/>
    <w:rsid w:val="2DCF7CDF"/>
    <w:rsid w:val="2DF511F5"/>
    <w:rsid w:val="2E004BE0"/>
    <w:rsid w:val="2E084B99"/>
    <w:rsid w:val="2E2153BC"/>
    <w:rsid w:val="2E762EEB"/>
    <w:rsid w:val="2E9236A2"/>
    <w:rsid w:val="2E9B4165"/>
    <w:rsid w:val="2EC94570"/>
    <w:rsid w:val="2EF82D13"/>
    <w:rsid w:val="2F06540D"/>
    <w:rsid w:val="2F362D1D"/>
    <w:rsid w:val="2F3E1D3D"/>
    <w:rsid w:val="2F520D6A"/>
    <w:rsid w:val="2F631E0B"/>
    <w:rsid w:val="2F983C4C"/>
    <w:rsid w:val="2FD35FF4"/>
    <w:rsid w:val="301E0417"/>
    <w:rsid w:val="30405287"/>
    <w:rsid w:val="306E5BF5"/>
    <w:rsid w:val="30811BCF"/>
    <w:rsid w:val="30852C88"/>
    <w:rsid w:val="309E3F2C"/>
    <w:rsid w:val="30A41A34"/>
    <w:rsid w:val="30E33E00"/>
    <w:rsid w:val="312225A7"/>
    <w:rsid w:val="313A1FDF"/>
    <w:rsid w:val="314E5250"/>
    <w:rsid w:val="316B4950"/>
    <w:rsid w:val="31AA7C21"/>
    <w:rsid w:val="31B643EF"/>
    <w:rsid w:val="31D811CD"/>
    <w:rsid w:val="31D90966"/>
    <w:rsid w:val="31E70161"/>
    <w:rsid w:val="31F66D75"/>
    <w:rsid w:val="32042F99"/>
    <w:rsid w:val="324C33B5"/>
    <w:rsid w:val="324C7ED8"/>
    <w:rsid w:val="32A51B90"/>
    <w:rsid w:val="32E77D37"/>
    <w:rsid w:val="33137B9F"/>
    <w:rsid w:val="33415A8D"/>
    <w:rsid w:val="337B73ED"/>
    <w:rsid w:val="33803480"/>
    <w:rsid w:val="3385457C"/>
    <w:rsid w:val="339A55B4"/>
    <w:rsid w:val="339E2468"/>
    <w:rsid w:val="33A91D17"/>
    <w:rsid w:val="33B44E41"/>
    <w:rsid w:val="33CC4CB4"/>
    <w:rsid w:val="34041022"/>
    <w:rsid w:val="34395956"/>
    <w:rsid w:val="346059E8"/>
    <w:rsid w:val="34756687"/>
    <w:rsid w:val="34A66303"/>
    <w:rsid w:val="34AC3731"/>
    <w:rsid w:val="34EF0B9B"/>
    <w:rsid w:val="350668B2"/>
    <w:rsid w:val="351211E7"/>
    <w:rsid w:val="35335936"/>
    <w:rsid w:val="355557F2"/>
    <w:rsid w:val="3562627B"/>
    <w:rsid w:val="357709D0"/>
    <w:rsid w:val="35C70E9A"/>
    <w:rsid w:val="35D02EC3"/>
    <w:rsid w:val="360C4565"/>
    <w:rsid w:val="36124F93"/>
    <w:rsid w:val="36514DFC"/>
    <w:rsid w:val="365A592A"/>
    <w:rsid w:val="3671559A"/>
    <w:rsid w:val="36815F72"/>
    <w:rsid w:val="36A73099"/>
    <w:rsid w:val="36E253DC"/>
    <w:rsid w:val="37257AC4"/>
    <w:rsid w:val="375F69DD"/>
    <w:rsid w:val="37A07100"/>
    <w:rsid w:val="37A406E4"/>
    <w:rsid w:val="37D6300B"/>
    <w:rsid w:val="38010FF7"/>
    <w:rsid w:val="38217B55"/>
    <w:rsid w:val="385345AE"/>
    <w:rsid w:val="3869690E"/>
    <w:rsid w:val="38750FF3"/>
    <w:rsid w:val="38756D44"/>
    <w:rsid w:val="38845C7E"/>
    <w:rsid w:val="38B60A2B"/>
    <w:rsid w:val="38BD74B9"/>
    <w:rsid w:val="38EE156D"/>
    <w:rsid w:val="38F37C80"/>
    <w:rsid w:val="39015C75"/>
    <w:rsid w:val="391D14E6"/>
    <w:rsid w:val="39340E5C"/>
    <w:rsid w:val="393B5AA8"/>
    <w:rsid w:val="39A0438C"/>
    <w:rsid w:val="39C63022"/>
    <w:rsid w:val="39FE7EC6"/>
    <w:rsid w:val="3A444D54"/>
    <w:rsid w:val="3A5B049C"/>
    <w:rsid w:val="3A8B5D1B"/>
    <w:rsid w:val="3AB25A48"/>
    <w:rsid w:val="3AEC2F68"/>
    <w:rsid w:val="3B2D369C"/>
    <w:rsid w:val="3B4018AB"/>
    <w:rsid w:val="3B577533"/>
    <w:rsid w:val="3B745C0D"/>
    <w:rsid w:val="3B94140D"/>
    <w:rsid w:val="3BBE43C5"/>
    <w:rsid w:val="3BE01215"/>
    <w:rsid w:val="3C015CC0"/>
    <w:rsid w:val="3C016AC1"/>
    <w:rsid w:val="3C02534D"/>
    <w:rsid w:val="3C3F4224"/>
    <w:rsid w:val="3C62595E"/>
    <w:rsid w:val="3C720169"/>
    <w:rsid w:val="3CBE566C"/>
    <w:rsid w:val="3D0C725A"/>
    <w:rsid w:val="3D7822ED"/>
    <w:rsid w:val="3D7B3BE0"/>
    <w:rsid w:val="3DA24227"/>
    <w:rsid w:val="3DA93405"/>
    <w:rsid w:val="3DC6046B"/>
    <w:rsid w:val="3DD55229"/>
    <w:rsid w:val="3DDA621C"/>
    <w:rsid w:val="3E142590"/>
    <w:rsid w:val="3E2E7EBE"/>
    <w:rsid w:val="3E521D31"/>
    <w:rsid w:val="3E6727A9"/>
    <w:rsid w:val="3E7976CC"/>
    <w:rsid w:val="3E8C6133"/>
    <w:rsid w:val="3E8D2978"/>
    <w:rsid w:val="3ED668C3"/>
    <w:rsid w:val="3F281DC2"/>
    <w:rsid w:val="3F297732"/>
    <w:rsid w:val="3F4732B9"/>
    <w:rsid w:val="3F4944A8"/>
    <w:rsid w:val="3F503F29"/>
    <w:rsid w:val="3F5807E0"/>
    <w:rsid w:val="3FB50150"/>
    <w:rsid w:val="3FCC7B66"/>
    <w:rsid w:val="3FFA4413"/>
    <w:rsid w:val="401972B4"/>
    <w:rsid w:val="40487D82"/>
    <w:rsid w:val="405B5800"/>
    <w:rsid w:val="40A01669"/>
    <w:rsid w:val="41072E0E"/>
    <w:rsid w:val="41252929"/>
    <w:rsid w:val="413B3F1A"/>
    <w:rsid w:val="41480453"/>
    <w:rsid w:val="416B49EF"/>
    <w:rsid w:val="41A40996"/>
    <w:rsid w:val="41CB616E"/>
    <w:rsid w:val="41DD2167"/>
    <w:rsid w:val="41FC0FA7"/>
    <w:rsid w:val="421D11FF"/>
    <w:rsid w:val="423F1CC9"/>
    <w:rsid w:val="424B600F"/>
    <w:rsid w:val="42515F96"/>
    <w:rsid w:val="42637D55"/>
    <w:rsid w:val="42BF2FF3"/>
    <w:rsid w:val="42C10E48"/>
    <w:rsid w:val="42CA44EA"/>
    <w:rsid w:val="42D3676F"/>
    <w:rsid w:val="42EF792C"/>
    <w:rsid w:val="431123CE"/>
    <w:rsid w:val="431E55F4"/>
    <w:rsid w:val="432D2509"/>
    <w:rsid w:val="4338080B"/>
    <w:rsid w:val="4365744A"/>
    <w:rsid w:val="436D3273"/>
    <w:rsid w:val="4370627C"/>
    <w:rsid w:val="437D03C2"/>
    <w:rsid w:val="439E46C5"/>
    <w:rsid w:val="43E52ADD"/>
    <w:rsid w:val="43F354D7"/>
    <w:rsid w:val="440139FF"/>
    <w:rsid w:val="440A1946"/>
    <w:rsid w:val="44162084"/>
    <w:rsid w:val="44752DC1"/>
    <w:rsid w:val="44832F7B"/>
    <w:rsid w:val="44947BD4"/>
    <w:rsid w:val="44AA3750"/>
    <w:rsid w:val="44B52CB1"/>
    <w:rsid w:val="44C804E0"/>
    <w:rsid w:val="4507271E"/>
    <w:rsid w:val="45226E5D"/>
    <w:rsid w:val="455A64B5"/>
    <w:rsid w:val="455C5643"/>
    <w:rsid w:val="45965327"/>
    <w:rsid w:val="45BA248B"/>
    <w:rsid w:val="460B7E0C"/>
    <w:rsid w:val="461812ED"/>
    <w:rsid w:val="46223A8A"/>
    <w:rsid w:val="46314DBD"/>
    <w:rsid w:val="4643282A"/>
    <w:rsid w:val="4682603A"/>
    <w:rsid w:val="46C633A0"/>
    <w:rsid w:val="46D908D3"/>
    <w:rsid w:val="47101887"/>
    <w:rsid w:val="472813A6"/>
    <w:rsid w:val="47752F9E"/>
    <w:rsid w:val="477A01FD"/>
    <w:rsid w:val="47801AB2"/>
    <w:rsid w:val="4795235B"/>
    <w:rsid w:val="47D65919"/>
    <w:rsid w:val="47E567CE"/>
    <w:rsid w:val="486A14E7"/>
    <w:rsid w:val="486D6717"/>
    <w:rsid w:val="48894303"/>
    <w:rsid w:val="49072A64"/>
    <w:rsid w:val="491E3D88"/>
    <w:rsid w:val="493731EA"/>
    <w:rsid w:val="496B237A"/>
    <w:rsid w:val="49804F26"/>
    <w:rsid w:val="49990406"/>
    <w:rsid w:val="49AF4B75"/>
    <w:rsid w:val="49D47304"/>
    <w:rsid w:val="4A343D33"/>
    <w:rsid w:val="4A4679EC"/>
    <w:rsid w:val="4A522936"/>
    <w:rsid w:val="4A7D62A7"/>
    <w:rsid w:val="4A8166C5"/>
    <w:rsid w:val="4A8803F3"/>
    <w:rsid w:val="4A9F523E"/>
    <w:rsid w:val="4A9F776C"/>
    <w:rsid w:val="4AC95516"/>
    <w:rsid w:val="4ADC34C0"/>
    <w:rsid w:val="4B0706EF"/>
    <w:rsid w:val="4B151CDA"/>
    <w:rsid w:val="4B2E5F87"/>
    <w:rsid w:val="4B3423D0"/>
    <w:rsid w:val="4B7C57A9"/>
    <w:rsid w:val="4B9535D0"/>
    <w:rsid w:val="4BF65473"/>
    <w:rsid w:val="4C1C5ED1"/>
    <w:rsid w:val="4C296DFE"/>
    <w:rsid w:val="4C4308E7"/>
    <w:rsid w:val="4C5F554A"/>
    <w:rsid w:val="4C674BE3"/>
    <w:rsid w:val="4C796238"/>
    <w:rsid w:val="4C8D7864"/>
    <w:rsid w:val="4CA2136F"/>
    <w:rsid w:val="4CC330C3"/>
    <w:rsid w:val="4CD07A2A"/>
    <w:rsid w:val="4CF25575"/>
    <w:rsid w:val="4CFE48B1"/>
    <w:rsid w:val="4D042A23"/>
    <w:rsid w:val="4D6543A8"/>
    <w:rsid w:val="4D8D7BF0"/>
    <w:rsid w:val="4DBB674D"/>
    <w:rsid w:val="4DEE42BB"/>
    <w:rsid w:val="4E4C2F10"/>
    <w:rsid w:val="4E50554E"/>
    <w:rsid w:val="4E9E4D53"/>
    <w:rsid w:val="4EA253CD"/>
    <w:rsid w:val="4EA62219"/>
    <w:rsid w:val="4EB9101B"/>
    <w:rsid w:val="4EDF533B"/>
    <w:rsid w:val="4EE80E4C"/>
    <w:rsid w:val="4F046328"/>
    <w:rsid w:val="4F0A38E9"/>
    <w:rsid w:val="4F0C1D27"/>
    <w:rsid w:val="4F0C6D7F"/>
    <w:rsid w:val="4F1763A9"/>
    <w:rsid w:val="4F3139CE"/>
    <w:rsid w:val="4F3F4AE5"/>
    <w:rsid w:val="4F9A2F39"/>
    <w:rsid w:val="4FA52BCF"/>
    <w:rsid w:val="4FE60EDF"/>
    <w:rsid w:val="4FF5614D"/>
    <w:rsid w:val="50456945"/>
    <w:rsid w:val="50527BFF"/>
    <w:rsid w:val="507C0F0A"/>
    <w:rsid w:val="50987303"/>
    <w:rsid w:val="509A5FF6"/>
    <w:rsid w:val="50B21FB5"/>
    <w:rsid w:val="50EA598E"/>
    <w:rsid w:val="513D7C0C"/>
    <w:rsid w:val="514A4278"/>
    <w:rsid w:val="51550A01"/>
    <w:rsid w:val="51580D72"/>
    <w:rsid w:val="516B7014"/>
    <w:rsid w:val="516F5BB5"/>
    <w:rsid w:val="517A72F6"/>
    <w:rsid w:val="51876787"/>
    <w:rsid w:val="51D514A1"/>
    <w:rsid w:val="51E86261"/>
    <w:rsid w:val="51F60FA4"/>
    <w:rsid w:val="523429DF"/>
    <w:rsid w:val="526762D2"/>
    <w:rsid w:val="52A10892"/>
    <w:rsid w:val="52B453D9"/>
    <w:rsid w:val="52B925C9"/>
    <w:rsid w:val="52DA0145"/>
    <w:rsid w:val="52EF5B8A"/>
    <w:rsid w:val="53157BAA"/>
    <w:rsid w:val="532100DD"/>
    <w:rsid w:val="532631EC"/>
    <w:rsid w:val="535B075B"/>
    <w:rsid w:val="53C82084"/>
    <w:rsid w:val="53F56162"/>
    <w:rsid w:val="543437C0"/>
    <w:rsid w:val="54407DB7"/>
    <w:rsid w:val="54476E39"/>
    <w:rsid w:val="545170B4"/>
    <w:rsid w:val="54572022"/>
    <w:rsid w:val="54581443"/>
    <w:rsid w:val="5478018A"/>
    <w:rsid w:val="54993A1A"/>
    <w:rsid w:val="54AA6DEE"/>
    <w:rsid w:val="54D142AB"/>
    <w:rsid w:val="54EB48D8"/>
    <w:rsid w:val="550012B8"/>
    <w:rsid w:val="552C3E22"/>
    <w:rsid w:val="553E1633"/>
    <w:rsid w:val="554910C3"/>
    <w:rsid w:val="5565794F"/>
    <w:rsid w:val="55866B82"/>
    <w:rsid w:val="55AC70FA"/>
    <w:rsid w:val="55B66503"/>
    <w:rsid w:val="55CC7FEC"/>
    <w:rsid w:val="55F95A0A"/>
    <w:rsid w:val="562A4F52"/>
    <w:rsid w:val="562D14FF"/>
    <w:rsid w:val="56312E45"/>
    <w:rsid w:val="5660269B"/>
    <w:rsid w:val="567815A1"/>
    <w:rsid w:val="56864EC0"/>
    <w:rsid w:val="56C1389A"/>
    <w:rsid w:val="56C70E4C"/>
    <w:rsid w:val="56DA0379"/>
    <w:rsid w:val="56E629BF"/>
    <w:rsid w:val="571A3316"/>
    <w:rsid w:val="57700F1E"/>
    <w:rsid w:val="57743876"/>
    <w:rsid w:val="5788259C"/>
    <w:rsid w:val="57BA6A69"/>
    <w:rsid w:val="57C96BB6"/>
    <w:rsid w:val="57D60F67"/>
    <w:rsid w:val="58873070"/>
    <w:rsid w:val="58BD13B3"/>
    <w:rsid w:val="58E52D08"/>
    <w:rsid w:val="590239D6"/>
    <w:rsid w:val="59074258"/>
    <w:rsid w:val="599260CF"/>
    <w:rsid w:val="59A374A2"/>
    <w:rsid w:val="59A6390C"/>
    <w:rsid w:val="59A85A0F"/>
    <w:rsid w:val="59BF4E8F"/>
    <w:rsid w:val="59FF3DD5"/>
    <w:rsid w:val="5A061F05"/>
    <w:rsid w:val="5A2D5907"/>
    <w:rsid w:val="5A9E14BA"/>
    <w:rsid w:val="5AAF18B6"/>
    <w:rsid w:val="5AE01549"/>
    <w:rsid w:val="5AF25320"/>
    <w:rsid w:val="5B0C3813"/>
    <w:rsid w:val="5B5D0668"/>
    <w:rsid w:val="5B954541"/>
    <w:rsid w:val="5B9736F3"/>
    <w:rsid w:val="5BA849E6"/>
    <w:rsid w:val="5BDA6D7F"/>
    <w:rsid w:val="5BE119C8"/>
    <w:rsid w:val="5C2B4972"/>
    <w:rsid w:val="5C312F2C"/>
    <w:rsid w:val="5C625955"/>
    <w:rsid w:val="5CA54AB0"/>
    <w:rsid w:val="5CF239A6"/>
    <w:rsid w:val="5D002351"/>
    <w:rsid w:val="5D002A38"/>
    <w:rsid w:val="5D177993"/>
    <w:rsid w:val="5D207458"/>
    <w:rsid w:val="5D3B7CB5"/>
    <w:rsid w:val="5D560EE3"/>
    <w:rsid w:val="5D584373"/>
    <w:rsid w:val="5D754025"/>
    <w:rsid w:val="5D9B3801"/>
    <w:rsid w:val="5DB01940"/>
    <w:rsid w:val="5DE272CE"/>
    <w:rsid w:val="5DE646D3"/>
    <w:rsid w:val="5E0B1330"/>
    <w:rsid w:val="5E1A1A2D"/>
    <w:rsid w:val="5E1A2D19"/>
    <w:rsid w:val="5E7B078E"/>
    <w:rsid w:val="5E822A4A"/>
    <w:rsid w:val="5EFD63A0"/>
    <w:rsid w:val="5F114066"/>
    <w:rsid w:val="5F6A2CAD"/>
    <w:rsid w:val="5F7D52C6"/>
    <w:rsid w:val="5F8E65CB"/>
    <w:rsid w:val="5F93366B"/>
    <w:rsid w:val="60247767"/>
    <w:rsid w:val="60734876"/>
    <w:rsid w:val="60A22725"/>
    <w:rsid w:val="60F04887"/>
    <w:rsid w:val="60FD7201"/>
    <w:rsid w:val="61054C82"/>
    <w:rsid w:val="610C7077"/>
    <w:rsid w:val="61343B02"/>
    <w:rsid w:val="613D6DF3"/>
    <w:rsid w:val="616A3F2E"/>
    <w:rsid w:val="616D1CC8"/>
    <w:rsid w:val="618427EF"/>
    <w:rsid w:val="61B94090"/>
    <w:rsid w:val="62225E76"/>
    <w:rsid w:val="62254142"/>
    <w:rsid w:val="62436AF8"/>
    <w:rsid w:val="626744CC"/>
    <w:rsid w:val="6273108A"/>
    <w:rsid w:val="6286335F"/>
    <w:rsid w:val="62BD06F1"/>
    <w:rsid w:val="62F345C8"/>
    <w:rsid w:val="6319602F"/>
    <w:rsid w:val="63263B2D"/>
    <w:rsid w:val="63737E4E"/>
    <w:rsid w:val="63B1112C"/>
    <w:rsid w:val="63D802E2"/>
    <w:rsid w:val="63DC2FBF"/>
    <w:rsid w:val="63E72F74"/>
    <w:rsid w:val="64081316"/>
    <w:rsid w:val="642D1726"/>
    <w:rsid w:val="64820E7F"/>
    <w:rsid w:val="64A1252C"/>
    <w:rsid w:val="64E9238A"/>
    <w:rsid w:val="64EF0725"/>
    <w:rsid w:val="6567363D"/>
    <w:rsid w:val="65A74A29"/>
    <w:rsid w:val="65E567ED"/>
    <w:rsid w:val="6655160C"/>
    <w:rsid w:val="668039D7"/>
    <w:rsid w:val="66930774"/>
    <w:rsid w:val="66986334"/>
    <w:rsid w:val="669F75AA"/>
    <w:rsid w:val="66AB7437"/>
    <w:rsid w:val="66B44E00"/>
    <w:rsid w:val="66B81ECD"/>
    <w:rsid w:val="66C80FC5"/>
    <w:rsid w:val="66D974CE"/>
    <w:rsid w:val="66F9067A"/>
    <w:rsid w:val="67573614"/>
    <w:rsid w:val="677C6D6C"/>
    <w:rsid w:val="678C3314"/>
    <w:rsid w:val="67B20FA6"/>
    <w:rsid w:val="67F379B8"/>
    <w:rsid w:val="67F97C4C"/>
    <w:rsid w:val="67FD04D0"/>
    <w:rsid w:val="6821718F"/>
    <w:rsid w:val="68595677"/>
    <w:rsid w:val="68891211"/>
    <w:rsid w:val="688E2440"/>
    <w:rsid w:val="68B17662"/>
    <w:rsid w:val="68C609BD"/>
    <w:rsid w:val="69346EC6"/>
    <w:rsid w:val="69556DF3"/>
    <w:rsid w:val="69AA76EB"/>
    <w:rsid w:val="69B12B9E"/>
    <w:rsid w:val="6A18437A"/>
    <w:rsid w:val="6A2161D7"/>
    <w:rsid w:val="6A2E1384"/>
    <w:rsid w:val="6A364250"/>
    <w:rsid w:val="6A670669"/>
    <w:rsid w:val="6A8F05CE"/>
    <w:rsid w:val="6AEF48D3"/>
    <w:rsid w:val="6AF30FB6"/>
    <w:rsid w:val="6B196B05"/>
    <w:rsid w:val="6B336FB1"/>
    <w:rsid w:val="6B931956"/>
    <w:rsid w:val="6BD6293B"/>
    <w:rsid w:val="6BD834E5"/>
    <w:rsid w:val="6C17681A"/>
    <w:rsid w:val="6C7D7C51"/>
    <w:rsid w:val="6C96341D"/>
    <w:rsid w:val="6CAB48F3"/>
    <w:rsid w:val="6CB00BC9"/>
    <w:rsid w:val="6CD51390"/>
    <w:rsid w:val="6D054E50"/>
    <w:rsid w:val="6D1D796E"/>
    <w:rsid w:val="6D306281"/>
    <w:rsid w:val="6D4570DF"/>
    <w:rsid w:val="6DA8216A"/>
    <w:rsid w:val="6E0063F0"/>
    <w:rsid w:val="6E014F3D"/>
    <w:rsid w:val="6E0A3EFC"/>
    <w:rsid w:val="6E677B1D"/>
    <w:rsid w:val="6E694D2F"/>
    <w:rsid w:val="6E8D18D4"/>
    <w:rsid w:val="6E996F51"/>
    <w:rsid w:val="6E9C5B3F"/>
    <w:rsid w:val="6EDE238A"/>
    <w:rsid w:val="6EEE0563"/>
    <w:rsid w:val="6EFC154D"/>
    <w:rsid w:val="6EFC2AE2"/>
    <w:rsid w:val="6F1E04BD"/>
    <w:rsid w:val="6F1E3EFE"/>
    <w:rsid w:val="6F8B4B86"/>
    <w:rsid w:val="6F9279EB"/>
    <w:rsid w:val="6FBE188C"/>
    <w:rsid w:val="6FBE5187"/>
    <w:rsid w:val="6FCE4375"/>
    <w:rsid w:val="6FD3032B"/>
    <w:rsid w:val="6FDB55D0"/>
    <w:rsid w:val="6FE4396C"/>
    <w:rsid w:val="6FE93249"/>
    <w:rsid w:val="7001090D"/>
    <w:rsid w:val="700910BA"/>
    <w:rsid w:val="702D6286"/>
    <w:rsid w:val="706247DB"/>
    <w:rsid w:val="706B3EB8"/>
    <w:rsid w:val="707149A2"/>
    <w:rsid w:val="70812FE7"/>
    <w:rsid w:val="709779C9"/>
    <w:rsid w:val="70982A51"/>
    <w:rsid w:val="70E05BBA"/>
    <w:rsid w:val="71041996"/>
    <w:rsid w:val="71383E8B"/>
    <w:rsid w:val="713E4E22"/>
    <w:rsid w:val="71455E8F"/>
    <w:rsid w:val="719B43F2"/>
    <w:rsid w:val="719D4AD1"/>
    <w:rsid w:val="71F50C85"/>
    <w:rsid w:val="7240030F"/>
    <w:rsid w:val="72417AB9"/>
    <w:rsid w:val="72613DF1"/>
    <w:rsid w:val="72953A77"/>
    <w:rsid w:val="72C60B5E"/>
    <w:rsid w:val="72CD7E53"/>
    <w:rsid w:val="72D51A93"/>
    <w:rsid w:val="72DB4CD1"/>
    <w:rsid w:val="72DC52F8"/>
    <w:rsid w:val="72F51C1D"/>
    <w:rsid w:val="73031B08"/>
    <w:rsid w:val="73162AB8"/>
    <w:rsid w:val="731F509A"/>
    <w:rsid w:val="73345818"/>
    <w:rsid w:val="73443457"/>
    <w:rsid w:val="73782115"/>
    <w:rsid w:val="73A23474"/>
    <w:rsid w:val="73B57597"/>
    <w:rsid w:val="73D96FF7"/>
    <w:rsid w:val="741F2B6E"/>
    <w:rsid w:val="74261FB2"/>
    <w:rsid w:val="743B0372"/>
    <w:rsid w:val="74556998"/>
    <w:rsid w:val="745B2C64"/>
    <w:rsid w:val="74815C6A"/>
    <w:rsid w:val="74934DDC"/>
    <w:rsid w:val="74B577C1"/>
    <w:rsid w:val="74DB41A1"/>
    <w:rsid w:val="75157A83"/>
    <w:rsid w:val="751C658E"/>
    <w:rsid w:val="75254F5B"/>
    <w:rsid w:val="752862B7"/>
    <w:rsid w:val="753A2F94"/>
    <w:rsid w:val="753D49D9"/>
    <w:rsid w:val="75492238"/>
    <w:rsid w:val="75984460"/>
    <w:rsid w:val="75A04D5B"/>
    <w:rsid w:val="75A72CCB"/>
    <w:rsid w:val="75DD0B81"/>
    <w:rsid w:val="761634C4"/>
    <w:rsid w:val="76406639"/>
    <w:rsid w:val="76437287"/>
    <w:rsid w:val="76797FDB"/>
    <w:rsid w:val="76875D36"/>
    <w:rsid w:val="76B34156"/>
    <w:rsid w:val="76E72756"/>
    <w:rsid w:val="77104A47"/>
    <w:rsid w:val="77950C6E"/>
    <w:rsid w:val="77A34B0F"/>
    <w:rsid w:val="77AA1EDD"/>
    <w:rsid w:val="77C1059D"/>
    <w:rsid w:val="77F34632"/>
    <w:rsid w:val="77F67257"/>
    <w:rsid w:val="77FC131B"/>
    <w:rsid w:val="780358A9"/>
    <w:rsid w:val="78143870"/>
    <w:rsid w:val="783D58E3"/>
    <w:rsid w:val="78A546FD"/>
    <w:rsid w:val="78A830C7"/>
    <w:rsid w:val="78AB4BB7"/>
    <w:rsid w:val="78D0048E"/>
    <w:rsid w:val="78E05550"/>
    <w:rsid w:val="78E125CE"/>
    <w:rsid w:val="78E536C4"/>
    <w:rsid w:val="78F348F2"/>
    <w:rsid w:val="79201FA7"/>
    <w:rsid w:val="792B2D45"/>
    <w:rsid w:val="793B4D24"/>
    <w:rsid w:val="794B7537"/>
    <w:rsid w:val="79970C64"/>
    <w:rsid w:val="79A947AE"/>
    <w:rsid w:val="79AC3305"/>
    <w:rsid w:val="79B43785"/>
    <w:rsid w:val="79CE6DF0"/>
    <w:rsid w:val="7A1C17B7"/>
    <w:rsid w:val="7A204F4D"/>
    <w:rsid w:val="7A2C501E"/>
    <w:rsid w:val="7A301ED1"/>
    <w:rsid w:val="7A5B6EF4"/>
    <w:rsid w:val="7A9573C9"/>
    <w:rsid w:val="7AB00950"/>
    <w:rsid w:val="7AB93AD6"/>
    <w:rsid w:val="7ABF22A2"/>
    <w:rsid w:val="7AE371F5"/>
    <w:rsid w:val="7AE8618D"/>
    <w:rsid w:val="7B0A4D75"/>
    <w:rsid w:val="7B460C77"/>
    <w:rsid w:val="7B4B04E9"/>
    <w:rsid w:val="7B5468E1"/>
    <w:rsid w:val="7B676B0E"/>
    <w:rsid w:val="7B866719"/>
    <w:rsid w:val="7B9B51CE"/>
    <w:rsid w:val="7BBC7F06"/>
    <w:rsid w:val="7BC97788"/>
    <w:rsid w:val="7BE06E4C"/>
    <w:rsid w:val="7BE76AAF"/>
    <w:rsid w:val="7C22419B"/>
    <w:rsid w:val="7C292921"/>
    <w:rsid w:val="7C3359C2"/>
    <w:rsid w:val="7C414133"/>
    <w:rsid w:val="7C4F5DA0"/>
    <w:rsid w:val="7C754ED8"/>
    <w:rsid w:val="7CAE6553"/>
    <w:rsid w:val="7CB14210"/>
    <w:rsid w:val="7CE706DB"/>
    <w:rsid w:val="7D29174B"/>
    <w:rsid w:val="7D32766A"/>
    <w:rsid w:val="7D332ACA"/>
    <w:rsid w:val="7D684372"/>
    <w:rsid w:val="7DB16FCC"/>
    <w:rsid w:val="7DBB1D68"/>
    <w:rsid w:val="7DC55C93"/>
    <w:rsid w:val="7DD601AF"/>
    <w:rsid w:val="7DDF2D9D"/>
    <w:rsid w:val="7E1B7F2D"/>
    <w:rsid w:val="7E42189C"/>
    <w:rsid w:val="7E440313"/>
    <w:rsid w:val="7E4A3DEF"/>
    <w:rsid w:val="7E5B6364"/>
    <w:rsid w:val="7E6F4FD0"/>
    <w:rsid w:val="7EC60394"/>
    <w:rsid w:val="7EFD6E57"/>
    <w:rsid w:val="7F112ED5"/>
    <w:rsid w:val="7F7165C8"/>
    <w:rsid w:val="7F816F43"/>
    <w:rsid w:val="7F850E80"/>
    <w:rsid w:val="7FE7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paragraph" w:styleId="5">
    <w:name w:val="heading 2"/>
    <w:basedOn w:val="1"/>
    <w:next w:val="1"/>
    <w:unhideWhenUsed/>
    <w:qFormat/>
    <w:uiPriority w:val="0"/>
    <w:pPr>
      <w:keepNext/>
      <w:keepLines/>
      <w:spacing w:line="413" w:lineRule="auto"/>
      <w:jc w:val="center"/>
      <w:outlineLvl w:val="1"/>
    </w:pPr>
    <w:rPr>
      <w:rFonts w:ascii="Arial" w:hAnsi="Arial" w:eastAsia="宋体"/>
      <w:b/>
      <w:sz w:val="28"/>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unhideWhenUsed/>
    <w:qFormat/>
    <w:uiPriority w:val="0"/>
    <w:pPr>
      <w:keepNext/>
      <w:keepLines/>
      <w:jc w:val="left"/>
      <w:outlineLvl w:val="3"/>
    </w:pPr>
    <w:rPr>
      <w:rFonts w:hint="eastAsia" w:ascii="Arial" w:hAnsi="Arial" w:eastAsia="宋体" w:cs="Times New Roman"/>
      <w:b/>
      <w:sz w:val="32"/>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Plain Text"/>
    <w:basedOn w:val="1"/>
    <w:link w:val="30"/>
    <w:qFormat/>
    <w:uiPriority w:val="0"/>
    <w:pPr>
      <w:spacing w:line="324" w:lineRule="auto"/>
    </w:pPr>
    <w:rPr>
      <w:rFonts w:ascii="宋体" w:hAnsi="Courier New" w:cs="Courier New"/>
      <w:szCs w:val="21"/>
    </w:rPr>
  </w:style>
  <w:style w:type="paragraph" w:styleId="9">
    <w:name w:val="annotation text"/>
    <w:basedOn w:val="1"/>
    <w:link w:val="42"/>
    <w:qFormat/>
    <w:uiPriority w:val="0"/>
    <w:pPr>
      <w:jc w:val="left"/>
    </w:pPr>
  </w:style>
  <w:style w:type="paragraph" w:styleId="10">
    <w:name w:val="Body Text"/>
    <w:basedOn w:val="1"/>
    <w:next w:val="1"/>
    <w:qFormat/>
    <w:uiPriority w:val="99"/>
  </w:style>
  <w:style w:type="paragraph" w:styleId="11">
    <w:name w:val="Body Text Indent"/>
    <w:basedOn w:val="1"/>
    <w:qFormat/>
    <w:uiPriority w:val="0"/>
    <w:pPr>
      <w:spacing w:after="120"/>
      <w:ind w:left="420" w:leftChars="200"/>
    </w:pPr>
  </w:style>
  <w:style w:type="paragraph" w:styleId="12">
    <w:name w:val="Body Text Indent 2"/>
    <w:basedOn w:val="1"/>
    <w:qFormat/>
    <w:uiPriority w:val="0"/>
    <w:pPr>
      <w:spacing w:line="400" w:lineRule="exact"/>
      <w:ind w:firstLine="475" w:firstLineChars="198"/>
    </w:pPr>
    <w:rPr>
      <w:rFonts w:ascii="宋体" w:hAnsi="宋体" w:eastAsia="宋体" w:cs="Times New Roman"/>
      <w:sz w:val="24"/>
      <w:szCs w:val="24"/>
    </w:rPr>
  </w:style>
  <w:style w:type="paragraph" w:styleId="13">
    <w:name w:val="Balloon Text"/>
    <w:basedOn w:val="1"/>
    <w:link w:val="4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annotation subject"/>
    <w:basedOn w:val="9"/>
    <w:next w:val="9"/>
    <w:link w:val="43"/>
    <w:qFormat/>
    <w:uiPriority w:val="0"/>
    <w:rPr>
      <w:b/>
      <w:bCs/>
    </w:rPr>
  </w:style>
  <w:style w:type="paragraph" w:styleId="20">
    <w:name w:val="Body Text First Indent"/>
    <w:basedOn w:val="10"/>
    <w:next w:val="1"/>
    <w:qFormat/>
    <w:uiPriority w:val="99"/>
    <w:pPr>
      <w:ind w:firstLine="420" w:firstLineChars="100"/>
    </w:pPr>
  </w:style>
  <w:style w:type="paragraph" w:styleId="21">
    <w:name w:val="Body Text First Indent 2"/>
    <w:basedOn w:val="11"/>
    <w:next w:val="1"/>
    <w:qFormat/>
    <w:uiPriority w:val="0"/>
    <w:pPr>
      <w:ind w:firstLine="420" w:firstLineChars="2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sz w:val="24"/>
      <w:szCs w:val="24"/>
    </w:rPr>
  </w:style>
  <w:style w:type="character" w:styleId="26">
    <w:name w:val="page number"/>
    <w:basedOn w:val="24"/>
    <w:qFormat/>
    <w:uiPriority w:val="0"/>
  </w:style>
  <w:style w:type="character" w:styleId="27">
    <w:name w:val="FollowedHyperlink"/>
    <w:basedOn w:val="24"/>
    <w:qFormat/>
    <w:uiPriority w:val="0"/>
    <w:rPr>
      <w:rFonts w:hint="eastAsia" w:ascii="宋体" w:hAnsi="宋体" w:eastAsia="宋体" w:cs="宋体"/>
      <w:color w:val="000000"/>
      <w:sz w:val="18"/>
      <w:szCs w:val="18"/>
      <w:u w:val="none"/>
    </w:rPr>
  </w:style>
  <w:style w:type="character" w:styleId="28">
    <w:name w:val="Hyperlink"/>
    <w:basedOn w:val="24"/>
    <w:qFormat/>
    <w:uiPriority w:val="0"/>
    <w:rPr>
      <w:rFonts w:hint="eastAsia" w:ascii="宋体" w:hAnsi="宋体" w:eastAsia="宋体" w:cs="宋体"/>
      <w:color w:val="000000"/>
      <w:sz w:val="18"/>
      <w:szCs w:val="18"/>
      <w:u w:val="none"/>
    </w:rPr>
  </w:style>
  <w:style w:type="character" w:styleId="29">
    <w:name w:val="annotation reference"/>
    <w:basedOn w:val="24"/>
    <w:qFormat/>
    <w:uiPriority w:val="0"/>
    <w:rPr>
      <w:sz w:val="21"/>
      <w:szCs w:val="21"/>
    </w:rPr>
  </w:style>
  <w:style w:type="character" w:customStyle="1" w:styleId="30">
    <w:name w:val="纯文本 字符"/>
    <w:link w:val="3"/>
    <w:qFormat/>
    <w:uiPriority w:val="0"/>
    <w:rPr>
      <w:rFonts w:ascii="宋体" w:hAnsi="Courier New" w:cs="Courier New"/>
      <w:szCs w:val="21"/>
    </w:rPr>
  </w:style>
  <w:style w:type="character" w:customStyle="1" w:styleId="31">
    <w:name w:val="font41"/>
    <w:basedOn w:val="24"/>
    <w:qFormat/>
    <w:uiPriority w:val="0"/>
    <w:rPr>
      <w:rFonts w:hint="eastAsia" w:ascii="宋体" w:hAnsi="宋体" w:eastAsia="宋体" w:cs="宋体"/>
      <w:color w:val="000000"/>
      <w:sz w:val="22"/>
      <w:szCs w:val="22"/>
      <w:u w:val="none"/>
    </w:rPr>
  </w:style>
  <w:style w:type="character" w:customStyle="1" w:styleId="32">
    <w:name w:val="font11"/>
    <w:basedOn w:val="24"/>
    <w:qFormat/>
    <w:uiPriority w:val="0"/>
    <w:rPr>
      <w:rFonts w:hint="eastAsia" w:ascii="宋体" w:hAnsi="宋体" w:eastAsia="宋体" w:cs="宋体"/>
      <w:b/>
      <w:color w:val="000000"/>
      <w:sz w:val="22"/>
      <w:szCs w:val="22"/>
      <w:u w:val="none"/>
    </w:rPr>
  </w:style>
  <w:style w:type="paragraph" w:customStyle="1" w:styleId="33">
    <w:name w:val="列出段落1"/>
    <w:basedOn w:val="1"/>
    <w:unhideWhenUsed/>
    <w:qFormat/>
    <w:uiPriority w:val="99"/>
    <w:pPr>
      <w:ind w:firstLine="420" w:firstLineChars="200"/>
    </w:pPr>
  </w:style>
  <w:style w:type="character" w:customStyle="1" w:styleId="34">
    <w:name w:val="apple-converted-space"/>
    <w:basedOn w:val="24"/>
    <w:qFormat/>
    <w:uiPriority w:val="0"/>
  </w:style>
  <w:style w:type="character" w:customStyle="1" w:styleId="35">
    <w:name w:val="font31"/>
    <w:basedOn w:val="24"/>
    <w:qFormat/>
    <w:uiPriority w:val="0"/>
    <w:rPr>
      <w:rFonts w:hint="eastAsia" w:ascii="宋体" w:hAnsi="宋体" w:eastAsia="宋体" w:cs="宋体"/>
      <w:color w:val="000000"/>
      <w:sz w:val="22"/>
      <w:szCs w:val="22"/>
      <w:u w:val="none"/>
    </w:rPr>
  </w:style>
  <w:style w:type="paragraph" w:customStyle="1" w:styleId="36">
    <w:name w:val="1正文"/>
    <w:basedOn w:val="1"/>
    <w:qFormat/>
    <w:uiPriority w:val="0"/>
    <w:pPr>
      <w:spacing w:line="360" w:lineRule="auto"/>
      <w:ind w:firstLine="424" w:firstLineChars="202"/>
    </w:pPr>
    <w:rPr>
      <w:rFonts w:ascii="黑体" w:hAnsi="宋体" w:eastAsia="黑体"/>
      <w:kern w:val="0"/>
      <w:sz w:val="20"/>
    </w:rPr>
  </w:style>
  <w:style w:type="paragraph" w:customStyle="1" w:styleId="3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38">
    <w:name w:val="样式 首行缩进:  2 字符"/>
    <w:basedOn w:val="1"/>
    <w:qFormat/>
    <w:uiPriority w:val="0"/>
    <w:pPr>
      <w:ind w:firstLine="560"/>
    </w:pPr>
    <w:rPr>
      <w:rFonts w:eastAsia="仿宋_GB2312" w:cs="宋体"/>
      <w:sz w:val="24"/>
      <w:szCs w:val="20"/>
    </w:rPr>
  </w:style>
  <w:style w:type="paragraph" w:customStyle="1" w:styleId="39">
    <w:name w:val="样式9 Char"/>
    <w:basedOn w:val="1"/>
    <w:qFormat/>
    <w:uiPriority w:val="0"/>
    <w:pPr>
      <w:spacing w:line="440" w:lineRule="exact"/>
      <w:ind w:firstLine="200" w:firstLineChars="200"/>
    </w:pPr>
    <w:rPr>
      <w:spacing w:val="6"/>
      <w:szCs w:val="20"/>
    </w:rPr>
  </w:style>
  <w:style w:type="paragraph" w:customStyle="1" w:styleId="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1">
    <w:name w:val="批注框文本 字符"/>
    <w:basedOn w:val="24"/>
    <w:link w:val="13"/>
    <w:qFormat/>
    <w:uiPriority w:val="0"/>
    <w:rPr>
      <w:rFonts w:asciiTheme="minorHAnsi" w:hAnsiTheme="minorHAnsi" w:eastAsiaTheme="minorEastAsia" w:cstheme="minorBidi"/>
      <w:kern w:val="2"/>
      <w:sz w:val="18"/>
      <w:szCs w:val="18"/>
    </w:rPr>
  </w:style>
  <w:style w:type="character" w:customStyle="1" w:styleId="42">
    <w:name w:val="批注文字 字符"/>
    <w:basedOn w:val="24"/>
    <w:link w:val="9"/>
    <w:qFormat/>
    <w:uiPriority w:val="0"/>
    <w:rPr>
      <w:rFonts w:asciiTheme="minorHAnsi" w:hAnsiTheme="minorHAnsi" w:eastAsiaTheme="minorEastAsia" w:cstheme="minorBidi"/>
      <w:kern w:val="2"/>
      <w:sz w:val="21"/>
      <w:szCs w:val="22"/>
    </w:rPr>
  </w:style>
  <w:style w:type="character" w:customStyle="1" w:styleId="43">
    <w:name w:val="批注主题 字符"/>
    <w:basedOn w:val="42"/>
    <w:link w:val="19"/>
    <w:qFormat/>
    <w:uiPriority w:val="0"/>
    <w:rPr>
      <w:rFonts w:asciiTheme="minorHAnsi" w:hAnsiTheme="minorHAnsi" w:eastAsiaTheme="minorEastAsia" w:cstheme="minorBidi"/>
      <w:b/>
      <w:bCs/>
      <w:kern w:val="2"/>
      <w:sz w:val="21"/>
      <w:szCs w:val="22"/>
    </w:rPr>
  </w:style>
  <w:style w:type="paragraph" w:customStyle="1" w:styleId="44">
    <w:name w:val="_Style 3"/>
    <w:basedOn w:val="1"/>
    <w:qFormat/>
    <w:uiPriority w:val="34"/>
    <w:pPr>
      <w:ind w:firstLine="420" w:firstLineChars="200"/>
    </w:pPr>
  </w:style>
  <w:style w:type="paragraph" w:customStyle="1" w:styleId="45">
    <w:name w:val="List Paragraph"/>
    <w:basedOn w:val="1"/>
    <w:qFormat/>
    <w:uiPriority w:val="34"/>
    <w:pPr>
      <w:ind w:firstLine="420" w:firstLineChars="200"/>
    </w:pPr>
  </w:style>
  <w:style w:type="character" w:customStyle="1" w:styleId="4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E207B-2371-4135-A1BD-BD6357FBB6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17646</Words>
  <Characters>19793</Characters>
  <Lines>241</Lines>
  <Paragraphs>68</Paragraphs>
  <TotalTime>0</TotalTime>
  <ScaleCrop>false</ScaleCrop>
  <LinksUpToDate>false</LinksUpToDate>
  <CharactersWithSpaces>21070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2017-10-11T07:02:00Z</dcterms:created>
  <dc:creator>Administrator</dc:creator>
  <cp:lastModifiedBy>じ☆veSunny</cp:lastModifiedBy>
  <cp:lastPrinted>2021-05-10T07:24:00Z</cp:lastPrinted>
  <dcterms:modified xsi:type="dcterms:W3CDTF">2022-05-31T04:08:46Z</dcterms:modified>
  <cp:revision>683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0F3DFAA97B4F444E9968C426B5302473</vt:lpwstr>
  </property>
</Properties>
</file>