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left"/>
        <w:rPr>
          <w:rFonts w:ascii="宋体" w:hAnsi="宋体" w:cs="宋体"/>
          <w:b/>
          <w:sz w:val="28"/>
          <w:szCs w:val="28"/>
        </w:rPr>
      </w:pPr>
      <w:bookmarkStart w:id="0" w:name="OLE_LINK9"/>
      <w:r>
        <w:rPr>
          <w:rFonts w:hint="eastAsia" w:ascii="宋体" w:hAnsi="宋体" w:cs="宋体"/>
          <w:b/>
          <w:sz w:val="28"/>
          <w:szCs w:val="28"/>
        </w:rPr>
        <w:t>政府采购项目</w:t>
      </w:r>
    </w:p>
    <w:p>
      <w:pPr>
        <w:adjustRightInd w:val="0"/>
        <w:snapToGrid w:val="0"/>
        <w:spacing w:line="360" w:lineRule="auto"/>
        <w:jc w:val="left"/>
        <w:rPr>
          <w:rFonts w:hint="eastAsia" w:ascii="宋体" w:hAnsi="宋体" w:eastAsia="宋体" w:cs="宋体"/>
          <w:b/>
          <w:sz w:val="28"/>
          <w:szCs w:val="28"/>
          <w:lang w:eastAsia="zh-CN"/>
        </w:rPr>
      </w:pPr>
      <w:r>
        <w:rPr>
          <w:rFonts w:hint="eastAsia" w:ascii="宋体" w:hAnsi="宋体" w:cs="宋体"/>
          <w:b/>
          <w:sz w:val="28"/>
          <w:szCs w:val="28"/>
        </w:rPr>
        <w:t>项目编号：</w:t>
      </w:r>
      <w:r>
        <w:rPr>
          <w:rFonts w:hint="eastAsia" w:ascii="宋体" w:hAnsi="宋体" w:cs="宋体"/>
          <w:b/>
          <w:sz w:val="28"/>
          <w:szCs w:val="28"/>
          <w:lang w:eastAsia="zh-CN"/>
        </w:rPr>
        <w:t>ZMZB2022YLZY-61</w:t>
      </w:r>
    </w:p>
    <w:p>
      <w:pPr>
        <w:tabs>
          <w:tab w:val="left" w:pos="2336"/>
        </w:tabs>
        <w:adjustRightInd w:val="0"/>
        <w:snapToGrid w:val="0"/>
        <w:spacing w:line="360" w:lineRule="auto"/>
        <w:outlineLvl w:val="9"/>
        <w:rPr>
          <w:rFonts w:hint="eastAsia" w:ascii="宋体" w:hAnsi="宋体" w:cs="宋体"/>
          <w:b/>
          <w:sz w:val="44"/>
          <w:szCs w:val="44"/>
        </w:rPr>
      </w:pPr>
      <w:r>
        <w:rPr>
          <w:rFonts w:hint="eastAsia" w:ascii="宋体" w:hAnsi="宋体" w:cs="宋体"/>
          <w:b/>
          <w:sz w:val="44"/>
          <w:szCs w:val="44"/>
        </w:rPr>
        <w:tab/>
      </w:r>
    </w:p>
    <w:p>
      <w:pPr>
        <w:pStyle w:val="14"/>
      </w:pPr>
    </w:p>
    <w:p>
      <w:pPr>
        <w:adjustRightInd w:val="0"/>
        <w:snapToGrid w:val="0"/>
        <w:spacing w:line="360" w:lineRule="auto"/>
        <w:jc w:val="center"/>
        <w:rPr>
          <w:rFonts w:hint="eastAsia" w:ascii="宋体" w:hAnsi="宋体" w:cs="宋体"/>
          <w:b/>
          <w:bCs/>
          <w:sz w:val="48"/>
          <w:szCs w:val="48"/>
          <w:u w:val="none"/>
          <w:lang w:eastAsia="zh-CN"/>
        </w:rPr>
      </w:pPr>
      <w:r>
        <w:rPr>
          <w:rFonts w:hint="eastAsia" w:ascii="宋体" w:hAnsi="宋体" w:cs="宋体"/>
          <w:b/>
          <w:bCs/>
          <w:sz w:val="48"/>
          <w:szCs w:val="48"/>
          <w:u w:val="none"/>
          <w:lang w:eastAsia="zh-CN"/>
        </w:rPr>
        <w:t>杨凌职业技术学院</w:t>
      </w:r>
    </w:p>
    <w:p>
      <w:pPr>
        <w:adjustRightInd w:val="0"/>
        <w:snapToGrid w:val="0"/>
        <w:spacing w:line="360" w:lineRule="auto"/>
        <w:jc w:val="center"/>
        <w:rPr>
          <w:rFonts w:hint="eastAsia" w:ascii="宋体" w:hAnsi="宋体" w:cs="宋体"/>
          <w:b/>
          <w:bCs/>
          <w:sz w:val="48"/>
          <w:szCs w:val="48"/>
          <w:u w:val="none"/>
          <w:lang w:eastAsia="zh-CN"/>
        </w:rPr>
      </w:pPr>
      <w:r>
        <w:rPr>
          <w:rFonts w:hint="eastAsia" w:ascii="宋体" w:hAnsi="宋体" w:cs="宋体"/>
          <w:b/>
          <w:bCs/>
          <w:sz w:val="48"/>
          <w:szCs w:val="48"/>
          <w:u w:val="none"/>
          <w:lang w:eastAsia="zh-CN"/>
        </w:rPr>
        <w:t>经济与贸易学院实验室建设项目</w:t>
      </w:r>
    </w:p>
    <w:p>
      <w:pPr>
        <w:pStyle w:val="14"/>
      </w:pPr>
    </w:p>
    <w:p/>
    <w:p>
      <w:pPr>
        <w:adjustRightInd w:val="0"/>
        <w:snapToGrid w:val="0"/>
        <w:spacing w:line="360" w:lineRule="auto"/>
        <w:jc w:val="left"/>
        <w:rPr>
          <w:rFonts w:hint="eastAsia" w:ascii="宋体" w:hAnsi="宋体" w:cs="宋体"/>
        </w:rPr>
      </w:pPr>
      <w:r>
        <w:rPr>
          <w:rFonts w:hint="eastAsia" w:ascii="宋体" w:hAnsi="宋体" w:cs="宋体"/>
        </w:rPr>
        <w:drawing>
          <wp:anchor distT="0" distB="0" distL="114300" distR="114300" simplePos="0" relativeHeight="251661312" behindDoc="0" locked="0" layoutInCell="1" allowOverlap="1">
            <wp:simplePos x="0" y="0"/>
            <wp:positionH relativeFrom="column">
              <wp:posOffset>1672590</wp:posOffset>
            </wp:positionH>
            <wp:positionV relativeFrom="paragraph">
              <wp:posOffset>50165</wp:posOffset>
            </wp:positionV>
            <wp:extent cx="2095500" cy="1087120"/>
            <wp:effectExtent l="0" t="0" r="0" b="1778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0"/>
                    <a:stretch>
                      <a:fillRect/>
                    </a:stretch>
                  </pic:blipFill>
                  <pic:spPr>
                    <a:xfrm>
                      <a:off x="0" y="0"/>
                      <a:ext cx="2095500" cy="1087120"/>
                    </a:xfrm>
                    <a:prstGeom prst="rect">
                      <a:avLst/>
                    </a:prstGeom>
                    <a:noFill/>
                    <a:ln>
                      <a:noFill/>
                    </a:ln>
                  </pic:spPr>
                </pic:pic>
              </a:graphicData>
            </a:graphic>
          </wp:anchor>
        </w:drawing>
      </w:r>
    </w:p>
    <w:p>
      <w:pPr>
        <w:pStyle w:val="14"/>
        <w:rPr>
          <w:rFonts w:hint="eastAsia" w:ascii="宋体" w:hAnsi="宋体" w:cs="宋体"/>
        </w:rPr>
      </w:pPr>
    </w:p>
    <w:p>
      <w:pPr>
        <w:rPr>
          <w:rFonts w:hint="eastAsia" w:ascii="宋体" w:hAnsi="宋体" w:cs="宋体"/>
        </w:rPr>
      </w:pPr>
    </w:p>
    <w:p>
      <w:pPr>
        <w:pStyle w:val="14"/>
        <w:rPr>
          <w:rFonts w:hint="eastAsia" w:ascii="宋体" w:hAnsi="宋体" w:cs="宋体"/>
        </w:rPr>
      </w:pPr>
    </w:p>
    <w:p/>
    <w:p>
      <w:pPr>
        <w:rPr>
          <w:rFonts w:ascii="宋体" w:hAnsi="宋体" w:cs="宋体"/>
          <w:b/>
          <w:sz w:val="52"/>
          <w:szCs w:val="52"/>
        </w:rPr>
      </w:pPr>
    </w:p>
    <w:p>
      <w:pPr>
        <w:rPr>
          <w:rFonts w:ascii="宋体" w:hAnsi="宋体" w:cs="宋体"/>
        </w:rPr>
      </w:pPr>
    </w:p>
    <w:p>
      <w:pPr>
        <w:tabs>
          <w:tab w:val="left" w:pos="0"/>
        </w:tabs>
        <w:adjustRightInd w:val="0"/>
        <w:snapToGrid w:val="0"/>
        <w:spacing w:line="360" w:lineRule="auto"/>
        <w:jc w:val="center"/>
        <w:rPr>
          <w:rFonts w:ascii="宋体" w:hAnsi="宋体" w:cs="宋体"/>
          <w:b/>
          <w:sz w:val="96"/>
          <w:szCs w:val="96"/>
        </w:rPr>
      </w:pPr>
      <w:r>
        <w:rPr>
          <w:rFonts w:hint="eastAsia" w:ascii="宋体" w:hAnsi="宋体" w:cs="宋体"/>
          <w:b/>
          <w:sz w:val="96"/>
          <w:szCs w:val="96"/>
        </w:rPr>
        <w:t>公开招标文件</w:t>
      </w:r>
    </w:p>
    <w:p>
      <w:pPr>
        <w:adjustRightInd w:val="0"/>
        <w:snapToGrid w:val="0"/>
        <w:spacing w:line="360" w:lineRule="auto"/>
        <w:jc w:val="both"/>
        <w:rPr>
          <w:rFonts w:ascii="宋体" w:hAnsi="宋体" w:cs="宋体"/>
          <w:b/>
          <w:sz w:val="32"/>
          <w:szCs w:val="32"/>
        </w:rPr>
      </w:pPr>
    </w:p>
    <w:p>
      <w:pPr>
        <w:adjustRightInd w:val="0"/>
        <w:snapToGrid w:val="0"/>
        <w:spacing w:line="360" w:lineRule="auto"/>
        <w:jc w:val="center"/>
        <w:rPr>
          <w:rFonts w:ascii="宋体" w:hAnsi="宋体" w:cs="宋体"/>
          <w:b/>
          <w:sz w:val="32"/>
          <w:szCs w:val="32"/>
        </w:rPr>
      </w:pPr>
    </w:p>
    <w:p>
      <w:pPr>
        <w:adjustRightInd w:val="0"/>
        <w:snapToGrid w:val="0"/>
        <w:spacing w:line="360" w:lineRule="auto"/>
        <w:jc w:val="center"/>
        <w:rPr>
          <w:rFonts w:ascii="宋体" w:hAnsi="宋体" w:cs="宋体"/>
          <w:b/>
          <w:sz w:val="36"/>
          <w:szCs w:val="36"/>
        </w:rPr>
      </w:pPr>
      <w:r>
        <w:rPr>
          <w:rFonts w:hint="eastAsia" w:ascii="宋体" w:hAnsi="宋体" w:cs="宋体"/>
          <w:b/>
          <w:sz w:val="36"/>
          <w:szCs w:val="36"/>
        </w:rPr>
        <w:t>陕西卓佲项目管理有限公司</w:t>
      </w:r>
    </w:p>
    <w:p>
      <w:pPr>
        <w:adjustRightInd w:val="0"/>
        <w:snapToGrid w:val="0"/>
        <w:spacing w:line="600" w:lineRule="auto"/>
        <w:jc w:val="center"/>
        <w:rPr>
          <w:rFonts w:ascii="宋体" w:hAnsi="宋体" w:cs="宋体"/>
          <w:b/>
          <w:sz w:val="40"/>
          <w:szCs w:val="40"/>
        </w:rPr>
        <w:sectPr>
          <w:headerReference r:id="rId4" w:type="first"/>
          <w:footerReference r:id="rId6" w:type="first"/>
          <w:headerReference r:id="rId3" w:type="default"/>
          <w:footerReference r:id="rId5" w:type="default"/>
          <w:pgSz w:w="11906" w:h="16838"/>
          <w:pgMar w:top="1440" w:right="1486" w:bottom="1440" w:left="1800" w:header="851" w:footer="992" w:gutter="0"/>
          <w:pgNumType w:start="1"/>
          <w:cols w:space="720" w:num="1"/>
          <w:docGrid w:type="lines" w:linePitch="312" w:charSpace="0"/>
        </w:sectPr>
      </w:pPr>
      <w:r>
        <w:rPr>
          <w:rFonts w:hint="eastAsia" w:ascii="宋体" w:hAnsi="宋体" w:cs="宋体"/>
          <w:b/>
          <w:sz w:val="36"/>
          <w:szCs w:val="36"/>
        </w:rPr>
        <w:t>2022年</w:t>
      </w:r>
      <w:r>
        <w:rPr>
          <w:rFonts w:hint="eastAsia" w:ascii="宋体" w:hAnsi="宋体" w:cs="宋体"/>
          <w:b/>
          <w:sz w:val="36"/>
          <w:szCs w:val="36"/>
          <w:lang w:val="en-US" w:eastAsia="zh-CN"/>
        </w:rPr>
        <w:t>6</w:t>
      </w:r>
      <w:r>
        <w:rPr>
          <w:rFonts w:hint="eastAsia" w:ascii="宋体" w:hAnsi="宋体" w:cs="宋体"/>
          <w:b/>
          <w:sz w:val="36"/>
          <w:szCs w:val="36"/>
        </w:rPr>
        <w:t>月</w:t>
      </w:r>
    </w:p>
    <w:p>
      <w:pPr>
        <w:pStyle w:val="2"/>
        <w:tabs>
          <w:tab w:val="right" w:leader="dot" w:pos="8306"/>
        </w:tabs>
        <w:spacing w:line="360" w:lineRule="auto"/>
        <w:jc w:val="center"/>
        <w:rPr>
          <w:rFonts w:ascii="宋体" w:hAnsi="宋体" w:cs="宋体"/>
          <w:b/>
          <w:bCs/>
          <w:sz w:val="36"/>
          <w:szCs w:val="36"/>
        </w:rPr>
      </w:pPr>
    </w:p>
    <w:p>
      <w:pPr>
        <w:pStyle w:val="2"/>
        <w:tabs>
          <w:tab w:val="right" w:leader="dot" w:pos="8306"/>
        </w:tabs>
        <w:spacing w:line="360" w:lineRule="auto"/>
        <w:jc w:val="center"/>
        <w:rPr>
          <w:rFonts w:ascii="宋体" w:hAnsi="宋体" w:cs="宋体"/>
          <w:b/>
          <w:bCs/>
          <w:sz w:val="36"/>
          <w:szCs w:val="36"/>
        </w:rPr>
      </w:pPr>
      <w:r>
        <w:rPr>
          <w:rFonts w:hint="eastAsia" w:ascii="宋体" w:hAnsi="宋体" w:cs="宋体"/>
          <w:b/>
          <w:bCs/>
          <w:sz w:val="36"/>
          <w:szCs w:val="36"/>
        </w:rPr>
        <w:t>目 录</w:t>
      </w:r>
    </w:p>
    <w:p>
      <w:pPr>
        <w:jc w:val="center"/>
      </w:pPr>
    </w:p>
    <w:p>
      <w:pPr>
        <w:pStyle w:val="2"/>
        <w:tabs>
          <w:tab w:val="right" w:leader="dot" w:pos="8620"/>
        </w:tabs>
      </w:pPr>
      <w:r>
        <w:fldChar w:fldCharType="begin"/>
      </w:r>
      <w:r>
        <w:instrText xml:space="preserve">TOC \o "1-3" \h \u </w:instrText>
      </w:r>
      <w:r>
        <w:fldChar w:fldCharType="separate"/>
      </w:r>
      <w:r>
        <w:fldChar w:fldCharType="begin"/>
      </w:r>
      <w:r>
        <w:instrText xml:space="preserve"> HYPERLINK \l "_Toc25197" </w:instrText>
      </w:r>
      <w:r>
        <w:fldChar w:fldCharType="separate"/>
      </w:r>
      <w:r>
        <w:rPr>
          <w:rFonts w:hint="eastAsia" w:ascii="宋体" w:hAnsi="宋体" w:cs="宋体"/>
          <w:szCs w:val="36"/>
        </w:rPr>
        <w:t>第一部分  公开招标公告</w:t>
      </w:r>
      <w:r>
        <w:tab/>
      </w:r>
      <w:r>
        <w:fldChar w:fldCharType="begin"/>
      </w:r>
      <w:r>
        <w:instrText xml:space="preserve"> PAGEREF _Toc25197 \h </w:instrText>
      </w:r>
      <w:r>
        <w:fldChar w:fldCharType="separate"/>
      </w:r>
      <w:r>
        <w:t>1</w:t>
      </w:r>
      <w:r>
        <w:fldChar w:fldCharType="end"/>
      </w:r>
      <w:r>
        <w:fldChar w:fldCharType="end"/>
      </w:r>
    </w:p>
    <w:p>
      <w:pPr>
        <w:pStyle w:val="2"/>
        <w:tabs>
          <w:tab w:val="right" w:leader="dot" w:pos="8620"/>
        </w:tabs>
      </w:pPr>
      <w:r>
        <w:fldChar w:fldCharType="begin"/>
      </w:r>
      <w:r>
        <w:instrText xml:space="preserve"> HYPERLINK \l "_Toc26705" </w:instrText>
      </w:r>
      <w:r>
        <w:fldChar w:fldCharType="separate"/>
      </w:r>
      <w:r>
        <w:rPr>
          <w:rFonts w:hint="eastAsia" w:ascii="宋体" w:hAnsi="宋体" w:cs="宋体"/>
          <w:szCs w:val="36"/>
        </w:rPr>
        <w:t>第二部分  供应商须知前附表</w:t>
      </w:r>
      <w:r>
        <w:tab/>
      </w:r>
      <w:r>
        <w:fldChar w:fldCharType="begin"/>
      </w:r>
      <w:r>
        <w:instrText xml:space="preserve"> PAGEREF _Toc26705 \h </w:instrText>
      </w:r>
      <w:r>
        <w:fldChar w:fldCharType="separate"/>
      </w:r>
      <w:r>
        <w:t>13</w:t>
      </w:r>
      <w:r>
        <w:fldChar w:fldCharType="end"/>
      </w:r>
      <w:r>
        <w:fldChar w:fldCharType="end"/>
      </w:r>
    </w:p>
    <w:p>
      <w:pPr>
        <w:pStyle w:val="2"/>
        <w:tabs>
          <w:tab w:val="right" w:leader="dot" w:pos="8620"/>
        </w:tabs>
      </w:pPr>
      <w:r>
        <w:fldChar w:fldCharType="begin"/>
      </w:r>
      <w:r>
        <w:instrText xml:space="preserve"> HYPERLINK \l "_Toc5210" </w:instrText>
      </w:r>
      <w:r>
        <w:fldChar w:fldCharType="separate"/>
      </w:r>
      <w:r>
        <w:rPr>
          <w:rFonts w:hint="eastAsia" w:ascii="宋体" w:hAnsi="宋体" w:cs="宋体"/>
          <w:szCs w:val="36"/>
        </w:rPr>
        <w:t>第三部分  供应商须知</w:t>
      </w:r>
      <w:r>
        <w:tab/>
      </w:r>
      <w:r>
        <w:fldChar w:fldCharType="begin"/>
      </w:r>
      <w:r>
        <w:instrText xml:space="preserve"> PAGEREF _Toc5210 \h </w:instrText>
      </w:r>
      <w:r>
        <w:fldChar w:fldCharType="separate"/>
      </w:r>
      <w:r>
        <w:t>20</w:t>
      </w:r>
      <w:r>
        <w:fldChar w:fldCharType="end"/>
      </w:r>
      <w:r>
        <w:fldChar w:fldCharType="end"/>
      </w:r>
    </w:p>
    <w:p>
      <w:pPr>
        <w:pStyle w:val="22"/>
        <w:tabs>
          <w:tab w:val="right" w:leader="dot" w:pos="8620"/>
        </w:tabs>
      </w:pPr>
      <w:r>
        <w:fldChar w:fldCharType="begin"/>
      </w:r>
      <w:r>
        <w:instrText xml:space="preserve"> HYPERLINK \l "_Toc3346" </w:instrText>
      </w:r>
      <w:r>
        <w:fldChar w:fldCharType="separate"/>
      </w:r>
      <w:r>
        <w:rPr>
          <w:rFonts w:hint="eastAsia" w:ascii="宋体" w:hAnsi="宋体" w:cs="宋体"/>
          <w:szCs w:val="36"/>
        </w:rPr>
        <w:t>一、总 则</w:t>
      </w:r>
      <w:r>
        <w:tab/>
      </w:r>
      <w:r>
        <w:fldChar w:fldCharType="begin"/>
      </w:r>
      <w:r>
        <w:instrText xml:space="preserve"> PAGEREF _Toc3346 \h </w:instrText>
      </w:r>
      <w:r>
        <w:fldChar w:fldCharType="separate"/>
      </w:r>
      <w:r>
        <w:t>20</w:t>
      </w:r>
      <w:r>
        <w:fldChar w:fldCharType="end"/>
      </w:r>
      <w:r>
        <w:fldChar w:fldCharType="end"/>
      </w:r>
    </w:p>
    <w:p>
      <w:pPr>
        <w:pStyle w:val="22"/>
        <w:tabs>
          <w:tab w:val="right" w:leader="dot" w:pos="8620"/>
        </w:tabs>
      </w:pPr>
      <w:r>
        <w:fldChar w:fldCharType="begin"/>
      </w:r>
      <w:r>
        <w:instrText xml:space="preserve"> HYPERLINK \l "_Toc12029" </w:instrText>
      </w:r>
      <w:r>
        <w:fldChar w:fldCharType="separate"/>
      </w:r>
      <w:r>
        <w:rPr>
          <w:rFonts w:hint="eastAsia" w:ascii="宋体" w:hAnsi="宋体" w:cs="宋体"/>
          <w:szCs w:val="28"/>
        </w:rPr>
        <w:t>二、 招标文件</w:t>
      </w:r>
      <w:r>
        <w:tab/>
      </w:r>
      <w:r>
        <w:fldChar w:fldCharType="begin"/>
      </w:r>
      <w:r>
        <w:instrText xml:space="preserve"> PAGEREF _Toc12029 \h </w:instrText>
      </w:r>
      <w:r>
        <w:fldChar w:fldCharType="separate"/>
      </w:r>
      <w:r>
        <w:t>22</w:t>
      </w:r>
      <w:r>
        <w:fldChar w:fldCharType="end"/>
      </w:r>
      <w:r>
        <w:fldChar w:fldCharType="end"/>
      </w:r>
    </w:p>
    <w:p>
      <w:pPr>
        <w:pStyle w:val="22"/>
        <w:tabs>
          <w:tab w:val="right" w:leader="dot" w:pos="8620"/>
        </w:tabs>
      </w:pPr>
      <w:r>
        <w:fldChar w:fldCharType="begin"/>
      </w:r>
      <w:r>
        <w:instrText xml:space="preserve"> HYPERLINK \l "_Toc12591" </w:instrText>
      </w:r>
      <w:r>
        <w:fldChar w:fldCharType="separate"/>
      </w:r>
      <w:r>
        <w:rPr>
          <w:rFonts w:hint="eastAsia" w:ascii="宋体" w:hAnsi="宋体" w:cs="宋体"/>
          <w:szCs w:val="28"/>
        </w:rPr>
        <w:t>三、投标文件</w:t>
      </w:r>
      <w:r>
        <w:tab/>
      </w:r>
      <w:r>
        <w:fldChar w:fldCharType="begin"/>
      </w:r>
      <w:r>
        <w:instrText xml:space="preserve"> PAGEREF _Toc12591 \h </w:instrText>
      </w:r>
      <w:r>
        <w:fldChar w:fldCharType="separate"/>
      </w:r>
      <w:r>
        <w:t>25</w:t>
      </w:r>
      <w:r>
        <w:fldChar w:fldCharType="end"/>
      </w:r>
      <w:r>
        <w:fldChar w:fldCharType="end"/>
      </w:r>
    </w:p>
    <w:p>
      <w:pPr>
        <w:pStyle w:val="22"/>
        <w:tabs>
          <w:tab w:val="right" w:leader="dot" w:pos="8620"/>
        </w:tabs>
      </w:pPr>
      <w:r>
        <w:fldChar w:fldCharType="begin"/>
      </w:r>
      <w:r>
        <w:instrText xml:space="preserve"> HYPERLINK \l "_Toc778" </w:instrText>
      </w:r>
      <w:r>
        <w:fldChar w:fldCharType="separate"/>
      </w:r>
      <w:r>
        <w:rPr>
          <w:rFonts w:hint="eastAsia" w:ascii="宋体" w:hAnsi="宋体" w:cs="宋体"/>
          <w:bCs/>
          <w:kern w:val="0"/>
          <w:szCs w:val="28"/>
        </w:rPr>
        <w:t>四、投标文件的递交</w:t>
      </w:r>
      <w:r>
        <w:tab/>
      </w:r>
      <w:r>
        <w:fldChar w:fldCharType="begin"/>
      </w:r>
      <w:r>
        <w:instrText xml:space="preserve"> PAGEREF _Toc778 \h </w:instrText>
      </w:r>
      <w:r>
        <w:fldChar w:fldCharType="separate"/>
      </w:r>
      <w:r>
        <w:t>27</w:t>
      </w:r>
      <w:r>
        <w:fldChar w:fldCharType="end"/>
      </w:r>
      <w:r>
        <w:fldChar w:fldCharType="end"/>
      </w:r>
    </w:p>
    <w:p>
      <w:pPr>
        <w:pStyle w:val="22"/>
        <w:tabs>
          <w:tab w:val="right" w:leader="dot" w:pos="8620"/>
        </w:tabs>
      </w:pPr>
      <w:r>
        <w:fldChar w:fldCharType="begin"/>
      </w:r>
      <w:r>
        <w:instrText xml:space="preserve"> HYPERLINK \l "_Toc2353" </w:instrText>
      </w:r>
      <w:r>
        <w:fldChar w:fldCharType="separate"/>
      </w:r>
      <w:r>
        <w:rPr>
          <w:rFonts w:hint="eastAsia" w:ascii="宋体" w:hAnsi="宋体" w:cs="宋体"/>
          <w:bCs/>
          <w:kern w:val="0"/>
          <w:szCs w:val="28"/>
        </w:rPr>
        <w:t>五、 开标、评审、定标</w:t>
      </w:r>
      <w:r>
        <w:tab/>
      </w:r>
      <w:r>
        <w:fldChar w:fldCharType="begin"/>
      </w:r>
      <w:r>
        <w:instrText xml:space="preserve"> PAGEREF _Toc2353 \h </w:instrText>
      </w:r>
      <w:r>
        <w:fldChar w:fldCharType="separate"/>
      </w:r>
      <w:r>
        <w:t>27</w:t>
      </w:r>
      <w:r>
        <w:fldChar w:fldCharType="end"/>
      </w:r>
      <w:r>
        <w:fldChar w:fldCharType="end"/>
      </w:r>
    </w:p>
    <w:p>
      <w:pPr>
        <w:pStyle w:val="2"/>
        <w:tabs>
          <w:tab w:val="right" w:leader="dot" w:pos="8620"/>
        </w:tabs>
      </w:pPr>
      <w:r>
        <w:fldChar w:fldCharType="begin"/>
      </w:r>
      <w:r>
        <w:instrText xml:space="preserve"> HYPERLINK \l "_Toc1494" </w:instrText>
      </w:r>
      <w:r>
        <w:fldChar w:fldCharType="separate"/>
      </w:r>
      <w:r>
        <w:rPr>
          <w:rFonts w:hint="eastAsia" w:ascii="宋体" w:hAnsi="宋体" w:cs="宋体"/>
          <w:szCs w:val="36"/>
        </w:rPr>
        <w:t>第四部分 评标方法</w:t>
      </w:r>
      <w:r>
        <w:tab/>
      </w:r>
      <w:r>
        <w:fldChar w:fldCharType="begin"/>
      </w:r>
      <w:r>
        <w:instrText xml:space="preserve"> PAGEREF _Toc1494 \h </w:instrText>
      </w:r>
      <w:r>
        <w:fldChar w:fldCharType="separate"/>
      </w:r>
      <w:r>
        <w:t>33</w:t>
      </w:r>
      <w:r>
        <w:fldChar w:fldCharType="end"/>
      </w:r>
      <w:r>
        <w:fldChar w:fldCharType="end"/>
      </w:r>
    </w:p>
    <w:p>
      <w:pPr>
        <w:pStyle w:val="2"/>
        <w:tabs>
          <w:tab w:val="right" w:leader="dot" w:pos="8620"/>
        </w:tabs>
      </w:pPr>
      <w:r>
        <w:fldChar w:fldCharType="begin"/>
      </w:r>
      <w:r>
        <w:instrText xml:space="preserve"> HYPERLINK \l "_Toc29655" </w:instrText>
      </w:r>
      <w:r>
        <w:fldChar w:fldCharType="separate"/>
      </w:r>
      <w:r>
        <w:rPr>
          <w:rFonts w:hint="eastAsia" w:ascii="宋体" w:hAnsi="宋体" w:cs="宋体"/>
          <w:szCs w:val="36"/>
        </w:rPr>
        <w:t>第五部分 采购要求</w:t>
      </w:r>
      <w:r>
        <w:tab/>
      </w:r>
      <w:r>
        <w:fldChar w:fldCharType="begin"/>
      </w:r>
      <w:r>
        <w:instrText xml:space="preserve"> PAGEREF _Toc29655 \h </w:instrText>
      </w:r>
      <w:r>
        <w:fldChar w:fldCharType="separate"/>
      </w:r>
      <w:r>
        <w:t>57</w:t>
      </w:r>
      <w:r>
        <w:fldChar w:fldCharType="end"/>
      </w:r>
      <w:r>
        <w:fldChar w:fldCharType="end"/>
      </w:r>
    </w:p>
    <w:p>
      <w:pPr>
        <w:pStyle w:val="2"/>
        <w:tabs>
          <w:tab w:val="right" w:leader="dot" w:pos="8620"/>
        </w:tabs>
      </w:pPr>
      <w:r>
        <w:fldChar w:fldCharType="begin"/>
      </w:r>
      <w:r>
        <w:instrText xml:space="preserve"> HYPERLINK \l "_Toc28326" </w:instrText>
      </w:r>
      <w:r>
        <w:fldChar w:fldCharType="separate"/>
      </w:r>
      <w:r>
        <w:rPr>
          <w:rFonts w:hint="eastAsia" w:ascii="宋体" w:hAnsi="宋体" w:cs="宋体"/>
          <w:bCs/>
          <w:szCs w:val="36"/>
        </w:rPr>
        <w:t>第六部分 合同条款</w:t>
      </w:r>
      <w:r>
        <w:tab/>
      </w:r>
      <w:r>
        <w:fldChar w:fldCharType="begin"/>
      </w:r>
      <w:r>
        <w:instrText xml:space="preserve"> PAGEREF _Toc28326 \h </w:instrText>
      </w:r>
      <w:r>
        <w:fldChar w:fldCharType="separate"/>
      </w:r>
      <w:r>
        <w:t>111</w:t>
      </w:r>
      <w:r>
        <w:fldChar w:fldCharType="end"/>
      </w:r>
      <w:r>
        <w:fldChar w:fldCharType="end"/>
      </w:r>
    </w:p>
    <w:p>
      <w:pPr>
        <w:pStyle w:val="2"/>
        <w:tabs>
          <w:tab w:val="right" w:leader="dot" w:pos="8620"/>
        </w:tabs>
      </w:pPr>
      <w:r>
        <w:fldChar w:fldCharType="begin"/>
      </w:r>
      <w:r>
        <w:instrText xml:space="preserve"> HYPERLINK \l "_Toc27958" </w:instrText>
      </w:r>
      <w:r>
        <w:fldChar w:fldCharType="separate"/>
      </w:r>
      <w:r>
        <w:rPr>
          <w:rFonts w:hint="eastAsia" w:ascii="宋体" w:hAnsi="宋体" w:cs="宋体"/>
          <w:szCs w:val="36"/>
        </w:rPr>
        <w:t>第七部分  投标文件格式</w:t>
      </w:r>
      <w:r>
        <w:tab/>
      </w:r>
      <w:r>
        <w:fldChar w:fldCharType="begin"/>
      </w:r>
      <w:r>
        <w:instrText xml:space="preserve"> PAGEREF _Toc27958 \h </w:instrText>
      </w:r>
      <w:r>
        <w:fldChar w:fldCharType="separate"/>
      </w:r>
      <w:r>
        <w:t>126</w:t>
      </w:r>
      <w:r>
        <w:fldChar w:fldCharType="end"/>
      </w:r>
      <w:r>
        <w:fldChar w:fldCharType="end"/>
      </w:r>
    </w:p>
    <w:p>
      <w:pPr>
        <w:pStyle w:val="22"/>
        <w:tabs>
          <w:tab w:val="right" w:leader="dot" w:pos="8620"/>
        </w:tabs>
      </w:pPr>
      <w:r>
        <w:fldChar w:fldCharType="begin"/>
      </w:r>
      <w:r>
        <w:instrText xml:space="preserve"> HYPERLINK \l "_Toc11324" </w:instrText>
      </w:r>
      <w:r>
        <w:fldChar w:fldCharType="separate"/>
      </w:r>
      <w:r>
        <w:rPr>
          <w:rFonts w:hint="eastAsia" w:ascii="宋体" w:hAnsi="宋体" w:cs="宋体"/>
          <w:szCs w:val="36"/>
        </w:rPr>
        <w:t>第一部分  投标函</w:t>
      </w:r>
      <w:r>
        <w:tab/>
      </w:r>
      <w:r>
        <w:fldChar w:fldCharType="begin"/>
      </w:r>
      <w:r>
        <w:instrText xml:space="preserve"> PAGEREF _Toc11324 \h </w:instrText>
      </w:r>
      <w:r>
        <w:fldChar w:fldCharType="separate"/>
      </w:r>
      <w:r>
        <w:t>128</w:t>
      </w:r>
      <w:r>
        <w:fldChar w:fldCharType="end"/>
      </w:r>
      <w:r>
        <w:fldChar w:fldCharType="end"/>
      </w:r>
    </w:p>
    <w:p>
      <w:pPr>
        <w:pStyle w:val="22"/>
        <w:tabs>
          <w:tab w:val="right" w:leader="dot" w:pos="8620"/>
        </w:tabs>
      </w:pPr>
      <w:r>
        <w:fldChar w:fldCharType="begin"/>
      </w:r>
      <w:r>
        <w:instrText xml:space="preserve"> HYPERLINK \l "_Toc3970" </w:instrText>
      </w:r>
      <w:r>
        <w:fldChar w:fldCharType="separate"/>
      </w:r>
      <w:r>
        <w:rPr>
          <w:rFonts w:hint="eastAsia" w:ascii="宋体" w:hAnsi="宋体" w:cs="宋体"/>
          <w:szCs w:val="36"/>
        </w:rPr>
        <w:t>第二部分 报价一览表</w:t>
      </w:r>
      <w:r>
        <w:tab/>
      </w:r>
      <w:r>
        <w:fldChar w:fldCharType="begin"/>
      </w:r>
      <w:r>
        <w:instrText xml:space="preserve"> PAGEREF _Toc3970 \h </w:instrText>
      </w:r>
      <w:r>
        <w:fldChar w:fldCharType="separate"/>
      </w:r>
      <w:r>
        <w:t>129</w:t>
      </w:r>
      <w:r>
        <w:fldChar w:fldCharType="end"/>
      </w:r>
      <w:r>
        <w:fldChar w:fldCharType="end"/>
      </w:r>
    </w:p>
    <w:p>
      <w:pPr>
        <w:pStyle w:val="22"/>
        <w:tabs>
          <w:tab w:val="right" w:leader="dot" w:pos="8620"/>
        </w:tabs>
      </w:pPr>
      <w:r>
        <w:fldChar w:fldCharType="begin"/>
      </w:r>
      <w:r>
        <w:instrText xml:space="preserve"> HYPERLINK \l "_Toc30997" </w:instrText>
      </w:r>
      <w:r>
        <w:fldChar w:fldCharType="separate"/>
      </w:r>
      <w:r>
        <w:rPr>
          <w:rFonts w:hint="eastAsia" w:ascii="宋体" w:hAnsi="宋体" w:cs="宋体"/>
        </w:rPr>
        <w:t>第三部分</w:t>
      </w:r>
      <w:r>
        <w:rPr>
          <w:rFonts w:hint="eastAsia" w:ascii="宋体" w:hAnsi="宋体" w:cs="宋体"/>
          <w:szCs w:val="36"/>
        </w:rPr>
        <w:t xml:space="preserve"> </w:t>
      </w:r>
      <w:r>
        <w:rPr>
          <w:rFonts w:hint="eastAsia" w:ascii="宋体" w:hAnsi="宋体" w:cs="宋体"/>
        </w:rPr>
        <w:t>商务及技术响应说明</w:t>
      </w:r>
      <w:r>
        <w:tab/>
      </w:r>
      <w:r>
        <w:fldChar w:fldCharType="begin"/>
      </w:r>
      <w:r>
        <w:instrText xml:space="preserve"> PAGEREF _Toc30997 \h </w:instrText>
      </w:r>
      <w:r>
        <w:fldChar w:fldCharType="separate"/>
      </w:r>
      <w:r>
        <w:t>131</w:t>
      </w:r>
      <w:r>
        <w:fldChar w:fldCharType="end"/>
      </w:r>
      <w:r>
        <w:fldChar w:fldCharType="end"/>
      </w:r>
    </w:p>
    <w:p>
      <w:pPr>
        <w:pStyle w:val="22"/>
        <w:tabs>
          <w:tab w:val="right" w:leader="dot" w:pos="8620"/>
        </w:tabs>
      </w:pPr>
      <w:r>
        <w:fldChar w:fldCharType="begin"/>
      </w:r>
      <w:r>
        <w:instrText xml:space="preserve"> HYPERLINK \l "_Toc2697" </w:instrText>
      </w:r>
      <w:r>
        <w:fldChar w:fldCharType="separate"/>
      </w:r>
      <w:r>
        <w:rPr>
          <w:rFonts w:hint="eastAsia" w:ascii="宋体" w:hAnsi="宋体" w:cs="宋体"/>
          <w:bCs/>
          <w:szCs w:val="32"/>
        </w:rPr>
        <w:t>商务偏离表</w:t>
      </w:r>
      <w:r>
        <w:tab/>
      </w:r>
      <w:r>
        <w:fldChar w:fldCharType="begin"/>
      </w:r>
      <w:r>
        <w:instrText xml:space="preserve"> PAGEREF _Toc2697 \h </w:instrText>
      </w:r>
      <w:r>
        <w:fldChar w:fldCharType="separate"/>
      </w:r>
      <w:r>
        <w:t>131</w:t>
      </w:r>
      <w:r>
        <w:fldChar w:fldCharType="end"/>
      </w:r>
      <w:r>
        <w:fldChar w:fldCharType="end"/>
      </w:r>
    </w:p>
    <w:p>
      <w:pPr>
        <w:pStyle w:val="22"/>
        <w:tabs>
          <w:tab w:val="right" w:leader="dot" w:pos="8620"/>
        </w:tabs>
      </w:pPr>
      <w:r>
        <w:fldChar w:fldCharType="begin"/>
      </w:r>
      <w:r>
        <w:instrText xml:space="preserve"> HYPERLINK \l "_Toc24472" </w:instrText>
      </w:r>
      <w:r>
        <w:fldChar w:fldCharType="separate"/>
      </w:r>
      <w:r>
        <w:rPr>
          <w:rFonts w:hint="eastAsia" w:ascii="宋体" w:hAnsi="宋体" w:cs="宋体"/>
          <w:bCs/>
          <w:szCs w:val="32"/>
        </w:rPr>
        <w:t>技术偏离表</w:t>
      </w:r>
      <w:r>
        <w:tab/>
      </w:r>
      <w:r>
        <w:fldChar w:fldCharType="begin"/>
      </w:r>
      <w:r>
        <w:instrText xml:space="preserve"> PAGEREF _Toc24472 \h </w:instrText>
      </w:r>
      <w:r>
        <w:fldChar w:fldCharType="separate"/>
      </w:r>
      <w:r>
        <w:t>132</w:t>
      </w:r>
      <w:r>
        <w:fldChar w:fldCharType="end"/>
      </w:r>
      <w:r>
        <w:fldChar w:fldCharType="end"/>
      </w:r>
    </w:p>
    <w:p>
      <w:pPr>
        <w:pStyle w:val="22"/>
        <w:tabs>
          <w:tab w:val="right" w:leader="dot" w:pos="8620"/>
        </w:tabs>
      </w:pPr>
      <w:r>
        <w:fldChar w:fldCharType="begin"/>
      </w:r>
      <w:r>
        <w:instrText xml:space="preserve"> HYPERLINK \l "_Toc10328" </w:instrText>
      </w:r>
      <w:r>
        <w:fldChar w:fldCharType="separate"/>
      </w:r>
      <w:r>
        <w:rPr>
          <w:rFonts w:hint="eastAsia" w:ascii="宋体" w:hAnsi="宋体" w:cs="宋体"/>
          <w:szCs w:val="36"/>
        </w:rPr>
        <w:t>第四部分  供应商资格要求</w:t>
      </w:r>
      <w:r>
        <w:tab/>
      </w:r>
      <w:r>
        <w:fldChar w:fldCharType="begin"/>
      </w:r>
      <w:r>
        <w:instrText xml:space="preserve"> PAGEREF _Toc10328 \h </w:instrText>
      </w:r>
      <w:r>
        <w:fldChar w:fldCharType="separate"/>
      </w:r>
      <w:r>
        <w:t>133</w:t>
      </w:r>
      <w:r>
        <w:fldChar w:fldCharType="end"/>
      </w:r>
      <w:r>
        <w:fldChar w:fldCharType="end"/>
      </w:r>
    </w:p>
    <w:p>
      <w:pPr>
        <w:pStyle w:val="22"/>
        <w:tabs>
          <w:tab w:val="right" w:leader="dot" w:pos="8620"/>
        </w:tabs>
      </w:pPr>
      <w:r>
        <w:fldChar w:fldCharType="begin"/>
      </w:r>
      <w:r>
        <w:instrText xml:space="preserve"> HYPERLINK \l "_Toc2495" </w:instrText>
      </w:r>
      <w:r>
        <w:fldChar w:fldCharType="separate"/>
      </w:r>
      <w:r>
        <w:rPr>
          <w:rFonts w:hint="eastAsia" w:ascii="宋体" w:hAnsi="宋体" w:cs="宋体"/>
          <w:szCs w:val="36"/>
        </w:rPr>
        <w:t>第五部分 技术与服务方案</w:t>
      </w:r>
      <w:r>
        <w:tab/>
      </w:r>
      <w:r>
        <w:fldChar w:fldCharType="begin"/>
      </w:r>
      <w:r>
        <w:instrText xml:space="preserve"> PAGEREF _Toc2495 \h </w:instrText>
      </w:r>
      <w:r>
        <w:fldChar w:fldCharType="separate"/>
      </w:r>
      <w:r>
        <w:t>143</w:t>
      </w:r>
      <w:r>
        <w:fldChar w:fldCharType="end"/>
      </w:r>
      <w:r>
        <w:fldChar w:fldCharType="end"/>
      </w:r>
    </w:p>
    <w:p>
      <w:pPr>
        <w:pStyle w:val="22"/>
        <w:tabs>
          <w:tab w:val="right" w:leader="dot" w:pos="8620"/>
        </w:tabs>
      </w:pPr>
      <w:r>
        <w:fldChar w:fldCharType="begin"/>
      </w:r>
      <w:r>
        <w:instrText xml:space="preserve"> HYPERLINK \l "_Toc14408" </w:instrText>
      </w:r>
      <w:r>
        <w:fldChar w:fldCharType="separate"/>
      </w:r>
      <w:r>
        <w:rPr>
          <w:rFonts w:hint="eastAsia" w:ascii="宋体" w:hAnsi="宋体" w:cs="宋体"/>
          <w:szCs w:val="36"/>
        </w:rPr>
        <w:t>第六部分  服务承诺</w:t>
      </w:r>
      <w:r>
        <w:tab/>
      </w:r>
      <w:r>
        <w:fldChar w:fldCharType="begin"/>
      </w:r>
      <w:r>
        <w:instrText xml:space="preserve"> PAGEREF _Toc14408 \h </w:instrText>
      </w:r>
      <w:r>
        <w:fldChar w:fldCharType="separate"/>
      </w:r>
      <w:r>
        <w:t>144</w:t>
      </w:r>
      <w:r>
        <w:fldChar w:fldCharType="end"/>
      </w:r>
      <w:r>
        <w:fldChar w:fldCharType="end"/>
      </w:r>
    </w:p>
    <w:p>
      <w:pPr>
        <w:pStyle w:val="22"/>
        <w:tabs>
          <w:tab w:val="right" w:leader="dot" w:pos="8620"/>
        </w:tabs>
      </w:pPr>
      <w:r>
        <w:fldChar w:fldCharType="begin"/>
      </w:r>
      <w:r>
        <w:instrText xml:space="preserve"> HYPERLINK \l "_Toc25440" </w:instrText>
      </w:r>
      <w:r>
        <w:fldChar w:fldCharType="separate"/>
      </w:r>
      <w:r>
        <w:rPr>
          <w:rFonts w:hint="eastAsia" w:ascii="宋体" w:hAnsi="宋体" w:cs="宋体"/>
          <w:szCs w:val="36"/>
        </w:rPr>
        <w:t>第七部分  业绩一览表</w:t>
      </w:r>
      <w:r>
        <w:tab/>
      </w:r>
      <w:r>
        <w:fldChar w:fldCharType="begin"/>
      </w:r>
      <w:r>
        <w:instrText xml:space="preserve"> PAGEREF _Toc25440 \h </w:instrText>
      </w:r>
      <w:r>
        <w:fldChar w:fldCharType="separate"/>
      </w:r>
      <w:r>
        <w:t>145</w:t>
      </w:r>
      <w:r>
        <w:fldChar w:fldCharType="end"/>
      </w:r>
      <w:r>
        <w:fldChar w:fldCharType="end"/>
      </w:r>
    </w:p>
    <w:p>
      <w:pPr>
        <w:pStyle w:val="22"/>
        <w:tabs>
          <w:tab w:val="right" w:leader="dot" w:pos="8620"/>
        </w:tabs>
      </w:pPr>
      <w:r>
        <w:fldChar w:fldCharType="begin"/>
      </w:r>
      <w:r>
        <w:instrText xml:space="preserve"> HYPERLINK \l "_Toc28975" </w:instrText>
      </w:r>
      <w:r>
        <w:fldChar w:fldCharType="separate"/>
      </w:r>
      <w:r>
        <w:rPr>
          <w:rFonts w:hint="eastAsia" w:ascii="宋体" w:hAnsi="宋体" w:cs="宋体"/>
          <w:szCs w:val="36"/>
        </w:rPr>
        <w:t>第八部分 供应商认为有必要说明的其他问题</w:t>
      </w:r>
      <w:r>
        <w:tab/>
      </w:r>
      <w:r>
        <w:fldChar w:fldCharType="begin"/>
      </w:r>
      <w:r>
        <w:instrText xml:space="preserve"> PAGEREF _Toc28975 \h </w:instrText>
      </w:r>
      <w:r>
        <w:fldChar w:fldCharType="separate"/>
      </w:r>
      <w:r>
        <w:t>146</w:t>
      </w:r>
      <w:r>
        <w:fldChar w:fldCharType="end"/>
      </w:r>
      <w:r>
        <w:fldChar w:fldCharType="end"/>
      </w:r>
    </w:p>
    <w:p>
      <w:pPr>
        <w:pStyle w:val="15"/>
        <w:tabs>
          <w:tab w:val="right" w:leader="dot" w:pos="8620"/>
        </w:tabs>
      </w:pPr>
      <w:r>
        <w:fldChar w:fldCharType="begin"/>
      </w:r>
      <w:r>
        <w:instrText xml:space="preserve"> HYPERLINK \l "_Toc16620" </w:instrText>
      </w:r>
      <w:r>
        <w:fldChar w:fldCharType="separate"/>
      </w:r>
      <w:r>
        <w:rPr>
          <w:rFonts w:hint="eastAsia" w:ascii="宋体" w:hAnsi="宋体" w:cs="宋体"/>
        </w:rPr>
        <w:t>附件一、封袋正面标识式样</w:t>
      </w:r>
      <w:r>
        <w:tab/>
      </w:r>
      <w:r>
        <w:fldChar w:fldCharType="begin"/>
      </w:r>
      <w:r>
        <w:instrText xml:space="preserve"> PAGEREF _Toc16620 \h </w:instrText>
      </w:r>
      <w:r>
        <w:fldChar w:fldCharType="separate"/>
      </w:r>
      <w:r>
        <w:t>147</w:t>
      </w:r>
      <w:r>
        <w:fldChar w:fldCharType="end"/>
      </w:r>
      <w:r>
        <w:fldChar w:fldCharType="end"/>
      </w:r>
    </w:p>
    <w:p>
      <w:pPr>
        <w:pStyle w:val="15"/>
        <w:tabs>
          <w:tab w:val="right" w:leader="dot" w:pos="8620"/>
        </w:tabs>
      </w:pPr>
      <w:r>
        <w:fldChar w:fldCharType="begin"/>
      </w:r>
      <w:r>
        <w:instrText xml:space="preserve"> HYPERLINK \l "_Toc13028" </w:instrText>
      </w:r>
      <w:r>
        <w:fldChar w:fldCharType="separate"/>
      </w:r>
      <w:r>
        <w:rPr>
          <w:rFonts w:hint="eastAsia" w:ascii="宋体" w:hAnsi="宋体" w:cs="宋体"/>
        </w:rPr>
        <w:t>附件二、中小企业申明（货物）</w:t>
      </w:r>
      <w:r>
        <w:tab/>
      </w:r>
      <w:r>
        <w:fldChar w:fldCharType="begin"/>
      </w:r>
      <w:r>
        <w:instrText xml:space="preserve"> PAGEREF _Toc13028 \h </w:instrText>
      </w:r>
      <w:r>
        <w:fldChar w:fldCharType="separate"/>
      </w:r>
      <w:r>
        <w:t>149</w:t>
      </w:r>
      <w:r>
        <w:fldChar w:fldCharType="end"/>
      </w:r>
      <w:r>
        <w:fldChar w:fldCharType="end"/>
      </w:r>
    </w:p>
    <w:p>
      <w:pPr>
        <w:pStyle w:val="15"/>
        <w:tabs>
          <w:tab w:val="right" w:leader="dot" w:pos="8620"/>
        </w:tabs>
      </w:pPr>
      <w:r>
        <w:fldChar w:fldCharType="begin"/>
      </w:r>
      <w:r>
        <w:instrText xml:space="preserve"> HYPERLINK \l "_Toc4963" </w:instrText>
      </w:r>
      <w:r>
        <w:fldChar w:fldCharType="separate"/>
      </w:r>
      <w:r>
        <w:rPr>
          <w:rFonts w:hint="eastAsia" w:ascii="宋体" w:hAnsi="宋体" w:cs="宋体"/>
        </w:rPr>
        <w:t>附件三、残疾人福利性单位声明</w:t>
      </w:r>
      <w:r>
        <w:tab/>
      </w:r>
      <w:r>
        <w:fldChar w:fldCharType="begin"/>
      </w:r>
      <w:r>
        <w:instrText xml:space="preserve"> PAGEREF _Toc4963 \h </w:instrText>
      </w:r>
      <w:r>
        <w:fldChar w:fldCharType="separate"/>
      </w:r>
      <w:r>
        <w:t>153</w:t>
      </w:r>
      <w:r>
        <w:fldChar w:fldCharType="end"/>
      </w:r>
      <w:r>
        <w:fldChar w:fldCharType="end"/>
      </w:r>
    </w:p>
    <w:p>
      <w:pPr>
        <w:pStyle w:val="15"/>
        <w:tabs>
          <w:tab w:val="right" w:leader="dot" w:pos="8620"/>
        </w:tabs>
      </w:pPr>
      <w:r>
        <w:fldChar w:fldCharType="begin"/>
      </w:r>
      <w:r>
        <w:instrText xml:space="preserve"> HYPERLINK \l "_Toc226" </w:instrText>
      </w:r>
      <w:r>
        <w:fldChar w:fldCharType="separate"/>
      </w:r>
      <w:r>
        <w:rPr>
          <w:rFonts w:hint="eastAsia" w:ascii="宋体" w:hAnsi="宋体" w:cs="宋体"/>
        </w:rPr>
        <w:t>附件四、监狱企业证明文件</w:t>
      </w:r>
      <w:r>
        <w:tab/>
      </w:r>
      <w:r>
        <w:fldChar w:fldCharType="begin"/>
      </w:r>
      <w:r>
        <w:instrText xml:space="preserve"> PAGEREF _Toc226 \h </w:instrText>
      </w:r>
      <w:r>
        <w:fldChar w:fldCharType="separate"/>
      </w:r>
      <w:r>
        <w:t>153</w:t>
      </w:r>
      <w:r>
        <w:fldChar w:fldCharType="end"/>
      </w:r>
      <w:r>
        <w:fldChar w:fldCharType="end"/>
      </w:r>
    </w:p>
    <w:p>
      <w:pPr>
        <w:pStyle w:val="15"/>
        <w:tabs>
          <w:tab w:val="right" w:leader="dot" w:pos="8620"/>
        </w:tabs>
      </w:pPr>
      <w:r>
        <w:fldChar w:fldCharType="begin"/>
      </w:r>
      <w:r>
        <w:instrText xml:space="preserve"> HYPERLINK \l "_Toc13539" </w:instrText>
      </w:r>
      <w:r>
        <w:fldChar w:fldCharType="separate"/>
      </w:r>
      <w:r>
        <w:rPr>
          <w:rFonts w:hint="eastAsia" w:ascii="宋体" w:hAnsi="宋体" w:cs="宋体"/>
        </w:rPr>
        <w:t>附件五、“节能产品”，“环境标志产品”证明材料</w:t>
      </w:r>
      <w:r>
        <w:tab/>
      </w:r>
      <w:r>
        <w:fldChar w:fldCharType="begin"/>
      </w:r>
      <w:r>
        <w:instrText xml:space="preserve"> PAGEREF _Toc13539 \h </w:instrText>
      </w:r>
      <w:r>
        <w:fldChar w:fldCharType="separate"/>
      </w:r>
      <w:r>
        <w:t>153</w:t>
      </w:r>
      <w:r>
        <w:fldChar w:fldCharType="end"/>
      </w:r>
      <w:r>
        <w:fldChar w:fldCharType="end"/>
      </w:r>
    </w:p>
    <w:p>
      <w:pPr>
        <w:pStyle w:val="15"/>
        <w:tabs>
          <w:tab w:val="right" w:leader="dot" w:pos="8620"/>
        </w:tabs>
      </w:pPr>
      <w:r>
        <w:fldChar w:fldCharType="begin"/>
      </w:r>
      <w:r>
        <w:instrText xml:space="preserve"> HYPERLINK \l "_Toc26392" </w:instrText>
      </w:r>
      <w:r>
        <w:fldChar w:fldCharType="separate"/>
      </w:r>
      <w:r>
        <w:rPr>
          <w:rFonts w:hint="eastAsia" w:ascii="宋体" w:hAnsi="宋体" w:cs="宋体"/>
        </w:rPr>
        <w:t>附件六、质疑函范本</w:t>
      </w:r>
      <w:r>
        <w:tab/>
      </w:r>
      <w:r>
        <w:fldChar w:fldCharType="begin"/>
      </w:r>
      <w:r>
        <w:instrText xml:space="preserve"> PAGEREF _Toc26392 \h </w:instrText>
      </w:r>
      <w:r>
        <w:fldChar w:fldCharType="separate"/>
      </w:r>
      <w:r>
        <w:t>154</w:t>
      </w:r>
      <w:r>
        <w:fldChar w:fldCharType="end"/>
      </w:r>
      <w:r>
        <w:fldChar w:fldCharType="end"/>
      </w:r>
    </w:p>
    <w:p>
      <w:pPr>
        <w:pStyle w:val="15"/>
        <w:tabs>
          <w:tab w:val="right" w:leader="dot" w:pos="8620"/>
        </w:tabs>
      </w:pPr>
      <w:r>
        <w:fldChar w:fldCharType="begin"/>
      </w:r>
      <w:r>
        <w:instrText xml:space="preserve"> HYPERLINK \l "_Toc23229" </w:instrText>
      </w:r>
      <w:r>
        <w:fldChar w:fldCharType="separate"/>
      </w:r>
      <w:r>
        <w:rPr>
          <w:rFonts w:hint="eastAsia" w:ascii="宋体" w:hAnsi="宋体" w:cs="宋体"/>
        </w:rPr>
        <w:t>附件七、保证金退还账户信息确认表</w:t>
      </w:r>
      <w:r>
        <w:tab/>
      </w:r>
      <w:r>
        <w:fldChar w:fldCharType="begin"/>
      </w:r>
      <w:r>
        <w:instrText xml:space="preserve"> PAGEREF _Toc23229 \h </w:instrText>
      </w:r>
      <w:r>
        <w:fldChar w:fldCharType="separate"/>
      </w:r>
      <w:r>
        <w:t>156</w:t>
      </w:r>
      <w:r>
        <w:fldChar w:fldCharType="end"/>
      </w:r>
      <w:r>
        <w:fldChar w:fldCharType="end"/>
      </w:r>
    </w:p>
    <w:p>
      <w:r>
        <w:fldChar w:fldCharType="end"/>
      </w:r>
      <w:bookmarkStart w:id="1" w:name="_Toc2435"/>
      <w:bookmarkStart w:id="2" w:name="_Toc26575"/>
    </w:p>
    <w:p>
      <w:pPr>
        <w:pStyle w:val="4"/>
        <w:spacing w:before="312" w:beforeLines="100" w:after="468" w:afterLines="150" w:line="600" w:lineRule="exact"/>
        <w:rPr>
          <w:rFonts w:ascii="宋体" w:hAnsi="宋体" w:cs="宋体"/>
          <w:sz w:val="36"/>
          <w:szCs w:val="36"/>
        </w:rPr>
        <w:sectPr>
          <w:footerReference r:id="rId7" w:type="default"/>
          <w:pgSz w:w="11906" w:h="16838"/>
          <w:pgMar w:top="1440" w:right="1486" w:bottom="1440" w:left="1800" w:header="851" w:footer="992" w:gutter="0"/>
          <w:cols w:space="720" w:num="1"/>
          <w:docGrid w:type="lines" w:linePitch="312" w:charSpace="0"/>
        </w:sectPr>
      </w:pPr>
    </w:p>
    <w:p>
      <w:pPr>
        <w:pStyle w:val="3"/>
        <w:spacing w:before="312" w:beforeLines="100" w:after="468" w:afterLines="150" w:line="600" w:lineRule="exact"/>
        <w:rPr>
          <w:rFonts w:ascii="宋体" w:hAnsi="宋体" w:cs="宋体"/>
          <w:sz w:val="36"/>
          <w:szCs w:val="36"/>
        </w:rPr>
      </w:pPr>
      <w:bookmarkStart w:id="3" w:name="_Toc25197"/>
      <w:r>
        <w:rPr>
          <w:rFonts w:hint="eastAsia" w:ascii="宋体" w:hAnsi="宋体" w:cs="宋体"/>
          <w:sz w:val="36"/>
          <w:szCs w:val="36"/>
        </w:rPr>
        <w:t>第一部分  公开招标公告</w:t>
      </w:r>
      <w:bookmarkEnd w:id="1"/>
      <w:bookmarkEnd w:id="2"/>
      <w:bookmarkEnd w:id="3"/>
    </w:p>
    <w:p>
      <w:pPr>
        <w:spacing w:line="360" w:lineRule="auto"/>
        <w:ind w:firstLine="482" w:firstLineChars="200"/>
        <w:rPr>
          <w:rFonts w:ascii="宋体" w:hAnsi="宋体" w:cs="宋体"/>
          <w:b/>
          <w:bCs/>
          <w:sz w:val="24"/>
          <w:szCs w:val="24"/>
        </w:rPr>
      </w:pPr>
      <w:r>
        <w:rPr>
          <w:rFonts w:hint="eastAsia" w:ascii="宋体" w:hAnsi="宋体" w:cs="宋体"/>
          <w:b/>
          <w:bCs/>
          <w:sz w:val="24"/>
          <w:szCs w:val="24"/>
        </w:rPr>
        <w:t>项目概况</w:t>
      </w:r>
    </w:p>
    <w:p>
      <w:pPr>
        <w:spacing w:line="360" w:lineRule="auto"/>
        <w:ind w:firstLine="480" w:firstLineChars="200"/>
        <w:rPr>
          <w:rFonts w:ascii="宋体" w:hAnsi="宋体" w:cs="宋体"/>
          <w:sz w:val="24"/>
          <w:szCs w:val="24"/>
        </w:rPr>
      </w:pPr>
      <w:r>
        <w:rPr>
          <w:rFonts w:hint="eastAsia" w:ascii="宋体" w:hAnsi="宋体" w:cs="宋体"/>
          <w:sz w:val="24"/>
          <w:szCs w:val="24"/>
          <w:lang w:eastAsia="zh-CN"/>
        </w:rPr>
        <w:t>杨凌职业技术学院经济与贸易学院实验室建设项目</w:t>
      </w:r>
      <w:r>
        <w:rPr>
          <w:rFonts w:hint="eastAsia" w:ascii="宋体" w:hAnsi="宋体" w:cs="宋体"/>
          <w:sz w:val="24"/>
          <w:szCs w:val="24"/>
        </w:rPr>
        <w:t>的潜在投标人应在西安市雁塔区科技路10号华奥大厦A座20层2002室开标室获取招标文件，并于2022年</w:t>
      </w:r>
      <w:r>
        <w:rPr>
          <w:rFonts w:hint="eastAsia" w:ascii="宋体" w:hAnsi="宋体" w:cs="宋体"/>
          <w:sz w:val="24"/>
          <w:szCs w:val="24"/>
          <w:lang w:val="en-US" w:eastAsia="zh-CN"/>
        </w:rPr>
        <w:t>7</w:t>
      </w:r>
      <w:r>
        <w:rPr>
          <w:rFonts w:hint="eastAsia" w:ascii="宋体" w:hAnsi="宋体" w:cs="宋体"/>
          <w:sz w:val="24"/>
          <w:szCs w:val="24"/>
        </w:rPr>
        <w:t>月</w:t>
      </w:r>
      <w:r>
        <w:rPr>
          <w:rFonts w:hint="eastAsia" w:ascii="宋体" w:hAnsi="宋体" w:cs="宋体"/>
          <w:sz w:val="24"/>
          <w:szCs w:val="24"/>
          <w:lang w:val="en-US" w:eastAsia="zh-CN"/>
        </w:rPr>
        <w:t>7</w:t>
      </w:r>
      <w:r>
        <w:rPr>
          <w:rFonts w:hint="eastAsia" w:ascii="宋体" w:hAnsi="宋体" w:cs="宋体"/>
          <w:sz w:val="24"/>
          <w:szCs w:val="24"/>
        </w:rPr>
        <w:t>日</w:t>
      </w:r>
      <w:r>
        <w:rPr>
          <w:rFonts w:hint="eastAsia" w:ascii="宋体" w:hAnsi="宋体" w:cs="宋体"/>
          <w:sz w:val="24"/>
          <w:szCs w:val="24"/>
          <w:lang w:val="en-US" w:eastAsia="zh-CN"/>
        </w:rPr>
        <w:t>10</w:t>
      </w:r>
      <w:r>
        <w:rPr>
          <w:rFonts w:hint="eastAsia" w:ascii="宋体" w:hAnsi="宋体" w:cs="宋体"/>
          <w:sz w:val="24"/>
          <w:szCs w:val="24"/>
        </w:rPr>
        <w:t>时</w:t>
      </w:r>
      <w:r>
        <w:rPr>
          <w:rFonts w:hint="eastAsia" w:ascii="宋体" w:hAnsi="宋体" w:cs="宋体"/>
          <w:sz w:val="24"/>
          <w:szCs w:val="24"/>
          <w:lang w:val="en-US" w:eastAsia="zh-CN"/>
        </w:rPr>
        <w:t>00</w:t>
      </w:r>
      <w:r>
        <w:rPr>
          <w:rFonts w:hint="eastAsia" w:ascii="宋体" w:hAnsi="宋体" w:cs="宋体"/>
          <w:sz w:val="24"/>
          <w:szCs w:val="24"/>
        </w:rPr>
        <w:t>分（北京时间）前递交投标文件。</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一、项目基本情况</w:t>
      </w:r>
    </w:p>
    <w:p>
      <w:pPr>
        <w:spacing w:line="360" w:lineRule="auto"/>
        <w:ind w:firstLine="480" w:firstLineChars="200"/>
        <w:rPr>
          <w:rFonts w:hint="eastAsia" w:ascii="宋体" w:hAnsi="宋体" w:eastAsia="宋体" w:cs="宋体"/>
          <w:sz w:val="24"/>
          <w:szCs w:val="24"/>
          <w:lang w:eastAsia="zh-CN"/>
        </w:rPr>
      </w:pPr>
      <w:r>
        <w:rPr>
          <w:rFonts w:hint="eastAsia" w:ascii="宋体" w:hAnsi="宋体" w:cs="宋体"/>
          <w:sz w:val="24"/>
          <w:szCs w:val="24"/>
        </w:rPr>
        <w:t>项目编号：</w:t>
      </w:r>
      <w:r>
        <w:rPr>
          <w:rFonts w:hint="eastAsia" w:ascii="宋体" w:hAnsi="宋体" w:cs="宋体"/>
          <w:sz w:val="24"/>
          <w:szCs w:val="24"/>
          <w:lang w:eastAsia="zh-CN"/>
        </w:rPr>
        <w:t>ZMZB2022YLZY-61</w:t>
      </w:r>
    </w:p>
    <w:p>
      <w:pPr>
        <w:spacing w:line="360" w:lineRule="auto"/>
        <w:ind w:firstLine="480" w:firstLineChars="200"/>
        <w:rPr>
          <w:rFonts w:hint="eastAsia" w:ascii="宋体" w:hAnsi="宋体" w:eastAsia="宋体" w:cs="宋体"/>
          <w:sz w:val="24"/>
          <w:szCs w:val="24"/>
          <w:lang w:eastAsia="zh-CN"/>
        </w:rPr>
      </w:pPr>
      <w:r>
        <w:rPr>
          <w:rFonts w:hint="eastAsia" w:ascii="宋体" w:hAnsi="宋体" w:cs="宋体"/>
          <w:sz w:val="24"/>
          <w:szCs w:val="24"/>
        </w:rPr>
        <w:t>项目名称：</w:t>
      </w:r>
      <w:r>
        <w:rPr>
          <w:rFonts w:hint="eastAsia" w:ascii="宋体" w:hAnsi="宋体" w:cs="宋体"/>
          <w:sz w:val="24"/>
          <w:szCs w:val="24"/>
          <w:lang w:eastAsia="zh-CN"/>
        </w:rPr>
        <w:t>杨凌职业技术学院经济与贸易学院实验室建设项目</w:t>
      </w:r>
    </w:p>
    <w:p>
      <w:pPr>
        <w:spacing w:line="360" w:lineRule="auto"/>
        <w:ind w:firstLine="480" w:firstLineChars="200"/>
        <w:rPr>
          <w:rFonts w:ascii="宋体" w:hAnsi="宋体" w:cs="宋体"/>
          <w:sz w:val="24"/>
          <w:szCs w:val="24"/>
        </w:rPr>
      </w:pPr>
      <w:r>
        <w:rPr>
          <w:rFonts w:hint="eastAsia" w:ascii="宋体" w:hAnsi="宋体" w:cs="宋体"/>
          <w:sz w:val="24"/>
          <w:szCs w:val="24"/>
        </w:rPr>
        <w:t>采购方式：公开招标</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rPr>
        <w:t>预算金额：</w:t>
      </w:r>
      <w:r>
        <w:rPr>
          <w:rFonts w:hint="eastAsia" w:ascii="宋体" w:hAnsi="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cs="宋体"/>
          <w:sz w:val="24"/>
          <w:szCs w:val="24"/>
          <w:lang w:val="en-US" w:eastAsia="zh-CN"/>
        </w:rPr>
        <w:t>1</w:t>
      </w:r>
      <w:r>
        <w:rPr>
          <w:rFonts w:hint="eastAsia" w:ascii="宋体" w:hAnsi="宋体" w:eastAsia="宋体" w:cs="宋体"/>
          <w:sz w:val="24"/>
          <w:szCs w:val="24"/>
        </w:rPr>
        <w:t>0,</w:t>
      </w:r>
      <w:r>
        <w:rPr>
          <w:rFonts w:hint="eastAsia" w:ascii="宋体" w:hAnsi="宋体" w:cs="宋体"/>
          <w:sz w:val="24"/>
          <w:szCs w:val="24"/>
          <w:lang w:val="en-US" w:eastAsia="zh-CN"/>
        </w:rPr>
        <w:t>500</w:t>
      </w:r>
      <w:r>
        <w:rPr>
          <w:rFonts w:hint="eastAsia" w:ascii="宋体" w:hAnsi="宋体" w:eastAsia="宋体" w:cs="宋体"/>
          <w:sz w:val="24"/>
          <w:szCs w:val="24"/>
        </w:rPr>
        <w:t>.00元</w:t>
      </w:r>
    </w:p>
    <w:p>
      <w:pPr>
        <w:spacing w:line="360" w:lineRule="auto"/>
        <w:ind w:firstLine="480" w:firstLineChars="200"/>
        <w:rPr>
          <w:rFonts w:ascii="宋体" w:hAnsi="宋体" w:cs="宋体"/>
          <w:sz w:val="24"/>
          <w:szCs w:val="24"/>
        </w:rPr>
      </w:pPr>
      <w:r>
        <w:rPr>
          <w:rFonts w:hint="eastAsia" w:ascii="宋体" w:hAnsi="宋体" w:cs="宋体"/>
          <w:sz w:val="24"/>
          <w:szCs w:val="24"/>
        </w:rPr>
        <w:t>采购需求：</w:t>
      </w:r>
    </w:p>
    <w:p>
      <w:pPr>
        <w:spacing w:line="360" w:lineRule="auto"/>
        <w:ind w:firstLine="480" w:firstLineChars="200"/>
        <w:rPr>
          <w:rFonts w:ascii="宋体" w:hAnsi="宋体" w:cs="宋体"/>
          <w:sz w:val="24"/>
          <w:szCs w:val="24"/>
        </w:rPr>
      </w:pPr>
      <w:r>
        <w:rPr>
          <w:rFonts w:hint="eastAsia" w:ascii="宋体" w:hAnsi="宋体" w:cs="宋体"/>
          <w:sz w:val="24"/>
          <w:szCs w:val="24"/>
        </w:rPr>
        <w:t>合同包1(大数据智能财税实训室（软件）</w:t>
      </w:r>
      <w:r>
        <w:rPr>
          <w:rFonts w:hint="eastAsia" w:ascii="宋体" w:hAnsi="宋体" w:cs="宋体"/>
          <w:sz w:val="24"/>
          <w:szCs w:val="24"/>
          <w:lang w:eastAsia="zh-CN"/>
        </w:rPr>
        <w:t>）</w:t>
      </w:r>
      <w:r>
        <w:rPr>
          <w:rFonts w:hint="eastAsia" w:ascii="宋体" w:hAnsi="宋体" w:cs="宋体"/>
          <w:sz w:val="24"/>
          <w:szCs w:val="24"/>
        </w:rPr>
        <w:t>:</w:t>
      </w:r>
    </w:p>
    <w:p>
      <w:pPr>
        <w:spacing w:line="360" w:lineRule="auto"/>
        <w:ind w:firstLine="480" w:firstLineChars="200"/>
        <w:rPr>
          <w:rFonts w:ascii="宋体" w:hAnsi="宋体" w:cs="宋体"/>
          <w:sz w:val="24"/>
          <w:szCs w:val="24"/>
        </w:rPr>
      </w:pPr>
      <w:r>
        <w:rPr>
          <w:rFonts w:hint="eastAsia" w:ascii="宋体" w:hAnsi="宋体" w:cs="宋体"/>
          <w:sz w:val="24"/>
          <w:szCs w:val="24"/>
        </w:rPr>
        <w:t>合同包预算金额：</w:t>
      </w:r>
      <w:r>
        <w:rPr>
          <w:rFonts w:hint="eastAsia" w:ascii="宋体" w:hAnsi="宋体" w:cs="宋体"/>
          <w:sz w:val="24"/>
          <w:szCs w:val="24"/>
          <w:lang w:val="en-US" w:eastAsia="zh-CN"/>
        </w:rPr>
        <w:t>6</w:t>
      </w:r>
      <w:r>
        <w:rPr>
          <w:rFonts w:hint="eastAsia" w:ascii="宋体" w:hAnsi="宋体" w:cs="宋体"/>
          <w:sz w:val="24"/>
          <w:szCs w:val="24"/>
        </w:rPr>
        <w:t>50,000.00元</w:t>
      </w:r>
    </w:p>
    <w:p>
      <w:pPr>
        <w:spacing w:line="360" w:lineRule="auto"/>
        <w:ind w:firstLine="480" w:firstLineChars="200"/>
        <w:rPr>
          <w:rFonts w:ascii="宋体" w:hAnsi="宋体" w:cs="宋体"/>
          <w:sz w:val="24"/>
          <w:szCs w:val="24"/>
        </w:rPr>
      </w:pPr>
      <w:r>
        <w:rPr>
          <w:rFonts w:hint="eastAsia" w:ascii="宋体" w:hAnsi="宋体" w:cs="宋体"/>
          <w:sz w:val="24"/>
          <w:szCs w:val="24"/>
        </w:rPr>
        <w:t>合同包最高限价：</w:t>
      </w:r>
      <w:r>
        <w:rPr>
          <w:rFonts w:hint="eastAsia" w:ascii="宋体" w:hAnsi="宋体" w:cs="宋体"/>
          <w:sz w:val="24"/>
          <w:szCs w:val="24"/>
          <w:lang w:val="en-US" w:eastAsia="zh-CN"/>
        </w:rPr>
        <w:t>6</w:t>
      </w:r>
      <w:r>
        <w:rPr>
          <w:rFonts w:hint="eastAsia" w:ascii="宋体" w:hAnsi="宋体" w:cs="宋体"/>
          <w:sz w:val="24"/>
          <w:szCs w:val="24"/>
        </w:rPr>
        <w:t>50,000.00元</w:t>
      </w:r>
    </w:p>
    <w:tbl>
      <w:tblPr>
        <w:tblStyle w:val="29"/>
        <w:tblW w:w="9677" w:type="dxa"/>
        <w:tblInd w:w="0" w:type="dxa"/>
        <w:tblLayout w:type="fixed"/>
        <w:tblCellMar>
          <w:top w:w="0" w:type="dxa"/>
          <w:left w:w="0" w:type="dxa"/>
          <w:bottom w:w="0" w:type="dxa"/>
          <w:right w:w="0" w:type="dxa"/>
        </w:tblCellMar>
      </w:tblPr>
      <w:tblGrid>
        <w:gridCol w:w="600"/>
        <w:gridCol w:w="1298"/>
        <w:gridCol w:w="2363"/>
        <w:gridCol w:w="1078"/>
        <w:gridCol w:w="1369"/>
        <w:gridCol w:w="1457"/>
        <w:gridCol w:w="1512"/>
      </w:tblGrid>
      <w:tr>
        <w:tblPrEx>
          <w:tblCellMar>
            <w:top w:w="0" w:type="dxa"/>
            <w:left w:w="0" w:type="dxa"/>
            <w:bottom w:w="0" w:type="dxa"/>
            <w:right w:w="0" w:type="dxa"/>
          </w:tblCellMar>
        </w:tblPrEx>
        <w:trPr>
          <w:trHeight w:val="1809" w:hRule="atLeast"/>
          <w:tblHeader/>
        </w:trPr>
        <w:tc>
          <w:tcPr>
            <w:tcW w:w="6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rPr>
              <w:t>品目号</w:t>
            </w:r>
          </w:p>
        </w:tc>
        <w:tc>
          <w:tcPr>
            <w:tcW w:w="129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rPr>
              <w:t>品目名称</w:t>
            </w:r>
          </w:p>
        </w:tc>
        <w:tc>
          <w:tcPr>
            <w:tcW w:w="236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采购标的</w:t>
            </w:r>
          </w:p>
        </w:tc>
        <w:tc>
          <w:tcPr>
            <w:tcW w:w="10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hint="eastAsia" w:ascii="宋体" w:hAnsi="宋体" w:cs="宋体"/>
                <w:sz w:val="24"/>
                <w:szCs w:val="24"/>
              </w:rPr>
            </w:pPr>
            <w:r>
              <w:rPr>
                <w:rFonts w:hint="eastAsia" w:ascii="宋体" w:hAnsi="宋体" w:cs="宋体"/>
                <w:sz w:val="24"/>
                <w:szCs w:val="24"/>
              </w:rPr>
              <w:t>数量</w:t>
            </w:r>
          </w:p>
          <w:p>
            <w:pPr>
              <w:spacing w:line="360" w:lineRule="auto"/>
              <w:jc w:val="center"/>
              <w:rPr>
                <w:rFonts w:ascii="宋体" w:hAnsi="宋体" w:cs="宋体"/>
                <w:sz w:val="24"/>
                <w:szCs w:val="24"/>
              </w:rPr>
            </w:pPr>
            <w:r>
              <w:rPr>
                <w:rFonts w:hint="eastAsia" w:ascii="宋体" w:hAnsi="宋体" w:cs="宋体"/>
                <w:sz w:val="24"/>
                <w:szCs w:val="24"/>
              </w:rPr>
              <w:t>（单位）</w:t>
            </w:r>
          </w:p>
        </w:tc>
        <w:tc>
          <w:tcPr>
            <w:tcW w:w="136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技术规格、参数及要求</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品目预算(元)</w:t>
            </w:r>
          </w:p>
        </w:tc>
        <w:tc>
          <w:tcPr>
            <w:tcW w:w="15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最高限价(元)</w:t>
            </w:r>
          </w:p>
        </w:tc>
      </w:tr>
      <w:tr>
        <w:tblPrEx>
          <w:tblCellMar>
            <w:top w:w="0" w:type="dxa"/>
            <w:left w:w="0" w:type="dxa"/>
            <w:bottom w:w="0" w:type="dxa"/>
            <w:right w:w="0" w:type="dxa"/>
          </w:tblCellMar>
        </w:tblPrEx>
        <w:trPr>
          <w:trHeight w:val="1758" w:hRule="atLeast"/>
        </w:trPr>
        <w:tc>
          <w:tcPr>
            <w:tcW w:w="6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rPr>
              <w:t>1-1</w:t>
            </w:r>
          </w:p>
        </w:tc>
        <w:tc>
          <w:tcPr>
            <w:tcW w:w="129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ascii="宋体" w:hAnsi="宋体" w:cs="宋体"/>
                <w:sz w:val="24"/>
                <w:szCs w:val="24"/>
              </w:rPr>
              <w:t>教学专用仪器</w:t>
            </w:r>
          </w:p>
        </w:tc>
        <w:tc>
          <w:tcPr>
            <w:tcW w:w="236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教学专用仪器</w:t>
            </w:r>
          </w:p>
        </w:tc>
        <w:tc>
          <w:tcPr>
            <w:tcW w:w="10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1</w:t>
            </w:r>
          </w:p>
        </w:tc>
        <w:tc>
          <w:tcPr>
            <w:tcW w:w="136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rPr>
              <w:t>详见采购文件</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lang w:val="en-US" w:eastAsia="zh-CN"/>
              </w:rPr>
              <w:t>6</w:t>
            </w:r>
            <w:r>
              <w:rPr>
                <w:rFonts w:hint="eastAsia" w:ascii="宋体" w:hAnsi="宋体" w:cs="宋体"/>
                <w:sz w:val="24"/>
                <w:szCs w:val="24"/>
              </w:rPr>
              <w:t>50,000.00</w:t>
            </w:r>
          </w:p>
        </w:tc>
        <w:tc>
          <w:tcPr>
            <w:tcW w:w="15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lang w:val="en-US" w:eastAsia="zh-CN"/>
              </w:rPr>
              <w:t>6</w:t>
            </w:r>
            <w:r>
              <w:rPr>
                <w:rFonts w:hint="eastAsia" w:ascii="宋体" w:hAnsi="宋体" w:cs="宋体"/>
                <w:sz w:val="24"/>
                <w:szCs w:val="24"/>
              </w:rPr>
              <w:t>50,000.00</w:t>
            </w:r>
          </w:p>
        </w:tc>
      </w:tr>
    </w:tbl>
    <w:p>
      <w:pPr>
        <w:spacing w:line="360" w:lineRule="auto"/>
        <w:ind w:firstLine="480" w:firstLineChars="200"/>
        <w:rPr>
          <w:rFonts w:ascii="宋体" w:hAnsi="宋体" w:cs="宋体"/>
          <w:sz w:val="24"/>
          <w:szCs w:val="24"/>
        </w:rPr>
      </w:pPr>
      <w:r>
        <w:rPr>
          <w:rFonts w:hint="eastAsia" w:ascii="宋体" w:hAnsi="宋体" w:cs="宋体"/>
          <w:sz w:val="24"/>
          <w:szCs w:val="24"/>
        </w:rPr>
        <w:t>本合同包不接受联合体投标</w:t>
      </w:r>
    </w:p>
    <w:p>
      <w:pPr>
        <w:spacing w:line="360" w:lineRule="auto"/>
        <w:ind w:firstLine="480" w:firstLineChars="200"/>
        <w:rPr>
          <w:rFonts w:ascii="宋体" w:hAnsi="宋体" w:cs="宋体"/>
          <w:sz w:val="24"/>
          <w:szCs w:val="24"/>
        </w:rPr>
      </w:pPr>
      <w:r>
        <w:rPr>
          <w:rFonts w:hint="eastAsia" w:ascii="宋体" w:hAnsi="宋体" w:cs="宋体"/>
          <w:sz w:val="24"/>
          <w:szCs w:val="24"/>
        </w:rPr>
        <w:t>合同履行期限：自合同签订后</w:t>
      </w:r>
      <w:r>
        <w:rPr>
          <w:rFonts w:hint="eastAsia" w:ascii="宋体" w:hAnsi="宋体" w:cs="宋体"/>
          <w:sz w:val="24"/>
          <w:szCs w:val="24"/>
          <w:lang w:eastAsia="zh-CN"/>
        </w:rPr>
        <w:t>至</w:t>
      </w:r>
      <w:r>
        <w:rPr>
          <w:rFonts w:hint="eastAsia" w:ascii="宋体" w:hAnsi="宋体" w:cs="宋体"/>
          <w:sz w:val="24"/>
          <w:szCs w:val="24"/>
        </w:rPr>
        <w:t>该项目服务期结束（具体服务起止日期可随合同签订时间相应顺延）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w:t>
      </w:r>
      <w:r>
        <w:rPr>
          <w:rFonts w:hint="eastAsia" w:ascii="宋体" w:hAnsi="宋体" w:cs="宋体"/>
          <w:sz w:val="24"/>
          <w:szCs w:val="24"/>
          <w:lang w:val="en-US" w:eastAsia="zh-CN"/>
        </w:rPr>
        <w:t>2</w:t>
      </w:r>
      <w:r>
        <w:rPr>
          <w:rFonts w:hint="eastAsia" w:ascii="宋体" w:hAnsi="宋体" w:eastAsia="宋体" w:cs="宋体"/>
          <w:sz w:val="24"/>
          <w:szCs w:val="24"/>
        </w:rPr>
        <w:t>(大数据智能财税实训室（硬件）):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合同包预算金额：</w:t>
      </w:r>
      <w:r>
        <w:rPr>
          <w:rFonts w:hint="eastAsia" w:ascii="宋体" w:hAnsi="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0</w:t>
      </w:r>
      <w:r>
        <w:rPr>
          <w:rFonts w:hint="eastAsia" w:ascii="宋体" w:hAnsi="宋体" w:cs="宋体"/>
          <w:sz w:val="24"/>
          <w:szCs w:val="24"/>
          <w:lang w:val="en-US" w:eastAsia="zh-CN"/>
        </w:rPr>
        <w:t>8</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cs="宋体"/>
          <w:sz w:val="24"/>
          <w:szCs w:val="24"/>
          <w:lang w:val="en-US" w:eastAsia="zh-CN"/>
        </w:rPr>
        <w:t>500</w:t>
      </w:r>
      <w:r>
        <w:rPr>
          <w:rFonts w:hint="eastAsia" w:ascii="宋体" w:hAnsi="宋体" w:eastAsia="宋体" w:cs="宋体"/>
          <w:sz w:val="24"/>
          <w:szCs w:val="24"/>
        </w:rPr>
        <w:t>.00元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合同包最高限价：</w:t>
      </w:r>
      <w:r>
        <w:rPr>
          <w:rFonts w:hint="eastAsia" w:ascii="宋体" w:hAnsi="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0</w:t>
      </w:r>
      <w:r>
        <w:rPr>
          <w:rFonts w:hint="eastAsia" w:ascii="宋体" w:hAnsi="宋体" w:cs="宋体"/>
          <w:sz w:val="24"/>
          <w:szCs w:val="24"/>
          <w:lang w:val="en-US" w:eastAsia="zh-CN"/>
        </w:rPr>
        <w:t>8</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cs="宋体"/>
          <w:sz w:val="24"/>
          <w:szCs w:val="24"/>
          <w:lang w:val="en-US" w:eastAsia="zh-CN"/>
        </w:rPr>
        <w:t>500</w:t>
      </w:r>
      <w:r>
        <w:rPr>
          <w:rFonts w:hint="eastAsia" w:ascii="宋体" w:hAnsi="宋体" w:eastAsia="宋体" w:cs="宋体"/>
          <w:sz w:val="24"/>
          <w:szCs w:val="24"/>
        </w:rPr>
        <w:t>.00元</w:t>
      </w:r>
    </w:p>
    <w:tbl>
      <w:tblPr>
        <w:tblStyle w:val="29"/>
        <w:tblW w:w="9677" w:type="dxa"/>
        <w:tblInd w:w="0" w:type="dxa"/>
        <w:tblLayout w:type="fixed"/>
        <w:tblCellMar>
          <w:top w:w="0" w:type="dxa"/>
          <w:left w:w="0" w:type="dxa"/>
          <w:bottom w:w="0" w:type="dxa"/>
          <w:right w:w="0" w:type="dxa"/>
        </w:tblCellMar>
      </w:tblPr>
      <w:tblGrid>
        <w:gridCol w:w="600"/>
        <w:gridCol w:w="1228"/>
        <w:gridCol w:w="2164"/>
        <w:gridCol w:w="1035"/>
        <w:gridCol w:w="1290"/>
        <w:gridCol w:w="1680"/>
        <w:gridCol w:w="1680"/>
      </w:tblGrid>
      <w:tr>
        <w:tblPrEx>
          <w:tblCellMar>
            <w:top w:w="0" w:type="dxa"/>
            <w:left w:w="0" w:type="dxa"/>
            <w:bottom w:w="0" w:type="dxa"/>
            <w:right w:w="0" w:type="dxa"/>
          </w:tblCellMar>
        </w:tblPrEx>
        <w:trPr>
          <w:trHeight w:val="1809" w:hRule="atLeast"/>
          <w:tblHeader/>
        </w:trPr>
        <w:tc>
          <w:tcPr>
            <w:tcW w:w="6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rPr>
              <w:t>品目号</w:t>
            </w:r>
          </w:p>
        </w:tc>
        <w:tc>
          <w:tcPr>
            <w:tcW w:w="12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rPr>
              <w:t>品目名称</w:t>
            </w:r>
          </w:p>
        </w:tc>
        <w:tc>
          <w:tcPr>
            <w:tcW w:w="216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采购标的</w:t>
            </w:r>
          </w:p>
        </w:tc>
        <w:tc>
          <w:tcPr>
            <w:tcW w:w="10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hint="eastAsia" w:ascii="宋体" w:hAnsi="宋体" w:cs="宋体"/>
                <w:sz w:val="24"/>
                <w:szCs w:val="24"/>
              </w:rPr>
            </w:pPr>
            <w:r>
              <w:rPr>
                <w:rFonts w:hint="eastAsia" w:ascii="宋体" w:hAnsi="宋体" w:cs="宋体"/>
                <w:sz w:val="24"/>
                <w:szCs w:val="24"/>
              </w:rPr>
              <w:t>数量</w:t>
            </w:r>
          </w:p>
          <w:p>
            <w:pPr>
              <w:spacing w:line="360" w:lineRule="auto"/>
              <w:jc w:val="center"/>
              <w:rPr>
                <w:rFonts w:ascii="宋体" w:hAnsi="宋体" w:cs="宋体"/>
                <w:sz w:val="24"/>
                <w:szCs w:val="24"/>
              </w:rPr>
            </w:pPr>
            <w:r>
              <w:rPr>
                <w:rFonts w:hint="eastAsia" w:ascii="宋体" w:hAnsi="宋体" w:cs="宋体"/>
                <w:sz w:val="24"/>
                <w:szCs w:val="24"/>
              </w:rPr>
              <w:t>（单位）</w:t>
            </w:r>
          </w:p>
        </w:tc>
        <w:tc>
          <w:tcPr>
            <w:tcW w:w="12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技术规格、参数及要求</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品目预算(元)</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最高限价(元)</w:t>
            </w:r>
          </w:p>
        </w:tc>
      </w:tr>
      <w:tr>
        <w:tblPrEx>
          <w:tblCellMar>
            <w:top w:w="0" w:type="dxa"/>
            <w:left w:w="0" w:type="dxa"/>
            <w:bottom w:w="0" w:type="dxa"/>
            <w:right w:w="0" w:type="dxa"/>
          </w:tblCellMar>
        </w:tblPrEx>
        <w:trPr>
          <w:trHeight w:val="1758" w:hRule="atLeast"/>
        </w:trPr>
        <w:tc>
          <w:tcPr>
            <w:tcW w:w="6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-1</w:t>
            </w:r>
          </w:p>
        </w:tc>
        <w:tc>
          <w:tcPr>
            <w:tcW w:w="12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ascii="宋体" w:hAnsi="宋体" w:cs="宋体"/>
                <w:sz w:val="24"/>
                <w:szCs w:val="24"/>
              </w:rPr>
              <w:t>教学专用仪器</w:t>
            </w:r>
          </w:p>
        </w:tc>
        <w:tc>
          <w:tcPr>
            <w:tcW w:w="216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教学专用仪器</w:t>
            </w:r>
          </w:p>
        </w:tc>
        <w:tc>
          <w:tcPr>
            <w:tcW w:w="103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1</w:t>
            </w:r>
          </w:p>
        </w:tc>
        <w:tc>
          <w:tcPr>
            <w:tcW w:w="12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rPr>
              <w:t>详见采购文件</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0</w:t>
            </w:r>
            <w:r>
              <w:rPr>
                <w:rFonts w:hint="eastAsia" w:ascii="宋体" w:hAnsi="宋体" w:cs="宋体"/>
                <w:sz w:val="24"/>
                <w:szCs w:val="24"/>
                <w:lang w:val="en-US" w:eastAsia="zh-CN"/>
              </w:rPr>
              <w:t>8</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cs="宋体"/>
                <w:sz w:val="24"/>
                <w:szCs w:val="24"/>
                <w:lang w:val="en-US" w:eastAsia="zh-CN"/>
              </w:rPr>
              <w:t>500</w:t>
            </w:r>
            <w:r>
              <w:rPr>
                <w:rFonts w:hint="eastAsia" w:ascii="宋体" w:hAnsi="宋体" w:eastAsia="宋体" w:cs="宋体"/>
                <w:sz w:val="24"/>
                <w:szCs w:val="24"/>
              </w:rPr>
              <w:t>.00</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w:t>
            </w:r>
            <w:r>
              <w:rPr>
                <w:rFonts w:hint="eastAsia" w:ascii="宋体" w:hAnsi="宋体" w:eastAsia="宋体" w:cs="宋体"/>
                <w:sz w:val="24"/>
                <w:szCs w:val="24"/>
                <w:lang w:val="en-US" w:eastAsia="zh-CN"/>
              </w:rPr>
              <w:t>0</w:t>
            </w:r>
            <w:r>
              <w:rPr>
                <w:rFonts w:hint="eastAsia" w:ascii="宋体" w:hAnsi="宋体" w:cs="宋体"/>
                <w:sz w:val="24"/>
                <w:szCs w:val="24"/>
                <w:lang w:val="en-US" w:eastAsia="zh-CN"/>
              </w:rPr>
              <w:t>8</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cs="宋体"/>
                <w:sz w:val="24"/>
                <w:szCs w:val="24"/>
                <w:lang w:val="en-US" w:eastAsia="zh-CN"/>
              </w:rPr>
              <w:t>500</w:t>
            </w:r>
            <w:r>
              <w:rPr>
                <w:rFonts w:hint="eastAsia" w:ascii="宋体" w:hAnsi="宋体" w:eastAsia="宋体" w:cs="宋体"/>
                <w:sz w:val="24"/>
                <w:szCs w:val="24"/>
              </w:rPr>
              <w:t>.00</w:t>
            </w:r>
          </w:p>
        </w:tc>
      </w:tr>
    </w:tbl>
    <w:p>
      <w:pPr>
        <w:spacing w:line="360" w:lineRule="auto"/>
        <w:ind w:firstLine="480" w:firstLineChars="200"/>
        <w:rPr>
          <w:rFonts w:ascii="宋体" w:hAnsi="宋体" w:cs="宋体"/>
          <w:sz w:val="24"/>
          <w:szCs w:val="24"/>
        </w:rPr>
      </w:pPr>
      <w:r>
        <w:rPr>
          <w:rFonts w:hint="eastAsia" w:ascii="宋体" w:hAnsi="宋体" w:cs="宋体"/>
          <w:sz w:val="24"/>
          <w:szCs w:val="24"/>
        </w:rPr>
        <w:t>本合同包不接受联合体投标</w:t>
      </w:r>
    </w:p>
    <w:p>
      <w:pPr>
        <w:spacing w:line="360" w:lineRule="auto"/>
        <w:ind w:firstLine="480" w:firstLineChars="200"/>
        <w:rPr>
          <w:rFonts w:ascii="宋体" w:hAnsi="宋体" w:cs="宋体"/>
          <w:sz w:val="24"/>
          <w:szCs w:val="24"/>
        </w:rPr>
      </w:pPr>
      <w:r>
        <w:rPr>
          <w:rFonts w:hint="eastAsia" w:ascii="宋体" w:hAnsi="宋体" w:cs="宋体"/>
          <w:sz w:val="24"/>
          <w:szCs w:val="24"/>
        </w:rPr>
        <w:t>合同履行期限：自合同签订后</w:t>
      </w:r>
      <w:r>
        <w:rPr>
          <w:rFonts w:hint="eastAsia" w:ascii="宋体" w:hAnsi="宋体" w:cs="宋体"/>
          <w:sz w:val="24"/>
          <w:szCs w:val="24"/>
          <w:lang w:eastAsia="zh-CN"/>
        </w:rPr>
        <w:t>至</w:t>
      </w:r>
      <w:r>
        <w:rPr>
          <w:rFonts w:hint="eastAsia" w:ascii="宋体" w:hAnsi="宋体" w:cs="宋体"/>
          <w:sz w:val="24"/>
          <w:szCs w:val="24"/>
        </w:rPr>
        <w:t>该项目服务期结束（具体服务起止日期可随合同签订时间相应顺延）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w:t>
      </w:r>
      <w:r>
        <w:rPr>
          <w:rFonts w:hint="eastAsia" w:ascii="宋体" w:hAnsi="宋体" w:cs="宋体"/>
          <w:sz w:val="24"/>
          <w:szCs w:val="24"/>
          <w:lang w:val="en-US" w:eastAsia="zh-CN"/>
        </w:rPr>
        <w:t>3</w:t>
      </w:r>
      <w:r>
        <w:rPr>
          <w:rFonts w:hint="eastAsia" w:ascii="宋体" w:hAnsi="宋体" w:eastAsia="宋体" w:cs="宋体"/>
          <w:sz w:val="24"/>
          <w:szCs w:val="24"/>
        </w:rPr>
        <w:t>(电子商务师技能竞赛及实践教学软件):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合同包预算金额：</w:t>
      </w:r>
      <w:r>
        <w:rPr>
          <w:rFonts w:hint="eastAsia" w:ascii="宋体" w:hAnsi="宋体" w:eastAsia="宋体" w:cs="宋体"/>
          <w:sz w:val="24"/>
          <w:szCs w:val="24"/>
          <w:lang w:val="en-US" w:eastAsia="zh-CN"/>
        </w:rPr>
        <w:t>490</w:t>
      </w:r>
      <w:r>
        <w:rPr>
          <w:rFonts w:hint="eastAsia" w:ascii="宋体" w:hAnsi="宋体" w:eastAsia="宋体" w:cs="宋体"/>
          <w:sz w:val="24"/>
          <w:szCs w:val="24"/>
        </w:rPr>
        <w:t>,</w:t>
      </w:r>
      <w:r>
        <w:rPr>
          <w:rFonts w:hint="eastAsia" w:ascii="宋体" w:hAnsi="宋体" w:cs="宋体"/>
          <w:sz w:val="24"/>
          <w:szCs w:val="24"/>
          <w:lang w:val="en-US" w:eastAsia="zh-CN"/>
        </w:rPr>
        <w:t>000</w:t>
      </w:r>
      <w:r>
        <w:rPr>
          <w:rFonts w:hint="eastAsia" w:ascii="宋体" w:hAnsi="宋体" w:eastAsia="宋体" w:cs="宋体"/>
          <w:sz w:val="24"/>
          <w:szCs w:val="24"/>
        </w:rPr>
        <w:t>.00元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合同包最高限价：</w:t>
      </w:r>
      <w:r>
        <w:rPr>
          <w:rFonts w:hint="eastAsia" w:ascii="宋体" w:hAnsi="宋体" w:eastAsia="宋体" w:cs="宋体"/>
          <w:sz w:val="24"/>
          <w:szCs w:val="24"/>
          <w:lang w:val="en-US" w:eastAsia="zh-CN"/>
        </w:rPr>
        <w:t>490</w:t>
      </w:r>
      <w:r>
        <w:rPr>
          <w:rFonts w:hint="eastAsia" w:ascii="宋体" w:hAnsi="宋体" w:eastAsia="宋体" w:cs="宋体"/>
          <w:sz w:val="24"/>
          <w:szCs w:val="24"/>
        </w:rPr>
        <w:t>,</w:t>
      </w:r>
      <w:r>
        <w:rPr>
          <w:rFonts w:hint="eastAsia" w:ascii="宋体" w:hAnsi="宋体" w:cs="宋体"/>
          <w:sz w:val="24"/>
          <w:szCs w:val="24"/>
          <w:lang w:val="en-US" w:eastAsia="zh-CN"/>
        </w:rPr>
        <w:t>000</w:t>
      </w:r>
      <w:r>
        <w:rPr>
          <w:rFonts w:hint="eastAsia" w:ascii="宋体" w:hAnsi="宋体" w:eastAsia="宋体" w:cs="宋体"/>
          <w:sz w:val="24"/>
          <w:szCs w:val="24"/>
        </w:rPr>
        <w:t>.00元</w:t>
      </w:r>
    </w:p>
    <w:tbl>
      <w:tblPr>
        <w:tblStyle w:val="29"/>
        <w:tblW w:w="9677" w:type="dxa"/>
        <w:tblInd w:w="0" w:type="dxa"/>
        <w:tblLayout w:type="fixed"/>
        <w:tblCellMar>
          <w:top w:w="0" w:type="dxa"/>
          <w:left w:w="0" w:type="dxa"/>
          <w:bottom w:w="0" w:type="dxa"/>
          <w:right w:w="0" w:type="dxa"/>
        </w:tblCellMar>
      </w:tblPr>
      <w:tblGrid>
        <w:gridCol w:w="600"/>
        <w:gridCol w:w="1298"/>
        <w:gridCol w:w="2363"/>
        <w:gridCol w:w="1078"/>
        <w:gridCol w:w="1369"/>
        <w:gridCol w:w="1457"/>
        <w:gridCol w:w="1512"/>
      </w:tblGrid>
      <w:tr>
        <w:tblPrEx>
          <w:tblCellMar>
            <w:top w:w="0" w:type="dxa"/>
            <w:left w:w="0" w:type="dxa"/>
            <w:bottom w:w="0" w:type="dxa"/>
            <w:right w:w="0" w:type="dxa"/>
          </w:tblCellMar>
        </w:tblPrEx>
        <w:trPr>
          <w:trHeight w:val="1809" w:hRule="atLeast"/>
          <w:tblHeader/>
        </w:trPr>
        <w:tc>
          <w:tcPr>
            <w:tcW w:w="6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rPr>
              <w:t>品目号</w:t>
            </w:r>
          </w:p>
        </w:tc>
        <w:tc>
          <w:tcPr>
            <w:tcW w:w="129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rPr>
              <w:t>品目名称</w:t>
            </w:r>
          </w:p>
        </w:tc>
        <w:tc>
          <w:tcPr>
            <w:tcW w:w="236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采购标的</w:t>
            </w:r>
          </w:p>
        </w:tc>
        <w:tc>
          <w:tcPr>
            <w:tcW w:w="10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hint="eastAsia" w:ascii="宋体" w:hAnsi="宋体" w:cs="宋体"/>
                <w:sz w:val="24"/>
                <w:szCs w:val="24"/>
              </w:rPr>
            </w:pPr>
            <w:r>
              <w:rPr>
                <w:rFonts w:hint="eastAsia" w:ascii="宋体" w:hAnsi="宋体" w:cs="宋体"/>
                <w:sz w:val="24"/>
                <w:szCs w:val="24"/>
              </w:rPr>
              <w:t>数量</w:t>
            </w:r>
          </w:p>
          <w:p>
            <w:pPr>
              <w:spacing w:line="360" w:lineRule="auto"/>
              <w:jc w:val="center"/>
              <w:rPr>
                <w:rFonts w:ascii="宋体" w:hAnsi="宋体" w:cs="宋体"/>
                <w:sz w:val="24"/>
                <w:szCs w:val="24"/>
              </w:rPr>
            </w:pPr>
            <w:r>
              <w:rPr>
                <w:rFonts w:hint="eastAsia" w:ascii="宋体" w:hAnsi="宋体" w:cs="宋体"/>
                <w:sz w:val="24"/>
                <w:szCs w:val="24"/>
              </w:rPr>
              <w:t>（单位）</w:t>
            </w:r>
          </w:p>
        </w:tc>
        <w:tc>
          <w:tcPr>
            <w:tcW w:w="136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技术规格、参数及要求</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品目预算(元)</w:t>
            </w:r>
          </w:p>
        </w:tc>
        <w:tc>
          <w:tcPr>
            <w:tcW w:w="15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最高限价(元)</w:t>
            </w:r>
          </w:p>
        </w:tc>
      </w:tr>
      <w:tr>
        <w:tblPrEx>
          <w:tblCellMar>
            <w:top w:w="0" w:type="dxa"/>
            <w:left w:w="0" w:type="dxa"/>
            <w:bottom w:w="0" w:type="dxa"/>
            <w:right w:w="0" w:type="dxa"/>
          </w:tblCellMar>
        </w:tblPrEx>
        <w:trPr>
          <w:trHeight w:val="1758" w:hRule="atLeast"/>
        </w:trPr>
        <w:tc>
          <w:tcPr>
            <w:tcW w:w="6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lang w:val="en-US" w:eastAsia="zh-CN"/>
              </w:rPr>
              <w:t>3</w:t>
            </w:r>
            <w:r>
              <w:rPr>
                <w:rFonts w:hint="eastAsia" w:ascii="宋体" w:hAnsi="宋体" w:cs="宋体"/>
                <w:sz w:val="24"/>
                <w:szCs w:val="24"/>
              </w:rPr>
              <w:t>-1</w:t>
            </w:r>
          </w:p>
        </w:tc>
        <w:tc>
          <w:tcPr>
            <w:tcW w:w="129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ascii="宋体" w:hAnsi="宋体" w:cs="宋体"/>
                <w:sz w:val="24"/>
                <w:szCs w:val="24"/>
              </w:rPr>
              <w:t>教学专用仪器</w:t>
            </w:r>
          </w:p>
        </w:tc>
        <w:tc>
          <w:tcPr>
            <w:tcW w:w="236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教学专用仪器</w:t>
            </w:r>
          </w:p>
        </w:tc>
        <w:tc>
          <w:tcPr>
            <w:tcW w:w="10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1</w:t>
            </w:r>
          </w:p>
        </w:tc>
        <w:tc>
          <w:tcPr>
            <w:tcW w:w="136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rPr>
              <w:t>详见采购文件</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eastAsia="宋体" w:cs="宋体"/>
                <w:sz w:val="24"/>
                <w:szCs w:val="24"/>
                <w:lang w:val="en-US" w:eastAsia="zh-CN"/>
              </w:rPr>
              <w:t>490</w:t>
            </w:r>
            <w:r>
              <w:rPr>
                <w:rFonts w:hint="eastAsia" w:ascii="宋体" w:hAnsi="宋体" w:eastAsia="宋体" w:cs="宋体"/>
                <w:sz w:val="24"/>
                <w:szCs w:val="24"/>
              </w:rPr>
              <w:t>,</w:t>
            </w:r>
            <w:r>
              <w:rPr>
                <w:rFonts w:hint="eastAsia" w:ascii="宋体" w:hAnsi="宋体" w:cs="宋体"/>
                <w:sz w:val="24"/>
                <w:szCs w:val="24"/>
                <w:lang w:val="en-US" w:eastAsia="zh-CN"/>
              </w:rPr>
              <w:t>000</w:t>
            </w:r>
            <w:r>
              <w:rPr>
                <w:rFonts w:hint="eastAsia" w:ascii="宋体" w:hAnsi="宋体" w:eastAsia="宋体" w:cs="宋体"/>
                <w:sz w:val="24"/>
                <w:szCs w:val="24"/>
              </w:rPr>
              <w:t>.00</w:t>
            </w:r>
          </w:p>
        </w:tc>
        <w:tc>
          <w:tcPr>
            <w:tcW w:w="15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eastAsia="宋体" w:cs="宋体"/>
                <w:sz w:val="24"/>
                <w:szCs w:val="24"/>
                <w:lang w:val="en-US" w:eastAsia="zh-CN"/>
              </w:rPr>
              <w:t>490</w:t>
            </w:r>
            <w:r>
              <w:rPr>
                <w:rFonts w:hint="eastAsia" w:ascii="宋体" w:hAnsi="宋体" w:eastAsia="宋体" w:cs="宋体"/>
                <w:sz w:val="24"/>
                <w:szCs w:val="24"/>
              </w:rPr>
              <w:t>,</w:t>
            </w:r>
            <w:r>
              <w:rPr>
                <w:rFonts w:hint="eastAsia" w:ascii="宋体" w:hAnsi="宋体" w:cs="宋体"/>
                <w:sz w:val="24"/>
                <w:szCs w:val="24"/>
                <w:lang w:val="en-US" w:eastAsia="zh-CN"/>
              </w:rPr>
              <w:t>000</w:t>
            </w:r>
            <w:r>
              <w:rPr>
                <w:rFonts w:hint="eastAsia" w:ascii="宋体" w:hAnsi="宋体" w:eastAsia="宋体" w:cs="宋体"/>
                <w:sz w:val="24"/>
                <w:szCs w:val="24"/>
              </w:rPr>
              <w:t>.00</w:t>
            </w:r>
          </w:p>
        </w:tc>
      </w:tr>
    </w:tbl>
    <w:p>
      <w:pPr>
        <w:spacing w:line="360" w:lineRule="auto"/>
        <w:ind w:firstLine="480" w:firstLineChars="200"/>
        <w:rPr>
          <w:rFonts w:ascii="宋体" w:hAnsi="宋体" w:cs="宋体"/>
          <w:sz w:val="24"/>
          <w:szCs w:val="24"/>
        </w:rPr>
      </w:pPr>
      <w:r>
        <w:rPr>
          <w:rFonts w:hint="eastAsia" w:ascii="宋体" w:hAnsi="宋体" w:cs="宋体"/>
          <w:sz w:val="24"/>
          <w:szCs w:val="24"/>
        </w:rPr>
        <w:t>本合同包不接受联合体投标</w:t>
      </w:r>
    </w:p>
    <w:p>
      <w:pPr>
        <w:spacing w:line="360" w:lineRule="auto"/>
        <w:ind w:firstLine="480" w:firstLineChars="200"/>
        <w:rPr>
          <w:rFonts w:ascii="宋体" w:hAnsi="宋体" w:cs="宋体"/>
          <w:sz w:val="24"/>
          <w:szCs w:val="24"/>
        </w:rPr>
      </w:pPr>
      <w:r>
        <w:rPr>
          <w:rFonts w:hint="eastAsia" w:ascii="宋体" w:hAnsi="宋体" w:cs="宋体"/>
          <w:sz w:val="24"/>
          <w:szCs w:val="24"/>
        </w:rPr>
        <w:t>合同履行期限：自合同签订后</w:t>
      </w:r>
      <w:r>
        <w:rPr>
          <w:rFonts w:hint="eastAsia" w:ascii="宋体" w:hAnsi="宋体" w:cs="宋体"/>
          <w:sz w:val="24"/>
          <w:szCs w:val="24"/>
          <w:lang w:eastAsia="zh-CN"/>
        </w:rPr>
        <w:t>至</w:t>
      </w:r>
      <w:r>
        <w:rPr>
          <w:rFonts w:hint="eastAsia" w:ascii="宋体" w:hAnsi="宋体" w:cs="宋体"/>
          <w:sz w:val="24"/>
          <w:szCs w:val="24"/>
        </w:rPr>
        <w:t>该项目服务期结束（具体服务起止日期可随合同签订时间相应顺延）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w:t>
      </w:r>
      <w:r>
        <w:rPr>
          <w:rFonts w:hint="eastAsia" w:ascii="宋体" w:hAnsi="宋体" w:cs="宋体"/>
          <w:sz w:val="24"/>
          <w:szCs w:val="24"/>
          <w:lang w:val="en-US" w:eastAsia="zh-CN"/>
        </w:rPr>
        <w:t>4</w:t>
      </w:r>
      <w:r>
        <w:rPr>
          <w:rFonts w:hint="eastAsia" w:ascii="宋体" w:hAnsi="宋体" w:eastAsia="宋体" w:cs="宋体"/>
          <w:sz w:val="24"/>
          <w:szCs w:val="24"/>
        </w:rPr>
        <w:t>(智能财税技能测评平台):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合同包预算金额：</w:t>
      </w:r>
      <w:r>
        <w:rPr>
          <w:rFonts w:hint="eastAsia" w:ascii="宋体" w:hAnsi="宋体" w:eastAsia="宋体" w:cs="宋体"/>
          <w:sz w:val="24"/>
          <w:szCs w:val="24"/>
          <w:lang w:val="en-US" w:eastAsia="zh-CN"/>
        </w:rPr>
        <w:t>450</w:t>
      </w:r>
      <w:r>
        <w:rPr>
          <w:rFonts w:hint="eastAsia" w:ascii="宋体" w:hAnsi="宋体" w:eastAsia="宋体" w:cs="宋体"/>
          <w:sz w:val="24"/>
          <w:szCs w:val="24"/>
        </w:rPr>
        <w:t>,</w:t>
      </w:r>
      <w:r>
        <w:rPr>
          <w:rFonts w:hint="eastAsia" w:ascii="宋体" w:hAnsi="宋体" w:cs="宋体"/>
          <w:sz w:val="24"/>
          <w:szCs w:val="24"/>
          <w:lang w:val="en-US" w:eastAsia="zh-CN"/>
        </w:rPr>
        <w:t>000</w:t>
      </w:r>
      <w:r>
        <w:rPr>
          <w:rFonts w:hint="eastAsia" w:ascii="宋体" w:hAnsi="宋体" w:eastAsia="宋体" w:cs="宋体"/>
          <w:sz w:val="24"/>
          <w:szCs w:val="24"/>
        </w:rPr>
        <w:t>.00元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合同包最高限价：</w:t>
      </w:r>
      <w:r>
        <w:rPr>
          <w:rFonts w:hint="eastAsia" w:ascii="宋体" w:hAnsi="宋体" w:eastAsia="宋体" w:cs="宋体"/>
          <w:sz w:val="24"/>
          <w:szCs w:val="24"/>
          <w:lang w:val="en-US" w:eastAsia="zh-CN"/>
        </w:rPr>
        <w:t>450</w:t>
      </w:r>
      <w:r>
        <w:rPr>
          <w:rFonts w:hint="eastAsia" w:ascii="宋体" w:hAnsi="宋体" w:eastAsia="宋体" w:cs="宋体"/>
          <w:sz w:val="24"/>
          <w:szCs w:val="24"/>
        </w:rPr>
        <w:t>,</w:t>
      </w:r>
      <w:r>
        <w:rPr>
          <w:rFonts w:hint="eastAsia" w:ascii="宋体" w:hAnsi="宋体" w:cs="宋体"/>
          <w:sz w:val="24"/>
          <w:szCs w:val="24"/>
          <w:lang w:val="en-US" w:eastAsia="zh-CN"/>
        </w:rPr>
        <w:t>000</w:t>
      </w:r>
      <w:r>
        <w:rPr>
          <w:rFonts w:hint="eastAsia" w:ascii="宋体" w:hAnsi="宋体" w:eastAsia="宋体" w:cs="宋体"/>
          <w:sz w:val="24"/>
          <w:szCs w:val="24"/>
        </w:rPr>
        <w:t>.00元</w:t>
      </w:r>
    </w:p>
    <w:tbl>
      <w:tblPr>
        <w:tblStyle w:val="29"/>
        <w:tblW w:w="9677" w:type="dxa"/>
        <w:tblInd w:w="0" w:type="dxa"/>
        <w:tblLayout w:type="fixed"/>
        <w:tblCellMar>
          <w:top w:w="0" w:type="dxa"/>
          <w:left w:w="0" w:type="dxa"/>
          <w:bottom w:w="0" w:type="dxa"/>
          <w:right w:w="0" w:type="dxa"/>
        </w:tblCellMar>
      </w:tblPr>
      <w:tblGrid>
        <w:gridCol w:w="600"/>
        <w:gridCol w:w="1298"/>
        <w:gridCol w:w="2363"/>
        <w:gridCol w:w="1078"/>
        <w:gridCol w:w="1369"/>
        <w:gridCol w:w="1457"/>
        <w:gridCol w:w="1512"/>
      </w:tblGrid>
      <w:tr>
        <w:tblPrEx>
          <w:tblCellMar>
            <w:top w:w="0" w:type="dxa"/>
            <w:left w:w="0" w:type="dxa"/>
            <w:bottom w:w="0" w:type="dxa"/>
            <w:right w:w="0" w:type="dxa"/>
          </w:tblCellMar>
        </w:tblPrEx>
        <w:trPr>
          <w:trHeight w:val="1809" w:hRule="atLeast"/>
          <w:tblHeader/>
        </w:trPr>
        <w:tc>
          <w:tcPr>
            <w:tcW w:w="6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rPr>
              <w:t>品目号</w:t>
            </w:r>
          </w:p>
        </w:tc>
        <w:tc>
          <w:tcPr>
            <w:tcW w:w="129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rPr>
              <w:t>品目名称</w:t>
            </w:r>
          </w:p>
        </w:tc>
        <w:tc>
          <w:tcPr>
            <w:tcW w:w="236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采购标的</w:t>
            </w:r>
          </w:p>
        </w:tc>
        <w:tc>
          <w:tcPr>
            <w:tcW w:w="10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hint="eastAsia" w:ascii="宋体" w:hAnsi="宋体" w:cs="宋体"/>
                <w:sz w:val="24"/>
                <w:szCs w:val="24"/>
              </w:rPr>
            </w:pPr>
            <w:r>
              <w:rPr>
                <w:rFonts w:hint="eastAsia" w:ascii="宋体" w:hAnsi="宋体" w:cs="宋体"/>
                <w:sz w:val="24"/>
                <w:szCs w:val="24"/>
              </w:rPr>
              <w:t>数量</w:t>
            </w:r>
          </w:p>
          <w:p>
            <w:pPr>
              <w:spacing w:line="360" w:lineRule="auto"/>
              <w:jc w:val="center"/>
              <w:rPr>
                <w:rFonts w:ascii="宋体" w:hAnsi="宋体" w:cs="宋体"/>
                <w:sz w:val="24"/>
                <w:szCs w:val="24"/>
              </w:rPr>
            </w:pPr>
            <w:r>
              <w:rPr>
                <w:rFonts w:hint="eastAsia" w:ascii="宋体" w:hAnsi="宋体" w:cs="宋体"/>
                <w:sz w:val="24"/>
                <w:szCs w:val="24"/>
              </w:rPr>
              <w:t>（单位）</w:t>
            </w:r>
          </w:p>
        </w:tc>
        <w:tc>
          <w:tcPr>
            <w:tcW w:w="136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技术规格、参数及要求</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品目预算(元)</w:t>
            </w:r>
          </w:p>
        </w:tc>
        <w:tc>
          <w:tcPr>
            <w:tcW w:w="15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最高限价(元)</w:t>
            </w:r>
          </w:p>
        </w:tc>
      </w:tr>
      <w:tr>
        <w:tblPrEx>
          <w:tblCellMar>
            <w:top w:w="0" w:type="dxa"/>
            <w:left w:w="0" w:type="dxa"/>
            <w:bottom w:w="0" w:type="dxa"/>
            <w:right w:w="0" w:type="dxa"/>
          </w:tblCellMar>
        </w:tblPrEx>
        <w:trPr>
          <w:trHeight w:val="1758" w:hRule="atLeast"/>
        </w:trPr>
        <w:tc>
          <w:tcPr>
            <w:tcW w:w="6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lang w:val="en-US" w:eastAsia="zh-CN"/>
              </w:rPr>
              <w:t>4</w:t>
            </w:r>
            <w:r>
              <w:rPr>
                <w:rFonts w:hint="eastAsia" w:ascii="宋体" w:hAnsi="宋体" w:cs="宋体"/>
                <w:sz w:val="24"/>
                <w:szCs w:val="24"/>
              </w:rPr>
              <w:t>-1</w:t>
            </w:r>
          </w:p>
        </w:tc>
        <w:tc>
          <w:tcPr>
            <w:tcW w:w="129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ascii="宋体" w:hAnsi="宋体" w:cs="宋体"/>
                <w:sz w:val="24"/>
                <w:szCs w:val="24"/>
              </w:rPr>
              <w:t>教学专用仪器</w:t>
            </w:r>
          </w:p>
        </w:tc>
        <w:tc>
          <w:tcPr>
            <w:tcW w:w="236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教学专用仪器</w:t>
            </w:r>
          </w:p>
        </w:tc>
        <w:tc>
          <w:tcPr>
            <w:tcW w:w="10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1</w:t>
            </w:r>
          </w:p>
        </w:tc>
        <w:tc>
          <w:tcPr>
            <w:tcW w:w="136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rPr>
              <w:t>详见采购文件</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eastAsia="宋体" w:cs="宋体"/>
                <w:sz w:val="24"/>
                <w:szCs w:val="24"/>
                <w:lang w:val="en-US" w:eastAsia="zh-CN"/>
              </w:rPr>
              <w:t>450</w:t>
            </w:r>
            <w:r>
              <w:rPr>
                <w:rFonts w:hint="eastAsia" w:ascii="宋体" w:hAnsi="宋体" w:eastAsia="宋体" w:cs="宋体"/>
                <w:sz w:val="24"/>
                <w:szCs w:val="24"/>
              </w:rPr>
              <w:t>,</w:t>
            </w:r>
            <w:r>
              <w:rPr>
                <w:rFonts w:hint="eastAsia" w:ascii="宋体" w:hAnsi="宋体" w:cs="宋体"/>
                <w:sz w:val="24"/>
                <w:szCs w:val="24"/>
                <w:lang w:val="en-US" w:eastAsia="zh-CN"/>
              </w:rPr>
              <w:t>000</w:t>
            </w:r>
            <w:r>
              <w:rPr>
                <w:rFonts w:hint="eastAsia" w:ascii="宋体" w:hAnsi="宋体" w:eastAsia="宋体" w:cs="宋体"/>
                <w:sz w:val="24"/>
                <w:szCs w:val="24"/>
              </w:rPr>
              <w:t>.00</w:t>
            </w:r>
          </w:p>
        </w:tc>
        <w:tc>
          <w:tcPr>
            <w:tcW w:w="15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eastAsia="宋体" w:cs="宋体"/>
                <w:sz w:val="24"/>
                <w:szCs w:val="24"/>
                <w:lang w:val="en-US" w:eastAsia="zh-CN"/>
              </w:rPr>
              <w:t>450</w:t>
            </w:r>
            <w:r>
              <w:rPr>
                <w:rFonts w:hint="eastAsia" w:ascii="宋体" w:hAnsi="宋体" w:eastAsia="宋体" w:cs="宋体"/>
                <w:sz w:val="24"/>
                <w:szCs w:val="24"/>
              </w:rPr>
              <w:t>,</w:t>
            </w:r>
            <w:r>
              <w:rPr>
                <w:rFonts w:hint="eastAsia" w:ascii="宋体" w:hAnsi="宋体" w:cs="宋体"/>
                <w:sz w:val="24"/>
                <w:szCs w:val="24"/>
                <w:lang w:val="en-US" w:eastAsia="zh-CN"/>
              </w:rPr>
              <w:t>000</w:t>
            </w:r>
            <w:r>
              <w:rPr>
                <w:rFonts w:hint="eastAsia" w:ascii="宋体" w:hAnsi="宋体" w:eastAsia="宋体" w:cs="宋体"/>
                <w:sz w:val="24"/>
                <w:szCs w:val="24"/>
              </w:rPr>
              <w:t>.00</w:t>
            </w:r>
          </w:p>
        </w:tc>
      </w:tr>
    </w:tbl>
    <w:p>
      <w:pPr>
        <w:spacing w:line="360" w:lineRule="auto"/>
        <w:ind w:firstLine="480" w:firstLineChars="200"/>
        <w:rPr>
          <w:rFonts w:ascii="宋体" w:hAnsi="宋体" w:cs="宋体"/>
          <w:sz w:val="24"/>
          <w:szCs w:val="24"/>
        </w:rPr>
      </w:pPr>
      <w:r>
        <w:rPr>
          <w:rFonts w:hint="eastAsia" w:ascii="宋体" w:hAnsi="宋体" w:cs="宋体"/>
          <w:sz w:val="24"/>
          <w:szCs w:val="24"/>
        </w:rPr>
        <w:t>本合同包不接受联合体投标</w:t>
      </w:r>
    </w:p>
    <w:p>
      <w:pPr>
        <w:spacing w:line="360" w:lineRule="auto"/>
        <w:ind w:firstLine="480" w:firstLineChars="200"/>
        <w:rPr>
          <w:rFonts w:ascii="宋体" w:hAnsi="宋体" w:cs="宋体"/>
          <w:sz w:val="24"/>
          <w:szCs w:val="24"/>
        </w:rPr>
      </w:pPr>
      <w:r>
        <w:rPr>
          <w:rFonts w:hint="eastAsia" w:ascii="宋体" w:hAnsi="宋体" w:cs="宋体"/>
          <w:sz w:val="24"/>
          <w:szCs w:val="24"/>
        </w:rPr>
        <w:t>合同履行期限：自合同签订后</w:t>
      </w:r>
      <w:r>
        <w:rPr>
          <w:rFonts w:hint="eastAsia" w:ascii="宋体" w:hAnsi="宋体" w:cs="宋体"/>
          <w:sz w:val="24"/>
          <w:szCs w:val="24"/>
          <w:lang w:eastAsia="zh-CN"/>
        </w:rPr>
        <w:t>至</w:t>
      </w:r>
      <w:r>
        <w:rPr>
          <w:rFonts w:hint="eastAsia" w:ascii="宋体" w:hAnsi="宋体" w:cs="宋体"/>
          <w:sz w:val="24"/>
          <w:szCs w:val="24"/>
        </w:rPr>
        <w:t>该项目服务期结束（具体服务起止日期可随合同签订时间相应顺延）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w:t>
      </w:r>
      <w:r>
        <w:rPr>
          <w:rFonts w:hint="eastAsia" w:ascii="宋体" w:hAnsi="宋体" w:cs="宋体"/>
          <w:sz w:val="24"/>
          <w:szCs w:val="24"/>
          <w:lang w:val="en-US" w:eastAsia="zh-CN"/>
        </w:rPr>
        <w:t>5</w:t>
      </w:r>
      <w:r>
        <w:rPr>
          <w:rFonts w:hint="eastAsia" w:ascii="宋体" w:hAnsi="宋体" w:eastAsia="宋体" w:cs="宋体"/>
          <w:sz w:val="24"/>
          <w:szCs w:val="24"/>
        </w:rPr>
        <w:t>(电子商务直播综合实训室):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合同包预算金额：</w:t>
      </w:r>
      <w:r>
        <w:rPr>
          <w:rFonts w:hint="eastAsia" w:ascii="宋体" w:hAnsi="宋体" w:eastAsia="宋体" w:cs="宋体"/>
          <w:sz w:val="24"/>
          <w:szCs w:val="24"/>
          <w:lang w:val="en-US" w:eastAsia="zh-CN"/>
        </w:rPr>
        <w:t>557</w:t>
      </w:r>
      <w:r>
        <w:rPr>
          <w:rFonts w:hint="eastAsia" w:ascii="宋体" w:hAnsi="宋体" w:eastAsia="宋体" w:cs="宋体"/>
          <w:sz w:val="24"/>
          <w:szCs w:val="24"/>
        </w:rPr>
        <w:t>,</w:t>
      </w:r>
      <w:r>
        <w:rPr>
          <w:rFonts w:hint="eastAsia" w:ascii="宋体" w:hAnsi="宋体" w:cs="宋体"/>
          <w:sz w:val="24"/>
          <w:szCs w:val="24"/>
          <w:lang w:val="en-US" w:eastAsia="zh-CN"/>
        </w:rPr>
        <w:t>000</w:t>
      </w:r>
      <w:r>
        <w:rPr>
          <w:rFonts w:hint="eastAsia" w:ascii="宋体" w:hAnsi="宋体" w:eastAsia="宋体" w:cs="宋体"/>
          <w:sz w:val="24"/>
          <w:szCs w:val="24"/>
        </w:rPr>
        <w:t>.00元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合同包最高限价：</w:t>
      </w:r>
      <w:r>
        <w:rPr>
          <w:rFonts w:hint="eastAsia" w:ascii="宋体" w:hAnsi="宋体" w:eastAsia="宋体" w:cs="宋体"/>
          <w:sz w:val="24"/>
          <w:szCs w:val="24"/>
          <w:lang w:val="en-US" w:eastAsia="zh-CN"/>
        </w:rPr>
        <w:t>557</w:t>
      </w:r>
      <w:r>
        <w:rPr>
          <w:rFonts w:hint="eastAsia" w:ascii="宋体" w:hAnsi="宋体" w:eastAsia="宋体" w:cs="宋体"/>
          <w:sz w:val="24"/>
          <w:szCs w:val="24"/>
        </w:rPr>
        <w:t>,</w:t>
      </w:r>
      <w:r>
        <w:rPr>
          <w:rFonts w:hint="eastAsia" w:ascii="宋体" w:hAnsi="宋体" w:cs="宋体"/>
          <w:sz w:val="24"/>
          <w:szCs w:val="24"/>
          <w:lang w:val="en-US" w:eastAsia="zh-CN"/>
        </w:rPr>
        <w:t>000</w:t>
      </w:r>
      <w:r>
        <w:rPr>
          <w:rFonts w:hint="eastAsia" w:ascii="宋体" w:hAnsi="宋体" w:eastAsia="宋体" w:cs="宋体"/>
          <w:sz w:val="24"/>
          <w:szCs w:val="24"/>
        </w:rPr>
        <w:t>.00元</w:t>
      </w:r>
    </w:p>
    <w:tbl>
      <w:tblPr>
        <w:tblStyle w:val="29"/>
        <w:tblW w:w="9677" w:type="dxa"/>
        <w:tblInd w:w="0" w:type="dxa"/>
        <w:tblLayout w:type="fixed"/>
        <w:tblCellMar>
          <w:top w:w="0" w:type="dxa"/>
          <w:left w:w="0" w:type="dxa"/>
          <w:bottom w:w="0" w:type="dxa"/>
          <w:right w:w="0" w:type="dxa"/>
        </w:tblCellMar>
      </w:tblPr>
      <w:tblGrid>
        <w:gridCol w:w="600"/>
        <w:gridCol w:w="1298"/>
        <w:gridCol w:w="2363"/>
        <w:gridCol w:w="1078"/>
        <w:gridCol w:w="1369"/>
        <w:gridCol w:w="1457"/>
        <w:gridCol w:w="1512"/>
      </w:tblGrid>
      <w:tr>
        <w:tblPrEx>
          <w:tblCellMar>
            <w:top w:w="0" w:type="dxa"/>
            <w:left w:w="0" w:type="dxa"/>
            <w:bottom w:w="0" w:type="dxa"/>
            <w:right w:w="0" w:type="dxa"/>
          </w:tblCellMar>
        </w:tblPrEx>
        <w:trPr>
          <w:trHeight w:val="1809" w:hRule="atLeast"/>
          <w:tblHeader/>
        </w:trPr>
        <w:tc>
          <w:tcPr>
            <w:tcW w:w="6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rPr>
              <w:t>品目号</w:t>
            </w:r>
          </w:p>
        </w:tc>
        <w:tc>
          <w:tcPr>
            <w:tcW w:w="129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rPr>
              <w:t>品目名称</w:t>
            </w:r>
          </w:p>
        </w:tc>
        <w:tc>
          <w:tcPr>
            <w:tcW w:w="236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采购标的</w:t>
            </w:r>
          </w:p>
        </w:tc>
        <w:tc>
          <w:tcPr>
            <w:tcW w:w="10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hint="eastAsia" w:ascii="宋体" w:hAnsi="宋体" w:cs="宋体"/>
                <w:sz w:val="24"/>
                <w:szCs w:val="24"/>
              </w:rPr>
            </w:pPr>
            <w:r>
              <w:rPr>
                <w:rFonts w:hint="eastAsia" w:ascii="宋体" w:hAnsi="宋体" w:cs="宋体"/>
                <w:sz w:val="24"/>
                <w:szCs w:val="24"/>
              </w:rPr>
              <w:t>数量</w:t>
            </w:r>
          </w:p>
          <w:p>
            <w:pPr>
              <w:spacing w:line="360" w:lineRule="auto"/>
              <w:jc w:val="center"/>
              <w:rPr>
                <w:rFonts w:ascii="宋体" w:hAnsi="宋体" w:cs="宋体"/>
                <w:sz w:val="24"/>
                <w:szCs w:val="24"/>
              </w:rPr>
            </w:pPr>
            <w:r>
              <w:rPr>
                <w:rFonts w:hint="eastAsia" w:ascii="宋体" w:hAnsi="宋体" w:cs="宋体"/>
                <w:sz w:val="24"/>
                <w:szCs w:val="24"/>
              </w:rPr>
              <w:t>（单位）</w:t>
            </w:r>
          </w:p>
        </w:tc>
        <w:tc>
          <w:tcPr>
            <w:tcW w:w="136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技术规格、参数及要求</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品目预算(元)</w:t>
            </w:r>
          </w:p>
        </w:tc>
        <w:tc>
          <w:tcPr>
            <w:tcW w:w="15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最高限价(元)</w:t>
            </w:r>
          </w:p>
        </w:tc>
      </w:tr>
      <w:tr>
        <w:tblPrEx>
          <w:tblCellMar>
            <w:top w:w="0" w:type="dxa"/>
            <w:left w:w="0" w:type="dxa"/>
            <w:bottom w:w="0" w:type="dxa"/>
            <w:right w:w="0" w:type="dxa"/>
          </w:tblCellMar>
        </w:tblPrEx>
        <w:trPr>
          <w:trHeight w:val="1758" w:hRule="atLeast"/>
        </w:trPr>
        <w:tc>
          <w:tcPr>
            <w:tcW w:w="6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lang w:val="en-US" w:eastAsia="zh-CN"/>
              </w:rPr>
              <w:t>5</w:t>
            </w:r>
            <w:r>
              <w:rPr>
                <w:rFonts w:hint="eastAsia" w:ascii="宋体" w:hAnsi="宋体" w:cs="宋体"/>
                <w:sz w:val="24"/>
                <w:szCs w:val="24"/>
              </w:rPr>
              <w:t>-1</w:t>
            </w:r>
          </w:p>
        </w:tc>
        <w:tc>
          <w:tcPr>
            <w:tcW w:w="129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ascii="宋体" w:hAnsi="宋体" w:cs="宋体"/>
                <w:sz w:val="24"/>
                <w:szCs w:val="24"/>
              </w:rPr>
              <w:t>教学专用仪器</w:t>
            </w:r>
          </w:p>
        </w:tc>
        <w:tc>
          <w:tcPr>
            <w:tcW w:w="236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教学专用仪器</w:t>
            </w:r>
          </w:p>
        </w:tc>
        <w:tc>
          <w:tcPr>
            <w:tcW w:w="10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1</w:t>
            </w:r>
          </w:p>
        </w:tc>
        <w:tc>
          <w:tcPr>
            <w:tcW w:w="136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rPr>
              <w:t>详见采购文件</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eastAsia="宋体" w:cs="宋体"/>
                <w:sz w:val="24"/>
                <w:szCs w:val="24"/>
                <w:lang w:val="en-US" w:eastAsia="zh-CN"/>
              </w:rPr>
              <w:t>557</w:t>
            </w:r>
            <w:r>
              <w:rPr>
                <w:rFonts w:hint="eastAsia" w:ascii="宋体" w:hAnsi="宋体" w:eastAsia="宋体" w:cs="宋体"/>
                <w:sz w:val="24"/>
                <w:szCs w:val="24"/>
              </w:rPr>
              <w:t>,</w:t>
            </w:r>
            <w:r>
              <w:rPr>
                <w:rFonts w:hint="eastAsia" w:ascii="宋体" w:hAnsi="宋体" w:cs="宋体"/>
                <w:sz w:val="24"/>
                <w:szCs w:val="24"/>
                <w:lang w:val="en-US" w:eastAsia="zh-CN"/>
              </w:rPr>
              <w:t>000</w:t>
            </w:r>
            <w:r>
              <w:rPr>
                <w:rFonts w:hint="eastAsia" w:ascii="宋体" w:hAnsi="宋体" w:eastAsia="宋体" w:cs="宋体"/>
                <w:sz w:val="24"/>
                <w:szCs w:val="24"/>
              </w:rPr>
              <w:t>.00</w:t>
            </w:r>
          </w:p>
        </w:tc>
        <w:tc>
          <w:tcPr>
            <w:tcW w:w="15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eastAsia="宋体" w:cs="宋体"/>
                <w:sz w:val="24"/>
                <w:szCs w:val="24"/>
                <w:lang w:val="en-US" w:eastAsia="zh-CN"/>
              </w:rPr>
              <w:t>557</w:t>
            </w:r>
            <w:r>
              <w:rPr>
                <w:rFonts w:hint="eastAsia" w:ascii="宋体" w:hAnsi="宋体" w:eastAsia="宋体" w:cs="宋体"/>
                <w:sz w:val="24"/>
                <w:szCs w:val="24"/>
              </w:rPr>
              <w:t>,</w:t>
            </w:r>
            <w:r>
              <w:rPr>
                <w:rFonts w:hint="eastAsia" w:ascii="宋体" w:hAnsi="宋体" w:cs="宋体"/>
                <w:sz w:val="24"/>
                <w:szCs w:val="24"/>
                <w:lang w:val="en-US" w:eastAsia="zh-CN"/>
              </w:rPr>
              <w:t>000</w:t>
            </w:r>
            <w:r>
              <w:rPr>
                <w:rFonts w:hint="eastAsia" w:ascii="宋体" w:hAnsi="宋体" w:eastAsia="宋体" w:cs="宋体"/>
                <w:sz w:val="24"/>
                <w:szCs w:val="24"/>
              </w:rPr>
              <w:t>.00</w:t>
            </w:r>
          </w:p>
        </w:tc>
      </w:tr>
    </w:tbl>
    <w:p>
      <w:pPr>
        <w:spacing w:line="360" w:lineRule="auto"/>
        <w:ind w:firstLine="480" w:firstLineChars="200"/>
        <w:rPr>
          <w:rFonts w:ascii="宋体" w:hAnsi="宋体" w:cs="宋体"/>
          <w:sz w:val="24"/>
          <w:szCs w:val="24"/>
        </w:rPr>
      </w:pPr>
      <w:r>
        <w:rPr>
          <w:rFonts w:hint="eastAsia" w:ascii="宋体" w:hAnsi="宋体" w:cs="宋体"/>
          <w:sz w:val="24"/>
          <w:szCs w:val="24"/>
        </w:rPr>
        <w:t>本合同包不接受联合体投标</w:t>
      </w:r>
    </w:p>
    <w:p>
      <w:pPr>
        <w:spacing w:line="360" w:lineRule="auto"/>
        <w:ind w:firstLine="480" w:firstLineChars="200"/>
        <w:rPr>
          <w:rFonts w:ascii="宋体" w:hAnsi="宋体" w:cs="宋体"/>
          <w:sz w:val="24"/>
          <w:szCs w:val="24"/>
        </w:rPr>
      </w:pPr>
      <w:r>
        <w:rPr>
          <w:rFonts w:hint="eastAsia" w:ascii="宋体" w:hAnsi="宋体" w:cs="宋体"/>
          <w:sz w:val="24"/>
          <w:szCs w:val="24"/>
        </w:rPr>
        <w:t>合同履行期限：自合同签订后</w:t>
      </w:r>
      <w:r>
        <w:rPr>
          <w:rFonts w:hint="eastAsia" w:ascii="宋体" w:hAnsi="宋体" w:cs="宋体"/>
          <w:sz w:val="24"/>
          <w:szCs w:val="24"/>
          <w:lang w:eastAsia="zh-CN"/>
        </w:rPr>
        <w:t>至</w:t>
      </w:r>
      <w:r>
        <w:rPr>
          <w:rFonts w:hint="eastAsia" w:ascii="宋体" w:hAnsi="宋体" w:cs="宋体"/>
          <w:sz w:val="24"/>
          <w:szCs w:val="24"/>
        </w:rPr>
        <w:t>该项目服务期结束（具体服务起止日期可随合同签订时间相应顺延）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w:t>
      </w:r>
      <w:r>
        <w:rPr>
          <w:rFonts w:hint="eastAsia" w:ascii="宋体" w:hAnsi="宋体" w:cs="宋体"/>
          <w:sz w:val="24"/>
          <w:szCs w:val="24"/>
          <w:lang w:val="en-US" w:eastAsia="zh-CN"/>
        </w:rPr>
        <w:t>6</w:t>
      </w:r>
      <w:r>
        <w:rPr>
          <w:rFonts w:hint="eastAsia" w:ascii="宋体" w:hAnsi="宋体" w:eastAsia="宋体" w:cs="宋体"/>
          <w:sz w:val="24"/>
          <w:szCs w:val="24"/>
        </w:rPr>
        <w:t>(大数据智能财税实训室（硬件）):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合同包预算金额：</w:t>
      </w:r>
      <w:r>
        <w:rPr>
          <w:rFonts w:hint="eastAsia" w:ascii="宋体" w:hAnsi="宋体" w:eastAsia="宋体" w:cs="宋体"/>
          <w:sz w:val="24"/>
          <w:szCs w:val="24"/>
          <w:lang w:val="en-US" w:eastAsia="zh-CN"/>
        </w:rPr>
        <w:t>280</w:t>
      </w:r>
      <w:r>
        <w:rPr>
          <w:rFonts w:hint="eastAsia" w:ascii="宋体" w:hAnsi="宋体" w:eastAsia="宋体" w:cs="宋体"/>
          <w:sz w:val="24"/>
          <w:szCs w:val="24"/>
        </w:rPr>
        <w:t>,</w:t>
      </w:r>
      <w:r>
        <w:rPr>
          <w:rFonts w:hint="eastAsia" w:ascii="宋体" w:hAnsi="宋体" w:eastAsia="宋体" w:cs="宋体"/>
          <w:sz w:val="24"/>
          <w:szCs w:val="24"/>
          <w:lang w:val="en-US" w:eastAsia="zh-CN"/>
        </w:rPr>
        <w:t>000</w:t>
      </w:r>
      <w:r>
        <w:rPr>
          <w:rFonts w:hint="eastAsia" w:ascii="宋体" w:hAnsi="宋体" w:eastAsia="宋体" w:cs="宋体"/>
          <w:sz w:val="24"/>
          <w:szCs w:val="24"/>
        </w:rPr>
        <w:t>.00元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合同包最高限价：</w:t>
      </w:r>
      <w:r>
        <w:rPr>
          <w:rFonts w:hint="eastAsia" w:ascii="宋体" w:hAnsi="宋体" w:eastAsia="宋体" w:cs="宋体"/>
          <w:sz w:val="24"/>
          <w:szCs w:val="24"/>
          <w:lang w:val="en-US" w:eastAsia="zh-CN"/>
        </w:rPr>
        <w:t>280</w:t>
      </w:r>
      <w:r>
        <w:rPr>
          <w:rFonts w:hint="eastAsia" w:ascii="宋体" w:hAnsi="宋体" w:eastAsia="宋体" w:cs="宋体"/>
          <w:sz w:val="24"/>
          <w:szCs w:val="24"/>
        </w:rPr>
        <w:t>,</w:t>
      </w:r>
      <w:r>
        <w:rPr>
          <w:rFonts w:hint="eastAsia" w:ascii="宋体" w:hAnsi="宋体" w:eastAsia="宋体" w:cs="宋体"/>
          <w:sz w:val="24"/>
          <w:szCs w:val="24"/>
          <w:lang w:val="en-US" w:eastAsia="zh-CN"/>
        </w:rPr>
        <w:t>000</w:t>
      </w:r>
      <w:r>
        <w:rPr>
          <w:rFonts w:hint="eastAsia" w:ascii="宋体" w:hAnsi="宋体" w:eastAsia="宋体" w:cs="宋体"/>
          <w:sz w:val="24"/>
          <w:szCs w:val="24"/>
        </w:rPr>
        <w:t>.00元</w:t>
      </w:r>
    </w:p>
    <w:tbl>
      <w:tblPr>
        <w:tblStyle w:val="29"/>
        <w:tblW w:w="9677" w:type="dxa"/>
        <w:tblInd w:w="0" w:type="dxa"/>
        <w:tblLayout w:type="fixed"/>
        <w:tblCellMar>
          <w:top w:w="0" w:type="dxa"/>
          <w:left w:w="0" w:type="dxa"/>
          <w:bottom w:w="0" w:type="dxa"/>
          <w:right w:w="0" w:type="dxa"/>
        </w:tblCellMar>
      </w:tblPr>
      <w:tblGrid>
        <w:gridCol w:w="600"/>
        <w:gridCol w:w="1298"/>
        <w:gridCol w:w="2363"/>
        <w:gridCol w:w="1078"/>
        <w:gridCol w:w="1369"/>
        <w:gridCol w:w="1457"/>
        <w:gridCol w:w="1512"/>
      </w:tblGrid>
      <w:tr>
        <w:tblPrEx>
          <w:tblCellMar>
            <w:top w:w="0" w:type="dxa"/>
            <w:left w:w="0" w:type="dxa"/>
            <w:bottom w:w="0" w:type="dxa"/>
            <w:right w:w="0" w:type="dxa"/>
          </w:tblCellMar>
        </w:tblPrEx>
        <w:trPr>
          <w:trHeight w:val="1809" w:hRule="atLeast"/>
          <w:tblHeader/>
        </w:trPr>
        <w:tc>
          <w:tcPr>
            <w:tcW w:w="6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rPr>
              <w:t>品目号</w:t>
            </w:r>
          </w:p>
        </w:tc>
        <w:tc>
          <w:tcPr>
            <w:tcW w:w="129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rPr>
              <w:t>品目名称</w:t>
            </w:r>
          </w:p>
        </w:tc>
        <w:tc>
          <w:tcPr>
            <w:tcW w:w="236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采购标的</w:t>
            </w:r>
          </w:p>
        </w:tc>
        <w:tc>
          <w:tcPr>
            <w:tcW w:w="10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hint="eastAsia" w:ascii="宋体" w:hAnsi="宋体" w:cs="宋体"/>
                <w:sz w:val="24"/>
                <w:szCs w:val="24"/>
              </w:rPr>
            </w:pPr>
            <w:r>
              <w:rPr>
                <w:rFonts w:hint="eastAsia" w:ascii="宋体" w:hAnsi="宋体" w:cs="宋体"/>
                <w:sz w:val="24"/>
                <w:szCs w:val="24"/>
              </w:rPr>
              <w:t>数量</w:t>
            </w:r>
          </w:p>
          <w:p>
            <w:pPr>
              <w:spacing w:line="360" w:lineRule="auto"/>
              <w:jc w:val="center"/>
              <w:rPr>
                <w:rFonts w:ascii="宋体" w:hAnsi="宋体" w:cs="宋体"/>
                <w:sz w:val="24"/>
                <w:szCs w:val="24"/>
              </w:rPr>
            </w:pPr>
            <w:r>
              <w:rPr>
                <w:rFonts w:hint="eastAsia" w:ascii="宋体" w:hAnsi="宋体" w:cs="宋体"/>
                <w:sz w:val="24"/>
                <w:szCs w:val="24"/>
              </w:rPr>
              <w:t>（单位）</w:t>
            </w:r>
          </w:p>
        </w:tc>
        <w:tc>
          <w:tcPr>
            <w:tcW w:w="136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技术规格、参数及要求</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品目预算(元)</w:t>
            </w:r>
          </w:p>
        </w:tc>
        <w:tc>
          <w:tcPr>
            <w:tcW w:w="15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最高限价(元)</w:t>
            </w:r>
          </w:p>
        </w:tc>
      </w:tr>
      <w:tr>
        <w:tblPrEx>
          <w:tblCellMar>
            <w:top w:w="0" w:type="dxa"/>
            <w:left w:w="0" w:type="dxa"/>
            <w:bottom w:w="0" w:type="dxa"/>
            <w:right w:w="0" w:type="dxa"/>
          </w:tblCellMar>
        </w:tblPrEx>
        <w:trPr>
          <w:trHeight w:val="1758" w:hRule="atLeast"/>
        </w:trPr>
        <w:tc>
          <w:tcPr>
            <w:tcW w:w="6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lang w:val="en-US" w:eastAsia="zh-CN"/>
              </w:rPr>
              <w:t>6</w:t>
            </w:r>
            <w:r>
              <w:rPr>
                <w:rFonts w:hint="eastAsia" w:ascii="宋体" w:hAnsi="宋体" w:cs="宋体"/>
                <w:sz w:val="24"/>
                <w:szCs w:val="24"/>
              </w:rPr>
              <w:t>-1</w:t>
            </w:r>
          </w:p>
        </w:tc>
        <w:tc>
          <w:tcPr>
            <w:tcW w:w="129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ascii="宋体" w:hAnsi="宋体" w:cs="宋体"/>
                <w:sz w:val="24"/>
                <w:szCs w:val="24"/>
              </w:rPr>
              <w:t>教学专用仪器</w:t>
            </w:r>
          </w:p>
        </w:tc>
        <w:tc>
          <w:tcPr>
            <w:tcW w:w="236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教学专用仪器</w:t>
            </w:r>
          </w:p>
        </w:tc>
        <w:tc>
          <w:tcPr>
            <w:tcW w:w="10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jc w:val="center"/>
              <w:rPr>
                <w:rFonts w:ascii="宋体" w:hAnsi="宋体" w:cs="宋体"/>
                <w:sz w:val="24"/>
                <w:szCs w:val="24"/>
              </w:rPr>
            </w:pPr>
            <w:r>
              <w:rPr>
                <w:rFonts w:hint="eastAsia" w:ascii="宋体" w:hAnsi="宋体" w:cs="宋体"/>
                <w:sz w:val="24"/>
                <w:szCs w:val="24"/>
              </w:rPr>
              <w:t>1</w:t>
            </w:r>
          </w:p>
        </w:tc>
        <w:tc>
          <w:tcPr>
            <w:tcW w:w="136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cs="宋体"/>
                <w:sz w:val="24"/>
                <w:szCs w:val="24"/>
              </w:rPr>
              <w:t>详见采购文件</w:t>
            </w:r>
          </w:p>
        </w:tc>
        <w:tc>
          <w:tcPr>
            <w:tcW w:w="14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eastAsia="宋体" w:cs="宋体"/>
                <w:sz w:val="24"/>
                <w:szCs w:val="24"/>
                <w:lang w:val="en-US" w:eastAsia="zh-CN"/>
              </w:rPr>
              <w:t>280</w:t>
            </w:r>
            <w:r>
              <w:rPr>
                <w:rFonts w:hint="eastAsia" w:ascii="宋体" w:hAnsi="宋体" w:eastAsia="宋体" w:cs="宋体"/>
                <w:sz w:val="24"/>
                <w:szCs w:val="24"/>
              </w:rPr>
              <w:t>,</w:t>
            </w:r>
            <w:r>
              <w:rPr>
                <w:rFonts w:hint="eastAsia" w:ascii="宋体" w:hAnsi="宋体" w:eastAsia="宋体" w:cs="宋体"/>
                <w:sz w:val="24"/>
                <w:szCs w:val="24"/>
                <w:lang w:val="en-US" w:eastAsia="zh-CN"/>
              </w:rPr>
              <w:t>000</w:t>
            </w:r>
            <w:r>
              <w:rPr>
                <w:rFonts w:hint="eastAsia" w:ascii="宋体" w:hAnsi="宋体" w:eastAsia="宋体" w:cs="宋体"/>
                <w:sz w:val="24"/>
                <w:szCs w:val="24"/>
              </w:rPr>
              <w:t>.00</w:t>
            </w:r>
          </w:p>
        </w:tc>
        <w:tc>
          <w:tcPr>
            <w:tcW w:w="15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spacing w:line="360" w:lineRule="auto"/>
              <w:rPr>
                <w:rFonts w:ascii="宋体" w:hAnsi="宋体" w:cs="宋体"/>
                <w:sz w:val="24"/>
                <w:szCs w:val="24"/>
              </w:rPr>
            </w:pPr>
            <w:r>
              <w:rPr>
                <w:rFonts w:hint="eastAsia" w:ascii="宋体" w:hAnsi="宋体" w:eastAsia="宋体" w:cs="宋体"/>
                <w:sz w:val="24"/>
                <w:szCs w:val="24"/>
                <w:lang w:val="en-US" w:eastAsia="zh-CN"/>
              </w:rPr>
              <w:t>280</w:t>
            </w:r>
            <w:r>
              <w:rPr>
                <w:rFonts w:hint="eastAsia" w:ascii="宋体" w:hAnsi="宋体" w:eastAsia="宋体" w:cs="宋体"/>
                <w:sz w:val="24"/>
                <w:szCs w:val="24"/>
              </w:rPr>
              <w:t>,</w:t>
            </w:r>
            <w:r>
              <w:rPr>
                <w:rFonts w:hint="eastAsia" w:ascii="宋体" w:hAnsi="宋体" w:eastAsia="宋体" w:cs="宋体"/>
                <w:sz w:val="24"/>
                <w:szCs w:val="24"/>
                <w:lang w:val="en-US" w:eastAsia="zh-CN"/>
              </w:rPr>
              <w:t>000</w:t>
            </w:r>
            <w:r>
              <w:rPr>
                <w:rFonts w:hint="eastAsia" w:ascii="宋体" w:hAnsi="宋体" w:eastAsia="宋体" w:cs="宋体"/>
                <w:sz w:val="24"/>
                <w:szCs w:val="24"/>
              </w:rPr>
              <w:t>.00</w:t>
            </w:r>
          </w:p>
        </w:tc>
      </w:tr>
    </w:tbl>
    <w:p>
      <w:pPr>
        <w:spacing w:line="360" w:lineRule="auto"/>
        <w:ind w:firstLine="480" w:firstLineChars="200"/>
        <w:rPr>
          <w:rFonts w:ascii="宋体" w:hAnsi="宋体" w:cs="宋体"/>
          <w:sz w:val="24"/>
          <w:szCs w:val="24"/>
        </w:rPr>
      </w:pPr>
      <w:r>
        <w:rPr>
          <w:rFonts w:hint="eastAsia" w:ascii="宋体" w:hAnsi="宋体" w:cs="宋体"/>
          <w:sz w:val="24"/>
          <w:szCs w:val="24"/>
        </w:rPr>
        <w:t>本合同包不接受联合体投标</w:t>
      </w:r>
    </w:p>
    <w:p>
      <w:pPr>
        <w:spacing w:line="360" w:lineRule="auto"/>
        <w:ind w:firstLine="480" w:firstLineChars="200"/>
        <w:rPr>
          <w:rFonts w:ascii="宋体" w:hAnsi="宋体" w:cs="宋体"/>
          <w:sz w:val="24"/>
          <w:szCs w:val="24"/>
        </w:rPr>
      </w:pPr>
      <w:r>
        <w:rPr>
          <w:rFonts w:hint="eastAsia" w:ascii="宋体" w:hAnsi="宋体" w:cs="宋体"/>
          <w:sz w:val="24"/>
          <w:szCs w:val="24"/>
        </w:rPr>
        <w:t>合同履行期限：自合同签订后</w:t>
      </w:r>
      <w:r>
        <w:rPr>
          <w:rFonts w:hint="eastAsia" w:ascii="宋体" w:hAnsi="宋体" w:cs="宋体"/>
          <w:sz w:val="24"/>
          <w:szCs w:val="24"/>
          <w:lang w:eastAsia="zh-CN"/>
        </w:rPr>
        <w:t>至</w:t>
      </w:r>
      <w:r>
        <w:rPr>
          <w:rFonts w:hint="eastAsia" w:ascii="宋体" w:hAnsi="宋体" w:cs="宋体"/>
          <w:sz w:val="24"/>
          <w:szCs w:val="24"/>
        </w:rPr>
        <w:t>该项目服务期结束（具体服务起止日期可随合同签订时间相应顺延）</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二、申请人的资格要求：</w:t>
      </w:r>
    </w:p>
    <w:p>
      <w:pPr>
        <w:spacing w:line="360" w:lineRule="auto"/>
        <w:ind w:firstLine="480" w:firstLineChars="200"/>
        <w:rPr>
          <w:rFonts w:ascii="宋体" w:hAnsi="宋体" w:cs="宋体"/>
          <w:sz w:val="24"/>
          <w:szCs w:val="24"/>
        </w:rPr>
      </w:pPr>
      <w:r>
        <w:rPr>
          <w:rFonts w:hint="eastAsia" w:ascii="宋体" w:hAnsi="宋体" w:cs="宋体"/>
          <w:sz w:val="24"/>
          <w:szCs w:val="24"/>
        </w:rPr>
        <w:t>1.满足《中华人民共和国政府釆购法》第二十二条规定;</w:t>
      </w:r>
    </w:p>
    <w:p>
      <w:pPr>
        <w:spacing w:line="360" w:lineRule="auto"/>
        <w:ind w:firstLine="480" w:firstLineChars="200"/>
        <w:rPr>
          <w:rFonts w:ascii="宋体" w:hAnsi="宋体" w:cs="宋体"/>
          <w:sz w:val="24"/>
          <w:szCs w:val="24"/>
        </w:rPr>
      </w:pPr>
      <w:r>
        <w:rPr>
          <w:rFonts w:hint="eastAsia" w:ascii="宋体" w:hAnsi="宋体" w:cs="宋体"/>
          <w:sz w:val="24"/>
          <w:szCs w:val="24"/>
        </w:rPr>
        <w:t>2.落实政府采购政策需满足的资格要求：</w:t>
      </w:r>
    </w:p>
    <w:p>
      <w:pPr>
        <w:spacing w:line="360" w:lineRule="auto"/>
        <w:ind w:firstLine="480" w:firstLineChars="200"/>
        <w:rPr>
          <w:rFonts w:ascii="宋体" w:hAnsi="宋体" w:cs="宋体"/>
          <w:sz w:val="24"/>
          <w:szCs w:val="24"/>
        </w:rPr>
      </w:pPr>
      <w:r>
        <w:rPr>
          <w:rFonts w:hint="eastAsia" w:ascii="宋体" w:hAnsi="宋体" w:cs="宋体"/>
          <w:sz w:val="24"/>
          <w:szCs w:val="24"/>
        </w:rPr>
        <w:t>合同包1(大数据智能财税实训室（软件）)落实政府采购政策需满足的资格要求如下:</w:t>
      </w:r>
    </w:p>
    <w:p>
      <w:pPr>
        <w:numPr>
          <w:ilvl w:val="0"/>
          <w:numId w:val="2"/>
        </w:numPr>
        <w:spacing w:line="360" w:lineRule="auto"/>
        <w:rPr>
          <w:rFonts w:ascii="宋体" w:hAnsi="宋体" w:cs="宋体"/>
          <w:sz w:val="24"/>
          <w:szCs w:val="24"/>
        </w:rPr>
      </w:pPr>
      <w:r>
        <w:rPr>
          <w:rFonts w:hint="eastAsia" w:ascii="宋体" w:hAnsi="宋体" w:cs="宋体"/>
          <w:sz w:val="24"/>
          <w:szCs w:val="24"/>
        </w:rPr>
        <w:t>《政府采购促进中小企业发展管理办法》（财库〔2020〕46号）； </w:t>
      </w:r>
      <w:r>
        <w:rPr>
          <w:rFonts w:hint="eastAsia" w:ascii="宋体" w:hAnsi="宋体" w:cs="宋体"/>
          <w:sz w:val="24"/>
          <w:szCs w:val="24"/>
        </w:rPr>
        <w:br w:type="textWrapping"/>
      </w:r>
      <w:r>
        <w:rPr>
          <w:rFonts w:hint="eastAsia" w:ascii="宋体" w:hAnsi="宋体" w:cs="宋体"/>
          <w:sz w:val="24"/>
          <w:szCs w:val="24"/>
        </w:rPr>
        <w:t>（2）《财政部 司法部关于政府采购支持监狱企业发展有关问题的通知》（财库〔2014〕68号）；</w:t>
      </w:r>
      <w:r>
        <w:rPr>
          <w:rFonts w:hint="eastAsia" w:ascii="宋体" w:hAnsi="宋体" w:cs="宋体"/>
          <w:sz w:val="24"/>
          <w:szCs w:val="24"/>
        </w:rPr>
        <w:br w:type="textWrapping"/>
      </w:r>
      <w:r>
        <w:rPr>
          <w:rFonts w:hint="eastAsia" w:ascii="宋体" w:hAnsi="宋体" w:cs="宋体"/>
          <w:sz w:val="24"/>
          <w:szCs w:val="24"/>
        </w:rPr>
        <w:t>（3）《国务院办公厅关于建立政府强制采购节能产品制度的通知》（国办发〔2007〕51号）；</w:t>
      </w:r>
      <w:r>
        <w:rPr>
          <w:rFonts w:hint="eastAsia" w:ascii="宋体" w:hAnsi="宋体" w:cs="宋体"/>
          <w:sz w:val="24"/>
          <w:szCs w:val="24"/>
        </w:rPr>
        <w:br w:type="textWrapping"/>
      </w:r>
      <w:r>
        <w:rPr>
          <w:rFonts w:hint="eastAsia" w:ascii="宋体" w:hAnsi="宋体" w:cs="宋体"/>
          <w:sz w:val="24"/>
          <w:szCs w:val="24"/>
        </w:rPr>
        <w:t>（4）《节能产品政府采购实施意见》（财库〔2004〕185号）；</w:t>
      </w:r>
      <w:r>
        <w:rPr>
          <w:rFonts w:hint="eastAsia" w:ascii="宋体" w:hAnsi="宋体" w:cs="宋体"/>
          <w:sz w:val="24"/>
          <w:szCs w:val="24"/>
        </w:rPr>
        <w:br w:type="textWrapping"/>
      </w:r>
      <w:r>
        <w:rPr>
          <w:rFonts w:hint="eastAsia" w:ascii="宋体" w:hAnsi="宋体" w:cs="宋体"/>
          <w:sz w:val="24"/>
          <w:szCs w:val="24"/>
        </w:rPr>
        <w:t>（5）《环境标志产品政府采购实施的意见》（财库〔2006〕90号）；</w:t>
      </w:r>
      <w:r>
        <w:rPr>
          <w:rFonts w:hint="eastAsia" w:ascii="宋体" w:hAnsi="宋体" w:cs="宋体"/>
          <w:sz w:val="24"/>
          <w:szCs w:val="24"/>
        </w:rPr>
        <w:br w:type="textWrapping"/>
      </w:r>
      <w:r>
        <w:rPr>
          <w:rFonts w:hint="eastAsia" w:ascii="宋体" w:hAnsi="宋体" w:cs="宋体"/>
          <w:sz w:val="24"/>
          <w:szCs w:val="24"/>
        </w:rPr>
        <w:t>（6）《三部门联合发布关于促进残疾人就业政府采购政策的通知》（财库〔2017〕141号）；</w:t>
      </w:r>
      <w:r>
        <w:rPr>
          <w:rFonts w:hint="eastAsia" w:ascii="宋体" w:hAnsi="宋体" w:cs="宋体"/>
          <w:sz w:val="24"/>
          <w:szCs w:val="24"/>
        </w:rPr>
        <w:br w:type="textWrapping"/>
      </w:r>
      <w:r>
        <w:rPr>
          <w:rFonts w:hint="eastAsia" w:ascii="宋体" w:hAnsi="宋体" w:cs="宋体"/>
          <w:sz w:val="24"/>
          <w:szCs w:val="24"/>
        </w:rPr>
        <w:t>（7）《财政部 发展改革委 生态环境部 市场监管总局关于调整优化节能产品、环境标志产品政府采购执行机制的通知》（财库〔2019〕9号）；</w:t>
      </w:r>
      <w:r>
        <w:rPr>
          <w:rFonts w:hint="eastAsia" w:ascii="宋体" w:hAnsi="宋体" w:cs="宋体"/>
          <w:sz w:val="24"/>
          <w:szCs w:val="24"/>
        </w:rPr>
        <w:br w:type="textWrapping"/>
      </w:r>
      <w:r>
        <w:rPr>
          <w:rFonts w:hint="eastAsia" w:ascii="宋体" w:hAnsi="宋体" w:cs="宋体"/>
          <w:sz w:val="24"/>
          <w:szCs w:val="24"/>
        </w:rPr>
        <w:t>（8）《财政部 农业农村部 国家乡村振兴局关于运用政府采购政策支持乡村产业振兴的通知》 （财库〔2021〕19号）；</w:t>
      </w:r>
    </w:p>
    <w:p>
      <w:pPr>
        <w:numPr>
          <w:ilvl w:val="0"/>
          <w:numId w:val="0"/>
        </w:numPr>
        <w:spacing w:line="360" w:lineRule="auto"/>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9</w:t>
      </w:r>
      <w:r>
        <w:rPr>
          <w:rFonts w:hint="eastAsia" w:ascii="宋体" w:hAnsi="宋体" w:cs="宋体"/>
          <w:sz w:val="24"/>
          <w:szCs w:val="24"/>
          <w:lang w:eastAsia="zh-CN"/>
        </w:rPr>
        <w:t>）</w:t>
      </w:r>
      <w:r>
        <w:rPr>
          <w:rFonts w:hint="eastAsia" w:ascii="宋体" w:hAnsi="宋体" w:cs="宋体"/>
          <w:sz w:val="24"/>
          <w:szCs w:val="24"/>
        </w:rPr>
        <w:t>陕西省财政厅关于印发《陕西省中小企业政府采购信用融资办法》（陕财办采〔2018〕23号）。</w:t>
      </w:r>
    </w:p>
    <w:p>
      <w:pPr>
        <w:spacing w:line="360" w:lineRule="auto"/>
        <w:ind w:firstLine="480" w:firstLineChars="200"/>
        <w:rPr>
          <w:rFonts w:ascii="宋体" w:hAnsi="宋体" w:cs="宋体"/>
          <w:sz w:val="24"/>
          <w:szCs w:val="24"/>
        </w:rPr>
      </w:pPr>
      <w:r>
        <w:rPr>
          <w:rFonts w:hint="eastAsia" w:ascii="宋体" w:hAnsi="宋体" w:cs="宋体"/>
          <w:sz w:val="24"/>
          <w:szCs w:val="24"/>
        </w:rPr>
        <w:t>合同包</w:t>
      </w:r>
      <w:r>
        <w:rPr>
          <w:rFonts w:hint="eastAsia" w:ascii="宋体" w:hAnsi="宋体" w:cs="宋体"/>
          <w:sz w:val="24"/>
          <w:szCs w:val="24"/>
          <w:lang w:val="en-US" w:eastAsia="zh-CN"/>
        </w:rPr>
        <w:t>2</w:t>
      </w:r>
      <w:r>
        <w:rPr>
          <w:rFonts w:hint="eastAsia" w:ascii="宋体" w:hAnsi="宋体" w:cs="宋体"/>
          <w:sz w:val="24"/>
          <w:szCs w:val="24"/>
        </w:rPr>
        <w:t>(大数据智能财税实训室（硬件）)落实政府采购政策需满足的资格要求如下:</w:t>
      </w:r>
    </w:p>
    <w:p>
      <w:pPr>
        <w:numPr>
          <w:ilvl w:val="0"/>
          <w:numId w:val="0"/>
        </w:numPr>
        <w:spacing w:line="360" w:lineRule="auto"/>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cs="宋体"/>
          <w:sz w:val="24"/>
          <w:szCs w:val="24"/>
        </w:rPr>
        <w:t>《政府采购促进中小企业发展管理办法》（财库〔2020〕46号）； </w:t>
      </w:r>
      <w:r>
        <w:rPr>
          <w:rFonts w:hint="eastAsia" w:ascii="宋体" w:hAnsi="宋体" w:cs="宋体"/>
          <w:sz w:val="24"/>
          <w:szCs w:val="24"/>
        </w:rPr>
        <w:br w:type="textWrapping"/>
      </w:r>
      <w:r>
        <w:rPr>
          <w:rFonts w:hint="eastAsia" w:ascii="宋体" w:hAnsi="宋体" w:cs="宋体"/>
          <w:sz w:val="24"/>
          <w:szCs w:val="24"/>
        </w:rPr>
        <w:t>（2）《财政部 司法部关于政府采购支持监狱企业发展有关问题的通知》（财库〔2014〕68号）；</w:t>
      </w:r>
      <w:r>
        <w:rPr>
          <w:rFonts w:hint="eastAsia" w:ascii="宋体" w:hAnsi="宋体" w:cs="宋体"/>
          <w:sz w:val="24"/>
          <w:szCs w:val="24"/>
        </w:rPr>
        <w:br w:type="textWrapping"/>
      </w:r>
      <w:r>
        <w:rPr>
          <w:rFonts w:hint="eastAsia" w:ascii="宋体" w:hAnsi="宋体" w:cs="宋体"/>
          <w:sz w:val="24"/>
          <w:szCs w:val="24"/>
        </w:rPr>
        <w:t>（3）《国务院办公厅关于建立政府强制采购节能产品制度的通知》（国办发〔2007〕51号）；</w:t>
      </w:r>
      <w:r>
        <w:rPr>
          <w:rFonts w:hint="eastAsia" w:ascii="宋体" w:hAnsi="宋体" w:cs="宋体"/>
          <w:sz w:val="24"/>
          <w:szCs w:val="24"/>
        </w:rPr>
        <w:br w:type="textWrapping"/>
      </w:r>
      <w:r>
        <w:rPr>
          <w:rFonts w:hint="eastAsia" w:ascii="宋体" w:hAnsi="宋体" w:cs="宋体"/>
          <w:sz w:val="24"/>
          <w:szCs w:val="24"/>
        </w:rPr>
        <w:t>（4）《节能产品政府采购实施意见》（财库〔2004〕185号）；</w:t>
      </w:r>
      <w:r>
        <w:rPr>
          <w:rFonts w:hint="eastAsia" w:ascii="宋体" w:hAnsi="宋体" w:cs="宋体"/>
          <w:sz w:val="24"/>
          <w:szCs w:val="24"/>
        </w:rPr>
        <w:br w:type="textWrapping"/>
      </w:r>
      <w:r>
        <w:rPr>
          <w:rFonts w:hint="eastAsia" w:ascii="宋体" w:hAnsi="宋体" w:cs="宋体"/>
          <w:sz w:val="24"/>
          <w:szCs w:val="24"/>
        </w:rPr>
        <w:t>（5）《环境标志产品政府采购实施的意见》（财库〔2006〕90号）；</w:t>
      </w:r>
      <w:r>
        <w:rPr>
          <w:rFonts w:hint="eastAsia" w:ascii="宋体" w:hAnsi="宋体" w:cs="宋体"/>
          <w:sz w:val="24"/>
          <w:szCs w:val="24"/>
        </w:rPr>
        <w:br w:type="textWrapping"/>
      </w:r>
      <w:r>
        <w:rPr>
          <w:rFonts w:hint="eastAsia" w:ascii="宋体" w:hAnsi="宋体" w:cs="宋体"/>
          <w:sz w:val="24"/>
          <w:szCs w:val="24"/>
        </w:rPr>
        <w:t>（6）《三部门联合发布关于促进残疾人就业政府采购政策的通知》（财库〔2017〕141号）；</w:t>
      </w:r>
      <w:r>
        <w:rPr>
          <w:rFonts w:hint="eastAsia" w:ascii="宋体" w:hAnsi="宋体" w:cs="宋体"/>
          <w:sz w:val="24"/>
          <w:szCs w:val="24"/>
        </w:rPr>
        <w:br w:type="textWrapping"/>
      </w:r>
      <w:r>
        <w:rPr>
          <w:rFonts w:hint="eastAsia" w:ascii="宋体" w:hAnsi="宋体" w:cs="宋体"/>
          <w:sz w:val="24"/>
          <w:szCs w:val="24"/>
        </w:rPr>
        <w:t>（7）《财政部 发展改革委 生态环境部 市场监管总局关于调整优化节能产品、环境标志产品政府采购执行机制的通知》（财库〔2019〕9号）；</w:t>
      </w:r>
      <w:r>
        <w:rPr>
          <w:rFonts w:hint="eastAsia" w:ascii="宋体" w:hAnsi="宋体" w:cs="宋体"/>
          <w:sz w:val="24"/>
          <w:szCs w:val="24"/>
        </w:rPr>
        <w:br w:type="textWrapping"/>
      </w:r>
      <w:r>
        <w:rPr>
          <w:rFonts w:hint="eastAsia" w:ascii="宋体" w:hAnsi="宋体" w:cs="宋体"/>
          <w:sz w:val="24"/>
          <w:szCs w:val="24"/>
        </w:rPr>
        <w:t>（8）《财政部 农业农村部 国家乡村振兴局关于运用政府采购政策支持乡村产业振兴的通知》 （财库〔2021〕19号）；</w:t>
      </w:r>
    </w:p>
    <w:p>
      <w:pPr>
        <w:numPr>
          <w:ilvl w:val="0"/>
          <w:numId w:val="0"/>
        </w:numPr>
        <w:spacing w:line="360" w:lineRule="auto"/>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9</w:t>
      </w:r>
      <w:r>
        <w:rPr>
          <w:rFonts w:hint="eastAsia" w:ascii="宋体" w:hAnsi="宋体" w:cs="宋体"/>
          <w:sz w:val="24"/>
          <w:szCs w:val="24"/>
          <w:lang w:eastAsia="zh-CN"/>
        </w:rPr>
        <w:t>）</w:t>
      </w:r>
      <w:r>
        <w:rPr>
          <w:rFonts w:hint="eastAsia" w:ascii="宋体" w:hAnsi="宋体" w:cs="宋体"/>
          <w:sz w:val="24"/>
          <w:szCs w:val="24"/>
        </w:rPr>
        <w:t>陕西省财政厅关于印发《陕西省中小企业政府采购信用融资办法》（陕财办采〔2018〕23号）。</w:t>
      </w:r>
    </w:p>
    <w:p>
      <w:pPr>
        <w:spacing w:line="360" w:lineRule="auto"/>
        <w:ind w:firstLine="480" w:firstLineChars="200"/>
        <w:rPr>
          <w:rFonts w:ascii="宋体" w:hAnsi="宋体" w:cs="宋体"/>
          <w:sz w:val="24"/>
          <w:szCs w:val="24"/>
        </w:rPr>
      </w:pPr>
      <w:r>
        <w:rPr>
          <w:rFonts w:hint="eastAsia" w:ascii="宋体" w:hAnsi="宋体" w:cs="宋体"/>
          <w:sz w:val="24"/>
          <w:szCs w:val="24"/>
        </w:rPr>
        <w:t>合同包</w:t>
      </w:r>
      <w:r>
        <w:rPr>
          <w:rFonts w:hint="eastAsia" w:ascii="宋体" w:hAnsi="宋体" w:cs="宋体"/>
          <w:sz w:val="24"/>
          <w:szCs w:val="24"/>
          <w:lang w:val="en-US" w:eastAsia="zh-CN"/>
        </w:rPr>
        <w:t>3</w:t>
      </w:r>
      <w:r>
        <w:rPr>
          <w:rFonts w:hint="eastAsia" w:ascii="宋体" w:hAnsi="宋体" w:cs="宋体"/>
          <w:sz w:val="24"/>
          <w:szCs w:val="24"/>
        </w:rPr>
        <w:t>(电子商务师技能竞赛及实践教学软件)落实政府采购政策需满足的资格要求如下:</w:t>
      </w:r>
    </w:p>
    <w:p>
      <w:pPr>
        <w:numPr>
          <w:ilvl w:val="0"/>
          <w:numId w:val="0"/>
        </w:numPr>
        <w:spacing w:line="360" w:lineRule="auto"/>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cs="宋体"/>
          <w:sz w:val="24"/>
          <w:szCs w:val="24"/>
        </w:rPr>
        <w:t>《政府采购促进中小企业发展管理办法》（财库〔2020〕46号）； </w:t>
      </w:r>
      <w:r>
        <w:rPr>
          <w:rFonts w:hint="eastAsia" w:ascii="宋体" w:hAnsi="宋体" w:cs="宋体"/>
          <w:sz w:val="24"/>
          <w:szCs w:val="24"/>
        </w:rPr>
        <w:br w:type="textWrapping"/>
      </w:r>
      <w:r>
        <w:rPr>
          <w:rFonts w:hint="eastAsia" w:ascii="宋体" w:hAnsi="宋体" w:cs="宋体"/>
          <w:sz w:val="24"/>
          <w:szCs w:val="24"/>
        </w:rPr>
        <w:t>（2）《财政部 司法部关于政府采购支持监狱企业发展有关问题的通知》（财库〔2014〕68号）；</w:t>
      </w:r>
      <w:r>
        <w:rPr>
          <w:rFonts w:hint="eastAsia" w:ascii="宋体" w:hAnsi="宋体" w:cs="宋体"/>
          <w:sz w:val="24"/>
          <w:szCs w:val="24"/>
        </w:rPr>
        <w:br w:type="textWrapping"/>
      </w:r>
      <w:r>
        <w:rPr>
          <w:rFonts w:hint="eastAsia" w:ascii="宋体" w:hAnsi="宋体" w:cs="宋体"/>
          <w:sz w:val="24"/>
          <w:szCs w:val="24"/>
        </w:rPr>
        <w:t>（3）《国务院办公厅关于建立政府强制采购节能产品制度的通知》（国办发〔2007〕51号）；</w:t>
      </w:r>
      <w:r>
        <w:rPr>
          <w:rFonts w:hint="eastAsia" w:ascii="宋体" w:hAnsi="宋体" w:cs="宋体"/>
          <w:sz w:val="24"/>
          <w:szCs w:val="24"/>
        </w:rPr>
        <w:br w:type="textWrapping"/>
      </w:r>
      <w:r>
        <w:rPr>
          <w:rFonts w:hint="eastAsia" w:ascii="宋体" w:hAnsi="宋体" w:cs="宋体"/>
          <w:sz w:val="24"/>
          <w:szCs w:val="24"/>
        </w:rPr>
        <w:t>（4）《节能产品政府采购实施意见》（财库〔2004〕185号）；</w:t>
      </w:r>
      <w:r>
        <w:rPr>
          <w:rFonts w:hint="eastAsia" w:ascii="宋体" w:hAnsi="宋体" w:cs="宋体"/>
          <w:sz w:val="24"/>
          <w:szCs w:val="24"/>
        </w:rPr>
        <w:br w:type="textWrapping"/>
      </w:r>
      <w:r>
        <w:rPr>
          <w:rFonts w:hint="eastAsia" w:ascii="宋体" w:hAnsi="宋体" w:cs="宋体"/>
          <w:sz w:val="24"/>
          <w:szCs w:val="24"/>
        </w:rPr>
        <w:t>（5）《环境标志产品政府采购实施的意见》（财库〔2006〕90号）；</w:t>
      </w:r>
      <w:r>
        <w:rPr>
          <w:rFonts w:hint="eastAsia" w:ascii="宋体" w:hAnsi="宋体" w:cs="宋体"/>
          <w:sz w:val="24"/>
          <w:szCs w:val="24"/>
        </w:rPr>
        <w:br w:type="textWrapping"/>
      </w:r>
      <w:r>
        <w:rPr>
          <w:rFonts w:hint="eastAsia" w:ascii="宋体" w:hAnsi="宋体" w:cs="宋体"/>
          <w:sz w:val="24"/>
          <w:szCs w:val="24"/>
        </w:rPr>
        <w:t>（6）《三部门联合发布关于促进残疾人就业政府采购政策的通知》（财库〔2017〕141号）；</w:t>
      </w:r>
      <w:r>
        <w:rPr>
          <w:rFonts w:hint="eastAsia" w:ascii="宋体" w:hAnsi="宋体" w:cs="宋体"/>
          <w:sz w:val="24"/>
          <w:szCs w:val="24"/>
        </w:rPr>
        <w:br w:type="textWrapping"/>
      </w:r>
      <w:r>
        <w:rPr>
          <w:rFonts w:hint="eastAsia" w:ascii="宋体" w:hAnsi="宋体" w:cs="宋体"/>
          <w:sz w:val="24"/>
          <w:szCs w:val="24"/>
        </w:rPr>
        <w:t>（7）《财政部 发展改革委 生态环境部 市场监管总局关于调整优化节能产品、环境标志产品政府采购执行机制的通知》（财库〔2019〕9号）；</w:t>
      </w:r>
      <w:r>
        <w:rPr>
          <w:rFonts w:hint="eastAsia" w:ascii="宋体" w:hAnsi="宋体" w:cs="宋体"/>
          <w:sz w:val="24"/>
          <w:szCs w:val="24"/>
        </w:rPr>
        <w:br w:type="textWrapping"/>
      </w:r>
      <w:r>
        <w:rPr>
          <w:rFonts w:hint="eastAsia" w:ascii="宋体" w:hAnsi="宋体" w:cs="宋体"/>
          <w:sz w:val="24"/>
          <w:szCs w:val="24"/>
        </w:rPr>
        <w:t>（8）《财政部 农业农村部 国家乡村振兴局关于运用政府采购政策支持乡村产业振兴的通知》 （财库〔2021〕19号）；</w:t>
      </w:r>
    </w:p>
    <w:p>
      <w:pPr>
        <w:numPr>
          <w:ilvl w:val="0"/>
          <w:numId w:val="0"/>
        </w:numPr>
        <w:spacing w:line="360" w:lineRule="auto"/>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9</w:t>
      </w:r>
      <w:r>
        <w:rPr>
          <w:rFonts w:hint="eastAsia" w:ascii="宋体" w:hAnsi="宋体" w:cs="宋体"/>
          <w:sz w:val="24"/>
          <w:szCs w:val="24"/>
          <w:lang w:eastAsia="zh-CN"/>
        </w:rPr>
        <w:t>）</w:t>
      </w:r>
      <w:r>
        <w:rPr>
          <w:rFonts w:hint="eastAsia" w:ascii="宋体" w:hAnsi="宋体" w:cs="宋体"/>
          <w:sz w:val="24"/>
          <w:szCs w:val="24"/>
        </w:rPr>
        <w:t>陕西省财政厅关于印发《陕西省中小企业政府采购信用融资办法》（陕财办采〔2018〕23号）。</w:t>
      </w:r>
    </w:p>
    <w:p>
      <w:pPr>
        <w:spacing w:line="360" w:lineRule="auto"/>
        <w:ind w:firstLine="480" w:firstLineChars="200"/>
        <w:rPr>
          <w:rFonts w:ascii="宋体" w:hAnsi="宋体" w:cs="宋体"/>
          <w:sz w:val="24"/>
          <w:szCs w:val="24"/>
        </w:rPr>
      </w:pPr>
      <w:r>
        <w:rPr>
          <w:rFonts w:hint="eastAsia" w:ascii="宋体" w:hAnsi="宋体" w:cs="宋体"/>
          <w:sz w:val="24"/>
          <w:szCs w:val="24"/>
        </w:rPr>
        <w:t>合同包</w:t>
      </w:r>
      <w:r>
        <w:rPr>
          <w:rFonts w:hint="eastAsia" w:ascii="宋体" w:hAnsi="宋体" w:cs="宋体"/>
          <w:sz w:val="24"/>
          <w:szCs w:val="24"/>
          <w:lang w:val="en-US" w:eastAsia="zh-CN"/>
        </w:rPr>
        <w:t>4</w:t>
      </w:r>
      <w:r>
        <w:rPr>
          <w:rFonts w:hint="eastAsia" w:ascii="宋体" w:hAnsi="宋体" w:cs="宋体"/>
          <w:sz w:val="24"/>
          <w:szCs w:val="24"/>
        </w:rPr>
        <w:t>(智能财税技能测评平台)落实政府采购政策需满足的资格要求如下:</w:t>
      </w:r>
    </w:p>
    <w:p>
      <w:pPr>
        <w:numPr>
          <w:ilvl w:val="0"/>
          <w:numId w:val="0"/>
        </w:numPr>
        <w:spacing w:line="360" w:lineRule="auto"/>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cs="宋体"/>
          <w:sz w:val="24"/>
          <w:szCs w:val="24"/>
        </w:rPr>
        <w:t>《政府采购促进中小企业发展管理办法》（财库〔2020〕46号）； </w:t>
      </w:r>
      <w:r>
        <w:rPr>
          <w:rFonts w:hint="eastAsia" w:ascii="宋体" w:hAnsi="宋体" w:cs="宋体"/>
          <w:sz w:val="24"/>
          <w:szCs w:val="24"/>
        </w:rPr>
        <w:br w:type="textWrapping"/>
      </w:r>
      <w:r>
        <w:rPr>
          <w:rFonts w:hint="eastAsia" w:ascii="宋体" w:hAnsi="宋体" w:cs="宋体"/>
          <w:sz w:val="24"/>
          <w:szCs w:val="24"/>
        </w:rPr>
        <w:t>（2）《财政部 司法部关于政府采购支持监狱企业发展有关问题的通知》（财库〔2014〕68号）；</w:t>
      </w:r>
      <w:r>
        <w:rPr>
          <w:rFonts w:hint="eastAsia" w:ascii="宋体" w:hAnsi="宋体" w:cs="宋体"/>
          <w:sz w:val="24"/>
          <w:szCs w:val="24"/>
        </w:rPr>
        <w:br w:type="textWrapping"/>
      </w:r>
      <w:r>
        <w:rPr>
          <w:rFonts w:hint="eastAsia" w:ascii="宋体" w:hAnsi="宋体" w:cs="宋体"/>
          <w:sz w:val="24"/>
          <w:szCs w:val="24"/>
        </w:rPr>
        <w:t>（3）《国务院办公厅关于建立政府强制采购节能产品制度的通知》（国办发〔2007〕51号）；</w:t>
      </w:r>
      <w:r>
        <w:rPr>
          <w:rFonts w:hint="eastAsia" w:ascii="宋体" w:hAnsi="宋体" w:cs="宋体"/>
          <w:sz w:val="24"/>
          <w:szCs w:val="24"/>
        </w:rPr>
        <w:br w:type="textWrapping"/>
      </w:r>
      <w:r>
        <w:rPr>
          <w:rFonts w:hint="eastAsia" w:ascii="宋体" w:hAnsi="宋体" w:cs="宋体"/>
          <w:sz w:val="24"/>
          <w:szCs w:val="24"/>
        </w:rPr>
        <w:t>（4）《节能产品政府采购实施意见》（财库〔2004〕185号）；</w:t>
      </w:r>
      <w:r>
        <w:rPr>
          <w:rFonts w:hint="eastAsia" w:ascii="宋体" w:hAnsi="宋体" w:cs="宋体"/>
          <w:sz w:val="24"/>
          <w:szCs w:val="24"/>
        </w:rPr>
        <w:br w:type="textWrapping"/>
      </w:r>
      <w:r>
        <w:rPr>
          <w:rFonts w:hint="eastAsia" w:ascii="宋体" w:hAnsi="宋体" w:cs="宋体"/>
          <w:sz w:val="24"/>
          <w:szCs w:val="24"/>
        </w:rPr>
        <w:t>（5）《环境标志产品政府采购实施的意见》（财库〔2006〕90号）；</w:t>
      </w:r>
      <w:r>
        <w:rPr>
          <w:rFonts w:hint="eastAsia" w:ascii="宋体" w:hAnsi="宋体" w:cs="宋体"/>
          <w:sz w:val="24"/>
          <w:szCs w:val="24"/>
        </w:rPr>
        <w:br w:type="textWrapping"/>
      </w:r>
      <w:r>
        <w:rPr>
          <w:rFonts w:hint="eastAsia" w:ascii="宋体" w:hAnsi="宋体" w:cs="宋体"/>
          <w:sz w:val="24"/>
          <w:szCs w:val="24"/>
        </w:rPr>
        <w:t>（6）《三部门联合发布关于促进残疾人就业政府采购政策的通知》（财库〔2017〕141号）；</w:t>
      </w:r>
      <w:r>
        <w:rPr>
          <w:rFonts w:hint="eastAsia" w:ascii="宋体" w:hAnsi="宋体" w:cs="宋体"/>
          <w:sz w:val="24"/>
          <w:szCs w:val="24"/>
        </w:rPr>
        <w:br w:type="textWrapping"/>
      </w:r>
      <w:r>
        <w:rPr>
          <w:rFonts w:hint="eastAsia" w:ascii="宋体" w:hAnsi="宋体" w:cs="宋体"/>
          <w:sz w:val="24"/>
          <w:szCs w:val="24"/>
        </w:rPr>
        <w:t>（7）《财政部 发展改革委 生态环境部 市场监管总局关于调整优化节能产品、环境标志产品政府采购执行机制的通知》（财库〔2019〕9号）；</w:t>
      </w:r>
      <w:r>
        <w:rPr>
          <w:rFonts w:hint="eastAsia" w:ascii="宋体" w:hAnsi="宋体" w:cs="宋体"/>
          <w:sz w:val="24"/>
          <w:szCs w:val="24"/>
        </w:rPr>
        <w:br w:type="textWrapping"/>
      </w:r>
      <w:r>
        <w:rPr>
          <w:rFonts w:hint="eastAsia" w:ascii="宋体" w:hAnsi="宋体" w:cs="宋体"/>
          <w:sz w:val="24"/>
          <w:szCs w:val="24"/>
        </w:rPr>
        <w:t>（8）《财政部 农业农村部 国家乡村振兴局关于运用政府采购政策支持乡村产业振兴的通知》 （财库〔2021〕19号）；</w:t>
      </w:r>
    </w:p>
    <w:p>
      <w:pPr>
        <w:numPr>
          <w:ilvl w:val="0"/>
          <w:numId w:val="0"/>
        </w:numPr>
        <w:spacing w:line="360" w:lineRule="auto"/>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9</w:t>
      </w:r>
      <w:r>
        <w:rPr>
          <w:rFonts w:hint="eastAsia" w:ascii="宋体" w:hAnsi="宋体" w:cs="宋体"/>
          <w:sz w:val="24"/>
          <w:szCs w:val="24"/>
          <w:lang w:eastAsia="zh-CN"/>
        </w:rPr>
        <w:t>）</w:t>
      </w:r>
      <w:r>
        <w:rPr>
          <w:rFonts w:hint="eastAsia" w:ascii="宋体" w:hAnsi="宋体" w:cs="宋体"/>
          <w:sz w:val="24"/>
          <w:szCs w:val="24"/>
        </w:rPr>
        <w:t>陕西省财政厅关于印发《陕西省中小企业政府采购信用融资办法》（陕财办采〔2018〕23号）。</w:t>
      </w:r>
    </w:p>
    <w:p>
      <w:pPr>
        <w:spacing w:line="360" w:lineRule="auto"/>
        <w:ind w:firstLine="480" w:firstLineChars="200"/>
        <w:rPr>
          <w:rFonts w:ascii="宋体" w:hAnsi="宋体" w:cs="宋体"/>
          <w:sz w:val="24"/>
          <w:szCs w:val="24"/>
        </w:rPr>
      </w:pPr>
      <w:r>
        <w:rPr>
          <w:rFonts w:hint="eastAsia" w:ascii="宋体" w:hAnsi="宋体" w:cs="宋体"/>
          <w:sz w:val="24"/>
          <w:szCs w:val="24"/>
        </w:rPr>
        <w:t>合同包</w:t>
      </w:r>
      <w:r>
        <w:rPr>
          <w:rFonts w:hint="eastAsia" w:ascii="宋体" w:hAnsi="宋体" w:cs="宋体"/>
          <w:sz w:val="24"/>
          <w:szCs w:val="24"/>
          <w:lang w:val="en-US" w:eastAsia="zh-CN"/>
        </w:rPr>
        <w:t>5</w:t>
      </w:r>
      <w:r>
        <w:rPr>
          <w:rFonts w:hint="eastAsia" w:ascii="宋体" w:hAnsi="宋体" w:cs="宋体"/>
          <w:sz w:val="24"/>
          <w:szCs w:val="24"/>
        </w:rPr>
        <w:t>(电子商务直播综合实训室)落实政府采购政策需满足的资格要求如下:</w:t>
      </w:r>
    </w:p>
    <w:p>
      <w:pPr>
        <w:numPr>
          <w:ilvl w:val="0"/>
          <w:numId w:val="0"/>
        </w:numPr>
        <w:spacing w:line="360" w:lineRule="auto"/>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cs="宋体"/>
          <w:sz w:val="24"/>
          <w:szCs w:val="24"/>
        </w:rPr>
        <w:t>《政府采购促进中小企业发展管理办法》（财库〔2020〕46号）； </w:t>
      </w:r>
      <w:r>
        <w:rPr>
          <w:rFonts w:hint="eastAsia" w:ascii="宋体" w:hAnsi="宋体" w:cs="宋体"/>
          <w:sz w:val="24"/>
          <w:szCs w:val="24"/>
        </w:rPr>
        <w:br w:type="textWrapping"/>
      </w:r>
      <w:r>
        <w:rPr>
          <w:rFonts w:hint="eastAsia" w:ascii="宋体" w:hAnsi="宋体" w:cs="宋体"/>
          <w:sz w:val="24"/>
          <w:szCs w:val="24"/>
        </w:rPr>
        <w:t>（2）《财政部 司法部关于政府采购支持监狱企业发展有关问题的通知》（财库〔2014〕68号）；</w:t>
      </w:r>
      <w:r>
        <w:rPr>
          <w:rFonts w:hint="eastAsia" w:ascii="宋体" w:hAnsi="宋体" w:cs="宋体"/>
          <w:sz w:val="24"/>
          <w:szCs w:val="24"/>
        </w:rPr>
        <w:br w:type="textWrapping"/>
      </w:r>
      <w:r>
        <w:rPr>
          <w:rFonts w:hint="eastAsia" w:ascii="宋体" w:hAnsi="宋体" w:cs="宋体"/>
          <w:sz w:val="24"/>
          <w:szCs w:val="24"/>
        </w:rPr>
        <w:t>（3）《国务院办公厅关于建立政府强制采购节能产品制度的通知》（国办发〔2007〕51号）；</w:t>
      </w:r>
      <w:r>
        <w:rPr>
          <w:rFonts w:hint="eastAsia" w:ascii="宋体" w:hAnsi="宋体" w:cs="宋体"/>
          <w:sz w:val="24"/>
          <w:szCs w:val="24"/>
        </w:rPr>
        <w:br w:type="textWrapping"/>
      </w:r>
      <w:r>
        <w:rPr>
          <w:rFonts w:hint="eastAsia" w:ascii="宋体" w:hAnsi="宋体" w:cs="宋体"/>
          <w:sz w:val="24"/>
          <w:szCs w:val="24"/>
        </w:rPr>
        <w:t>（4）《节能产品政府采购实施意见》（财库〔2004〕185号）；</w:t>
      </w:r>
      <w:r>
        <w:rPr>
          <w:rFonts w:hint="eastAsia" w:ascii="宋体" w:hAnsi="宋体" w:cs="宋体"/>
          <w:sz w:val="24"/>
          <w:szCs w:val="24"/>
        </w:rPr>
        <w:br w:type="textWrapping"/>
      </w:r>
      <w:r>
        <w:rPr>
          <w:rFonts w:hint="eastAsia" w:ascii="宋体" w:hAnsi="宋体" w:cs="宋体"/>
          <w:sz w:val="24"/>
          <w:szCs w:val="24"/>
        </w:rPr>
        <w:t>（5）《环境标志产品政府采购实施的意见》（财库〔2006〕90号）；</w:t>
      </w:r>
      <w:r>
        <w:rPr>
          <w:rFonts w:hint="eastAsia" w:ascii="宋体" w:hAnsi="宋体" w:cs="宋体"/>
          <w:sz w:val="24"/>
          <w:szCs w:val="24"/>
        </w:rPr>
        <w:br w:type="textWrapping"/>
      </w:r>
      <w:r>
        <w:rPr>
          <w:rFonts w:hint="eastAsia" w:ascii="宋体" w:hAnsi="宋体" w:cs="宋体"/>
          <w:sz w:val="24"/>
          <w:szCs w:val="24"/>
        </w:rPr>
        <w:t>（6）《三部门联合发布关于促进残疾人就业政府采购政策的通知》（财库〔2017〕141号）；</w:t>
      </w:r>
      <w:r>
        <w:rPr>
          <w:rFonts w:hint="eastAsia" w:ascii="宋体" w:hAnsi="宋体" w:cs="宋体"/>
          <w:sz w:val="24"/>
          <w:szCs w:val="24"/>
        </w:rPr>
        <w:br w:type="textWrapping"/>
      </w:r>
      <w:r>
        <w:rPr>
          <w:rFonts w:hint="eastAsia" w:ascii="宋体" w:hAnsi="宋体" w:cs="宋体"/>
          <w:sz w:val="24"/>
          <w:szCs w:val="24"/>
        </w:rPr>
        <w:t>（7）《财政部 发展改革委 生态环境部 市场监管总局关于调整优化节能产品、环境标志产品政府采购执行机制的通知》（财库〔2019〕9号）；</w:t>
      </w:r>
      <w:r>
        <w:rPr>
          <w:rFonts w:hint="eastAsia" w:ascii="宋体" w:hAnsi="宋体" w:cs="宋体"/>
          <w:sz w:val="24"/>
          <w:szCs w:val="24"/>
        </w:rPr>
        <w:br w:type="textWrapping"/>
      </w:r>
      <w:r>
        <w:rPr>
          <w:rFonts w:hint="eastAsia" w:ascii="宋体" w:hAnsi="宋体" w:cs="宋体"/>
          <w:sz w:val="24"/>
          <w:szCs w:val="24"/>
        </w:rPr>
        <w:t>（8）《财政部 农业农村部 国家乡村振兴局关于运用政府采购政策支持乡村产业振兴的通知》 （财库〔2021〕19号）；</w:t>
      </w:r>
    </w:p>
    <w:p>
      <w:pPr>
        <w:numPr>
          <w:ilvl w:val="0"/>
          <w:numId w:val="0"/>
        </w:numPr>
        <w:spacing w:line="360" w:lineRule="auto"/>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9</w:t>
      </w:r>
      <w:r>
        <w:rPr>
          <w:rFonts w:hint="eastAsia" w:ascii="宋体" w:hAnsi="宋体" w:cs="宋体"/>
          <w:sz w:val="24"/>
          <w:szCs w:val="24"/>
          <w:lang w:eastAsia="zh-CN"/>
        </w:rPr>
        <w:t>）</w:t>
      </w:r>
      <w:r>
        <w:rPr>
          <w:rFonts w:hint="eastAsia" w:ascii="宋体" w:hAnsi="宋体" w:cs="宋体"/>
          <w:sz w:val="24"/>
          <w:szCs w:val="24"/>
        </w:rPr>
        <w:t>陕西省财政厅关于印发《陕西省中小企业政府采购信用融资办法》（陕财办采〔2018〕23号）。</w:t>
      </w:r>
    </w:p>
    <w:p>
      <w:pPr>
        <w:spacing w:line="360" w:lineRule="auto"/>
        <w:ind w:firstLine="480" w:firstLineChars="200"/>
        <w:rPr>
          <w:rFonts w:ascii="宋体" w:hAnsi="宋体" w:cs="宋体"/>
          <w:sz w:val="24"/>
          <w:szCs w:val="24"/>
        </w:rPr>
      </w:pPr>
      <w:r>
        <w:rPr>
          <w:rFonts w:hint="eastAsia" w:ascii="宋体" w:hAnsi="宋体" w:cs="宋体"/>
          <w:sz w:val="24"/>
          <w:szCs w:val="24"/>
        </w:rPr>
        <w:t>合同包</w:t>
      </w:r>
      <w:r>
        <w:rPr>
          <w:rFonts w:hint="eastAsia" w:ascii="宋体" w:hAnsi="宋体" w:cs="宋体"/>
          <w:sz w:val="24"/>
          <w:szCs w:val="24"/>
          <w:lang w:val="en-US" w:eastAsia="zh-CN"/>
        </w:rPr>
        <w:t>6</w:t>
      </w:r>
      <w:r>
        <w:rPr>
          <w:rFonts w:hint="eastAsia" w:ascii="宋体" w:hAnsi="宋体" w:cs="宋体"/>
          <w:sz w:val="24"/>
          <w:szCs w:val="24"/>
        </w:rPr>
        <w:t>(模拟经营沙盘技能大赛软件)落实政府采购政策需满足的资格要求如下:</w:t>
      </w:r>
    </w:p>
    <w:p>
      <w:pPr>
        <w:numPr>
          <w:ilvl w:val="0"/>
          <w:numId w:val="0"/>
        </w:numPr>
        <w:spacing w:line="360" w:lineRule="auto"/>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cs="宋体"/>
          <w:sz w:val="24"/>
          <w:szCs w:val="24"/>
        </w:rPr>
        <w:t>《政府采购促进中小企业发展管理办法》（财库〔2020〕46号）； </w:t>
      </w:r>
      <w:r>
        <w:rPr>
          <w:rFonts w:hint="eastAsia" w:ascii="宋体" w:hAnsi="宋体" w:cs="宋体"/>
          <w:sz w:val="24"/>
          <w:szCs w:val="24"/>
        </w:rPr>
        <w:br w:type="textWrapping"/>
      </w:r>
      <w:r>
        <w:rPr>
          <w:rFonts w:hint="eastAsia" w:ascii="宋体" w:hAnsi="宋体" w:cs="宋体"/>
          <w:sz w:val="24"/>
          <w:szCs w:val="24"/>
        </w:rPr>
        <w:t>（2）《财政部 司法部关于政府采购支持监狱企业发展有关问题的通知》（财库〔2014〕68号）；</w:t>
      </w:r>
      <w:r>
        <w:rPr>
          <w:rFonts w:hint="eastAsia" w:ascii="宋体" w:hAnsi="宋体" w:cs="宋体"/>
          <w:sz w:val="24"/>
          <w:szCs w:val="24"/>
        </w:rPr>
        <w:br w:type="textWrapping"/>
      </w:r>
      <w:r>
        <w:rPr>
          <w:rFonts w:hint="eastAsia" w:ascii="宋体" w:hAnsi="宋体" w:cs="宋体"/>
          <w:sz w:val="24"/>
          <w:szCs w:val="24"/>
        </w:rPr>
        <w:t>（3）《国务院办公厅关于建立政府强制采购节能产品制度的通知》（国办发〔2007〕51号）；</w:t>
      </w:r>
      <w:r>
        <w:rPr>
          <w:rFonts w:hint="eastAsia" w:ascii="宋体" w:hAnsi="宋体" w:cs="宋体"/>
          <w:sz w:val="24"/>
          <w:szCs w:val="24"/>
        </w:rPr>
        <w:br w:type="textWrapping"/>
      </w:r>
      <w:r>
        <w:rPr>
          <w:rFonts w:hint="eastAsia" w:ascii="宋体" w:hAnsi="宋体" w:cs="宋体"/>
          <w:sz w:val="24"/>
          <w:szCs w:val="24"/>
        </w:rPr>
        <w:t>（4）《节能产品政府采购实施意见》（财库〔2004〕185号）；</w:t>
      </w:r>
      <w:r>
        <w:rPr>
          <w:rFonts w:hint="eastAsia" w:ascii="宋体" w:hAnsi="宋体" w:cs="宋体"/>
          <w:sz w:val="24"/>
          <w:szCs w:val="24"/>
        </w:rPr>
        <w:br w:type="textWrapping"/>
      </w:r>
      <w:r>
        <w:rPr>
          <w:rFonts w:hint="eastAsia" w:ascii="宋体" w:hAnsi="宋体" w:cs="宋体"/>
          <w:sz w:val="24"/>
          <w:szCs w:val="24"/>
        </w:rPr>
        <w:t>（5）《环境标志产品政府采购实施的意见》（财库〔2006〕90号）；</w:t>
      </w:r>
      <w:r>
        <w:rPr>
          <w:rFonts w:hint="eastAsia" w:ascii="宋体" w:hAnsi="宋体" w:cs="宋体"/>
          <w:sz w:val="24"/>
          <w:szCs w:val="24"/>
        </w:rPr>
        <w:br w:type="textWrapping"/>
      </w:r>
      <w:r>
        <w:rPr>
          <w:rFonts w:hint="eastAsia" w:ascii="宋体" w:hAnsi="宋体" w:cs="宋体"/>
          <w:sz w:val="24"/>
          <w:szCs w:val="24"/>
        </w:rPr>
        <w:t>（6）《三部门联合发布关于促进残疾人就业政府采购政策的通知》（财库〔2017〕141号）；</w:t>
      </w:r>
      <w:r>
        <w:rPr>
          <w:rFonts w:hint="eastAsia" w:ascii="宋体" w:hAnsi="宋体" w:cs="宋体"/>
          <w:sz w:val="24"/>
          <w:szCs w:val="24"/>
        </w:rPr>
        <w:br w:type="textWrapping"/>
      </w:r>
      <w:r>
        <w:rPr>
          <w:rFonts w:hint="eastAsia" w:ascii="宋体" w:hAnsi="宋体" w:cs="宋体"/>
          <w:sz w:val="24"/>
          <w:szCs w:val="24"/>
        </w:rPr>
        <w:t>（7）《财政部 发展改革委 生态环境部 市场监管总局关于调整优化节能产品、环境标志产品政府采购执行机制的通知》（财库〔2019〕9号）；</w:t>
      </w:r>
      <w:r>
        <w:rPr>
          <w:rFonts w:hint="eastAsia" w:ascii="宋体" w:hAnsi="宋体" w:cs="宋体"/>
          <w:sz w:val="24"/>
          <w:szCs w:val="24"/>
        </w:rPr>
        <w:br w:type="textWrapping"/>
      </w:r>
      <w:r>
        <w:rPr>
          <w:rFonts w:hint="eastAsia" w:ascii="宋体" w:hAnsi="宋体" w:cs="宋体"/>
          <w:sz w:val="24"/>
          <w:szCs w:val="24"/>
        </w:rPr>
        <w:t>（8）《财政部 农业农村部 国家乡村振兴局关于运用政府采购政策支持乡村产业振兴的通知》 （财库〔2021〕19号）；</w:t>
      </w:r>
    </w:p>
    <w:p>
      <w:pPr>
        <w:numPr>
          <w:ilvl w:val="0"/>
          <w:numId w:val="0"/>
        </w:numPr>
        <w:spacing w:line="360" w:lineRule="auto"/>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9</w:t>
      </w:r>
      <w:r>
        <w:rPr>
          <w:rFonts w:hint="eastAsia" w:ascii="宋体" w:hAnsi="宋体" w:cs="宋体"/>
          <w:sz w:val="24"/>
          <w:szCs w:val="24"/>
          <w:lang w:eastAsia="zh-CN"/>
        </w:rPr>
        <w:t>）</w:t>
      </w:r>
      <w:r>
        <w:rPr>
          <w:rFonts w:hint="eastAsia" w:ascii="宋体" w:hAnsi="宋体" w:cs="宋体"/>
          <w:sz w:val="24"/>
          <w:szCs w:val="24"/>
        </w:rPr>
        <w:t>陕西省财政厅关于印发《陕西省中小企业政府采购信用融资办法》（陕财办采〔2018〕23号）。</w:t>
      </w:r>
    </w:p>
    <w:p>
      <w:pPr>
        <w:spacing w:line="360" w:lineRule="auto"/>
        <w:ind w:firstLine="480" w:firstLineChars="200"/>
        <w:rPr>
          <w:rFonts w:ascii="宋体" w:hAnsi="宋体" w:cs="宋体"/>
          <w:sz w:val="24"/>
          <w:szCs w:val="24"/>
        </w:rPr>
      </w:pPr>
      <w:r>
        <w:rPr>
          <w:rFonts w:hint="eastAsia" w:ascii="宋体" w:hAnsi="宋体" w:cs="宋体"/>
          <w:sz w:val="24"/>
          <w:szCs w:val="24"/>
        </w:rPr>
        <w:t>3.本项目的特定资格要求：</w:t>
      </w:r>
    </w:p>
    <w:p>
      <w:pPr>
        <w:spacing w:line="360" w:lineRule="auto"/>
        <w:ind w:firstLine="480" w:firstLineChars="200"/>
        <w:rPr>
          <w:rFonts w:ascii="宋体" w:hAnsi="宋体" w:cs="宋体"/>
          <w:sz w:val="24"/>
          <w:szCs w:val="24"/>
        </w:rPr>
      </w:pPr>
      <w:r>
        <w:rPr>
          <w:rFonts w:hint="eastAsia" w:ascii="宋体" w:hAnsi="宋体" w:cs="宋体"/>
          <w:sz w:val="24"/>
          <w:szCs w:val="24"/>
        </w:rPr>
        <w:t>合同包1(大数据智能财税实训室（软件）)特定资格要求如下:</w:t>
      </w:r>
    </w:p>
    <w:p>
      <w:pPr>
        <w:numPr>
          <w:ilvl w:val="0"/>
          <w:numId w:val="3"/>
        </w:numPr>
        <w:spacing w:line="360" w:lineRule="auto"/>
        <w:rPr>
          <w:rFonts w:hint="eastAsia" w:ascii="宋体" w:hAnsi="宋体" w:cs="宋体"/>
          <w:sz w:val="24"/>
          <w:szCs w:val="24"/>
          <w:lang w:val="en-US" w:eastAsia="zh-CN"/>
        </w:rPr>
      </w:pPr>
      <w:r>
        <w:rPr>
          <w:rFonts w:hint="eastAsia" w:ascii="宋体" w:hAnsi="宋体" w:cs="宋体"/>
          <w:sz w:val="24"/>
          <w:szCs w:val="24"/>
        </w:rPr>
        <w:t>具有独立承担民事责任能力的法人、其他组织或自然人，提供合法有效的统一社会信用代码营业执照（事业单位提供事业单位法人证书，自然人应提供身份证）；</w:t>
      </w:r>
      <w:r>
        <w:rPr>
          <w:rFonts w:hint="eastAsia" w:ascii="宋体" w:hAnsi="宋体" w:cs="宋体"/>
          <w:sz w:val="24"/>
          <w:szCs w:val="24"/>
        </w:rPr>
        <w:br w:type="textWrapping"/>
      </w:r>
      <w:r>
        <w:rPr>
          <w:rFonts w:hint="eastAsia" w:ascii="宋体" w:hAnsi="宋体" w:cs="宋体"/>
          <w:sz w:val="24"/>
          <w:szCs w:val="24"/>
        </w:rPr>
        <w:t>（2）财务状况证明：供应商提供2020年或2021年度经审计完整的财务审计报告（成立时间至提交投标文件截止时间不足一年的可提供成立后任意时段的资产负债表），或其开标前三个月内银行出具的资信证明，或财政部门认可的政府采购专业担保机构出具的投标担保函；</w:t>
      </w:r>
      <w:r>
        <w:rPr>
          <w:rFonts w:hint="eastAsia" w:ascii="宋体" w:hAnsi="宋体" w:cs="宋体"/>
          <w:sz w:val="24"/>
          <w:szCs w:val="24"/>
        </w:rPr>
        <w:br w:type="textWrapping"/>
      </w:r>
      <w:r>
        <w:rPr>
          <w:rFonts w:hint="eastAsia" w:ascii="宋体" w:hAnsi="宋体" w:cs="宋体"/>
          <w:sz w:val="24"/>
          <w:szCs w:val="24"/>
        </w:rPr>
        <w:t>（3）具有履行合同所必需的设备和专业技术能力的书面声明；</w:t>
      </w:r>
      <w:r>
        <w:rPr>
          <w:rFonts w:hint="eastAsia" w:ascii="宋体" w:hAnsi="宋体" w:cs="宋体"/>
          <w:sz w:val="24"/>
          <w:szCs w:val="24"/>
        </w:rPr>
        <w:br w:type="textWrapping"/>
      </w:r>
      <w:r>
        <w:rPr>
          <w:rFonts w:hint="eastAsia" w:ascii="宋体" w:hAnsi="宋体" w:cs="宋体"/>
          <w:sz w:val="24"/>
          <w:szCs w:val="24"/>
        </w:rPr>
        <w:t>（4）税收缴纳证明：提供2021年9月以来至少一个月的纳税证明或完税证明，依法免税的单位应提供相关证明材料； </w:t>
      </w:r>
      <w:r>
        <w:rPr>
          <w:rFonts w:hint="eastAsia" w:ascii="宋体" w:hAnsi="宋体" w:cs="宋体"/>
          <w:sz w:val="24"/>
          <w:szCs w:val="24"/>
        </w:rPr>
        <w:br w:type="textWrapping"/>
      </w:r>
      <w:r>
        <w:rPr>
          <w:rFonts w:hint="eastAsia" w:ascii="宋体" w:hAnsi="宋体" w:cs="宋体"/>
          <w:sz w:val="24"/>
          <w:szCs w:val="24"/>
        </w:rPr>
        <w:t>（5）社会保障资金缴纳证明：提供2021年9月以来至少一个月的社会保障资金缴存单据或社保机构开具的社会保险参保缴费情况证明。依法不需要缴纳社会保障资金的供应商应提供相关文件证明；</w:t>
      </w:r>
      <w:r>
        <w:rPr>
          <w:rFonts w:hint="eastAsia" w:ascii="宋体" w:hAnsi="宋体" w:cs="宋体"/>
          <w:sz w:val="24"/>
          <w:szCs w:val="24"/>
        </w:rPr>
        <w:br w:type="textWrapping"/>
      </w:r>
      <w:r>
        <w:rPr>
          <w:rFonts w:hint="eastAsia" w:ascii="宋体" w:hAnsi="宋体" w:cs="宋体"/>
          <w:sz w:val="24"/>
          <w:szCs w:val="24"/>
        </w:rPr>
        <w:t>（6）参加政府采购活动前3年内在经营活动中没有重大违法记录的书面声明；</w:t>
      </w:r>
      <w:r>
        <w:rPr>
          <w:rFonts w:hint="eastAsia" w:ascii="宋体" w:hAnsi="宋体" w:cs="宋体"/>
          <w:sz w:val="24"/>
          <w:szCs w:val="24"/>
        </w:rPr>
        <w:br w:type="textWrapping"/>
      </w:r>
      <w:r>
        <w:rPr>
          <w:rFonts w:hint="eastAsia" w:ascii="宋体" w:hAnsi="宋体" w:cs="宋体"/>
          <w:sz w:val="24"/>
          <w:szCs w:val="24"/>
        </w:rPr>
        <w:t>（7）非法定代表人参加投标的，须提供法定代表人委托授权书及被授权人身份证，法定代表人参加投标时,只须提供法定代表人身份证； </w:t>
      </w:r>
      <w:r>
        <w:rPr>
          <w:rFonts w:hint="eastAsia" w:ascii="宋体" w:hAnsi="宋体" w:cs="宋体"/>
          <w:sz w:val="24"/>
          <w:szCs w:val="24"/>
        </w:rPr>
        <w:br w:type="textWrapping"/>
      </w:r>
      <w:r>
        <w:rPr>
          <w:rFonts w:hint="eastAsia" w:ascii="宋体" w:hAnsi="宋体" w:cs="宋体"/>
          <w:sz w:val="24"/>
          <w:szCs w:val="24"/>
        </w:rPr>
        <w:t>（8）</w:t>
      </w:r>
      <w:r>
        <w:rPr>
          <w:rFonts w:hint="eastAsia" w:ascii="宋体" w:hAnsi="宋体" w:cs="宋体"/>
          <w:sz w:val="24"/>
          <w:szCs w:val="24"/>
          <w:lang w:val="en-US" w:eastAsia="zh-CN"/>
        </w:rPr>
        <w:t>本项目为专门面向中小企业采购，供应商应出具中小企业声明函；</w:t>
      </w:r>
    </w:p>
    <w:p>
      <w:pPr>
        <w:numPr>
          <w:ilvl w:val="-1"/>
          <w:numId w:val="0"/>
        </w:numPr>
        <w:spacing w:line="360" w:lineRule="auto"/>
        <w:rPr>
          <w:rFonts w:ascii="宋体" w:hAnsi="宋体" w:cs="宋体"/>
          <w:sz w:val="24"/>
          <w:szCs w:val="24"/>
        </w:rPr>
      </w:pPr>
      <w:r>
        <w:rPr>
          <w:rFonts w:hint="eastAsia" w:ascii="宋体" w:hAnsi="宋体" w:cs="宋体"/>
          <w:sz w:val="24"/>
          <w:szCs w:val="24"/>
          <w:lang w:val="en-US" w:eastAsia="zh-CN"/>
        </w:rPr>
        <w:t>（9）</w:t>
      </w:r>
      <w:r>
        <w:rPr>
          <w:rFonts w:hint="eastAsia" w:ascii="宋体" w:hAnsi="宋体" w:cs="宋体"/>
          <w:sz w:val="24"/>
          <w:szCs w:val="24"/>
        </w:rPr>
        <w:t>本项目不接受联合体投标。</w:t>
      </w:r>
    </w:p>
    <w:p>
      <w:pPr>
        <w:spacing w:line="360" w:lineRule="auto"/>
        <w:ind w:firstLine="480" w:firstLineChars="200"/>
        <w:rPr>
          <w:rFonts w:ascii="宋体" w:hAnsi="宋体" w:cs="宋体"/>
          <w:sz w:val="24"/>
          <w:szCs w:val="24"/>
        </w:rPr>
      </w:pPr>
      <w:r>
        <w:rPr>
          <w:rFonts w:hint="eastAsia" w:ascii="宋体" w:hAnsi="宋体" w:cs="宋体"/>
          <w:sz w:val="24"/>
          <w:szCs w:val="24"/>
        </w:rPr>
        <w:t>合同包</w:t>
      </w:r>
      <w:r>
        <w:rPr>
          <w:rFonts w:hint="eastAsia" w:ascii="宋体" w:hAnsi="宋体" w:cs="宋体"/>
          <w:sz w:val="24"/>
          <w:szCs w:val="24"/>
          <w:lang w:val="en-US" w:eastAsia="zh-CN"/>
        </w:rPr>
        <w:t>2</w:t>
      </w:r>
      <w:r>
        <w:rPr>
          <w:rFonts w:hint="eastAsia" w:ascii="宋体" w:hAnsi="宋体" w:cs="宋体"/>
          <w:sz w:val="24"/>
          <w:szCs w:val="24"/>
        </w:rPr>
        <w:t>(大数据智能财税实训室（硬件）)特定资格要求如下:</w:t>
      </w:r>
    </w:p>
    <w:p>
      <w:pPr>
        <w:spacing w:line="360" w:lineRule="auto"/>
        <w:rPr>
          <w:rFonts w:ascii="宋体" w:hAnsi="宋体" w:cs="宋体"/>
          <w:sz w:val="24"/>
          <w:szCs w:val="24"/>
        </w:rPr>
      </w:pPr>
      <w:r>
        <w:rPr>
          <w:rFonts w:hint="eastAsia" w:ascii="宋体" w:hAnsi="宋体" w:cs="宋体"/>
          <w:sz w:val="24"/>
          <w:szCs w:val="24"/>
        </w:rPr>
        <w:t>（1）具有独立承担民事责任能力的法人、其他组织或自然人，提供合法有效的统一社会信用代码营业执照（事业单位提供事业单位法人证书，自然人应提供身份证）；</w:t>
      </w:r>
      <w:r>
        <w:rPr>
          <w:rFonts w:hint="eastAsia" w:ascii="宋体" w:hAnsi="宋体" w:cs="宋体"/>
          <w:sz w:val="24"/>
          <w:szCs w:val="24"/>
        </w:rPr>
        <w:br w:type="textWrapping"/>
      </w:r>
      <w:r>
        <w:rPr>
          <w:rFonts w:hint="eastAsia" w:ascii="宋体" w:hAnsi="宋体" w:cs="宋体"/>
          <w:sz w:val="24"/>
          <w:szCs w:val="24"/>
        </w:rPr>
        <w:t>（2）财务状况证明：供应商提供2020年或2021年度经审计完整的财务审计报告（成立时间至提交投标文件截止时间不足一年的可提供成立后任意时段的资产负债表），或其开标前三个月内银行出具的资信证明，或财政部门认可的政府采购专业担保机构出具的投标担保函；</w:t>
      </w:r>
      <w:r>
        <w:rPr>
          <w:rFonts w:hint="eastAsia" w:ascii="宋体" w:hAnsi="宋体" w:cs="宋体"/>
          <w:sz w:val="24"/>
          <w:szCs w:val="24"/>
        </w:rPr>
        <w:br w:type="textWrapping"/>
      </w:r>
      <w:r>
        <w:rPr>
          <w:rFonts w:hint="eastAsia" w:ascii="宋体" w:hAnsi="宋体" w:cs="宋体"/>
          <w:sz w:val="24"/>
          <w:szCs w:val="24"/>
        </w:rPr>
        <w:t>（3）具有履行合同所必需的设备和专业技术能力的书面声明；</w:t>
      </w:r>
      <w:r>
        <w:rPr>
          <w:rFonts w:hint="eastAsia" w:ascii="宋体" w:hAnsi="宋体" w:cs="宋体"/>
          <w:sz w:val="24"/>
          <w:szCs w:val="24"/>
        </w:rPr>
        <w:br w:type="textWrapping"/>
      </w:r>
      <w:r>
        <w:rPr>
          <w:rFonts w:hint="eastAsia" w:ascii="宋体" w:hAnsi="宋体" w:cs="宋体"/>
          <w:sz w:val="24"/>
          <w:szCs w:val="24"/>
        </w:rPr>
        <w:t>（4）税收缴纳证明：提供2021年9月以来至少一个月的纳税证明或完税证明，依法免税的单位应提供相关证明材料； </w:t>
      </w:r>
      <w:r>
        <w:rPr>
          <w:rFonts w:hint="eastAsia" w:ascii="宋体" w:hAnsi="宋体" w:cs="宋体"/>
          <w:sz w:val="24"/>
          <w:szCs w:val="24"/>
        </w:rPr>
        <w:br w:type="textWrapping"/>
      </w:r>
      <w:r>
        <w:rPr>
          <w:rFonts w:hint="eastAsia" w:ascii="宋体" w:hAnsi="宋体" w:cs="宋体"/>
          <w:sz w:val="24"/>
          <w:szCs w:val="24"/>
        </w:rPr>
        <w:t>（5）社会保障资金缴纳证明：提供2021年9月以来至少一个月的社会保障资金缴存单据或社保机构开具的社会保险参保缴费情况证明。依法不需要缴纳社会保障资金的供应商应提供相关文件证明；</w:t>
      </w:r>
      <w:r>
        <w:rPr>
          <w:rFonts w:hint="eastAsia" w:ascii="宋体" w:hAnsi="宋体" w:cs="宋体"/>
          <w:sz w:val="24"/>
          <w:szCs w:val="24"/>
        </w:rPr>
        <w:br w:type="textWrapping"/>
      </w:r>
      <w:r>
        <w:rPr>
          <w:rFonts w:hint="eastAsia" w:ascii="宋体" w:hAnsi="宋体" w:cs="宋体"/>
          <w:sz w:val="24"/>
          <w:szCs w:val="24"/>
        </w:rPr>
        <w:t>（6）参加政府采购活动前3年内在经营活动中没有重大违法记录的书面声明；</w:t>
      </w:r>
      <w:r>
        <w:rPr>
          <w:rFonts w:hint="eastAsia" w:ascii="宋体" w:hAnsi="宋体" w:cs="宋体"/>
          <w:sz w:val="24"/>
          <w:szCs w:val="24"/>
        </w:rPr>
        <w:br w:type="textWrapping"/>
      </w:r>
      <w:r>
        <w:rPr>
          <w:rFonts w:hint="eastAsia" w:ascii="宋体" w:hAnsi="宋体" w:cs="宋体"/>
          <w:sz w:val="24"/>
          <w:szCs w:val="24"/>
        </w:rPr>
        <w:t>（7）非法定代表人参加投标的，须提供法定代表人委托授权书及被授权人身份证，法定代表人参加投标时,只须提供法定代表人身份证； </w:t>
      </w:r>
      <w:r>
        <w:rPr>
          <w:rFonts w:hint="eastAsia" w:ascii="宋体" w:hAnsi="宋体" w:cs="宋体"/>
          <w:sz w:val="24"/>
          <w:szCs w:val="24"/>
        </w:rPr>
        <w:br w:type="textWrapping"/>
      </w:r>
      <w:r>
        <w:rPr>
          <w:rFonts w:hint="eastAsia" w:ascii="宋体" w:hAnsi="宋体" w:cs="宋体"/>
          <w:sz w:val="24"/>
          <w:szCs w:val="24"/>
        </w:rPr>
        <w:t>（8）本项目不接受联合体投标。</w:t>
      </w:r>
    </w:p>
    <w:p>
      <w:pPr>
        <w:spacing w:line="360" w:lineRule="auto"/>
        <w:ind w:firstLine="480" w:firstLineChars="200"/>
        <w:rPr>
          <w:rFonts w:ascii="宋体" w:hAnsi="宋体" w:cs="宋体"/>
          <w:sz w:val="24"/>
          <w:szCs w:val="24"/>
        </w:rPr>
      </w:pPr>
      <w:r>
        <w:rPr>
          <w:rFonts w:hint="eastAsia" w:ascii="宋体" w:hAnsi="宋体" w:cs="宋体"/>
          <w:sz w:val="24"/>
          <w:szCs w:val="24"/>
        </w:rPr>
        <w:t>合同包</w:t>
      </w:r>
      <w:r>
        <w:rPr>
          <w:rFonts w:hint="eastAsia" w:ascii="宋体" w:hAnsi="宋体" w:cs="宋体"/>
          <w:sz w:val="24"/>
          <w:szCs w:val="24"/>
          <w:lang w:val="en-US" w:eastAsia="zh-CN"/>
        </w:rPr>
        <w:t>3</w:t>
      </w:r>
      <w:r>
        <w:rPr>
          <w:rFonts w:hint="eastAsia" w:ascii="宋体" w:hAnsi="宋体" w:cs="宋体"/>
          <w:sz w:val="24"/>
          <w:szCs w:val="24"/>
        </w:rPr>
        <w:t>(电子商务师技能竞赛及实践教学软件)特定资格要求如下:</w:t>
      </w:r>
    </w:p>
    <w:p>
      <w:pPr>
        <w:numPr>
          <w:ilvl w:val="-1"/>
          <w:numId w:val="0"/>
        </w:numPr>
        <w:spacing w:line="360" w:lineRule="auto"/>
        <w:rPr>
          <w:rFonts w:hint="eastAsia" w:ascii="宋体" w:hAnsi="宋体" w:cs="宋体"/>
          <w:sz w:val="24"/>
          <w:szCs w:val="24"/>
          <w:lang w:val="en-US" w:eastAsia="zh-CN"/>
        </w:rPr>
      </w:pPr>
      <w:r>
        <w:rPr>
          <w:rFonts w:hint="eastAsia" w:ascii="宋体" w:hAnsi="宋体" w:cs="宋体"/>
          <w:sz w:val="24"/>
          <w:szCs w:val="24"/>
        </w:rPr>
        <w:t>（1）具有独立承担民事责任能力的法人、其他组织或自然人，提供合法有效的统一社会信用代码营业执照（事业单位提供事业单位法人证书，自然人应提供身份证）；</w:t>
      </w:r>
      <w:r>
        <w:rPr>
          <w:rFonts w:hint="eastAsia" w:ascii="宋体" w:hAnsi="宋体" w:cs="宋体"/>
          <w:sz w:val="24"/>
          <w:szCs w:val="24"/>
        </w:rPr>
        <w:br w:type="textWrapping"/>
      </w:r>
      <w:r>
        <w:rPr>
          <w:rFonts w:hint="eastAsia" w:ascii="宋体" w:hAnsi="宋体" w:cs="宋体"/>
          <w:sz w:val="24"/>
          <w:szCs w:val="24"/>
        </w:rPr>
        <w:t>（2）财务状况证明：供应商提供2020年或2021年度经审计完整的财务审计报告（成立时间至提交投标文件截止时间不足一年的可提供成立后任意时段的资产负债表），或其开标前三个月内银行出具的资信证明，或财政部门认可的政府采购专业担保机构出具的投标担保函；</w:t>
      </w:r>
      <w:r>
        <w:rPr>
          <w:rFonts w:hint="eastAsia" w:ascii="宋体" w:hAnsi="宋体" w:cs="宋体"/>
          <w:sz w:val="24"/>
          <w:szCs w:val="24"/>
        </w:rPr>
        <w:br w:type="textWrapping"/>
      </w:r>
      <w:r>
        <w:rPr>
          <w:rFonts w:hint="eastAsia" w:ascii="宋体" w:hAnsi="宋体" w:cs="宋体"/>
          <w:sz w:val="24"/>
          <w:szCs w:val="24"/>
        </w:rPr>
        <w:t>（3）具有履行合同所必需的设备和专业技术能力的书面声明；</w:t>
      </w:r>
      <w:r>
        <w:rPr>
          <w:rFonts w:hint="eastAsia" w:ascii="宋体" w:hAnsi="宋体" w:cs="宋体"/>
          <w:sz w:val="24"/>
          <w:szCs w:val="24"/>
        </w:rPr>
        <w:br w:type="textWrapping"/>
      </w:r>
      <w:r>
        <w:rPr>
          <w:rFonts w:hint="eastAsia" w:ascii="宋体" w:hAnsi="宋体" w:cs="宋体"/>
          <w:sz w:val="24"/>
          <w:szCs w:val="24"/>
        </w:rPr>
        <w:t>（4）税收缴纳证明：提供2021年9月以来至少一个月的纳税证明或完税证明，依法免税的单位应提供相关证明材料； </w:t>
      </w:r>
      <w:r>
        <w:rPr>
          <w:rFonts w:hint="eastAsia" w:ascii="宋体" w:hAnsi="宋体" w:cs="宋体"/>
          <w:sz w:val="24"/>
          <w:szCs w:val="24"/>
        </w:rPr>
        <w:br w:type="textWrapping"/>
      </w:r>
      <w:r>
        <w:rPr>
          <w:rFonts w:hint="eastAsia" w:ascii="宋体" w:hAnsi="宋体" w:cs="宋体"/>
          <w:sz w:val="24"/>
          <w:szCs w:val="24"/>
        </w:rPr>
        <w:t>（5）社会保障资金缴纳证明：提供2021年9月以来至少一个月的社会保障资金缴存单据或社保机构开具的社会保险参保缴费情况证明。依法不需要缴纳社会保障资金的供应商应提供相关文件证明；</w:t>
      </w:r>
      <w:r>
        <w:rPr>
          <w:rFonts w:hint="eastAsia" w:ascii="宋体" w:hAnsi="宋体" w:cs="宋体"/>
          <w:sz w:val="24"/>
          <w:szCs w:val="24"/>
        </w:rPr>
        <w:br w:type="textWrapping"/>
      </w:r>
      <w:r>
        <w:rPr>
          <w:rFonts w:hint="eastAsia" w:ascii="宋体" w:hAnsi="宋体" w:cs="宋体"/>
          <w:sz w:val="24"/>
          <w:szCs w:val="24"/>
        </w:rPr>
        <w:t>（6）参加政府采购活动前3年内在经营活动中没有重大违法记录的书面声明；</w:t>
      </w:r>
      <w:r>
        <w:rPr>
          <w:rFonts w:hint="eastAsia" w:ascii="宋体" w:hAnsi="宋体" w:cs="宋体"/>
          <w:sz w:val="24"/>
          <w:szCs w:val="24"/>
        </w:rPr>
        <w:br w:type="textWrapping"/>
      </w:r>
      <w:r>
        <w:rPr>
          <w:rFonts w:hint="eastAsia" w:ascii="宋体" w:hAnsi="宋体" w:cs="宋体"/>
          <w:sz w:val="24"/>
          <w:szCs w:val="24"/>
        </w:rPr>
        <w:t>（7）非法定代表人参加投标的，须提供法定代表人委托授权书及被授权人身份证，法定代表人参加投标时,只须提供法定代表人身份证； </w:t>
      </w:r>
      <w:r>
        <w:rPr>
          <w:rFonts w:hint="eastAsia" w:ascii="宋体" w:hAnsi="宋体" w:cs="宋体"/>
          <w:sz w:val="24"/>
          <w:szCs w:val="24"/>
        </w:rPr>
        <w:br w:type="textWrapping"/>
      </w:r>
      <w:r>
        <w:rPr>
          <w:rFonts w:hint="eastAsia" w:ascii="宋体" w:hAnsi="宋体" w:cs="宋体"/>
          <w:sz w:val="24"/>
          <w:szCs w:val="24"/>
        </w:rPr>
        <w:t>（8）</w:t>
      </w:r>
      <w:r>
        <w:rPr>
          <w:rFonts w:hint="eastAsia" w:ascii="宋体" w:hAnsi="宋体" w:cs="宋体"/>
          <w:sz w:val="24"/>
          <w:szCs w:val="24"/>
          <w:lang w:val="en-US" w:eastAsia="zh-CN"/>
        </w:rPr>
        <w:t>本项目为专门面向中小企业采购，供应商应出具中小企业声明函；</w:t>
      </w:r>
    </w:p>
    <w:p>
      <w:pPr>
        <w:numPr>
          <w:ilvl w:val="0"/>
          <w:numId w:val="0"/>
        </w:numPr>
        <w:spacing w:line="360" w:lineRule="auto"/>
        <w:rPr>
          <w:rFonts w:ascii="宋体" w:hAnsi="宋体" w:cs="宋体"/>
          <w:sz w:val="24"/>
          <w:szCs w:val="24"/>
        </w:rPr>
      </w:pPr>
      <w:r>
        <w:rPr>
          <w:rFonts w:hint="eastAsia" w:ascii="宋体" w:hAnsi="宋体" w:cs="宋体"/>
          <w:sz w:val="24"/>
          <w:szCs w:val="24"/>
          <w:lang w:val="en-US" w:eastAsia="zh-CN"/>
        </w:rPr>
        <w:t>（9）</w:t>
      </w:r>
      <w:r>
        <w:rPr>
          <w:rFonts w:hint="eastAsia" w:ascii="宋体" w:hAnsi="宋体" w:cs="宋体"/>
          <w:sz w:val="24"/>
          <w:szCs w:val="24"/>
        </w:rPr>
        <w:t>本项目不接受联合体投标。</w:t>
      </w:r>
    </w:p>
    <w:p>
      <w:pPr>
        <w:spacing w:line="360" w:lineRule="auto"/>
        <w:ind w:firstLine="480" w:firstLineChars="200"/>
        <w:rPr>
          <w:rFonts w:ascii="宋体" w:hAnsi="宋体" w:cs="宋体"/>
          <w:sz w:val="24"/>
          <w:szCs w:val="24"/>
        </w:rPr>
      </w:pPr>
      <w:r>
        <w:rPr>
          <w:rFonts w:hint="eastAsia" w:ascii="宋体" w:hAnsi="宋体" w:cs="宋体"/>
          <w:sz w:val="24"/>
          <w:szCs w:val="24"/>
        </w:rPr>
        <w:t>合同包</w:t>
      </w:r>
      <w:r>
        <w:rPr>
          <w:rFonts w:hint="eastAsia" w:ascii="宋体" w:hAnsi="宋体" w:cs="宋体"/>
          <w:sz w:val="24"/>
          <w:szCs w:val="24"/>
          <w:lang w:val="en-US" w:eastAsia="zh-CN"/>
        </w:rPr>
        <w:t>4</w:t>
      </w:r>
      <w:r>
        <w:rPr>
          <w:rFonts w:hint="eastAsia" w:ascii="宋体" w:hAnsi="宋体" w:cs="宋体"/>
          <w:sz w:val="24"/>
          <w:szCs w:val="24"/>
        </w:rPr>
        <w:t>(智能财税技能测评平台)特定资格要求如下:</w:t>
      </w:r>
    </w:p>
    <w:p>
      <w:pPr>
        <w:numPr>
          <w:ilvl w:val="-1"/>
          <w:numId w:val="0"/>
        </w:numPr>
        <w:spacing w:line="360" w:lineRule="auto"/>
        <w:rPr>
          <w:rFonts w:hint="eastAsia" w:ascii="宋体" w:hAnsi="宋体" w:cs="宋体"/>
          <w:sz w:val="24"/>
          <w:szCs w:val="24"/>
          <w:lang w:val="en-US" w:eastAsia="zh-CN"/>
        </w:rPr>
      </w:pPr>
      <w:r>
        <w:rPr>
          <w:rFonts w:hint="eastAsia" w:ascii="宋体" w:hAnsi="宋体" w:cs="宋体"/>
          <w:sz w:val="24"/>
          <w:szCs w:val="24"/>
        </w:rPr>
        <w:t>（1）具有独立承担民事责任能力的法人、其他组织或自然人，提供合法有效的统一社会信用代码营业执照（事业单位提供事业单位法人证书，自然人应提供身份证）；</w:t>
      </w:r>
      <w:r>
        <w:rPr>
          <w:rFonts w:hint="eastAsia" w:ascii="宋体" w:hAnsi="宋体" w:cs="宋体"/>
          <w:sz w:val="24"/>
          <w:szCs w:val="24"/>
        </w:rPr>
        <w:br w:type="textWrapping"/>
      </w:r>
      <w:r>
        <w:rPr>
          <w:rFonts w:hint="eastAsia" w:ascii="宋体" w:hAnsi="宋体" w:cs="宋体"/>
          <w:sz w:val="24"/>
          <w:szCs w:val="24"/>
        </w:rPr>
        <w:t>（2）财务状况证明：供应商提供2020年或2021年度经审计完整的财务审计报告（成立时间至提交投标文件截止时间不足一年的可提供成立后任意时段的资产负债表），或其开标前三个月内银行出具的资信证明，或财政部门认可的政府采购专业担保机构出具的投标担保函；</w:t>
      </w:r>
      <w:r>
        <w:rPr>
          <w:rFonts w:hint="eastAsia" w:ascii="宋体" w:hAnsi="宋体" w:cs="宋体"/>
          <w:sz w:val="24"/>
          <w:szCs w:val="24"/>
        </w:rPr>
        <w:br w:type="textWrapping"/>
      </w:r>
      <w:r>
        <w:rPr>
          <w:rFonts w:hint="eastAsia" w:ascii="宋体" w:hAnsi="宋体" w:cs="宋体"/>
          <w:sz w:val="24"/>
          <w:szCs w:val="24"/>
        </w:rPr>
        <w:t>（3）具有履行合同所必需的设备和专业技术能力的书面声明；</w:t>
      </w:r>
      <w:r>
        <w:rPr>
          <w:rFonts w:hint="eastAsia" w:ascii="宋体" w:hAnsi="宋体" w:cs="宋体"/>
          <w:sz w:val="24"/>
          <w:szCs w:val="24"/>
        </w:rPr>
        <w:br w:type="textWrapping"/>
      </w:r>
      <w:r>
        <w:rPr>
          <w:rFonts w:hint="eastAsia" w:ascii="宋体" w:hAnsi="宋体" w:cs="宋体"/>
          <w:sz w:val="24"/>
          <w:szCs w:val="24"/>
        </w:rPr>
        <w:t>（4）税收缴纳证明：提供2021年9月以来至少一个月的纳税证明或完税证明，依法免税的单位应提供相关证明材料； </w:t>
      </w:r>
      <w:r>
        <w:rPr>
          <w:rFonts w:hint="eastAsia" w:ascii="宋体" w:hAnsi="宋体" w:cs="宋体"/>
          <w:sz w:val="24"/>
          <w:szCs w:val="24"/>
        </w:rPr>
        <w:br w:type="textWrapping"/>
      </w:r>
      <w:r>
        <w:rPr>
          <w:rFonts w:hint="eastAsia" w:ascii="宋体" w:hAnsi="宋体" w:cs="宋体"/>
          <w:sz w:val="24"/>
          <w:szCs w:val="24"/>
        </w:rPr>
        <w:t>（5）社会保障资金缴纳证明：提供2021年9月以来至少一个月的社会保障资金缴存单据或社保机构开具的社会保险参保缴费情况证明。依法不需要缴纳社会保障资金的供应商应提供相关文件证明；</w:t>
      </w:r>
      <w:r>
        <w:rPr>
          <w:rFonts w:hint="eastAsia" w:ascii="宋体" w:hAnsi="宋体" w:cs="宋体"/>
          <w:sz w:val="24"/>
          <w:szCs w:val="24"/>
        </w:rPr>
        <w:br w:type="textWrapping"/>
      </w:r>
      <w:r>
        <w:rPr>
          <w:rFonts w:hint="eastAsia" w:ascii="宋体" w:hAnsi="宋体" w:cs="宋体"/>
          <w:sz w:val="24"/>
          <w:szCs w:val="24"/>
        </w:rPr>
        <w:t>（6）参加政府采购活动前3年内在经营活动中没有重大违法记录的书面声明；</w:t>
      </w:r>
      <w:r>
        <w:rPr>
          <w:rFonts w:hint="eastAsia" w:ascii="宋体" w:hAnsi="宋体" w:cs="宋体"/>
          <w:sz w:val="24"/>
          <w:szCs w:val="24"/>
        </w:rPr>
        <w:br w:type="textWrapping"/>
      </w:r>
      <w:r>
        <w:rPr>
          <w:rFonts w:hint="eastAsia" w:ascii="宋体" w:hAnsi="宋体" w:cs="宋体"/>
          <w:sz w:val="24"/>
          <w:szCs w:val="24"/>
        </w:rPr>
        <w:t>（7）非法定代表人参加投标的，须提供法定代表人委托授权书及被授权人身份证，法定代表人参加投标时,只须提供法定代表人身份证； </w:t>
      </w:r>
      <w:r>
        <w:rPr>
          <w:rFonts w:hint="eastAsia" w:ascii="宋体" w:hAnsi="宋体" w:cs="宋体"/>
          <w:sz w:val="24"/>
          <w:szCs w:val="24"/>
        </w:rPr>
        <w:br w:type="textWrapping"/>
      </w:r>
      <w:r>
        <w:rPr>
          <w:rFonts w:hint="eastAsia" w:ascii="宋体" w:hAnsi="宋体" w:cs="宋体"/>
          <w:sz w:val="24"/>
          <w:szCs w:val="24"/>
        </w:rPr>
        <w:t>（8）</w:t>
      </w:r>
      <w:r>
        <w:rPr>
          <w:rFonts w:hint="eastAsia" w:ascii="宋体" w:hAnsi="宋体" w:cs="宋体"/>
          <w:sz w:val="24"/>
          <w:szCs w:val="24"/>
          <w:lang w:val="en-US" w:eastAsia="zh-CN"/>
        </w:rPr>
        <w:t>本项目为专门面向中小企业采购，供应商应出具中小企业声明函；</w:t>
      </w:r>
    </w:p>
    <w:p>
      <w:pPr>
        <w:numPr>
          <w:ilvl w:val="0"/>
          <w:numId w:val="0"/>
        </w:numPr>
        <w:spacing w:line="360" w:lineRule="auto"/>
        <w:rPr>
          <w:rFonts w:ascii="宋体" w:hAnsi="宋体" w:cs="宋体"/>
          <w:sz w:val="24"/>
          <w:szCs w:val="24"/>
        </w:rPr>
      </w:pPr>
      <w:r>
        <w:rPr>
          <w:rFonts w:hint="eastAsia" w:ascii="宋体" w:hAnsi="宋体" w:cs="宋体"/>
          <w:sz w:val="24"/>
          <w:szCs w:val="24"/>
          <w:lang w:val="en-US" w:eastAsia="zh-CN"/>
        </w:rPr>
        <w:t>（9）</w:t>
      </w:r>
      <w:r>
        <w:rPr>
          <w:rFonts w:hint="eastAsia" w:ascii="宋体" w:hAnsi="宋体" w:cs="宋体"/>
          <w:sz w:val="24"/>
          <w:szCs w:val="24"/>
        </w:rPr>
        <w:t>本项目不接受联合体投标。</w:t>
      </w:r>
    </w:p>
    <w:p>
      <w:pPr>
        <w:spacing w:line="360" w:lineRule="auto"/>
        <w:ind w:firstLine="480" w:firstLineChars="200"/>
        <w:rPr>
          <w:rFonts w:ascii="宋体" w:hAnsi="宋体" w:cs="宋体"/>
          <w:sz w:val="24"/>
          <w:szCs w:val="24"/>
        </w:rPr>
      </w:pPr>
      <w:r>
        <w:rPr>
          <w:rFonts w:hint="eastAsia" w:ascii="宋体" w:hAnsi="宋体" w:cs="宋体"/>
          <w:sz w:val="24"/>
          <w:szCs w:val="24"/>
        </w:rPr>
        <w:t>合同包</w:t>
      </w:r>
      <w:r>
        <w:rPr>
          <w:rFonts w:hint="eastAsia" w:ascii="宋体" w:hAnsi="宋体" w:cs="宋体"/>
          <w:sz w:val="24"/>
          <w:szCs w:val="24"/>
          <w:lang w:val="en-US" w:eastAsia="zh-CN"/>
        </w:rPr>
        <w:t>5</w:t>
      </w:r>
      <w:r>
        <w:rPr>
          <w:rFonts w:hint="eastAsia" w:ascii="宋体" w:hAnsi="宋体" w:cs="宋体"/>
          <w:sz w:val="24"/>
          <w:szCs w:val="24"/>
        </w:rPr>
        <w:t>(电子商务直播综合实训室)特定资格要求如下:</w:t>
      </w:r>
    </w:p>
    <w:p>
      <w:pPr>
        <w:spacing w:line="360" w:lineRule="auto"/>
        <w:rPr>
          <w:rFonts w:ascii="宋体" w:hAnsi="宋体" w:cs="宋体"/>
          <w:sz w:val="24"/>
          <w:szCs w:val="24"/>
        </w:rPr>
      </w:pPr>
      <w:r>
        <w:rPr>
          <w:rFonts w:hint="eastAsia" w:ascii="宋体" w:hAnsi="宋体" w:cs="宋体"/>
          <w:sz w:val="24"/>
          <w:szCs w:val="24"/>
        </w:rPr>
        <w:t>（1）具有独立承担民事责任能力的法人、其他组织或自然人，提供合法有效的统一社会信用代码营业执照（事业单位提供事业单位法人证书，自然人应提供身份证）；</w:t>
      </w:r>
      <w:r>
        <w:rPr>
          <w:rFonts w:hint="eastAsia" w:ascii="宋体" w:hAnsi="宋体" w:cs="宋体"/>
          <w:sz w:val="24"/>
          <w:szCs w:val="24"/>
        </w:rPr>
        <w:br w:type="textWrapping"/>
      </w:r>
      <w:r>
        <w:rPr>
          <w:rFonts w:hint="eastAsia" w:ascii="宋体" w:hAnsi="宋体" w:cs="宋体"/>
          <w:sz w:val="24"/>
          <w:szCs w:val="24"/>
        </w:rPr>
        <w:t>（2）财务状况证明：供应商提供2020年或2021年度经审计完整的财务审计报告（成立时间至提交投标文件截止时间不足一年的可提供成立后任意时段的资产负债表），或其开标前三个月内银行出具的资信证明，或财政部门认可的政府采购专业担保机构出具的投标担保函；</w:t>
      </w:r>
      <w:r>
        <w:rPr>
          <w:rFonts w:hint="eastAsia" w:ascii="宋体" w:hAnsi="宋体" w:cs="宋体"/>
          <w:sz w:val="24"/>
          <w:szCs w:val="24"/>
        </w:rPr>
        <w:br w:type="textWrapping"/>
      </w:r>
      <w:r>
        <w:rPr>
          <w:rFonts w:hint="eastAsia" w:ascii="宋体" w:hAnsi="宋体" w:cs="宋体"/>
          <w:sz w:val="24"/>
          <w:szCs w:val="24"/>
        </w:rPr>
        <w:t>（3）具有履行合同所必需的设备和专业技术能力的书面声明；</w:t>
      </w:r>
      <w:r>
        <w:rPr>
          <w:rFonts w:hint="eastAsia" w:ascii="宋体" w:hAnsi="宋体" w:cs="宋体"/>
          <w:sz w:val="24"/>
          <w:szCs w:val="24"/>
        </w:rPr>
        <w:br w:type="textWrapping"/>
      </w:r>
      <w:r>
        <w:rPr>
          <w:rFonts w:hint="eastAsia" w:ascii="宋体" w:hAnsi="宋体" w:cs="宋体"/>
          <w:sz w:val="24"/>
          <w:szCs w:val="24"/>
        </w:rPr>
        <w:t>（4）税收缴纳证明：提供2021年9月以来至少一个月的纳税证明或完税证明，依法免税的单位应提供相关证明材料； </w:t>
      </w:r>
      <w:r>
        <w:rPr>
          <w:rFonts w:hint="eastAsia" w:ascii="宋体" w:hAnsi="宋体" w:cs="宋体"/>
          <w:sz w:val="24"/>
          <w:szCs w:val="24"/>
        </w:rPr>
        <w:br w:type="textWrapping"/>
      </w:r>
      <w:r>
        <w:rPr>
          <w:rFonts w:hint="eastAsia" w:ascii="宋体" w:hAnsi="宋体" w:cs="宋体"/>
          <w:sz w:val="24"/>
          <w:szCs w:val="24"/>
        </w:rPr>
        <w:t>（5）社会保障资金缴纳证明：提供2021年9月以来至少一个月的社会保障资金缴存单据或社保机构开具的社会保险参保缴费情况证明。依法不需要缴纳社会保障资金的供应商应提供相关文件证明；</w:t>
      </w:r>
      <w:r>
        <w:rPr>
          <w:rFonts w:hint="eastAsia" w:ascii="宋体" w:hAnsi="宋体" w:cs="宋体"/>
          <w:sz w:val="24"/>
          <w:szCs w:val="24"/>
        </w:rPr>
        <w:br w:type="textWrapping"/>
      </w:r>
      <w:r>
        <w:rPr>
          <w:rFonts w:hint="eastAsia" w:ascii="宋体" w:hAnsi="宋体" w:cs="宋体"/>
          <w:sz w:val="24"/>
          <w:szCs w:val="24"/>
        </w:rPr>
        <w:t>（6）参加政府采购活动前3年内在经营活动中没有重大违法记录的书面声明；</w:t>
      </w:r>
      <w:r>
        <w:rPr>
          <w:rFonts w:hint="eastAsia" w:ascii="宋体" w:hAnsi="宋体" w:cs="宋体"/>
          <w:sz w:val="24"/>
          <w:szCs w:val="24"/>
        </w:rPr>
        <w:br w:type="textWrapping"/>
      </w:r>
      <w:r>
        <w:rPr>
          <w:rFonts w:hint="eastAsia" w:ascii="宋体" w:hAnsi="宋体" w:cs="宋体"/>
          <w:sz w:val="24"/>
          <w:szCs w:val="24"/>
        </w:rPr>
        <w:t>（7）非法定代表人参加投标的，须提供法定代表人委托授权书及被授权人身份证，法定代表人参加投标时,只须提供法定代表人身份证； </w:t>
      </w:r>
      <w:r>
        <w:rPr>
          <w:rFonts w:hint="eastAsia" w:ascii="宋体" w:hAnsi="宋体" w:cs="宋体"/>
          <w:sz w:val="24"/>
          <w:szCs w:val="24"/>
        </w:rPr>
        <w:br w:type="textWrapping"/>
      </w:r>
      <w:r>
        <w:rPr>
          <w:rFonts w:hint="eastAsia" w:ascii="宋体" w:hAnsi="宋体" w:cs="宋体"/>
          <w:sz w:val="24"/>
          <w:szCs w:val="24"/>
        </w:rPr>
        <w:t>（8）本项目不接受联合体投标。</w:t>
      </w:r>
    </w:p>
    <w:p>
      <w:pPr>
        <w:spacing w:line="360" w:lineRule="auto"/>
        <w:ind w:firstLine="480" w:firstLineChars="200"/>
        <w:rPr>
          <w:rFonts w:ascii="宋体" w:hAnsi="宋体" w:cs="宋体"/>
          <w:sz w:val="24"/>
          <w:szCs w:val="24"/>
        </w:rPr>
      </w:pPr>
      <w:r>
        <w:rPr>
          <w:rFonts w:hint="eastAsia" w:ascii="宋体" w:hAnsi="宋体" w:cs="宋体"/>
          <w:sz w:val="24"/>
          <w:szCs w:val="24"/>
        </w:rPr>
        <w:t>合同包</w:t>
      </w:r>
      <w:r>
        <w:rPr>
          <w:rFonts w:hint="eastAsia" w:ascii="宋体" w:hAnsi="宋体" w:cs="宋体"/>
          <w:sz w:val="24"/>
          <w:szCs w:val="24"/>
          <w:lang w:val="en-US" w:eastAsia="zh-CN"/>
        </w:rPr>
        <w:t>6</w:t>
      </w:r>
      <w:r>
        <w:rPr>
          <w:rFonts w:hint="eastAsia" w:ascii="宋体" w:hAnsi="宋体" w:cs="宋体"/>
          <w:sz w:val="24"/>
          <w:szCs w:val="24"/>
        </w:rPr>
        <w:t>(模拟经营沙盘技能大赛软件)特定资格要求如下:</w:t>
      </w:r>
    </w:p>
    <w:p>
      <w:pPr>
        <w:spacing w:line="360" w:lineRule="auto"/>
        <w:rPr>
          <w:rFonts w:ascii="宋体" w:hAnsi="宋体" w:cs="宋体"/>
          <w:sz w:val="24"/>
          <w:szCs w:val="24"/>
        </w:rPr>
      </w:pPr>
      <w:r>
        <w:rPr>
          <w:rFonts w:hint="eastAsia" w:ascii="宋体" w:hAnsi="宋体" w:cs="宋体"/>
          <w:sz w:val="24"/>
          <w:szCs w:val="24"/>
        </w:rPr>
        <w:t>（1）具有独立承担民事责任能力的法人、其他组织或自然人，提供合法有效的统一社会信用代码营业执照（事业单位提供事业单位法人证书，自然人应提供身份证）；</w:t>
      </w:r>
      <w:r>
        <w:rPr>
          <w:rFonts w:hint="eastAsia" w:ascii="宋体" w:hAnsi="宋体" w:cs="宋体"/>
          <w:sz w:val="24"/>
          <w:szCs w:val="24"/>
        </w:rPr>
        <w:br w:type="textWrapping"/>
      </w:r>
      <w:r>
        <w:rPr>
          <w:rFonts w:hint="eastAsia" w:ascii="宋体" w:hAnsi="宋体" w:cs="宋体"/>
          <w:sz w:val="24"/>
          <w:szCs w:val="24"/>
        </w:rPr>
        <w:t>（2）财务状况证明：供应商提供2020年或2021年度经审计完整的财务审计报告（成立时间至提交投标文件截止时间不足一年的可提供成立后任意时段的资产负债表），或其开标前三个月内银行出具的资信证明，或财政部门认可的政府采购专业担保机构出具的投标担保函；</w:t>
      </w:r>
      <w:r>
        <w:rPr>
          <w:rFonts w:hint="eastAsia" w:ascii="宋体" w:hAnsi="宋体" w:cs="宋体"/>
          <w:sz w:val="24"/>
          <w:szCs w:val="24"/>
        </w:rPr>
        <w:br w:type="textWrapping"/>
      </w:r>
      <w:r>
        <w:rPr>
          <w:rFonts w:hint="eastAsia" w:ascii="宋体" w:hAnsi="宋体" w:cs="宋体"/>
          <w:sz w:val="24"/>
          <w:szCs w:val="24"/>
        </w:rPr>
        <w:t>（3）具有履行合同所必需的设备和专业技术能力的书面声明；</w:t>
      </w:r>
      <w:r>
        <w:rPr>
          <w:rFonts w:hint="eastAsia" w:ascii="宋体" w:hAnsi="宋体" w:cs="宋体"/>
          <w:sz w:val="24"/>
          <w:szCs w:val="24"/>
        </w:rPr>
        <w:br w:type="textWrapping"/>
      </w:r>
      <w:r>
        <w:rPr>
          <w:rFonts w:hint="eastAsia" w:ascii="宋体" w:hAnsi="宋体" w:cs="宋体"/>
          <w:sz w:val="24"/>
          <w:szCs w:val="24"/>
        </w:rPr>
        <w:t>（4）税收缴纳证明：提供2021年9月以来至少一个月的纳税证明或完税证明，依法免税的单位应提供相关证明材料； </w:t>
      </w:r>
      <w:r>
        <w:rPr>
          <w:rFonts w:hint="eastAsia" w:ascii="宋体" w:hAnsi="宋体" w:cs="宋体"/>
          <w:sz w:val="24"/>
          <w:szCs w:val="24"/>
        </w:rPr>
        <w:br w:type="textWrapping"/>
      </w:r>
      <w:r>
        <w:rPr>
          <w:rFonts w:hint="eastAsia" w:ascii="宋体" w:hAnsi="宋体" w:cs="宋体"/>
          <w:sz w:val="24"/>
          <w:szCs w:val="24"/>
        </w:rPr>
        <w:t>（5）社会保障资金缴纳证明：提供2021年9月以来至少一个月的社会保障资金缴存单据或社保机构开具的社会保险参保缴费情况证明。依法不需要缴纳社会保障资金的供应商应提供相关文件证明；</w:t>
      </w:r>
      <w:r>
        <w:rPr>
          <w:rFonts w:hint="eastAsia" w:ascii="宋体" w:hAnsi="宋体" w:cs="宋体"/>
          <w:sz w:val="24"/>
          <w:szCs w:val="24"/>
        </w:rPr>
        <w:br w:type="textWrapping"/>
      </w:r>
      <w:r>
        <w:rPr>
          <w:rFonts w:hint="eastAsia" w:ascii="宋体" w:hAnsi="宋体" w:cs="宋体"/>
          <w:sz w:val="24"/>
          <w:szCs w:val="24"/>
        </w:rPr>
        <w:t>（6）参加政府采购活动前3年内在经营活动中没有重大违法记录的书面声明；</w:t>
      </w:r>
      <w:r>
        <w:rPr>
          <w:rFonts w:hint="eastAsia" w:ascii="宋体" w:hAnsi="宋体" w:cs="宋体"/>
          <w:sz w:val="24"/>
          <w:szCs w:val="24"/>
        </w:rPr>
        <w:br w:type="textWrapping"/>
      </w:r>
      <w:r>
        <w:rPr>
          <w:rFonts w:hint="eastAsia" w:ascii="宋体" w:hAnsi="宋体" w:cs="宋体"/>
          <w:sz w:val="24"/>
          <w:szCs w:val="24"/>
        </w:rPr>
        <w:t>（7）非法定代表人参加投标的，须提供法定代表人委托授权书及被授权人身份证，法定代表人参加投标时,只须提供法定代表人身份证； </w:t>
      </w:r>
      <w:r>
        <w:rPr>
          <w:rFonts w:hint="eastAsia" w:ascii="宋体" w:hAnsi="宋体" w:cs="宋体"/>
          <w:sz w:val="24"/>
          <w:szCs w:val="24"/>
        </w:rPr>
        <w:br w:type="textWrapping"/>
      </w:r>
      <w:r>
        <w:rPr>
          <w:rFonts w:hint="eastAsia" w:ascii="宋体" w:hAnsi="宋体" w:cs="宋体"/>
          <w:sz w:val="24"/>
          <w:szCs w:val="24"/>
        </w:rPr>
        <w:t>（8）本项目不接受联合体投标。</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三、获取招标文件</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时间：2022年</w:t>
      </w:r>
      <w:r>
        <w:rPr>
          <w:rFonts w:hint="eastAsia" w:ascii="宋体" w:hAnsi="宋体" w:cs="宋体"/>
          <w:sz w:val="24"/>
          <w:szCs w:val="24"/>
          <w:lang w:val="en-US" w:eastAsia="zh-CN"/>
        </w:rPr>
        <w:t>06</w:t>
      </w:r>
      <w:r>
        <w:rPr>
          <w:rFonts w:hint="eastAsia" w:ascii="宋体" w:hAnsi="宋体" w:cs="宋体"/>
          <w:sz w:val="24"/>
          <w:szCs w:val="24"/>
        </w:rPr>
        <w:t>月</w:t>
      </w:r>
      <w:r>
        <w:rPr>
          <w:rFonts w:hint="eastAsia" w:ascii="宋体" w:hAnsi="宋体" w:cs="宋体"/>
          <w:sz w:val="24"/>
          <w:szCs w:val="24"/>
          <w:lang w:val="en-US" w:eastAsia="zh-CN"/>
        </w:rPr>
        <w:t>13</w:t>
      </w:r>
      <w:r>
        <w:rPr>
          <w:rFonts w:hint="eastAsia" w:ascii="宋体" w:hAnsi="宋体" w:cs="宋体"/>
          <w:sz w:val="24"/>
          <w:szCs w:val="24"/>
        </w:rPr>
        <w:t>日至2022年</w:t>
      </w:r>
      <w:r>
        <w:rPr>
          <w:rFonts w:hint="eastAsia" w:ascii="宋体" w:hAnsi="宋体" w:cs="宋体"/>
          <w:sz w:val="24"/>
          <w:szCs w:val="24"/>
          <w:lang w:val="en-US" w:eastAsia="zh-CN"/>
        </w:rPr>
        <w:t>06</w:t>
      </w:r>
      <w:r>
        <w:rPr>
          <w:rFonts w:hint="eastAsia" w:ascii="宋体" w:hAnsi="宋体" w:cs="宋体"/>
          <w:sz w:val="24"/>
          <w:szCs w:val="24"/>
        </w:rPr>
        <w:t>月</w:t>
      </w:r>
      <w:r>
        <w:rPr>
          <w:rFonts w:hint="eastAsia" w:ascii="宋体" w:hAnsi="宋体" w:cs="宋体"/>
          <w:sz w:val="24"/>
          <w:szCs w:val="24"/>
          <w:lang w:val="en-US" w:eastAsia="zh-CN"/>
        </w:rPr>
        <w:t>20</w:t>
      </w:r>
      <w:r>
        <w:rPr>
          <w:rFonts w:hint="eastAsia" w:ascii="宋体" w:hAnsi="宋体" w:cs="宋体"/>
          <w:sz w:val="24"/>
          <w:szCs w:val="24"/>
        </w:rPr>
        <w:t>日，每天上午09:00:00至12:00:00，下午13:30:00至17:00:00 （北京时间,法定节假日除外）</w:t>
      </w:r>
    </w:p>
    <w:p>
      <w:pPr>
        <w:spacing w:line="360" w:lineRule="auto"/>
        <w:ind w:firstLine="480" w:firstLineChars="200"/>
        <w:rPr>
          <w:rFonts w:ascii="宋体" w:hAnsi="宋体" w:cs="宋体"/>
          <w:sz w:val="24"/>
          <w:szCs w:val="24"/>
        </w:rPr>
      </w:pPr>
      <w:r>
        <w:rPr>
          <w:rFonts w:hint="eastAsia" w:ascii="宋体" w:hAnsi="宋体" w:cs="宋体"/>
          <w:sz w:val="24"/>
          <w:szCs w:val="24"/>
        </w:rPr>
        <w:t>地点：西安市雁塔区科技路10号华奥大厦A座20层2002室开标室</w:t>
      </w:r>
    </w:p>
    <w:p>
      <w:pPr>
        <w:spacing w:line="360" w:lineRule="auto"/>
        <w:ind w:firstLine="480" w:firstLineChars="200"/>
        <w:rPr>
          <w:rFonts w:ascii="宋体" w:hAnsi="宋体" w:cs="宋体"/>
          <w:sz w:val="24"/>
          <w:szCs w:val="24"/>
        </w:rPr>
      </w:pPr>
      <w:r>
        <w:rPr>
          <w:rFonts w:hint="eastAsia" w:ascii="宋体" w:hAnsi="宋体" w:cs="宋体"/>
          <w:sz w:val="24"/>
          <w:szCs w:val="24"/>
        </w:rPr>
        <w:t>方式：现场获取</w:t>
      </w:r>
    </w:p>
    <w:p>
      <w:pPr>
        <w:spacing w:line="360" w:lineRule="auto"/>
        <w:ind w:firstLine="480" w:firstLineChars="200"/>
        <w:rPr>
          <w:rFonts w:ascii="宋体" w:hAnsi="宋体" w:cs="宋体"/>
          <w:sz w:val="24"/>
          <w:szCs w:val="24"/>
        </w:rPr>
      </w:pPr>
      <w:r>
        <w:rPr>
          <w:rFonts w:hint="eastAsia" w:ascii="宋体" w:hAnsi="宋体" w:cs="宋体"/>
          <w:sz w:val="24"/>
          <w:szCs w:val="24"/>
        </w:rPr>
        <w:t>售价：</w:t>
      </w:r>
      <w:r>
        <w:rPr>
          <w:rFonts w:hint="eastAsia" w:ascii="宋体" w:hAnsi="宋体" w:cs="宋体"/>
          <w:sz w:val="24"/>
          <w:szCs w:val="24"/>
          <w:lang w:val="en-US" w:eastAsia="zh-CN"/>
        </w:rPr>
        <w:t>3</w:t>
      </w:r>
      <w:r>
        <w:rPr>
          <w:rFonts w:hint="eastAsia" w:ascii="宋体" w:hAnsi="宋体" w:cs="宋体"/>
          <w:sz w:val="24"/>
          <w:szCs w:val="24"/>
        </w:rPr>
        <w:t>00元</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四、提交投标文件截止时间、开标时间和地点</w:t>
      </w:r>
    </w:p>
    <w:p>
      <w:pPr>
        <w:spacing w:line="360" w:lineRule="auto"/>
        <w:ind w:firstLine="480" w:firstLineChars="200"/>
        <w:rPr>
          <w:rFonts w:ascii="宋体" w:hAnsi="宋体" w:cs="宋体"/>
          <w:sz w:val="24"/>
          <w:szCs w:val="24"/>
        </w:rPr>
      </w:pPr>
      <w:r>
        <w:rPr>
          <w:rFonts w:hint="eastAsia" w:ascii="宋体" w:hAnsi="宋体" w:cs="宋体"/>
          <w:sz w:val="24"/>
          <w:szCs w:val="24"/>
        </w:rPr>
        <w:t>2022年</w:t>
      </w:r>
      <w:r>
        <w:rPr>
          <w:rFonts w:hint="eastAsia" w:ascii="宋体" w:hAnsi="宋体" w:cs="宋体"/>
          <w:sz w:val="24"/>
          <w:szCs w:val="24"/>
          <w:lang w:val="en-US" w:eastAsia="zh-CN"/>
        </w:rPr>
        <w:t>7</w:t>
      </w:r>
      <w:r>
        <w:rPr>
          <w:rFonts w:hint="eastAsia" w:ascii="宋体" w:hAnsi="宋体" w:cs="宋体"/>
          <w:sz w:val="24"/>
          <w:szCs w:val="24"/>
        </w:rPr>
        <w:t>月</w:t>
      </w:r>
      <w:r>
        <w:rPr>
          <w:rFonts w:hint="eastAsia" w:ascii="宋体" w:hAnsi="宋体" w:cs="宋体"/>
          <w:sz w:val="24"/>
          <w:szCs w:val="24"/>
          <w:lang w:val="en-US" w:eastAsia="zh-CN"/>
        </w:rPr>
        <w:t>7</w:t>
      </w:r>
      <w:r>
        <w:rPr>
          <w:rFonts w:hint="eastAsia" w:ascii="宋体" w:hAnsi="宋体" w:cs="宋体"/>
          <w:sz w:val="24"/>
          <w:szCs w:val="24"/>
        </w:rPr>
        <w:t xml:space="preserve">日 </w:t>
      </w:r>
      <w:r>
        <w:rPr>
          <w:rFonts w:hint="eastAsia" w:ascii="宋体" w:hAnsi="宋体" w:cs="宋体"/>
          <w:sz w:val="24"/>
          <w:szCs w:val="24"/>
          <w:lang w:val="en-US" w:eastAsia="zh-CN"/>
        </w:rPr>
        <w:t>10</w:t>
      </w:r>
      <w:r>
        <w:rPr>
          <w:rFonts w:hint="eastAsia" w:ascii="宋体" w:hAnsi="宋体" w:cs="宋体"/>
          <w:sz w:val="24"/>
          <w:szCs w:val="24"/>
        </w:rPr>
        <w:t>时</w:t>
      </w:r>
      <w:r>
        <w:rPr>
          <w:rFonts w:hint="eastAsia" w:ascii="宋体" w:hAnsi="宋体" w:cs="宋体"/>
          <w:sz w:val="24"/>
          <w:szCs w:val="24"/>
          <w:lang w:val="en-US" w:eastAsia="zh-CN"/>
        </w:rPr>
        <w:t>00</w:t>
      </w:r>
      <w:r>
        <w:rPr>
          <w:rFonts w:hint="eastAsia" w:ascii="宋体" w:hAnsi="宋体" w:cs="宋体"/>
          <w:sz w:val="24"/>
          <w:szCs w:val="24"/>
        </w:rPr>
        <w:t>分00秒 （北京时间）</w:t>
      </w:r>
    </w:p>
    <w:p>
      <w:pPr>
        <w:spacing w:line="360" w:lineRule="auto"/>
        <w:ind w:firstLine="480" w:firstLineChars="200"/>
        <w:rPr>
          <w:rFonts w:ascii="宋体" w:hAnsi="宋体" w:cs="宋体"/>
          <w:sz w:val="24"/>
          <w:szCs w:val="24"/>
        </w:rPr>
      </w:pPr>
      <w:r>
        <w:rPr>
          <w:rFonts w:hint="eastAsia" w:ascii="宋体" w:hAnsi="宋体" w:cs="宋体"/>
          <w:sz w:val="24"/>
          <w:szCs w:val="24"/>
        </w:rPr>
        <w:t>地点：西安市雁塔区科技路10号华奥大厦A座20层2002室开标室</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五、公告期限</w:t>
      </w:r>
    </w:p>
    <w:p>
      <w:pPr>
        <w:spacing w:line="360" w:lineRule="auto"/>
        <w:ind w:firstLine="480" w:firstLineChars="200"/>
        <w:rPr>
          <w:rFonts w:ascii="宋体" w:hAnsi="宋体" w:cs="宋体"/>
          <w:sz w:val="24"/>
          <w:szCs w:val="24"/>
        </w:rPr>
      </w:pPr>
      <w:r>
        <w:rPr>
          <w:rFonts w:hint="eastAsia" w:ascii="宋体" w:hAnsi="宋体" w:cs="宋体"/>
          <w:sz w:val="24"/>
          <w:szCs w:val="24"/>
        </w:rPr>
        <w:t>自本公告发布之日起5个工作日。</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六、其他补充事宜</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rightChars="0" w:firstLine="480"/>
        <w:jc w:val="both"/>
        <w:textAlignment w:val="baseline"/>
        <w:outlineLvl w:val="9"/>
        <w:rPr>
          <w:rFonts w:hint="eastAsia" w:ascii="宋体" w:hAnsi="宋体" w:eastAsia="宋体" w:cs="宋体"/>
          <w:sz w:val="24"/>
          <w:szCs w:val="24"/>
        </w:rPr>
      </w:pPr>
      <w:r>
        <w:rPr>
          <w:rFonts w:hint="eastAsia" w:ascii="宋体" w:hAnsi="宋体" w:eastAsia="宋体" w:cs="宋体"/>
          <w:i w:val="0"/>
          <w:caps w:val="0"/>
          <w:color w:val="333333"/>
          <w:spacing w:val="0"/>
          <w:sz w:val="24"/>
          <w:szCs w:val="24"/>
          <w:shd w:val="clear" w:color="auto" w:fill="FFFFFF"/>
          <w:vertAlign w:val="baseline"/>
        </w:rPr>
        <w:t>本项目开标地点：西安市雁塔区科技路10号华奥大厦A座20层2002室开标室</w:t>
      </w:r>
    </w:p>
    <w:p>
      <w:pPr>
        <w:spacing w:line="360" w:lineRule="auto"/>
        <w:ind w:firstLine="480" w:firstLineChars="200"/>
        <w:rPr>
          <w:rFonts w:ascii="宋体" w:hAnsi="宋体" w:cs="宋体"/>
          <w:sz w:val="24"/>
          <w:szCs w:val="24"/>
        </w:rPr>
      </w:pPr>
      <w:r>
        <w:rPr>
          <w:rFonts w:hint="eastAsia" w:ascii="宋体" w:hAnsi="宋体" w:cs="宋体"/>
          <w:sz w:val="24"/>
          <w:szCs w:val="24"/>
        </w:rPr>
        <w:t>（1）现场购买公开招标文件时请提供单位介绍信原件、身份证原件及复印件加盖公章；网上购买请提前电话咨询后，提供单位介绍信、身份证复印件加盖公章扫描件发送至shanxizhuoming_zb@163.com邮箱（邮件标题命名格式为“供应商名称+联系人+联系电话+项目名称”），标书费现金或银行转账支付。</w:t>
      </w:r>
    </w:p>
    <w:p>
      <w:pPr>
        <w:spacing w:line="360" w:lineRule="auto"/>
        <w:ind w:firstLine="480" w:firstLineChars="200"/>
        <w:rPr>
          <w:rFonts w:ascii="宋体" w:hAnsi="宋体" w:cs="宋体"/>
          <w:sz w:val="24"/>
          <w:szCs w:val="24"/>
        </w:rPr>
      </w:pPr>
      <w:r>
        <w:rPr>
          <w:rFonts w:hint="eastAsia" w:ascii="宋体" w:hAnsi="宋体" w:cs="宋体"/>
          <w:sz w:val="24"/>
          <w:szCs w:val="24"/>
        </w:rPr>
        <w:t>（2）请供应商按照陕西省财政厅关于政府采购供应商注册登记有关事项的通知中的要求，通过陕西省政府采购网（http://www.ccgp-shaanxi.gov.cn/）注册登记加入陕西省政府采购供应商库。</w:t>
      </w:r>
    </w:p>
    <w:p>
      <w:pPr>
        <w:spacing w:line="360" w:lineRule="auto"/>
        <w:ind w:firstLine="480" w:firstLineChars="200"/>
        <w:rPr>
          <w:rFonts w:ascii="宋体" w:hAnsi="宋体" w:cs="宋体"/>
          <w:sz w:val="24"/>
          <w:szCs w:val="24"/>
        </w:rPr>
      </w:pPr>
      <w:r>
        <w:rPr>
          <w:rFonts w:hint="eastAsia" w:ascii="宋体" w:hAnsi="宋体" w:cs="宋体"/>
          <w:sz w:val="24"/>
          <w:szCs w:val="24"/>
        </w:rPr>
        <w:t>（3）标书费</w:t>
      </w:r>
      <w:r>
        <w:rPr>
          <w:rFonts w:hint="eastAsia" w:ascii="宋体" w:hAnsi="宋体" w:cs="宋体"/>
          <w:sz w:val="24"/>
          <w:szCs w:val="24"/>
          <w:lang w:val="en-US" w:eastAsia="zh-CN"/>
        </w:rPr>
        <w:t>3</w:t>
      </w:r>
      <w:r>
        <w:rPr>
          <w:rFonts w:hint="eastAsia" w:ascii="宋体" w:hAnsi="宋体" w:cs="宋体"/>
          <w:sz w:val="24"/>
          <w:szCs w:val="24"/>
        </w:rPr>
        <w:t>00元/</w:t>
      </w:r>
      <w:r>
        <w:rPr>
          <w:rFonts w:hint="eastAsia" w:ascii="宋体" w:hAnsi="宋体" w:cs="宋体"/>
          <w:sz w:val="24"/>
          <w:szCs w:val="24"/>
          <w:lang w:eastAsia="zh-CN"/>
        </w:rPr>
        <w:t>包</w:t>
      </w:r>
      <w:r>
        <w:rPr>
          <w:rFonts w:hint="eastAsia" w:ascii="宋体" w:hAnsi="宋体" w:cs="宋体"/>
          <w:sz w:val="24"/>
          <w:szCs w:val="24"/>
        </w:rPr>
        <w:t>。</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七、对本次招标提出询问，请按以下方式联系。</w:t>
      </w:r>
    </w:p>
    <w:p>
      <w:pPr>
        <w:spacing w:line="360" w:lineRule="auto"/>
        <w:ind w:firstLine="480" w:firstLineChars="200"/>
        <w:rPr>
          <w:rFonts w:ascii="宋体" w:hAnsi="宋体" w:cs="宋体"/>
          <w:sz w:val="24"/>
          <w:szCs w:val="24"/>
        </w:rPr>
      </w:pPr>
      <w:r>
        <w:rPr>
          <w:rFonts w:hint="eastAsia" w:ascii="宋体" w:hAnsi="宋体" w:cs="宋体"/>
          <w:sz w:val="24"/>
          <w:szCs w:val="24"/>
        </w:rPr>
        <w:t>1.釆购人信息</w:t>
      </w:r>
    </w:p>
    <w:p>
      <w:pPr>
        <w:spacing w:line="360" w:lineRule="auto"/>
        <w:ind w:firstLine="480" w:firstLineChars="200"/>
        <w:rPr>
          <w:rFonts w:hint="eastAsia" w:ascii="宋体" w:hAnsi="宋体" w:eastAsia="宋体" w:cs="宋体"/>
          <w:sz w:val="24"/>
          <w:szCs w:val="24"/>
          <w:lang w:eastAsia="zh-CN"/>
        </w:rPr>
      </w:pPr>
      <w:r>
        <w:rPr>
          <w:rFonts w:hint="eastAsia" w:ascii="宋体" w:hAnsi="宋体" w:cs="宋体"/>
          <w:sz w:val="24"/>
          <w:szCs w:val="24"/>
        </w:rPr>
        <w:t>名称：</w:t>
      </w:r>
      <w:r>
        <w:rPr>
          <w:rFonts w:hint="eastAsia" w:ascii="宋体" w:hAnsi="宋体" w:cs="宋体"/>
          <w:sz w:val="24"/>
          <w:szCs w:val="24"/>
          <w:lang w:eastAsia="zh-CN"/>
        </w:rPr>
        <w:t>杨凌职业技术学院</w:t>
      </w:r>
    </w:p>
    <w:p>
      <w:pPr>
        <w:spacing w:line="360" w:lineRule="auto"/>
        <w:ind w:firstLine="480" w:firstLineChars="200"/>
        <w:rPr>
          <w:rFonts w:ascii="宋体" w:hAnsi="宋体" w:cs="宋体"/>
          <w:sz w:val="24"/>
          <w:szCs w:val="24"/>
        </w:rPr>
      </w:pPr>
      <w:r>
        <w:rPr>
          <w:rFonts w:hint="eastAsia" w:ascii="宋体" w:hAnsi="宋体" w:cs="宋体"/>
          <w:sz w:val="24"/>
          <w:szCs w:val="24"/>
        </w:rPr>
        <w:t>地址：杨凌农业高新技术产业示范区渭惠路24号</w:t>
      </w:r>
    </w:p>
    <w:p>
      <w:pPr>
        <w:spacing w:line="360" w:lineRule="auto"/>
        <w:ind w:firstLine="480" w:firstLineChars="200"/>
        <w:rPr>
          <w:rFonts w:ascii="宋体" w:hAnsi="宋体" w:cs="宋体"/>
          <w:sz w:val="24"/>
          <w:szCs w:val="24"/>
        </w:rPr>
      </w:pPr>
      <w:r>
        <w:rPr>
          <w:rFonts w:hint="eastAsia" w:ascii="宋体" w:hAnsi="宋体" w:cs="宋体"/>
          <w:sz w:val="24"/>
          <w:szCs w:val="24"/>
        </w:rPr>
        <w:t>联系方式：</w:t>
      </w:r>
      <w:r>
        <w:rPr>
          <w:rFonts w:hint="eastAsia" w:ascii="宋体" w:hAnsi="宋体" w:cs="宋体"/>
          <w:sz w:val="24"/>
          <w:szCs w:val="24"/>
          <w:highlight w:val="none"/>
          <w:lang w:eastAsia="zh-CN"/>
        </w:rPr>
        <w:t>张</w:t>
      </w:r>
      <w:r>
        <w:rPr>
          <w:rFonts w:hint="eastAsia" w:ascii="宋体" w:hAnsi="宋体" w:cs="宋体"/>
          <w:sz w:val="24"/>
          <w:szCs w:val="24"/>
          <w:highlight w:val="none"/>
        </w:rPr>
        <w:t xml:space="preserve">老师 </w:t>
      </w:r>
      <w:r>
        <w:rPr>
          <w:rFonts w:hint="eastAsia" w:ascii="宋体" w:hAnsi="宋体" w:cs="宋体"/>
          <w:sz w:val="24"/>
          <w:szCs w:val="24"/>
        </w:rPr>
        <w:t>029-87085980</w:t>
      </w:r>
    </w:p>
    <w:p>
      <w:pPr>
        <w:spacing w:line="360" w:lineRule="auto"/>
        <w:ind w:firstLine="480" w:firstLineChars="200"/>
        <w:rPr>
          <w:rFonts w:ascii="宋体" w:hAnsi="宋体" w:cs="宋体"/>
          <w:sz w:val="24"/>
          <w:szCs w:val="24"/>
        </w:rPr>
      </w:pPr>
      <w:r>
        <w:rPr>
          <w:rFonts w:hint="eastAsia" w:ascii="宋体" w:hAnsi="宋体" w:cs="宋体"/>
          <w:sz w:val="24"/>
          <w:szCs w:val="24"/>
        </w:rPr>
        <w:t>2.釆购代理机构信息</w:t>
      </w:r>
    </w:p>
    <w:p>
      <w:pPr>
        <w:spacing w:line="360" w:lineRule="auto"/>
        <w:ind w:firstLine="480" w:firstLineChars="200"/>
        <w:rPr>
          <w:rFonts w:ascii="宋体" w:hAnsi="宋体" w:cs="宋体"/>
          <w:sz w:val="24"/>
          <w:szCs w:val="24"/>
        </w:rPr>
      </w:pPr>
      <w:r>
        <w:rPr>
          <w:rFonts w:hint="eastAsia" w:ascii="宋体" w:hAnsi="宋体" w:cs="宋体"/>
          <w:sz w:val="24"/>
          <w:szCs w:val="24"/>
        </w:rPr>
        <w:t>名称：陕西卓佲项目管理有限公司</w:t>
      </w:r>
    </w:p>
    <w:p>
      <w:pPr>
        <w:spacing w:line="360" w:lineRule="auto"/>
        <w:ind w:firstLine="480" w:firstLineChars="200"/>
        <w:rPr>
          <w:rFonts w:ascii="宋体" w:hAnsi="宋体" w:cs="宋体"/>
          <w:sz w:val="24"/>
          <w:szCs w:val="24"/>
        </w:rPr>
      </w:pPr>
      <w:r>
        <w:rPr>
          <w:rFonts w:hint="eastAsia" w:ascii="宋体" w:hAnsi="宋体" w:cs="宋体"/>
          <w:sz w:val="24"/>
          <w:szCs w:val="24"/>
        </w:rPr>
        <w:t>地址：西安市雁塔区科技路10号华奥大厦A座20层2002室</w:t>
      </w:r>
    </w:p>
    <w:p>
      <w:pPr>
        <w:spacing w:line="360" w:lineRule="auto"/>
        <w:ind w:firstLine="480" w:firstLineChars="200"/>
        <w:rPr>
          <w:rFonts w:ascii="宋体" w:hAnsi="宋体" w:cs="宋体"/>
          <w:sz w:val="24"/>
          <w:szCs w:val="24"/>
        </w:rPr>
      </w:pPr>
      <w:r>
        <w:rPr>
          <w:rFonts w:hint="eastAsia" w:ascii="宋体" w:hAnsi="宋体" w:cs="宋体"/>
          <w:sz w:val="24"/>
          <w:szCs w:val="24"/>
        </w:rPr>
        <w:t>联系方式：029-88440695</w:t>
      </w:r>
    </w:p>
    <w:p>
      <w:pPr>
        <w:spacing w:line="360" w:lineRule="auto"/>
        <w:ind w:firstLine="480" w:firstLineChars="200"/>
        <w:rPr>
          <w:rFonts w:ascii="宋体" w:hAnsi="宋体" w:cs="宋体"/>
          <w:sz w:val="24"/>
          <w:szCs w:val="24"/>
        </w:rPr>
      </w:pPr>
      <w:r>
        <w:rPr>
          <w:rFonts w:hint="eastAsia" w:ascii="宋体" w:hAnsi="宋体" w:cs="宋体"/>
          <w:sz w:val="24"/>
          <w:szCs w:val="24"/>
        </w:rPr>
        <w:t>3.项目联系方式</w:t>
      </w:r>
    </w:p>
    <w:p>
      <w:pPr>
        <w:spacing w:line="360" w:lineRule="auto"/>
        <w:ind w:firstLine="480" w:firstLineChars="200"/>
        <w:rPr>
          <w:rFonts w:ascii="宋体" w:hAnsi="宋体" w:cs="宋体"/>
          <w:sz w:val="24"/>
          <w:szCs w:val="24"/>
        </w:rPr>
      </w:pPr>
      <w:r>
        <w:rPr>
          <w:rFonts w:hint="eastAsia" w:ascii="宋体" w:hAnsi="宋体" w:cs="宋体"/>
          <w:sz w:val="24"/>
          <w:szCs w:val="24"/>
        </w:rPr>
        <w:t>项目联系人：杜华龙</w:t>
      </w:r>
      <w:r>
        <w:rPr>
          <w:rFonts w:hint="eastAsia" w:ascii="宋体" w:hAnsi="宋体" w:cs="宋体"/>
          <w:sz w:val="24"/>
          <w:szCs w:val="24"/>
          <w:lang w:val="en-US" w:eastAsia="zh-CN"/>
        </w:rPr>
        <w:t xml:space="preserve"> 魏萌  董菊莉 米文佳</w:t>
      </w:r>
      <w:r>
        <w:rPr>
          <w:rFonts w:hint="eastAsia" w:ascii="宋体" w:hAnsi="宋体" w:cs="宋体"/>
          <w:sz w:val="24"/>
          <w:szCs w:val="24"/>
        </w:rPr>
        <w:t xml:space="preserve"> </w:t>
      </w:r>
    </w:p>
    <w:p>
      <w:pPr>
        <w:spacing w:line="360" w:lineRule="auto"/>
        <w:ind w:firstLine="480" w:firstLineChars="200"/>
        <w:rPr>
          <w:rFonts w:ascii="宋体" w:hAnsi="宋体" w:cs="宋体"/>
          <w:sz w:val="24"/>
          <w:szCs w:val="24"/>
        </w:rPr>
      </w:pPr>
      <w:r>
        <w:rPr>
          <w:rFonts w:hint="eastAsia" w:ascii="宋体" w:hAnsi="宋体" w:cs="宋体"/>
          <w:sz w:val="24"/>
          <w:szCs w:val="24"/>
        </w:rPr>
        <w:t>电话：029-88440695</w:t>
      </w:r>
    </w:p>
    <w:p>
      <w:pPr>
        <w:spacing w:line="360" w:lineRule="auto"/>
        <w:jc w:val="right"/>
        <w:rPr>
          <w:rFonts w:ascii="宋体" w:hAnsi="宋体" w:cs="宋体"/>
          <w:sz w:val="24"/>
          <w:szCs w:val="24"/>
        </w:rPr>
      </w:pPr>
    </w:p>
    <w:p>
      <w:pPr>
        <w:spacing w:line="360" w:lineRule="auto"/>
        <w:jc w:val="right"/>
        <w:rPr>
          <w:rFonts w:ascii="宋体" w:hAnsi="宋体" w:cs="宋体"/>
          <w:sz w:val="24"/>
          <w:szCs w:val="24"/>
        </w:rPr>
      </w:pPr>
    </w:p>
    <w:p>
      <w:pPr>
        <w:spacing w:line="360" w:lineRule="auto"/>
        <w:jc w:val="right"/>
        <w:rPr>
          <w:rFonts w:ascii="宋体" w:hAnsi="宋体" w:cs="宋体"/>
          <w:sz w:val="24"/>
          <w:szCs w:val="24"/>
        </w:rPr>
      </w:pPr>
      <w:r>
        <w:rPr>
          <w:rFonts w:hint="eastAsia" w:ascii="宋体" w:hAnsi="宋体" w:cs="宋体"/>
          <w:sz w:val="24"/>
          <w:szCs w:val="24"/>
        </w:rPr>
        <w:t>陕西卓佲项目管理有限公司</w:t>
      </w:r>
    </w:p>
    <w:p>
      <w:pPr>
        <w:spacing w:line="360" w:lineRule="auto"/>
        <w:jc w:val="right"/>
        <w:rPr>
          <w:rFonts w:ascii="宋体" w:hAnsi="宋体" w:cs="宋体"/>
          <w:sz w:val="24"/>
          <w:szCs w:val="24"/>
        </w:rPr>
      </w:pPr>
      <w:r>
        <w:rPr>
          <w:rFonts w:hint="eastAsia" w:ascii="宋体" w:hAnsi="宋体" w:cs="宋体"/>
          <w:sz w:val="24"/>
          <w:szCs w:val="24"/>
        </w:rPr>
        <w:t>2022年</w:t>
      </w:r>
      <w:r>
        <w:rPr>
          <w:rFonts w:hint="eastAsia" w:ascii="宋体" w:hAnsi="宋体" w:cs="宋体"/>
          <w:sz w:val="24"/>
          <w:szCs w:val="24"/>
          <w:lang w:val="en-US" w:eastAsia="zh-CN"/>
        </w:rPr>
        <w:t>06</w:t>
      </w:r>
      <w:r>
        <w:rPr>
          <w:rFonts w:hint="eastAsia" w:ascii="宋体" w:hAnsi="宋体" w:cs="宋体"/>
          <w:sz w:val="24"/>
          <w:szCs w:val="24"/>
        </w:rPr>
        <w:t>月</w:t>
      </w:r>
      <w:r>
        <w:rPr>
          <w:rFonts w:hint="eastAsia" w:ascii="宋体" w:hAnsi="宋体" w:cs="宋体"/>
          <w:sz w:val="24"/>
          <w:szCs w:val="24"/>
          <w:lang w:val="en-US" w:eastAsia="zh-CN"/>
        </w:rPr>
        <w:t>13</w:t>
      </w:r>
      <w:r>
        <w:rPr>
          <w:rFonts w:hint="eastAsia" w:ascii="宋体" w:hAnsi="宋体" w:cs="宋体"/>
          <w:sz w:val="24"/>
          <w:szCs w:val="24"/>
        </w:rPr>
        <w:t>日</w:t>
      </w:r>
    </w:p>
    <w:p>
      <w:pPr>
        <w:spacing w:line="360" w:lineRule="auto"/>
        <w:jc w:val="right"/>
        <w:rPr>
          <w:rFonts w:ascii="宋体" w:hAnsi="宋体" w:cs="宋体"/>
          <w:sz w:val="24"/>
          <w:szCs w:val="24"/>
        </w:rPr>
      </w:pPr>
    </w:p>
    <w:p>
      <w:pPr>
        <w:pStyle w:val="3"/>
        <w:keepLines w:val="0"/>
        <w:ind w:firstLine="562" w:firstLineChars="175"/>
        <w:rPr>
          <w:rFonts w:ascii="宋体" w:hAnsi="宋体" w:cs="宋体"/>
        </w:rPr>
        <w:sectPr>
          <w:footerReference r:id="rId8" w:type="default"/>
          <w:pgSz w:w="11906" w:h="16838"/>
          <w:pgMar w:top="1440" w:right="1486" w:bottom="1440" w:left="1800" w:header="851" w:footer="992" w:gutter="0"/>
          <w:pgNumType w:fmt="decimal" w:start="1"/>
          <w:cols w:space="720" w:num="1"/>
          <w:docGrid w:type="lines" w:linePitch="312" w:charSpace="0"/>
        </w:sectPr>
      </w:pPr>
    </w:p>
    <w:p>
      <w:pPr>
        <w:pStyle w:val="3"/>
        <w:spacing w:before="312" w:beforeLines="100" w:after="156" w:afterLines="50" w:line="600" w:lineRule="exact"/>
        <w:rPr>
          <w:rFonts w:ascii="宋体" w:hAnsi="宋体" w:cs="宋体"/>
          <w:sz w:val="36"/>
          <w:szCs w:val="36"/>
        </w:rPr>
      </w:pPr>
      <w:bookmarkStart w:id="4" w:name="_Toc30089"/>
      <w:bookmarkStart w:id="5" w:name="_Toc438048787"/>
      <w:bookmarkStart w:id="6" w:name="_Toc31006"/>
      <w:bookmarkStart w:id="7" w:name="_Toc26705"/>
      <w:r>
        <w:rPr>
          <w:rFonts w:hint="eastAsia" w:ascii="宋体" w:hAnsi="宋体" w:cs="宋体"/>
          <w:sz w:val="36"/>
          <w:szCs w:val="36"/>
        </w:rPr>
        <w:t>第二部分  供应商须知前附表</w:t>
      </w:r>
      <w:bookmarkEnd w:id="4"/>
      <w:bookmarkEnd w:id="5"/>
      <w:bookmarkEnd w:id="6"/>
      <w:bookmarkEnd w:id="7"/>
    </w:p>
    <w:tbl>
      <w:tblPr>
        <w:tblStyle w:val="29"/>
        <w:tblpPr w:leftFromText="180" w:rightFromText="180" w:vertAnchor="text" w:horzAnchor="page" w:tblpX="1509" w:tblpY="309"/>
        <w:tblOverlap w:val="never"/>
        <w:tblW w:w="921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05"/>
        <w:gridCol w:w="1494"/>
        <w:gridCol w:w="72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4" w:hRule="atLeast"/>
        </w:trPr>
        <w:tc>
          <w:tcPr>
            <w:tcW w:w="505" w:type="dxa"/>
            <w:vAlign w:val="center"/>
          </w:tcPr>
          <w:p>
            <w:pPr>
              <w:spacing w:before="156" w:beforeLines="50" w:line="360" w:lineRule="auto"/>
              <w:jc w:val="center"/>
              <w:rPr>
                <w:rFonts w:ascii="宋体" w:hAnsi="宋体" w:cs="宋体"/>
                <w:b/>
                <w:sz w:val="24"/>
                <w:szCs w:val="24"/>
              </w:rPr>
            </w:pPr>
            <w:r>
              <w:rPr>
                <w:rFonts w:hint="eastAsia" w:ascii="宋体" w:hAnsi="宋体" w:cs="宋体"/>
                <w:b/>
                <w:sz w:val="24"/>
                <w:szCs w:val="24"/>
              </w:rPr>
              <w:t>序号</w:t>
            </w:r>
          </w:p>
        </w:tc>
        <w:tc>
          <w:tcPr>
            <w:tcW w:w="1494" w:type="dxa"/>
            <w:vAlign w:val="center"/>
          </w:tcPr>
          <w:p>
            <w:pPr>
              <w:spacing w:before="156" w:beforeLines="50" w:line="360" w:lineRule="auto"/>
              <w:jc w:val="center"/>
              <w:rPr>
                <w:rFonts w:ascii="宋体" w:hAnsi="宋体" w:cs="宋体"/>
                <w:b/>
                <w:sz w:val="24"/>
                <w:szCs w:val="24"/>
              </w:rPr>
            </w:pPr>
            <w:r>
              <w:rPr>
                <w:rFonts w:hint="eastAsia" w:ascii="宋体" w:hAnsi="宋体" w:cs="宋体"/>
                <w:b/>
                <w:sz w:val="24"/>
                <w:szCs w:val="24"/>
              </w:rPr>
              <w:t>内容</w:t>
            </w:r>
          </w:p>
        </w:tc>
        <w:tc>
          <w:tcPr>
            <w:tcW w:w="7219" w:type="dxa"/>
          </w:tcPr>
          <w:p>
            <w:pPr>
              <w:spacing w:before="156" w:beforeLines="50" w:line="360" w:lineRule="auto"/>
              <w:jc w:val="center"/>
              <w:rPr>
                <w:rFonts w:ascii="宋体" w:hAnsi="宋体" w:cs="宋体"/>
                <w:b/>
                <w:sz w:val="24"/>
                <w:szCs w:val="24"/>
              </w:rPr>
            </w:pPr>
            <w:r>
              <w:rPr>
                <w:rFonts w:hint="eastAsia" w:ascii="宋体" w:hAnsi="宋体" w:cs="宋体"/>
                <w:b/>
                <w:sz w:val="24"/>
                <w:szCs w:val="24"/>
              </w:rPr>
              <w:t>说明和要求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4" w:hRule="atLeast"/>
        </w:trPr>
        <w:tc>
          <w:tcPr>
            <w:tcW w:w="505" w:type="dxa"/>
            <w:vAlign w:val="center"/>
          </w:tcPr>
          <w:p>
            <w:pPr>
              <w:spacing w:before="156" w:beforeLines="50" w:line="360" w:lineRule="auto"/>
              <w:jc w:val="center"/>
              <w:rPr>
                <w:rFonts w:ascii="宋体" w:hAnsi="宋体" w:cs="宋体"/>
                <w:b/>
                <w:sz w:val="24"/>
                <w:szCs w:val="24"/>
              </w:rPr>
            </w:pPr>
            <w:r>
              <w:rPr>
                <w:rFonts w:hint="eastAsia" w:ascii="宋体" w:hAnsi="宋体" w:cs="宋体"/>
                <w:b/>
                <w:sz w:val="24"/>
                <w:szCs w:val="24"/>
              </w:rPr>
              <w:t>1</w:t>
            </w:r>
          </w:p>
        </w:tc>
        <w:tc>
          <w:tcPr>
            <w:tcW w:w="1494" w:type="dxa"/>
            <w:vAlign w:val="center"/>
          </w:tcPr>
          <w:p>
            <w:pPr>
              <w:spacing w:line="360" w:lineRule="auto"/>
              <w:rPr>
                <w:rFonts w:ascii="宋体" w:hAnsi="宋体" w:cs="宋体"/>
                <w:sz w:val="24"/>
                <w:szCs w:val="24"/>
              </w:rPr>
            </w:pPr>
            <w:r>
              <w:rPr>
                <w:rFonts w:hint="eastAsia" w:ascii="宋体" w:hAnsi="宋体" w:cs="宋体"/>
                <w:sz w:val="24"/>
                <w:szCs w:val="24"/>
              </w:rPr>
              <w:t>资格要求</w:t>
            </w:r>
          </w:p>
        </w:tc>
        <w:tc>
          <w:tcPr>
            <w:tcW w:w="7219" w:type="dxa"/>
          </w:tcPr>
          <w:p>
            <w:pPr>
              <w:numPr>
                <w:ilvl w:val="0"/>
                <w:numId w:val="4"/>
              </w:numPr>
              <w:spacing w:line="360" w:lineRule="auto"/>
              <w:rPr>
                <w:rFonts w:ascii="宋体" w:hAnsi="宋体" w:cs="宋体"/>
                <w:sz w:val="24"/>
                <w:szCs w:val="24"/>
              </w:rPr>
            </w:pPr>
            <w:r>
              <w:rPr>
                <w:rFonts w:hint="eastAsia" w:ascii="宋体" w:hAnsi="宋体" w:cs="宋体"/>
                <w:sz w:val="24"/>
                <w:szCs w:val="24"/>
              </w:rPr>
              <w:t>基本资格条件：满足《中华人民共和国政府采购法》第二十二条规定。</w:t>
            </w:r>
          </w:p>
          <w:p>
            <w:pPr>
              <w:numPr>
                <w:ilvl w:val="0"/>
                <w:numId w:val="4"/>
              </w:numPr>
              <w:spacing w:line="360" w:lineRule="auto"/>
              <w:rPr>
                <w:rFonts w:ascii="宋体" w:hAnsi="宋体" w:cs="宋体"/>
                <w:sz w:val="24"/>
                <w:szCs w:val="24"/>
              </w:rPr>
            </w:pPr>
            <w:r>
              <w:rPr>
                <w:rFonts w:hint="eastAsia" w:ascii="宋体" w:hAnsi="宋体" w:cs="宋体"/>
                <w:sz w:val="24"/>
                <w:szCs w:val="24"/>
              </w:rPr>
              <w:t>特定资格条件：</w:t>
            </w:r>
          </w:p>
          <w:p>
            <w:pPr>
              <w:numPr>
                <w:ilvl w:val="-1"/>
                <w:numId w:val="0"/>
              </w:numPr>
              <w:spacing w:line="360" w:lineRule="auto"/>
              <w:rPr>
                <w:rFonts w:hint="eastAsia" w:ascii="宋体" w:hAnsi="宋体" w:cs="宋体"/>
                <w:sz w:val="24"/>
                <w:szCs w:val="24"/>
                <w:lang w:val="en-US" w:eastAsia="zh-CN"/>
              </w:rPr>
            </w:pPr>
            <w:r>
              <w:rPr>
                <w:rFonts w:hint="eastAsia" w:ascii="宋体" w:hAnsi="宋体" w:cs="宋体"/>
                <w:sz w:val="24"/>
                <w:szCs w:val="24"/>
              </w:rPr>
              <w:t>（1）具有独立承担民事责任能力的法人、其他组织或自然人，提供合法有效的统一社会信用代码营业执照（事业单位提供事业单位法人证书，自然人应提供身份证）；</w:t>
            </w:r>
            <w:r>
              <w:rPr>
                <w:rFonts w:hint="eastAsia" w:ascii="宋体" w:hAnsi="宋体" w:cs="宋体"/>
                <w:sz w:val="24"/>
                <w:szCs w:val="24"/>
              </w:rPr>
              <w:br w:type="textWrapping"/>
            </w:r>
            <w:r>
              <w:rPr>
                <w:rFonts w:hint="eastAsia" w:ascii="宋体" w:hAnsi="宋体" w:cs="宋体"/>
                <w:sz w:val="24"/>
                <w:szCs w:val="24"/>
              </w:rPr>
              <w:t>（2）财务状况证明：供应商提供2020年或2021年度经审计完整的财务审计报告（成立时间至提交投标文件截止时间不足一年的可提供成立后任意时段的资产负债表），或其开标前三个月内银行出具的资信证明，或财政部门认可的政府采购专业担保机构出具的投标担保函；</w:t>
            </w:r>
            <w:r>
              <w:rPr>
                <w:rFonts w:hint="eastAsia" w:ascii="宋体" w:hAnsi="宋体" w:cs="宋体"/>
                <w:sz w:val="24"/>
                <w:szCs w:val="24"/>
              </w:rPr>
              <w:br w:type="textWrapping"/>
            </w:r>
            <w:r>
              <w:rPr>
                <w:rFonts w:hint="eastAsia" w:ascii="宋体" w:hAnsi="宋体" w:cs="宋体"/>
                <w:sz w:val="24"/>
                <w:szCs w:val="24"/>
              </w:rPr>
              <w:t>（3）具有履行合同所必需的设备和专业技术能力的书面声明；</w:t>
            </w:r>
            <w:r>
              <w:rPr>
                <w:rFonts w:hint="eastAsia" w:ascii="宋体" w:hAnsi="宋体" w:cs="宋体"/>
                <w:sz w:val="24"/>
                <w:szCs w:val="24"/>
              </w:rPr>
              <w:br w:type="textWrapping"/>
            </w:r>
            <w:r>
              <w:rPr>
                <w:rFonts w:hint="eastAsia" w:ascii="宋体" w:hAnsi="宋体" w:cs="宋体"/>
                <w:sz w:val="24"/>
                <w:szCs w:val="24"/>
              </w:rPr>
              <w:t>（4）税收缴纳证明：提供2021年9月以来至少一个月的纳税证明或完税证明，依法免税的单位应提供相关证明材料； </w:t>
            </w:r>
            <w:r>
              <w:rPr>
                <w:rFonts w:hint="eastAsia" w:ascii="宋体" w:hAnsi="宋体" w:cs="宋体"/>
                <w:sz w:val="24"/>
                <w:szCs w:val="24"/>
              </w:rPr>
              <w:br w:type="textWrapping"/>
            </w:r>
            <w:r>
              <w:rPr>
                <w:rFonts w:hint="eastAsia" w:ascii="宋体" w:hAnsi="宋体" w:cs="宋体"/>
                <w:sz w:val="24"/>
                <w:szCs w:val="24"/>
              </w:rPr>
              <w:t>（5）社会保障资金缴纳证明：提供2021年9月以来至少一个月的社会保障资金缴存单据或社保机构开具的社会保险参保缴费情况证明。依法不需要缴纳社会保障资金的供应商应提供相关文件证明；</w:t>
            </w:r>
            <w:r>
              <w:rPr>
                <w:rFonts w:hint="eastAsia" w:ascii="宋体" w:hAnsi="宋体" w:cs="宋体"/>
                <w:sz w:val="24"/>
                <w:szCs w:val="24"/>
              </w:rPr>
              <w:br w:type="textWrapping"/>
            </w:r>
            <w:r>
              <w:rPr>
                <w:rFonts w:hint="eastAsia" w:ascii="宋体" w:hAnsi="宋体" w:cs="宋体"/>
                <w:sz w:val="24"/>
                <w:szCs w:val="24"/>
              </w:rPr>
              <w:t>（6）参加政府采购活动前3年内在经营活动中没有重大违法记录的书面声明；</w:t>
            </w:r>
            <w:r>
              <w:rPr>
                <w:rFonts w:hint="eastAsia" w:ascii="宋体" w:hAnsi="宋体" w:cs="宋体"/>
                <w:sz w:val="24"/>
                <w:szCs w:val="24"/>
              </w:rPr>
              <w:br w:type="textWrapping"/>
            </w:r>
            <w:r>
              <w:rPr>
                <w:rFonts w:hint="eastAsia" w:ascii="宋体" w:hAnsi="宋体" w:cs="宋体"/>
                <w:sz w:val="24"/>
                <w:szCs w:val="24"/>
              </w:rPr>
              <w:t>（7）非法定代表人参加投标的，须提供法定代表人委托授权书及被授权人身份证，法定代表人参加投标时,只须提供法定代表人身份证； </w:t>
            </w:r>
            <w:r>
              <w:rPr>
                <w:rFonts w:hint="eastAsia" w:ascii="宋体" w:hAnsi="宋体" w:cs="宋体"/>
                <w:sz w:val="24"/>
                <w:szCs w:val="24"/>
              </w:rPr>
              <w:br w:type="textWrapping"/>
            </w:r>
            <w:r>
              <w:rPr>
                <w:rFonts w:hint="eastAsia" w:ascii="宋体" w:hAnsi="宋体" w:cs="宋体"/>
                <w:sz w:val="24"/>
                <w:szCs w:val="24"/>
              </w:rPr>
              <w:t>（8）</w:t>
            </w:r>
            <w:r>
              <w:rPr>
                <w:rFonts w:hint="eastAsia" w:ascii="宋体" w:hAnsi="宋体" w:cs="宋体"/>
                <w:sz w:val="24"/>
                <w:szCs w:val="24"/>
                <w:lang w:val="en-US" w:eastAsia="zh-CN"/>
              </w:rPr>
              <w:t>本项目合同包1、合同包3、合同包4为专门面向中小企业采购，供应商应出具中小企业声明函；</w:t>
            </w:r>
          </w:p>
          <w:p>
            <w:pPr>
              <w:numPr>
                <w:ilvl w:val="-1"/>
                <w:numId w:val="0"/>
              </w:numPr>
              <w:spacing w:line="360" w:lineRule="auto"/>
              <w:rPr>
                <w:rFonts w:ascii="宋体" w:hAnsi="宋体" w:cs="宋体"/>
                <w:sz w:val="24"/>
                <w:szCs w:val="24"/>
              </w:rPr>
            </w:pPr>
            <w:r>
              <w:rPr>
                <w:rFonts w:hint="eastAsia" w:ascii="宋体" w:hAnsi="宋体" w:cs="宋体"/>
                <w:sz w:val="24"/>
                <w:szCs w:val="24"/>
                <w:lang w:val="en-US" w:eastAsia="zh-CN"/>
              </w:rPr>
              <w:t>（9）</w:t>
            </w:r>
            <w:r>
              <w:rPr>
                <w:rFonts w:hint="eastAsia" w:ascii="宋体" w:hAnsi="宋体" w:cs="宋体"/>
                <w:sz w:val="24"/>
                <w:szCs w:val="24"/>
              </w:rPr>
              <w:t>本项目不接受联合体投标。</w:t>
            </w:r>
          </w:p>
          <w:p>
            <w:pPr>
              <w:spacing w:line="360" w:lineRule="auto"/>
              <w:rPr>
                <w:rFonts w:ascii="宋体" w:hAnsi="宋体" w:cs="宋体"/>
                <w:sz w:val="24"/>
                <w:szCs w:val="24"/>
              </w:rPr>
            </w:pPr>
            <w:r>
              <w:rPr>
                <w:rFonts w:hint="eastAsia" w:ascii="宋体" w:hAnsi="宋体" w:cs="宋体"/>
                <w:sz w:val="24"/>
                <w:szCs w:val="24"/>
              </w:rPr>
              <w:t>本项目不接受联合体投标。</w:t>
            </w:r>
          </w:p>
          <w:p>
            <w:pPr>
              <w:spacing w:line="360" w:lineRule="auto"/>
              <w:ind w:firstLine="422" w:firstLineChars="175"/>
              <w:jc w:val="left"/>
              <w:rPr>
                <w:rFonts w:ascii="宋体" w:hAnsi="宋体" w:cs="宋体"/>
                <w:sz w:val="24"/>
                <w:szCs w:val="24"/>
              </w:rPr>
            </w:pPr>
            <w:r>
              <w:rPr>
                <w:rFonts w:hint="eastAsia" w:ascii="宋体" w:hAnsi="宋体" w:cs="宋体"/>
                <w:b/>
                <w:bCs/>
                <w:sz w:val="24"/>
                <w:szCs w:val="24"/>
              </w:rPr>
              <w:t>以上项为资格审查必备资质。投标文件的正本和全部副本必须附上述资格证明文件，缺少其中一项或某项达不到公开招标要求，其投标文件按无效文件处理。（开标现场携带相关原件及供应商代表身份证备查）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4" w:hRule="atLeast"/>
        </w:trPr>
        <w:tc>
          <w:tcPr>
            <w:tcW w:w="505" w:type="dxa"/>
          </w:tcPr>
          <w:p>
            <w:pPr>
              <w:spacing w:before="156" w:beforeLines="50" w:line="360" w:lineRule="auto"/>
              <w:jc w:val="center"/>
              <w:rPr>
                <w:rFonts w:ascii="宋体" w:hAnsi="宋体" w:cs="宋体"/>
                <w:b/>
                <w:sz w:val="24"/>
                <w:szCs w:val="24"/>
              </w:rPr>
            </w:pPr>
            <w:r>
              <w:rPr>
                <w:rFonts w:hint="eastAsia" w:ascii="宋体" w:hAnsi="宋体" w:cs="宋体"/>
                <w:b/>
                <w:sz w:val="24"/>
                <w:szCs w:val="24"/>
              </w:rPr>
              <w:t>2</w:t>
            </w:r>
          </w:p>
        </w:tc>
        <w:tc>
          <w:tcPr>
            <w:tcW w:w="1494" w:type="dxa"/>
            <w:vAlign w:val="center"/>
          </w:tcPr>
          <w:p>
            <w:pPr>
              <w:spacing w:line="360" w:lineRule="auto"/>
              <w:rPr>
                <w:rFonts w:ascii="宋体" w:hAnsi="宋体" w:cs="宋体"/>
                <w:sz w:val="24"/>
                <w:szCs w:val="24"/>
              </w:rPr>
            </w:pPr>
            <w:r>
              <w:rPr>
                <w:rFonts w:hint="eastAsia" w:ascii="宋体" w:hAnsi="宋体" w:cs="宋体"/>
                <w:sz w:val="24"/>
                <w:szCs w:val="24"/>
              </w:rPr>
              <w:t>符合性审查</w:t>
            </w:r>
          </w:p>
        </w:tc>
        <w:tc>
          <w:tcPr>
            <w:tcW w:w="7219" w:type="dxa"/>
          </w:tcPr>
          <w:p>
            <w:pPr>
              <w:pStyle w:val="16"/>
              <w:snapToGrid w:val="0"/>
              <w:spacing w:line="360" w:lineRule="auto"/>
              <w:rPr>
                <w:rFonts w:hAnsi="宋体" w:cs="宋体"/>
                <w:kern w:val="0"/>
                <w:sz w:val="24"/>
                <w:szCs w:val="24"/>
              </w:rPr>
            </w:pPr>
            <w:r>
              <w:rPr>
                <w:rFonts w:hint="eastAsia" w:hAnsi="宋体" w:cs="宋体"/>
                <w:kern w:val="0"/>
                <w:sz w:val="24"/>
                <w:szCs w:val="24"/>
              </w:rPr>
              <w:t>有下列情形之一的，应在符合性审查时按照无效投标处理。</w:t>
            </w:r>
          </w:p>
          <w:p>
            <w:pPr>
              <w:numPr>
                <w:ilvl w:val="0"/>
                <w:numId w:val="5"/>
              </w:numPr>
              <w:spacing w:line="360" w:lineRule="auto"/>
              <w:ind w:firstLine="0"/>
              <w:rPr>
                <w:rFonts w:ascii="宋体" w:hAnsi="宋体" w:cs="宋体"/>
                <w:sz w:val="24"/>
                <w:szCs w:val="24"/>
              </w:rPr>
            </w:pPr>
            <w:r>
              <w:rPr>
                <w:rFonts w:hint="eastAsia" w:ascii="宋体" w:hAnsi="宋体" w:cs="宋体"/>
                <w:sz w:val="24"/>
                <w:szCs w:val="24"/>
              </w:rPr>
              <w:t xml:space="preserve">投标报价超过采购预算或者最高限价； </w:t>
            </w:r>
          </w:p>
          <w:p>
            <w:pPr>
              <w:numPr>
                <w:ilvl w:val="0"/>
                <w:numId w:val="5"/>
              </w:numPr>
              <w:spacing w:line="360" w:lineRule="auto"/>
              <w:ind w:firstLine="0"/>
              <w:rPr>
                <w:rFonts w:ascii="宋体" w:hAnsi="宋体" w:cs="宋体"/>
                <w:sz w:val="24"/>
                <w:szCs w:val="24"/>
              </w:rPr>
            </w:pPr>
            <w:r>
              <w:rPr>
                <w:rFonts w:hint="eastAsia" w:ascii="宋体" w:hAnsi="宋体" w:cs="宋体"/>
                <w:sz w:val="24"/>
                <w:szCs w:val="24"/>
              </w:rPr>
              <w:t>投标文件的交货期不满足招标文件要求；</w:t>
            </w:r>
          </w:p>
          <w:p>
            <w:pPr>
              <w:numPr>
                <w:ilvl w:val="0"/>
                <w:numId w:val="5"/>
              </w:numPr>
              <w:spacing w:line="360" w:lineRule="auto"/>
              <w:ind w:firstLine="0"/>
              <w:rPr>
                <w:rFonts w:ascii="宋体" w:hAnsi="宋体" w:cs="宋体"/>
                <w:sz w:val="24"/>
                <w:szCs w:val="24"/>
              </w:rPr>
            </w:pPr>
            <w:r>
              <w:rPr>
                <w:rFonts w:hint="eastAsia" w:ascii="宋体" w:hAnsi="宋体" w:cs="宋体"/>
                <w:sz w:val="24"/>
                <w:szCs w:val="24"/>
              </w:rPr>
              <w:t>投标文件的质保期不满足招标文件要求；</w:t>
            </w:r>
          </w:p>
          <w:p>
            <w:pPr>
              <w:spacing w:line="360" w:lineRule="auto"/>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4</w:t>
            </w:r>
            <w:r>
              <w:rPr>
                <w:rFonts w:hint="eastAsia" w:ascii="宋体" w:hAnsi="宋体" w:cs="宋体"/>
                <w:sz w:val="24"/>
                <w:szCs w:val="24"/>
              </w:rPr>
              <w:t>）投标文件的数量、签署、盖章、装订不符合招标文件要求；</w:t>
            </w:r>
          </w:p>
          <w:p>
            <w:pPr>
              <w:spacing w:line="360" w:lineRule="auto"/>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5</w:t>
            </w:r>
            <w:r>
              <w:rPr>
                <w:rFonts w:hint="eastAsia" w:ascii="宋体" w:hAnsi="宋体" w:cs="宋体"/>
                <w:sz w:val="24"/>
                <w:szCs w:val="24"/>
              </w:rPr>
              <w:t>）投标文件无投标有效期或有效期达不到招标文件要求的；</w:t>
            </w:r>
          </w:p>
          <w:p>
            <w:pPr>
              <w:spacing w:line="360" w:lineRule="auto"/>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6</w:t>
            </w:r>
            <w:r>
              <w:rPr>
                <w:rFonts w:hint="eastAsia" w:ascii="宋体" w:hAnsi="宋体" w:cs="宋体"/>
                <w:sz w:val="24"/>
                <w:szCs w:val="24"/>
              </w:rPr>
              <w:t>）供应商未按照招标文件要求缴纳投标保证金或投标保证金缴纳金额少于招标文件要求的；</w:t>
            </w:r>
          </w:p>
          <w:p>
            <w:pPr>
              <w:spacing w:line="360" w:lineRule="auto"/>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7</w:t>
            </w:r>
            <w:r>
              <w:rPr>
                <w:rFonts w:hint="eastAsia" w:ascii="宋体" w:hAnsi="宋体" w:cs="宋体"/>
                <w:sz w:val="24"/>
                <w:szCs w:val="24"/>
              </w:rPr>
              <w:t>）供应商针对同一项目递交两份或多份内容不同的投标文件，未书面声明哪一份是有效的或出现选择性报价的；</w:t>
            </w:r>
          </w:p>
          <w:p>
            <w:pPr>
              <w:spacing w:line="360" w:lineRule="auto"/>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8</w:t>
            </w:r>
            <w:r>
              <w:rPr>
                <w:rFonts w:hint="eastAsia" w:ascii="宋体" w:hAnsi="宋体" w:cs="宋体"/>
                <w:sz w:val="24"/>
                <w:szCs w:val="24"/>
              </w:rPr>
              <w:t>）投标文件的标的数量不满足采购要求的；</w:t>
            </w:r>
          </w:p>
          <w:p>
            <w:pPr>
              <w:spacing w:line="360" w:lineRule="auto"/>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9</w:t>
            </w:r>
            <w:r>
              <w:rPr>
                <w:rFonts w:hint="eastAsia" w:ascii="宋体" w:hAnsi="宋体" w:cs="宋体"/>
                <w:sz w:val="24"/>
                <w:szCs w:val="24"/>
              </w:rPr>
              <w:t>）投标文件含有采购人不能接受的附加条件的；</w:t>
            </w:r>
          </w:p>
          <w:p>
            <w:pPr>
              <w:spacing w:line="360" w:lineRule="auto"/>
              <w:rPr>
                <w:rFonts w:ascii="宋体" w:hAnsi="宋体" w:cs="宋体"/>
                <w:b/>
                <w:bCs/>
                <w:sz w:val="24"/>
                <w:szCs w:val="24"/>
              </w:rPr>
            </w:pPr>
            <w:r>
              <w:rPr>
                <w:rFonts w:hint="eastAsia" w:ascii="宋体" w:hAnsi="宋体" w:cs="宋体"/>
                <w:b/>
                <w:bCs/>
                <w:sz w:val="24"/>
                <w:szCs w:val="24"/>
              </w:rPr>
              <w:t>（</w:t>
            </w:r>
            <w:r>
              <w:rPr>
                <w:rFonts w:hint="eastAsia" w:ascii="宋体" w:hAnsi="宋体" w:cs="宋体"/>
                <w:b/>
                <w:bCs/>
                <w:sz w:val="24"/>
                <w:szCs w:val="24"/>
                <w:lang w:val="en-US" w:eastAsia="zh-CN"/>
              </w:rPr>
              <w:t>10</w:t>
            </w:r>
            <w:r>
              <w:rPr>
                <w:rFonts w:hint="eastAsia" w:ascii="宋体" w:hAnsi="宋体" w:cs="宋体"/>
                <w:b/>
                <w:bCs/>
                <w:sz w:val="24"/>
                <w:szCs w:val="24"/>
              </w:rPr>
              <w:t>）</w:t>
            </w:r>
            <w:r>
              <w:rPr>
                <w:rFonts w:ascii="宋体" w:hAnsi="宋体" w:cs="宋体"/>
                <w:b/>
                <w:bCs/>
                <w:sz w:val="24"/>
                <w:szCs w:val="24"/>
              </w:rPr>
              <w:t>供应商</w:t>
            </w:r>
            <w:r>
              <w:rPr>
                <w:rFonts w:hint="eastAsia" w:ascii="宋体" w:hAnsi="宋体" w:cs="宋体"/>
                <w:b/>
                <w:bCs/>
                <w:sz w:val="24"/>
                <w:szCs w:val="24"/>
              </w:rPr>
              <w:t>提供赠品、回扣或者与采购无关的其他商品、服务（不包括采购项目本身所包括涉及的采购事项，</w:t>
            </w:r>
            <w:r>
              <w:rPr>
                <w:rFonts w:ascii="宋体" w:hAnsi="宋体" w:cs="宋体"/>
                <w:b/>
                <w:bCs/>
                <w:sz w:val="24"/>
                <w:szCs w:val="24"/>
              </w:rPr>
              <w:t>供应商</w:t>
            </w:r>
            <w:r>
              <w:rPr>
                <w:rFonts w:hint="eastAsia" w:ascii="宋体" w:hAnsi="宋体" w:cs="宋体"/>
                <w:b/>
                <w:bCs/>
                <w:sz w:val="24"/>
                <w:szCs w:val="24"/>
              </w:rPr>
              <w:t>不能以“赠送、赠予”等任何名义提供货物和服务以规避招标文件的约束）。否则，供应商的投标行为将作为以不正当手段排挤其他供应商认定；</w:t>
            </w:r>
          </w:p>
          <w:p>
            <w:pPr>
              <w:spacing w:line="360" w:lineRule="auto"/>
              <w:rPr>
                <w:rFonts w:ascii="宋体" w:hAnsi="宋体" w:cs="宋体"/>
                <w:b/>
                <w:bCs/>
                <w:sz w:val="24"/>
                <w:szCs w:val="24"/>
              </w:rPr>
            </w:pPr>
            <w:r>
              <w:rPr>
                <w:rFonts w:hint="eastAsia" w:ascii="宋体" w:hAnsi="宋体" w:cs="宋体"/>
                <w:sz w:val="24"/>
                <w:szCs w:val="24"/>
              </w:rPr>
              <w:t>（1</w:t>
            </w:r>
            <w:r>
              <w:rPr>
                <w:rFonts w:hint="eastAsia" w:ascii="宋体" w:hAnsi="宋体" w:cs="宋体"/>
                <w:sz w:val="24"/>
                <w:szCs w:val="24"/>
                <w:lang w:val="en-US" w:eastAsia="zh-CN"/>
              </w:rPr>
              <w:t>1</w:t>
            </w:r>
            <w:r>
              <w:rPr>
                <w:rFonts w:hint="eastAsia" w:ascii="宋体" w:hAnsi="宋体" w:cs="宋体"/>
                <w:sz w:val="24"/>
                <w:szCs w:val="24"/>
              </w:rPr>
              <w:t>）法律、法规和招标文件规定的其他无效情形。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505" w:type="dxa"/>
          </w:tcPr>
          <w:p>
            <w:pPr>
              <w:spacing w:before="156" w:beforeLines="50" w:line="360" w:lineRule="auto"/>
              <w:jc w:val="center"/>
              <w:rPr>
                <w:rFonts w:ascii="宋体" w:hAnsi="宋体" w:cs="宋体"/>
                <w:b/>
                <w:sz w:val="24"/>
                <w:szCs w:val="24"/>
              </w:rPr>
            </w:pPr>
            <w:r>
              <w:rPr>
                <w:rFonts w:hint="eastAsia" w:ascii="宋体" w:hAnsi="宋体" w:cs="宋体"/>
                <w:b/>
                <w:sz w:val="24"/>
                <w:szCs w:val="24"/>
              </w:rPr>
              <w:t>3</w:t>
            </w:r>
          </w:p>
        </w:tc>
        <w:tc>
          <w:tcPr>
            <w:tcW w:w="1494" w:type="dxa"/>
            <w:vAlign w:val="center"/>
          </w:tcPr>
          <w:p>
            <w:pPr>
              <w:spacing w:line="360" w:lineRule="auto"/>
              <w:rPr>
                <w:rFonts w:ascii="宋体" w:hAnsi="宋体" w:cs="宋体"/>
                <w:sz w:val="24"/>
                <w:szCs w:val="24"/>
              </w:rPr>
            </w:pPr>
            <w:r>
              <w:rPr>
                <w:rFonts w:hint="eastAsia" w:ascii="宋体" w:hAnsi="宋体" w:cs="宋体"/>
                <w:sz w:val="24"/>
                <w:szCs w:val="24"/>
              </w:rPr>
              <w:t>商务条款</w:t>
            </w:r>
          </w:p>
        </w:tc>
        <w:tc>
          <w:tcPr>
            <w:tcW w:w="7219" w:type="dxa"/>
          </w:tcPr>
          <w:p>
            <w:pPr>
              <w:numPr>
                <w:ilvl w:val="0"/>
                <w:numId w:val="6"/>
              </w:numPr>
              <w:spacing w:line="360" w:lineRule="auto"/>
              <w:rPr>
                <w:rFonts w:hint="eastAsia" w:ascii="宋体" w:hAnsi="宋体" w:cs="宋体"/>
                <w:b w:val="0"/>
                <w:bCs w:val="0"/>
                <w:sz w:val="24"/>
                <w:szCs w:val="24"/>
              </w:rPr>
            </w:pPr>
            <w:r>
              <w:rPr>
                <w:rFonts w:hint="eastAsia" w:ascii="宋体" w:hAnsi="宋体" w:cs="宋体"/>
                <w:b w:val="0"/>
                <w:bCs w:val="0"/>
                <w:sz w:val="24"/>
                <w:szCs w:val="24"/>
              </w:rPr>
              <w:t>交货期：</w:t>
            </w:r>
            <w:r>
              <w:rPr>
                <w:rFonts w:hint="eastAsia" w:ascii="宋体" w:hAnsi="宋体" w:cs="宋体"/>
                <w:b w:val="0"/>
                <w:bCs w:val="0"/>
                <w:sz w:val="24"/>
                <w:szCs w:val="24"/>
                <w:lang w:eastAsia="zh-CN"/>
              </w:rPr>
              <w:t>合同包</w:t>
            </w:r>
            <w:r>
              <w:rPr>
                <w:rFonts w:hint="eastAsia" w:ascii="宋体" w:hAnsi="宋体" w:cs="宋体"/>
                <w:b w:val="0"/>
                <w:bCs w:val="0"/>
                <w:sz w:val="24"/>
                <w:szCs w:val="24"/>
                <w:lang w:val="en-US" w:eastAsia="zh-CN"/>
              </w:rPr>
              <w:t>1：</w:t>
            </w:r>
            <w:r>
              <w:rPr>
                <w:rFonts w:hint="eastAsia" w:ascii="宋体" w:hAnsi="宋体" w:cs="宋体"/>
                <w:b w:val="0"/>
                <w:bCs w:val="0"/>
                <w:sz w:val="24"/>
                <w:szCs w:val="24"/>
              </w:rPr>
              <w:t>合同签订后</w:t>
            </w:r>
            <w:r>
              <w:rPr>
                <w:rFonts w:hint="eastAsia" w:ascii="宋体" w:hAnsi="宋体" w:cs="宋体"/>
                <w:b w:val="0"/>
                <w:bCs w:val="0"/>
                <w:sz w:val="24"/>
                <w:szCs w:val="24"/>
                <w:u w:val="single"/>
              </w:rPr>
              <w:t xml:space="preserve"> </w:t>
            </w:r>
            <w:r>
              <w:rPr>
                <w:rFonts w:hint="eastAsia" w:ascii="宋体" w:hAnsi="宋体" w:cs="宋体"/>
                <w:b w:val="0"/>
                <w:bCs w:val="0"/>
                <w:sz w:val="24"/>
                <w:szCs w:val="24"/>
                <w:u w:val="single"/>
                <w:lang w:val="en-US" w:eastAsia="zh-CN"/>
              </w:rPr>
              <w:t xml:space="preserve"> 30</w:t>
            </w:r>
            <w:r>
              <w:rPr>
                <w:rFonts w:hint="eastAsia" w:ascii="宋体" w:hAnsi="宋体" w:cs="宋体"/>
                <w:b w:val="0"/>
                <w:bCs w:val="0"/>
                <w:sz w:val="24"/>
                <w:szCs w:val="24"/>
                <w:u w:val="single"/>
              </w:rPr>
              <w:t xml:space="preserve">  </w:t>
            </w:r>
            <w:r>
              <w:rPr>
                <w:rFonts w:hint="eastAsia" w:ascii="宋体" w:hAnsi="宋体" w:cs="宋体"/>
                <w:b w:val="0"/>
                <w:bCs w:val="0"/>
                <w:sz w:val="24"/>
                <w:szCs w:val="24"/>
              </w:rPr>
              <w:t>天</w:t>
            </w:r>
            <w:r>
              <w:rPr>
                <w:rFonts w:hint="eastAsia" w:ascii="宋体" w:hAnsi="宋体" w:cs="宋体"/>
                <w:b w:val="0"/>
                <w:bCs w:val="0"/>
                <w:sz w:val="24"/>
                <w:szCs w:val="24"/>
                <w:lang w:eastAsia="zh-CN"/>
              </w:rPr>
              <w:t>；</w:t>
            </w:r>
          </w:p>
          <w:p>
            <w:pPr>
              <w:numPr>
                <w:ilvl w:val="0"/>
                <w:numId w:val="0"/>
              </w:numPr>
              <w:spacing w:line="360" w:lineRule="auto"/>
              <w:ind w:firstLine="1200" w:firstLineChars="500"/>
              <w:rPr>
                <w:rFonts w:hint="eastAsia" w:ascii="宋体" w:hAnsi="宋体" w:eastAsia="宋体" w:cs="宋体"/>
                <w:b w:val="0"/>
                <w:bCs w:val="0"/>
                <w:sz w:val="24"/>
                <w:szCs w:val="24"/>
                <w:lang w:eastAsia="zh-CN"/>
              </w:rPr>
            </w:pPr>
            <w:r>
              <w:rPr>
                <w:rFonts w:hint="eastAsia" w:ascii="宋体" w:hAnsi="宋体" w:cs="宋体"/>
                <w:b w:val="0"/>
                <w:bCs w:val="0"/>
                <w:sz w:val="24"/>
                <w:szCs w:val="24"/>
                <w:lang w:eastAsia="zh-CN"/>
              </w:rPr>
              <w:t>合同包</w:t>
            </w:r>
            <w:r>
              <w:rPr>
                <w:rFonts w:hint="eastAsia" w:ascii="宋体" w:hAnsi="宋体" w:cs="宋体"/>
                <w:b w:val="0"/>
                <w:bCs w:val="0"/>
                <w:sz w:val="24"/>
                <w:szCs w:val="24"/>
                <w:lang w:val="en-US" w:eastAsia="zh-CN"/>
              </w:rPr>
              <w:t>2：</w:t>
            </w:r>
            <w:r>
              <w:rPr>
                <w:rFonts w:hint="eastAsia" w:ascii="宋体" w:hAnsi="宋体" w:cs="宋体"/>
                <w:b w:val="0"/>
                <w:bCs w:val="0"/>
                <w:sz w:val="24"/>
                <w:szCs w:val="24"/>
              </w:rPr>
              <w:t>合同签订后</w:t>
            </w:r>
            <w:r>
              <w:rPr>
                <w:rFonts w:hint="eastAsia" w:ascii="宋体" w:hAnsi="宋体" w:cs="宋体"/>
                <w:b w:val="0"/>
                <w:bCs w:val="0"/>
                <w:sz w:val="24"/>
                <w:szCs w:val="24"/>
                <w:u w:val="single"/>
              </w:rPr>
              <w:t xml:space="preserve"> </w:t>
            </w:r>
            <w:r>
              <w:rPr>
                <w:rFonts w:hint="eastAsia" w:ascii="宋体" w:hAnsi="宋体" w:cs="宋体"/>
                <w:b w:val="0"/>
                <w:bCs w:val="0"/>
                <w:sz w:val="24"/>
                <w:szCs w:val="24"/>
                <w:u w:val="single"/>
                <w:lang w:val="en-US" w:eastAsia="zh-CN"/>
              </w:rPr>
              <w:t xml:space="preserve"> 30 </w:t>
            </w:r>
            <w:r>
              <w:rPr>
                <w:rFonts w:hint="eastAsia" w:ascii="宋体" w:hAnsi="宋体" w:cs="宋体"/>
                <w:b w:val="0"/>
                <w:bCs w:val="0"/>
                <w:sz w:val="24"/>
                <w:szCs w:val="24"/>
                <w:u w:val="single"/>
              </w:rPr>
              <w:t xml:space="preserve"> </w:t>
            </w:r>
            <w:r>
              <w:rPr>
                <w:rFonts w:hint="eastAsia" w:ascii="宋体" w:hAnsi="宋体" w:cs="宋体"/>
                <w:b w:val="0"/>
                <w:bCs w:val="0"/>
                <w:sz w:val="24"/>
                <w:szCs w:val="24"/>
              </w:rPr>
              <w:t>天</w:t>
            </w:r>
            <w:r>
              <w:rPr>
                <w:rFonts w:hint="eastAsia" w:ascii="宋体" w:hAnsi="宋体" w:cs="宋体"/>
                <w:b w:val="0"/>
                <w:bCs w:val="0"/>
                <w:sz w:val="24"/>
                <w:szCs w:val="24"/>
                <w:lang w:eastAsia="zh-CN"/>
              </w:rPr>
              <w:t>；</w:t>
            </w:r>
          </w:p>
          <w:p>
            <w:pPr>
              <w:numPr>
                <w:ilvl w:val="0"/>
                <w:numId w:val="0"/>
              </w:numPr>
              <w:spacing w:line="360" w:lineRule="auto"/>
              <w:ind w:firstLine="1200" w:firstLineChars="500"/>
              <w:rPr>
                <w:rFonts w:hint="eastAsia" w:ascii="宋体" w:hAnsi="宋体" w:eastAsia="宋体" w:cs="宋体"/>
                <w:b w:val="0"/>
                <w:bCs w:val="0"/>
                <w:sz w:val="24"/>
                <w:szCs w:val="24"/>
                <w:lang w:eastAsia="zh-CN"/>
              </w:rPr>
            </w:pPr>
            <w:r>
              <w:rPr>
                <w:rFonts w:hint="eastAsia" w:ascii="宋体" w:hAnsi="宋体" w:cs="宋体"/>
                <w:b w:val="0"/>
                <w:bCs w:val="0"/>
                <w:sz w:val="24"/>
                <w:szCs w:val="24"/>
                <w:lang w:eastAsia="zh-CN"/>
              </w:rPr>
              <w:t>合同包</w:t>
            </w:r>
            <w:r>
              <w:rPr>
                <w:rFonts w:hint="eastAsia" w:ascii="宋体" w:hAnsi="宋体" w:cs="宋体"/>
                <w:b w:val="0"/>
                <w:bCs w:val="0"/>
                <w:sz w:val="24"/>
                <w:szCs w:val="24"/>
                <w:lang w:val="en-US" w:eastAsia="zh-CN"/>
              </w:rPr>
              <w:t>3：</w:t>
            </w:r>
            <w:r>
              <w:rPr>
                <w:rFonts w:hint="eastAsia" w:ascii="宋体" w:hAnsi="宋体" w:cs="宋体"/>
                <w:b w:val="0"/>
                <w:bCs w:val="0"/>
                <w:sz w:val="24"/>
                <w:szCs w:val="24"/>
              </w:rPr>
              <w:t>合同签订后</w:t>
            </w:r>
            <w:r>
              <w:rPr>
                <w:rFonts w:hint="eastAsia" w:ascii="宋体" w:hAnsi="宋体" w:cs="宋体"/>
                <w:b w:val="0"/>
                <w:bCs w:val="0"/>
                <w:sz w:val="24"/>
                <w:szCs w:val="24"/>
                <w:u w:val="single"/>
              </w:rPr>
              <w:t xml:space="preserve"> </w:t>
            </w:r>
            <w:r>
              <w:rPr>
                <w:rFonts w:hint="eastAsia" w:ascii="宋体" w:hAnsi="宋体" w:cs="宋体"/>
                <w:b w:val="0"/>
                <w:bCs w:val="0"/>
                <w:sz w:val="24"/>
                <w:szCs w:val="24"/>
                <w:u w:val="single"/>
                <w:lang w:val="en-US" w:eastAsia="zh-CN"/>
              </w:rPr>
              <w:t xml:space="preserve"> 30</w:t>
            </w:r>
            <w:r>
              <w:rPr>
                <w:rFonts w:hint="eastAsia" w:ascii="宋体" w:hAnsi="宋体" w:cs="宋体"/>
                <w:b w:val="0"/>
                <w:bCs w:val="0"/>
                <w:sz w:val="24"/>
                <w:szCs w:val="24"/>
                <w:u w:val="single"/>
              </w:rPr>
              <w:t xml:space="preserve">  </w:t>
            </w:r>
            <w:r>
              <w:rPr>
                <w:rFonts w:hint="eastAsia" w:ascii="宋体" w:hAnsi="宋体" w:cs="宋体"/>
                <w:b w:val="0"/>
                <w:bCs w:val="0"/>
                <w:sz w:val="24"/>
                <w:szCs w:val="24"/>
              </w:rPr>
              <w:t>天</w:t>
            </w:r>
            <w:r>
              <w:rPr>
                <w:rFonts w:hint="eastAsia" w:ascii="宋体" w:hAnsi="宋体" w:cs="宋体"/>
                <w:b w:val="0"/>
                <w:bCs w:val="0"/>
                <w:sz w:val="24"/>
                <w:szCs w:val="24"/>
                <w:lang w:eastAsia="zh-CN"/>
              </w:rPr>
              <w:t>；</w:t>
            </w:r>
          </w:p>
          <w:p>
            <w:pPr>
              <w:numPr>
                <w:ilvl w:val="0"/>
                <w:numId w:val="0"/>
              </w:numPr>
              <w:spacing w:line="360" w:lineRule="auto"/>
              <w:ind w:firstLine="1200" w:firstLineChars="500"/>
              <w:rPr>
                <w:rFonts w:hint="eastAsia" w:ascii="宋体" w:hAnsi="宋体" w:eastAsia="宋体" w:cs="宋体"/>
                <w:b w:val="0"/>
                <w:bCs w:val="0"/>
                <w:sz w:val="24"/>
                <w:szCs w:val="24"/>
                <w:lang w:eastAsia="zh-CN"/>
              </w:rPr>
            </w:pPr>
            <w:r>
              <w:rPr>
                <w:rFonts w:hint="eastAsia" w:ascii="宋体" w:hAnsi="宋体" w:cs="宋体"/>
                <w:b w:val="0"/>
                <w:bCs w:val="0"/>
                <w:sz w:val="24"/>
                <w:szCs w:val="24"/>
                <w:lang w:eastAsia="zh-CN"/>
              </w:rPr>
              <w:t>合同包</w:t>
            </w:r>
            <w:r>
              <w:rPr>
                <w:rFonts w:hint="eastAsia" w:ascii="宋体" w:hAnsi="宋体" w:cs="宋体"/>
                <w:b w:val="0"/>
                <w:bCs w:val="0"/>
                <w:sz w:val="24"/>
                <w:szCs w:val="24"/>
                <w:lang w:val="en-US" w:eastAsia="zh-CN"/>
              </w:rPr>
              <w:t>4：</w:t>
            </w:r>
            <w:r>
              <w:rPr>
                <w:rFonts w:hint="eastAsia" w:ascii="宋体" w:hAnsi="宋体" w:cs="宋体"/>
                <w:b w:val="0"/>
                <w:bCs w:val="0"/>
                <w:sz w:val="24"/>
                <w:szCs w:val="24"/>
              </w:rPr>
              <w:t>合同签订后</w:t>
            </w:r>
            <w:r>
              <w:rPr>
                <w:rFonts w:hint="eastAsia" w:ascii="宋体" w:hAnsi="宋体" w:cs="宋体"/>
                <w:b w:val="0"/>
                <w:bCs w:val="0"/>
                <w:sz w:val="24"/>
                <w:szCs w:val="24"/>
                <w:u w:val="single"/>
              </w:rPr>
              <w:t xml:space="preserve"> </w:t>
            </w:r>
            <w:r>
              <w:rPr>
                <w:rFonts w:hint="eastAsia" w:ascii="宋体" w:hAnsi="宋体" w:cs="宋体"/>
                <w:b w:val="0"/>
                <w:bCs w:val="0"/>
                <w:sz w:val="24"/>
                <w:szCs w:val="24"/>
                <w:u w:val="single"/>
                <w:lang w:val="en-US" w:eastAsia="zh-CN"/>
              </w:rPr>
              <w:t xml:space="preserve"> 30</w:t>
            </w:r>
            <w:r>
              <w:rPr>
                <w:rFonts w:hint="eastAsia" w:ascii="宋体" w:hAnsi="宋体" w:cs="宋体"/>
                <w:b w:val="0"/>
                <w:bCs w:val="0"/>
                <w:sz w:val="24"/>
                <w:szCs w:val="24"/>
                <w:u w:val="single"/>
              </w:rPr>
              <w:t xml:space="preserve">  </w:t>
            </w:r>
            <w:r>
              <w:rPr>
                <w:rFonts w:hint="eastAsia" w:ascii="宋体" w:hAnsi="宋体" w:cs="宋体"/>
                <w:b w:val="0"/>
                <w:bCs w:val="0"/>
                <w:sz w:val="24"/>
                <w:szCs w:val="24"/>
              </w:rPr>
              <w:t>天</w:t>
            </w:r>
            <w:r>
              <w:rPr>
                <w:rFonts w:hint="eastAsia" w:ascii="宋体" w:hAnsi="宋体" w:cs="宋体"/>
                <w:b w:val="0"/>
                <w:bCs w:val="0"/>
                <w:sz w:val="24"/>
                <w:szCs w:val="24"/>
                <w:lang w:eastAsia="zh-CN"/>
              </w:rPr>
              <w:t>；</w:t>
            </w:r>
          </w:p>
          <w:p>
            <w:pPr>
              <w:numPr>
                <w:ilvl w:val="0"/>
                <w:numId w:val="0"/>
              </w:numPr>
              <w:spacing w:line="360" w:lineRule="auto"/>
              <w:ind w:firstLine="1200" w:firstLineChars="500"/>
              <w:rPr>
                <w:rFonts w:hint="eastAsia" w:ascii="宋体" w:hAnsi="宋体" w:eastAsia="宋体" w:cs="宋体"/>
                <w:b w:val="0"/>
                <w:bCs w:val="0"/>
                <w:sz w:val="24"/>
                <w:szCs w:val="24"/>
                <w:lang w:eastAsia="zh-CN"/>
              </w:rPr>
            </w:pPr>
            <w:r>
              <w:rPr>
                <w:rFonts w:hint="eastAsia" w:ascii="宋体" w:hAnsi="宋体" w:cs="宋体"/>
                <w:b w:val="0"/>
                <w:bCs w:val="0"/>
                <w:sz w:val="24"/>
                <w:szCs w:val="24"/>
                <w:lang w:eastAsia="zh-CN"/>
              </w:rPr>
              <w:t>合同包</w:t>
            </w:r>
            <w:r>
              <w:rPr>
                <w:rFonts w:hint="eastAsia" w:ascii="宋体" w:hAnsi="宋体" w:cs="宋体"/>
                <w:b w:val="0"/>
                <w:bCs w:val="0"/>
                <w:sz w:val="24"/>
                <w:szCs w:val="24"/>
                <w:lang w:val="en-US" w:eastAsia="zh-CN"/>
              </w:rPr>
              <w:t>5：</w:t>
            </w:r>
            <w:r>
              <w:rPr>
                <w:rFonts w:hint="eastAsia" w:ascii="宋体" w:hAnsi="宋体" w:cs="宋体"/>
                <w:b w:val="0"/>
                <w:bCs w:val="0"/>
                <w:sz w:val="24"/>
                <w:szCs w:val="24"/>
              </w:rPr>
              <w:t>合同签订后</w:t>
            </w:r>
            <w:r>
              <w:rPr>
                <w:rFonts w:hint="eastAsia" w:ascii="宋体" w:hAnsi="宋体" w:cs="宋体"/>
                <w:b w:val="0"/>
                <w:bCs w:val="0"/>
                <w:sz w:val="24"/>
                <w:szCs w:val="24"/>
                <w:u w:val="single"/>
              </w:rPr>
              <w:t xml:space="preserve"> </w:t>
            </w:r>
            <w:r>
              <w:rPr>
                <w:rFonts w:hint="eastAsia" w:ascii="宋体" w:hAnsi="宋体" w:cs="宋体"/>
                <w:b w:val="0"/>
                <w:bCs w:val="0"/>
                <w:sz w:val="24"/>
                <w:szCs w:val="24"/>
                <w:u w:val="single"/>
                <w:lang w:val="en-US" w:eastAsia="zh-CN"/>
              </w:rPr>
              <w:t xml:space="preserve"> 30</w:t>
            </w:r>
            <w:r>
              <w:rPr>
                <w:rFonts w:hint="eastAsia" w:ascii="宋体" w:hAnsi="宋体" w:cs="宋体"/>
                <w:b w:val="0"/>
                <w:bCs w:val="0"/>
                <w:sz w:val="24"/>
                <w:szCs w:val="24"/>
                <w:u w:val="single"/>
              </w:rPr>
              <w:t xml:space="preserve">  </w:t>
            </w:r>
            <w:r>
              <w:rPr>
                <w:rFonts w:hint="eastAsia" w:ascii="宋体" w:hAnsi="宋体" w:cs="宋体"/>
                <w:b w:val="0"/>
                <w:bCs w:val="0"/>
                <w:sz w:val="24"/>
                <w:szCs w:val="24"/>
              </w:rPr>
              <w:t>天</w:t>
            </w:r>
            <w:r>
              <w:rPr>
                <w:rFonts w:hint="eastAsia" w:ascii="宋体" w:hAnsi="宋体" w:cs="宋体"/>
                <w:b w:val="0"/>
                <w:bCs w:val="0"/>
                <w:sz w:val="24"/>
                <w:szCs w:val="24"/>
                <w:lang w:eastAsia="zh-CN"/>
              </w:rPr>
              <w:t>；</w:t>
            </w:r>
          </w:p>
          <w:p>
            <w:pPr>
              <w:numPr>
                <w:ilvl w:val="0"/>
                <w:numId w:val="0"/>
              </w:numPr>
              <w:spacing w:line="360" w:lineRule="auto"/>
              <w:ind w:firstLine="1200" w:firstLineChars="500"/>
              <w:rPr>
                <w:rFonts w:hint="eastAsia" w:ascii="宋体" w:hAnsi="宋体" w:eastAsia="宋体" w:cs="宋体"/>
                <w:b w:val="0"/>
                <w:bCs w:val="0"/>
                <w:sz w:val="24"/>
                <w:szCs w:val="24"/>
                <w:lang w:eastAsia="zh-CN"/>
              </w:rPr>
            </w:pPr>
            <w:r>
              <w:rPr>
                <w:rFonts w:hint="eastAsia" w:ascii="宋体" w:hAnsi="宋体" w:cs="宋体"/>
                <w:b w:val="0"/>
                <w:bCs w:val="0"/>
                <w:sz w:val="24"/>
                <w:szCs w:val="24"/>
                <w:lang w:eastAsia="zh-CN"/>
              </w:rPr>
              <w:t>合同包</w:t>
            </w:r>
            <w:r>
              <w:rPr>
                <w:rFonts w:hint="eastAsia" w:ascii="宋体" w:hAnsi="宋体" w:cs="宋体"/>
                <w:b w:val="0"/>
                <w:bCs w:val="0"/>
                <w:sz w:val="24"/>
                <w:szCs w:val="24"/>
                <w:lang w:val="en-US" w:eastAsia="zh-CN"/>
              </w:rPr>
              <w:t>6：</w:t>
            </w:r>
            <w:r>
              <w:rPr>
                <w:rFonts w:hint="eastAsia" w:ascii="宋体" w:hAnsi="宋体" w:cs="宋体"/>
                <w:b w:val="0"/>
                <w:bCs w:val="0"/>
                <w:sz w:val="24"/>
                <w:szCs w:val="24"/>
              </w:rPr>
              <w:t>合同签订后</w:t>
            </w:r>
            <w:r>
              <w:rPr>
                <w:rFonts w:hint="eastAsia" w:ascii="宋体" w:hAnsi="宋体" w:cs="宋体"/>
                <w:b w:val="0"/>
                <w:bCs w:val="0"/>
                <w:sz w:val="24"/>
                <w:szCs w:val="24"/>
                <w:u w:val="single"/>
              </w:rPr>
              <w:t xml:space="preserve"> </w:t>
            </w:r>
            <w:r>
              <w:rPr>
                <w:rFonts w:hint="eastAsia" w:ascii="宋体" w:hAnsi="宋体" w:cs="宋体"/>
                <w:b w:val="0"/>
                <w:bCs w:val="0"/>
                <w:sz w:val="24"/>
                <w:szCs w:val="24"/>
                <w:u w:val="single"/>
                <w:lang w:val="en-US" w:eastAsia="zh-CN"/>
              </w:rPr>
              <w:t xml:space="preserve"> 30</w:t>
            </w:r>
            <w:r>
              <w:rPr>
                <w:rFonts w:hint="eastAsia" w:ascii="宋体" w:hAnsi="宋体" w:cs="宋体"/>
                <w:b w:val="0"/>
                <w:bCs w:val="0"/>
                <w:sz w:val="24"/>
                <w:szCs w:val="24"/>
                <w:u w:val="single"/>
              </w:rPr>
              <w:t xml:space="preserve">  </w:t>
            </w:r>
            <w:r>
              <w:rPr>
                <w:rFonts w:hint="eastAsia" w:ascii="宋体" w:hAnsi="宋体" w:cs="宋体"/>
                <w:b w:val="0"/>
                <w:bCs w:val="0"/>
                <w:sz w:val="24"/>
                <w:szCs w:val="24"/>
              </w:rPr>
              <w:t>天</w:t>
            </w:r>
            <w:r>
              <w:rPr>
                <w:rFonts w:hint="eastAsia" w:ascii="宋体" w:hAnsi="宋体" w:cs="宋体"/>
                <w:b w:val="0"/>
                <w:bCs w:val="0"/>
                <w:sz w:val="24"/>
                <w:szCs w:val="24"/>
                <w:lang w:eastAsia="zh-CN"/>
              </w:rPr>
              <w:t>。</w:t>
            </w:r>
          </w:p>
          <w:p>
            <w:pPr>
              <w:numPr>
                <w:ilvl w:val="0"/>
                <w:numId w:val="0"/>
              </w:numPr>
              <w:spacing w:line="360" w:lineRule="auto"/>
              <w:ind w:leftChars="0" w:firstLine="0" w:firstLineChars="0"/>
              <w:rPr>
                <w:rFonts w:hint="default"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2、</w:t>
            </w:r>
            <w:r>
              <w:rPr>
                <w:rFonts w:hint="eastAsia" w:ascii="宋体" w:hAnsi="宋体" w:cs="宋体"/>
                <w:b w:val="0"/>
                <w:bCs w:val="0"/>
                <w:sz w:val="24"/>
                <w:szCs w:val="24"/>
              </w:rPr>
              <w:t>质保期：</w:t>
            </w:r>
            <w:r>
              <w:rPr>
                <w:rFonts w:hint="eastAsia" w:ascii="宋体" w:hAnsi="宋体" w:cs="宋体"/>
                <w:b w:val="0"/>
                <w:bCs w:val="0"/>
                <w:sz w:val="24"/>
                <w:szCs w:val="24"/>
                <w:lang w:eastAsia="zh-CN"/>
              </w:rPr>
              <w:t>合同包</w:t>
            </w:r>
            <w:r>
              <w:rPr>
                <w:rFonts w:hint="eastAsia" w:ascii="宋体" w:hAnsi="宋体" w:cs="宋体"/>
                <w:b w:val="0"/>
                <w:bCs w:val="0"/>
                <w:sz w:val="24"/>
                <w:szCs w:val="24"/>
                <w:lang w:val="en-US" w:eastAsia="zh-CN"/>
              </w:rPr>
              <w:t>1：</w:t>
            </w:r>
            <w:r>
              <w:rPr>
                <w:rFonts w:hint="eastAsia" w:ascii="宋体" w:hAnsi="宋体" w:cs="宋体"/>
                <w:b w:val="0"/>
                <w:bCs w:val="0"/>
                <w:sz w:val="24"/>
                <w:szCs w:val="24"/>
              </w:rPr>
              <w:t>终验合格之日起</w:t>
            </w:r>
            <w:r>
              <w:rPr>
                <w:rFonts w:hint="eastAsia" w:ascii="宋体" w:hAnsi="宋体" w:cs="宋体"/>
                <w:b w:val="0"/>
                <w:bCs w:val="0"/>
                <w:sz w:val="24"/>
                <w:szCs w:val="24"/>
                <w:u w:val="single"/>
              </w:rPr>
              <w:t xml:space="preserve">  </w:t>
            </w:r>
            <w:r>
              <w:rPr>
                <w:rFonts w:hint="eastAsia" w:ascii="宋体" w:hAnsi="宋体" w:cs="宋体"/>
                <w:b w:val="0"/>
                <w:bCs w:val="0"/>
                <w:sz w:val="24"/>
                <w:szCs w:val="24"/>
                <w:u w:val="single"/>
                <w:lang w:val="en-US" w:eastAsia="zh-CN"/>
              </w:rPr>
              <w:t xml:space="preserve">36 </w:t>
            </w:r>
            <w:r>
              <w:rPr>
                <w:rFonts w:hint="eastAsia" w:ascii="宋体" w:hAnsi="宋体" w:cs="宋体"/>
                <w:b w:val="0"/>
                <w:bCs w:val="0"/>
                <w:sz w:val="24"/>
                <w:szCs w:val="24"/>
                <w:u w:val="single"/>
              </w:rPr>
              <w:t xml:space="preserve">  </w:t>
            </w:r>
            <w:r>
              <w:rPr>
                <w:rFonts w:hint="eastAsia" w:ascii="宋体" w:hAnsi="宋体" w:cs="宋体"/>
                <w:b w:val="0"/>
                <w:bCs w:val="0"/>
                <w:sz w:val="24"/>
                <w:szCs w:val="24"/>
              </w:rPr>
              <w:t>个月</w:t>
            </w: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软件五年内免费升级维护；</w:t>
            </w:r>
          </w:p>
          <w:p>
            <w:pPr>
              <w:numPr>
                <w:ilvl w:val="0"/>
                <w:numId w:val="0"/>
              </w:numPr>
              <w:spacing w:line="360" w:lineRule="auto"/>
              <w:ind w:leftChars="0" w:firstLine="1200" w:firstLineChars="500"/>
              <w:rPr>
                <w:rFonts w:hint="eastAsia" w:ascii="宋体" w:hAnsi="宋体" w:cs="宋体"/>
                <w:b w:val="0"/>
                <w:bCs w:val="0"/>
                <w:sz w:val="24"/>
                <w:szCs w:val="24"/>
                <w:lang w:eastAsia="zh-CN"/>
              </w:rPr>
            </w:pPr>
            <w:r>
              <w:rPr>
                <w:rFonts w:hint="eastAsia" w:ascii="宋体" w:hAnsi="宋体" w:cs="宋体"/>
                <w:b w:val="0"/>
                <w:bCs w:val="0"/>
                <w:sz w:val="24"/>
                <w:szCs w:val="24"/>
                <w:lang w:eastAsia="zh-CN"/>
              </w:rPr>
              <w:t>合同包</w:t>
            </w:r>
            <w:r>
              <w:rPr>
                <w:rFonts w:hint="eastAsia" w:ascii="宋体" w:hAnsi="宋体" w:cs="宋体"/>
                <w:b w:val="0"/>
                <w:bCs w:val="0"/>
                <w:sz w:val="24"/>
                <w:szCs w:val="24"/>
                <w:lang w:val="en-US" w:eastAsia="zh-CN"/>
              </w:rPr>
              <w:t>2：</w:t>
            </w:r>
            <w:r>
              <w:rPr>
                <w:rFonts w:hint="eastAsia" w:ascii="宋体" w:hAnsi="宋体" w:cs="宋体"/>
                <w:b w:val="0"/>
                <w:bCs w:val="0"/>
                <w:sz w:val="24"/>
                <w:szCs w:val="24"/>
              </w:rPr>
              <w:t>终验合格之日起</w:t>
            </w:r>
            <w:r>
              <w:rPr>
                <w:rFonts w:hint="eastAsia" w:ascii="宋体" w:hAnsi="宋体" w:cs="宋体"/>
                <w:b w:val="0"/>
                <w:bCs w:val="0"/>
                <w:sz w:val="24"/>
                <w:szCs w:val="24"/>
                <w:u w:val="single"/>
              </w:rPr>
              <w:t xml:space="preserve">  </w:t>
            </w:r>
            <w:r>
              <w:rPr>
                <w:rFonts w:hint="eastAsia" w:ascii="宋体" w:hAnsi="宋体" w:cs="宋体"/>
                <w:b w:val="0"/>
                <w:bCs w:val="0"/>
                <w:sz w:val="24"/>
                <w:szCs w:val="24"/>
                <w:u w:val="single"/>
                <w:lang w:val="en-US" w:eastAsia="zh-CN"/>
              </w:rPr>
              <w:t xml:space="preserve"> 36</w:t>
            </w:r>
            <w:r>
              <w:rPr>
                <w:rFonts w:hint="eastAsia" w:ascii="宋体" w:hAnsi="宋体" w:cs="宋体"/>
                <w:b w:val="0"/>
                <w:bCs w:val="0"/>
                <w:sz w:val="24"/>
                <w:szCs w:val="24"/>
                <w:u w:val="single"/>
              </w:rPr>
              <w:t xml:space="preserve">  </w:t>
            </w:r>
            <w:r>
              <w:rPr>
                <w:rFonts w:hint="eastAsia" w:ascii="宋体" w:hAnsi="宋体" w:cs="宋体"/>
                <w:b w:val="0"/>
                <w:bCs w:val="0"/>
                <w:sz w:val="24"/>
                <w:szCs w:val="24"/>
              </w:rPr>
              <w:t>个月</w:t>
            </w:r>
            <w:r>
              <w:rPr>
                <w:rFonts w:hint="eastAsia" w:ascii="宋体" w:hAnsi="宋体" w:cs="宋体"/>
                <w:b w:val="0"/>
                <w:bCs w:val="0"/>
                <w:sz w:val="24"/>
                <w:szCs w:val="24"/>
                <w:lang w:eastAsia="zh-CN"/>
              </w:rPr>
              <w:t>；</w:t>
            </w:r>
          </w:p>
          <w:p>
            <w:pPr>
              <w:numPr>
                <w:ilvl w:val="0"/>
                <w:numId w:val="0"/>
              </w:numPr>
              <w:spacing w:line="360" w:lineRule="auto"/>
              <w:ind w:leftChars="0" w:firstLine="1200" w:firstLineChars="500"/>
              <w:rPr>
                <w:rFonts w:hint="default" w:ascii="宋体" w:hAnsi="宋体" w:eastAsia="宋体" w:cs="宋体"/>
                <w:b w:val="0"/>
                <w:bCs w:val="0"/>
                <w:sz w:val="24"/>
                <w:szCs w:val="24"/>
                <w:lang w:val="en-US" w:eastAsia="zh-CN"/>
              </w:rPr>
            </w:pPr>
            <w:r>
              <w:rPr>
                <w:rFonts w:hint="eastAsia" w:ascii="宋体" w:hAnsi="宋体" w:cs="宋体"/>
                <w:b w:val="0"/>
                <w:bCs w:val="0"/>
                <w:sz w:val="24"/>
                <w:szCs w:val="24"/>
                <w:lang w:eastAsia="zh-CN"/>
              </w:rPr>
              <w:t>合同包</w:t>
            </w:r>
            <w:r>
              <w:rPr>
                <w:rFonts w:hint="eastAsia" w:ascii="宋体" w:hAnsi="宋体" w:cs="宋体"/>
                <w:b w:val="0"/>
                <w:bCs w:val="0"/>
                <w:sz w:val="24"/>
                <w:szCs w:val="24"/>
                <w:lang w:val="en-US" w:eastAsia="zh-CN"/>
              </w:rPr>
              <w:t>3：</w:t>
            </w:r>
            <w:r>
              <w:rPr>
                <w:rFonts w:hint="eastAsia" w:ascii="宋体" w:hAnsi="宋体" w:cs="宋体"/>
                <w:b w:val="0"/>
                <w:bCs w:val="0"/>
                <w:sz w:val="24"/>
                <w:szCs w:val="24"/>
              </w:rPr>
              <w:t>终验合格之日起</w:t>
            </w:r>
            <w:r>
              <w:rPr>
                <w:rFonts w:hint="eastAsia" w:ascii="宋体" w:hAnsi="宋体" w:cs="宋体"/>
                <w:b w:val="0"/>
                <w:bCs w:val="0"/>
                <w:sz w:val="24"/>
                <w:szCs w:val="24"/>
                <w:u w:val="single"/>
              </w:rPr>
              <w:t xml:space="preserve">  </w:t>
            </w:r>
            <w:r>
              <w:rPr>
                <w:rFonts w:hint="eastAsia" w:ascii="宋体" w:hAnsi="宋体" w:cs="宋体"/>
                <w:b w:val="0"/>
                <w:bCs w:val="0"/>
                <w:sz w:val="24"/>
                <w:szCs w:val="24"/>
                <w:u w:val="single"/>
                <w:lang w:val="en-US" w:eastAsia="zh-CN"/>
              </w:rPr>
              <w:t xml:space="preserve">36 </w:t>
            </w:r>
            <w:r>
              <w:rPr>
                <w:rFonts w:hint="eastAsia" w:ascii="宋体" w:hAnsi="宋体" w:cs="宋体"/>
                <w:b w:val="0"/>
                <w:bCs w:val="0"/>
                <w:sz w:val="24"/>
                <w:szCs w:val="24"/>
                <w:u w:val="single"/>
              </w:rPr>
              <w:t xml:space="preserve">  </w:t>
            </w:r>
            <w:r>
              <w:rPr>
                <w:rFonts w:hint="eastAsia" w:ascii="宋体" w:hAnsi="宋体" w:cs="宋体"/>
                <w:b w:val="0"/>
                <w:bCs w:val="0"/>
                <w:sz w:val="24"/>
                <w:szCs w:val="24"/>
              </w:rPr>
              <w:t>个月</w:t>
            </w: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软件五年内免费升级维护；</w:t>
            </w:r>
          </w:p>
          <w:p>
            <w:pPr>
              <w:numPr>
                <w:ilvl w:val="0"/>
                <w:numId w:val="0"/>
              </w:numPr>
              <w:spacing w:line="360" w:lineRule="auto"/>
              <w:ind w:leftChars="0" w:firstLine="1200" w:firstLineChars="500"/>
              <w:rPr>
                <w:rFonts w:hint="default"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cs="宋体"/>
                <w:b w:val="0"/>
                <w:bCs w:val="0"/>
                <w:sz w:val="24"/>
                <w:szCs w:val="24"/>
                <w:lang w:eastAsia="zh-CN"/>
              </w:rPr>
              <w:t>合同包</w:t>
            </w:r>
            <w:r>
              <w:rPr>
                <w:rFonts w:hint="eastAsia" w:ascii="宋体" w:hAnsi="宋体" w:cs="宋体"/>
                <w:b w:val="0"/>
                <w:bCs w:val="0"/>
                <w:sz w:val="24"/>
                <w:szCs w:val="24"/>
                <w:lang w:val="en-US" w:eastAsia="zh-CN"/>
              </w:rPr>
              <w:t>4：</w:t>
            </w:r>
            <w:r>
              <w:rPr>
                <w:rFonts w:hint="eastAsia" w:ascii="宋体" w:hAnsi="宋体" w:cs="宋体"/>
                <w:b w:val="0"/>
                <w:bCs w:val="0"/>
                <w:sz w:val="24"/>
                <w:szCs w:val="24"/>
              </w:rPr>
              <w:t>终验合格之日起</w:t>
            </w:r>
            <w:r>
              <w:rPr>
                <w:rFonts w:hint="eastAsia" w:ascii="宋体" w:hAnsi="宋体" w:cs="宋体"/>
                <w:b w:val="0"/>
                <w:bCs w:val="0"/>
                <w:sz w:val="24"/>
                <w:szCs w:val="24"/>
                <w:u w:val="single"/>
              </w:rPr>
              <w:t xml:space="preserve">  </w:t>
            </w:r>
            <w:r>
              <w:rPr>
                <w:rFonts w:hint="eastAsia" w:ascii="宋体" w:hAnsi="宋体" w:cs="宋体"/>
                <w:b w:val="0"/>
                <w:bCs w:val="0"/>
                <w:sz w:val="24"/>
                <w:szCs w:val="24"/>
                <w:u w:val="single"/>
                <w:lang w:val="en-US" w:eastAsia="zh-CN"/>
              </w:rPr>
              <w:t xml:space="preserve">36 </w:t>
            </w:r>
            <w:r>
              <w:rPr>
                <w:rFonts w:hint="eastAsia" w:ascii="宋体" w:hAnsi="宋体" w:cs="宋体"/>
                <w:b w:val="0"/>
                <w:bCs w:val="0"/>
                <w:sz w:val="24"/>
                <w:szCs w:val="24"/>
                <w:u w:val="single"/>
              </w:rPr>
              <w:t xml:space="preserve">  </w:t>
            </w:r>
            <w:r>
              <w:rPr>
                <w:rFonts w:hint="eastAsia" w:ascii="宋体" w:hAnsi="宋体" w:cs="宋体"/>
                <w:b w:val="0"/>
                <w:bCs w:val="0"/>
                <w:sz w:val="24"/>
                <w:szCs w:val="24"/>
              </w:rPr>
              <w:t>个</w:t>
            </w:r>
            <w:r>
              <w:rPr>
                <w:rFonts w:hint="eastAsia" w:ascii="宋体" w:hAnsi="宋体" w:cs="宋体"/>
                <w:b w:val="0"/>
                <w:bCs w:val="0"/>
                <w:color w:val="000000" w:themeColor="text1"/>
                <w:sz w:val="24"/>
                <w:szCs w:val="24"/>
                <w14:textFill>
                  <w14:solidFill>
                    <w14:schemeClr w14:val="tx1"/>
                  </w14:solidFill>
                </w14:textFill>
              </w:rPr>
              <w:t>月</w:t>
            </w:r>
            <w:r>
              <w:rPr>
                <w:rFonts w:hint="eastAsia" w:ascii="宋体" w:hAnsi="宋体" w:cs="宋体"/>
                <w:b w:val="0"/>
                <w:bCs w:val="0"/>
                <w:color w:val="000000" w:themeColor="text1"/>
                <w:sz w:val="24"/>
                <w:szCs w:val="24"/>
                <w:lang w:eastAsia="zh-CN"/>
                <w14:textFill>
                  <w14:solidFill>
                    <w14:schemeClr w14:val="tx1"/>
                  </w14:solidFill>
                </w14:textFill>
              </w:rPr>
              <w:t>，</w:t>
            </w:r>
            <w:r>
              <w:rPr>
                <w:rFonts w:hint="eastAsia" w:ascii="宋体" w:hAnsi="宋体" w:cs="宋体"/>
                <w:b w:val="0"/>
                <w:bCs w:val="0"/>
                <w:color w:val="000000" w:themeColor="text1"/>
                <w:sz w:val="24"/>
                <w:szCs w:val="24"/>
                <w:lang w:val="en-US" w:eastAsia="zh-CN"/>
                <w14:textFill>
                  <w14:solidFill>
                    <w14:schemeClr w14:val="tx1"/>
                  </w14:solidFill>
                </w14:textFill>
              </w:rPr>
              <w:t>软件五年内免费升级维护；</w:t>
            </w:r>
          </w:p>
          <w:p>
            <w:pPr>
              <w:numPr>
                <w:ilvl w:val="0"/>
                <w:numId w:val="0"/>
              </w:numPr>
              <w:spacing w:line="360" w:lineRule="auto"/>
              <w:ind w:leftChars="0" w:firstLine="1200" w:firstLineChars="500"/>
              <w:rPr>
                <w:rFonts w:hint="eastAsia" w:ascii="宋体" w:hAnsi="宋体" w:eastAsia="宋体" w:cs="宋体"/>
                <w:b w:val="0"/>
                <w:bCs w:val="0"/>
                <w:color w:val="000000" w:themeColor="text1"/>
                <w:sz w:val="24"/>
                <w:szCs w:val="24"/>
                <w:lang w:eastAsia="zh-CN"/>
                <w14:textFill>
                  <w14:solidFill>
                    <w14:schemeClr w14:val="tx1"/>
                  </w14:solidFill>
                </w14:textFill>
              </w:rPr>
            </w:pPr>
            <w:r>
              <w:rPr>
                <w:rFonts w:hint="eastAsia" w:ascii="宋体" w:hAnsi="宋体" w:cs="宋体"/>
                <w:b w:val="0"/>
                <w:bCs w:val="0"/>
                <w:color w:val="000000" w:themeColor="text1"/>
                <w:sz w:val="24"/>
                <w:szCs w:val="24"/>
                <w:lang w:eastAsia="zh-CN"/>
                <w14:textFill>
                  <w14:solidFill>
                    <w14:schemeClr w14:val="tx1"/>
                  </w14:solidFill>
                </w14:textFill>
              </w:rPr>
              <w:t>合同包</w:t>
            </w:r>
            <w:r>
              <w:rPr>
                <w:rFonts w:hint="eastAsia" w:ascii="宋体" w:hAnsi="宋体" w:cs="宋体"/>
                <w:b w:val="0"/>
                <w:bCs w:val="0"/>
                <w:color w:val="000000" w:themeColor="text1"/>
                <w:sz w:val="24"/>
                <w:szCs w:val="24"/>
                <w:lang w:val="en-US" w:eastAsia="zh-CN"/>
                <w14:textFill>
                  <w14:solidFill>
                    <w14:schemeClr w14:val="tx1"/>
                  </w14:solidFill>
                </w14:textFill>
              </w:rPr>
              <w:t>5：</w:t>
            </w:r>
            <w:r>
              <w:rPr>
                <w:rFonts w:hint="eastAsia" w:ascii="宋体" w:hAnsi="宋体" w:cs="宋体"/>
                <w:b w:val="0"/>
                <w:bCs w:val="0"/>
                <w:color w:val="000000" w:themeColor="text1"/>
                <w:sz w:val="24"/>
                <w:szCs w:val="24"/>
                <w14:textFill>
                  <w14:solidFill>
                    <w14:schemeClr w14:val="tx1"/>
                  </w14:solidFill>
                </w14:textFill>
              </w:rPr>
              <w:t>终验合格之日起</w:t>
            </w:r>
            <w:r>
              <w:rPr>
                <w:rFonts w:hint="eastAsia" w:ascii="宋体" w:hAnsi="宋体" w:cs="宋体"/>
                <w:b w:val="0"/>
                <w:bCs w:val="0"/>
                <w:color w:val="000000" w:themeColor="text1"/>
                <w:sz w:val="24"/>
                <w:szCs w:val="24"/>
                <w:u w:val="single"/>
                <w14:textFill>
                  <w14:solidFill>
                    <w14:schemeClr w14:val="tx1"/>
                  </w14:solidFill>
                </w14:textFill>
              </w:rPr>
              <w:t xml:space="preserve">  </w:t>
            </w:r>
            <w:r>
              <w:rPr>
                <w:rFonts w:hint="eastAsia" w:ascii="宋体" w:hAnsi="宋体" w:cs="宋体"/>
                <w:b w:val="0"/>
                <w:bCs w:val="0"/>
                <w:color w:val="000000" w:themeColor="text1"/>
                <w:sz w:val="24"/>
                <w:szCs w:val="24"/>
                <w:u w:val="single"/>
                <w:lang w:val="en-US" w:eastAsia="zh-CN"/>
                <w14:textFill>
                  <w14:solidFill>
                    <w14:schemeClr w14:val="tx1"/>
                  </w14:solidFill>
                </w14:textFill>
              </w:rPr>
              <w:t xml:space="preserve"> 36</w:t>
            </w:r>
            <w:r>
              <w:rPr>
                <w:rFonts w:hint="eastAsia" w:ascii="宋体" w:hAnsi="宋体" w:cs="宋体"/>
                <w:b w:val="0"/>
                <w:bCs w:val="0"/>
                <w:color w:val="000000" w:themeColor="text1"/>
                <w:sz w:val="24"/>
                <w:szCs w:val="24"/>
                <w:u w:val="single"/>
                <w14:textFill>
                  <w14:solidFill>
                    <w14:schemeClr w14:val="tx1"/>
                  </w14:solidFill>
                </w14:textFill>
              </w:rPr>
              <w:t xml:space="preserve">  </w:t>
            </w:r>
            <w:r>
              <w:rPr>
                <w:rFonts w:hint="eastAsia" w:ascii="宋体" w:hAnsi="宋体" w:cs="宋体"/>
                <w:b w:val="0"/>
                <w:bCs w:val="0"/>
                <w:color w:val="000000" w:themeColor="text1"/>
                <w:sz w:val="24"/>
                <w:szCs w:val="24"/>
                <w14:textFill>
                  <w14:solidFill>
                    <w14:schemeClr w14:val="tx1"/>
                  </w14:solidFill>
                </w14:textFill>
              </w:rPr>
              <w:t>个月</w:t>
            </w:r>
            <w:r>
              <w:rPr>
                <w:rFonts w:hint="eastAsia" w:ascii="宋体" w:hAnsi="宋体" w:cs="宋体"/>
                <w:b w:val="0"/>
                <w:bCs w:val="0"/>
                <w:color w:val="000000" w:themeColor="text1"/>
                <w:sz w:val="24"/>
                <w:szCs w:val="24"/>
                <w:lang w:eastAsia="zh-CN"/>
                <w14:textFill>
                  <w14:solidFill>
                    <w14:schemeClr w14:val="tx1"/>
                  </w14:solidFill>
                </w14:textFill>
              </w:rPr>
              <w:t>；</w:t>
            </w:r>
          </w:p>
          <w:p>
            <w:pPr>
              <w:numPr>
                <w:ilvl w:val="0"/>
                <w:numId w:val="0"/>
              </w:numPr>
              <w:spacing w:line="360" w:lineRule="auto"/>
              <w:ind w:leftChars="0" w:firstLine="1200" w:firstLineChars="500"/>
              <w:rPr>
                <w:rFonts w:hint="default" w:ascii="宋体" w:hAnsi="宋体" w:eastAsia="宋体" w:cs="宋体"/>
                <w:b w:val="0"/>
                <w:bCs w:val="0"/>
                <w:sz w:val="24"/>
                <w:szCs w:val="24"/>
                <w:lang w:val="en-US" w:eastAsia="zh-CN"/>
              </w:rPr>
            </w:pPr>
            <w:r>
              <w:rPr>
                <w:rFonts w:hint="eastAsia" w:ascii="宋体" w:hAnsi="宋体" w:cs="宋体"/>
                <w:b w:val="0"/>
                <w:bCs w:val="0"/>
                <w:sz w:val="24"/>
                <w:szCs w:val="24"/>
                <w:lang w:eastAsia="zh-CN"/>
              </w:rPr>
              <w:t>合同包</w:t>
            </w:r>
            <w:r>
              <w:rPr>
                <w:rFonts w:hint="eastAsia" w:ascii="宋体" w:hAnsi="宋体" w:cs="宋体"/>
                <w:b w:val="0"/>
                <w:bCs w:val="0"/>
                <w:sz w:val="24"/>
                <w:szCs w:val="24"/>
                <w:lang w:val="en-US" w:eastAsia="zh-CN"/>
              </w:rPr>
              <w:t>6：</w:t>
            </w:r>
            <w:r>
              <w:rPr>
                <w:rFonts w:hint="eastAsia" w:ascii="宋体" w:hAnsi="宋体" w:cs="宋体"/>
                <w:b w:val="0"/>
                <w:bCs w:val="0"/>
                <w:sz w:val="24"/>
                <w:szCs w:val="24"/>
              </w:rPr>
              <w:t>终验合格之日起</w:t>
            </w:r>
            <w:r>
              <w:rPr>
                <w:rFonts w:hint="eastAsia" w:ascii="宋体" w:hAnsi="宋体" w:cs="宋体"/>
                <w:b w:val="0"/>
                <w:bCs w:val="0"/>
                <w:sz w:val="24"/>
                <w:szCs w:val="24"/>
                <w:u w:val="single"/>
              </w:rPr>
              <w:t xml:space="preserve">  </w:t>
            </w:r>
            <w:r>
              <w:rPr>
                <w:rFonts w:hint="eastAsia" w:ascii="宋体" w:hAnsi="宋体" w:cs="宋体"/>
                <w:b w:val="0"/>
                <w:bCs w:val="0"/>
                <w:sz w:val="24"/>
                <w:szCs w:val="24"/>
                <w:u w:val="single"/>
                <w:lang w:val="en-US" w:eastAsia="zh-CN"/>
              </w:rPr>
              <w:t xml:space="preserve">36 </w:t>
            </w:r>
            <w:r>
              <w:rPr>
                <w:rFonts w:hint="eastAsia" w:ascii="宋体" w:hAnsi="宋体" w:cs="宋体"/>
                <w:b w:val="0"/>
                <w:bCs w:val="0"/>
                <w:sz w:val="24"/>
                <w:szCs w:val="24"/>
                <w:u w:val="single"/>
              </w:rPr>
              <w:t xml:space="preserve">  </w:t>
            </w:r>
            <w:r>
              <w:rPr>
                <w:rFonts w:hint="eastAsia" w:ascii="宋体" w:hAnsi="宋体" w:cs="宋体"/>
                <w:b w:val="0"/>
                <w:bCs w:val="0"/>
                <w:sz w:val="24"/>
                <w:szCs w:val="24"/>
              </w:rPr>
              <w:t>个月</w:t>
            </w:r>
            <w:r>
              <w:rPr>
                <w:rFonts w:hint="eastAsia" w:ascii="宋体" w:hAnsi="宋体" w:cs="宋体"/>
                <w:b w:val="0"/>
                <w:bCs w:val="0"/>
                <w:sz w:val="24"/>
                <w:szCs w:val="24"/>
                <w:lang w:eastAsia="zh-CN"/>
              </w:rPr>
              <w:t>，</w:t>
            </w:r>
            <w:r>
              <w:rPr>
                <w:rFonts w:hint="eastAsia" w:ascii="宋体" w:hAnsi="宋体" w:cs="宋体"/>
                <w:b w:val="0"/>
                <w:bCs w:val="0"/>
                <w:sz w:val="24"/>
                <w:szCs w:val="24"/>
                <w:lang w:val="en-US" w:eastAsia="zh-CN"/>
              </w:rPr>
              <w:t>软件五年内免费升级维护。</w:t>
            </w:r>
          </w:p>
          <w:p>
            <w:pPr>
              <w:numPr>
                <w:ilvl w:val="0"/>
                <w:numId w:val="0"/>
              </w:numPr>
              <w:spacing w:line="360" w:lineRule="auto"/>
              <w:rPr>
                <w:rFonts w:ascii="宋体" w:hAnsi="宋体" w:cs="宋体"/>
                <w:b w:val="0"/>
                <w:bCs w:val="0"/>
                <w:sz w:val="24"/>
                <w:szCs w:val="24"/>
              </w:rPr>
            </w:pPr>
            <w:r>
              <w:rPr>
                <w:rFonts w:hint="eastAsia" w:ascii="宋体" w:hAnsi="宋体" w:cs="宋体"/>
                <w:b w:val="0"/>
                <w:bCs w:val="0"/>
                <w:sz w:val="24"/>
                <w:szCs w:val="24"/>
                <w:lang w:val="en-US" w:eastAsia="zh-CN"/>
              </w:rPr>
              <w:t>3</w:t>
            </w:r>
            <w:r>
              <w:rPr>
                <w:rFonts w:hint="eastAsia" w:ascii="宋体" w:hAnsi="宋体" w:cs="宋体"/>
                <w:b w:val="0"/>
                <w:bCs w:val="0"/>
                <w:sz w:val="24"/>
                <w:szCs w:val="24"/>
              </w:rPr>
              <w:t>、交货地点：</w:t>
            </w:r>
            <w:r>
              <w:rPr>
                <w:rFonts w:hint="eastAsia" w:ascii="宋体" w:hAnsi="宋体" w:cs="宋体"/>
                <w:b w:val="0"/>
                <w:bCs w:val="0"/>
                <w:color w:val="auto"/>
                <w:sz w:val="24"/>
                <w:szCs w:val="24"/>
                <w:lang w:eastAsia="zh-CN"/>
              </w:rPr>
              <w:t>杨凌职业技术学院</w:t>
            </w:r>
            <w:r>
              <w:rPr>
                <w:rFonts w:hint="eastAsia" w:ascii="宋体" w:hAnsi="宋体" w:cs="宋体"/>
                <w:b w:val="0"/>
                <w:bCs w:val="0"/>
                <w:color w:val="auto"/>
                <w:sz w:val="24"/>
                <w:szCs w:val="24"/>
              </w:rPr>
              <w:t>指定地点。</w:t>
            </w:r>
          </w:p>
          <w:p>
            <w:pPr>
              <w:spacing w:line="360" w:lineRule="auto"/>
              <w:rPr>
                <w:rFonts w:hint="eastAsia" w:ascii="宋体" w:hAnsi="宋体" w:cs="宋体"/>
                <w:b w:val="0"/>
                <w:bCs w:val="0"/>
                <w:sz w:val="24"/>
                <w:szCs w:val="24"/>
              </w:rPr>
            </w:pPr>
            <w:r>
              <w:rPr>
                <w:rFonts w:hint="eastAsia" w:ascii="宋体" w:hAnsi="宋体" w:cs="宋体"/>
                <w:b w:val="0"/>
                <w:bCs w:val="0"/>
                <w:sz w:val="24"/>
                <w:szCs w:val="24"/>
                <w:lang w:val="en-US" w:eastAsia="zh-CN"/>
              </w:rPr>
              <w:t>4</w:t>
            </w:r>
            <w:r>
              <w:rPr>
                <w:rFonts w:hint="eastAsia" w:ascii="宋体" w:hAnsi="宋体" w:cs="宋体"/>
                <w:b w:val="0"/>
                <w:bCs w:val="0"/>
                <w:sz w:val="24"/>
                <w:szCs w:val="24"/>
              </w:rPr>
              <w:t>、付款方式：</w:t>
            </w:r>
          </w:p>
          <w:p>
            <w:pPr>
              <w:spacing w:line="360" w:lineRule="auto"/>
              <w:rPr>
                <w:rFonts w:hint="eastAsia" w:ascii="宋体" w:hAnsi="宋体" w:cs="宋体"/>
                <w:b w:val="0"/>
                <w:bCs w:val="0"/>
                <w:sz w:val="24"/>
                <w:szCs w:val="24"/>
              </w:rPr>
            </w:pPr>
            <w:r>
              <w:rPr>
                <w:rFonts w:hint="eastAsia" w:ascii="宋体" w:hAnsi="宋体" w:cs="宋体"/>
                <w:b w:val="0"/>
                <w:bCs w:val="0"/>
                <w:sz w:val="24"/>
                <w:szCs w:val="24"/>
                <w:lang w:val="en-US" w:eastAsia="zh-CN"/>
              </w:rPr>
              <w:t>4.1</w:t>
            </w:r>
            <w:r>
              <w:rPr>
                <w:rFonts w:hint="eastAsia" w:ascii="宋体" w:hAnsi="宋体" w:cs="宋体"/>
                <w:b w:val="0"/>
                <w:bCs w:val="0"/>
                <w:sz w:val="24"/>
                <w:szCs w:val="24"/>
              </w:rPr>
              <w:t xml:space="preserve">货物全部运到采购人指定地方，交付完毕并经终验合格后，卖方持《终验合格单》原件和全额增值税专用发票（实验实训条件建设项目）在买方处办理百分之五（5%）质保金交纳和百分之百（100%）货款的支付手续。  </w:t>
            </w:r>
          </w:p>
          <w:p>
            <w:pPr>
              <w:spacing w:line="360" w:lineRule="auto"/>
              <w:rPr>
                <w:rFonts w:hint="eastAsia" w:ascii="宋体" w:hAnsi="宋体" w:cs="宋体"/>
                <w:b w:val="0"/>
                <w:bCs w:val="0"/>
                <w:sz w:val="24"/>
                <w:szCs w:val="24"/>
              </w:rPr>
            </w:pPr>
            <w:r>
              <w:rPr>
                <w:rFonts w:hint="eastAsia" w:ascii="宋体" w:hAnsi="宋体" w:cs="宋体"/>
                <w:b w:val="0"/>
                <w:bCs w:val="0"/>
                <w:sz w:val="24"/>
                <w:szCs w:val="24"/>
                <w:lang w:val="en-US" w:eastAsia="zh-CN"/>
              </w:rPr>
              <w:t>4.2</w:t>
            </w:r>
            <w:r>
              <w:rPr>
                <w:rFonts w:hint="eastAsia" w:ascii="宋体" w:hAnsi="宋体" w:cs="宋体"/>
                <w:b w:val="0"/>
                <w:bCs w:val="0"/>
                <w:sz w:val="24"/>
                <w:szCs w:val="24"/>
              </w:rPr>
              <w:t>自终验结束之日起满一年后，在无索赔争议的情况下，在买方处办理百分之五（5%）质保金的支付手续。</w:t>
            </w:r>
          </w:p>
          <w:p>
            <w:pPr>
              <w:spacing w:line="360" w:lineRule="auto"/>
            </w:pPr>
            <w:r>
              <w:rPr>
                <w:rFonts w:hint="eastAsia" w:ascii="宋体" w:hAnsi="宋体" w:cs="宋体"/>
                <w:b/>
                <w:bCs/>
                <w:sz w:val="24"/>
                <w:szCs w:val="24"/>
              </w:rPr>
              <w:t>备注：商务条款为实质性条款，不允许负偏离。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4" w:hRule="atLeast"/>
        </w:trPr>
        <w:tc>
          <w:tcPr>
            <w:tcW w:w="505" w:type="dxa"/>
          </w:tcPr>
          <w:p>
            <w:pPr>
              <w:spacing w:before="156" w:beforeLines="50" w:line="360" w:lineRule="auto"/>
              <w:jc w:val="center"/>
              <w:rPr>
                <w:rFonts w:ascii="宋体" w:hAnsi="宋体" w:cs="宋体"/>
                <w:b/>
                <w:sz w:val="24"/>
                <w:szCs w:val="24"/>
              </w:rPr>
            </w:pPr>
            <w:r>
              <w:rPr>
                <w:rFonts w:hint="eastAsia" w:ascii="宋体" w:hAnsi="宋体" w:cs="宋体"/>
                <w:b/>
                <w:sz w:val="24"/>
                <w:szCs w:val="24"/>
              </w:rPr>
              <w:t>4</w:t>
            </w:r>
          </w:p>
        </w:tc>
        <w:tc>
          <w:tcPr>
            <w:tcW w:w="1494" w:type="dxa"/>
            <w:vAlign w:val="center"/>
          </w:tcPr>
          <w:p>
            <w:pPr>
              <w:spacing w:line="360" w:lineRule="auto"/>
              <w:jc w:val="center"/>
              <w:rPr>
                <w:rFonts w:ascii="宋体" w:hAnsi="宋体" w:cs="宋体"/>
                <w:sz w:val="24"/>
                <w:szCs w:val="24"/>
              </w:rPr>
            </w:pPr>
            <w:r>
              <w:rPr>
                <w:rFonts w:hint="eastAsia" w:ascii="宋体" w:hAnsi="宋体" w:cs="宋体"/>
                <w:sz w:val="24"/>
                <w:szCs w:val="24"/>
              </w:rPr>
              <w:t>投标保证金</w:t>
            </w:r>
          </w:p>
          <w:p>
            <w:pPr>
              <w:spacing w:line="360" w:lineRule="auto"/>
              <w:jc w:val="center"/>
              <w:rPr>
                <w:rFonts w:ascii="宋体" w:hAnsi="宋体" w:cs="宋体"/>
                <w:sz w:val="24"/>
                <w:szCs w:val="24"/>
              </w:rPr>
            </w:pPr>
            <w:r>
              <w:rPr>
                <w:rFonts w:hint="eastAsia" w:ascii="宋体" w:hAnsi="宋体" w:cs="宋体"/>
                <w:sz w:val="24"/>
                <w:szCs w:val="24"/>
              </w:rPr>
              <w:t>缴纳</w:t>
            </w:r>
          </w:p>
        </w:tc>
        <w:tc>
          <w:tcPr>
            <w:tcW w:w="7219" w:type="dxa"/>
          </w:tcPr>
          <w:p>
            <w:pPr>
              <w:pStyle w:val="9"/>
              <w:numPr>
                <w:ilvl w:val="0"/>
                <w:numId w:val="7"/>
              </w:numPr>
              <w:spacing w:line="360" w:lineRule="auto"/>
              <w:ind w:firstLine="0"/>
              <w:jc w:val="left"/>
              <w:rPr>
                <w:rFonts w:ascii="宋体" w:hAnsi="宋体" w:cs="宋体"/>
                <w:sz w:val="24"/>
                <w:szCs w:val="24"/>
              </w:rPr>
            </w:pPr>
            <w:r>
              <w:rPr>
                <w:rFonts w:hint="eastAsia" w:ascii="宋体" w:hAnsi="宋体" w:cs="宋体"/>
                <w:b/>
                <w:bCs/>
                <w:sz w:val="24"/>
                <w:szCs w:val="24"/>
              </w:rPr>
              <w:t>保证金的缴纳：</w:t>
            </w:r>
            <w:r>
              <w:rPr>
                <w:rFonts w:hint="eastAsia" w:ascii="宋体" w:hAnsi="宋体" w:cs="宋体"/>
                <w:b/>
                <w:bCs/>
                <w:sz w:val="24"/>
                <w:szCs w:val="24"/>
                <w:lang w:eastAsia="zh-CN"/>
              </w:rPr>
              <w:t>合同包</w:t>
            </w:r>
            <w:r>
              <w:rPr>
                <w:rFonts w:hint="eastAsia" w:ascii="宋体" w:hAnsi="宋体" w:cs="宋体"/>
                <w:b/>
                <w:bCs/>
                <w:sz w:val="24"/>
                <w:szCs w:val="24"/>
                <w:lang w:val="en-US" w:eastAsia="zh-CN"/>
              </w:rPr>
              <w:t>1：</w:t>
            </w:r>
            <w:r>
              <w:rPr>
                <w:rFonts w:hint="eastAsia" w:ascii="宋体" w:hAnsi="宋体" w:cs="宋体"/>
                <w:b/>
                <w:bCs/>
                <w:sz w:val="24"/>
                <w:szCs w:val="24"/>
              </w:rPr>
              <w:t>人民币</w:t>
            </w:r>
            <w:r>
              <w:rPr>
                <w:rFonts w:hint="eastAsia" w:ascii="宋体" w:hAnsi="宋体" w:cs="宋体"/>
                <w:b/>
                <w:bCs/>
                <w:sz w:val="24"/>
                <w:szCs w:val="24"/>
                <w:lang w:eastAsia="zh-CN"/>
              </w:rPr>
              <w:t>壹万贰仟</w:t>
            </w:r>
            <w:r>
              <w:rPr>
                <w:rFonts w:hint="eastAsia" w:ascii="宋体" w:hAnsi="宋体" w:cs="宋体"/>
                <w:b/>
                <w:bCs/>
                <w:sz w:val="24"/>
                <w:szCs w:val="24"/>
              </w:rPr>
              <w:t>元整（¥</w:t>
            </w:r>
            <w:r>
              <w:rPr>
                <w:rFonts w:hint="eastAsia" w:ascii="宋体" w:hAnsi="宋体" w:cs="宋体"/>
                <w:b/>
                <w:bCs/>
                <w:sz w:val="24"/>
                <w:szCs w:val="24"/>
                <w:lang w:val="en-US" w:eastAsia="zh-CN"/>
              </w:rPr>
              <w:t>12</w:t>
            </w:r>
            <w:r>
              <w:rPr>
                <w:rFonts w:hint="eastAsia" w:ascii="宋体" w:hAnsi="宋体" w:cs="宋体"/>
                <w:b/>
                <w:bCs/>
                <w:sz w:val="24"/>
                <w:szCs w:val="24"/>
              </w:rPr>
              <w:t>000.00元）</w:t>
            </w:r>
          </w:p>
          <w:p>
            <w:pPr>
              <w:pStyle w:val="9"/>
              <w:spacing w:line="360" w:lineRule="auto"/>
              <w:ind w:firstLine="1687" w:firstLineChars="700"/>
              <w:jc w:val="left"/>
              <w:rPr>
                <w:rFonts w:hint="eastAsia" w:ascii="宋体" w:hAnsi="宋体" w:cs="宋体"/>
                <w:b/>
                <w:bCs/>
                <w:sz w:val="24"/>
                <w:szCs w:val="24"/>
              </w:rPr>
            </w:pPr>
            <w:r>
              <w:rPr>
                <w:rFonts w:hint="eastAsia" w:ascii="宋体" w:hAnsi="宋体" w:cs="宋体"/>
                <w:b/>
                <w:bCs/>
                <w:sz w:val="24"/>
                <w:szCs w:val="24"/>
                <w:lang w:eastAsia="zh-CN"/>
              </w:rPr>
              <w:t>合同包</w:t>
            </w:r>
            <w:r>
              <w:rPr>
                <w:rFonts w:hint="eastAsia" w:ascii="宋体" w:hAnsi="宋体" w:cs="宋体"/>
                <w:b/>
                <w:bCs/>
                <w:sz w:val="24"/>
                <w:szCs w:val="24"/>
                <w:lang w:val="en-US" w:eastAsia="zh-CN"/>
              </w:rPr>
              <w:t>2：</w:t>
            </w:r>
            <w:r>
              <w:rPr>
                <w:rFonts w:hint="eastAsia" w:ascii="宋体" w:hAnsi="宋体" w:cs="宋体"/>
                <w:b/>
                <w:bCs/>
                <w:sz w:val="24"/>
                <w:szCs w:val="24"/>
              </w:rPr>
              <w:t>人民币</w:t>
            </w:r>
            <w:r>
              <w:rPr>
                <w:rFonts w:hint="eastAsia" w:ascii="宋体" w:hAnsi="宋体" w:cs="宋体"/>
                <w:b/>
                <w:bCs/>
                <w:sz w:val="24"/>
                <w:szCs w:val="24"/>
                <w:lang w:eastAsia="zh-CN"/>
              </w:rPr>
              <w:t>贰万</w:t>
            </w:r>
            <w:r>
              <w:rPr>
                <w:rFonts w:hint="eastAsia" w:ascii="宋体" w:hAnsi="宋体" w:cs="宋体"/>
                <w:b/>
                <w:bCs/>
                <w:sz w:val="24"/>
                <w:szCs w:val="24"/>
              </w:rPr>
              <w:t>元整（¥</w:t>
            </w:r>
            <w:r>
              <w:rPr>
                <w:rFonts w:hint="eastAsia" w:ascii="宋体" w:hAnsi="宋体" w:cs="宋体"/>
                <w:b/>
                <w:bCs/>
                <w:sz w:val="24"/>
                <w:szCs w:val="24"/>
                <w:lang w:val="en-US" w:eastAsia="zh-CN"/>
              </w:rPr>
              <w:t>20</w:t>
            </w:r>
            <w:r>
              <w:rPr>
                <w:rFonts w:hint="eastAsia" w:ascii="宋体" w:hAnsi="宋体" w:cs="宋体"/>
                <w:b/>
                <w:bCs/>
                <w:sz w:val="24"/>
                <w:szCs w:val="24"/>
              </w:rPr>
              <w:t>000.00元）</w:t>
            </w:r>
          </w:p>
          <w:p>
            <w:pPr>
              <w:pStyle w:val="9"/>
              <w:spacing w:line="360" w:lineRule="auto"/>
              <w:ind w:firstLine="1687" w:firstLineChars="700"/>
              <w:jc w:val="left"/>
              <w:rPr>
                <w:rFonts w:hint="eastAsia" w:ascii="宋体" w:hAnsi="宋体" w:cs="宋体"/>
                <w:b/>
                <w:bCs/>
                <w:sz w:val="24"/>
                <w:szCs w:val="24"/>
              </w:rPr>
            </w:pPr>
            <w:r>
              <w:rPr>
                <w:rFonts w:hint="eastAsia" w:ascii="宋体" w:hAnsi="宋体" w:cs="宋体"/>
                <w:b/>
                <w:bCs/>
                <w:sz w:val="24"/>
                <w:szCs w:val="24"/>
                <w:lang w:eastAsia="zh-CN"/>
              </w:rPr>
              <w:t>合同包</w:t>
            </w:r>
            <w:r>
              <w:rPr>
                <w:rFonts w:hint="eastAsia" w:ascii="宋体" w:hAnsi="宋体" w:cs="宋体"/>
                <w:b/>
                <w:bCs/>
                <w:sz w:val="24"/>
                <w:szCs w:val="24"/>
                <w:lang w:val="en-US" w:eastAsia="zh-CN"/>
              </w:rPr>
              <w:t>3：</w:t>
            </w:r>
            <w:r>
              <w:rPr>
                <w:rFonts w:hint="eastAsia" w:ascii="宋体" w:hAnsi="宋体" w:cs="宋体"/>
                <w:b/>
                <w:bCs/>
                <w:sz w:val="24"/>
                <w:szCs w:val="24"/>
              </w:rPr>
              <w:t>人民币玖仟元整（¥9000.00元）</w:t>
            </w:r>
          </w:p>
          <w:p>
            <w:pPr>
              <w:pStyle w:val="9"/>
              <w:spacing w:line="360" w:lineRule="auto"/>
              <w:ind w:firstLine="1687" w:firstLineChars="700"/>
              <w:jc w:val="left"/>
              <w:rPr>
                <w:rFonts w:hint="eastAsia" w:ascii="宋体" w:hAnsi="宋体" w:cs="宋体"/>
                <w:b/>
                <w:bCs/>
                <w:sz w:val="24"/>
                <w:szCs w:val="24"/>
              </w:rPr>
            </w:pPr>
            <w:r>
              <w:rPr>
                <w:rFonts w:hint="eastAsia" w:ascii="宋体" w:hAnsi="宋体" w:cs="宋体"/>
                <w:b/>
                <w:bCs/>
                <w:sz w:val="24"/>
                <w:szCs w:val="24"/>
                <w:lang w:eastAsia="zh-CN"/>
              </w:rPr>
              <w:t>合同包</w:t>
            </w:r>
            <w:r>
              <w:rPr>
                <w:rFonts w:hint="eastAsia" w:ascii="宋体" w:hAnsi="宋体" w:cs="宋体"/>
                <w:b/>
                <w:bCs/>
                <w:sz w:val="24"/>
                <w:szCs w:val="24"/>
                <w:lang w:val="en-US" w:eastAsia="zh-CN"/>
              </w:rPr>
              <w:t>4：</w:t>
            </w:r>
            <w:r>
              <w:rPr>
                <w:rFonts w:hint="eastAsia" w:ascii="宋体" w:hAnsi="宋体" w:cs="宋体"/>
                <w:b/>
                <w:bCs/>
                <w:sz w:val="24"/>
                <w:szCs w:val="24"/>
              </w:rPr>
              <w:t>人民币</w:t>
            </w:r>
            <w:r>
              <w:rPr>
                <w:rFonts w:hint="eastAsia" w:ascii="宋体" w:hAnsi="宋体" w:cs="宋体"/>
                <w:b/>
                <w:bCs/>
                <w:sz w:val="24"/>
                <w:szCs w:val="24"/>
                <w:lang w:eastAsia="zh-CN"/>
              </w:rPr>
              <w:t>捌仟</w:t>
            </w:r>
            <w:r>
              <w:rPr>
                <w:rFonts w:hint="eastAsia" w:ascii="宋体" w:hAnsi="宋体" w:cs="宋体"/>
                <w:b/>
                <w:bCs/>
                <w:sz w:val="24"/>
                <w:szCs w:val="24"/>
              </w:rPr>
              <w:t>元整（¥</w:t>
            </w:r>
            <w:r>
              <w:rPr>
                <w:rFonts w:hint="eastAsia" w:ascii="宋体" w:hAnsi="宋体" w:cs="宋体"/>
                <w:b/>
                <w:bCs/>
                <w:sz w:val="24"/>
                <w:szCs w:val="24"/>
                <w:lang w:val="en-US" w:eastAsia="zh-CN"/>
              </w:rPr>
              <w:t>8</w:t>
            </w:r>
            <w:r>
              <w:rPr>
                <w:rFonts w:hint="eastAsia" w:ascii="宋体" w:hAnsi="宋体" w:cs="宋体"/>
                <w:b/>
                <w:bCs/>
                <w:sz w:val="24"/>
                <w:szCs w:val="24"/>
              </w:rPr>
              <w:t>000.00元）</w:t>
            </w:r>
          </w:p>
          <w:p>
            <w:pPr>
              <w:pStyle w:val="9"/>
              <w:spacing w:line="360" w:lineRule="auto"/>
              <w:ind w:firstLine="1687" w:firstLineChars="700"/>
              <w:jc w:val="left"/>
              <w:rPr>
                <w:rFonts w:hint="eastAsia" w:ascii="宋体" w:hAnsi="宋体" w:cs="宋体"/>
                <w:b/>
                <w:bCs/>
                <w:sz w:val="24"/>
                <w:szCs w:val="24"/>
              </w:rPr>
            </w:pPr>
            <w:r>
              <w:rPr>
                <w:rFonts w:hint="eastAsia" w:ascii="宋体" w:hAnsi="宋体" w:cs="宋体"/>
                <w:b/>
                <w:bCs/>
                <w:sz w:val="24"/>
                <w:szCs w:val="24"/>
                <w:lang w:eastAsia="zh-CN"/>
              </w:rPr>
              <w:t>合同包</w:t>
            </w:r>
            <w:r>
              <w:rPr>
                <w:rFonts w:hint="eastAsia" w:ascii="宋体" w:hAnsi="宋体" w:cs="宋体"/>
                <w:b/>
                <w:bCs/>
                <w:sz w:val="24"/>
                <w:szCs w:val="24"/>
                <w:lang w:val="en-US" w:eastAsia="zh-CN"/>
              </w:rPr>
              <w:t>5：</w:t>
            </w:r>
            <w:r>
              <w:rPr>
                <w:rFonts w:hint="eastAsia" w:ascii="宋体" w:hAnsi="宋体" w:cs="宋体"/>
                <w:b/>
                <w:bCs/>
                <w:sz w:val="24"/>
                <w:szCs w:val="24"/>
              </w:rPr>
              <w:t>人民币</w:t>
            </w:r>
            <w:r>
              <w:rPr>
                <w:rFonts w:hint="eastAsia" w:ascii="宋体" w:hAnsi="宋体" w:cs="宋体"/>
                <w:b/>
                <w:bCs/>
                <w:sz w:val="24"/>
                <w:szCs w:val="24"/>
                <w:lang w:eastAsia="zh-CN"/>
              </w:rPr>
              <w:t>壹万</w:t>
            </w:r>
            <w:r>
              <w:rPr>
                <w:rFonts w:hint="eastAsia" w:ascii="宋体" w:hAnsi="宋体" w:cs="宋体"/>
                <w:b/>
                <w:bCs/>
                <w:sz w:val="24"/>
                <w:szCs w:val="24"/>
              </w:rPr>
              <w:t>元整（¥</w:t>
            </w:r>
            <w:r>
              <w:rPr>
                <w:rFonts w:hint="eastAsia" w:ascii="宋体" w:hAnsi="宋体" w:cs="宋体"/>
                <w:b/>
                <w:bCs/>
                <w:sz w:val="24"/>
                <w:szCs w:val="24"/>
                <w:lang w:val="en-US" w:eastAsia="zh-CN"/>
              </w:rPr>
              <w:t>10</w:t>
            </w:r>
            <w:r>
              <w:rPr>
                <w:rFonts w:hint="eastAsia" w:ascii="宋体" w:hAnsi="宋体" w:cs="宋体"/>
                <w:b/>
                <w:bCs/>
                <w:sz w:val="24"/>
                <w:szCs w:val="24"/>
              </w:rPr>
              <w:t>000.00元）</w:t>
            </w:r>
          </w:p>
          <w:p>
            <w:pPr>
              <w:pStyle w:val="9"/>
              <w:spacing w:line="360" w:lineRule="auto"/>
              <w:ind w:firstLine="1687" w:firstLineChars="700"/>
              <w:jc w:val="left"/>
              <w:rPr>
                <w:rFonts w:hint="eastAsia" w:ascii="宋体" w:hAnsi="宋体" w:cs="宋体"/>
                <w:b/>
                <w:bCs/>
                <w:sz w:val="24"/>
                <w:szCs w:val="24"/>
              </w:rPr>
            </w:pPr>
            <w:r>
              <w:rPr>
                <w:rFonts w:hint="eastAsia" w:ascii="宋体" w:hAnsi="宋体" w:cs="宋体"/>
                <w:b/>
                <w:bCs/>
                <w:sz w:val="24"/>
                <w:szCs w:val="24"/>
                <w:lang w:eastAsia="zh-CN"/>
              </w:rPr>
              <w:t>合同包</w:t>
            </w:r>
            <w:r>
              <w:rPr>
                <w:rFonts w:hint="eastAsia" w:ascii="宋体" w:hAnsi="宋体" w:cs="宋体"/>
                <w:b/>
                <w:bCs/>
                <w:sz w:val="24"/>
                <w:szCs w:val="24"/>
                <w:lang w:val="en-US" w:eastAsia="zh-CN"/>
              </w:rPr>
              <w:t>6：</w:t>
            </w:r>
            <w:r>
              <w:rPr>
                <w:rFonts w:hint="eastAsia" w:ascii="宋体" w:hAnsi="宋体" w:cs="宋体"/>
                <w:b/>
                <w:bCs/>
                <w:sz w:val="24"/>
                <w:szCs w:val="24"/>
              </w:rPr>
              <w:t>人民币</w:t>
            </w:r>
            <w:r>
              <w:rPr>
                <w:rFonts w:hint="eastAsia" w:ascii="宋体" w:hAnsi="宋体" w:cs="宋体"/>
                <w:b/>
                <w:bCs/>
                <w:sz w:val="24"/>
                <w:szCs w:val="24"/>
                <w:lang w:eastAsia="zh-CN"/>
              </w:rPr>
              <w:t>伍仟</w:t>
            </w:r>
            <w:r>
              <w:rPr>
                <w:rFonts w:hint="eastAsia" w:ascii="宋体" w:hAnsi="宋体" w:cs="宋体"/>
                <w:b/>
                <w:bCs/>
                <w:sz w:val="24"/>
                <w:szCs w:val="24"/>
              </w:rPr>
              <w:t>元整（¥</w:t>
            </w:r>
            <w:r>
              <w:rPr>
                <w:rFonts w:hint="eastAsia" w:ascii="宋体" w:hAnsi="宋体" w:cs="宋体"/>
                <w:b/>
                <w:bCs/>
                <w:sz w:val="24"/>
                <w:szCs w:val="24"/>
                <w:lang w:val="en-US" w:eastAsia="zh-CN"/>
              </w:rPr>
              <w:t>5</w:t>
            </w:r>
            <w:r>
              <w:rPr>
                <w:rFonts w:hint="eastAsia" w:ascii="宋体" w:hAnsi="宋体" w:cs="宋体"/>
                <w:b/>
                <w:bCs/>
                <w:sz w:val="24"/>
                <w:szCs w:val="24"/>
              </w:rPr>
              <w:t>000.00元）</w:t>
            </w:r>
          </w:p>
          <w:p>
            <w:pPr>
              <w:pStyle w:val="9"/>
              <w:spacing w:line="360" w:lineRule="auto"/>
              <w:ind w:left="0" w:leftChars="0" w:firstLine="0" w:firstLineChars="0"/>
              <w:jc w:val="left"/>
              <w:rPr>
                <w:rFonts w:ascii="宋体" w:hAnsi="宋体" w:cs="宋体"/>
                <w:sz w:val="24"/>
                <w:szCs w:val="24"/>
              </w:rPr>
            </w:pPr>
            <w:r>
              <w:rPr>
                <w:rFonts w:hint="eastAsia" w:ascii="宋体" w:hAnsi="宋体" w:cs="宋体"/>
                <w:sz w:val="24"/>
                <w:szCs w:val="24"/>
              </w:rPr>
              <w:t>缴纳截止时间：同投标文件递交截止时间一致</w:t>
            </w:r>
          </w:p>
          <w:p>
            <w:pPr>
              <w:spacing w:line="360" w:lineRule="auto"/>
              <w:ind w:firstLine="420" w:firstLineChars="175"/>
              <w:jc w:val="left"/>
              <w:rPr>
                <w:rFonts w:ascii="宋体" w:hAnsi="宋体" w:cs="宋体"/>
                <w:sz w:val="24"/>
                <w:szCs w:val="24"/>
              </w:rPr>
            </w:pPr>
            <w:r>
              <w:rPr>
                <w:rFonts w:hint="eastAsia" w:ascii="宋体" w:hAnsi="宋体" w:cs="宋体"/>
                <w:sz w:val="24"/>
                <w:szCs w:val="24"/>
              </w:rPr>
              <w:t>投标保证金应当以银行转账（公户）、支票、汇票、本票或者金融机构、担保机构出具的保函等非现金形式提交（注投标保证金须以供应商名称汇款），且应在开标前致电代理机构财务部门确认投标保证金到账情况。</w:t>
            </w:r>
          </w:p>
          <w:p>
            <w:pPr>
              <w:spacing w:line="500" w:lineRule="exact"/>
              <w:jc w:val="left"/>
              <w:rPr>
                <w:rFonts w:ascii="宋体" w:hAnsi="宋体" w:cs="宋体"/>
                <w:sz w:val="24"/>
                <w:szCs w:val="24"/>
              </w:rPr>
            </w:pPr>
            <w:r>
              <w:rPr>
                <w:rFonts w:hint="eastAsia" w:ascii="宋体" w:hAnsi="宋体" w:cs="宋体"/>
                <w:sz w:val="24"/>
                <w:szCs w:val="24"/>
              </w:rPr>
              <w:t>户名：陕西卓佲项目管理有限公司</w:t>
            </w:r>
          </w:p>
          <w:p>
            <w:pPr>
              <w:spacing w:line="500" w:lineRule="exact"/>
              <w:jc w:val="left"/>
              <w:rPr>
                <w:rFonts w:ascii="宋体" w:hAnsi="宋体" w:cs="宋体"/>
                <w:sz w:val="24"/>
                <w:szCs w:val="24"/>
              </w:rPr>
            </w:pPr>
            <w:r>
              <w:rPr>
                <w:rFonts w:hint="eastAsia" w:ascii="宋体" w:hAnsi="宋体" w:cs="宋体"/>
                <w:sz w:val="24"/>
                <w:szCs w:val="24"/>
              </w:rPr>
              <w:t>开户行名称：中国光大银行西安太白路支行</w:t>
            </w:r>
          </w:p>
          <w:p>
            <w:pPr>
              <w:spacing w:line="500" w:lineRule="exact"/>
              <w:jc w:val="left"/>
              <w:rPr>
                <w:rFonts w:ascii="宋体" w:hAnsi="宋体" w:cs="宋体"/>
                <w:sz w:val="24"/>
                <w:szCs w:val="24"/>
              </w:rPr>
            </w:pPr>
            <w:r>
              <w:rPr>
                <w:rFonts w:hint="eastAsia" w:ascii="宋体" w:hAnsi="宋体" w:cs="宋体"/>
                <w:sz w:val="24"/>
                <w:szCs w:val="24"/>
              </w:rPr>
              <w:t>账号：78590188000191476</w:t>
            </w:r>
          </w:p>
          <w:p>
            <w:pPr>
              <w:spacing w:line="500" w:lineRule="exact"/>
              <w:jc w:val="left"/>
              <w:rPr>
                <w:rFonts w:ascii="宋体" w:hAnsi="宋体" w:cs="宋体"/>
                <w:sz w:val="24"/>
                <w:szCs w:val="24"/>
              </w:rPr>
            </w:pPr>
            <w:r>
              <w:rPr>
                <w:rFonts w:hint="eastAsia" w:ascii="宋体" w:hAnsi="宋体" w:cs="宋体"/>
                <w:sz w:val="24"/>
                <w:szCs w:val="24"/>
              </w:rPr>
              <w:t>咨询电话：029-88440695财务高老师</w:t>
            </w:r>
          </w:p>
          <w:p>
            <w:pPr>
              <w:spacing w:line="360" w:lineRule="auto"/>
              <w:jc w:val="left"/>
              <w:rPr>
                <w:rFonts w:ascii="宋体" w:hAnsi="宋体" w:cs="宋体"/>
                <w:sz w:val="24"/>
                <w:szCs w:val="24"/>
              </w:rPr>
            </w:pPr>
            <w:r>
              <w:rPr>
                <w:rFonts w:hint="eastAsia" w:ascii="宋体" w:hAnsi="宋体" w:cs="宋体"/>
                <w:sz w:val="24"/>
                <w:szCs w:val="24"/>
              </w:rPr>
              <w:t>转账摘要：</w:t>
            </w:r>
            <w:r>
              <w:rPr>
                <w:rFonts w:hint="eastAsia" w:ascii="宋体" w:hAnsi="宋体" w:cs="宋体"/>
                <w:sz w:val="24"/>
                <w:szCs w:val="24"/>
                <w:lang w:eastAsia="zh-CN"/>
              </w:rPr>
              <w:t>杨职院</w:t>
            </w:r>
            <w:r>
              <w:rPr>
                <w:rFonts w:hint="eastAsia" w:ascii="宋体" w:hAnsi="宋体" w:cs="宋体"/>
                <w:sz w:val="24"/>
                <w:szCs w:val="24"/>
              </w:rPr>
              <w:t>-</w:t>
            </w:r>
            <w:r>
              <w:rPr>
                <w:rFonts w:hint="eastAsia" w:ascii="宋体" w:hAnsi="宋体" w:cs="宋体"/>
                <w:sz w:val="24"/>
                <w:szCs w:val="24"/>
                <w:lang w:val="en-US" w:eastAsia="zh-CN"/>
              </w:rPr>
              <w:t>61合同包X</w:t>
            </w:r>
            <w:r>
              <w:rPr>
                <w:rFonts w:hint="eastAsia" w:ascii="宋体" w:hAnsi="宋体" w:cs="宋体"/>
                <w:sz w:val="24"/>
                <w:szCs w:val="24"/>
              </w:rPr>
              <w:t>投标保证金</w:t>
            </w:r>
          </w:p>
          <w:p>
            <w:pPr>
              <w:pStyle w:val="6"/>
              <w:numPr>
                <w:ilvl w:val="0"/>
                <w:numId w:val="8"/>
              </w:numPr>
              <w:rPr>
                <w:rFonts w:hint="default" w:ascii="宋体" w:hAnsi="宋体" w:cs="宋体"/>
                <w:sz w:val="24"/>
                <w:szCs w:val="24"/>
              </w:rPr>
            </w:pPr>
            <w:r>
              <w:rPr>
                <w:rFonts w:ascii="宋体" w:hAnsi="宋体" w:cs="宋体"/>
                <w:sz w:val="24"/>
                <w:szCs w:val="24"/>
              </w:rPr>
              <w:t>保证金的退还</w:t>
            </w:r>
          </w:p>
          <w:p>
            <w:pPr>
              <w:tabs>
                <w:tab w:val="left" w:pos="0"/>
              </w:tabs>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2.1未成交的供应商在退取投标保证金时，须携带以下资料办理到代理机构的财务部门办理:</w:t>
            </w:r>
          </w:p>
          <w:p>
            <w:pPr>
              <w:numPr>
                <w:ilvl w:val="0"/>
                <w:numId w:val="9"/>
              </w:numPr>
              <w:adjustRightInd w:val="0"/>
              <w:snapToGrid w:val="0"/>
              <w:spacing w:line="360" w:lineRule="auto"/>
              <w:rPr>
                <w:rFonts w:ascii="宋体" w:hAnsi="宋体" w:cs="宋体"/>
                <w:sz w:val="24"/>
                <w:szCs w:val="24"/>
              </w:rPr>
            </w:pPr>
            <w:r>
              <w:rPr>
                <w:rFonts w:hint="eastAsia" w:ascii="宋体" w:hAnsi="宋体" w:cs="宋体"/>
                <w:sz w:val="24"/>
                <w:szCs w:val="24"/>
              </w:rPr>
              <w:t>保证金汇款凭证复印件加盖公章；</w:t>
            </w:r>
          </w:p>
          <w:p>
            <w:pPr>
              <w:numPr>
                <w:ilvl w:val="0"/>
                <w:numId w:val="9"/>
              </w:numPr>
              <w:adjustRightInd w:val="0"/>
              <w:snapToGrid w:val="0"/>
              <w:spacing w:line="360" w:lineRule="auto"/>
              <w:rPr>
                <w:rFonts w:ascii="宋体" w:hAnsi="宋体" w:cs="宋体"/>
                <w:sz w:val="24"/>
                <w:szCs w:val="24"/>
              </w:rPr>
            </w:pPr>
            <w:r>
              <w:rPr>
                <w:rFonts w:hint="eastAsia" w:ascii="宋体" w:hAnsi="宋体" w:cs="宋体"/>
                <w:sz w:val="24"/>
                <w:szCs w:val="24"/>
              </w:rPr>
              <w:t>保证金退还信息确认表（加盖公章）见</w:t>
            </w:r>
            <w:r>
              <w:rPr>
                <w:rFonts w:hint="eastAsia" w:ascii="宋体" w:hAnsi="宋体" w:cs="宋体"/>
                <w:b/>
                <w:bCs/>
                <w:sz w:val="24"/>
                <w:szCs w:val="24"/>
              </w:rPr>
              <w:t>附件七</w:t>
            </w:r>
            <w:r>
              <w:rPr>
                <w:rFonts w:hint="eastAsia" w:ascii="宋体" w:hAnsi="宋体" w:cs="宋体"/>
                <w:sz w:val="24"/>
                <w:szCs w:val="24"/>
              </w:rPr>
              <w:t>。</w:t>
            </w:r>
          </w:p>
          <w:p>
            <w:pPr>
              <w:adjustRightInd w:val="0"/>
              <w:snapToGrid w:val="0"/>
              <w:spacing w:line="360" w:lineRule="auto"/>
              <w:rPr>
                <w:rFonts w:ascii="宋体" w:hAnsi="宋体" w:cs="宋体"/>
                <w:sz w:val="24"/>
                <w:szCs w:val="24"/>
              </w:rPr>
            </w:pPr>
            <w:r>
              <w:rPr>
                <w:rFonts w:hint="eastAsia" w:ascii="宋体" w:hAnsi="宋体" w:cs="宋体"/>
                <w:sz w:val="24"/>
                <w:szCs w:val="24"/>
              </w:rPr>
              <w:t>供应商可在开标当天将保证金退还账户信息确认表与</w:t>
            </w:r>
            <w:r>
              <w:rPr>
                <w:rFonts w:hint="eastAsia" w:ascii="宋体" w:hAnsi="宋体" w:cs="宋体"/>
                <w:bCs/>
                <w:sz w:val="24"/>
                <w:szCs w:val="24"/>
              </w:rPr>
              <w:t>保证金汇款凭证复印件加盖公章</w:t>
            </w:r>
            <w:r>
              <w:rPr>
                <w:rFonts w:hint="eastAsia" w:ascii="宋体" w:hAnsi="宋体" w:cs="宋体"/>
                <w:sz w:val="24"/>
                <w:szCs w:val="24"/>
              </w:rPr>
              <w:t>一并交给工作人员，当天未提交保证金退还账户信息确认表与投标保证金</w:t>
            </w:r>
            <w:r>
              <w:rPr>
                <w:rFonts w:hint="eastAsia" w:ascii="宋体" w:hAnsi="宋体" w:cs="宋体"/>
                <w:bCs/>
                <w:sz w:val="24"/>
                <w:szCs w:val="24"/>
              </w:rPr>
              <w:t>汇款凭证复印件加盖公章</w:t>
            </w:r>
            <w:r>
              <w:rPr>
                <w:rFonts w:hint="eastAsia" w:ascii="宋体" w:hAnsi="宋体" w:cs="宋体"/>
                <w:sz w:val="24"/>
                <w:szCs w:val="24"/>
              </w:rPr>
              <w:t>的供应商，在开标后将以上资料盖章扫描件发送至邮箱shanxizhuoming_zb@163.com并致电告知。</w:t>
            </w:r>
          </w:p>
          <w:p>
            <w:pPr>
              <w:pStyle w:val="14"/>
              <w:rPr>
                <w:rFonts w:ascii="宋体" w:hAnsi="宋体" w:cs="宋体"/>
                <w:color w:val="auto"/>
                <w:kern w:val="2"/>
              </w:rPr>
            </w:pPr>
            <w:r>
              <w:rPr>
                <w:rFonts w:hint="eastAsia" w:ascii="宋体" w:hAnsi="宋体" w:cs="宋体"/>
                <w:color w:val="auto"/>
                <w:kern w:val="2"/>
              </w:rPr>
              <w:t>2.2中标供应商在退取投标保证金时，除携带上述资料外还需携带与采购人签订的采购合同。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2" w:hRule="atLeast"/>
        </w:trPr>
        <w:tc>
          <w:tcPr>
            <w:tcW w:w="505" w:type="dxa"/>
            <w:vAlign w:val="center"/>
          </w:tcPr>
          <w:p>
            <w:pPr>
              <w:spacing w:line="360" w:lineRule="auto"/>
              <w:jc w:val="center"/>
              <w:rPr>
                <w:rFonts w:ascii="宋体" w:hAnsi="宋体" w:cs="宋体"/>
                <w:sz w:val="24"/>
                <w:szCs w:val="24"/>
              </w:rPr>
            </w:pPr>
            <w:r>
              <w:rPr>
                <w:rFonts w:hint="eastAsia" w:ascii="宋体" w:hAnsi="宋体" w:cs="宋体"/>
                <w:sz w:val="24"/>
                <w:szCs w:val="24"/>
              </w:rPr>
              <w:t>5</w:t>
            </w:r>
          </w:p>
        </w:tc>
        <w:tc>
          <w:tcPr>
            <w:tcW w:w="1494" w:type="dxa"/>
            <w:vAlign w:val="center"/>
          </w:tcPr>
          <w:p>
            <w:pPr>
              <w:spacing w:line="360" w:lineRule="auto"/>
              <w:jc w:val="center"/>
              <w:rPr>
                <w:rFonts w:ascii="宋体" w:hAnsi="宋体" w:cs="宋体"/>
                <w:sz w:val="24"/>
                <w:szCs w:val="24"/>
              </w:rPr>
            </w:pPr>
            <w:r>
              <w:rPr>
                <w:rFonts w:hint="eastAsia" w:ascii="宋体" w:hAnsi="宋体" w:cs="宋体"/>
                <w:sz w:val="24"/>
                <w:szCs w:val="24"/>
              </w:rPr>
              <w:t>备选方案</w:t>
            </w:r>
          </w:p>
        </w:tc>
        <w:tc>
          <w:tcPr>
            <w:tcW w:w="7219" w:type="dxa"/>
            <w:vAlign w:val="center"/>
          </w:tcPr>
          <w:p>
            <w:pPr>
              <w:spacing w:line="500" w:lineRule="exact"/>
              <w:jc w:val="left"/>
              <w:rPr>
                <w:rFonts w:ascii="宋体" w:hAnsi="宋体" w:cs="宋体"/>
                <w:sz w:val="24"/>
                <w:szCs w:val="24"/>
              </w:rPr>
            </w:pPr>
            <w:r>
              <w:rPr>
                <w:rFonts w:hint="eastAsia" w:ascii="宋体" w:hAnsi="宋体" w:cs="宋体"/>
                <w:sz w:val="24"/>
                <w:szCs w:val="24"/>
              </w:rPr>
              <w:t>不允许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69" w:hRule="atLeast"/>
        </w:trPr>
        <w:tc>
          <w:tcPr>
            <w:tcW w:w="505" w:type="dxa"/>
            <w:vAlign w:val="center"/>
          </w:tcPr>
          <w:p>
            <w:pPr>
              <w:spacing w:line="360" w:lineRule="auto"/>
              <w:jc w:val="center"/>
              <w:rPr>
                <w:rFonts w:ascii="宋体" w:hAnsi="宋体" w:cs="宋体"/>
                <w:sz w:val="24"/>
                <w:szCs w:val="24"/>
              </w:rPr>
            </w:pPr>
            <w:r>
              <w:rPr>
                <w:rFonts w:hint="eastAsia" w:ascii="宋体" w:hAnsi="宋体" w:cs="宋体"/>
                <w:sz w:val="24"/>
                <w:szCs w:val="24"/>
              </w:rPr>
              <w:t>6</w:t>
            </w:r>
          </w:p>
        </w:tc>
        <w:tc>
          <w:tcPr>
            <w:tcW w:w="1494" w:type="dxa"/>
            <w:vAlign w:val="center"/>
          </w:tcPr>
          <w:p>
            <w:pPr>
              <w:spacing w:line="360" w:lineRule="auto"/>
              <w:jc w:val="center"/>
              <w:rPr>
                <w:rFonts w:ascii="宋体" w:hAnsi="宋体" w:cs="宋体"/>
                <w:sz w:val="24"/>
                <w:szCs w:val="24"/>
              </w:rPr>
            </w:pPr>
            <w:r>
              <w:rPr>
                <w:rFonts w:hint="eastAsia" w:ascii="宋体" w:hAnsi="宋体" w:cs="宋体"/>
                <w:sz w:val="24"/>
                <w:szCs w:val="24"/>
              </w:rPr>
              <w:t>投标</w:t>
            </w:r>
          </w:p>
          <w:p>
            <w:pPr>
              <w:spacing w:line="360" w:lineRule="auto"/>
              <w:jc w:val="center"/>
              <w:rPr>
                <w:rFonts w:ascii="宋体" w:hAnsi="宋体" w:cs="宋体"/>
                <w:sz w:val="24"/>
                <w:szCs w:val="24"/>
              </w:rPr>
            </w:pPr>
            <w:r>
              <w:rPr>
                <w:rFonts w:hint="eastAsia" w:ascii="宋体" w:hAnsi="宋体" w:cs="宋体"/>
                <w:sz w:val="24"/>
                <w:szCs w:val="24"/>
              </w:rPr>
              <w:t>有效期</w:t>
            </w:r>
          </w:p>
        </w:tc>
        <w:tc>
          <w:tcPr>
            <w:tcW w:w="7219" w:type="dxa"/>
            <w:vAlign w:val="center"/>
          </w:tcPr>
          <w:p>
            <w:pPr>
              <w:spacing w:line="360" w:lineRule="auto"/>
              <w:rPr>
                <w:rFonts w:ascii="宋体" w:hAnsi="宋体" w:cs="宋体"/>
                <w:sz w:val="24"/>
                <w:szCs w:val="24"/>
              </w:rPr>
            </w:pPr>
            <w:r>
              <w:rPr>
                <w:rFonts w:hint="eastAsia" w:ascii="宋体" w:hAnsi="宋体" w:cs="宋体"/>
                <w:b/>
                <w:bCs/>
                <w:sz w:val="24"/>
                <w:szCs w:val="24"/>
              </w:rPr>
              <w:t>投标文件有效期为从开标之日起有效期至少为90日历日。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00" w:hRule="atLeast"/>
        </w:trPr>
        <w:tc>
          <w:tcPr>
            <w:tcW w:w="505" w:type="dxa"/>
            <w:vAlign w:val="center"/>
          </w:tcPr>
          <w:p>
            <w:pPr>
              <w:spacing w:line="360" w:lineRule="auto"/>
              <w:jc w:val="center"/>
              <w:rPr>
                <w:rFonts w:ascii="宋体" w:hAnsi="宋体" w:cs="宋体"/>
                <w:sz w:val="24"/>
                <w:szCs w:val="24"/>
              </w:rPr>
            </w:pPr>
            <w:r>
              <w:rPr>
                <w:rFonts w:hint="eastAsia" w:ascii="宋体" w:hAnsi="宋体" w:cs="宋体"/>
                <w:sz w:val="24"/>
                <w:szCs w:val="24"/>
              </w:rPr>
              <w:t>7</w:t>
            </w:r>
          </w:p>
        </w:tc>
        <w:tc>
          <w:tcPr>
            <w:tcW w:w="1494" w:type="dxa"/>
            <w:vAlign w:val="center"/>
          </w:tcPr>
          <w:p>
            <w:pPr>
              <w:spacing w:line="360" w:lineRule="auto"/>
              <w:jc w:val="center"/>
              <w:rPr>
                <w:rFonts w:ascii="宋体" w:hAnsi="宋体" w:cs="宋体"/>
                <w:sz w:val="24"/>
                <w:szCs w:val="24"/>
              </w:rPr>
            </w:pPr>
            <w:r>
              <w:rPr>
                <w:rFonts w:hint="eastAsia" w:ascii="宋体" w:hAnsi="宋体" w:cs="宋体"/>
                <w:sz w:val="24"/>
                <w:szCs w:val="24"/>
              </w:rPr>
              <w:t>投标货币及报价</w:t>
            </w:r>
          </w:p>
        </w:tc>
        <w:tc>
          <w:tcPr>
            <w:tcW w:w="7219" w:type="dxa"/>
            <w:vAlign w:val="center"/>
          </w:tcPr>
          <w:p>
            <w:pPr>
              <w:numPr>
                <w:ilvl w:val="0"/>
                <w:numId w:val="10"/>
              </w:numPr>
              <w:spacing w:line="360" w:lineRule="auto"/>
              <w:ind w:firstLine="0"/>
              <w:jc w:val="left"/>
              <w:rPr>
                <w:rFonts w:ascii="宋体" w:hAnsi="宋体" w:cs="宋体"/>
                <w:sz w:val="24"/>
                <w:szCs w:val="24"/>
              </w:rPr>
            </w:pPr>
            <w:r>
              <w:rPr>
                <w:rFonts w:hint="eastAsia" w:ascii="宋体" w:hAnsi="宋体" w:cs="宋体"/>
                <w:b/>
                <w:bCs/>
                <w:sz w:val="24"/>
                <w:szCs w:val="24"/>
              </w:rPr>
              <w:t>供应商应当根据招标文件的要求和范围，以人民币为货币，以</w:t>
            </w:r>
            <w:r>
              <w:rPr>
                <w:rFonts w:hint="eastAsia" w:ascii="宋体" w:hAnsi="宋体" w:cs="宋体"/>
                <w:b/>
                <w:bCs/>
                <w:sz w:val="24"/>
                <w:szCs w:val="24"/>
                <w:lang w:eastAsia="zh-CN"/>
              </w:rPr>
              <w:t>元</w:t>
            </w:r>
            <w:r>
              <w:rPr>
                <w:rFonts w:hint="eastAsia" w:ascii="宋体" w:hAnsi="宋体" w:cs="宋体"/>
                <w:b/>
                <w:bCs/>
                <w:sz w:val="24"/>
                <w:szCs w:val="24"/>
              </w:rPr>
              <w:t>为报价单位</w:t>
            </w:r>
            <w:r>
              <w:rPr>
                <w:rFonts w:hint="eastAsia" w:ascii="宋体" w:hAnsi="宋体" w:cs="宋体"/>
                <w:sz w:val="24"/>
                <w:szCs w:val="24"/>
              </w:rPr>
              <w:t>。</w:t>
            </w:r>
          </w:p>
          <w:p>
            <w:pPr>
              <w:numPr>
                <w:ilvl w:val="0"/>
                <w:numId w:val="10"/>
              </w:numPr>
              <w:spacing w:line="360" w:lineRule="auto"/>
              <w:ind w:firstLine="0"/>
              <w:jc w:val="left"/>
              <w:rPr>
                <w:rFonts w:ascii="宋体" w:hAnsi="宋体" w:cs="宋体"/>
                <w:sz w:val="24"/>
                <w:szCs w:val="24"/>
              </w:rPr>
            </w:pPr>
            <w:r>
              <w:rPr>
                <w:rFonts w:hint="eastAsia" w:ascii="宋体" w:hAnsi="宋体" w:cs="宋体"/>
                <w:b/>
                <w:bCs/>
                <w:sz w:val="24"/>
                <w:szCs w:val="24"/>
              </w:rPr>
              <w:t>供应商应在投标报价表中标明完成本次招标所要求的货物、服务且验收合格的所有费用，包括产品费、安装调试费、运杂费（含保险）、仓储保管费、技术培训费、检测费、施工费、运输费、人工费、税金及进口产品国家按现行税收政策征收的一切税费等</w:t>
            </w:r>
            <w:r>
              <w:rPr>
                <w:rFonts w:hint="eastAsia" w:ascii="宋体" w:hAnsi="宋体" w:cs="宋体"/>
                <w:sz w:val="24"/>
                <w:szCs w:val="24"/>
              </w:rPr>
              <w:t>。投标报价表中标明本次货物、服务的所有单项价格和总价。</w:t>
            </w:r>
          </w:p>
          <w:p>
            <w:pPr>
              <w:numPr>
                <w:ilvl w:val="0"/>
                <w:numId w:val="10"/>
              </w:numPr>
              <w:spacing w:line="360" w:lineRule="auto"/>
              <w:ind w:firstLine="0"/>
              <w:jc w:val="left"/>
              <w:rPr>
                <w:rFonts w:ascii="宋体" w:hAnsi="宋体" w:cs="宋体"/>
                <w:sz w:val="24"/>
                <w:szCs w:val="24"/>
              </w:rPr>
            </w:pPr>
            <w:r>
              <w:rPr>
                <w:rFonts w:hint="eastAsia" w:ascii="宋体" w:hAnsi="宋体" w:cs="宋体"/>
                <w:sz w:val="24"/>
                <w:szCs w:val="24"/>
              </w:rPr>
              <w:t>供应商应在投标文件中的开标一览表上按招标文件规定要求填写，并由法定代表人或被授权人代表签署；任何有选择的报价不予接受。</w:t>
            </w:r>
          </w:p>
          <w:p>
            <w:pPr>
              <w:numPr>
                <w:ilvl w:val="0"/>
                <w:numId w:val="10"/>
              </w:numPr>
              <w:spacing w:line="360" w:lineRule="auto"/>
              <w:ind w:firstLine="0"/>
              <w:jc w:val="left"/>
              <w:rPr>
                <w:rFonts w:ascii="宋体" w:hAnsi="宋体" w:cs="宋体"/>
                <w:sz w:val="24"/>
                <w:szCs w:val="24"/>
              </w:rPr>
            </w:pPr>
            <w:r>
              <w:rPr>
                <w:rFonts w:hint="eastAsia" w:ascii="宋体" w:hAnsi="宋体" w:cs="宋体"/>
                <w:sz w:val="24"/>
                <w:szCs w:val="24"/>
              </w:rPr>
              <w:t>开标一览表与分项报价表中的价格，在合同执行过程中，均不得以任何理由变更。</w:t>
            </w:r>
          </w:p>
          <w:p>
            <w:pPr>
              <w:numPr>
                <w:ilvl w:val="0"/>
                <w:numId w:val="10"/>
              </w:numPr>
              <w:spacing w:line="360" w:lineRule="auto"/>
              <w:ind w:firstLine="0"/>
              <w:jc w:val="left"/>
              <w:rPr>
                <w:rFonts w:ascii="宋体" w:hAnsi="宋体" w:cs="宋体"/>
                <w:sz w:val="24"/>
                <w:szCs w:val="24"/>
              </w:rPr>
            </w:pPr>
            <w:r>
              <w:rPr>
                <w:rFonts w:hint="eastAsia" w:ascii="宋体" w:hAnsi="宋体" w:cs="宋体"/>
                <w:sz w:val="24"/>
                <w:szCs w:val="24"/>
              </w:rPr>
              <w:t>采用综合评分法的，最低报价不是中标的唯一依据。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88" w:hRule="atLeast"/>
        </w:trPr>
        <w:tc>
          <w:tcPr>
            <w:tcW w:w="505" w:type="dxa"/>
            <w:vAlign w:val="center"/>
          </w:tcPr>
          <w:p>
            <w:pPr>
              <w:spacing w:line="360" w:lineRule="auto"/>
              <w:jc w:val="center"/>
              <w:rPr>
                <w:rFonts w:ascii="宋体" w:hAnsi="宋体" w:cs="宋体"/>
                <w:sz w:val="24"/>
                <w:szCs w:val="24"/>
              </w:rPr>
            </w:pPr>
            <w:r>
              <w:rPr>
                <w:rFonts w:hint="eastAsia" w:ascii="宋体" w:hAnsi="宋体" w:cs="宋体"/>
                <w:sz w:val="24"/>
                <w:szCs w:val="24"/>
              </w:rPr>
              <w:t>8</w:t>
            </w:r>
          </w:p>
        </w:tc>
        <w:tc>
          <w:tcPr>
            <w:tcW w:w="1494" w:type="dxa"/>
            <w:vAlign w:val="center"/>
          </w:tcPr>
          <w:p>
            <w:pPr>
              <w:spacing w:line="360" w:lineRule="auto"/>
              <w:jc w:val="center"/>
              <w:rPr>
                <w:rFonts w:ascii="宋体" w:hAnsi="宋体" w:cs="宋体"/>
                <w:sz w:val="24"/>
                <w:szCs w:val="24"/>
              </w:rPr>
            </w:pPr>
            <w:r>
              <w:rPr>
                <w:rFonts w:hint="eastAsia" w:ascii="宋体" w:hAnsi="宋体" w:cs="宋体"/>
                <w:sz w:val="24"/>
                <w:szCs w:val="24"/>
              </w:rPr>
              <w:t>投标文件份数及装订要求</w:t>
            </w:r>
          </w:p>
        </w:tc>
        <w:tc>
          <w:tcPr>
            <w:tcW w:w="7219" w:type="dxa"/>
            <w:vAlign w:val="center"/>
          </w:tcPr>
          <w:p>
            <w:pPr>
              <w:spacing w:line="360" w:lineRule="auto"/>
              <w:jc w:val="left"/>
              <w:rPr>
                <w:rFonts w:ascii="宋体" w:hAnsi="宋体" w:cs="宋体"/>
                <w:sz w:val="24"/>
                <w:szCs w:val="24"/>
              </w:rPr>
            </w:pPr>
            <w:r>
              <w:rPr>
                <w:rFonts w:hint="eastAsia" w:ascii="宋体" w:hAnsi="宋体" w:cs="宋体"/>
                <w:sz w:val="24"/>
                <w:szCs w:val="24"/>
              </w:rPr>
              <w:t>1、投标文件正本</w:t>
            </w:r>
            <w:r>
              <w:rPr>
                <w:rFonts w:hint="eastAsia" w:ascii="宋体" w:hAnsi="宋体" w:cs="宋体"/>
                <w:sz w:val="24"/>
                <w:szCs w:val="24"/>
                <w:u w:val="single"/>
              </w:rPr>
              <w:t>壹</w:t>
            </w:r>
            <w:r>
              <w:rPr>
                <w:rFonts w:hint="eastAsia" w:ascii="宋体" w:hAnsi="宋体" w:cs="宋体"/>
                <w:sz w:val="24"/>
                <w:szCs w:val="24"/>
              </w:rPr>
              <w:t>份、副本</w:t>
            </w:r>
            <w:r>
              <w:rPr>
                <w:rFonts w:hint="eastAsia" w:ascii="宋体" w:hAnsi="宋体" w:cs="宋体"/>
                <w:sz w:val="24"/>
                <w:szCs w:val="24"/>
                <w:u w:val="single"/>
              </w:rPr>
              <w:t>肆</w:t>
            </w:r>
            <w:r>
              <w:rPr>
                <w:rFonts w:hint="eastAsia" w:ascii="宋体" w:hAnsi="宋体" w:cs="宋体"/>
                <w:sz w:val="24"/>
                <w:szCs w:val="24"/>
              </w:rPr>
              <w:t>份、开标一览表</w:t>
            </w:r>
            <w:r>
              <w:rPr>
                <w:rFonts w:hint="eastAsia" w:ascii="宋体" w:hAnsi="宋体" w:cs="宋体"/>
                <w:sz w:val="24"/>
                <w:szCs w:val="24"/>
                <w:u w:val="single"/>
              </w:rPr>
              <w:t>壹</w:t>
            </w:r>
            <w:r>
              <w:rPr>
                <w:rFonts w:hint="eastAsia" w:ascii="宋体" w:hAnsi="宋体" w:cs="宋体"/>
                <w:sz w:val="24"/>
                <w:szCs w:val="24"/>
              </w:rPr>
              <w:t>份、电子文档</w:t>
            </w:r>
            <w:r>
              <w:rPr>
                <w:rFonts w:hint="eastAsia" w:ascii="宋体" w:hAnsi="宋体" w:cs="宋体"/>
                <w:sz w:val="24"/>
                <w:szCs w:val="24"/>
                <w:u w:val="single"/>
              </w:rPr>
              <w:t>壹</w:t>
            </w:r>
            <w:r>
              <w:rPr>
                <w:rFonts w:hint="eastAsia" w:ascii="宋体" w:hAnsi="宋体" w:cs="宋体"/>
                <w:sz w:val="24"/>
                <w:szCs w:val="24"/>
              </w:rPr>
              <w:t>份；</w:t>
            </w:r>
          </w:p>
          <w:p>
            <w:pPr>
              <w:spacing w:line="360" w:lineRule="auto"/>
              <w:jc w:val="left"/>
              <w:rPr>
                <w:rFonts w:ascii="宋体" w:hAnsi="宋体" w:cs="宋体"/>
                <w:sz w:val="24"/>
                <w:szCs w:val="24"/>
              </w:rPr>
            </w:pPr>
            <w:r>
              <w:rPr>
                <w:rFonts w:hint="eastAsia" w:ascii="宋体" w:hAnsi="宋体" w:cs="宋体"/>
                <w:sz w:val="24"/>
                <w:szCs w:val="24"/>
              </w:rPr>
              <w:t>2、正、副本分别</w:t>
            </w:r>
            <w:r>
              <w:rPr>
                <w:rFonts w:hint="eastAsia" w:ascii="宋体" w:hAnsi="宋体" w:cs="宋体"/>
                <w:b/>
                <w:bCs/>
                <w:sz w:val="24"/>
                <w:szCs w:val="24"/>
              </w:rPr>
              <w:t>胶装装订成册，推荐双面打印，</w:t>
            </w:r>
            <w:r>
              <w:rPr>
                <w:rFonts w:hint="eastAsia" w:ascii="宋体" w:hAnsi="宋体" w:cs="宋体"/>
                <w:sz w:val="24"/>
                <w:szCs w:val="24"/>
              </w:rPr>
              <w:t>逐页标注连页码，且封面须清楚地标明“正本”或“副本”；若正本和副本不符，以正本书面文件为准；同时提供与正本内容一致的电子版（U盘、电子文档应为PDF与WORD格式各一份，PDF版本需为正本签署盖章扫描件）、报价一览表（用于开标唱标单独提交的“报价一览表”应为原件）。</w:t>
            </w:r>
          </w:p>
          <w:p>
            <w:pPr>
              <w:spacing w:line="360" w:lineRule="auto"/>
              <w:jc w:val="left"/>
              <w:rPr>
                <w:rFonts w:ascii="宋体" w:hAnsi="宋体" w:cs="宋体"/>
                <w:sz w:val="24"/>
                <w:szCs w:val="24"/>
              </w:rPr>
            </w:pPr>
            <w:r>
              <w:rPr>
                <w:rFonts w:hint="eastAsia" w:ascii="宋体" w:hAnsi="宋体" w:cs="宋体"/>
                <w:sz w:val="24"/>
                <w:szCs w:val="24"/>
              </w:rPr>
              <w:t>3、所有的副本可以为正本的复印件。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07" w:hRule="atLeast"/>
        </w:trPr>
        <w:tc>
          <w:tcPr>
            <w:tcW w:w="505" w:type="dxa"/>
            <w:vAlign w:val="center"/>
          </w:tcPr>
          <w:p>
            <w:pPr>
              <w:spacing w:line="360" w:lineRule="auto"/>
              <w:jc w:val="center"/>
              <w:rPr>
                <w:rFonts w:ascii="宋体" w:hAnsi="宋体" w:cs="宋体"/>
                <w:sz w:val="24"/>
                <w:szCs w:val="24"/>
              </w:rPr>
            </w:pPr>
            <w:r>
              <w:rPr>
                <w:rFonts w:hint="eastAsia" w:ascii="宋体" w:hAnsi="宋体" w:cs="宋体"/>
                <w:sz w:val="24"/>
                <w:szCs w:val="24"/>
              </w:rPr>
              <w:t>9</w:t>
            </w:r>
          </w:p>
        </w:tc>
        <w:tc>
          <w:tcPr>
            <w:tcW w:w="1494" w:type="dxa"/>
            <w:vAlign w:val="center"/>
          </w:tcPr>
          <w:p>
            <w:pPr>
              <w:spacing w:line="360" w:lineRule="auto"/>
              <w:jc w:val="center"/>
              <w:rPr>
                <w:rFonts w:ascii="宋体" w:hAnsi="宋体" w:cs="宋体"/>
                <w:sz w:val="24"/>
                <w:szCs w:val="24"/>
              </w:rPr>
            </w:pPr>
            <w:r>
              <w:rPr>
                <w:rFonts w:hint="eastAsia" w:ascii="宋体" w:hAnsi="宋体" w:cs="宋体"/>
                <w:sz w:val="24"/>
                <w:szCs w:val="24"/>
              </w:rPr>
              <w:t>投标文件的签署</w:t>
            </w:r>
          </w:p>
        </w:tc>
        <w:tc>
          <w:tcPr>
            <w:tcW w:w="7219" w:type="dxa"/>
            <w:vAlign w:val="center"/>
          </w:tcPr>
          <w:p>
            <w:pPr>
              <w:numPr>
                <w:ilvl w:val="0"/>
                <w:numId w:val="11"/>
              </w:numPr>
              <w:spacing w:line="360" w:lineRule="auto"/>
              <w:ind w:firstLine="0"/>
              <w:jc w:val="left"/>
              <w:rPr>
                <w:rFonts w:ascii="宋体" w:hAnsi="宋体" w:cs="宋体"/>
                <w:sz w:val="24"/>
                <w:szCs w:val="24"/>
              </w:rPr>
            </w:pPr>
            <w:r>
              <w:rPr>
                <w:rFonts w:hint="eastAsia" w:ascii="宋体" w:hAnsi="宋体" w:cs="宋体"/>
                <w:sz w:val="24"/>
                <w:szCs w:val="24"/>
              </w:rPr>
              <w:t>供应商在投标文件中指定的页面的落款处，按招标文件要求由供应商的法定代表人或其授权代表在规定的签章处签字或盖章。</w:t>
            </w:r>
          </w:p>
          <w:p>
            <w:pPr>
              <w:numPr>
                <w:ilvl w:val="0"/>
                <w:numId w:val="11"/>
              </w:numPr>
              <w:spacing w:line="360" w:lineRule="auto"/>
              <w:ind w:firstLine="0"/>
              <w:jc w:val="left"/>
              <w:rPr>
                <w:rFonts w:ascii="宋体" w:hAnsi="宋体" w:cs="宋体"/>
                <w:sz w:val="24"/>
                <w:szCs w:val="24"/>
              </w:rPr>
            </w:pPr>
            <w:r>
              <w:rPr>
                <w:rFonts w:hint="eastAsia" w:ascii="宋体" w:hAnsi="宋体" w:cs="宋体"/>
                <w:sz w:val="24"/>
                <w:szCs w:val="24"/>
              </w:rPr>
              <w:t>投标文件应字迹清楚、内容齐全、不得涂改或增删。如有修改和增删，必须有供应商公章及法定代表人或其授权的供应商代表签字。</w:t>
            </w:r>
          </w:p>
          <w:p>
            <w:pPr>
              <w:spacing w:line="360" w:lineRule="auto"/>
              <w:jc w:val="left"/>
              <w:rPr>
                <w:rFonts w:ascii="宋体" w:hAnsi="宋体" w:cs="宋体"/>
                <w:b/>
                <w:bCs/>
                <w:color w:val="000000"/>
                <w:sz w:val="24"/>
                <w:szCs w:val="24"/>
              </w:rPr>
            </w:pPr>
            <w:r>
              <w:rPr>
                <w:rFonts w:hint="eastAsia" w:ascii="宋体" w:hAnsi="宋体" w:cs="宋体"/>
                <w:sz w:val="24"/>
                <w:szCs w:val="24"/>
              </w:rPr>
              <w:t>因投标文件字迹潦草或表达不清所引起的不利后果由供应商承担。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505" w:type="dxa"/>
            <w:vAlign w:val="center"/>
          </w:tcPr>
          <w:p>
            <w:pPr>
              <w:spacing w:line="360" w:lineRule="auto"/>
              <w:jc w:val="center"/>
              <w:rPr>
                <w:rFonts w:ascii="宋体" w:hAnsi="宋体" w:cs="宋体"/>
                <w:sz w:val="24"/>
                <w:szCs w:val="24"/>
              </w:rPr>
            </w:pPr>
            <w:r>
              <w:rPr>
                <w:rFonts w:hint="eastAsia" w:ascii="宋体" w:hAnsi="宋体" w:cs="宋体"/>
                <w:sz w:val="24"/>
                <w:szCs w:val="24"/>
              </w:rPr>
              <w:t>10</w:t>
            </w:r>
          </w:p>
        </w:tc>
        <w:tc>
          <w:tcPr>
            <w:tcW w:w="1494" w:type="dxa"/>
            <w:vAlign w:val="center"/>
          </w:tcPr>
          <w:p>
            <w:pPr>
              <w:spacing w:line="360" w:lineRule="auto"/>
              <w:jc w:val="center"/>
              <w:rPr>
                <w:rFonts w:ascii="宋体" w:hAnsi="宋体" w:cs="宋体"/>
                <w:sz w:val="24"/>
                <w:szCs w:val="24"/>
              </w:rPr>
            </w:pPr>
            <w:r>
              <w:rPr>
                <w:rFonts w:hint="eastAsia" w:ascii="宋体" w:hAnsi="宋体" w:cs="宋体"/>
                <w:sz w:val="24"/>
                <w:szCs w:val="24"/>
              </w:rPr>
              <w:t>投标文件的密封</w:t>
            </w:r>
          </w:p>
        </w:tc>
        <w:tc>
          <w:tcPr>
            <w:tcW w:w="7219" w:type="dxa"/>
            <w:vAlign w:val="center"/>
          </w:tcPr>
          <w:p>
            <w:pPr>
              <w:pStyle w:val="69"/>
              <w:spacing w:line="360" w:lineRule="auto"/>
              <w:rPr>
                <w:kern w:val="2"/>
              </w:rPr>
            </w:pPr>
            <w:r>
              <w:rPr>
                <w:rFonts w:hint="eastAsia"/>
                <w:kern w:val="2"/>
              </w:rPr>
              <w:t>1、密封要求：</w:t>
            </w:r>
          </w:p>
          <w:p>
            <w:pPr>
              <w:pStyle w:val="69"/>
              <w:spacing w:line="360" w:lineRule="auto"/>
              <w:rPr>
                <w:kern w:val="2"/>
              </w:rPr>
            </w:pPr>
            <w:r>
              <w:rPr>
                <w:rFonts w:hint="eastAsia"/>
                <w:kern w:val="2"/>
              </w:rPr>
              <w:t>开标一览表单独密封递交，</w:t>
            </w:r>
          </w:p>
          <w:p>
            <w:pPr>
              <w:pStyle w:val="69"/>
              <w:spacing w:line="360" w:lineRule="auto"/>
              <w:rPr>
                <w:kern w:val="2"/>
              </w:rPr>
            </w:pPr>
            <w:r>
              <w:rPr>
                <w:rFonts w:hint="eastAsia"/>
                <w:kern w:val="2"/>
              </w:rPr>
              <w:t>电子文档单独密封递交。</w:t>
            </w:r>
          </w:p>
          <w:p>
            <w:pPr>
              <w:spacing w:line="360" w:lineRule="auto"/>
              <w:ind w:right="158" w:rightChars="75"/>
              <w:rPr>
                <w:rFonts w:ascii="宋体" w:hAnsi="宋体" w:cs="宋体"/>
                <w:sz w:val="24"/>
                <w:szCs w:val="24"/>
              </w:rPr>
            </w:pPr>
            <w:r>
              <w:rPr>
                <w:rFonts w:hint="eastAsia" w:ascii="宋体" w:hAnsi="宋体" w:cs="宋体"/>
                <w:sz w:val="24"/>
                <w:szCs w:val="24"/>
              </w:rPr>
              <w:t>所有正本单独密封递交，也可分册密封递交；</w:t>
            </w:r>
          </w:p>
          <w:p>
            <w:pPr>
              <w:spacing w:line="360" w:lineRule="auto"/>
              <w:ind w:right="158" w:rightChars="75"/>
              <w:rPr>
                <w:rFonts w:ascii="宋体" w:hAnsi="宋体" w:cs="宋体"/>
                <w:sz w:val="24"/>
                <w:szCs w:val="24"/>
                <w:lang w:val="zh-CN"/>
              </w:rPr>
            </w:pPr>
            <w:r>
              <w:rPr>
                <w:rFonts w:hint="eastAsia" w:ascii="宋体" w:hAnsi="宋体" w:cs="宋体"/>
                <w:sz w:val="24"/>
                <w:szCs w:val="24"/>
              </w:rPr>
              <w:t>所有副本单独密封递交，</w:t>
            </w:r>
            <w:r>
              <w:rPr>
                <w:rFonts w:hint="eastAsia" w:ascii="宋体" w:hAnsi="宋体" w:cs="宋体"/>
                <w:sz w:val="24"/>
                <w:szCs w:val="24"/>
                <w:lang w:val="zh-CN"/>
              </w:rPr>
              <w:t>也可分册</w:t>
            </w:r>
            <w:r>
              <w:rPr>
                <w:rFonts w:hint="eastAsia" w:ascii="宋体" w:hAnsi="宋体" w:cs="宋体"/>
                <w:sz w:val="24"/>
                <w:szCs w:val="24"/>
              </w:rPr>
              <w:t>密封递交</w:t>
            </w:r>
            <w:r>
              <w:rPr>
                <w:rFonts w:hint="eastAsia" w:ascii="宋体" w:hAnsi="宋体" w:cs="宋体"/>
                <w:sz w:val="24"/>
                <w:szCs w:val="24"/>
                <w:lang w:val="zh-CN"/>
              </w:rPr>
              <w:t>；</w:t>
            </w:r>
          </w:p>
          <w:p>
            <w:pPr>
              <w:spacing w:line="360" w:lineRule="auto"/>
              <w:jc w:val="left"/>
              <w:rPr>
                <w:rFonts w:ascii="宋体" w:hAnsi="宋体" w:cs="宋体"/>
                <w:sz w:val="24"/>
                <w:szCs w:val="24"/>
              </w:rPr>
            </w:pPr>
            <w:r>
              <w:rPr>
                <w:rFonts w:hint="eastAsia" w:ascii="宋体" w:hAnsi="宋体" w:cs="宋体"/>
                <w:sz w:val="24"/>
                <w:szCs w:val="24"/>
              </w:rPr>
              <w:t>2、在封袋正面标明“正本”“副本”“电子版”“开标一览表”字样。封袋应密封完整（密封以不泄露供应商商业机密、投标文件内容为标准，封面标识见招标文件附件一），如果未按上述规定进行密封，供应商的投标文件有权被拒绝。</w:t>
            </w:r>
          </w:p>
          <w:p>
            <w:pPr>
              <w:spacing w:line="360" w:lineRule="auto"/>
              <w:jc w:val="left"/>
              <w:rPr>
                <w:rFonts w:ascii="宋体" w:hAnsi="宋体" w:cs="宋体"/>
                <w:sz w:val="24"/>
                <w:szCs w:val="24"/>
              </w:rPr>
            </w:pPr>
            <w:r>
              <w:rPr>
                <w:rFonts w:hint="eastAsia" w:ascii="宋体" w:hAnsi="宋体" w:cs="宋体"/>
                <w:sz w:val="24"/>
                <w:szCs w:val="24"/>
              </w:rPr>
              <w:t>3、如果供应商未按上述要求密封及加写标记，误投或过早启封的投标文件，将自行承担其投标文件被视为无效投标文件的风险。</w:t>
            </w:r>
          </w:p>
          <w:p>
            <w:pPr>
              <w:spacing w:line="360" w:lineRule="auto"/>
              <w:jc w:val="left"/>
              <w:rPr>
                <w:rFonts w:ascii="宋体" w:hAnsi="宋体" w:cs="宋体"/>
                <w:sz w:val="24"/>
                <w:szCs w:val="24"/>
              </w:rPr>
            </w:pPr>
            <w:r>
              <w:rPr>
                <w:rFonts w:hint="eastAsia" w:ascii="宋体" w:hAnsi="宋体" w:cs="宋体"/>
                <w:sz w:val="24"/>
                <w:szCs w:val="24"/>
              </w:rPr>
              <w:t>4、本次招标只接受简体中文文字的投标文件；如投标文件中出现外文资料，需配以中文译文。否则，由此引发的一切责任由供应商自负。</w:t>
            </w:r>
          </w:p>
          <w:p>
            <w:pPr>
              <w:spacing w:line="360" w:lineRule="auto"/>
              <w:jc w:val="left"/>
              <w:rPr>
                <w:rFonts w:ascii="宋体" w:hAnsi="宋体" w:cs="宋体"/>
                <w:color w:val="FF0000"/>
                <w:sz w:val="24"/>
                <w:szCs w:val="24"/>
              </w:rPr>
            </w:pPr>
            <w:r>
              <w:rPr>
                <w:rFonts w:hint="eastAsia" w:ascii="宋体" w:hAnsi="宋体" w:cs="宋体"/>
                <w:sz w:val="24"/>
                <w:szCs w:val="24"/>
              </w:rPr>
              <w:t>5、拒绝接受以电话、传真、电子邮件形式的投标。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2" w:hRule="atLeast"/>
        </w:trPr>
        <w:tc>
          <w:tcPr>
            <w:tcW w:w="505" w:type="dxa"/>
            <w:vAlign w:val="center"/>
          </w:tcPr>
          <w:p>
            <w:pPr>
              <w:spacing w:line="360" w:lineRule="auto"/>
              <w:jc w:val="center"/>
              <w:rPr>
                <w:rFonts w:ascii="宋体" w:hAnsi="宋体" w:cs="宋体"/>
                <w:color w:val="FF0000"/>
                <w:sz w:val="24"/>
                <w:szCs w:val="24"/>
              </w:rPr>
            </w:pPr>
            <w:r>
              <w:rPr>
                <w:rFonts w:hint="eastAsia" w:ascii="宋体" w:hAnsi="宋体" w:cs="宋体"/>
                <w:sz w:val="24"/>
                <w:szCs w:val="24"/>
              </w:rPr>
              <w:t>11</w:t>
            </w:r>
          </w:p>
        </w:tc>
        <w:tc>
          <w:tcPr>
            <w:tcW w:w="1494" w:type="dxa"/>
            <w:vAlign w:val="center"/>
          </w:tcPr>
          <w:p>
            <w:pPr>
              <w:spacing w:line="360" w:lineRule="auto"/>
              <w:rPr>
                <w:rFonts w:ascii="宋体" w:hAnsi="宋体" w:cs="宋体"/>
                <w:sz w:val="24"/>
                <w:szCs w:val="24"/>
              </w:rPr>
            </w:pPr>
            <w:r>
              <w:rPr>
                <w:rFonts w:hint="eastAsia" w:ascii="宋体" w:hAnsi="宋体" w:cs="宋体"/>
                <w:b/>
                <w:bCs/>
                <w:sz w:val="24"/>
                <w:szCs w:val="24"/>
              </w:rPr>
              <w:t>评分标准</w:t>
            </w:r>
          </w:p>
        </w:tc>
        <w:tc>
          <w:tcPr>
            <w:tcW w:w="7219" w:type="dxa"/>
            <w:vAlign w:val="center"/>
          </w:tcPr>
          <w:p>
            <w:pPr>
              <w:spacing w:line="360" w:lineRule="auto"/>
              <w:rPr>
                <w:rFonts w:ascii="宋体" w:hAnsi="宋体" w:cs="宋体"/>
                <w:sz w:val="24"/>
                <w:szCs w:val="24"/>
              </w:rPr>
            </w:pPr>
            <w:r>
              <w:rPr>
                <w:rFonts w:hint="eastAsia" w:ascii="宋体" w:hAnsi="宋体" w:cs="宋体"/>
                <w:sz w:val="24"/>
                <w:szCs w:val="24"/>
              </w:rPr>
              <w:t>综合评分法（详见第四部分）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69" w:hRule="atLeast"/>
        </w:trPr>
        <w:tc>
          <w:tcPr>
            <w:tcW w:w="505" w:type="dxa"/>
            <w:vAlign w:val="center"/>
          </w:tcPr>
          <w:p>
            <w:pPr>
              <w:spacing w:line="360" w:lineRule="auto"/>
              <w:jc w:val="center"/>
              <w:rPr>
                <w:rFonts w:ascii="宋体" w:hAnsi="宋体" w:cs="宋体"/>
                <w:color w:val="000000"/>
                <w:sz w:val="24"/>
                <w:szCs w:val="24"/>
              </w:rPr>
            </w:pPr>
            <w:r>
              <w:rPr>
                <w:rFonts w:hint="eastAsia" w:ascii="宋体" w:hAnsi="宋体" w:cs="宋体"/>
                <w:sz w:val="24"/>
                <w:szCs w:val="24"/>
              </w:rPr>
              <w:t>12</w:t>
            </w:r>
          </w:p>
        </w:tc>
        <w:tc>
          <w:tcPr>
            <w:tcW w:w="1494" w:type="dxa"/>
            <w:vAlign w:val="center"/>
          </w:tcPr>
          <w:p>
            <w:pPr>
              <w:spacing w:line="360" w:lineRule="auto"/>
              <w:jc w:val="center"/>
              <w:rPr>
                <w:rFonts w:ascii="宋体" w:hAnsi="宋体" w:cs="宋体"/>
                <w:sz w:val="24"/>
                <w:szCs w:val="24"/>
              </w:rPr>
            </w:pPr>
            <w:r>
              <w:rPr>
                <w:rFonts w:hint="eastAsia" w:ascii="宋体" w:hAnsi="宋体" w:cs="宋体"/>
                <w:sz w:val="24"/>
                <w:szCs w:val="24"/>
              </w:rPr>
              <w:t>是否采购进口产品</w:t>
            </w:r>
          </w:p>
        </w:tc>
        <w:tc>
          <w:tcPr>
            <w:tcW w:w="7219" w:type="dxa"/>
            <w:vAlign w:val="center"/>
          </w:tcPr>
          <w:p>
            <w:pPr>
              <w:spacing w:line="360" w:lineRule="auto"/>
              <w:rPr>
                <w:rFonts w:ascii="宋体" w:hAnsi="宋体" w:cs="宋体"/>
                <w:sz w:val="24"/>
                <w:szCs w:val="24"/>
              </w:rPr>
            </w:pPr>
            <w:r>
              <w:rPr>
                <w:rFonts w:hint="eastAsia" w:ascii="宋体" w:hAnsi="宋体" w:cs="宋体"/>
                <w:sz w:val="24"/>
                <w:szCs w:val="24"/>
                <w:lang w:eastAsia="zh-CN"/>
              </w:rPr>
              <w:t>不</w:t>
            </w:r>
            <w:r>
              <w:rPr>
                <w:rFonts w:hint="eastAsia" w:ascii="宋体" w:hAnsi="宋体" w:cs="宋体"/>
                <w:sz w:val="24"/>
                <w:szCs w:val="24"/>
              </w:rPr>
              <w:t>允许采购进口产品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ascii="宋体" w:hAnsi="宋体" w:cs="宋体"/>
                <w:sz w:val="24"/>
                <w:szCs w:val="24"/>
              </w:rPr>
            </w:pPr>
            <w:r>
              <w:rPr>
                <w:rFonts w:hint="eastAsia" w:ascii="宋体" w:hAnsi="宋体" w:cs="宋体"/>
                <w:sz w:val="24"/>
                <w:szCs w:val="24"/>
              </w:rPr>
              <w:t>13</w:t>
            </w:r>
          </w:p>
        </w:tc>
        <w:tc>
          <w:tcPr>
            <w:tcW w:w="1494" w:type="dxa"/>
            <w:vAlign w:val="center"/>
          </w:tcPr>
          <w:p>
            <w:pPr>
              <w:spacing w:line="360" w:lineRule="auto"/>
              <w:jc w:val="center"/>
              <w:rPr>
                <w:rFonts w:ascii="宋体" w:hAnsi="宋体" w:cs="宋体"/>
                <w:sz w:val="24"/>
                <w:szCs w:val="24"/>
              </w:rPr>
            </w:pPr>
            <w:r>
              <w:rPr>
                <w:rFonts w:hint="eastAsia" w:ascii="宋体" w:hAnsi="宋体" w:cs="宋体"/>
                <w:sz w:val="24"/>
                <w:szCs w:val="24"/>
              </w:rPr>
              <w:t>现场勘查</w:t>
            </w:r>
          </w:p>
        </w:tc>
        <w:tc>
          <w:tcPr>
            <w:tcW w:w="7219" w:type="dxa"/>
            <w:vAlign w:val="center"/>
          </w:tcPr>
          <w:p>
            <w:pPr>
              <w:spacing w:line="360" w:lineRule="auto"/>
              <w:rPr>
                <w:rFonts w:ascii="宋体" w:hAnsi="宋体" w:cs="宋体"/>
                <w:sz w:val="24"/>
                <w:szCs w:val="24"/>
              </w:rPr>
            </w:pPr>
            <w:r>
              <w:rPr>
                <w:rFonts w:hint="eastAsia" w:ascii="宋体" w:hAnsi="宋体" w:cs="宋体"/>
                <w:sz w:val="24"/>
                <w:szCs w:val="24"/>
              </w:rPr>
              <w:t>不组织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ascii="宋体" w:hAnsi="宋体" w:cs="宋体"/>
                <w:sz w:val="24"/>
                <w:szCs w:val="24"/>
              </w:rPr>
            </w:pPr>
            <w:r>
              <w:rPr>
                <w:rFonts w:hint="eastAsia" w:ascii="宋体" w:hAnsi="宋体" w:cs="宋体"/>
                <w:sz w:val="24"/>
                <w:szCs w:val="24"/>
              </w:rPr>
              <w:t>14</w:t>
            </w:r>
          </w:p>
        </w:tc>
        <w:tc>
          <w:tcPr>
            <w:tcW w:w="1494" w:type="dxa"/>
            <w:vAlign w:val="center"/>
          </w:tcPr>
          <w:p>
            <w:pPr>
              <w:spacing w:line="360" w:lineRule="auto"/>
              <w:jc w:val="center"/>
              <w:rPr>
                <w:rFonts w:ascii="宋体" w:hAnsi="宋体" w:cs="宋体"/>
                <w:sz w:val="24"/>
                <w:szCs w:val="24"/>
              </w:rPr>
            </w:pPr>
            <w:r>
              <w:rPr>
                <w:rFonts w:hint="eastAsia" w:ascii="宋体" w:hAnsi="宋体" w:cs="宋体"/>
                <w:sz w:val="24"/>
                <w:szCs w:val="24"/>
              </w:rPr>
              <w:t>代理服务费</w:t>
            </w:r>
          </w:p>
        </w:tc>
        <w:tc>
          <w:tcPr>
            <w:tcW w:w="7219" w:type="dxa"/>
            <w:vAlign w:val="center"/>
          </w:tcPr>
          <w:p>
            <w:pPr>
              <w:spacing w:line="360" w:lineRule="auto"/>
              <w:rPr>
                <w:rFonts w:ascii="宋体" w:hAnsi="宋体" w:cs="宋体"/>
                <w:sz w:val="24"/>
                <w:szCs w:val="24"/>
              </w:rPr>
            </w:pPr>
            <w:r>
              <w:rPr>
                <w:rFonts w:hint="eastAsia" w:ascii="宋体" w:hAnsi="宋体" w:cs="宋体"/>
                <w:sz w:val="24"/>
                <w:szCs w:val="24"/>
              </w:rPr>
              <w:t xml:space="preserve"> 参照国家计委颁布的《招标代理服务收费管理暂行办法》（计价格[2002]1980号）和发改办价格[2003]857号文件等法律法规规定的计价标准下浮20%收取（含税），按照中标金额差额定率累进法计算，由中标/成交单位一次性支付给乙方。</w:t>
            </w:r>
          </w:p>
          <w:p>
            <w:pPr>
              <w:spacing w:line="360" w:lineRule="auto"/>
            </w:pPr>
            <w:r>
              <w:rPr>
                <w:rFonts w:hint="eastAsia" w:ascii="宋体" w:hAnsi="宋体" w:cs="宋体"/>
                <w:sz w:val="24"/>
                <w:szCs w:val="24"/>
              </w:rPr>
              <w:t>供应商将招标代理服务费计入投标报价但不单独列明，中标单位在领取中标通知书前，须向采购代理机构一次性支付招标代理服务费；代理服务费以转账、电汇或现金等形式交纳。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hint="eastAsia" w:ascii="宋体" w:hAnsi="宋体" w:eastAsia="宋体" w:cs="宋体"/>
                <w:kern w:val="2"/>
                <w:sz w:val="24"/>
                <w:szCs w:val="24"/>
                <w:lang w:val="en-US" w:eastAsia="zh-CN" w:bidi="ar-SA"/>
              </w:rPr>
            </w:pPr>
            <w:r>
              <w:rPr>
                <w:rFonts w:hint="eastAsia" w:ascii="宋体" w:hAnsi="宋体" w:cs="宋体"/>
                <w:sz w:val="24"/>
                <w:szCs w:val="24"/>
              </w:rPr>
              <w:t>15</w:t>
            </w:r>
          </w:p>
        </w:tc>
        <w:tc>
          <w:tcPr>
            <w:tcW w:w="1494"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cs="宋体"/>
                <w:b/>
                <w:bCs/>
                <w:sz w:val="24"/>
                <w:szCs w:val="24"/>
                <w:lang w:eastAsia="zh-CN"/>
              </w:rPr>
              <w:t>核心产品</w:t>
            </w:r>
          </w:p>
        </w:tc>
        <w:tc>
          <w:tcPr>
            <w:tcW w:w="7219" w:type="dxa"/>
            <w:vAlign w:val="center"/>
          </w:tcPr>
          <w:p>
            <w:pPr>
              <w:pStyle w:val="16"/>
              <w:spacing w:line="336" w:lineRule="auto"/>
              <w:jc w:val="left"/>
              <w:rPr>
                <w:rFonts w:hint="eastAsia" w:ascii="仿宋" w:hAnsi="仿宋"/>
                <w:b/>
                <w:bCs/>
                <w:color w:val="000000"/>
                <w:sz w:val="24"/>
                <w:szCs w:val="24"/>
                <w:lang w:val="en-US" w:eastAsia="zh-CN"/>
              </w:rPr>
            </w:pPr>
            <w:r>
              <w:rPr>
                <w:rFonts w:hint="eastAsia" w:ascii="仿宋" w:hAnsi="仿宋"/>
                <w:b/>
                <w:bCs/>
                <w:color w:val="000000"/>
                <w:sz w:val="24"/>
                <w:szCs w:val="24"/>
                <w:lang w:eastAsia="zh-CN"/>
              </w:rPr>
              <w:t>合同包</w:t>
            </w:r>
            <w:r>
              <w:rPr>
                <w:rFonts w:hint="eastAsia" w:ascii="仿宋" w:hAnsi="仿宋"/>
                <w:b/>
                <w:bCs/>
                <w:color w:val="000000"/>
                <w:sz w:val="24"/>
                <w:szCs w:val="24"/>
                <w:lang w:val="en-US" w:eastAsia="zh-CN"/>
              </w:rPr>
              <w:t>1：财经大数据分析云平台软件</w:t>
            </w:r>
          </w:p>
          <w:p>
            <w:pPr>
              <w:pStyle w:val="16"/>
              <w:spacing w:line="336" w:lineRule="auto"/>
              <w:jc w:val="left"/>
              <w:rPr>
                <w:rFonts w:hint="default" w:ascii="仿宋" w:hAnsi="仿宋"/>
                <w:b/>
                <w:bCs/>
                <w:color w:val="000000"/>
                <w:sz w:val="24"/>
                <w:szCs w:val="24"/>
                <w:lang w:val="en-US" w:eastAsia="zh-CN"/>
              </w:rPr>
            </w:pPr>
            <w:r>
              <w:rPr>
                <w:rFonts w:hint="eastAsia" w:ascii="仿宋" w:hAnsi="仿宋"/>
                <w:b/>
                <w:bCs/>
                <w:color w:val="000000"/>
                <w:sz w:val="24"/>
                <w:szCs w:val="24"/>
                <w:lang w:eastAsia="zh-CN"/>
              </w:rPr>
              <w:t>合同包</w:t>
            </w:r>
            <w:r>
              <w:rPr>
                <w:rFonts w:hint="eastAsia" w:ascii="仿宋" w:hAnsi="仿宋"/>
                <w:b/>
                <w:bCs/>
                <w:color w:val="000000"/>
                <w:sz w:val="24"/>
                <w:szCs w:val="24"/>
                <w:lang w:val="en-US" w:eastAsia="zh-CN"/>
              </w:rPr>
              <w:t>2：学生云终端</w:t>
            </w:r>
          </w:p>
          <w:p>
            <w:pPr>
              <w:pStyle w:val="16"/>
              <w:spacing w:line="336" w:lineRule="auto"/>
              <w:jc w:val="left"/>
              <w:rPr>
                <w:rFonts w:hint="eastAsia" w:ascii="仿宋" w:hAnsi="仿宋"/>
                <w:b/>
                <w:bCs/>
                <w:color w:val="000000"/>
                <w:sz w:val="24"/>
                <w:szCs w:val="24"/>
                <w:lang w:val="en-US" w:eastAsia="zh-CN"/>
              </w:rPr>
            </w:pPr>
            <w:r>
              <w:rPr>
                <w:rFonts w:hint="eastAsia" w:ascii="仿宋" w:hAnsi="仿宋"/>
                <w:b/>
                <w:bCs/>
                <w:color w:val="000000"/>
                <w:sz w:val="24"/>
                <w:szCs w:val="24"/>
                <w:lang w:eastAsia="zh-CN"/>
              </w:rPr>
              <w:t>合同包</w:t>
            </w:r>
            <w:r>
              <w:rPr>
                <w:rFonts w:hint="eastAsia" w:ascii="仿宋" w:hAnsi="仿宋"/>
                <w:b/>
                <w:bCs/>
                <w:color w:val="000000"/>
                <w:sz w:val="24"/>
                <w:szCs w:val="24"/>
                <w:lang w:val="en-US" w:eastAsia="zh-CN"/>
              </w:rPr>
              <w:t>3：直播营销理实一体化实训系统</w:t>
            </w:r>
          </w:p>
          <w:p>
            <w:pPr>
              <w:pStyle w:val="16"/>
              <w:spacing w:line="336" w:lineRule="auto"/>
              <w:jc w:val="left"/>
              <w:rPr>
                <w:rFonts w:hint="eastAsia" w:ascii="仿宋" w:hAnsi="仿宋"/>
                <w:b/>
                <w:bCs/>
                <w:color w:val="000000"/>
                <w:sz w:val="24"/>
                <w:szCs w:val="24"/>
                <w:lang w:val="en-US" w:eastAsia="zh-CN"/>
              </w:rPr>
            </w:pPr>
            <w:r>
              <w:rPr>
                <w:rFonts w:hint="eastAsia" w:ascii="仿宋" w:hAnsi="仿宋"/>
                <w:b/>
                <w:bCs/>
                <w:color w:val="000000"/>
                <w:sz w:val="24"/>
                <w:szCs w:val="24"/>
                <w:lang w:eastAsia="zh-CN"/>
              </w:rPr>
              <w:t>合同包</w:t>
            </w:r>
            <w:r>
              <w:rPr>
                <w:rFonts w:hint="eastAsia" w:ascii="仿宋" w:hAnsi="仿宋"/>
                <w:b/>
                <w:bCs/>
                <w:color w:val="000000"/>
                <w:sz w:val="24"/>
                <w:szCs w:val="24"/>
                <w:lang w:val="en-US" w:eastAsia="zh-CN"/>
              </w:rPr>
              <w:t>4：智能财税技能测评平台</w:t>
            </w:r>
          </w:p>
          <w:p>
            <w:pPr>
              <w:pStyle w:val="16"/>
              <w:spacing w:line="336" w:lineRule="auto"/>
              <w:jc w:val="left"/>
              <w:rPr>
                <w:rFonts w:hint="eastAsia" w:ascii="仿宋" w:hAnsi="仿宋"/>
                <w:b/>
                <w:bCs/>
                <w:color w:val="000000"/>
                <w:sz w:val="24"/>
                <w:szCs w:val="24"/>
                <w:lang w:val="en-US" w:eastAsia="zh-CN"/>
              </w:rPr>
            </w:pPr>
            <w:r>
              <w:rPr>
                <w:rFonts w:hint="eastAsia" w:ascii="仿宋" w:hAnsi="仿宋"/>
                <w:b/>
                <w:bCs/>
                <w:color w:val="000000"/>
                <w:sz w:val="24"/>
                <w:szCs w:val="24"/>
                <w:lang w:eastAsia="zh-CN"/>
              </w:rPr>
              <w:t>合同包</w:t>
            </w:r>
            <w:r>
              <w:rPr>
                <w:rFonts w:hint="eastAsia" w:ascii="仿宋" w:hAnsi="仿宋"/>
                <w:b/>
                <w:bCs/>
                <w:color w:val="000000"/>
                <w:sz w:val="24"/>
                <w:szCs w:val="24"/>
                <w:lang w:val="en-US" w:eastAsia="zh-CN"/>
              </w:rPr>
              <w:t>5：直播手机</w:t>
            </w:r>
          </w:p>
          <w:p>
            <w:pPr>
              <w:pStyle w:val="16"/>
              <w:spacing w:line="336" w:lineRule="auto"/>
              <w:jc w:val="left"/>
              <w:rPr>
                <w:rFonts w:hint="default" w:ascii="仿宋" w:hAnsi="仿宋" w:eastAsia="宋体"/>
                <w:color w:val="000000"/>
                <w:sz w:val="24"/>
                <w:szCs w:val="24"/>
                <w:lang w:val="en-US" w:eastAsia="zh-CN"/>
              </w:rPr>
            </w:pPr>
            <w:r>
              <w:rPr>
                <w:rFonts w:hint="eastAsia" w:ascii="仿宋" w:hAnsi="仿宋"/>
                <w:b/>
                <w:bCs/>
                <w:color w:val="000000"/>
                <w:sz w:val="24"/>
                <w:szCs w:val="24"/>
                <w:lang w:val="en-US" w:eastAsia="zh-CN"/>
              </w:rPr>
              <w:t>合同包6：模拟经营沙盘软件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ascii="宋体" w:hAnsi="宋体" w:eastAsia="宋体" w:cs="宋体"/>
                <w:kern w:val="2"/>
                <w:sz w:val="24"/>
                <w:szCs w:val="24"/>
                <w:lang w:val="en-US" w:eastAsia="zh-CN" w:bidi="ar-SA"/>
              </w:rPr>
            </w:pPr>
            <w:r>
              <w:rPr>
                <w:rFonts w:hint="eastAsia" w:ascii="宋体" w:hAnsi="宋体" w:cs="宋体"/>
                <w:sz w:val="24"/>
                <w:szCs w:val="24"/>
              </w:rPr>
              <w:t>16</w:t>
            </w:r>
          </w:p>
        </w:tc>
        <w:tc>
          <w:tcPr>
            <w:tcW w:w="1494" w:type="dxa"/>
            <w:vAlign w:val="center"/>
          </w:tcPr>
          <w:p>
            <w:pPr>
              <w:spacing w:line="360" w:lineRule="auto"/>
              <w:jc w:val="center"/>
              <w:rPr>
                <w:rFonts w:ascii="宋体" w:hAnsi="宋体" w:cs="宋体"/>
                <w:b/>
                <w:bCs/>
                <w:sz w:val="24"/>
                <w:szCs w:val="24"/>
              </w:rPr>
            </w:pPr>
            <w:r>
              <w:rPr>
                <w:rFonts w:hint="eastAsia" w:ascii="宋体" w:hAnsi="宋体" w:cs="宋体"/>
                <w:b/>
                <w:bCs/>
                <w:sz w:val="24"/>
                <w:szCs w:val="24"/>
              </w:rPr>
              <w:t>项目属性</w:t>
            </w:r>
          </w:p>
        </w:tc>
        <w:tc>
          <w:tcPr>
            <w:tcW w:w="7219" w:type="dxa"/>
            <w:vAlign w:val="center"/>
          </w:tcPr>
          <w:p>
            <w:pPr>
              <w:pStyle w:val="2"/>
              <w:rPr>
                <w:rFonts w:ascii="仿宋" w:hAnsi="仿宋" w:cs="Courier New"/>
                <w:color w:val="000000"/>
                <w:sz w:val="24"/>
                <w:szCs w:val="24"/>
              </w:rPr>
            </w:pPr>
            <w:r>
              <w:rPr>
                <w:rFonts w:hint="eastAsia" w:ascii="仿宋" w:hAnsi="仿宋" w:cs="Courier New"/>
                <w:sz w:val="24"/>
                <w:szCs w:val="24"/>
              </w:rPr>
              <w:t>货物招标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ascii="宋体" w:hAnsi="宋体" w:eastAsia="宋体" w:cs="宋体"/>
                <w:kern w:val="2"/>
                <w:sz w:val="24"/>
                <w:szCs w:val="24"/>
                <w:lang w:val="en-US" w:eastAsia="zh-CN" w:bidi="ar-SA"/>
              </w:rPr>
            </w:pPr>
            <w:r>
              <w:rPr>
                <w:rFonts w:hint="eastAsia" w:ascii="宋体" w:hAnsi="宋体" w:cs="宋体"/>
                <w:sz w:val="24"/>
                <w:szCs w:val="24"/>
              </w:rPr>
              <w:t>17</w:t>
            </w:r>
          </w:p>
        </w:tc>
        <w:tc>
          <w:tcPr>
            <w:tcW w:w="1494" w:type="dxa"/>
            <w:vAlign w:val="center"/>
          </w:tcPr>
          <w:p>
            <w:pPr>
              <w:spacing w:line="360" w:lineRule="auto"/>
              <w:jc w:val="center"/>
              <w:rPr>
                <w:rFonts w:ascii="宋体" w:hAnsi="宋体" w:cs="宋体"/>
                <w:b/>
                <w:bCs/>
                <w:sz w:val="24"/>
                <w:szCs w:val="24"/>
              </w:rPr>
            </w:pPr>
            <w:r>
              <w:rPr>
                <w:rFonts w:hint="eastAsia" w:ascii="宋体" w:hAnsi="宋体" w:cs="宋体"/>
                <w:b/>
                <w:bCs/>
                <w:sz w:val="24"/>
                <w:szCs w:val="24"/>
              </w:rPr>
              <w:t>所属行业</w:t>
            </w:r>
          </w:p>
        </w:tc>
        <w:tc>
          <w:tcPr>
            <w:tcW w:w="7219" w:type="dxa"/>
            <w:vAlign w:val="center"/>
          </w:tcPr>
          <w:p>
            <w:pPr>
              <w:pStyle w:val="16"/>
              <w:spacing w:line="336" w:lineRule="auto"/>
              <w:jc w:val="left"/>
              <w:rPr>
                <w:rFonts w:hint="eastAsia" w:ascii="仿宋" w:hAnsi="仿宋"/>
                <w:b/>
                <w:bCs/>
                <w:color w:val="000000"/>
                <w:sz w:val="24"/>
                <w:szCs w:val="24"/>
                <w:lang w:val="en-US" w:eastAsia="zh-CN"/>
              </w:rPr>
            </w:pPr>
            <w:r>
              <w:rPr>
                <w:rFonts w:hint="eastAsia" w:ascii="仿宋" w:hAnsi="仿宋"/>
                <w:b/>
                <w:bCs/>
                <w:color w:val="000000"/>
                <w:sz w:val="24"/>
                <w:szCs w:val="24"/>
                <w:lang w:eastAsia="zh-CN"/>
              </w:rPr>
              <w:t>合同包</w:t>
            </w:r>
            <w:r>
              <w:rPr>
                <w:rFonts w:hint="eastAsia" w:ascii="仿宋" w:hAnsi="仿宋"/>
                <w:b/>
                <w:bCs/>
                <w:color w:val="000000"/>
                <w:sz w:val="24"/>
                <w:szCs w:val="24"/>
                <w:lang w:val="en-US" w:eastAsia="zh-CN"/>
              </w:rPr>
              <w:t>1：</w:t>
            </w:r>
            <w:r>
              <w:rPr>
                <w:rFonts w:hint="eastAsia" w:ascii="仿宋" w:hAnsi="仿宋" w:cs="Courier New"/>
                <w:b/>
                <w:bCs/>
                <w:color w:val="000000"/>
                <w:sz w:val="24"/>
                <w:szCs w:val="24"/>
              </w:rPr>
              <w:t>所属行业为</w:t>
            </w:r>
            <w:r>
              <w:rPr>
                <w:rFonts w:hint="eastAsia" w:ascii="仿宋" w:hAnsi="仿宋"/>
                <w:b/>
                <w:bCs/>
                <w:color w:val="000000"/>
                <w:sz w:val="24"/>
                <w:szCs w:val="24"/>
              </w:rPr>
              <w:t>软件和信息技术服务业</w:t>
            </w:r>
          </w:p>
          <w:p>
            <w:pPr>
              <w:pStyle w:val="16"/>
              <w:spacing w:line="336" w:lineRule="auto"/>
              <w:jc w:val="left"/>
              <w:rPr>
                <w:rFonts w:hint="eastAsia" w:ascii="仿宋" w:hAnsi="仿宋"/>
                <w:b/>
                <w:bCs/>
                <w:color w:val="000000"/>
                <w:sz w:val="24"/>
                <w:szCs w:val="24"/>
                <w:lang w:val="en-US" w:eastAsia="zh-CN"/>
              </w:rPr>
            </w:pPr>
            <w:r>
              <w:rPr>
                <w:rFonts w:hint="eastAsia" w:ascii="仿宋" w:hAnsi="仿宋"/>
                <w:b/>
                <w:bCs/>
                <w:color w:val="000000"/>
                <w:sz w:val="24"/>
                <w:szCs w:val="24"/>
                <w:lang w:eastAsia="zh-CN"/>
              </w:rPr>
              <w:t>合同包</w:t>
            </w:r>
            <w:r>
              <w:rPr>
                <w:rFonts w:hint="eastAsia" w:ascii="仿宋" w:hAnsi="仿宋"/>
                <w:b/>
                <w:bCs/>
                <w:color w:val="000000"/>
                <w:sz w:val="24"/>
                <w:szCs w:val="24"/>
                <w:lang w:val="en-US" w:eastAsia="zh-CN"/>
              </w:rPr>
              <w:t>2：</w:t>
            </w:r>
            <w:r>
              <w:rPr>
                <w:rFonts w:hint="eastAsia" w:ascii="仿宋" w:hAnsi="仿宋" w:cs="Courier New"/>
                <w:b/>
                <w:bCs/>
                <w:color w:val="000000"/>
                <w:sz w:val="24"/>
                <w:szCs w:val="24"/>
              </w:rPr>
              <w:t>所属行业为</w:t>
            </w:r>
            <w:r>
              <w:rPr>
                <w:rFonts w:hint="eastAsia" w:ascii="仿宋" w:hAnsi="仿宋"/>
                <w:b/>
                <w:bCs/>
                <w:color w:val="000000"/>
                <w:sz w:val="24"/>
                <w:szCs w:val="24"/>
                <w:lang w:val="en-US" w:eastAsia="zh-CN"/>
              </w:rPr>
              <w:t>工业</w:t>
            </w:r>
          </w:p>
          <w:p>
            <w:pPr>
              <w:pStyle w:val="16"/>
              <w:spacing w:line="336" w:lineRule="auto"/>
              <w:jc w:val="left"/>
              <w:rPr>
                <w:rFonts w:hint="eastAsia" w:ascii="仿宋" w:hAnsi="仿宋"/>
                <w:b/>
                <w:bCs/>
                <w:color w:val="000000"/>
                <w:sz w:val="24"/>
                <w:szCs w:val="24"/>
                <w:lang w:val="en-US" w:eastAsia="zh-CN"/>
              </w:rPr>
            </w:pPr>
            <w:r>
              <w:rPr>
                <w:rFonts w:hint="eastAsia" w:ascii="仿宋" w:hAnsi="仿宋"/>
                <w:b/>
                <w:bCs/>
                <w:color w:val="000000"/>
                <w:sz w:val="24"/>
                <w:szCs w:val="24"/>
                <w:lang w:eastAsia="zh-CN"/>
              </w:rPr>
              <w:t>合同包</w:t>
            </w:r>
            <w:r>
              <w:rPr>
                <w:rFonts w:hint="eastAsia" w:ascii="仿宋" w:hAnsi="仿宋"/>
                <w:b/>
                <w:bCs/>
                <w:color w:val="000000"/>
                <w:sz w:val="24"/>
                <w:szCs w:val="24"/>
                <w:lang w:val="en-US" w:eastAsia="zh-CN"/>
              </w:rPr>
              <w:t>3：</w:t>
            </w:r>
            <w:r>
              <w:rPr>
                <w:rFonts w:hint="eastAsia" w:ascii="仿宋" w:hAnsi="仿宋" w:cs="Courier New"/>
                <w:b/>
                <w:bCs/>
                <w:color w:val="000000"/>
                <w:sz w:val="24"/>
                <w:szCs w:val="24"/>
              </w:rPr>
              <w:t>所属行业为</w:t>
            </w:r>
            <w:r>
              <w:rPr>
                <w:rFonts w:hint="eastAsia" w:ascii="仿宋" w:hAnsi="仿宋"/>
                <w:b/>
                <w:bCs/>
                <w:color w:val="000000"/>
                <w:sz w:val="24"/>
                <w:szCs w:val="24"/>
              </w:rPr>
              <w:t>软件和信息技术服务业</w:t>
            </w:r>
          </w:p>
          <w:p>
            <w:pPr>
              <w:pStyle w:val="16"/>
              <w:spacing w:line="336" w:lineRule="auto"/>
              <w:jc w:val="left"/>
              <w:rPr>
                <w:rFonts w:hint="eastAsia" w:ascii="仿宋" w:hAnsi="仿宋"/>
                <w:b/>
                <w:bCs/>
                <w:color w:val="000000"/>
                <w:sz w:val="24"/>
                <w:szCs w:val="24"/>
              </w:rPr>
            </w:pPr>
            <w:r>
              <w:rPr>
                <w:rFonts w:hint="eastAsia" w:ascii="仿宋" w:hAnsi="仿宋"/>
                <w:b/>
                <w:bCs/>
                <w:color w:val="000000"/>
                <w:sz w:val="24"/>
                <w:szCs w:val="24"/>
                <w:lang w:eastAsia="zh-CN"/>
              </w:rPr>
              <w:t>合同包</w:t>
            </w:r>
            <w:r>
              <w:rPr>
                <w:rFonts w:hint="eastAsia" w:ascii="仿宋" w:hAnsi="仿宋"/>
                <w:b/>
                <w:bCs/>
                <w:color w:val="000000"/>
                <w:sz w:val="24"/>
                <w:szCs w:val="24"/>
                <w:lang w:val="en-US" w:eastAsia="zh-CN"/>
              </w:rPr>
              <w:t>4：</w:t>
            </w:r>
            <w:r>
              <w:rPr>
                <w:rFonts w:hint="eastAsia" w:ascii="仿宋" w:hAnsi="仿宋" w:cs="Courier New"/>
                <w:b/>
                <w:bCs/>
                <w:color w:val="000000"/>
                <w:sz w:val="24"/>
                <w:szCs w:val="24"/>
              </w:rPr>
              <w:t>所属行业为</w:t>
            </w:r>
            <w:r>
              <w:rPr>
                <w:rFonts w:hint="eastAsia" w:ascii="仿宋" w:hAnsi="仿宋"/>
                <w:b/>
                <w:bCs/>
                <w:color w:val="000000"/>
                <w:sz w:val="24"/>
                <w:szCs w:val="24"/>
              </w:rPr>
              <w:t>软件和信息技术服务业</w:t>
            </w:r>
          </w:p>
          <w:p>
            <w:pPr>
              <w:pStyle w:val="16"/>
              <w:spacing w:line="336" w:lineRule="auto"/>
              <w:jc w:val="left"/>
              <w:rPr>
                <w:rFonts w:hint="eastAsia" w:ascii="仿宋" w:hAnsi="仿宋"/>
                <w:b/>
                <w:bCs/>
                <w:color w:val="000000"/>
                <w:sz w:val="24"/>
                <w:szCs w:val="24"/>
                <w:lang w:val="en-US" w:eastAsia="zh-CN"/>
              </w:rPr>
            </w:pPr>
            <w:r>
              <w:rPr>
                <w:rFonts w:hint="eastAsia" w:ascii="仿宋" w:hAnsi="仿宋"/>
                <w:b/>
                <w:bCs/>
                <w:color w:val="000000"/>
                <w:sz w:val="24"/>
                <w:szCs w:val="24"/>
                <w:lang w:eastAsia="zh-CN"/>
              </w:rPr>
              <w:t>合同包</w:t>
            </w:r>
            <w:r>
              <w:rPr>
                <w:rFonts w:hint="eastAsia" w:ascii="仿宋" w:hAnsi="仿宋"/>
                <w:b/>
                <w:bCs/>
                <w:color w:val="000000"/>
                <w:sz w:val="24"/>
                <w:szCs w:val="24"/>
                <w:lang w:val="en-US" w:eastAsia="zh-CN"/>
              </w:rPr>
              <w:t>5：</w:t>
            </w:r>
            <w:r>
              <w:rPr>
                <w:rFonts w:hint="eastAsia" w:ascii="仿宋" w:hAnsi="仿宋" w:cs="Courier New"/>
                <w:b/>
                <w:bCs/>
                <w:color w:val="000000"/>
                <w:sz w:val="24"/>
                <w:szCs w:val="24"/>
              </w:rPr>
              <w:t>所属行业为</w:t>
            </w:r>
            <w:r>
              <w:rPr>
                <w:rFonts w:hint="eastAsia" w:ascii="仿宋" w:hAnsi="仿宋"/>
                <w:b/>
                <w:bCs/>
                <w:color w:val="000000"/>
                <w:sz w:val="24"/>
                <w:szCs w:val="24"/>
                <w:lang w:val="en-US" w:eastAsia="zh-CN"/>
              </w:rPr>
              <w:t>工业</w:t>
            </w:r>
          </w:p>
          <w:p>
            <w:pPr>
              <w:pStyle w:val="16"/>
              <w:spacing w:line="336" w:lineRule="auto"/>
              <w:jc w:val="left"/>
              <w:rPr>
                <w:rFonts w:ascii="仿宋" w:hAnsi="仿宋" w:cs="Courier New"/>
                <w:color w:val="000000"/>
                <w:sz w:val="24"/>
                <w:szCs w:val="24"/>
              </w:rPr>
            </w:pPr>
            <w:r>
              <w:rPr>
                <w:rFonts w:hint="eastAsia" w:ascii="仿宋" w:hAnsi="仿宋"/>
                <w:b/>
                <w:bCs/>
                <w:color w:val="000000"/>
                <w:sz w:val="24"/>
                <w:szCs w:val="24"/>
                <w:lang w:val="en-US" w:eastAsia="zh-CN"/>
              </w:rPr>
              <w:t>合同包6：</w:t>
            </w:r>
            <w:r>
              <w:rPr>
                <w:rFonts w:hint="eastAsia" w:ascii="仿宋" w:hAnsi="仿宋" w:cs="Courier New"/>
                <w:b/>
                <w:bCs/>
                <w:color w:val="000000"/>
                <w:sz w:val="24"/>
                <w:szCs w:val="24"/>
              </w:rPr>
              <w:t>所属行业为</w:t>
            </w:r>
            <w:r>
              <w:rPr>
                <w:rFonts w:hint="eastAsia" w:ascii="仿宋" w:hAnsi="仿宋"/>
                <w:b/>
                <w:bCs/>
                <w:color w:val="000000"/>
                <w:sz w:val="24"/>
                <w:szCs w:val="24"/>
              </w:rPr>
              <w:t xml:space="preserve">软件和信息技术服务业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ascii="宋体" w:hAnsi="宋体" w:eastAsia="宋体" w:cs="宋体"/>
                <w:kern w:val="2"/>
                <w:sz w:val="24"/>
                <w:szCs w:val="24"/>
                <w:lang w:val="en-US" w:eastAsia="zh-CN" w:bidi="ar-SA"/>
              </w:rPr>
            </w:pPr>
            <w:r>
              <w:rPr>
                <w:rFonts w:hint="eastAsia" w:ascii="宋体" w:hAnsi="宋体" w:cs="宋体"/>
                <w:sz w:val="24"/>
                <w:szCs w:val="24"/>
              </w:rPr>
              <w:t>18</w:t>
            </w:r>
          </w:p>
        </w:tc>
        <w:tc>
          <w:tcPr>
            <w:tcW w:w="1494" w:type="dxa"/>
            <w:vAlign w:val="center"/>
          </w:tcPr>
          <w:p>
            <w:pPr>
              <w:spacing w:line="360" w:lineRule="auto"/>
              <w:jc w:val="center"/>
              <w:rPr>
                <w:rFonts w:ascii="宋体" w:hAnsi="宋体" w:cs="宋体"/>
                <w:sz w:val="24"/>
                <w:szCs w:val="24"/>
              </w:rPr>
            </w:pPr>
            <w:r>
              <w:rPr>
                <w:rFonts w:hint="eastAsia" w:ascii="宋体" w:hAnsi="宋体" w:cs="宋体"/>
                <w:sz w:val="24"/>
                <w:szCs w:val="24"/>
              </w:rPr>
              <w:t>是否专门面向中小企业</w:t>
            </w:r>
          </w:p>
        </w:tc>
        <w:tc>
          <w:tcPr>
            <w:tcW w:w="7219" w:type="dxa"/>
            <w:vAlign w:val="center"/>
          </w:tcPr>
          <w:p>
            <w:pPr>
              <w:pStyle w:val="2"/>
              <w:spacing w:line="360" w:lineRule="auto"/>
              <w:rPr>
                <w:rFonts w:hint="eastAsia" w:ascii="仿宋" w:hAnsi="仿宋" w:eastAsia="宋体" w:cs="Courier New"/>
                <w:sz w:val="24"/>
                <w:szCs w:val="24"/>
                <w:lang w:val="en-US" w:eastAsia="zh-CN"/>
              </w:rPr>
            </w:pPr>
            <w:r>
              <w:rPr>
                <w:rFonts w:hint="eastAsia" w:ascii="仿宋" w:hAnsi="仿宋" w:eastAsia="宋体" w:cs="Courier New"/>
                <w:sz w:val="24"/>
                <w:szCs w:val="24"/>
                <w:lang w:val="en-US" w:eastAsia="zh-CN"/>
              </w:rPr>
              <w:t>合同包1、合同包3、合同包4为专门面向中小企业；</w:t>
            </w:r>
          </w:p>
          <w:p>
            <w:pPr>
              <w:pStyle w:val="2"/>
              <w:spacing w:line="360" w:lineRule="auto"/>
              <w:rPr>
                <w:rFonts w:hint="default" w:eastAsia="宋体"/>
                <w:sz w:val="24"/>
                <w:szCs w:val="24"/>
                <w:lang w:val="en-US" w:eastAsia="zh-CN"/>
              </w:rPr>
            </w:pPr>
            <w:r>
              <w:rPr>
                <w:rFonts w:hint="eastAsia" w:ascii="仿宋" w:hAnsi="仿宋" w:eastAsia="宋体" w:cs="Courier New"/>
                <w:sz w:val="24"/>
                <w:szCs w:val="24"/>
                <w:lang w:val="en-US" w:eastAsia="zh-CN"/>
              </w:rPr>
              <w:t>合同包2、合同包5、合同包6为非专门面向中小企业。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ascii="宋体" w:hAnsi="宋体" w:eastAsia="宋体" w:cs="宋体"/>
                <w:kern w:val="2"/>
                <w:sz w:val="24"/>
                <w:szCs w:val="24"/>
                <w:lang w:val="en-US" w:eastAsia="zh-CN" w:bidi="ar-SA"/>
              </w:rPr>
            </w:pPr>
            <w:r>
              <w:rPr>
                <w:rFonts w:hint="eastAsia" w:ascii="宋体" w:hAnsi="宋体" w:cs="宋体"/>
                <w:sz w:val="24"/>
                <w:szCs w:val="24"/>
              </w:rPr>
              <w:t>19</w:t>
            </w:r>
          </w:p>
        </w:tc>
        <w:tc>
          <w:tcPr>
            <w:tcW w:w="1494" w:type="dxa"/>
            <w:vAlign w:val="center"/>
          </w:tcPr>
          <w:p>
            <w:pPr>
              <w:spacing w:line="360" w:lineRule="auto"/>
              <w:jc w:val="center"/>
              <w:rPr>
                <w:rFonts w:ascii="宋体" w:hAnsi="宋体" w:cs="宋体"/>
                <w:sz w:val="24"/>
                <w:szCs w:val="24"/>
                <w:lang w:val="zh-CN"/>
              </w:rPr>
            </w:pPr>
            <w:r>
              <w:rPr>
                <w:rFonts w:hint="eastAsia" w:ascii="宋体" w:hAnsi="宋体" w:cs="宋体"/>
                <w:sz w:val="24"/>
                <w:szCs w:val="24"/>
                <w:lang w:val="zh-CN"/>
              </w:rPr>
              <w:t>是否允许大中企业</w:t>
            </w:r>
          </w:p>
          <w:p>
            <w:pPr>
              <w:spacing w:line="360" w:lineRule="auto"/>
              <w:jc w:val="center"/>
              <w:rPr>
                <w:rFonts w:ascii="宋体" w:hAnsi="宋体" w:cs="宋体"/>
                <w:sz w:val="24"/>
                <w:szCs w:val="24"/>
                <w:lang w:val="zh-CN"/>
              </w:rPr>
            </w:pPr>
            <w:r>
              <w:rPr>
                <w:rFonts w:hint="eastAsia" w:ascii="宋体" w:hAnsi="宋体" w:cs="宋体"/>
                <w:sz w:val="24"/>
                <w:szCs w:val="24"/>
                <w:lang w:val="zh-CN"/>
              </w:rPr>
              <w:t>向小微企业</w:t>
            </w:r>
          </w:p>
        </w:tc>
        <w:tc>
          <w:tcPr>
            <w:tcW w:w="7219" w:type="dxa"/>
            <w:vAlign w:val="center"/>
          </w:tcPr>
          <w:p>
            <w:pPr>
              <w:spacing w:line="360" w:lineRule="auto"/>
              <w:jc w:val="left"/>
              <w:rPr>
                <w:rFonts w:ascii="宋体" w:hAnsi="宋体" w:cs="宋体"/>
                <w:sz w:val="24"/>
                <w:szCs w:val="24"/>
              </w:rPr>
            </w:pPr>
            <w:r>
              <w:rPr>
                <w:rFonts w:hint="eastAsia" w:ascii="宋体" w:hAnsi="宋体" w:cs="宋体"/>
                <w:sz w:val="24"/>
                <w:szCs w:val="24"/>
              </w:rPr>
              <w:t>否</w:t>
            </w:r>
          </w:p>
          <w:p>
            <w:pPr>
              <w:spacing w:line="360" w:lineRule="auto"/>
              <w:jc w:val="left"/>
              <w:rPr>
                <w:rFonts w:ascii="宋体" w:hAnsi="宋体" w:cs="宋体"/>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20</w:t>
            </w:r>
          </w:p>
        </w:tc>
        <w:tc>
          <w:tcPr>
            <w:tcW w:w="1494" w:type="dxa"/>
            <w:vAlign w:val="center"/>
          </w:tcPr>
          <w:p>
            <w:pPr>
              <w:spacing w:line="360" w:lineRule="auto"/>
              <w:jc w:val="center"/>
              <w:rPr>
                <w:rFonts w:hint="eastAsia" w:ascii="宋体" w:hAnsi="宋体" w:cs="宋体"/>
                <w:sz w:val="24"/>
                <w:szCs w:val="24"/>
                <w:lang w:val="zh-CN"/>
              </w:rPr>
            </w:pPr>
            <w:r>
              <w:rPr>
                <w:rFonts w:hint="eastAsia" w:ascii="宋体" w:hAnsi="宋体" w:cs="宋体"/>
                <w:sz w:val="24"/>
                <w:szCs w:val="24"/>
                <w:lang w:val="zh-CN"/>
              </w:rPr>
              <w:t>分包</w:t>
            </w:r>
          </w:p>
        </w:tc>
        <w:tc>
          <w:tcPr>
            <w:tcW w:w="7219" w:type="dxa"/>
            <w:vAlign w:val="center"/>
          </w:tcPr>
          <w:p>
            <w:pPr>
              <w:spacing w:line="360" w:lineRule="auto"/>
              <w:jc w:val="left"/>
              <w:rPr>
                <w:rFonts w:ascii="宋体" w:hAnsi="宋体" w:cs="宋体"/>
                <w:sz w:val="24"/>
                <w:szCs w:val="24"/>
              </w:rPr>
            </w:pPr>
            <w:r>
              <w:rPr>
                <w:rFonts w:hint="eastAsia" w:ascii="宋体" w:hAnsi="宋体" w:cs="宋体"/>
                <w:sz w:val="24"/>
                <w:szCs w:val="24"/>
              </w:rPr>
              <w:t>本次采购采用</w:t>
            </w:r>
            <w:r>
              <w:rPr>
                <w:rFonts w:hint="eastAsia" w:ascii="宋体" w:hAnsi="宋体" w:cs="宋体"/>
                <w:sz w:val="24"/>
                <w:szCs w:val="24"/>
                <w:lang w:eastAsia="zh-CN"/>
              </w:rPr>
              <w:t>分包</w:t>
            </w:r>
            <w:r>
              <w:rPr>
                <w:rFonts w:hint="eastAsia" w:ascii="宋体" w:hAnsi="宋体" w:cs="宋体"/>
                <w:sz w:val="24"/>
                <w:szCs w:val="24"/>
              </w:rPr>
              <w:t>方式，供应商可根据自身的资质情况和经营范围对本项目</w:t>
            </w:r>
            <w:r>
              <w:rPr>
                <w:rFonts w:hint="eastAsia" w:ascii="宋体" w:hAnsi="宋体" w:cs="宋体"/>
                <w:sz w:val="24"/>
                <w:szCs w:val="24"/>
                <w:lang w:eastAsia="zh-CN"/>
              </w:rPr>
              <w:t>任一包</w:t>
            </w:r>
            <w:r>
              <w:rPr>
                <w:rFonts w:hint="eastAsia" w:ascii="宋体" w:hAnsi="宋体" w:cs="宋体"/>
                <w:sz w:val="24"/>
                <w:szCs w:val="24"/>
              </w:rPr>
              <w:t>进行投标，不得将其自行分解或只对本次项目中的品目进行不完全投标，任何不完全的投标将按无效投标处理。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hint="eastAsia" w:ascii="宋体" w:hAnsi="宋体" w:eastAsia="宋体" w:cs="宋体"/>
                <w:kern w:val="2"/>
                <w:sz w:val="24"/>
                <w:szCs w:val="24"/>
                <w:lang w:val="en-US" w:eastAsia="zh-CN" w:bidi="ar-SA"/>
              </w:rPr>
            </w:pPr>
            <w:r>
              <w:rPr>
                <w:rFonts w:hint="eastAsia" w:ascii="宋体" w:hAnsi="宋体" w:cs="宋体"/>
                <w:sz w:val="24"/>
                <w:szCs w:val="24"/>
              </w:rPr>
              <w:t>2</w:t>
            </w:r>
            <w:r>
              <w:rPr>
                <w:rFonts w:hint="eastAsia" w:ascii="宋体" w:hAnsi="宋体" w:cs="宋体"/>
                <w:sz w:val="24"/>
                <w:szCs w:val="24"/>
                <w:lang w:val="en-US" w:eastAsia="zh-CN"/>
              </w:rPr>
              <w:t>1</w:t>
            </w:r>
          </w:p>
        </w:tc>
        <w:tc>
          <w:tcPr>
            <w:tcW w:w="1494" w:type="dxa"/>
            <w:vAlign w:val="center"/>
          </w:tcPr>
          <w:p>
            <w:pPr>
              <w:spacing w:line="360" w:lineRule="auto"/>
              <w:jc w:val="center"/>
              <w:rPr>
                <w:rFonts w:ascii="宋体" w:hAnsi="宋体" w:cs="宋体"/>
                <w:sz w:val="24"/>
                <w:szCs w:val="24"/>
                <w:lang w:val="zh-CN"/>
              </w:rPr>
            </w:pPr>
            <w:r>
              <w:rPr>
                <w:rFonts w:hint="eastAsia" w:ascii="宋体" w:hAnsi="宋体" w:cs="宋体"/>
                <w:sz w:val="24"/>
                <w:szCs w:val="24"/>
                <w:lang w:val="zh-CN"/>
              </w:rPr>
              <w:t>供应商</w:t>
            </w:r>
          </w:p>
          <w:p>
            <w:pPr>
              <w:spacing w:line="360" w:lineRule="auto"/>
              <w:jc w:val="center"/>
              <w:rPr>
                <w:rFonts w:ascii="宋体" w:hAnsi="宋体" w:cs="宋体"/>
                <w:sz w:val="24"/>
                <w:szCs w:val="24"/>
                <w:lang w:val="zh-CN"/>
              </w:rPr>
            </w:pPr>
            <w:r>
              <w:rPr>
                <w:rFonts w:hint="eastAsia" w:ascii="宋体" w:hAnsi="宋体" w:cs="宋体"/>
                <w:sz w:val="24"/>
                <w:szCs w:val="24"/>
                <w:lang w:val="zh-CN"/>
              </w:rPr>
              <w:t>提出质疑的时间、形式</w:t>
            </w:r>
          </w:p>
        </w:tc>
        <w:tc>
          <w:tcPr>
            <w:tcW w:w="7219" w:type="dxa"/>
            <w:vAlign w:val="center"/>
          </w:tcPr>
          <w:p>
            <w:pPr>
              <w:spacing w:line="360" w:lineRule="auto"/>
              <w:jc w:val="left"/>
              <w:rPr>
                <w:rFonts w:ascii="宋体" w:hAnsi="宋体" w:cs="宋体"/>
                <w:sz w:val="24"/>
                <w:szCs w:val="24"/>
                <w:lang w:val="zh-CN"/>
              </w:rPr>
            </w:pPr>
            <w:r>
              <w:rPr>
                <w:rFonts w:hint="eastAsia" w:ascii="宋体" w:hAnsi="宋体" w:cs="宋体"/>
                <w:sz w:val="24"/>
                <w:szCs w:val="24"/>
                <w:lang w:val="zh-CN"/>
              </w:rPr>
              <w:t>时间：供应商认为采购文件、采购过程和中标、成交结果使自己的权益受到损害的，可以在知道或者应知其权益受到损害之日起七个工作日内，超过期限的采购人或采购代理机构不再受理</w:t>
            </w:r>
          </w:p>
          <w:p>
            <w:pPr>
              <w:spacing w:line="360" w:lineRule="auto"/>
              <w:jc w:val="left"/>
              <w:rPr>
                <w:rFonts w:ascii="宋体" w:hAnsi="宋体" w:cs="宋体"/>
                <w:sz w:val="24"/>
                <w:szCs w:val="24"/>
                <w:lang w:val="zh-CN"/>
              </w:rPr>
            </w:pPr>
            <w:r>
              <w:rPr>
                <w:rFonts w:hint="eastAsia" w:ascii="宋体" w:hAnsi="宋体" w:cs="宋体"/>
                <w:sz w:val="24"/>
                <w:szCs w:val="24"/>
                <w:lang w:val="zh-CN"/>
              </w:rPr>
              <w:t>形式：书面；</w:t>
            </w:r>
          </w:p>
          <w:p>
            <w:pPr>
              <w:spacing w:line="360" w:lineRule="auto"/>
              <w:jc w:val="left"/>
            </w:pPr>
            <w:r>
              <w:rPr>
                <w:rFonts w:hint="eastAsia" w:ascii="宋体" w:hAnsi="宋体" w:cs="宋体"/>
                <w:sz w:val="24"/>
                <w:szCs w:val="24"/>
              </w:rPr>
              <w:t>环节：</w:t>
            </w:r>
            <w:r>
              <w:rPr>
                <w:rFonts w:hint="eastAsia" w:ascii="宋体" w:hAnsi="宋体" w:cs="宋体"/>
                <w:sz w:val="24"/>
                <w:szCs w:val="24"/>
                <w:lang w:val="zh-CN"/>
              </w:rPr>
              <w:t>供应商应当在法定质疑期内一次性提出针对同一采购程序环节的质疑。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hint="eastAsia" w:ascii="宋体" w:hAnsi="宋体" w:eastAsia="宋体" w:cs="宋体"/>
                <w:kern w:val="2"/>
                <w:sz w:val="24"/>
                <w:szCs w:val="24"/>
                <w:lang w:val="en-US" w:eastAsia="zh-CN" w:bidi="ar-SA"/>
              </w:rPr>
            </w:pPr>
            <w:r>
              <w:rPr>
                <w:rFonts w:hint="eastAsia" w:ascii="宋体" w:hAnsi="宋体" w:cs="宋体"/>
                <w:sz w:val="24"/>
                <w:szCs w:val="24"/>
              </w:rPr>
              <w:t>2</w:t>
            </w:r>
            <w:r>
              <w:rPr>
                <w:rFonts w:hint="eastAsia" w:ascii="宋体" w:hAnsi="宋体" w:cs="宋体"/>
                <w:sz w:val="24"/>
                <w:szCs w:val="24"/>
                <w:lang w:val="en-US" w:eastAsia="zh-CN"/>
              </w:rPr>
              <w:t>2</w:t>
            </w:r>
          </w:p>
        </w:tc>
        <w:tc>
          <w:tcPr>
            <w:tcW w:w="1494" w:type="dxa"/>
            <w:vAlign w:val="center"/>
          </w:tcPr>
          <w:p>
            <w:pPr>
              <w:spacing w:line="360" w:lineRule="auto"/>
              <w:jc w:val="center"/>
              <w:rPr>
                <w:rFonts w:ascii="宋体" w:hAnsi="宋体" w:cs="宋体"/>
                <w:sz w:val="24"/>
                <w:szCs w:val="24"/>
                <w:lang w:val="zh-CN"/>
              </w:rPr>
            </w:pPr>
            <w:r>
              <w:rPr>
                <w:rFonts w:hint="eastAsia" w:ascii="宋体" w:hAnsi="宋体" w:cs="宋体"/>
                <w:sz w:val="24"/>
                <w:szCs w:val="24"/>
                <w:lang w:val="zh-CN"/>
              </w:rPr>
              <w:t>对供应商提出质疑</w:t>
            </w:r>
          </w:p>
          <w:p>
            <w:pPr>
              <w:spacing w:line="360" w:lineRule="auto"/>
              <w:jc w:val="center"/>
              <w:rPr>
                <w:rFonts w:ascii="宋体" w:hAnsi="宋体" w:cs="宋体"/>
                <w:sz w:val="24"/>
                <w:szCs w:val="24"/>
                <w:lang w:val="zh-CN"/>
              </w:rPr>
            </w:pPr>
            <w:r>
              <w:rPr>
                <w:rFonts w:hint="eastAsia" w:ascii="宋体" w:hAnsi="宋体" w:cs="宋体"/>
                <w:sz w:val="24"/>
                <w:szCs w:val="24"/>
                <w:lang w:val="zh-CN"/>
              </w:rPr>
              <w:t>答复时间、形式</w:t>
            </w:r>
          </w:p>
        </w:tc>
        <w:tc>
          <w:tcPr>
            <w:tcW w:w="7219" w:type="dxa"/>
            <w:vAlign w:val="center"/>
          </w:tcPr>
          <w:p>
            <w:pPr>
              <w:spacing w:line="360" w:lineRule="auto"/>
              <w:jc w:val="left"/>
              <w:rPr>
                <w:rFonts w:ascii="宋体" w:hAnsi="宋体" w:cs="宋体"/>
                <w:sz w:val="24"/>
                <w:szCs w:val="24"/>
                <w:lang w:val="zh-CN"/>
              </w:rPr>
            </w:pPr>
            <w:r>
              <w:rPr>
                <w:rFonts w:hint="eastAsia" w:ascii="宋体" w:hAnsi="宋体" w:cs="宋体"/>
                <w:sz w:val="24"/>
                <w:szCs w:val="24"/>
                <w:lang w:val="zh-CN"/>
              </w:rPr>
              <w:t>时间：自收到供应商质疑函之日起7个工作日内</w:t>
            </w:r>
          </w:p>
          <w:p>
            <w:pPr>
              <w:spacing w:line="360" w:lineRule="auto"/>
              <w:jc w:val="left"/>
              <w:rPr>
                <w:rFonts w:ascii="宋体" w:hAnsi="宋体" w:cs="宋体"/>
                <w:sz w:val="24"/>
                <w:szCs w:val="24"/>
                <w:lang w:val="zh-CN"/>
              </w:rPr>
            </w:pPr>
            <w:r>
              <w:rPr>
                <w:rFonts w:hint="eastAsia" w:ascii="宋体" w:hAnsi="宋体" w:cs="宋体"/>
                <w:sz w:val="24"/>
                <w:szCs w:val="24"/>
                <w:lang w:val="zh-CN"/>
              </w:rPr>
              <w:t>形式：书面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hint="eastAsia" w:ascii="宋体" w:hAnsi="宋体" w:eastAsia="宋体" w:cs="宋体"/>
                <w:kern w:val="2"/>
                <w:sz w:val="24"/>
                <w:szCs w:val="24"/>
                <w:lang w:val="en-US" w:eastAsia="zh-CN" w:bidi="ar-SA"/>
              </w:rPr>
            </w:pPr>
            <w:r>
              <w:rPr>
                <w:rFonts w:hint="eastAsia" w:ascii="宋体" w:hAnsi="宋体" w:cs="宋体"/>
                <w:sz w:val="24"/>
                <w:szCs w:val="24"/>
              </w:rPr>
              <w:t>2</w:t>
            </w:r>
            <w:r>
              <w:rPr>
                <w:rFonts w:hint="eastAsia" w:ascii="宋体" w:hAnsi="宋体" w:cs="宋体"/>
                <w:sz w:val="24"/>
                <w:szCs w:val="24"/>
                <w:lang w:val="en-US" w:eastAsia="zh-CN"/>
              </w:rPr>
              <w:t>3</w:t>
            </w:r>
          </w:p>
        </w:tc>
        <w:tc>
          <w:tcPr>
            <w:tcW w:w="1494" w:type="dxa"/>
            <w:vAlign w:val="center"/>
          </w:tcPr>
          <w:p>
            <w:pPr>
              <w:spacing w:line="360" w:lineRule="auto"/>
              <w:jc w:val="left"/>
              <w:rPr>
                <w:rFonts w:ascii="宋体" w:hAnsi="宋体" w:cs="宋体"/>
                <w:sz w:val="24"/>
                <w:szCs w:val="24"/>
                <w:lang w:val="zh-CN"/>
              </w:rPr>
            </w:pPr>
            <w:r>
              <w:rPr>
                <w:rFonts w:hint="eastAsia" w:ascii="宋体" w:hAnsi="宋体" w:cs="宋体"/>
                <w:sz w:val="24"/>
                <w:szCs w:val="24"/>
                <w:lang w:val="zh-CN"/>
              </w:rPr>
              <w:t>供应商信用信息查询截止时点</w:t>
            </w:r>
          </w:p>
        </w:tc>
        <w:tc>
          <w:tcPr>
            <w:tcW w:w="7219" w:type="dxa"/>
            <w:vAlign w:val="center"/>
          </w:tcPr>
          <w:p>
            <w:pPr>
              <w:spacing w:line="360" w:lineRule="auto"/>
              <w:rPr>
                <w:rFonts w:ascii="宋体" w:hAnsi="宋体" w:cs="宋体"/>
                <w:sz w:val="24"/>
                <w:szCs w:val="24"/>
                <w:lang w:val="zh-CN"/>
              </w:rPr>
            </w:pPr>
            <w:r>
              <w:rPr>
                <w:rFonts w:hint="eastAsia" w:ascii="宋体" w:hAnsi="宋体" w:cs="宋体"/>
                <w:sz w:val="24"/>
                <w:szCs w:val="24"/>
              </w:rPr>
              <w:t>投标文件递交截止日，由采购人和采购代理机构共同查询。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hint="eastAsia" w:ascii="宋体" w:hAnsi="宋体" w:eastAsia="宋体" w:cs="宋体"/>
                <w:kern w:val="2"/>
                <w:sz w:val="24"/>
                <w:szCs w:val="24"/>
                <w:lang w:val="en-US" w:eastAsia="zh-CN" w:bidi="ar-SA"/>
              </w:rPr>
            </w:pPr>
            <w:r>
              <w:rPr>
                <w:rFonts w:hint="eastAsia" w:ascii="宋体" w:hAnsi="宋体" w:cs="宋体"/>
                <w:sz w:val="24"/>
                <w:szCs w:val="24"/>
              </w:rPr>
              <w:t>2</w:t>
            </w:r>
            <w:r>
              <w:rPr>
                <w:rFonts w:hint="eastAsia" w:ascii="宋体" w:hAnsi="宋体" w:cs="宋体"/>
                <w:sz w:val="24"/>
                <w:szCs w:val="24"/>
                <w:lang w:val="en-US" w:eastAsia="zh-CN"/>
              </w:rPr>
              <w:t>4</w:t>
            </w:r>
          </w:p>
        </w:tc>
        <w:tc>
          <w:tcPr>
            <w:tcW w:w="1494" w:type="dxa"/>
            <w:vAlign w:val="center"/>
          </w:tcPr>
          <w:p>
            <w:pPr>
              <w:spacing w:line="360" w:lineRule="auto"/>
              <w:jc w:val="center"/>
              <w:rPr>
                <w:rFonts w:ascii="宋体" w:hAnsi="宋体" w:cs="宋体"/>
                <w:sz w:val="24"/>
                <w:szCs w:val="24"/>
                <w:lang w:val="zh-CN"/>
              </w:rPr>
            </w:pPr>
            <w:r>
              <w:rPr>
                <w:rFonts w:hint="eastAsia" w:ascii="宋体" w:hAnsi="宋体" w:cs="宋体"/>
                <w:sz w:val="24"/>
                <w:szCs w:val="24"/>
                <w:lang w:val="zh-CN"/>
              </w:rPr>
              <w:t>分包</w:t>
            </w:r>
          </w:p>
        </w:tc>
        <w:tc>
          <w:tcPr>
            <w:tcW w:w="7219" w:type="dxa"/>
            <w:vAlign w:val="center"/>
          </w:tcPr>
          <w:p>
            <w:pPr>
              <w:spacing w:line="360" w:lineRule="auto"/>
              <w:rPr>
                <w:rFonts w:ascii="宋体" w:hAnsi="宋体" w:cs="宋体"/>
                <w:sz w:val="24"/>
                <w:szCs w:val="24"/>
              </w:rPr>
            </w:pPr>
            <w:r>
              <w:rPr>
                <w:rFonts w:hint="eastAsia" w:ascii="宋体" w:hAnsi="宋体" w:cs="宋体"/>
                <w:sz w:val="24"/>
                <w:szCs w:val="24"/>
              </w:rPr>
              <w:t>本次采购采用打包方式，供应商可根据自身的资质情况和经营范围对本项目任一包进行投标，不得将其自行分解或只对本次项目中的品目进行不完全投标，任何不完全的投标将按无效投标处理。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hint="eastAsia" w:ascii="宋体" w:hAnsi="宋体" w:eastAsia="宋体" w:cs="宋体"/>
                <w:kern w:val="2"/>
                <w:sz w:val="24"/>
                <w:szCs w:val="24"/>
                <w:lang w:val="en-US" w:eastAsia="zh-CN" w:bidi="ar-SA"/>
              </w:rPr>
            </w:pPr>
            <w:r>
              <w:rPr>
                <w:rFonts w:hint="eastAsia" w:ascii="宋体" w:hAnsi="宋体" w:cs="宋体"/>
                <w:sz w:val="24"/>
                <w:szCs w:val="24"/>
              </w:rPr>
              <w:t>2</w:t>
            </w:r>
            <w:r>
              <w:rPr>
                <w:rFonts w:hint="eastAsia" w:ascii="宋体" w:hAnsi="宋体" w:cs="宋体"/>
                <w:sz w:val="24"/>
                <w:szCs w:val="24"/>
                <w:lang w:val="en-US" w:eastAsia="zh-CN"/>
              </w:rPr>
              <w:t>5</w:t>
            </w:r>
          </w:p>
        </w:tc>
        <w:tc>
          <w:tcPr>
            <w:tcW w:w="1494" w:type="dxa"/>
            <w:vAlign w:val="center"/>
          </w:tcPr>
          <w:p>
            <w:pPr>
              <w:spacing w:line="360" w:lineRule="auto"/>
              <w:jc w:val="center"/>
              <w:rPr>
                <w:rFonts w:ascii="宋体" w:hAnsi="宋体" w:cs="宋体"/>
                <w:sz w:val="24"/>
                <w:szCs w:val="24"/>
                <w:lang w:val="zh-CN"/>
              </w:rPr>
            </w:pPr>
            <w:r>
              <w:rPr>
                <w:rFonts w:hint="eastAsia" w:ascii="宋体" w:hAnsi="宋体" w:cs="宋体"/>
                <w:sz w:val="24"/>
                <w:szCs w:val="24"/>
                <w:lang w:val="zh-CN"/>
              </w:rPr>
              <w:t>非实质性偏离</w:t>
            </w:r>
          </w:p>
        </w:tc>
        <w:tc>
          <w:tcPr>
            <w:tcW w:w="7219" w:type="dxa"/>
            <w:vAlign w:val="center"/>
          </w:tcPr>
          <w:p>
            <w:pPr>
              <w:spacing w:line="360" w:lineRule="auto"/>
              <w:rPr>
                <w:rFonts w:ascii="宋体" w:hAnsi="宋体" w:cs="宋体"/>
                <w:sz w:val="24"/>
                <w:szCs w:val="24"/>
              </w:rPr>
            </w:pPr>
            <w:r>
              <w:rPr>
                <w:rFonts w:hint="eastAsia" w:ascii="宋体" w:hAnsi="宋体" w:cs="宋体"/>
                <w:sz w:val="24"/>
                <w:szCs w:val="24"/>
                <w:lang w:val="zh-CN"/>
              </w:rPr>
              <w:t>允许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5" w:hRule="atLeast"/>
        </w:trPr>
        <w:tc>
          <w:tcPr>
            <w:tcW w:w="505" w:type="dxa"/>
            <w:vAlign w:val="center"/>
          </w:tcPr>
          <w:p>
            <w:pPr>
              <w:spacing w:line="36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26</w:t>
            </w:r>
          </w:p>
        </w:tc>
        <w:tc>
          <w:tcPr>
            <w:tcW w:w="1494" w:type="dxa"/>
            <w:vAlign w:val="center"/>
          </w:tcPr>
          <w:p>
            <w:pPr>
              <w:pStyle w:val="16"/>
              <w:spacing w:line="336" w:lineRule="auto"/>
              <w:jc w:val="left"/>
              <w:rPr>
                <w:rFonts w:hAnsi="宋体" w:cs="宋体"/>
                <w:sz w:val="24"/>
                <w:szCs w:val="24"/>
                <w:lang w:val="zh-CN"/>
              </w:rPr>
            </w:pPr>
            <w:r>
              <w:rPr>
                <w:rFonts w:hint="eastAsia" w:ascii="仿宋" w:hAnsi="仿宋"/>
                <w:color w:val="000000"/>
                <w:sz w:val="24"/>
                <w:szCs w:val="24"/>
              </w:rPr>
              <w:t>其他</w:t>
            </w:r>
          </w:p>
        </w:tc>
        <w:tc>
          <w:tcPr>
            <w:tcW w:w="7219" w:type="dxa"/>
            <w:vAlign w:val="center"/>
          </w:tcPr>
          <w:p>
            <w:pPr>
              <w:pStyle w:val="16"/>
              <w:spacing w:line="336" w:lineRule="auto"/>
              <w:jc w:val="left"/>
              <w:rPr>
                <w:highlight w:val="yellow"/>
                <w:lang w:val="zh-CN"/>
              </w:rPr>
            </w:pPr>
            <w:r>
              <w:rPr>
                <w:rFonts w:hint="eastAsia" w:ascii="仿宋" w:hAnsi="仿宋"/>
                <w:color w:val="000000"/>
                <w:sz w:val="24"/>
                <w:szCs w:val="24"/>
              </w:rPr>
              <w:t>采购文件与媒体发布的采购公告不一致时，以公告为准；正文与前附表表述不一致时，以供应商须知前附表为准。</w:t>
            </w:r>
          </w:p>
        </w:tc>
      </w:tr>
    </w:tbl>
    <w:p>
      <w:pPr>
        <w:pStyle w:val="3"/>
        <w:keepLines w:val="0"/>
        <w:spacing w:before="312" w:beforeLines="100" w:after="312" w:afterLines="100" w:line="500" w:lineRule="exact"/>
        <w:rPr>
          <w:rFonts w:ascii="宋体" w:hAnsi="宋体" w:cs="宋体"/>
          <w:sz w:val="36"/>
          <w:szCs w:val="36"/>
        </w:rPr>
        <w:sectPr>
          <w:footerReference r:id="rId9" w:type="default"/>
          <w:pgSz w:w="11906" w:h="16838"/>
          <w:pgMar w:top="1440" w:right="1706" w:bottom="1440" w:left="1800" w:header="851" w:footer="992" w:gutter="0"/>
          <w:pgNumType w:fmt="decimal"/>
          <w:cols w:space="720" w:num="1"/>
          <w:docGrid w:type="lines" w:linePitch="312" w:charSpace="0"/>
        </w:sectPr>
      </w:pPr>
      <w:bookmarkStart w:id="8" w:name="_Toc19272"/>
      <w:bookmarkStart w:id="9" w:name="_Toc10023"/>
    </w:p>
    <w:bookmarkEnd w:id="8"/>
    <w:bookmarkEnd w:id="9"/>
    <w:p>
      <w:pPr>
        <w:pStyle w:val="3"/>
        <w:keepLines w:val="0"/>
        <w:spacing w:before="312" w:beforeLines="100" w:after="312" w:afterLines="100" w:line="500" w:lineRule="exact"/>
        <w:rPr>
          <w:rFonts w:ascii="宋体" w:hAnsi="宋体" w:cs="宋体"/>
          <w:sz w:val="36"/>
          <w:szCs w:val="36"/>
        </w:rPr>
      </w:pPr>
      <w:bookmarkStart w:id="10" w:name="_Toc20193"/>
      <w:bookmarkStart w:id="11" w:name="_Toc5210"/>
      <w:r>
        <w:rPr>
          <w:rFonts w:hint="eastAsia" w:ascii="宋体" w:hAnsi="宋体" w:cs="宋体"/>
          <w:sz w:val="36"/>
          <w:szCs w:val="36"/>
        </w:rPr>
        <w:t>第三部分  供应商须知</w:t>
      </w:r>
      <w:bookmarkEnd w:id="10"/>
      <w:bookmarkEnd w:id="11"/>
    </w:p>
    <w:p>
      <w:pPr>
        <w:ind w:firstLine="720" w:firstLineChars="200"/>
        <w:jc w:val="center"/>
        <w:outlineLvl w:val="1"/>
        <w:rPr>
          <w:rFonts w:ascii="宋体" w:hAnsi="宋体" w:cs="宋体"/>
          <w:sz w:val="36"/>
          <w:szCs w:val="36"/>
        </w:rPr>
      </w:pPr>
      <w:bookmarkStart w:id="12" w:name="_Toc3346"/>
      <w:bookmarkStart w:id="13" w:name="_Toc32490"/>
      <w:bookmarkStart w:id="14" w:name="_Toc26739"/>
      <w:bookmarkStart w:id="15" w:name="_Toc8204"/>
      <w:r>
        <w:rPr>
          <w:rFonts w:hint="eastAsia" w:ascii="宋体" w:hAnsi="宋体" w:cs="宋体"/>
          <w:sz w:val="36"/>
          <w:szCs w:val="36"/>
        </w:rPr>
        <w:t>一、总 则</w:t>
      </w:r>
      <w:bookmarkEnd w:id="12"/>
      <w:bookmarkEnd w:id="13"/>
      <w:bookmarkEnd w:id="14"/>
      <w:bookmarkEnd w:id="15"/>
    </w:p>
    <w:p>
      <w:pPr>
        <w:pStyle w:val="5"/>
        <w:numPr>
          <w:ilvl w:val="0"/>
          <w:numId w:val="12"/>
        </w:numPr>
        <w:spacing w:line="500" w:lineRule="exact"/>
        <w:ind w:firstLine="562" w:firstLineChars="200"/>
        <w:rPr>
          <w:rFonts w:ascii="宋体" w:hAnsi="宋体" w:cs="宋体"/>
          <w:szCs w:val="28"/>
        </w:rPr>
      </w:pPr>
      <w:bookmarkStart w:id="16" w:name="_Toc11090"/>
      <w:bookmarkStart w:id="17" w:name="_Toc358364319"/>
      <w:bookmarkStart w:id="18" w:name="_Toc28660"/>
      <w:bookmarkStart w:id="19" w:name="_Toc24287"/>
      <w:bookmarkStart w:id="20" w:name="_Toc380336725"/>
      <w:bookmarkStart w:id="21" w:name="_Toc6742"/>
      <w:bookmarkStart w:id="22" w:name="_Toc9257"/>
      <w:bookmarkStart w:id="23" w:name="_Toc19108"/>
      <w:r>
        <w:rPr>
          <w:rFonts w:hint="eastAsia" w:ascii="宋体" w:hAnsi="宋体" w:cs="宋体"/>
          <w:szCs w:val="28"/>
        </w:rPr>
        <w:t>适用范围</w:t>
      </w:r>
      <w:bookmarkEnd w:id="16"/>
      <w:bookmarkEnd w:id="17"/>
      <w:bookmarkEnd w:id="18"/>
      <w:bookmarkEnd w:id="19"/>
      <w:bookmarkEnd w:id="20"/>
      <w:bookmarkEnd w:id="21"/>
      <w:bookmarkEnd w:id="22"/>
      <w:bookmarkEnd w:id="23"/>
    </w:p>
    <w:p>
      <w:pPr>
        <w:widowControl/>
        <w:spacing w:line="500" w:lineRule="exact"/>
        <w:ind w:firstLine="480" w:firstLineChars="200"/>
        <w:rPr>
          <w:rFonts w:ascii="宋体" w:hAnsi="宋体" w:cs="宋体"/>
          <w:kern w:val="0"/>
          <w:sz w:val="24"/>
          <w:szCs w:val="24"/>
        </w:rPr>
      </w:pPr>
      <w:r>
        <w:rPr>
          <w:rFonts w:hint="eastAsia" w:ascii="宋体" w:hAnsi="宋体" w:cs="宋体"/>
          <w:kern w:val="0"/>
          <w:sz w:val="24"/>
          <w:szCs w:val="24"/>
        </w:rPr>
        <w:t>1.1 本招标文件适用于本次招标活动的全过程。</w:t>
      </w:r>
    </w:p>
    <w:p>
      <w:pPr>
        <w:widowControl/>
        <w:spacing w:line="500" w:lineRule="exact"/>
        <w:ind w:firstLine="480" w:firstLineChars="200"/>
        <w:rPr>
          <w:rFonts w:ascii="宋体" w:hAnsi="宋体" w:cs="宋体"/>
          <w:kern w:val="0"/>
          <w:sz w:val="24"/>
          <w:szCs w:val="24"/>
        </w:rPr>
      </w:pPr>
      <w:r>
        <w:rPr>
          <w:rFonts w:hint="eastAsia" w:ascii="宋体" w:hAnsi="宋体" w:cs="宋体"/>
          <w:kern w:val="0"/>
          <w:sz w:val="24"/>
          <w:szCs w:val="24"/>
        </w:rPr>
        <w:t>1.2 本次采购采购人、采购代理机构、供应商、评标委员会的相关行为均受《中华人民共和国政府采购法》及实施条例、财政部规章及政府采购项目所在地有关法规</w:t>
      </w:r>
      <w:r>
        <w:rPr>
          <w:rFonts w:hint="eastAsia" w:ascii="宋体" w:hAnsi="宋体" w:cs="宋体"/>
          <w:color w:val="000000"/>
          <w:kern w:val="0"/>
          <w:sz w:val="24"/>
          <w:szCs w:val="24"/>
        </w:rPr>
        <w:t>、规章</w:t>
      </w:r>
      <w:r>
        <w:rPr>
          <w:rFonts w:hint="eastAsia" w:ascii="宋体" w:hAnsi="宋体" w:cs="宋体"/>
          <w:kern w:val="0"/>
          <w:sz w:val="24"/>
          <w:szCs w:val="24"/>
        </w:rPr>
        <w:t>的约束，其权利受到上述法律法规的保护。</w:t>
      </w:r>
    </w:p>
    <w:p>
      <w:pPr>
        <w:pStyle w:val="5"/>
        <w:numPr>
          <w:ilvl w:val="0"/>
          <w:numId w:val="12"/>
        </w:numPr>
        <w:spacing w:line="500" w:lineRule="exact"/>
        <w:ind w:firstLine="562" w:firstLineChars="200"/>
        <w:rPr>
          <w:rFonts w:ascii="宋体" w:hAnsi="宋体" w:cs="宋体"/>
          <w:szCs w:val="28"/>
        </w:rPr>
      </w:pPr>
      <w:bookmarkStart w:id="24" w:name="_Toc380336727"/>
      <w:bookmarkStart w:id="25" w:name="_Toc17676"/>
      <w:bookmarkStart w:id="26" w:name="_Toc358364321"/>
      <w:bookmarkStart w:id="27" w:name="_Toc23781"/>
      <w:bookmarkStart w:id="28" w:name="_Toc20057"/>
      <w:bookmarkStart w:id="29" w:name="_Toc17332"/>
      <w:bookmarkStart w:id="30" w:name="_Toc45"/>
      <w:bookmarkStart w:id="31" w:name="_Toc20749"/>
      <w:r>
        <w:rPr>
          <w:rFonts w:hint="eastAsia" w:ascii="宋体" w:hAnsi="宋体" w:cs="宋体"/>
          <w:szCs w:val="28"/>
        </w:rPr>
        <w:t>合格的</w:t>
      </w:r>
      <w:bookmarkEnd w:id="24"/>
      <w:bookmarkEnd w:id="25"/>
      <w:bookmarkEnd w:id="26"/>
      <w:bookmarkEnd w:id="27"/>
      <w:r>
        <w:rPr>
          <w:rFonts w:hint="eastAsia" w:ascii="宋体" w:hAnsi="宋体" w:cs="宋体"/>
          <w:szCs w:val="28"/>
        </w:rPr>
        <w:t>供应商</w:t>
      </w:r>
      <w:bookmarkEnd w:id="28"/>
      <w:bookmarkEnd w:id="29"/>
      <w:bookmarkEnd w:id="30"/>
      <w:bookmarkEnd w:id="31"/>
    </w:p>
    <w:p>
      <w:pPr>
        <w:tabs>
          <w:tab w:val="left" w:pos="0"/>
        </w:tabs>
        <w:spacing w:line="500" w:lineRule="exact"/>
        <w:ind w:firstLine="420" w:firstLineChars="175"/>
        <w:jc w:val="left"/>
        <w:rPr>
          <w:rFonts w:ascii="宋体" w:hAnsi="宋体" w:cs="宋体"/>
          <w:sz w:val="24"/>
          <w:szCs w:val="24"/>
        </w:rPr>
      </w:pPr>
      <w:r>
        <w:rPr>
          <w:rFonts w:hint="eastAsia" w:ascii="宋体" w:hAnsi="宋体" w:cs="宋体"/>
          <w:sz w:val="24"/>
          <w:szCs w:val="24"/>
        </w:rPr>
        <w:t>2.1供应商应遵守有关的国家法律、法规和条例，具备《中华人民共和国政府采购法》和本文件中规定的条件：</w:t>
      </w:r>
    </w:p>
    <w:p>
      <w:pPr>
        <w:numPr>
          <w:ilvl w:val="0"/>
          <w:numId w:val="13"/>
        </w:numPr>
        <w:spacing w:line="500" w:lineRule="exact"/>
        <w:ind w:firstLine="480" w:firstLineChars="200"/>
        <w:jc w:val="left"/>
        <w:rPr>
          <w:rFonts w:ascii="宋体" w:hAnsi="宋体" w:cs="宋体"/>
          <w:sz w:val="24"/>
          <w:szCs w:val="24"/>
        </w:rPr>
      </w:pPr>
      <w:r>
        <w:rPr>
          <w:rFonts w:hint="eastAsia" w:ascii="宋体" w:hAnsi="宋体" w:cs="宋体"/>
          <w:sz w:val="24"/>
          <w:szCs w:val="24"/>
        </w:rPr>
        <w:t>具有独立承担民事责任的能力；</w:t>
      </w:r>
    </w:p>
    <w:p>
      <w:pPr>
        <w:numPr>
          <w:ilvl w:val="0"/>
          <w:numId w:val="13"/>
        </w:numPr>
        <w:spacing w:line="500" w:lineRule="exact"/>
        <w:ind w:firstLine="480" w:firstLineChars="200"/>
        <w:jc w:val="left"/>
        <w:rPr>
          <w:rFonts w:ascii="宋体" w:hAnsi="宋体" w:cs="宋体"/>
          <w:sz w:val="24"/>
          <w:szCs w:val="24"/>
        </w:rPr>
      </w:pPr>
      <w:r>
        <w:rPr>
          <w:rFonts w:hint="eastAsia" w:ascii="宋体" w:hAnsi="宋体" w:cs="宋体"/>
          <w:sz w:val="24"/>
          <w:szCs w:val="24"/>
        </w:rPr>
        <w:t>具有良好的商业信誉和健全的财务会计制度；</w:t>
      </w:r>
    </w:p>
    <w:p>
      <w:pPr>
        <w:numPr>
          <w:ilvl w:val="0"/>
          <w:numId w:val="13"/>
        </w:numPr>
        <w:spacing w:line="500" w:lineRule="exact"/>
        <w:ind w:firstLine="480" w:firstLineChars="200"/>
        <w:jc w:val="left"/>
        <w:rPr>
          <w:rFonts w:ascii="宋体" w:hAnsi="宋体" w:cs="宋体"/>
          <w:sz w:val="24"/>
          <w:szCs w:val="24"/>
        </w:rPr>
      </w:pPr>
      <w:r>
        <w:rPr>
          <w:rFonts w:hint="eastAsia" w:ascii="宋体" w:hAnsi="宋体" w:cs="宋体"/>
          <w:sz w:val="24"/>
          <w:szCs w:val="24"/>
        </w:rPr>
        <w:t>具有履行合同所必需的设备和专业技术能力；</w:t>
      </w:r>
    </w:p>
    <w:p>
      <w:pPr>
        <w:numPr>
          <w:ilvl w:val="0"/>
          <w:numId w:val="13"/>
        </w:numPr>
        <w:spacing w:line="500" w:lineRule="exact"/>
        <w:ind w:firstLine="480" w:firstLineChars="200"/>
        <w:jc w:val="left"/>
        <w:rPr>
          <w:rFonts w:ascii="宋体" w:hAnsi="宋体" w:cs="宋体"/>
          <w:sz w:val="24"/>
          <w:szCs w:val="24"/>
        </w:rPr>
      </w:pPr>
      <w:r>
        <w:rPr>
          <w:rFonts w:hint="eastAsia" w:ascii="宋体" w:hAnsi="宋体" w:cs="宋体"/>
          <w:sz w:val="24"/>
          <w:szCs w:val="24"/>
        </w:rPr>
        <w:t>具有依法缴纳税收和社会保障资金的良好记录；</w:t>
      </w:r>
    </w:p>
    <w:p>
      <w:pPr>
        <w:numPr>
          <w:ilvl w:val="0"/>
          <w:numId w:val="13"/>
        </w:numPr>
        <w:spacing w:line="500" w:lineRule="exact"/>
        <w:ind w:firstLine="480" w:firstLineChars="200"/>
        <w:jc w:val="left"/>
        <w:rPr>
          <w:rFonts w:ascii="宋体" w:hAnsi="宋体" w:cs="宋体"/>
          <w:sz w:val="24"/>
          <w:szCs w:val="24"/>
        </w:rPr>
      </w:pPr>
      <w:r>
        <w:rPr>
          <w:rFonts w:hint="eastAsia" w:ascii="宋体" w:hAnsi="宋体" w:cs="宋体"/>
          <w:sz w:val="24"/>
          <w:szCs w:val="24"/>
        </w:rPr>
        <w:t>参加此项采购活动前三年内，在经营活动中没有重大违法记录；</w:t>
      </w:r>
    </w:p>
    <w:p>
      <w:pPr>
        <w:numPr>
          <w:ilvl w:val="0"/>
          <w:numId w:val="13"/>
        </w:numPr>
        <w:spacing w:line="500" w:lineRule="exact"/>
        <w:ind w:firstLine="480" w:firstLineChars="200"/>
        <w:jc w:val="left"/>
        <w:rPr>
          <w:rFonts w:ascii="宋体" w:hAnsi="宋体" w:cs="宋体"/>
          <w:sz w:val="24"/>
          <w:szCs w:val="24"/>
        </w:rPr>
      </w:pPr>
      <w:r>
        <w:rPr>
          <w:rFonts w:hint="eastAsia" w:ascii="宋体" w:hAnsi="宋体" w:cs="宋体"/>
          <w:sz w:val="24"/>
          <w:szCs w:val="24"/>
        </w:rPr>
        <w:t>法律、行政法规规定的其他条件。</w:t>
      </w:r>
    </w:p>
    <w:p>
      <w:pPr>
        <w:tabs>
          <w:tab w:val="left" w:pos="0"/>
        </w:tabs>
        <w:spacing w:line="500" w:lineRule="exact"/>
        <w:ind w:firstLine="420" w:firstLineChars="175"/>
        <w:jc w:val="left"/>
        <w:rPr>
          <w:rFonts w:ascii="宋体" w:hAnsi="宋体" w:cs="宋体"/>
          <w:sz w:val="24"/>
          <w:szCs w:val="24"/>
        </w:rPr>
      </w:pPr>
      <w:r>
        <w:rPr>
          <w:rFonts w:hint="eastAsia" w:ascii="宋体" w:hAnsi="宋体" w:cs="宋体"/>
          <w:sz w:val="24"/>
          <w:szCs w:val="24"/>
        </w:rPr>
        <w:t>2.2供应商应独立于采购人，不得直接或间接地与采购人为采购本次招标的服务进行设计、编制技术规格和其它文件所委托的咨询公司或其附属机构有任何关联。</w:t>
      </w:r>
    </w:p>
    <w:p>
      <w:pPr>
        <w:tabs>
          <w:tab w:val="left" w:pos="0"/>
        </w:tabs>
        <w:spacing w:line="500" w:lineRule="exact"/>
        <w:ind w:left="420" w:leftChars="200"/>
        <w:jc w:val="left"/>
        <w:rPr>
          <w:rFonts w:ascii="宋体" w:hAnsi="宋体" w:cs="宋体"/>
          <w:kern w:val="0"/>
          <w:sz w:val="24"/>
          <w:szCs w:val="24"/>
        </w:rPr>
      </w:pPr>
      <w:r>
        <w:rPr>
          <w:rFonts w:hint="eastAsia" w:ascii="宋体" w:hAnsi="宋体" w:cs="宋体"/>
          <w:kern w:val="0"/>
          <w:sz w:val="24"/>
          <w:szCs w:val="24"/>
        </w:rPr>
        <w:t>2.3供应商存在下列情形之一，其投标文件按无效文件处理。</w:t>
      </w:r>
    </w:p>
    <w:p>
      <w:pPr>
        <w:tabs>
          <w:tab w:val="left" w:pos="0"/>
        </w:tabs>
        <w:spacing w:line="500" w:lineRule="exact"/>
        <w:ind w:firstLine="480" w:firstLineChars="200"/>
        <w:rPr>
          <w:rFonts w:ascii="宋体" w:hAnsi="宋体" w:cs="宋体"/>
          <w:kern w:val="0"/>
          <w:sz w:val="24"/>
          <w:szCs w:val="24"/>
        </w:rPr>
      </w:pPr>
      <w:r>
        <w:rPr>
          <w:rFonts w:hint="eastAsia" w:ascii="宋体" w:hAnsi="宋体" w:cs="宋体"/>
          <w:kern w:val="0"/>
          <w:sz w:val="24"/>
          <w:szCs w:val="24"/>
        </w:rPr>
        <w:t>（1）与采购人采购代理机构存在隶属关系或者其他利害关系；</w:t>
      </w:r>
    </w:p>
    <w:p>
      <w:pPr>
        <w:tabs>
          <w:tab w:val="left" w:pos="0"/>
        </w:tabs>
        <w:spacing w:line="500" w:lineRule="exact"/>
        <w:ind w:firstLine="480" w:firstLineChars="200"/>
        <w:rPr>
          <w:rFonts w:ascii="宋体" w:hAnsi="宋体" w:cs="宋体"/>
          <w:kern w:val="0"/>
          <w:sz w:val="24"/>
          <w:szCs w:val="24"/>
        </w:rPr>
      </w:pPr>
      <w:r>
        <w:rPr>
          <w:rFonts w:hint="eastAsia" w:ascii="宋体" w:hAnsi="宋体" w:cs="宋体"/>
          <w:kern w:val="0"/>
          <w:sz w:val="24"/>
          <w:szCs w:val="24"/>
        </w:rPr>
        <w:t>（2）与参与同一合同项下的其他供应商的法定代表人（或者负责人）为同一人，或者与其他供应商存在直接控股、管理关系；</w:t>
      </w:r>
    </w:p>
    <w:p>
      <w:pPr>
        <w:tabs>
          <w:tab w:val="left" w:pos="0"/>
        </w:tabs>
        <w:spacing w:line="500" w:lineRule="exact"/>
        <w:ind w:firstLine="480" w:firstLineChars="200"/>
        <w:rPr>
          <w:rFonts w:ascii="宋体" w:hAnsi="宋体" w:cs="宋体"/>
          <w:kern w:val="0"/>
          <w:sz w:val="24"/>
          <w:szCs w:val="24"/>
        </w:rPr>
      </w:pPr>
      <w:r>
        <w:rPr>
          <w:rFonts w:hint="eastAsia" w:ascii="宋体" w:hAnsi="宋体" w:cs="宋体"/>
          <w:kern w:val="0"/>
          <w:sz w:val="24"/>
          <w:szCs w:val="24"/>
        </w:rPr>
        <w:t>（3）</w:t>
      </w:r>
      <w:r>
        <w:rPr>
          <w:rFonts w:hint="eastAsia" w:ascii="宋体" w:hAnsi="宋体" w:cs="宋体"/>
          <w:color w:val="000000"/>
          <w:sz w:val="24"/>
          <w:szCs w:val="24"/>
        </w:rPr>
        <w:t>受到刑事处罚或者责令停产停业、吊销许可证或者执照、较大数额罚款等行政处罚，供应商在参加政府采购活动前3年内因违法经营被禁止在一定期限内参加政府采购活动（期限届满的，可以参加政府采购活动）</w:t>
      </w:r>
      <w:r>
        <w:rPr>
          <w:rFonts w:hint="eastAsia" w:ascii="宋体" w:hAnsi="宋体" w:cs="宋体"/>
          <w:kern w:val="0"/>
          <w:sz w:val="24"/>
          <w:szCs w:val="24"/>
        </w:rPr>
        <w:t>。</w:t>
      </w:r>
    </w:p>
    <w:p>
      <w:pPr>
        <w:tabs>
          <w:tab w:val="left" w:pos="0"/>
        </w:tabs>
        <w:spacing w:line="500" w:lineRule="exact"/>
        <w:ind w:firstLine="480" w:firstLineChars="200"/>
        <w:rPr>
          <w:rFonts w:ascii="宋体" w:hAnsi="宋体" w:cs="宋体"/>
          <w:color w:val="000000"/>
          <w:kern w:val="0"/>
          <w:sz w:val="24"/>
          <w:szCs w:val="24"/>
        </w:rPr>
      </w:pPr>
      <w:r>
        <w:rPr>
          <w:rFonts w:hint="eastAsia" w:ascii="宋体" w:hAnsi="宋体" w:cs="宋体"/>
          <w:color w:val="000000"/>
          <w:kern w:val="0"/>
          <w:sz w:val="24"/>
          <w:szCs w:val="24"/>
        </w:rPr>
        <w:t>（4）在投标截止日前被列入失信被执行人、重大税收违法案件当事人名单、政府采购严重违法失信行为记录名单（处罚期限届满的除外）（以信用中国网（www.creditchina.gov.cn）、中国政府采购网（www.ccgp.gov.cn）查询结果为准。</w:t>
      </w:r>
    </w:p>
    <w:p>
      <w:pPr>
        <w:pStyle w:val="5"/>
        <w:numPr>
          <w:ilvl w:val="0"/>
          <w:numId w:val="12"/>
        </w:numPr>
        <w:spacing w:line="500" w:lineRule="exact"/>
        <w:ind w:firstLine="562" w:firstLineChars="200"/>
        <w:rPr>
          <w:rFonts w:ascii="宋体" w:hAnsi="宋体" w:cs="宋体"/>
          <w:szCs w:val="28"/>
        </w:rPr>
      </w:pPr>
      <w:bookmarkStart w:id="32" w:name="_Toc380336728"/>
      <w:bookmarkStart w:id="33" w:name="_Toc19"/>
      <w:bookmarkStart w:id="34" w:name="_Toc4659"/>
      <w:bookmarkStart w:id="35" w:name="_Toc5368"/>
      <w:bookmarkStart w:id="36" w:name="_Toc358364322"/>
      <w:bookmarkStart w:id="37" w:name="_Toc22444"/>
      <w:bookmarkStart w:id="38" w:name="_Toc9345"/>
      <w:bookmarkStart w:id="39" w:name="_Toc540"/>
      <w:r>
        <w:rPr>
          <w:rFonts w:hint="eastAsia" w:ascii="宋体" w:hAnsi="宋体" w:cs="宋体"/>
          <w:szCs w:val="28"/>
        </w:rPr>
        <w:t>费用</w:t>
      </w:r>
      <w:bookmarkEnd w:id="32"/>
      <w:bookmarkEnd w:id="33"/>
      <w:bookmarkEnd w:id="34"/>
      <w:bookmarkEnd w:id="35"/>
      <w:bookmarkEnd w:id="36"/>
      <w:bookmarkEnd w:id="37"/>
      <w:bookmarkEnd w:id="38"/>
      <w:bookmarkEnd w:id="39"/>
    </w:p>
    <w:p>
      <w:pPr>
        <w:widowControl/>
        <w:spacing w:line="500" w:lineRule="exact"/>
        <w:ind w:firstLine="480" w:firstLineChars="200"/>
        <w:jc w:val="left"/>
        <w:rPr>
          <w:rFonts w:ascii="宋体" w:hAnsi="宋体" w:cs="宋体"/>
          <w:sz w:val="24"/>
          <w:szCs w:val="24"/>
        </w:rPr>
      </w:pPr>
      <w:bookmarkStart w:id="40" w:name="_Toc5801"/>
      <w:bookmarkStart w:id="41" w:name="_Toc17817"/>
      <w:r>
        <w:rPr>
          <w:rFonts w:hint="eastAsia" w:ascii="宋体" w:hAnsi="宋体" w:cs="宋体"/>
          <w:sz w:val="24"/>
          <w:szCs w:val="24"/>
        </w:rPr>
        <w:t>供应商必须从代理机构购买招标文件，供应商自行转让或复制招标文件视为无效。招标文件一经售出，一律不退，仅作为本次公开招标使用。</w:t>
      </w:r>
    </w:p>
    <w:p>
      <w:pPr>
        <w:spacing w:line="360" w:lineRule="auto"/>
        <w:ind w:firstLine="480" w:firstLineChars="200"/>
        <w:jc w:val="left"/>
        <w:rPr>
          <w:rFonts w:ascii="宋体" w:hAnsi="宋体" w:cs="宋体"/>
          <w:sz w:val="24"/>
        </w:rPr>
      </w:pPr>
      <w:r>
        <w:rPr>
          <w:rFonts w:hint="eastAsia" w:ascii="宋体" w:hAnsi="宋体" w:cs="宋体"/>
          <w:sz w:val="24"/>
        </w:rPr>
        <w:t>无论投标过程和结果如何，供应商自行承担与投标有关的全部费用。</w:t>
      </w:r>
    </w:p>
    <w:p>
      <w:pPr>
        <w:pStyle w:val="5"/>
        <w:numPr>
          <w:ilvl w:val="0"/>
          <w:numId w:val="12"/>
        </w:numPr>
        <w:spacing w:line="500" w:lineRule="exact"/>
        <w:ind w:firstLine="562" w:firstLineChars="200"/>
        <w:rPr>
          <w:rFonts w:ascii="宋体" w:hAnsi="宋体" w:cs="宋体"/>
          <w:szCs w:val="28"/>
        </w:rPr>
      </w:pPr>
      <w:bookmarkStart w:id="42" w:name="_Toc28038"/>
      <w:bookmarkStart w:id="43" w:name="_Toc6084"/>
      <w:bookmarkStart w:id="44" w:name="_Toc14030"/>
      <w:bookmarkStart w:id="45" w:name="_Toc31143"/>
      <w:r>
        <w:rPr>
          <w:rFonts w:hint="eastAsia" w:ascii="宋体" w:hAnsi="宋体" w:cs="宋体"/>
          <w:szCs w:val="28"/>
        </w:rPr>
        <w:t>实质性偏离</w:t>
      </w:r>
      <w:bookmarkEnd w:id="42"/>
      <w:bookmarkEnd w:id="43"/>
      <w:bookmarkEnd w:id="44"/>
      <w:bookmarkEnd w:id="45"/>
    </w:p>
    <w:p>
      <w:pPr>
        <w:widowControl/>
        <w:spacing w:line="500" w:lineRule="exact"/>
        <w:ind w:firstLine="480" w:firstLineChars="200"/>
        <w:jc w:val="left"/>
        <w:rPr>
          <w:rFonts w:ascii="宋体" w:hAnsi="宋体" w:cs="宋体"/>
          <w:sz w:val="24"/>
          <w:szCs w:val="24"/>
        </w:rPr>
      </w:pPr>
      <w:r>
        <w:rPr>
          <w:rFonts w:hint="eastAsia" w:ascii="宋体" w:hAnsi="宋体" w:cs="宋体"/>
          <w:sz w:val="24"/>
          <w:szCs w:val="24"/>
        </w:rPr>
        <w:t>投标文件应当对招标文件实质性要求和条件作出满足性或有利于采购人的响应，否则，供应商的投标无效。</w:t>
      </w:r>
    </w:p>
    <w:p>
      <w:pPr>
        <w:widowControl/>
        <w:spacing w:line="500" w:lineRule="exact"/>
        <w:ind w:firstLine="480" w:firstLineChars="200"/>
        <w:jc w:val="left"/>
        <w:rPr>
          <w:rFonts w:ascii="宋体" w:hAnsi="宋体" w:cs="宋体"/>
          <w:sz w:val="24"/>
          <w:szCs w:val="24"/>
        </w:rPr>
      </w:pPr>
      <w:r>
        <w:rPr>
          <w:rFonts w:hint="eastAsia" w:ascii="宋体" w:hAnsi="宋体" w:cs="宋体"/>
          <w:sz w:val="24"/>
          <w:szCs w:val="24"/>
        </w:rPr>
        <w:t>偏离是指投标文件不响应或者不满足招标文件提出的要求和条件，分为实质性偏离和非实质性偏离。</w:t>
      </w:r>
    </w:p>
    <w:p>
      <w:pPr>
        <w:pStyle w:val="5"/>
        <w:numPr>
          <w:ilvl w:val="0"/>
          <w:numId w:val="12"/>
        </w:numPr>
        <w:spacing w:line="500" w:lineRule="exact"/>
        <w:ind w:firstLine="562" w:firstLineChars="200"/>
        <w:rPr>
          <w:rFonts w:ascii="宋体" w:hAnsi="宋体" w:cs="宋体"/>
          <w:szCs w:val="28"/>
        </w:rPr>
      </w:pPr>
      <w:bookmarkStart w:id="46" w:name="_Toc16643"/>
      <w:bookmarkStart w:id="47" w:name="_Toc24283"/>
      <w:bookmarkStart w:id="48" w:name="_Toc217446047"/>
      <w:bookmarkStart w:id="49" w:name="_Toc7641"/>
      <w:bookmarkStart w:id="50" w:name="_Toc531"/>
      <w:r>
        <w:rPr>
          <w:rFonts w:hint="eastAsia" w:ascii="宋体" w:hAnsi="宋体" w:cs="宋体"/>
          <w:szCs w:val="28"/>
        </w:rPr>
        <w:t>知识产权</w:t>
      </w:r>
      <w:bookmarkEnd w:id="46"/>
      <w:bookmarkEnd w:id="47"/>
      <w:bookmarkEnd w:id="48"/>
      <w:bookmarkEnd w:id="49"/>
      <w:bookmarkEnd w:id="50"/>
    </w:p>
    <w:p>
      <w:pPr>
        <w:pStyle w:val="11"/>
        <w:spacing w:line="360" w:lineRule="auto"/>
        <w:ind w:left="0" w:leftChars="0" w:firstLine="480" w:firstLineChars="200"/>
        <w:rPr>
          <w:rFonts w:ascii="宋体" w:hAnsi="宋体" w:cs="宋体"/>
          <w:sz w:val="24"/>
          <w:szCs w:val="24"/>
        </w:rPr>
      </w:pPr>
      <w:r>
        <w:rPr>
          <w:rFonts w:hint="eastAsia" w:ascii="宋体" w:hAnsi="宋体" w:cs="宋体"/>
          <w:sz w:val="24"/>
          <w:szCs w:val="24"/>
        </w:rPr>
        <w:t>供应商应当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1"/>
        <w:spacing w:line="360" w:lineRule="auto"/>
        <w:ind w:left="0" w:leftChars="0" w:firstLine="480" w:firstLineChars="200"/>
        <w:rPr>
          <w:rFonts w:ascii="宋体" w:hAnsi="宋体" w:cs="宋体"/>
          <w:sz w:val="24"/>
          <w:szCs w:val="24"/>
        </w:rPr>
      </w:pPr>
      <w:r>
        <w:rPr>
          <w:rFonts w:hint="eastAsia" w:ascii="宋体" w:hAnsi="宋体" w:cs="宋体"/>
          <w:sz w:val="24"/>
          <w:szCs w:val="24"/>
        </w:rPr>
        <w:t>采购人享有本项目实施过程中产生的知识成果及知识产权。</w:t>
      </w:r>
    </w:p>
    <w:p>
      <w:pPr>
        <w:spacing w:line="360" w:lineRule="auto"/>
        <w:ind w:firstLine="480" w:firstLineChars="200"/>
        <w:rPr>
          <w:rFonts w:ascii="宋体" w:hAnsi="宋体" w:cs="宋体"/>
          <w:sz w:val="24"/>
          <w:szCs w:val="24"/>
        </w:rPr>
      </w:pPr>
      <w:r>
        <w:rPr>
          <w:rFonts w:hint="eastAsia" w:ascii="宋体" w:hAnsi="宋体" w:cs="宋体"/>
          <w:sz w:val="24"/>
          <w:szCs w:val="24"/>
        </w:rPr>
        <w:t>供应商如欲在项目实施过程中采用自有知识成果，需在投标文件中声明，并提供相关知识产权证明文件。使用该知识成果后，供应商需提供开发接口和开发手册等技术文档，并承诺提供无限期技术支持，采购人享有永久使用权。</w:t>
      </w:r>
    </w:p>
    <w:p>
      <w:pPr>
        <w:spacing w:line="360" w:lineRule="auto"/>
        <w:ind w:firstLine="480" w:firstLineChars="200"/>
        <w:rPr>
          <w:rFonts w:ascii="宋体" w:hAnsi="宋体" w:cs="宋体"/>
          <w:sz w:val="24"/>
          <w:szCs w:val="24"/>
        </w:rPr>
      </w:pPr>
      <w:r>
        <w:rPr>
          <w:rFonts w:hint="eastAsia" w:ascii="宋体" w:hAnsi="宋体" w:cs="宋体"/>
          <w:sz w:val="24"/>
          <w:szCs w:val="24"/>
        </w:rPr>
        <w:t>如采用供应商所不拥有的知识产权，则在投标报价中必须包括合法获取该知识产权的相关费用。</w:t>
      </w:r>
    </w:p>
    <w:p>
      <w:pPr>
        <w:pStyle w:val="28"/>
      </w:pPr>
    </w:p>
    <w:p>
      <w:pPr>
        <w:pStyle w:val="28"/>
      </w:pPr>
    </w:p>
    <w:bookmarkEnd w:id="40"/>
    <w:bookmarkEnd w:id="41"/>
    <w:p>
      <w:pPr>
        <w:spacing w:line="360" w:lineRule="auto"/>
        <w:jc w:val="left"/>
        <w:rPr>
          <w:rFonts w:ascii="宋体" w:hAnsi="宋体" w:cs="宋体"/>
          <w:kern w:val="0"/>
          <w:sz w:val="24"/>
          <w:szCs w:val="24"/>
        </w:rPr>
      </w:pPr>
      <w:bookmarkStart w:id="51" w:name="_Toc7144"/>
    </w:p>
    <w:p>
      <w:pPr>
        <w:ind w:firstLine="420" w:firstLineChars="200"/>
        <w:rPr>
          <w:rFonts w:ascii="宋体" w:hAnsi="宋体" w:cs="宋体"/>
        </w:rPr>
      </w:pPr>
      <w:r>
        <w:rPr>
          <w:rFonts w:hint="eastAsia" w:ascii="宋体" w:hAnsi="宋体" w:cs="宋体"/>
        </w:rPr>
        <w:br w:type="page"/>
      </w:r>
    </w:p>
    <w:p>
      <w:pPr>
        <w:numPr>
          <w:ilvl w:val="0"/>
          <w:numId w:val="14"/>
        </w:numPr>
        <w:jc w:val="center"/>
        <w:outlineLvl w:val="1"/>
        <w:rPr>
          <w:rFonts w:ascii="宋体" w:hAnsi="宋体" w:cs="宋体"/>
          <w:sz w:val="36"/>
          <w:szCs w:val="28"/>
        </w:rPr>
      </w:pPr>
      <w:bookmarkStart w:id="52" w:name="_Toc2233"/>
      <w:bookmarkStart w:id="53" w:name="_Toc12029"/>
      <w:bookmarkStart w:id="54" w:name="_Toc4794"/>
      <w:r>
        <w:rPr>
          <w:rFonts w:hint="eastAsia" w:ascii="宋体" w:hAnsi="宋体" w:cs="宋体"/>
          <w:sz w:val="36"/>
          <w:szCs w:val="28"/>
        </w:rPr>
        <w:t>招标文件</w:t>
      </w:r>
      <w:bookmarkEnd w:id="51"/>
      <w:bookmarkEnd w:id="52"/>
      <w:bookmarkEnd w:id="53"/>
      <w:bookmarkEnd w:id="54"/>
    </w:p>
    <w:p>
      <w:pPr>
        <w:pStyle w:val="5"/>
        <w:keepNext w:val="0"/>
        <w:keepLines w:val="0"/>
        <w:numPr>
          <w:ilvl w:val="0"/>
          <w:numId w:val="15"/>
        </w:numPr>
        <w:spacing w:line="500" w:lineRule="exact"/>
        <w:ind w:firstLine="562" w:firstLineChars="200"/>
        <w:rPr>
          <w:rFonts w:ascii="宋体" w:hAnsi="宋体" w:cs="宋体"/>
          <w:szCs w:val="28"/>
        </w:rPr>
      </w:pPr>
      <w:bookmarkStart w:id="55" w:name="_Toc4077"/>
      <w:bookmarkStart w:id="56" w:name="_Toc2258"/>
      <w:bookmarkStart w:id="57" w:name="_Toc13558"/>
      <w:bookmarkStart w:id="58" w:name="_Toc3989"/>
      <w:r>
        <w:rPr>
          <w:rFonts w:hint="eastAsia" w:ascii="宋体" w:hAnsi="宋体" w:cs="宋体"/>
          <w:szCs w:val="28"/>
        </w:rPr>
        <w:t>招标文件的构成</w:t>
      </w:r>
      <w:bookmarkEnd w:id="55"/>
      <w:bookmarkEnd w:id="56"/>
      <w:bookmarkEnd w:id="57"/>
      <w:bookmarkEnd w:id="58"/>
    </w:p>
    <w:p>
      <w:pPr>
        <w:tabs>
          <w:tab w:val="left" w:pos="0"/>
        </w:tabs>
        <w:adjustRightInd w:val="0"/>
        <w:snapToGrid w:val="0"/>
        <w:spacing w:line="500" w:lineRule="exact"/>
        <w:ind w:firstLine="480" w:firstLineChars="200"/>
        <w:jc w:val="left"/>
        <w:rPr>
          <w:rFonts w:ascii="宋体" w:hAnsi="宋体" w:cs="宋体"/>
          <w:sz w:val="24"/>
          <w:szCs w:val="24"/>
        </w:rPr>
      </w:pPr>
      <w:r>
        <w:rPr>
          <w:rFonts w:hint="eastAsia" w:ascii="宋体" w:hAnsi="宋体" w:cs="宋体"/>
          <w:sz w:val="24"/>
          <w:szCs w:val="24"/>
        </w:rPr>
        <w:t>1.1 招标文件是供应商准备投标文件和参加投标的依据，同时也是评标的重要依据，具有准法律文件性质。本招标文件包括以下内容：</w:t>
      </w:r>
    </w:p>
    <w:p>
      <w:pPr>
        <w:numPr>
          <w:ilvl w:val="0"/>
          <w:numId w:val="16"/>
        </w:numPr>
        <w:tabs>
          <w:tab w:val="left" w:pos="0"/>
        </w:tabs>
        <w:adjustRightInd w:val="0"/>
        <w:snapToGrid w:val="0"/>
        <w:spacing w:line="500" w:lineRule="exact"/>
        <w:jc w:val="left"/>
        <w:rPr>
          <w:rFonts w:ascii="宋体" w:hAnsi="宋体" w:cs="宋体"/>
          <w:sz w:val="24"/>
          <w:szCs w:val="24"/>
        </w:rPr>
      </w:pPr>
      <w:r>
        <w:rPr>
          <w:rFonts w:hint="eastAsia" w:ascii="宋体" w:hAnsi="宋体" w:cs="宋体"/>
          <w:sz w:val="24"/>
          <w:szCs w:val="24"/>
        </w:rPr>
        <w:t>公开招标公告；</w:t>
      </w:r>
    </w:p>
    <w:p>
      <w:pPr>
        <w:numPr>
          <w:ilvl w:val="0"/>
          <w:numId w:val="16"/>
        </w:numPr>
        <w:tabs>
          <w:tab w:val="left" w:pos="0"/>
        </w:tabs>
        <w:adjustRightInd w:val="0"/>
        <w:snapToGrid w:val="0"/>
        <w:spacing w:line="500" w:lineRule="exact"/>
        <w:jc w:val="left"/>
        <w:rPr>
          <w:rFonts w:ascii="宋体" w:hAnsi="宋体" w:cs="宋体"/>
          <w:sz w:val="24"/>
          <w:szCs w:val="24"/>
        </w:rPr>
      </w:pPr>
      <w:r>
        <w:rPr>
          <w:rFonts w:hint="eastAsia" w:ascii="宋体" w:hAnsi="宋体" w:cs="宋体"/>
          <w:sz w:val="24"/>
          <w:szCs w:val="24"/>
        </w:rPr>
        <w:t>供应商须知前附表；</w:t>
      </w:r>
    </w:p>
    <w:p>
      <w:pPr>
        <w:numPr>
          <w:ilvl w:val="0"/>
          <w:numId w:val="16"/>
        </w:numPr>
        <w:tabs>
          <w:tab w:val="left" w:pos="0"/>
        </w:tabs>
        <w:adjustRightInd w:val="0"/>
        <w:snapToGrid w:val="0"/>
        <w:spacing w:line="500" w:lineRule="exact"/>
        <w:jc w:val="left"/>
        <w:rPr>
          <w:rFonts w:ascii="宋体" w:hAnsi="宋体" w:cs="宋体"/>
          <w:sz w:val="24"/>
          <w:szCs w:val="24"/>
        </w:rPr>
      </w:pPr>
      <w:r>
        <w:rPr>
          <w:rFonts w:hint="eastAsia" w:ascii="宋体" w:hAnsi="宋体" w:cs="宋体"/>
          <w:sz w:val="24"/>
          <w:szCs w:val="24"/>
        </w:rPr>
        <w:t>供应商须知；</w:t>
      </w:r>
    </w:p>
    <w:p>
      <w:pPr>
        <w:numPr>
          <w:ilvl w:val="0"/>
          <w:numId w:val="16"/>
        </w:numPr>
        <w:tabs>
          <w:tab w:val="left" w:pos="0"/>
        </w:tabs>
        <w:adjustRightInd w:val="0"/>
        <w:snapToGrid w:val="0"/>
        <w:spacing w:line="500" w:lineRule="exact"/>
        <w:jc w:val="left"/>
        <w:rPr>
          <w:rFonts w:ascii="宋体" w:hAnsi="宋体" w:cs="宋体"/>
          <w:sz w:val="24"/>
          <w:szCs w:val="24"/>
        </w:rPr>
      </w:pPr>
      <w:r>
        <w:rPr>
          <w:rFonts w:hint="eastAsia" w:ascii="宋体" w:hAnsi="宋体" w:cs="宋体"/>
          <w:sz w:val="24"/>
          <w:szCs w:val="24"/>
        </w:rPr>
        <w:t>评标方法；</w:t>
      </w:r>
    </w:p>
    <w:p>
      <w:pPr>
        <w:numPr>
          <w:ilvl w:val="0"/>
          <w:numId w:val="16"/>
        </w:numPr>
        <w:tabs>
          <w:tab w:val="left" w:pos="0"/>
        </w:tabs>
        <w:adjustRightInd w:val="0"/>
        <w:snapToGrid w:val="0"/>
        <w:spacing w:line="500" w:lineRule="exact"/>
        <w:jc w:val="left"/>
        <w:rPr>
          <w:rFonts w:ascii="宋体" w:hAnsi="宋体" w:cs="宋体"/>
          <w:sz w:val="24"/>
          <w:szCs w:val="24"/>
        </w:rPr>
      </w:pPr>
      <w:r>
        <w:rPr>
          <w:rFonts w:hint="eastAsia" w:ascii="宋体" w:hAnsi="宋体" w:cs="宋体"/>
          <w:sz w:val="24"/>
          <w:szCs w:val="24"/>
        </w:rPr>
        <w:t>采购要求；</w:t>
      </w:r>
    </w:p>
    <w:p>
      <w:pPr>
        <w:numPr>
          <w:ilvl w:val="0"/>
          <w:numId w:val="16"/>
        </w:numPr>
        <w:tabs>
          <w:tab w:val="left" w:pos="0"/>
        </w:tabs>
        <w:adjustRightInd w:val="0"/>
        <w:snapToGrid w:val="0"/>
        <w:spacing w:line="500" w:lineRule="exact"/>
        <w:jc w:val="left"/>
        <w:rPr>
          <w:rFonts w:ascii="宋体" w:hAnsi="宋体" w:cs="宋体"/>
          <w:sz w:val="24"/>
          <w:szCs w:val="24"/>
        </w:rPr>
      </w:pPr>
      <w:r>
        <w:rPr>
          <w:rFonts w:hint="eastAsia" w:ascii="宋体" w:hAnsi="宋体" w:cs="宋体"/>
          <w:sz w:val="24"/>
          <w:szCs w:val="24"/>
        </w:rPr>
        <w:t>合同条款；</w:t>
      </w:r>
    </w:p>
    <w:p>
      <w:pPr>
        <w:numPr>
          <w:ilvl w:val="0"/>
          <w:numId w:val="16"/>
        </w:numPr>
        <w:tabs>
          <w:tab w:val="left" w:pos="0"/>
        </w:tabs>
        <w:adjustRightInd w:val="0"/>
        <w:snapToGrid w:val="0"/>
        <w:spacing w:line="500" w:lineRule="exact"/>
        <w:jc w:val="left"/>
        <w:rPr>
          <w:rFonts w:ascii="宋体" w:hAnsi="宋体" w:cs="宋体"/>
          <w:sz w:val="24"/>
          <w:szCs w:val="24"/>
        </w:rPr>
      </w:pPr>
      <w:r>
        <w:rPr>
          <w:rFonts w:hint="eastAsia" w:ascii="宋体" w:hAnsi="宋体" w:cs="宋体"/>
          <w:sz w:val="24"/>
          <w:szCs w:val="24"/>
        </w:rPr>
        <w:t>投标文件格式。</w:t>
      </w:r>
    </w:p>
    <w:p>
      <w:pPr>
        <w:tabs>
          <w:tab w:val="left" w:pos="0"/>
        </w:tabs>
        <w:adjustRightInd w:val="0"/>
        <w:snapToGrid w:val="0"/>
        <w:spacing w:line="500" w:lineRule="exact"/>
        <w:ind w:firstLine="480" w:firstLineChars="200"/>
        <w:jc w:val="left"/>
        <w:rPr>
          <w:rFonts w:ascii="宋体" w:hAnsi="宋体" w:cs="宋体"/>
          <w:sz w:val="24"/>
          <w:szCs w:val="24"/>
        </w:rPr>
      </w:pPr>
      <w:r>
        <w:rPr>
          <w:rFonts w:hint="eastAsia" w:ascii="宋体" w:hAnsi="宋体" w:cs="宋体"/>
          <w:color w:val="000000"/>
          <w:sz w:val="24"/>
          <w:szCs w:val="24"/>
        </w:rPr>
        <w:t>1.2</w:t>
      </w:r>
      <w:r>
        <w:rPr>
          <w:rFonts w:hint="eastAsia" w:ascii="宋体" w:hAnsi="宋体" w:cs="宋体"/>
          <w:sz w:val="24"/>
          <w:szCs w:val="24"/>
        </w:rPr>
        <w:t>供应商应认真阅读招标文件中所有的条款、事项、格式和技术规范、参数及要求等。供应商没有按照招标文件要求提交全部资料，或者没有对招标文件在各方面都作出实质性响应，将导致其投标被拒绝或被认定为无效投标。</w:t>
      </w:r>
    </w:p>
    <w:p>
      <w:pPr>
        <w:pStyle w:val="5"/>
        <w:keepNext w:val="0"/>
        <w:keepLines w:val="0"/>
        <w:numPr>
          <w:ilvl w:val="0"/>
          <w:numId w:val="15"/>
        </w:numPr>
        <w:spacing w:line="500" w:lineRule="exact"/>
        <w:ind w:firstLine="562" w:firstLineChars="200"/>
        <w:rPr>
          <w:rFonts w:ascii="宋体" w:hAnsi="宋体" w:cs="宋体"/>
          <w:szCs w:val="28"/>
        </w:rPr>
      </w:pPr>
      <w:bookmarkStart w:id="59" w:name="_Toc19797"/>
      <w:bookmarkStart w:id="60" w:name="_Toc14603"/>
      <w:bookmarkStart w:id="61" w:name="_Toc3817"/>
      <w:bookmarkStart w:id="62" w:name="_Toc18986"/>
      <w:bookmarkStart w:id="63" w:name="_Toc7486"/>
      <w:r>
        <w:rPr>
          <w:rFonts w:hint="eastAsia" w:ascii="宋体" w:hAnsi="宋体" w:cs="宋体"/>
          <w:szCs w:val="28"/>
        </w:rPr>
        <w:t>招标文件的澄清</w:t>
      </w:r>
      <w:bookmarkEnd w:id="59"/>
      <w:bookmarkEnd w:id="60"/>
      <w:bookmarkEnd w:id="61"/>
      <w:bookmarkEnd w:id="62"/>
      <w:bookmarkEnd w:id="63"/>
    </w:p>
    <w:p>
      <w:pPr>
        <w:adjustRightInd w:val="0"/>
        <w:snapToGrid w:val="0"/>
        <w:spacing w:line="500" w:lineRule="exact"/>
        <w:ind w:firstLine="480" w:firstLineChars="200"/>
        <w:jc w:val="left"/>
        <w:rPr>
          <w:rFonts w:ascii="宋体" w:hAnsi="宋体" w:cs="宋体"/>
          <w:sz w:val="24"/>
          <w:szCs w:val="24"/>
        </w:rPr>
      </w:pPr>
      <w:r>
        <w:rPr>
          <w:rFonts w:hint="eastAsia" w:ascii="宋体" w:hAnsi="宋体" w:cs="宋体"/>
          <w:sz w:val="24"/>
          <w:szCs w:val="24"/>
        </w:rPr>
        <w:t>2.1 供应商应认真阅读和充分理解招标文件中所有的事项，如有问题或疑义请及时函告。否则，视为同意招标文件的一切条款和要求并承担由此引起的一切法律责任。凡因供应商对招标文件阅读不深、理解不透、误解、疏漏、或因市场行情了解不清造成的后果和风险均由供应商自行承担。</w:t>
      </w:r>
    </w:p>
    <w:p>
      <w:pPr>
        <w:tabs>
          <w:tab w:val="left" w:pos="0"/>
        </w:tabs>
        <w:adjustRightInd w:val="0"/>
        <w:snapToGrid w:val="0"/>
        <w:spacing w:line="500" w:lineRule="exact"/>
        <w:ind w:firstLine="480" w:firstLineChars="200"/>
        <w:jc w:val="left"/>
        <w:rPr>
          <w:rFonts w:ascii="宋体" w:hAnsi="宋体" w:cs="宋体"/>
          <w:sz w:val="24"/>
          <w:szCs w:val="24"/>
        </w:rPr>
      </w:pPr>
      <w:r>
        <w:rPr>
          <w:rFonts w:hint="eastAsia" w:ascii="宋体" w:hAnsi="宋体" w:cs="宋体"/>
          <w:sz w:val="24"/>
          <w:szCs w:val="24"/>
        </w:rPr>
        <w:t>2.2 任何对招标文件进行询问或要求进行澄清的供应商，均应在收到招标文件后七个工作日内按公开招标文件中的通讯地址以书面形式递交代理机构，采购人或代理机构对收到的任何询问或澄清要求将作出书面答复。</w:t>
      </w:r>
    </w:p>
    <w:p>
      <w:pPr>
        <w:pStyle w:val="5"/>
        <w:keepNext w:val="0"/>
        <w:keepLines w:val="0"/>
        <w:numPr>
          <w:ilvl w:val="0"/>
          <w:numId w:val="15"/>
        </w:numPr>
        <w:spacing w:line="500" w:lineRule="exact"/>
        <w:ind w:firstLine="562" w:firstLineChars="200"/>
        <w:rPr>
          <w:rFonts w:ascii="宋体" w:hAnsi="宋体" w:cs="宋体"/>
          <w:szCs w:val="28"/>
        </w:rPr>
      </w:pPr>
      <w:bookmarkStart w:id="64" w:name="_Toc4238"/>
      <w:bookmarkStart w:id="65" w:name="_Toc6390"/>
      <w:bookmarkStart w:id="66" w:name="_Toc14087"/>
      <w:bookmarkStart w:id="67" w:name="_Toc12674"/>
      <w:bookmarkStart w:id="68" w:name="_Toc14621"/>
      <w:r>
        <w:rPr>
          <w:rFonts w:hint="eastAsia" w:ascii="宋体" w:hAnsi="宋体" w:cs="宋体"/>
          <w:szCs w:val="28"/>
        </w:rPr>
        <w:t>招标文件的修改</w:t>
      </w:r>
      <w:bookmarkEnd w:id="64"/>
      <w:bookmarkEnd w:id="65"/>
      <w:bookmarkEnd w:id="66"/>
      <w:bookmarkEnd w:id="67"/>
      <w:bookmarkEnd w:id="68"/>
    </w:p>
    <w:p>
      <w:pPr>
        <w:tabs>
          <w:tab w:val="left" w:pos="0"/>
        </w:tabs>
        <w:adjustRightInd w:val="0"/>
        <w:snapToGrid w:val="0"/>
        <w:spacing w:line="500" w:lineRule="exact"/>
        <w:ind w:firstLine="480" w:firstLineChars="200"/>
        <w:jc w:val="left"/>
        <w:rPr>
          <w:rFonts w:ascii="宋体" w:hAnsi="宋体" w:cs="宋体"/>
          <w:sz w:val="24"/>
          <w:szCs w:val="24"/>
        </w:rPr>
      </w:pPr>
      <w:r>
        <w:rPr>
          <w:rFonts w:hint="eastAsia" w:ascii="宋体" w:hAnsi="宋体" w:cs="宋体"/>
          <w:sz w:val="24"/>
          <w:szCs w:val="24"/>
        </w:rPr>
        <w:t>3.1 在投标截止时间十五日前，无论出于何种原因，代理机构可主动地或在解答供应商提出的澄清问题时，对招标文件进行修改。招标文件的澄清和修改将以书面形式通知所有供应商，并作为招标文件的补充，与其具有同等法律效力。</w:t>
      </w:r>
    </w:p>
    <w:p>
      <w:pPr>
        <w:tabs>
          <w:tab w:val="left" w:pos="0"/>
        </w:tabs>
        <w:adjustRightInd w:val="0"/>
        <w:snapToGrid w:val="0"/>
        <w:spacing w:line="500" w:lineRule="exact"/>
        <w:ind w:firstLine="480" w:firstLineChars="200"/>
        <w:jc w:val="left"/>
        <w:rPr>
          <w:rFonts w:ascii="宋体" w:hAnsi="宋体" w:cs="宋体"/>
          <w:b/>
          <w:bCs/>
          <w:color w:val="FF0000"/>
          <w:sz w:val="24"/>
          <w:szCs w:val="24"/>
        </w:rPr>
      </w:pPr>
      <w:r>
        <w:rPr>
          <w:rFonts w:hint="eastAsia" w:ascii="宋体" w:hAnsi="宋体" w:cs="宋体"/>
          <w:sz w:val="24"/>
          <w:szCs w:val="24"/>
        </w:rPr>
        <w:t>3.2 为方便供应商对招标文件修改或澄清内容有充分的时间进行补充修改，代理机构可适当延长投标截止时间和开标时间，在招标文件要求提交投标文件的截止日期前，将变更时间书面通知所有购买招标文件的供应商。</w:t>
      </w:r>
    </w:p>
    <w:p>
      <w:pPr>
        <w:pStyle w:val="5"/>
        <w:numPr>
          <w:ilvl w:val="0"/>
          <w:numId w:val="15"/>
        </w:numPr>
        <w:spacing w:line="500" w:lineRule="exact"/>
        <w:ind w:firstLine="562" w:firstLineChars="200"/>
        <w:rPr>
          <w:rFonts w:ascii="宋体" w:hAnsi="宋体" w:cs="宋体"/>
          <w:szCs w:val="28"/>
        </w:rPr>
      </w:pPr>
      <w:bookmarkStart w:id="69" w:name="_Toc29089"/>
      <w:bookmarkStart w:id="70" w:name="_Toc8379"/>
      <w:bookmarkStart w:id="71" w:name="_Toc29467"/>
      <w:bookmarkStart w:id="72" w:name="_Toc10451"/>
      <w:bookmarkStart w:id="73" w:name="_Toc5095"/>
      <w:r>
        <w:rPr>
          <w:rFonts w:hint="eastAsia" w:ascii="宋体" w:hAnsi="宋体" w:cs="宋体"/>
          <w:szCs w:val="28"/>
        </w:rPr>
        <w:t>招标文件的解释权归代理机构</w:t>
      </w:r>
      <w:bookmarkEnd w:id="69"/>
      <w:bookmarkEnd w:id="70"/>
      <w:bookmarkEnd w:id="71"/>
      <w:bookmarkEnd w:id="72"/>
      <w:bookmarkEnd w:id="73"/>
    </w:p>
    <w:p>
      <w:pPr>
        <w:pStyle w:val="5"/>
        <w:numPr>
          <w:ilvl w:val="0"/>
          <w:numId w:val="15"/>
        </w:numPr>
        <w:spacing w:line="500" w:lineRule="exact"/>
        <w:ind w:firstLine="562" w:firstLineChars="200"/>
        <w:rPr>
          <w:rFonts w:ascii="宋体" w:hAnsi="宋体" w:cs="宋体"/>
          <w:szCs w:val="28"/>
        </w:rPr>
      </w:pPr>
      <w:bookmarkStart w:id="74" w:name="_Toc23677"/>
      <w:bookmarkStart w:id="75" w:name="_Toc25634"/>
      <w:bookmarkStart w:id="76" w:name="_Toc25947"/>
      <w:bookmarkStart w:id="77" w:name="_Toc2169"/>
      <w:r>
        <w:rPr>
          <w:rFonts w:hint="eastAsia" w:ascii="宋体" w:hAnsi="宋体" w:cs="宋体"/>
          <w:szCs w:val="28"/>
        </w:rPr>
        <w:t>落实的政府采购政策</w:t>
      </w:r>
      <w:bookmarkEnd w:id="74"/>
      <w:bookmarkEnd w:id="75"/>
      <w:bookmarkEnd w:id="76"/>
      <w:bookmarkEnd w:id="77"/>
    </w:p>
    <w:p>
      <w:pPr>
        <w:tabs>
          <w:tab w:val="left" w:pos="0"/>
        </w:tabs>
        <w:adjustRightInd w:val="0"/>
        <w:snapToGrid w:val="0"/>
        <w:spacing w:line="500" w:lineRule="exact"/>
        <w:ind w:firstLine="480" w:firstLineChars="200"/>
        <w:jc w:val="left"/>
        <w:rPr>
          <w:rFonts w:hAnsi="宋体" w:cs="宋体"/>
          <w:sz w:val="24"/>
          <w:szCs w:val="24"/>
        </w:rPr>
      </w:pPr>
      <w:r>
        <w:rPr>
          <w:rFonts w:hint="eastAsia" w:hAnsi="宋体" w:cs="宋体"/>
          <w:sz w:val="24"/>
          <w:szCs w:val="24"/>
        </w:rPr>
        <w:t>5.1节能产品、环境标志产品</w:t>
      </w:r>
    </w:p>
    <w:p>
      <w:pPr>
        <w:tabs>
          <w:tab w:val="left" w:pos="0"/>
        </w:tabs>
        <w:adjustRightInd w:val="0"/>
        <w:snapToGrid w:val="0"/>
        <w:spacing w:line="500" w:lineRule="exact"/>
        <w:ind w:firstLine="480" w:firstLineChars="200"/>
        <w:jc w:val="left"/>
        <w:rPr>
          <w:rFonts w:hAnsi="宋体" w:cs="宋体"/>
          <w:sz w:val="24"/>
          <w:szCs w:val="24"/>
        </w:rPr>
      </w:pPr>
      <w:r>
        <w:rPr>
          <w:rFonts w:hint="eastAsia" w:hAnsi="宋体" w:cs="宋体"/>
          <w:sz w:val="24"/>
          <w:szCs w:val="24"/>
        </w:rPr>
        <w:t xml:space="preserve"> 供应商所投产品，将依据《节能产品、环境标志产品品目清单》和认证证书实施政府优先采购和强制采购。</w:t>
      </w:r>
    </w:p>
    <w:p>
      <w:pPr>
        <w:tabs>
          <w:tab w:val="left" w:pos="0"/>
        </w:tabs>
        <w:adjustRightInd w:val="0"/>
        <w:snapToGrid w:val="0"/>
        <w:spacing w:line="500" w:lineRule="exact"/>
        <w:ind w:firstLine="480" w:firstLineChars="200"/>
        <w:jc w:val="left"/>
        <w:rPr>
          <w:rFonts w:hAnsi="宋体" w:cs="宋体"/>
          <w:sz w:val="24"/>
          <w:szCs w:val="24"/>
        </w:rPr>
      </w:pPr>
      <w:r>
        <w:rPr>
          <w:rFonts w:hint="eastAsia" w:hAnsi="宋体" w:cs="宋体"/>
          <w:sz w:val="24"/>
          <w:szCs w:val="24"/>
        </w:rPr>
        <w:t>供应商可以提供所投产品经国家确定的认证机构出具的、处于有效期之内的节能产品、环境标志产品认证证书复印件。采购代理机构通过中国政府采购网（http：//www.ccgp.gov.cn/）对获证产品信息进行核对。</w:t>
      </w:r>
    </w:p>
    <w:p>
      <w:pPr>
        <w:tabs>
          <w:tab w:val="left" w:pos="0"/>
        </w:tabs>
        <w:adjustRightInd w:val="0"/>
        <w:snapToGrid w:val="0"/>
        <w:spacing w:line="500" w:lineRule="exact"/>
        <w:ind w:firstLine="480" w:firstLineChars="200"/>
        <w:jc w:val="left"/>
        <w:rPr>
          <w:rFonts w:hAnsi="宋体" w:cs="宋体"/>
          <w:sz w:val="24"/>
          <w:szCs w:val="24"/>
        </w:rPr>
      </w:pPr>
      <w:r>
        <w:rPr>
          <w:rFonts w:hint="eastAsia" w:hAnsi="宋体" w:cs="宋体"/>
          <w:sz w:val="24"/>
          <w:szCs w:val="24"/>
        </w:rPr>
        <w:t>5.2中小企业</w:t>
      </w:r>
    </w:p>
    <w:p>
      <w:pPr>
        <w:tabs>
          <w:tab w:val="left" w:pos="0"/>
        </w:tabs>
        <w:adjustRightInd w:val="0"/>
        <w:snapToGrid w:val="0"/>
        <w:spacing w:line="500" w:lineRule="exact"/>
        <w:ind w:firstLine="480" w:firstLineChars="200"/>
        <w:jc w:val="left"/>
        <w:rPr>
          <w:rFonts w:hAnsi="宋体" w:cs="宋体"/>
          <w:sz w:val="24"/>
          <w:szCs w:val="24"/>
        </w:rPr>
      </w:pPr>
      <w:r>
        <w:rPr>
          <w:rFonts w:hint="eastAsia" w:hAnsi="宋体" w:cs="宋体"/>
          <w:sz w:val="24"/>
          <w:szCs w:val="24"/>
        </w:rPr>
        <w:t>如项目专门面向中小企业，在货物采购项目中，货物由中小企业制造，即货物由中小企业生产且使用该中小企业商号或者注册商标，无论供应商本身是否属于中小企业，视为中小企业；在工程采购项目中，工程由中小企业承建，即工程施工单位为中小企业；在服务采购项目中，服务由中小企业承接，视为中小企业。符合中小企业政策条件的供应商参加政府采购活动，应当提供《中小企业声明函》（见附件二）。</w:t>
      </w:r>
    </w:p>
    <w:p>
      <w:pPr>
        <w:tabs>
          <w:tab w:val="left" w:pos="0"/>
        </w:tabs>
        <w:adjustRightInd w:val="0"/>
        <w:snapToGrid w:val="0"/>
        <w:spacing w:line="500" w:lineRule="exact"/>
        <w:ind w:firstLine="480" w:firstLineChars="200"/>
        <w:jc w:val="left"/>
        <w:rPr>
          <w:rFonts w:hAnsi="宋体" w:cs="宋体"/>
          <w:sz w:val="24"/>
          <w:szCs w:val="24"/>
        </w:rPr>
      </w:pPr>
      <w:r>
        <w:rPr>
          <w:rFonts w:hint="eastAsia" w:hAnsi="宋体" w:cs="宋体"/>
          <w:sz w:val="24"/>
          <w:szCs w:val="24"/>
        </w:rPr>
        <w:t>如项目非专门面向中小企业，在货物采购项目中，货物由小微企业制造，即货物由小微企业生产且使用该小微企业商号或者注册商标，无论供应商本身是否属于小微企业，符合小微企业政策条件。在工程采购项目中，工程由小微企业承建，即工程施工单位为小微企业，符合小微企业政策条件；在服务采购项目中，服务由小微企业承接，视为小微企业。符合中小企业政策条件的供应商参加政府采购活动，应当提供《中小企业声明函》（见附件二），不提供的在评标时不享受价格扣除优惠政策。货物和服务项目，对小型和微型企业的价格给予6%～10%的扣除，用扣除后的价格参与评审。</w:t>
      </w:r>
    </w:p>
    <w:p>
      <w:pPr>
        <w:tabs>
          <w:tab w:val="left" w:pos="0"/>
        </w:tabs>
        <w:adjustRightInd w:val="0"/>
        <w:snapToGrid w:val="0"/>
        <w:spacing w:line="500" w:lineRule="exact"/>
        <w:ind w:firstLine="480" w:firstLineChars="200"/>
        <w:jc w:val="left"/>
        <w:rPr>
          <w:rFonts w:hAnsi="宋体" w:cs="宋体"/>
          <w:sz w:val="24"/>
          <w:szCs w:val="24"/>
        </w:rPr>
      </w:pPr>
      <w:r>
        <w:rPr>
          <w:rFonts w:hint="eastAsia" w:hAnsi="宋体" w:cs="宋体"/>
          <w:sz w:val="24"/>
          <w:szCs w:val="24"/>
        </w:rPr>
        <w:t xml:space="preserve">对小型和微型企业的价格给予3%～5%的扣除，用扣除后的价格参与评审。 </w:t>
      </w:r>
    </w:p>
    <w:p>
      <w:pPr>
        <w:tabs>
          <w:tab w:val="left" w:pos="0"/>
        </w:tabs>
        <w:adjustRightInd w:val="0"/>
        <w:snapToGrid w:val="0"/>
        <w:spacing w:line="500" w:lineRule="exact"/>
        <w:ind w:firstLine="480" w:firstLineChars="200"/>
        <w:jc w:val="left"/>
        <w:rPr>
          <w:rFonts w:hAnsi="宋体" w:cs="宋体"/>
          <w:sz w:val="24"/>
          <w:szCs w:val="24"/>
        </w:rPr>
      </w:pPr>
      <w:r>
        <w:rPr>
          <w:rFonts w:hint="eastAsia" w:hAnsi="宋体" w:cs="宋体"/>
          <w:sz w:val="24"/>
          <w:szCs w:val="24"/>
        </w:rPr>
        <w:t>5.2依据《财政部、司法部关于政府采购支持监狱企业发展有关问题的通知》（财库〔2014〕68号）之规定，监狱企业参加政府采购活动，视同小微企业。应当提供由省级以上监狱管理局、戒毒管理局出具的属于监狱企业的证明文件，在评审时享受小微企业政策。未提供或出具证明文件的单位不符合相关要求的，不视为小微企业。</w:t>
      </w:r>
    </w:p>
    <w:p>
      <w:pPr>
        <w:tabs>
          <w:tab w:val="left" w:pos="0"/>
        </w:tabs>
        <w:adjustRightInd w:val="0"/>
        <w:snapToGrid w:val="0"/>
        <w:spacing w:line="500" w:lineRule="exact"/>
        <w:ind w:firstLine="480" w:firstLineChars="200"/>
        <w:jc w:val="left"/>
        <w:rPr>
          <w:rFonts w:hAnsi="宋体" w:cs="宋体"/>
          <w:sz w:val="24"/>
          <w:szCs w:val="24"/>
        </w:rPr>
      </w:pPr>
      <w:r>
        <w:rPr>
          <w:rFonts w:hint="eastAsia" w:hAnsi="宋体" w:cs="宋体"/>
          <w:sz w:val="24"/>
          <w:szCs w:val="24"/>
        </w:rPr>
        <w:t>5.3依据《财政部、民政部、中国残疾人联合会关于促进残疾人就业政府采购政策的通知》（财库〔2017〕141号）之规定，残疾人福利性单位参加政府采购活动，视同小微企业，应当提供《残疾人福利性单位声明函》，在评审时享受小微企业政策。未提供的不视为小微企业。</w:t>
      </w:r>
    </w:p>
    <w:p>
      <w:pPr>
        <w:tabs>
          <w:tab w:val="left" w:pos="0"/>
        </w:tabs>
        <w:adjustRightInd w:val="0"/>
        <w:snapToGrid w:val="0"/>
        <w:spacing w:line="500" w:lineRule="exact"/>
        <w:ind w:firstLine="480" w:firstLineChars="200"/>
        <w:jc w:val="left"/>
        <w:rPr>
          <w:rFonts w:hAnsi="宋体" w:cs="宋体"/>
          <w:sz w:val="24"/>
          <w:szCs w:val="24"/>
        </w:rPr>
      </w:pPr>
      <w:r>
        <w:rPr>
          <w:rFonts w:hint="eastAsia" w:hAnsi="宋体" w:cs="宋体"/>
          <w:sz w:val="24"/>
          <w:szCs w:val="24"/>
        </w:rPr>
        <w:t>残疾人福利性单位属于小微企业的，不重复享受政策。</w:t>
      </w:r>
    </w:p>
    <w:p>
      <w:pPr>
        <w:tabs>
          <w:tab w:val="left" w:pos="0"/>
        </w:tabs>
        <w:adjustRightInd w:val="0"/>
        <w:snapToGrid w:val="0"/>
        <w:spacing w:line="500" w:lineRule="exact"/>
        <w:ind w:firstLine="480" w:firstLineChars="200"/>
        <w:jc w:val="left"/>
        <w:rPr>
          <w:rFonts w:hAnsi="宋体" w:cs="宋体"/>
          <w:sz w:val="24"/>
          <w:szCs w:val="24"/>
        </w:rPr>
      </w:pPr>
      <w:r>
        <w:rPr>
          <w:rFonts w:hint="eastAsia" w:hAnsi="宋体" w:cs="宋体"/>
          <w:sz w:val="24"/>
          <w:szCs w:val="24"/>
        </w:rPr>
        <w:t>供应商提供的《中小企业声明函》或者《残疾人福利性单位声明函》存在明显错误的，评标委员会可以要求供应商作出澄清；澄清后，符合小微企业条件的，供应商可以享受价格扣除优惠政策；否则，不享受价格扣除优惠政策。</w:t>
      </w:r>
    </w:p>
    <w:p>
      <w:pPr>
        <w:tabs>
          <w:tab w:val="left" w:pos="0"/>
        </w:tabs>
        <w:adjustRightInd w:val="0"/>
        <w:snapToGrid w:val="0"/>
        <w:spacing w:line="500" w:lineRule="exact"/>
        <w:ind w:firstLine="480" w:firstLineChars="200"/>
        <w:jc w:val="left"/>
        <w:rPr>
          <w:rFonts w:hAnsi="宋体" w:cs="宋体"/>
          <w:sz w:val="24"/>
          <w:szCs w:val="24"/>
        </w:rPr>
      </w:pPr>
      <w:r>
        <w:rPr>
          <w:rFonts w:hint="eastAsia" w:hAnsi="宋体" w:cs="宋体"/>
          <w:sz w:val="24"/>
          <w:szCs w:val="24"/>
        </w:rPr>
        <w:t>享受中小企业扶持政策的供应商可以同时享受节能产品、环境标志产品优先采购政策。</w:t>
      </w:r>
    </w:p>
    <w:p>
      <w:pPr>
        <w:tabs>
          <w:tab w:val="left" w:pos="0"/>
        </w:tabs>
        <w:adjustRightInd w:val="0"/>
        <w:snapToGrid w:val="0"/>
        <w:spacing w:line="500" w:lineRule="exact"/>
        <w:ind w:firstLine="480" w:firstLineChars="200"/>
        <w:jc w:val="left"/>
        <w:rPr>
          <w:rFonts w:hAnsi="宋体" w:cs="宋体"/>
          <w:sz w:val="24"/>
          <w:szCs w:val="24"/>
        </w:rPr>
      </w:pPr>
      <w:r>
        <w:rPr>
          <w:rFonts w:hint="eastAsia" w:hAnsi="宋体" w:cs="宋体"/>
          <w:sz w:val="24"/>
          <w:szCs w:val="24"/>
        </w:rPr>
        <w:t>政府采购监督检查、投诉处理及政府采购行政处罚中对中小企业的认定，由货物制造商注册登记所在地的县级以上人民政府中小企业主管部门负责。</w:t>
      </w:r>
    </w:p>
    <w:p>
      <w:pPr>
        <w:tabs>
          <w:tab w:val="left" w:pos="0"/>
        </w:tabs>
        <w:adjustRightInd w:val="0"/>
        <w:snapToGrid w:val="0"/>
        <w:spacing w:line="500" w:lineRule="exact"/>
        <w:ind w:firstLine="480" w:firstLineChars="200"/>
        <w:jc w:val="left"/>
        <w:rPr>
          <w:sz w:val="24"/>
          <w:szCs w:val="24"/>
        </w:rPr>
        <w:sectPr>
          <w:footerReference r:id="rId10" w:type="default"/>
          <w:pgSz w:w="11906" w:h="16838"/>
          <w:pgMar w:top="1440" w:right="1706" w:bottom="1440" w:left="1800" w:header="851" w:footer="992" w:gutter="0"/>
          <w:pgNumType w:fmt="decimal"/>
          <w:cols w:space="720" w:num="1"/>
          <w:docGrid w:type="lines" w:linePitch="312" w:charSpace="0"/>
        </w:sectPr>
      </w:pPr>
      <w:r>
        <w:rPr>
          <w:rFonts w:hint="eastAsia" w:ascii="宋体" w:hAnsi="宋体" w:cs="宋体"/>
          <w:sz w:val="24"/>
          <w:szCs w:val="24"/>
        </w:rPr>
        <w:t>5.4供应商有融资、担保需求的，具体办理流程按照财政部门及相关政策执行（陕西省财政厅关于印发《陕西省中小企业政府采购信用融资办法》（陕财办采〔2018〕23号））。</w:t>
      </w:r>
    </w:p>
    <w:p>
      <w:pPr>
        <w:jc w:val="center"/>
        <w:outlineLvl w:val="1"/>
        <w:rPr>
          <w:rFonts w:ascii="宋体" w:hAnsi="宋体" w:cs="宋体"/>
          <w:sz w:val="36"/>
          <w:szCs w:val="28"/>
        </w:rPr>
      </w:pPr>
      <w:bookmarkStart w:id="78" w:name="_Toc12591"/>
      <w:bookmarkStart w:id="79" w:name="_Toc21498"/>
      <w:bookmarkStart w:id="80" w:name="_Toc15601"/>
      <w:bookmarkStart w:id="81" w:name="_Toc18665"/>
      <w:r>
        <w:rPr>
          <w:rFonts w:hint="eastAsia" w:ascii="宋体" w:hAnsi="宋体" w:cs="宋体"/>
          <w:sz w:val="36"/>
          <w:szCs w:val="28"/>
        </w:rPr>
        <w:t>三、投标文件</w:t>
      </w:r>
      <w:bookmarkEnd w:id="78"/>
      <w:bookmarkEnd w:id="79"/>
      <w:bookmarkEnd w:id="80"/>
      <w:bookmarkEnd w:id="81"/>
    </w:p>
    <w:p>
      <w:pPr>
        <w:pStyle w:val="5"/>
        <w:numPr>
          <w:ilvl w:val="0"/>
          <w:numId w:val="17"/>
        </w:numPr>
        <w:spacing w:line="500" w:lineRule="exact"/>
        <w:ind w:firstLine="562" w:firstLineChars="200"/>
        <w:rPr>
          <w:rFonts w:ascii="宋体" w:hAnsi="宋体" w:cs="宋体"/>
          <w:szCs w:val="28"/>
        </w:rPr>
      </w:pPr>
      <w:bookmarkStart w:id="82" w:name="_Toc5947"/>
      <w:bookmarkStart w:id="83" w:name="_Toc12599"/>
      <w:bookmarkStart w:id="84" w:name="_Toc17549"/>
      <w:bookmarkStart w:id="85" w:name="_Toc28281"/>
      <w:bookmarkStart w:id="86" w:name="_Toc26457"/>
      <w:r>
        <w:rPr>
          <w:rFonts w:hint="eastAsia" w:ascii="宋体" w:hAnsi="宋体" w:cs="宋体"/>
          <w:szCs w:val="28"/>
        </w:rPr>
        <w:t>投标文件的编制</w:t>
      </w:r>
      <w:bookmarkEnd w:id="82"/>
      <w:bookmarkEnd w:id="83"/>
      <w:bookmarkEnd w:id="84"/>
      <w:bookmarkEnd w:id="85"/>
      <w:bookmarkEnd w:id="86"/>
    </w:p>
    <w:p>
      <w:pPr>
        <w:tabs>
          <w:tab w:val="left" w:pos="0"/>
        </w:tabs>
        <w:spacing w:line="500" w:lineRule="exact"/>
        <w:ind w:firstLine="420" w:firstLineChars="175"/>
        <w:jc w:val="left"/>
        <w:rPr>
          <w:rFonts w:ascii="宋体" w:hAnsi="宋体" w:cs="宋体"/>
          <w:sz w:val="24"/>
          <w:szCs w:val="24"/>
        </w:rPr>
      </w:pPr>
      <w:r>
        <w:rPr>
          <w:rFonts w:hint="eastAsia" w:ascii="宋体" w:hAnsi="宋体" w:cs="宋体"/>
          <w:sz w:val="24"/>
          <w:szCs w:val="24"/>
        </w:rPr>
        <w:t xml:space="preserve"> 供应商需依据招标文件内容和投标文件格式的要求编制投标文件，具体内容参见“第七部分 投标文件格式”。</w:t>
      </w:r>
    </w:p>
    <w:p>
      <w:pPr>
        <w:widowControl/>
        <w:spacing w:line="500" w:lineRule="exact"/>
        <w:ind w:firstLine="480" w:firstLineChars="200"/>
        <w:jc w:val="left"/>
        <w:rPr>
          <w:rFonts w:ascii="宋体" w:hAnsi="宋体" w:cs="宋体"/>
          <w:sz w:val="24"/>
          <w:szCs w:val="24"/>
        </w:rPr>
      </w:pPr>
      <w:r>
        <w:rPr>
          <w:rFonts w:hint="eastAsia" w:ascii="宋体" w:hAnsi="宋体" w:cs="宋体"/>
          <w:sz w:val="24"/>
          <w:szCs w:val="24"/>
        </w:rPr>
        <w:t>投标文件规格幅面（A4），</w:t>
      </w:r>
      <w:r>
        <w:rPr>
          <w:rFonts w:hint="eastAsia" w:ascii="宋体" w:hAnsi="宋体" w:cs="宋体"/>
          <w:b/>
          <w:bCs/>
          <w:sz w:val="24"/>
          <w:szCs w:val="24"/>
        </w:rPr>
        <w:t>推荐采用双面打印</w:t>
      </w:r>
      <w:r>
        <w:rPr>
          <w:rFonts w:hint="eastAsia" w:ascii="宋体" w:hAnsi="宋体" w:cs="宋体"/>
          <w:sz w:val="24"/>
          <w:szCs w:val="24"/>
        </w:rPr>
        <w:t>，按照招标文件所规定的内容顺序，统一编目、编页码装订，由于编排混乱导致投标文件被误读或查找不到，其责任应当由供应商承担。装订必须采用胶装形式，不得采用活页装订，必须编排页码。</w:t>
      </w:r>
    </w:p>
    <w:p>
      <w:pPr>
        <w:pStyle w:val="5"/>
        <w:numPr>
          <w:ilvl w:val="0"/>
          <w:numId w:val="17"/>
        </w:numPr>
        <w:spacing w:line="500" w:lineRule="exact"/>
        <w:ind w:firstLine="482" w:firstLineChars="200"/>
        <w:rPr>
          <w:rFonts w:ascii="宋体" w:hAnsi="宋体" w:cs="宋体"/>
          <w:sz w:val="24"/>
          <w:szCs w:val="24"/>
        </w:rPr>
      </w:pPr>
      <w:bookmarkStart w:id="87" w:name="_Toc21225"/>
      <w:bookmarkStart w:id="88" w:name="_Toc13311"/>
      <w:bookmarkStart w:id="89" w:name="_Toc222"/>
      <w:bookmarkStart w:id="90" w:name="_Toc27646"/>
      <w:bookmarkStart w:id="91" w:name="_Toc279"/>
      <w:bookmarkStart w:id="92" w:name="_Toc1311"/>
      <w:r>
        <w:rPr>
          <w:rFonts w:hint="eastAsia" w:ascii="宋体" w:hAnsi="宋体" w:cs="宋体"/>
          <w:sz w:val="24"/>
          <w:szCs w:val="24"/>
        </w:rPr>
        <w:t>投标报价</w:t>
      </w:r>
      <w:bookmarkEnd w:id="87"/>
      <w:bookmarkEnd w:id="88"/>
      <w:bookmarkEnd w:id="89"/>
      <w:bookmarkEnd w:id="90"/>
      <w:bookmarkEnd w:id="91"/>
    </w:p>
    <w:p>
      <w:pPr>
        <w:spacing w:line="360" w:lineRule="auto"/>
        <w:ind w:firstLine="482" w:firstLineChars="200"/>
        <w:rPr>
          <w:rFonts w:ascii="宋体" w:hAnsi="宋体" w:cs="宋体"/>
        </w:rPr>
      </w:pPr>
      <w:r>
        <w:rPr>
          <w:rFonts w:hint="eastAsia" w:ascii="宋体" w:hAnsi="宋体" w:cs="宋体"/>
          <w:b/>
          <w:bCs/>
          <w:sz w:val="24"/>
          <w:szCs w:val="24"/>
        </w:rPr>
        <w:t>详见供应商须知前附表。</w:t>
      </w:r>
    </w:p>
    <w:p>
      <w:pPr>
        <w:pStyle w:val="5"/>
        <w:numPr>
          <w:ilvl w:val="0"/>
          <w:numId w:val="17"/>
        </w:numPr>
        <w:spacing w:line="500" w:lineRule="exact"/>
        <w:ind w:firstLine="482" w:firstLineChars="200"/>
        <w:rPr>
          <w:rFonts w:ascii="宋体" w:hAnsi="宋体" w:cs="宋体"/>
          <w:sz w:val="24"/>
          <w:szCs w:val="24"/>
        </w:rPr>
      </w:pPr>
      <w:bookmarkStart w:id="93" w:name="_Toc21745"/>
      <w:bookmarkStart w:id="94" w:name="_Toc29200"/>
      <w:bookmarkStart w:id="95" w:name="_Toc9753"/>
      <w:bookmarkStart w:id="96" w:name="_Toc9570"/>
      <w:bookmarkStart w:id="97" w:name="_Toc26749"/>
      <w:r>
        <w:rPr>
          <w:rFonts w:hint="eastAsia" w:ascii="宋体" w:hAnsi="宋体" w:cs="宋体"/>
          <w:sz w:val="24"/>
          <w:szCs w:val="24"/>
        </w:rPr>
        <w:t>投标货币</w:t>
      </w:r>
      <w:bookmarkEnd w:id="93"/>
      <w:bookmarkEnd w:id="94"/>
      <w:bookmarkEnd w:id="95"/>
      <w:bookmarkEnd w:id="96"/>
      <w:bookmarkEnd w:id="97"/>
    </w:p>
    <w:p>
      <w:pPr>
        <w:spacing w:line="360" w:lineRule="auto"/>
        <w:ind w:firstLine="482" w:firstLineChars="200"/>
        <w:rPr>
          <w:rFonts w:ascii="宋体" w:hAnsi="宋体" w:cs="宋体"/>
        </w:rPr>
      </w:pPr>
      <w:r>
        <w:rPr>
          <w:rFonts w:hint="eastAsia" w:ascii="宋体" w:hAnsi="宋体" w:cs="宋体"/>
          <w:b/>
          <w:bCs/>
          <w:sz w:val="24"/>
          <w:szCs w:val="24"/>
        </w:rPr>
        <w:t>详见供应商须知前附表。</w:t>
      </w:r>
    </w:p>
    <w:p>
      <w:pPr>
        <w:pStyle w:val="5"/>
        <w:numPr>
          <w:ilvl w:val="0"/>
          <w:numId w:val="17"/>
        </w:numPr>
        <w:spacing w:line="500" w:lineRule="exact"/>
        <w:ind w:firstLine="562" w:firstLineChars="200"/>
        <w:rPr>
          <w:rFonts w:ascii="宋体" w:hAnsi="宋体" w:cs="宋体"/>
          <w:szCs w:val="28"/>
        </w:rPr>
      </w:pPr>
      <w:bookmarkStart w:id="98" w:name="_Toc28815"/>
      <w:bookmarkStart w:id="99" w:name="_Toc31754"/>
      <w:bookmarkStart w:id="100" w:name="_Toc288"/>
      <w:bookmarkStart w:id="101" w:name="_Toc18251"/>
      <w:r>
        <w:rPr>
          <w:rFonts w:hint="eastAsia" w:ascii="宋体" w:hAnsi="宋体" w:cs="宋体"/>
          <w:szCs w:val="28"/>
        </w:rPr>
        <w:t>投标保证金</w:t>
      </w:r>
      <w:bookmarkEnd w:id="92"/>
      <w:bookmarkEnd w:id="98"/>
      <w:bookmarkEnd w:id="99"/>
      <w:bookmarkEnd w:id="100"/>
      <w:bookmarkEnd w:id="101"/>
    </w:p>
    <w:p>
      <w:pPr>
        <w:tabs>
          <w:tab w:val="left" w:pos="0"/>
        </w:tabs>
        <w:spacing w:line="500" w:lineRule="exact"/>
        <w:ind w:firstLine="480" w:firstLineChars="200"/>
        <w:rPr>
          <w:rFonts w:ascii="宋体" w:hAnsi="宋体" w:cs="宋体"/>
          <w:sz w:val="24"/>
          <w:szCs w:val="24"/>
        </w:rPr>
      </w:pPr>
      <w:r>
        <w:rPr>
          <w:rFonts w:hint="eastAsia" w:ascii="宋体" w:hAnsi="宋体" w:cs="宋体"/>
          <w:sz w:val="24"/>
          <w:szCs w:val="24"/>
        </w:rPr>
        <w:t>4.1 投标保证金按照供应商须知前附表要求缴纳。</w:t>
      </w:r>
    </w:p>
    <w:p>
      <w:pPr>
        <w:tabs>
          <w:tab w:val="left" w:pos="0"/>
        </w:tabs>
        <w:spacing w:line="500" w:lineRule="exact"/>
        <w:ind w:firstLine="480" w:firstLineChars="200"/>
        <w:rPr>
          <w:rFonts w:ascii="宋体" w:hAnsi="宋体" w:cs="宋体"/>
          <w:sz w:val="24"/>
          <w:szCs w:val="24"/>
        </w:rPr>
      </w:pPr>
      <w:r>
        <w:rPr>
          <w:rFonts w:hint="eastAsia" w:ascii="宋体" w:hAnsi="宋体" w:cs="宋体"/>
          <w:sz w:val="24"/>
          <w:szCs w:val="24"/>
        </w:rPr>
        <w:t>4.2 未中标供应商的投标保证金，在中标通知书发出后5个工作日内无息退还；中标供应商的投标保证金在合同签订后5个工作日内无息退还。</w:t>
      </w:r>
    </w:p>
    <w:p>
      <w:pPr>
        <w:tabs>
          <w:tab w:val="left" w:pos="0"/>
        </w:tabs>
        <w:spacing w:line="500" w:lineRule="exact"/>
        <w:ind w:firstLine="480" w:firstLineChars="200"/>
        <w:rPr>
          <w:rFonts w:ascii="宋体" w:hAnsi="宋体" w:cs="宋体"/>
          <w:sz w:val="24"/>
          <w:szCs w:val="24"/>
        </w:rPr>
      </w:pPr>
      <w:r>
        <w:rPr>
          <w:rFonts w:hint="eastAsia" w:ascii="宋体" w:hAnsi="宋体" w:cs="宋体"/>
          <w:sz w:val="24"/>
          <w:szCs w:val="24"/>
        </w:rPr>
        <w:t>4.3 发生下列情形之一的，代理机构将不予退还供应商缴纳的投标保证金：</w:t>
      </w:r>
    </w:p>
    <w:p>
      <w:pPr>
        <w:numPr>
          <w:ilvl w:val="0"/>
          <w:numId w:val="18"/>
        </w:numPr>
        <w:tabs>
          <w:tab w:val="left" w:pos="0"/>
        </w:tabs>
        <w:adjustRightInd w:val="0"/>
        <w:snapToGrid w:val="0"/>
        <w:spacing w:line="500" w:lineRule="exact"/>
        <w:rPr>
          <w:rFonts w:ascii="宋体" w:hAnsi="宋体" w:cs="宋体"/>
          <w:sz w:val="24"/>
          <w:szCs w:val="24"/>
        </w:rPr>
      </w:pPr>
      <w:r>
        <w:rPr>
          <w:rFonts w:hint="eastAsia" w:ascii="宋体" w:hAnsi="宋体" w:cs="宋体"/>
          <w:sz w:val="24"/>
          <w:szCs w:val="24"/>
        </w:rPr>
        <w:t>投标有效期内供应商撤销其所投投标文件的；</w:t>
      </w:r>
    </w:p>
    <w:p>
      <w:pPr>
        <w:numPr>
          <w:ilvl w:val="0"/>
          <w:numId w:val="18"/>
        </w:numPr>
        <w:tabs>
          <w:tab w:val="left" w:pos="0"/>
        </w:tabs>
        <w:adjustRightInd w:val="0"/>
        <w:snapToGrid w:val="0"/>
        <w:spacing w:line="500" w:lineRule="exact"/>
        <w:rPr>
          <w:rFonts w:ascii="宋体" w:hAnsi="宋体" w:cs="宋体"/>
          <w:sz w:val="24"/>
          <w:szCs w:val="24"/>
        </w:rPr>
      </w:pPr>
      <w:r>
        <w:rPr>
          <w:rFonts w:hint="eastAsia" w:ascii="宋体" w:hAnsi="宋体" w:cs="宋体"/>
          <w:sz w:val="24"/>
          <w:szCs w:val="24"/>
        </w:rPr>
        <w:t>在采购人确定中标人以前放弃中标候选资格的；</w:t>
      </w:r>
    </w:p>
    <w:p>
      <w:pPr>
        <w:numPr>
          <w:ilvl w:val="0"/>
          <w:numId w:val="18"/>
        </w:numPr>
        <w:tabs>
          <w:tab w:val="left" w:pos="0"/>
        </w:tabs>
        <w:adjustRightInd w:val="0"/>
        <w:snapToGrid w:val="0"/>
        <w:spacing w:line="500" w:lineRule="exact"/>
        <w:rPr>
          <w:rFonts w:ascii="宋体" w:hAnsi="宋体" w:cs="宋体"/>
          <w:sz w:val="24"/>
          <w:szCs w:val="24"/>
        </w:rPr>
      </w:pPr>
      <w:r>
        <w:rPr>
          <w:rFonts w:hint="eastAsia" w:ascii="宋体" w:hAnsi="宋体" w:cs="宋体"/>
          <w:sz w:val="24"/>
          <w:szCs w:val="24"/>
        </w:rPr>
        <w:t>供应商企图影响开标、评标的任何活动，将导致投标被拒绝，并由其承担相应的法律责任；</w:t>
      </w:r>
    </w:p>
    <w:p>
      <w:pPr>
        <w:numPr>
          <w:ilvl w:val="0"/>
          <w:numId w:val="18"/>
        </w:numPr>
        <w:adjustRightInd w:val="0"/>
        <w:snapToGrid w:val="0"/>
        <w:spacing w:line="500" w:lineRule="exact"/>
        <w:rPr>
          <w:rFonts w:ascii="宋体" w:hAnsi="宋体" w:cs="宋体"/>
          <w:sz w:val="24"/>
          <w:szCs w:val="24"/>
        </w:rPr>
      </w:pPr>
      <w:r>
        <w:rPr>
          <w:rFonts w:hint="eastAsia" w:ascii="宋体" w:hAnsi="宋体" w:cs="宋体"/>
          <w:kern w:val="0"/>
          <w:sz w:val="24"/>
          <w:szCs w:val="24"/>
        </w:rPr>
        <w:t>除因不可抗力或招标文件认可的情形以外，供应商</w:t>
      </w:r>
      <w:r>
        <w:rPr>
          <w:rFonts w:hint="eastAsia" w:ascii="宋体" w:hAnsi="宋体" w:cs="宋体"/>
          <w:sz w:val="24"/>
          <w:szCs w:val="24"/>
        </w:rPr>
        <w:t>不与采购人签订合同的；</w:t>
      </w:r>
    </w:p>
    <w:p>
      <w:pPr>
        <w:numPr>
          <w:ilvl w:val="0"/>
          <w:numId w:val="18"/>
        </w:numPr>
        <w:adjustRightInd w:val="0"/>
        <w:snapToGrid w:val="0"/>
        <w:spacing w:line="500" w:lineRule="exact"/>
        <w:rPr>
          <w:rFonts w:ascii="宋体" w:hAnsi="宋体" w:cs="宋体"/>
          <w:sz w:val="24"/>
          <w:szCs w:val="24"/>
        </w:rPr>
      </w:pPr>
      <w:r>
        <w:rPr>
          <w:rFonts w:hint="eastAsia" w:ascii="宋体" w:hAnsi="宋体" w:cs="宋体"/>
          <w:sz w:val="24"/>
          <w:szCs w:val="24"/>
        </w:rPr>
        <w:t>由于中标人原因未能按照招标文件的规定缴纳履约保证金；</w:t>
      </w:r>
    </w:p>
    <w:p>
      <w:pPr>
        <w:numPr>
          <w:ilvl w:val="0"/>
          <w:numId w:val="18"/>
        </w:numPr>
        <w:adjustRightInd w:val="0"/>
        <w:snapToGrid w:val="0"/>
        <w:spacing w:line="500" w:lineRule="exact"/>
        <w:rPr>
          <w:rFonts w:ascii="宋体" w:hAnsi="宋体" w:cs="宋体"/>
          <w:sz w:val="24"/>
          <w:szCs w:val="24"/>
        </w:rPr>
      </w:pPr>
      <w:r>
        <w:rPr>
          <w:rFonts w:hint="eastAsia" w:ascii="宋体" w:hAnsi="宋体" w:cs="宋体"/>
          <w:sz w:val="24"/>
          <w:szCs w:val="24"/>
        </w:rPr>
        <w:t>投标有效期内，供应商在政府采购活动中有违法、违规、违纪行为；</w:t>
      </w:r>
    </w:p>
    <w:p>
      <w:pPr>
        <w:numPr>
          <w:ilvl w:val="0"/>
          <w:numId w:val="18"/>
        </w:numPr>
        <w:adjustRightInd w:val="0"/>
        <w:snapToGrid w:val="0"/>
        <w:spacing w:line="500" w:lineRule="exact"/>
        <w:rPr>
          <w:rFonts w:ascii="宋体" w:hAnsi="宋体" w:cs="宋体"/>
          <w:sz w:val="24"/>
          <w:szCs w:val="24"/>
        </w:rPr>
      </w:pPr>
      <w:r>
        <w:rPr>
          <w:rFonts w:hint="eastAsia" w:ascii="宋体" w:hAnsi="宋体" w:cs="宋体"/>
          <w:sz w:val="24"/>
          <w:szCs w:val="24"/>
        </w:rPr>
        <w:t xml:space="preserve">中标人与采购人订立背离合同实质性内容的其它协议； </w:t>
      </w:r>
    </w:p>
    <w:p>
      <w:pPr>
        <w:numPr>
          <w:ilvl w:val="0"/>
          <w:numId w:val="18"/>
        </w:numPr>
        <w:adjustRightInd w:val="0"/>
        <w:snapToGrid w:val="0"/>
        <w:spacing w:line="500" w:lineRule="exact"/>
        <w:rPr>
          <w:rFonts w:ascii="宋体" w:hAnsi="宋体" w:cs="宋体"/>
          <w:sz w:val="24"/>
          <w:szCs w:val="24"/>
        </w:rPr>
      </w:pPr>
      <w:r>
        <w:rPr>
          <w:rFonts w:hint="eastAsia" w:ascii="宋体" w:hAnsi="宋体" w:cs="宋体"/>
          <w:sz w:val="24"/>
          <w:szCs w:val="24"/>
        </w:rPr>
        <w:t>供应商未按招标文件规定和合同约定履行义务的。</w:t>
      </w:r>
    </w:p>
    <w:p>
      <w:pPr>
        <w:pStyle w:val="5"/>
        <w:numPr>
          <w:ilvl w:val="0"/>
          <w:numId w:val="17"/>
        </w:numPr>
        <w:spacing w:line="500" w:lineRule="exact"/>
        <w:ind w:firstLine="562" w:firstLineChars="200"/>
        <w:rPr>
          <w:rFonts w:ascii="宋体" w:hAnsi="宋体" w:cs="宋体"/>
          <w:szCs w:val="28"/>
        </w:rPr>
      </w:pPr>
      <w:bookmarkStart w:id="102" w:name="_Toc16750"/>
      <w:bookmarkStart w:id="103" w:name="_Toc19668"/>
      <w:bookmarkStart w:id="104" w:name="_Toc27991"/>
      <w:bookmarkStart w:id="105" w:name="_Toc14869"/>
      <w:bookmarkStart w:id="106" w:name="_Toc2201"/>
      <w:r>
        <w:rPr>
          <w:rFonts w:hint="eastAsia" w:ascii="宋体" w:hAnsi="宋体" w:cs="宋体"/>
          <w:szCs w:val="28"/>
        </w:rPr>
        <w:t>投标有效期</w:t>
      </w:r>
      <w:bookmarkEnd w:id="102"/>
      <w:bookmarkEnd w:id="103"/>
      <w:bookmarkEnd w:id="104"/>
      <w:bookmarkEnd w:id="105"/>
      <w:bookmarkEnd w:id="106"/>
    </w:p>
    <w:p>
      <w:pPr>
        <w:adjustRightInd w:val="0"/>
        <w:snapToGrid w:val="0"/>
        <w:spacing w:line="500" w:lineRule="exact"/>
        <w:ind w:firstLine="480" w:firstLineChars="200"/>
        <w:rPr>
          <w:rFonts w:ascii="宋体" w:hAnsi="宋体" w:cs="宋体"/>
          <w:sz w:val="24"/>
          <w:szCs w:val="24"/>
        </w:rPr>
      </w:pPr>
      <w:r>
        <w:rPr>
          <w:rFonts w:hint="eastAsia" w:ascii="宋体" w:hAnsi="宋体" w:cs="宋体"/>
          <w:sz w:val="24"/>
          <w:szCs w:val="24"/>
        </w:rPr>
        <w:t>投标有效期见供应商须知前附表，无投标有效期或投标有效期短于此规定期限的投标文件，视为无效文件，其投标将被拒绝。</w:t>
      </w:r>
    </w:p>
    <w:p>
      <w:pPr>
        <w:pStyle w:val="5"/>
        <w:numPr>
          <w:ilvl w:val="0"/>
          <w:numId w:val="17"/>
        </w:numPr>
        <w:spacing w:line="500" w:lineRule="exact"/>
        <w:ind w:firstLine="562" w:firstLineChars="200"/>
        <w:rPr>
          <w:rFonts w:ascii="宋体" w:hAnsi="宋体" w:cs="宋体"/>
          <w:szCs w:val="28"/>
        </w:rPr>
      </w:pPr>
      <w:bookmarkStart w:id="107" w:name="_Toc24827"/>
      <w:bookmarkStart w:id="108" w:name="_Toc24204"/>
      <w:bookmarkStart w:id="109" w:name="_Toc2319"/>
      <w:bookmarkStart w:id="110" w:name="_Toc30853"/>
      <w:bookmarkStart w:id="111" w:name="_Toc13314"/>
      <w:r>
        <w:rPr>
          <w:rFonts w:hint="eastAsia" w:ascii="宋体" w:hAnsi="宋体" w:cs="宋体"/>
          <w:szCs w:val="28"/>
        </w:rPr>
        <w:t>投标文件的装订、签署和</w:t>
      </w:r>
      <w:bookmarkEnd w:id="107"/>
      <w:r>
        <w:rPr>
          <w:rFonts w:hint="eastAsia" w:ascii="宋体" w:hAnsi="宋体" w:cs="宋体"/>
          <w:szCs w:val="28"/>
        </w:rPr>
        <w:t>密封</w:t>
      </w:r>
      <w:bookmarkEnd w:id="108"/>
      <w:bookmarkEnd w:id="109"/>
      <w:bookmarkEnd w:id="110"/>
      <w:bookmarkEnd w:id="111"/>
    </w:p>
    <w:p>
      <w:pPr>
        <w:tabs>
          <w:tab w:val="left" w:pos="0"/>
        </w:tabs>
        <w:spacing w:line="500" w:lineRule="exact"/>
        <w:ind w:firstLine="480" w:firstLineChars="200"/>
        <w:rPr>
          <w:rFonts w:ascii="宋体" w:hAnsi="宋体" w:cs="宋体"/>
          <w:sz w:val="24"/>
          <w:szCs w:val="24"/>
        </w:rPr>
      </w:pPr>
      <w:bookmarkStart w:id="112" w:name="_Toc22752"/>
      <w:r>
        <w:rPr>
          <w:rFonts w:hint="eastAsia" w:ascii="宋体" w:hAnsi="宋体" w:cs="宋体"/>
          <w:sz w:val="24"/>
          <w:szCs w:val="24"/>
        </w:rPr>
        <w:t>6.1 投标文件的装订</w:t>
      </w:r>
    </w:p>
    <w:p>
      <w:pPr>
        <w:spacing w:line="500" w:lineRule="exact"/>
        <w:ind w:firstLine="482" w:firstLineChars="200"/>
        <w:jc w:val="left"/>
        <w:rPr>
          <w:rFonts w:ascii="宋体" w:hAnsi="宋体" w:cs="宋体"/>
          <w:b/>
          <w:bCs/>
          <w:sz w:val="24"/>
          <w:szCs w:val="24"/>
        </w:rPr>
      </w:pPr>
      <w:r>
        <w:rPr>
          <w:rFonts w:hint="eastAsia" w:ascii="宋体" w:hAnsi="宋体" w:cs="宋体"/>
          <w:b/>
          <w:bCs/>
          <w:sz w:val="24"/>
          <w:szCs w:val="24"/>
        </w:rPr>
        <w:t>详见供应商须知前附表。</w:t>
      </w:r>
    </w:p>
    <w:p>
      <w:pPr>
        <w:spacing w:line="500" w:lineRule="exact"/>
        <w:ind w:firstLine="480" w:firstLineChars="200"/>
        <w:jc w:val="left"/>
        <w:rPr>
          <w:rFonts w:ascii="宋体" w:hAnsi="宋体" w:cs="宋体"/>
          <w:sz w:val="24"/>
          <w:szCs w:val="24"/>
        </w:rPr>
      </w:pPr>
      <w:r>
        <w:rPr>
          <w:rFonts w:hint="eastAsia" w:ascii="宋体" w:hAnsi="宋体" w:cs="宋体"/>
          <w:sz w:val="24"/>
          <w:szCs w:val="24"/>
        </w:rPr>
        <w:t>6.2 投标文件的签署</w:t>
      </w:r>
    </w:p>
    <w:p>
      <w:pPr>
        <w:spacing w:line="500" w:lineRule="exact"/>
        <w:ind w:firstLine="482" w:firstLineChars="200"/>
        <w:jc w:val="left"/>
        <w:rPr>
          <w:rFonts w:ascii="宋体" w:hAnsi="宋体" w:cs="宋体"/>
          <w:kern w:val="0"/>
          <w:sz w:val="24"/>
          <w:szCs w:val="24"/>
        </w:rPr>
      </w:pPr>
      <w:r>
        <w:rPr>
          <w:rFonts w:hint="eastAsia" w:ascii="宋体" w:hAnsi="宋体" w:cs="宋体"/>
          <w:b/>
          <w:bCs/>
          <w:sz w:val="24"/>
          <w:szCs w:val="24"/>
        </w:rPr>
        <w:t>详见供应商须知前附表。</w:t>
      </w:r>
    </w:p>
    <w:p>
      <w:pPr>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6.3 投标文件的密封</w:t>
      </w:r>
    </w:p>
    <w:p>
      <w:pPr>
        <w:spacing w:line="500" w:lineRule="exact"/>
        <w:ind w:firstLine="482" w:firstLineChars="200"/>
        <w:jc w:val="left"/>
        <w:rPr>
          <w:rFonts w:ascii="宋体" w:hAnsi="宋体" w:cs="宋体"/>
        </w:rPr>
      </w:pPr>
      <w:r>
        <w:rPr>
          <w:rFonts w:hint="eastAsia" w:ascii="宋体" w:hAnsi="宋体" w:cs="宋体"/>
          <w:b/>
          <w:bCs/>
          <w:sz w:val="24"/>
          <w:szCs w:val="24"/>
        </w:rPr>
        <w:t>详见供应商须知前附表。</w:t>
      </w:r>
    </w:p>
    <w:bookmarkEnd w:id="112"/>
    <w:p>
      <w:pPr>
        <w:widowControl/>
        <w:numPr>
          <w:ilvl w:val="0"/>
          <w:numId w:val="19"/>
        </w:numPr>
        <w:spacing w:line="500" w:lineRule="exact"/>
        <w:ind w:firstLine="482" w:firstLineChars="200"/>
        <w:jc w:val="center"/>
        <w:outlineLvl w:val="1"/>
        <w:rPr>
          <w:rFonts w:ascii="宋体" w:hAnsi="宋体" w:cs="宋体"/>
          <w:b/>
          <w:bCs/>
          <w:kern w:val="0"/>
          <w:sz w:val="24"/>
          <w:szCs w:val="24"/>
        </w:rPr>
        <w:sectPr>
          <w:pgSz w:w="11906" w:h="16838"/>
          <w:pgMar w:top="1440" w:right="1706" w:bottom="1440" w:left="1800" w:header="851" w:footer="992" w:gutter="0"/>
          <w:pgNumType w:fmt="decimal"/>
          <w:cols w:space="720" w:num="1"/>
          <w:docGrid w:type="lines" w:linePitch="312" w:charSpace="0"/>
        </w:sectPr>
      </w:pPr>
      <w:bookmarkStart w:id="113" w:name="_Toc3736"/>
    </w:p>
    <w:p>
      <w:pPr>
        <w:widowControl/>
        <w:spacing w:before="159" w:beforeLines="50" w:after="159" w:afterLines="50" w:line="500" w:lineRule="exact"/>
        <w:jc w:val="center"/>
        <w:outlineLvl w:val="1"/>
        <w:rPr>
          <w:rFonts w:ascii="宋体" w:hAnsi="宋体" w:cs="宋体"/>
          <w:b/>
          <w:bCs/>
          <w:kern w:val="0"/>
          <w:sz w:val="32"/>
          <w:szCs w:val="28"/>
        </w:rPr>
      </w:pPr>
      <w:bookmarkStart w:id="114" w:name="_Toc6182"/>
      <w:bookmarkStart w:id="115" w:name="_Toc27808"/>
      <w:bookmarkStart w:id="116" w:name="_Toc778"/>
      <w:bookmarkStart w:id="117" w:name="_Toc3565"/>
      <w:r>
        <w:rPr>
          <w:rFonts w:hint="eastAsia" w:ascii="宋体" w:hAnsi="宋体" w:cs="宋体"/>
          <w:b/>
          <w:bCs/>
          <w:kern w:val="0"/>
          <w:sz w:val="32"/>
          <w:szCs w:val="28"/>
        </w:rPr>
        <w:t>四、投标文件的递交</w:t>
      </w:r>
      <w:bookmarkEnd w:id="114"/>
      <w:bookmarkEnd w:id="115"/>
      <w:bookmarkEnd w:id="116"/>
      <w:bookmarkEnd w:id="117"/>
    </w:p>
    <w:bookmarkEnd w:id="113"/>
    <w:p>
      <w:pPr>
        <w:numPr>
          <w:ilvl w:val="0"/>
          <w:numId w:val="20"/>
        </w:numPr>
        <w:spacing w:line="500" w:lineRule="exact"/>
        <w:ind w:firstLine="562" w:firstLineChars="200"/>
        <w:outlineLvl w:val="2"/>
        <w:rPr>
          <w:rFonts w:ascii="宋体" w:hAnsi="宋体" w:cs="宋体"/>
          <w:b/>
          <w:bCs/>
          <w:sz w:val="28"/>
          <w:szCs w:val="28"/>
        </w:rPr>
      </w:pPr>
      <w:bookmarkStart w:id="118" w:name="_Toc4490"/>
      <w:bookmarkStart w:id="119" w:name="_Toc32299"/>
      <w:bookmarkStart w:id="120" w:name="_Toc3685"/>
      <w:bookmarkStart w:id="121" w:name="_Toc28839"/>
      <w:r>
        <w:rPr>
          <w:rFonts w:hint="eastAsia" w:ascii="宋体" w:hAnsi="宋体" w:cs="宋体"/>
          <w:b/>
          <w:bCs/>
          <w:sz w:val="28"/>
          <w:szCs w:val="28"/>
        </w:rPr>
        <w:t>投标文件递交</w:t>
      </w:r>
      <w:bookmarkEnd w:id="118"/>
      <w:bookmarkEnd w:id="119"/>
      <w:bookmarkEnd w:id="120"/>
      <w:bookmarkEnd w:id="121"/>
    </w:p>
    <w:p>
      <w:pPr>
        <w:adjustRightInd w:val="0"/>
        <w:snapToGrid w:val="0"/>
        <w:spacing w:line="500" w:lineRule="exact"/>
        <w:ind w:firstLine="480" w:firstLineChars="200"/>
        <w:rPr>
          <w:rFonts w:ascii="宋体" w:hAnsi="宋体" w:cs="宋体"/>
          <w:sz w:val="24"/>
          <w:szCs w:val="24"/>
        </w:rPr>
      </w:pPr>
      <w:r>
        <w:rPr>
          <w:rFonts w:hint="eastAsia" w:ascii="宋体" w:hAnsi="宋体" w:cs="宋体"/>
          <w:sz w:val="24"/>
          <w:szCs w:val="24"/>
        </w:rPr>
        <w:t>1.1 供应商应当在招标文件要求提交投标文件的截止时间前，将投标文件密封送达投标地点。采购代理机构收到投标文件后，应当如实记载投标文件的送达时间和密封情况，签收保存，并向供应商出具签收回执。任何单位和个人不得在开标前开启投标文件。代理机构项目承办人在招标文件规定的投标文件递交截止时间前，只负责投标文件的接收、清点、造册登记工作，并请供应商代表签字确认，对其有效性不负任何责任。</w:t>
      </w:r>
    </w:p>
    <w:p>
      <w:pPr>
        <w:adjustRightInd w:val="0"/>
        <w:snapToGrid w:val="0"/>
        <w:spacing w:line="500" w:lineRule="exact"/>
        <w:ind w:firstLine="480" w:firstLineChars="200"/>
        <w:rPr>
          <w:rFonts w:ascii="宋体" w:hAnsi="宋体" w:cs="宋体"/>
          <w:sz w:val="24"/>
          <w:szCs w:val="24"/>
        </w:rPr>
      </w:pPr>
      <w:r>
        <w:rPr>
          <w:rFonts w:hint="eastAsia" w:ascii="宋体" w:hAnsi="宋体" w:cs="宋体"/>
          <w:sz w:val="24"/>
          <w:szCs w:val="24"/>
        </w:rPr>
        <w:t>1.2逾期送达或者未按照招标文件要求密封的投标文件，采购代理机构应当拒收。</w:t>
      </w:r>
    </w:p>
    <w:p>
      <w:pPr>
        <w:adjustRightInd w:val="0"/>
        <w:snapToGrid w:val="0"/>
        <w:spacing w:line="500" w:lineRule="exact"/>
        <w:ind w:firstLine="480" w:firstLineChars="200"/>
        <w:rPr>
          <w:rFonts w:ascii="宋体" w:hAnsi="宋体" w:cs="宋体"/>
          <w:sz w:val="24"/>
          <w:szCs w:val="24"/>
        </w:rPr>
      </w:pPr>
      <w:r>
        <w:rPr>
          <w:rFonts w:hint="eastAsia" w:ascii="宋体" w:hAnsi="宋体" w:cs="宋体"/>
          <w:sz w:val="24"/>
          <w:szCs w:val="24"/>
        </w:rPr>
        <w:t>1.3代理机构不接受邮寄的投标文件。</w:t>
      </w:r>
    </w:p>
    <w:p>
      <w:pPr>
        <w:adjustRightInd w:val="0"/>
        <w:snapToGrid w:val="0"/>
        <w:spacing w:line="500" w:lineRule="exact"/>
        <w:ind w:firstLine="480" w:firstLineChars="200"/>
        <w:rPr>
          <w:rFonts w:ascii="宋体" w:hAnsi="宋体" w:cs="宋体"/>
          <w:sz w:val="24"/>
          <w:szCs w:val="24"/>
        </w:rPr>
      </w:pPr>
      <w:r>
        <w:rPr>
          <w:rFonts w:hint="eastAsia" w:ascii="宋体" w:hAnsi="宋体" w:cs="宋体"/>
          <w:sz w:val="24"/>
          <w:szCs w:val="24"/>
        </w:rPr>
        <w:t>1.4 无论供应商中标与否，其投标文件恕不退还。</w:t>
      </w:r>
    </w:p>
    <w:p>
      <w:pPr>
        <w:numPr>
          <w:ilvl w:val="0"/>
          <w:numId w:val="20"/>
        </w:numPr>
        <w:spacing w:line="500" w:lineRule="exact"/>
        <w:ind w:firstLine="562" w:firstLineChars="200"/>
        <w:outlineLvl w:val="2"/>
        <w:rPr>
          <w:rFonts w:ascii="宋体" w:hAnsi="宋体" w:cs="宋体"/>
          <w:b/>
          <w:bCs/>
          <w:sz w:val="28"/>
          <w:szCs w:val="28"/>
        </w:rPr>
      </w:pPr>
      <w:bookmarkStart w:id="122" w:name="_Toc544"/>
      <w:bookmarkStart w:id="123" w:name="_Toc3205"/>
      <w:bookmarkStart w:id="124" w:name="_Toc12741"/>
      <w:bookmarkStart w:id="125" w:name="_Toc2349"/>
      <w:r>
        <w:rPr>
          <w:rFonts w:hint="eastAsia" w:ascii="宋体" w:hAnsi="宋体" w:cs="宋体"/>
          <w:b/>
          <w:bCs/>
          <w:sz w:val="28"/>
          <w:szCs w:val="28"/>
        </w:rPr>
        <w:t>投标文件的修改和撤回</w:t>
      </w:r>
      <w:bookmarkEnd w:id="122"/>
      <w:bookmarkEnd w:id="123"/>
      <w:bookmarkEnd w:id="124"/>
      <w:bookmarkEnd w:id="125"/>
    </w:p>
    <w:p>
      <w:pPr>
        <w:spacing w:line="500" w:lineRule="exact"/>
        <w:ind w:firstLine="480" w:firstLineChars="200"/>
        <w:jc w:val="left"/>
        <w:rPr>
          <w:rFonts w:ascii="宋体" w:hAnsi="宋体" w:cs="宋体"/>
          <w:sz w:val="24"/>
          <w:szCs w:val="24"/>
        </w:rPr>
      </w:pPr>
      <w:r>
        <w:rPr>
          <w:rFonts w:hint="eastAsia" w:ascii="宋体" w:hAnsi="宋体" w:cs="宋体"/>
          <w:sz w:val="24"/>
          <w:szCs w:val="24"/>
        </w:rPr>
        <w:t>2.1 供应商可以在投标截止时间前，对所递交的投标文件进行补充、修改或者撤回，并以书面形式通知采购代理机构（或采购人)。</w:t>
      </w:r>
    </w:p>
    <w:p>
      <w:pPr>
        <w:spacing w:line="500" w:lineRule="exact"/>
        <w:ind w:firstLine="480" w:firstLineChars="200"/>
        <w:jc w:val="left"/>
        <w:rPr>
          <w:rFonts w:ascii="宋体" w:hAnsi="宋体" w:cs="宋体"/>
          <w:sz w:val="24"/>
          <w:szCs w:val="24"/>
        </w:rPr>
      </w:pPr>
      <w:r>
        <w:rPr>
          <w:rFonts w:hint="eastAsia" w:ascii="宋体" w:hAnsi="宋体" w:cs="宋体"/>
          <w:sz w:val="24"/>
          <w:szCs w:val="24"/>
        </w:rPr>
        <w:t>2.2 供应商撤回投标的要求应由供应商法定代表人或供应商代表签署，补充、修改投标文件的书面材料，应当按照招标文件要求签署、盖章、密封，作为投标文件的组成部分，在投标截止时间前密封送达开标地点，同时应在封套上标明“修改投标文件(并注明项目编号)”字样。</w:t>
      </w:r>
    </w:p>
    <w:p>
      <w:pPr>
        <w:spacing w:line="500" w:lineRule="exact"/>
        <w:ind w:firstLine="480" w:firstLineChars="200"/>
        <w:jc w:val="left"/>
        <w:rPr>
          <w:rFonts w:ascii="宋体" w:hAnsi="宋体" w:cs="宋体"/>
          <w:sz w:val="24"/>
          <w:szCs w:val="24"/>
        </w:rPr>
      </w:pPr>
      <w:r>
        <w:rPr>
          <w:rFonts w:hint="eastAsia" w:ascii="宋体" w:hAnsi="宋体" w:cs="宋体"/>
          <w:sz w:val="24"/>
          <w:szCs w:val="24"/>
        </w:rPr>
        <w:t>2.3 在投标截止时间之后，供应商不得对其投标文件进行补充、修改或撤回。</w:t>
      </w:r>
    </w:p>
    <w:p>
      <w:pPr>
        <w:widowControl/>
        <w:spacing w:before="159" w:beforeLines="50" w:after="159" w:afterLines="50" w:line="500" w:lineRule="exact"/>
        <w:jc w:val="center"/>
        <w:outlineLvl w:val="1"/>
        <w:rPr>
          <w:rFonts w:ascii="宋体" w:hAnsi="宋体" w:cs="宋体"/>
          <w:b/>
          <w:bCs/>
          <w:kern w:val="0"/>
          <w:sz w:val="32"/>
          <w:szCs w:val="28"/>
        </w:rPr>
      </w:pPr>
      <w:bookmarkStart w:id="126" w:name="_Toc14415"/>
      <w:bookmarkStart w:id="127" w:name="_Toc2353"/>
      <w:bookmarkStart w:id="128" w:name="_Toc27066"/>
      <w:bookmarkStart w:id="129" w:name="_Toc17748"/>
      <w:bookmarkStart w:id="130" w:name="_Toc23451"/>
      <w:r>
        <w:rPr>
          <w:rFonts w:hint="eastAsia" w:ascii="宋体" w:hAnsi="宋体" w:cs="宋体"/>
          <w:b/>
          <w:bCs/>
          <w:kern w:val="0"/>
          <w:sz w:val="32"/>
          <w:szCs w:val="28"/>
        </w:rPr>
        <w:t>五、 开标、评审、定标</w:t>
      </w:r>
      <w:bookmarkEnd w:id="126"/>
      <w:bookmarkEnd w:id="127"/>
      <w:bookmarkEnd w:id="128"/>
      <w:bookmarkEnd w:id="129"/>
      <w:bookmarkEnd w:id="130"/>
    </w:p>
    <w:p>
      <w:pPr>
        <w:pStyle w:val="5"/>
        <w:keepNext w:val="0"/>
        <w:keepLines w:val="0"/>
        <w:numPr>
          <w:ilvl w:val="0"/>
          <w:numId w:val="21"/>
        </w:numPr>
        <w:spacing w:line="500" w:lineRule="exact"/>
        <w:ind w:firstLine="562"/>
        <w:rPr>
          <w:rFonts w:ascii="宋体" w:hAnsi="宋体" w:cs="宋体"/>
          <w:szCs w:val="28"/>
        </w:rPr>
      </w:pPr>
      <w:bookmarkStart w:id="131" w:name="_Toc9239"/>
      <w:bookmarkStart w:id="132" w:name="_Toc1291"/>
      <w:bookmarkStart w:id="133" w:name="_Toc19476"/>
      <w:bookmarkStart w:id="134" w:name="_Toc27216"/>
      <w:bookmarkStart w:id="135" w:name="_Toc25883"/>
      <w:r>
        <w:rPr>
          <w:rFonts w:hint="eastAsia" w:ascii="宋体" w:hAnsi="宋体" w:cs="宋体"/>
          <w:szCs w:val="28"/>
        </w:rPr>
        <w:t>开标</w:t>
      </w:r>
      <w:bookmarkEnd w:id="131"/>
      <w:bookmarkEnd w:id="132"/>
      <w:bookmarkEnd w:id="133"/>
      <w:bookmarkEnd w:id="134"/>
      <w:bookmarkEnd w:id="135"/>
    </w:p>
    <w:p>
      <w:pPr>
        <w:widowControl/>
        <w:tabs>
          <w:tab w:val="left" w:pos="0"/>
        </w:tabs>
        <w:spacing w:line="500" w:lineRule="exact"/>
        <w:ind w:firstLine="480" w:firstLineChars="200"/>
        <w:jc w:val="left"/>
        <w:rPr>
          <w:rFonts w:ascii="宋体" w:hAnsi="宋体" w:cs="宋体"/>
          <w:color w:val="000000"/>
          <w:sz w:val="24"/>
          <w:szCs w:val="24"/>
          <w:highlight w:val="yellow"/>
        </w:rPr>
      </w:pPr>
      <w:r>
        <w:rPr>
          <w:rFonts w:hint="eastAsia" w:ascii="宋体" w:hAnsi="宋体" w:cs="宋体"/>
          <w:sz w:val="24"/>
          <w:szCs w:val="24"/>
        </w:rPr>
        <w:t>1.1 采购代理机构按招标公告中规定的时间和地点接收供应商递交的投标文件，主持开标会议，邀请供应商参加</w:t>
      </w:r>
      <w:r>
        <w:rPr>
          <w:rFonts w:hint="eastAsia" w:ascii="宋体" w:hAnsi="宋体" w:cs="宋体"/>
          <w:color w:val="000000"/>
          <w:sz w:val="24"/>
          <w:szCs w:val="24"/>
        </w:rPr>
        <w:t>，评标委员会成员不得参加开标活动。</w:t>
      </w:r>
    </w:p>
    <w:p>
      <w:pPr>
        <w:widowControl/>
        <w:tabs>
          <w:tab w:val="left" w:pos="0"/>
        </w:tabs>
        <w:spacing w:line="500" w:lineRule="exact"/>
        <w:ind w:firstLine="480" w:firstLineChars="200"/>
        <w:jc w:val="left"/>
        <w:rPr>
          <w:rFonts w:ascii="宋体" w:hAnsi="宋体" w:cs="宋体"/>
          <w:sz w:val="24"/>
          <w:szCs w:val="24"/>
        </w:rPr>
      </w:pPr>
      <w:r>
        <w:rPr>
          <w:rFonts w:hint="eastAsia" w:ascii="宋体" w:hAnsi="宋体" w:cs="宋体"/>
          <w:sz w:val="24"/>
          <w:szCs w:val="24"/>
        </w:rPr>
        <w:t>1.2开标时，由供应商或者其推选的代表检查投标文件的密封情况；经确认无误后，由采购代理机构工作人员当众拆封，宣布供应商名称、投标价格和招标文件规定的需要宣布的其他内容。代理机构指定专人负责将供应商的名称、投标项目名称、投标价格等进行记录，并存档备案；所有投标唱标完毕，如供应商代表对宣读的“报价一览表”上的内容有异议的，应在获得开标会议主持人同意后当场提出。如确实属于唱标人员宣读错误，经供应商代表核实后，当场予以更正，不属于唱标人员宣读错误的，以单独密封的报价一览表为准。</w:t>
      </w:r>
    </w:p>
    <w:p>
      <w:pPr>
        <w:widowControl/>
        <w:tabs>
          <w:tab w:val="left" w:pos="0"/>
        </w:tabs>
        <w:spacing w:line="500" w:lineRule="exact"/>
        <w:ind w:firstLine="480" w:firstLineChars="200"/>
        <w:jc w:val="left"/>
        <w:rPr>
          <w:rFonts w:ascii="宋体" w:hAnsi="宋体" w:cs="宋体"/>
          <w:sz w:val="24"/>
          <w:szCs w:val="24"/>
        </w:rPr>
      </w:pPr>
      <w:r>
        <w:rPr>
          <w:rFonts w:hint="eastAsia" w:ascii="宋体" w:hAnsi="宋体" w:cs="宋体"/>
          <w:sz w:val="24"/>
          <w:szCs w:val="24"/>
        </w:rPr>
        <w:t>1.3开标时，投标文件中出现下列情况，修正原则为：</w:t>
      </w:r>
    </w:p>
    <w:p>
      <w:pPr>
        <w:numPr>
          <w:ilvl w:val="0"/>
          <w:numId w:val="22"/>
        </w:numPr>
        <w:spacing w:line="500" w:lineRule="exact"/>
        <w:jc w:val="left"/>
        <w:rPr>
          <w:rFonts w:ascii="宋体" w:hAnsi="宋体" w:cs="宋体"/>
          <w:sz w:val="24"/>
          <w:szCs w:val="24"/>
        </w:rPr>
      </w:pPr>
      <w:r>
        <w:rPr>
          <w:rFonts w:hint="eastAsia" w:ascii="宋体" w:hAnsi="宋体" w:cs="宋体"/>
          <w:sz w:val="24"/>
          <w:szCs w:val="24"/>
        </w:rPr>
        <w:t>投标文件中报价一览表（报价表）内容与投标文件中相应内容不一致的，以报价一览表（报价表）为准；</w:t>
      </w:r>
    </w:p>
    <w:p>
      <w:pPr>
        <w:numPr>
          <w:ilvl w:val="0"/>
          <w:numId w:val="22"/>
        </w:numPr>
        <w:spacing w:line="500" w:lineRule="exact"/>
        <w:jc w:val="left"/>
        <w:rPr>
          <w:rFonts w:ascii="宋体" w:hAnsi="宋体" w:cs="宋体"/>
          <w:sz w:val="24"/>
          <w:szCs w:val="24"/>
        </w:rPr>
      </w:pPr>
      <w:r>
        <w:rPr>
          <w:rFonts w:hint="eastAsia" w:ascii="宋体" w:hAnsi="宋体" w:cs="宋体"/>
          <w:sz w:val="24"/>
          <w:szCs w:val="24"/>
        </w:rPr>
        <w:t>大写金额和小写金额不一致的，以大写金额为准；</w:t>
      </w:r>
    </w:p>
    <w:p>
      <w:pPr>
        <w:numPr>
          <w:ilvl w:val="0"/>
          <w:numId w:val="22"/>
        </w:numPr>
        <w:spacing w:line="500" w:lineRule="exact"/>
        <w:jc w:val="left"/>
        <w:rPr>
          <w:rFonts w:ascii="宋体" w:hAnsi="宋体" w:cs="宋体"/>
          <w:sz w:val="24"/>
          <w:szCs w:val="24"/>
        </w:rPr>
      </w:pPr>
      <w:r>
        <w:rPr>
          <w:rFonts w:hint="eastAsia" w:ascii="宋体" w:hAnsi="宋体" w:cs="宋体"/>
          <w:sz w:val="24"/>
          <w:szCs w:val="24"/>
        </w:rPr>
        <w:t>单价金额小数点或者百分比有明显错位的，以报价一览表的总价为准，并修改单价；</w:t>
      </w:r>
    </w:p>
    <w:p>
      <w:pPr>
        <w:numPr>
          <w:ilvl w:val="0"/>
          <w:numId w:val="22"/>
        </w:numPr>
        <w:spacing w:line="500" w:lineRule="exact"/>
        <w:jc w:val="left"/>
        <w:rPr>
          <w:rFonts w:ascii="宋体" w:hAnsi="宋体" w:cs="宋体"/>
          <w:sz w:val="24"/>
          <w:szCs w:val="24"/>
        </w:rPr>
      </w:pPr>
      <w:r>
        <w:rPr>
          <w:rFonts w:hint="eastAsia" w:ascii="宋体" w:hAnsi="宋体" w:cs="宋体"/>
          <w:sz w:val="24"/>
          <w:szCs w:val="24"/>
        </w:rPr>
        <w:t xml:space="preserve">总价金额与按单价汇总金额不一致的，以单价金额计算结果为准；  </w:t>
      </w:r>
    </w:p>
    <w:p>
      <w:pPr>
        <w:numPr>
          <w:ilvl w:val="0"/>
          <w:numId w:val="22"/>
        </w:numPr>
        <w:spacing w:line="500" w:lineRule="exact"/>
        <w:jc w:val="left"/>
        <w:rPr>
          <w:rFonts w:ascii="宋体" w:hAnsi="宋体" w:cs="宋体"/>
          <w:sz w:val="24"/>
          <w:szCs w:val="24"/>
        </w:rPr>
      </w:pPr>
      <w:r>
        <w:rPr>
          <w:rFonts w:hint="eastAsia" w:ascii="宋体" w:hAnsi="宋体" w:cs="宋体"/>
          <w:sz w:val="24"/>
          <w:szCs w:val="24"/>
        </w:rPr>
        <w:t>投标文件正本与副本不一致的，以正本为准；</w:t>
      </w:r>
    </w:p>
    <w:p>
      <w:pPr>
        <w:numPr>
          <w:ilvl w:val="0"/>
          <w:numId w:val="22"/>
        </w:numPr>
        <w:spacing w:line="500" w:lineRule="exact"/>
        <w:jc w:val="left"/>
        <w:rPr>
          <w:rFonts w:ascii="宋体" w:hAnsi="宋体" w:cs="宋体"/>
          <w:sz w:val="24"/>
          <w:szCs w:val="24"/>
        </w:rPr>
      </w:pPr>
      <w:r>
        <w:rPr>
          <w:rFonts w:hint="eastAsia" w:ascii="宋体" w:hAnsi="宋体" w:cs="宋体"/>
          <w:sz w:val="24"/>
          <w:szCs w:val="24"/>
        </w:rPr>
        <w:t>投标文件单独密封递交的报价一览表与正本不一致的，以单独密封递交的报价一览表为准；</w:t>
      </w:r>
    </w:p>
    <w:p>
      <w:pPr>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同时出现两种以上不一致的，按照前款规定的顺序修正。修正后的报价按照《政府采购货物和服务招标投标管理办法》第五十一条第二款的规定经供应商确认后产生约束力，供应商不确认的，其投标无效。</w:t>
      </w:r>
    </w:p>
    <w:p>
      <w:pPr>
        <w:pStyle w:val="5"/>
        <w:keepNext w:val="0"/>
        <w:keepLines w:val="0"/>
        <w:numPr>
          <w:ilvl w:val="0"/>
          <w:numId w:val="21"/>
        </w:numPr>
        <w:spacing w:line="500" w:lineRule="exact"/>
        <w:ind w:firstLine="562"/>
        <w:rPr>
          <w:rFonts w:ascii="宋体" w:hAnsi="宋体" w:cs="宋体"/>
          <w:szCs w:val="28"/>
        </w:rPr>
      </w:pPr>
      <w:bookmarkStart w:id="136" w:name="_Toc20569"/>
      <w:bookmarkStart w:id="137" w:name="_Toc801"/>
      <w:bookmarkStart w:id="138" w:name="_Toc358364344"/>
      <w:bookmarkStart w:id="139" w:name="_Toc26137"/>
      <w:bookmarkStart w:id="140" w:name="_Toc12917"/>
      <w:bookmarkStart w:id="141" w:name="_Toc4284"/>
      <w:bookmarkStart w:id="142" w:name="_Toc380336750"/>
      <w:bookmarkStart w:id="143" w:name="_Toc3057"/>
      <w:r>
        <w:rPr>
          <w:rFonts w:hint="eastAsia" w:ascii="宋体" w:hAnsi="宋体" w:cs="宋体"/>
          <w:szCs w:val="28"/>
        </w:rPr>
        <w:t>评标委员会</w:t>
      </w:r>
      <w:bookmarkEnd w:id="136"/>
      <w:bookmarkEnd w:id="137"/>
      <w:bookmarkEnd w:id="138"/>
      <w:bookmarkEnd w:id="139"/>
      <w:bookmarkEnd w:id="140"/>
      <w:bookmarkEnd w:id="141"/>
      <w:bookmarkEnd w:id="142"/>
      <w:bookmarkEnd w:id="143"/>
    </w:p>
    <w:p>
      <w:pPr>
        <w:widowControl/>
        <w:spacing w:line="460" w:lineRule="exact"/>
        <w:ind w:firstLine="420" w:firstLineChars="175"/>
        <w:jc w:val="left"/>
        <w:rPr>
          <w:rFonts w:ascii="宋体" w:hAnsi="宋体" w:cs="宋体"/>
          <w:sz w:val="24"/>
          <w:szCs w:val="24"/>
        </w:rPr>
      </w:pPr>
      <w:r>
        <w:rPr>
          <w:rFonts w:hint="eastAsia" w:ascii="宋体" w:hAnsi="宋体" w:cs="宋体"/>
          <w:kern w:val="0"/>
          <w:sz w:val="24"/>
          <w:szCs w:val="24"/>
        </w:rPr>
        <w:t>2.1</w:t>
      </w:r>
      <w:r>
        <w:rPr>
          <w:rFonts w:hint="eastAsia" w:ascii="宋体" w:hAnsi="宋体" w:cs="宋体"/>
          <w:sz w:val="24"/>
          <w:szCs w:val="24"/>
        </w:rPr>
        <w:t>为确保评标工作公开、公平、公正，依法成立评标委员会。 评标委员会由采购人代表和评审专家组成，成员人数应当为5人以上单数，其中评审专家不得少于成员总数的三分之二。评标委员会成员应当遵守并履行下列责任和义务：</w:t>
      </w:r>
    </w:p>
    <w:p>
      <w:pPr>
        <w:spacing w:line="360" w:lineRule="auto"/>
        <w:ind w:firstLine="420" w:firstLineChars="175"/>
        <w:jc w:val="left"/>
        <w:rPr>
          <w:rFonts w:ascii="宋体" w:hAnsi="宋体" w:cs="宋体"/>
          <w:sz w:val="24"/>
          <w:szCs w:val="24"/>
        </w:rPr>
      </w:pPr>
      <w:r>
        <w:rPr>
          <w:rFonts w:hint="eastAsia" w:ascii="宋体" w:hAnsi="宋体" w:cs="宋体"/>
          <w:sz w:val="24"/>
          <w:szCs w:val="24"/>
        </w:rPr>
        <w:t>2.1.1遵纪守法，客观、公正、认真负责地履行职责，审查投标文件是否符合招标文件的要求，并作出评价；</w:t>
      </w:r>
    </w:p>
    <w:p>
      <w:pPr>
        <w:spacing w:line="360" w:lineRule="auto"/>
        <w:ind w:left="420"/>
        <w:jc w:val="left"/>
        <w:rPr>
          <w:rFonts w:ascii="宋体" w:hAnsi="宋体" w:cs="宋体"/>
          <w:sz w:val="24"/>
          <w:szCs w:val="24"/>
        </w:rPr>
      </w:pPr>
      <w:r>
        <w:rPr>
          <w:rFonts w:hint="eastAsia" w:ascii="宋体" w:hAnsi="宋体" w:cs="宋体"/>
          <w:sz w:val="24"/>
          <w:szCs w:val="24"/>
        </w:rPr>
        <w:t>2.1.2要求供应商对投标文件有关事项作出解释或澄清；</w:t>
      </w:r>
    </w:p>
    <w:p>
      <w:pPr>
        <w:spacing w:line="360" w:lineRule="auto"/>
        <w:ind w:firstLine="420" w:firstLineChars="175"/>
        <w:jc w:val="left"/>
        <w:rPr>
          <w:rFonts w:ascii="宋体" w:hAnsi="宋体" w:cs="宋体"/>
          <w:sz w:val="24"/>
          <w:szCs w:val="24"/>
        </w:rPr>
      </w:pPr>
      <w:r>
        <w:rPr>
          <w:rFonts w:hint="eastAsia" w:ascii="宋体" w:hAnsi="宋体" w:cs="宋体"/>
          <w:sz w:val="24"/>
          <w:szCs w:val="24"/>
        </w:rPr>
        <w:t>2.1.3按照招标文件的要求和评审办法进行评标，推荐中标候选单位名单，对评审意见承担个人责任；</w:t>
      </w:r>
    </w:p>
    <w:p>
      <w:pPr>
        <w:spacing w:line="360" w:lineRule="auto"/>
        <w:ind w:left="420"/>
        <w:jc w:val="left"/>
        <w:rPr>
          <w:rFonts w:ascii="宋体" w:hAnsi="宋体" w:cs="宋体"/>
          <w:sz w:val="24"/>
          <w:szCs w:val="24"/>
        </w:rPr>
      </w:pPr>
      <w:r>
        <w:rPr>
          <w:rFonts w:hint="eastAsia" w:ascii="宋体" w:hAnsi="宋体" w:cs="宋体"/>
          <w:sz w:val="24"/>
          <w:szCs w:val="24"/>
        </w:rPr>
        <w:t>2.1.4对评标过程和结果以及供应商的商业秘密保密；</w:t>
      </w:r>
    </w:p>
    <w:p>
      <w:pPr>
        <w:spacing w:line="360" w:lineRule="auto"/>
        <w:ind w:left="420"/>
        <w:jc w:val="left"/>
        <w:rPr>
          <w:rFonts w:ascii="宋体" w:hAnsi="宋体" w:cs="宋体"/>
          <w:sz w:val="24"/>
          <w:szCs w:val="24"/>
        </w:rPr>
      </w:pPr>
      <w:r>
        <w:rPr>
          <w:rFonts w:hint="eastAsia" w:ascii="宋体" w:hAnsi="宋体" w:cs="宋体"/>
          <w:sz w:val="24"/>
          <w:szCs w:val="24"/>
        </w:rPr>
        <w:t>2.1.5参与评标结果报告的起草；</w:t>
      </w:r>
    </w:p>
    <w:p>
      <w:pPr>
        <w:spacing w:line="360" w:lineRule="auto"/>
        <w:ind w:left="420"/>
        <w:jc w:val="left"/>
        <w:rPr>
          <w:rFonts w:ascii="宋体" w:hAnsi="宋体" w:cs="宋体"/>
          <w:sz w:val="24"/>
          <w:szCs w:val="24"/>
        </w:rPr>
      </w:pPr>
      <w:r>
        <w:rPr>
          <w:rFonts w:hint="eastAsia" w:ascii="宋体" w:hAnsi="宋体" w:cs="宋体"/>
          <w:sz w:val="24"/>
          <w:szCs w:val="24"/>
        </w:rPr>
        <w:t>2.1.6配合采购人、代理机构答复供应商提出的质疑；</w:t>
      </w:r>
    </w:p>
    <w:p>
      <w:pPr>
        <w:spacing w:line="360" w:lineRule="auto"/>
        <w:ind w:left="420"/>
        <w:jc w:val="left"/>
        <w:rPr>
          <w:rFonts w:ascii="宋体" w:hAnsi="宋体" w:cs="宋体"/>
          <w:kern w:val="0"/>
          <w:sz w:val="24"/>
          <w:szCs w:val="24"/>
        </w:rPr>
      </w:pPr>
      <w:r>
        <w:rPr>
          <w:rFonts w:hint="eastAsia" w:ascii="宋体" w:hAnsi="宋体" w:cs="宋体"/>
          <w:sz w:val="24"/>
          <w:szCs w:val="24"/>
        </w:rPr>
        <w:t>2.1.7配合财政部门处理投诉工作；</w:t>
      </w:r>
    </w:p>
    <w:p>
      <w:pPr>
        <w:pStyle w:val="5"/>
        <w:numPr>
          <w:ilvl w:val="0"/>
          <w:numId w:val="21"/>
        </w:numPr>
        <w:spacing w:line="500" w:lineRule="exact"/>
        <w:ind w:firstLine="562"/>
        <w:rPr>
          <w:rFonts w:ascii="宋体" w:hAnsi="宋体" w:cs="宋体"/>
          <w:szCs w:val="28"/>
        </w:rPr>
      </w:pPr>
      <w:bookmarkStart w:id="144" w:name="_Toc12465"/>
      <w:bookmarkStart w:id="145" w:name="_Toc386129876"/>
      <w:bookmarkStart w:id="146" w:name="_Toc31862"/>
      <w:bookmarkStart w:id="147" w:name="_Toc5609"/>
      <w:bookmarkStart w:id="148" w:name="_Toc23584"/>
      <w:bookmarkStart w:id="149" w:name="_Toc28085"/>
      <w:bookmarkStart w:id="150" w:name="_Toc27940"/>
      <w:bookmarkStart w:id="151" w:name="_Toc385958808"/>
      <w:r>
        <w:rPr>
          <w:rFonts w:hint="eastAsia" w:ascii="宋体" w:hAnsi="宋体" w:cs="宋体"/>
          <w:szCs w:val="28"/>
        </w:rPr>
        <w:t>投标文件初审</w:t>
      </w:r>
      <w:bookmarkEnd w:id="144"/>
      <w:bookmarkEnd w:id="145"/>
      <w:bookmarkEnd w:id="146"/>
      <w:bookmarkEnd w:id="147"/>
      <w:bookmarkEnd w:id="148"/>
      <w:bookmarkEnd w:id="149"/>
      <w:bookmarkEnd w:id="150"/>
      <w:bookmarkEnd w:id="151"/>
    </w:p>
    <w:p>
      <w:pPr>
        <w:overflowPunct w:val="0"/>
        <w:adjustRightInd w:val="0"/>
        <w:snapToGrid w:val="0"/>
        <w:spacing w:line="500" w:lineRule="exact"/>
        <w:ind w:left="420"/>
        <w:rPr>
          <w:rFonts w:ascii="宋体" w:hAnsi="宋体" w:cs="宋体"/>
          <w:kern w:val="0"/>
          <w:sz w:val="24"/>
          <w:szCs w:val="24"/>
        </w:rPr>
      </w:pPr>
      <w:r>
        <w:rPr>
          <w:rFonts w:hint="eastAsia" w:ascii="宋体" w:hAnsi="宋体" w:cs="宋体"/>
          <w:kern w:val="0"/>
          <w:sz w:val="24"/>
          <w:szCs w:val="24"/>
        </w:rPr>
        <w:t xml:space="preserve"> 3.1 供应商的资格性审查</w:t>
      </w:r>
    </w:p>
    <w:p>
      <w:pPr>
        <w:overflowPunct w:val="0"/>
        <w:adjustRightInd w:val="0"/>
        <w:snapToGrid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依据法律法规和招标文件的规</w:t>
      </w:r>
      <w:r>
        <w:rPr>
          <w:rFonts w:hint="eastAsia" w:ascii="宋体" w:hAnsi="宋体" w:cs="宋体"/>
          <w:color w:val="000000"/>
          <w:kern w:val="0"/>
          <w:sz w:val="24"/>
          <w:szCs w:val="24"/>
        </w:rPr>
        <w:t>定，由采购人或代理机构对供应商的</w:t>
      </w:r>
      <w:r>
        <w:rPr>
          <w:rFonts w:hint="eastAsia" w:ascii="宋体" w:hAnsi="宋体" w:cs="宋体"/>
          <w:kern w:val="0"/>
          <w:sz w:val="24"/>
          <w:szCs w:val="24"/>
        </w:rPr>
        <w:t>资格证明文件进行审查，以确保供应商是否具备相应资格，资格审查内容详见供应商须知前附表。</w:t>
      </w:r>
    </w:p>
    <w:p>
      <w:pPr>
        <w:overflowPunct w:val="0"/>
        <w:adjustRightInd w:val="0"/>
        <w:snapToGrid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3.2 投标文件符合性审查</w:t>
      </w:r>
    </w:p>
    <w:p>
      <w:pPr>
        <w:pStyle w:val="16"/>
        <w:snapToGrid w:val="0"/>
        <w:spacing w:line="360" w:lineRule="auto"/>
        <w:ind w:firstLine="480" w:firstLineChars="200"/>
        <w:rPr>
          <w:rFonts w:hAnsi="宋体" w:cs="宋体"/>
          <w:kern w:val="0"/>
          <w:sz w:val="24"/>
          <w:szCs w:val="24"/>
        </w:rPr>
      </w:pPr>
      <w:r>
        <w:rPr>
          <w:rFonts w:hint="eastAsia" w:hAnsi="宋体" w:cs="宋体"/>
          <w:color w:val="000000"/>
          <w:kern w:val="0"/>
          <w:sz w:val="24"/>
          <w:szCs w:val="24"/>
        </w:rPr>
        <w:t>评标委员会应当对符合资格的供应商的投标文件进行符合性审查，以确定其是否满足招标文件的实质性要求。符合性审查内容详见供应商须知前附表。</w:t>
      </w:r>
    </w:p>
    <w:p>
      <w:pPr>
        <w:overflowPunct w:val="0"/>
        <w:adjustRightInd w:val="0"/>
        <w:snapToGrid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3.3有下列情形之一的，视为供应商串通投标，其投标无效：</w:t>
      </w:r>
    </w:p>
    <w:p>
      <w:pPr>
        <w:pStyle w:val="25"/>
        <w:spacing w:after="210" w:afterAutospacing="0" w:line="27" w:lineRule="atLeast"/>
        <w:jc w:val="both"/>
      </w:pPr>
      <w:r>
        <w:rPr>
          <w:rFonts w:hint="eastAsia"/>
        </w:rPr>
        <w:t>　　（一）不同供应商的投标文件由同一单位或者个人编制；</w:t>
      </w:r>
    </w:p>
    <w:p>
      <w:pPr>
        <w:pStyle w:val="25"/>
        <w:spacing w:after="210" w:afterAutospacing="0" w:line="27" w:lineRule="atLeast"/>
        <w:jc w:val="both"/>
      </w:pPr>
      <w:r>
        <w:rPr>
          <w:rFonts w:hint="eastAsia"/>
        </w:rPr>
        <w:t>　　（二）不同供应商委托同一单位或者个人办理投标事宜；</w:t>
      </w:r>
    </w:p>
    <w:p>
      <w:pPr>
        <w:pStyle w:val="25"/>
        <w:spacing w:after="210" w:afterAutospacing="0" w:line="27" w:lineRule="atLeast"/>
        <w:jc w:val="both"/>
      </w:pPr>
      <w:r>
        <w:rPr>
          <w:rFonts w:hint="eastAsia"/>
        </w:rPr>
        <w:t>　　（三）不同供应商的投标文件载明的项目管理成员或者联系人员为同一人；</w:t>
      </w:r>
    </w:p>
    <w:p>
      <w:pPr>
        <w:pStyle w:val="25"/>
        <w:spacing w:after="210" w:afterAutospacing="0" w:line="27" w:lineRule="atLeast"/>
        <w:jc w:val="both"/>
      </w:pPr>
      <w:r>
        <w:rPr>
          <w:rFonts w:hint="eastAsia"/>
        </w:rPr>
        <w:t>　　（四）不同供应商的投标文件异常一致或者投标报价呈规律性差异；</w:t>
      </w:r>
    </w:p>
    <w:p>
      <w:pPr>
        <w:pStyle w:val="25"/>
        <w:spacing w:after="210" w:afterAutospacing="0" w:line="27" w:lineRule="atLeast"/>
        <w:jc w:val="both"/>
      </w:pPr>
      <w:r>
        <w:rPr>
          <w:rFonts w:hint="eastAsia"/>
        </w:rPr>
        <w:t>　　（五）不同供应商的投标文件相互混装；</w:t>
      </w:r>
    </w:p>
    <w:p>
      <w:pPr>
        <w:overflowPunct w:val="0"/>
        <w:adjustRightInd w:val="0"/>
        <w:snapToGrid w:val="0"/>
        <w:spacing w:line="500" w:lineRule="exact"/>
        <w:ind w:firstLine="480" w:firstLineChars="200"/>
        <w:rPr>
          <w:rFonts w:ascii="宋体" w:hAnsi="宋体" w:cs="宋体"/>
          <w:sz w:val="24"/>
          <w:szCs w:val="24"/>
        </w:rPr>
      </w:pPr>
      <w:r>
        <w:rPr>
          <w:rFonts w:hint="eastAsia" w:ascii="宋体" w:hAnsi="宋体" w:cs="宋体"/>
          <w:sz w:val="24"/>
          <w:szCs w:val="24"/>
        </w:rPr>
        <w:t>（六）不同供应商的投标保证金从同一单位或者个人的账户转出。</w:t>
      </w:r>
    </w:p>
    <w:p>
      <w:pPr>
        <w:tabs>
          <w:tab w:val="left" w:pos="0"/>
        </w:tabs>
        <w:spacing w:line="500" w:lineRule="exact"/>
        <w:ind w:firstLine="480" w:firstLineChars="200"/>
        <w:jc w:val="left"/>
        <w:rPr>
          <w:rFonts w:ascii="宋体" w:hAnsi="宋体" w:cs="宋体"/>
          <w:sz w:val="24"/>
          <w:szCs w:val="24"/>
        </w:rPr>
      </w:pPr>
      <w:r>
        <w:rPr>
          <w:rFonts w:hint="eastAsia" w:ascii="宋体" w:hAnsi="宋体" w:cs="宋体"/>
          <w:sz w:val="24"/>
          <w:szCs w:val="24"/>
        </w:rPr>
        <w:t>3.4对通过审查的，被认为其投标文件完整、合格，投标有效，可进入下阶段的评标。</w:t>
      </w:r>
    </w:p>
    <w:p>
      <w:pPr>
        <w:pStyle w:val="5"/>
        <w:numPr>
          <w:ilvl w:val="0"/>
          <w:numId w:val="21"/>
        </w:numPr>
        <w:spacing w:line="500" w:lineRule="exact"/>
        <w:ind w:firstLine="562"/>
        <w:rPr>
          <w:rFonts w:ascii="宋体" w:hAnsi="宋体" w:cs="宋体"/>
          <w:szCs w:val="28"/>
        </w:rPr>
      </w:pPr>
      <w:bookmarkStart w:id="152" w:name="_Toc2171"/>
      <w:bookmarkStart w:id="153" w:name="_Toc25423"/>
      <w:bookmarkStart w:id="154" w:name="_Toc17705"/>
      <w:bookmarkStart w:id="155" w:name="_Toc32132"/>
      <w:bookmarkStart w:id="156" w:name="_Toc13155"/>
      <w:r>
        <w:rPr>
          <w:rFonts w:hint="eastAsia" w:ascii="宋体" w:hAnsi="宋体" w:cs="宋体"/>
          <w:szCs w:val="28"/>
        </w:rPr>
        <w:t>投标文件澄清</w:t>
      </w:r>
      <w:bookmarkEnd w:id="152"/>
      <w:bookmarkEnd w:id="153"/>
      <w:bookmarkEnd w:id="154"/>
      <w:bookmarkEnd w:id="155"/>
      <w:bookmarkEnd w:id="156"/>
    </w:p>
    <w:p>
      <w:pPr>
        <w:overflowPunct w:val="0"/>
        <w:adjustRightInd w:val="0"/>
        <w:snapToGrid w:val="0"/>
        <w:spacing w:line="500" w:lineRule="exact"/>
        <w:ind w:firstLine="480" w:firstLineChars="200"/>
        <w:rPr>
          <w:rFonts w:ascii="宋体" w:hAnsi="宋体" w:cs="宋体"/>
          <w:sz w:val="24"/>
          <w:szCs w:val="24"/>
        </w:rPr>
      </w:pPr>
      <w:r>
        <w:rPr>
          <w:rFonts w:hint="eastAsia" w:ascii="宋体" w:hAnsi="宋体" w:cs="宋体"/>
          <w:sz w:val="24"/>
          <w:szCs w:val="24"/>
        </w:rPr>
        <w:t>4.1 在评标期间,采购代理机构可根据评标委员会对其投标文件有疑义不清楚的内容，要求供应商对其投标文件进行澄清。</w:t>
      </w:r>
    </w:p>
    <w:p>
      <w:pPr>
        <w:spacing w:line="500" w:lineRule="exact"/>
        <w:ind w:firstLine="480" w:firstLineChars="200"/>
        <w:rPr>
          <w:rFonts w:ascii="宋体" w:hAnsi="宋体" w:cs="宋体"/>
          <w:kern w:val="0"/>
          <w:sz w:val="24"/>
          <w:szCs w:val="24"/>
        </w:rPr>
      </w:pPr>
      <w:r>
        <w:rPr>
          <w:rFonts w:hint="eastAsia" w:ascii="宋体" w:hAnsi="宋体" w:cs="宋体"/>
          <w:kern w:val="0"/>
          <w:sz w:val="24"/>
          <w:szCs w:val="24"/>
        </w:rPr>
        <w:t xml:space="preserve">4.2 供应商必须按照评标委员会通知的内容和时间作出书面答复，该答复经法定代表人或供应商代表的签字认可，将作为投标文件内容的一部分。澄清、说明或者补正不得超出投标文件的范围或者改变投标文件的实质性内容。供应商拒不按照要求对投标文件进行澄清、说明或者补正的，供应商将自行承担评标委员会视其投标无效的风险。 </w:t>
      </w:r>
    </w:p>
    <w:p>
      <w:pPr>
        <w:spacing w:line="500" w:lineRule="exact"/>
        <w:ind w:firstLine="480" w:firstLineChars="200"/>
        <w:rPr>
          <w:rFonts w:ascii="宋体" w:hAnsi="宋体" w:cs="宋体"/>
          <w:color w:val="000000"/>
          <w:kern w:val="0"/>
          <w:sz w:val="24"/>
          <w:szCs w:val="24"/>
        </w:rPr>
      </w:pPr>
      <w:r>
        <w:rPr>
          <w:rFonts w:hint="eastAsia" w:ascii="宋体" w:hAnsi="宋体" w:cs="宋体"/>
          <w:kern w:val="0"/>
          <w:sz w:val="24"/>
          <w:szCs w:val="24"/>
        </w:rPr>
        <w:t xml:space="preserve">4.3 </w:t>
      </w:r>
      <w:r>
        <w:rPr>
          <w:rFonts w:hint="eastAsia" w:ascii="宋体" w:hAnsi="宋体" w:cs="宋体"/>
          <w:color w:val="000000"/>
          <w:kern w:val="0"/>
          <w:sz w:val="24"/>
          <w:szCs w:val="24"/>
        </w:rPr>
        <w:t>评标委员会认为供应商的报价明显低于</w:t>
      </w:r>
      <w:r>
        <w:rPr>
          <w:rFonts w:hint="eastAsia" w:ascii="宋体" w:hAnsi="宋体" w:cs="宋体"/>
          <w:color w:val="000000"/>
          <w:sz w:val="24"/>
          <w:szCs w:val="24"/>
        </w:rPr>
        <w:t>其他通过符合性审查供应商的报价，有可能影响产品质量或者不能诚信履约的，将要求该供应商在评标现场合理的时间内提供书面说明，必要时提交相关证明材料；供应商不能证明其报价合理性的，评标委员会应当将其作为无效投标处理。</w:t>
      </w:r>
    </w:p>
    <w:p>
      <w:pPr>
        <w:pStyle w:val="5"/>
        <w:numPr>
          <w:ilvl w:val="0"/>
          <w:numId w:val="21"/>
        </w:numPr>
        <w:spacing w:line="500" w:lineRule="exact"/>
        <w:ind w:firstLine="562"/>
        <w:rPr>
          <w:rFonts w:ascii="宋体" w:hAnsi="宋体" w:cs="宋体"/>
          <w:szCs w:val="28"/>
        </w:rPr>
      </w:pPr>
      <w:bookmarkStart w:id="157" w:name="_Toc16689"/>
      <w:bookmarkStart w:id="158" w:name="_Toc8353"/>
      <w:bookmarkStart w:id="159" w:name="_Toc20545"/>
      <w:bookmarkStart w:id="160" w:name="_Toc6584"/>
      <w:bookmarkStart w:id="161" w:name="_Toc17506"/>
      <w:r>
        <w:rPr>
          <w:rFonts w:hint="eastAsia" w:ascii="宋体" w:hAnsi="宋体" w:cs="宋体"/>
          <w:szCs w:val="28"/>
        </w:rPr>
        <w:t>评标</w:t>
      </w:r>
      <w:bookmarkEnd w:id="157"/>
      <w:bookmarkEnd w:id="158"/>
      <w:bookmarkEnd w:id="159"/>
      <w:bookmarkEnd w:id="160"/>
      <w:bookmarkEnd w:id="161"/>
    </w:p>
    <w:p>
      <w:pPr>
        <w:spacing w:line="500" w:lineRule="exact"/>
        <w:ind w:firstLine="480" w:firstLineChars="200"/>
        <w:jc w:val="left"/>
        <w:rPr>
          <w:rFonts w:ascii="宋体" w:hAnsi="宋体" w:cs="宋体"/>
          <w:sz w:val="24"/>
          <w:szCs w:val="24"/>
        </w:rPr>
      </w:pPr>
      <w:r>
        <w:rPr>
          <w:rFonts w:hint="eastAsia" w:ascii="宋体" w:hAnsi="宋体" w:cs="宋体"/>
          <w:sz w:val="24"/>
          <w:szCs w:val="24"/>
        </w:rPr>
        <w:t>5.1评标委员会有权对在开标、评标过程中出现的一切问题，根据《中华人民共和国政府采购法》及实施条例和《政府采购货物和服务招标投标管理办法》的条款，本着公开、公平、公正的原则进行处理。</w:t>
      </w:r>
    </w:p>
    <w:p>
      <w:pPr>
        <w:spacing w:line="500" w:lineRule="exact"/>
        <w:ind w:firstLine="480" w:firstLineChars="200"/>
        <w:jc w:val="left"/>
        <w:rPr>
          <w:rFonts w:ascii="宋体" w:hAnsi="宋体" w:cs="宋体"/>
          <w:sz w:val="24"/>
          <w:szCs w:val="24"/>
        </w:rPr>
      </w:pPr>
      <w:r>
        <w:rPr>
          <w:rFonts w:hint="eastAsia" w:ascii="宋体" w:hAnsi="宋体" w:cs="宋体"/>
          <w:sz w:val="24"/>
          <w:szCs w:val="24"/>
        </w:rPr>
        <w:t>5.2采用综合评分法：采取逐项分步评审方式，每一步评审不符合者，不进入下一步评审，全部评审合格的供应商由评标委员会按照公开招标文件中第四部分评分标准规定的各项因素进行比较、自主打分、综合评审。评标委员会将评审得分汇总后，按评标总得分由高到低汇总排序，推荐1～3名中标候选人；若有两个或两个以上供应商得分相同，供应商名次按报价得分高低排序；得分且投标报价相同的，按技术指标优劣顺序排列，并填报评标报告。</w:t>
      </w:r>
    </w:p>
    <w:p>
      <w:pPr>
        <w:spacing w:line="500" w:lineRule="exact"/>
        <w:ind w:firstLine="480" w:firstLineChars="200"/>
        <w:jc w:val="left"/>
        <w:rPr>
          <w:rFonts w:ascii="宋体" w:hAnsi="宋体" w:cs="宋体"/>
          <w:sz w:val="24"/>
          <w:szCs w:val="24"/>
        </w:rPr>
      </w:pPr>
      <w:r>
        <w:rPr>
          <w:rFonts w:hint="eastAsia" w:ascii="宋体" w:hAnsi="宋体" w:cs="宋体"/>
          <w:sz w:val="24"/>
          <w:szCs w:val="24"/>
        </w:rPr>
        <w:t>根据《政府采购货物和服务招标投标管理办法》相关规定，单一产品采购项目提供相同品牌产品或非单一产品采购项目多家供应商提供的核心产品品牌完全相同的且通过资格审查、符合性审查的不同供应商参加同一合同项下投标的，按一家供应商计算，评审后得分最高的同品牌供应商获得中标供应商推荐资格；评审得分相同的，由采购人或者采购人委托评标委员会按照报价得分最高的方式确定一个供应商获得中标供应商推荐资格。</w:t>
      </w:r>
    </w:p>
    <w:p>
      <w:pPr>
        <w:spacing w:line="500" w:lineRule="exact"/>
        <w:ind w:firstLine="480" w:firstLineChars="200"/>
        <w:jc w:val="left"/>
        <w:rPr>
          <w:rFonts w:ascii="宋体" w:hAnsi="宋体" w:cs="宋体"/>
          <w:sz w:val="28"/>
          <w:szCs w:val="28"/>
        </w:rPr>
      </w:pPr>
      <w:r>
        <w:rPr>
          <w:rFonts w:hint="eastAsia" w:ascii="宋体" w:hAnsi="宋体" w:cs="宋体"/>
          <w:sz w:val="24"/>
          <w:szCs w:val="24"/>
        </w:rPr>
        <w:t>5.3评标委员会只对实质上响应招标文件的投标进行评价和比较；评审应严格按照招标文件的要求和条件进行；具体评审原则和中标条件详见招标文件第四部分“评标办法”。</w:t>
      </w:r>
    </w:p>
    <w:p>
      <w:pPr>
        <w:pStyle w:val="5"/>
        <w:numPr>
          <w:ilvl w:val="0"/>
          <w:numId w:val="21"/>
        </w:numPr>
        <w:spacing w:line="500" w:lineRule="exact"/>
        <w:ind w:firstLine="562"/>
        <w:rPr>
          <w:rFonts w:ascii="宋体" w:hAnsi="宋体" w:cs="宋体"/>
          <w:szCs w:val="28"/>
        </w:rPr>
      </w:pPr>
      <w:bookmarkStart w:id="162" w:name="_Toc32646"/>
      <w:bookmarkStart w:id="163" w:name="_Toc30618"/>
      <w:bookmarkStart w:id="164" w:name="_Toc12947"/>
      <w:bookmarkStart w:id="165" w:name="_Toc17362"/>
      <w:bookmarkStart w:id="166" w:name="_Toc24951"/>
      <w:r>
        <w:rPr>
          <w:rFonts w:hint="eastAsia" w:ascii="宋体" w:hAnsi="宋体" w:cs="宋体"/>
          <w:szCs w:val="28"/>
        </w:rPr>
        <w:t>定标</w:t>
      </w:r>
      <w:bookmarkEnd w:id="162"/>
      <w:bookmarkEnd w:id="163"/>
      <w:bookmarkEnd w:id="164"/>
      <w:bookmarkEnd w:id="165"/>
      <w:bookmarkEnd w:id="166"/>
    </w:p>
    <w:p>
      <w:pPr>
        <w:spacing w:line="500" w:lineRule="exact"/>
        <w:ind w:firstLine="480" w:firstLineChars="200"/>
        <w:jc w:val="left"/>
        <w:rPr>
          <w:rFonts w:ascii="宋体" w:hAnsi="宋体" w:cs="宋体"/>
          <w:sz w:val="24"/>
          <w:szCs w:val="24"/>
        </w:rPr>
      </w:pPr>
      <w:r>
        <w:rPr>
          <w:rFonts w:hint="eastAsia" w:ascii="宋体" w:hAnsi="宋体" w:cs="宋体"/>
          <w:sz w:val="24"/>
          <w:szCs w:val="24"/>
        </w:rPr>
        <w:t>6.1代理机构在评标结束后2个工作日内将评标报告送达采购单位，采购单位在收到评标报告后5个工作日内，按照评标报告中推荐的中标候选人顺序确认第一中标候选人为中标单位，同时书面复函代理机构；</w:t>
      </w:r>
    </w:p>
    <w:p>
      <w:pPr>
        <w:spacing w:line="500" w:lineRule="exact"/>
        <w:ind w:firstLine="480" w:firstLineChars="200"/>
        <w:jc w:val="left"/>
        <w:rPr>
          <w:rFonts w:ascii="宋体" w:hAnsi="宋体" w:cs="宋体"/>
          <w:sz w:val="24"/>
          <w:szCs w:val="24"/>
        </w:rPr>
      </w:pPr>
      <w:r>
        <w:rPr>
          <w:rFonts w:hint="eastAsia" w:ascii="宋体" w:hAnsi="宋体" w:cs="宋体"/>
          <w:sz w:val="24"/>
          <w:szCs w:val="24"/>
        </w:rPr>
        <w:t>6.2代理机构收到采购单位“定标复函”后2个工作日内，在财政部门指定的政府采购信息媒体上发布公告，并向中标人发出“中标通知书”。</w:t>
      </w:r>
    </w:p>
    <w:p>
      <w:pPr>
        <w:widowControl/>
        <w:spacing w:before="159" w:beforeLines="50" w:after="159" w:afterLines="50" w:line="500" w:lineRule="exact"/>
        <w:jc w:val="center"/>
        <w:rPr>
          <w:rFonts w:ascii="宋体" w:hAnsi="宋体" w:cs="宋体"/>
          <w:b/>
          <w:bCs/>
          <w:kern w:val="0"/>
          <w:sz w:val="32"/>
          <w:szCs w:val="28"/>
        </w:rPr>
      </w:pPr>
      <w:bookmarkStart w:id="167" w:name="_Toc19972"/>
      <w:bookmarkStart w:id="168" w:name="_Toc25308"/>
      <w:bookmarkStart w:id="169" w:name="_Toc3026"/>
      <w:r>
        <w:rPr>
          <w:rFonts w:hint="eastAsia" w:ascii="宋体" w:hAnsi="宋体" w:cs="宋体"/>
          <w:b/>
          <w:bCs/>
          <w:kern w:val="0"/>
          <w:sz w:val="32"/>
          <w:szCs w:val="28"/>
        </w:rPr>
        <w:t>六、签订合同</w:t>
      </w:r>
      <w:bookmarkEnd w:id="167"/>
      <w:bookmarkEnd w:id="168"/>
      <w:bookmarkEnd w:id="169"/>
    </w:p>
    <w:p>
      <w:pPr>
        <w:pStyle w:val="9"/>
        <w:spacing w:line="360" w:lineRule="auto"/>
        <w:rPr>
          <w:rFonts w:ascii="宋体" w:hAnsi="宋体" w:cs="宋体"/>
          <w:sz w:val="24"/>
          <w:szCs w:val="24"/>
        </w:rPr>
      </w:pPr>
      <w:r>
        <w:rPr>
          <w:rFonts w:hint="eastAsia" w:ascii="宋体" w:hAnsi="宋体" w:cs="宋体"/>
          <w:sz w:val="24"/>
          <w:szCs w:val="24"/>
        </w:rPr>
        <w:t>采购人与中标、成交供应商应当在中标、成交通知书发出之日起三十日内，按照采购文件确定的事项签订政府采购合同。</w:t>
      </w:r>
    </w:p>
    <w:p>
      <w:pPr>
        <w:widowControl/>
        <w:spacing w:before="159" w:beforeLines="50" w:after="159" w:afterLines="50" w:line="500" w:lineRule="exact"/>
        <w:jc w:val="center"/>
        <w:rPr>
          <w:rFonts w:ascii="宋体" w:hAnsi="宋体" w:cs="宋体"/>
          <w:b/>
          <w:bCs/>
          <w:kern w:val="0"/>
          <w:sz w:val="32"/>
          <w:szCs w:val="28"/>
        </w:rPr>
      </w:pPr>
      <w:bookmarkStart w:id="170" w:name="_Toc18077"/>
      <w:r>
        <w:rPr>
          <w:rFonts w:hint="eastAsia" w:ascii="宋体" w:hAnsi="宋体" w:cs="宋体"/>
          <w:b/>
          <w:bCs/>
          <w:kern w:val="0"/>
          <w:sz w:val="32"/>
          <w:szCs w:val="28"/>
        </w:rPr>
        <w:t>七、质疑和投诉</w:t>
      </w:r>
      <w:bookmarkEnd w:id="170"/>
    </w:p>
    <w:p>
      <w:pPr>
        <w:widowControl/>
        <w:spacing w:line="360" w:lineRule="auto"/>
        <w:ind w:firstLine="480" w:firstLineChars="200"/>
        <w:rPr>
          <w:rFonts w:ascii="宋体" w:hAnsi="宋体" w:cs="宋体"/>
          <w:sz w:val="24"/>
          <w:szCs w:val="24"/>
        </w:rPr>
      </w:pPr>
      <w:r>
        <w:rPr>
          <w:rFonts w:hint="eastAsia" w:ascii="宋体" w:hAnsi="宋体" w:cs="宋体"/>
          <w:sz w:val="24"/>
          <w:szCs w:val="24"/>
        </w:rPr>
        <w:t>质疑或投诉的接收和处理应当按照《中华人民共和国政府采购法》及其实施条例、《政府采购质疑和投诉办法》、《财政部关于加强政府采购供应商投诉受理审查工作的通知》等的相关规定办理。</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1、供应商认为采购文件、采购过程和中标、成交结果使自己的权益受到损害的，可以在知道或者应知其权益受到损害之日起七个工作日内，以书面形式向采购人或采购代理机构提出质疑，逾期质疑无效。供应商应知其权益受到损害之日，是指：</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1）对采购文件提出质疑的，为收到采购文件之日或者采购文件公告期限届满之日；</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2）对采购过程提出质疑的，为各采购程序环节结束之日；</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3）对中标或者成交结果提出质疑的，为中标或者成交结果公告期限届满之日。</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2、供应商应当在法定质疑期内一次性提出针对同一采购程序环节的质疑。</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3 、质疑函应当包括下列主要内容：</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1）供应商的姓名或者名称、地址、邮编、联系人及联系电话；</w:t>
      </w:r>
    </w:p>
    <w:p>
      <w:pPr>
        <w:widowControl/>
        <w:spacing w:line="360" w:lineRule="auto"/>
        <w:ind w:firstLine="240" w:firstLineChars="100"/>
        <w:rPr>
          <w:rFonts w:ascii="宋体" w:hAnsi="宋体" w:cs="宋体"/>
          <w:sz w:val="24"/>
          <w:szCs w:val="24"/>
        </w:rPr>
      </w:pPr>
      <w:r>
        <w:rPr>
          <w:rFonts w:hint="eastAsia" w:ascii="宋体" w:hAnsi="宋体" w:cs="宋体"/>
          <w:sz w:val="24"/>
          <w:szCs w:val="24"/>
        </w:rPr>
        <w:t xml:space="preserve">  2）质疑项目的名称、编号；</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3）具体、明确的质疑事项和与质疑事项相关的请求；</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4）事实依据；</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5）必要的法律依据；</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6）提出质疑的日期。</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4、供应商可以委托代理人进行质疑和投诉。其授权委托书应当载明代理人的姓名或者名称、代理事项、具体权限、期限和相关事项。供应商为自然人的，应当由本人签字；供应商为法人或者其他组织的，应当由法定代表人、主要负责人，或者其授权代表签字或盖章，并加盖公章。</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代理人提出质疑和投诉，应当提交供应商签署的授权委托书。</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5、 质疑函内容不得含有虚假、恶意成份。依照谁主张谁举证的原则，提出质疑者必须同时提交相关确凿的证据材料和注明证据的确切来源，证据来源必须合法，采购人、采购代理机构有权将质疑函转发质疑事项各关联方，请其作出解释说明。对捏造事实、提供虚假材料或者以非法手段取得的证明材料，滥用维权扰乱采购秩序的恶意质疑者，采购人、采购代理机构应当依法驳回。</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 xml:space="preserve">6、 质疑函接收方式：由自然人本人或法定代表人或者其授权代表携带书面原件及身份证明原件到现场递交，否则不予受理 。 </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7、质疑受理部门：陕西卓佲项目管理有限公司。</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 xml:space="preserve">  质疑受理电话：029-88440695。</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8、提交质疑函地点：西安市雁塔区科技路10号华奥大厦A座20层2002室。</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9、本次采购活动中，采购代理机构对质疑函回复的书面文件的送达方式为现场取件。</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如所质疑的问题比较复杂，采购人或者采购代理机构在规定的答复时间内无法回复，应事先告知提出质疑的供应商，同时向同级政府采购监督管理部门报告。</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10、质疑供应商对采购人、采购代理机构的答复不满意，或者采购人、采购代理机构未在规定的时间内作出答复的，可以在答复期满后15个工作日内向采购人的同级政府采购监督管理部门投诉。</w:t>
      </w:r>
    </w:p>
    <w:p>
      <w:pPr>
        <w:widowControl/>
        <w:spacing w:line="360" w:lineRule="auto"/>
        <w:ind w:firstLine="480" w:firstLineChars="200"/>
        <w:rPr>
          <w:rFonts w:ascii="宋体" w:hAnsi="宋体" w:cs="宋体"/>
          <w:sz w:val="24"/>
          <w:szCs w:val="24"/>
        </w:rPr>
      </w:pPr>
      <w:r>
        <w:rPr>
          <w:rFonts w:hint="eastAsia" w:ascii="宋体" w:hAnsi="宋体" w:cs="宋体"/>
          <w:sz w:val="24"/>
          <w:szCs w:val="24"/>
        </w:rPr>
        <w:t>11、质疑函应当使用中文。质疑函范本详见财政部制定的范本即招标文件附件六。</w:t>
      </w:r>
    </w:p>
    <w:p>
      <w:pPr>
        <w:rPr>
          <w:rFonts w:ascii="宋体" w:hAnsi="宋体" w:cs="宋体"/>
        </w:rPr>
      </w:pPr>
    </w:p>
    <w:p>
      <w:pPr>
        <w:pStyle w:val="3"/>
        <w:pageBreakBefore/>
        <w:numPr>
          <w:ilvl w:val="0"/>
          <w:numId w:val="23"/>
        </w:numPr>
        <w:spacing w:before="319" w:beforeLines="100" w:after="319" w:afterLines="100" w:line="500" w:lineRule="exact"/>
        <w:rPr>
          <w:rFonts w:ascii="宋体" w:hAnsi="宋体" w:cs="宋体"/>
          <w:color w:val="000000"/>
          <w:sz w:val="36"/>
          <w:szCs w:val="36"/>
        </w:rPr>
      </w:pPr>
      <w:bookmarkStart w:id="171" w:name="_Toc3298"/>
      <w:bookmarkEnd w:id="171"/>
      <w:r>
        <w:rPr>
          <w:rFonts w:hint="eastAsia" w:ascii="宋体" w:hAnsi="宋体" w:cs="宋体"/>
          <w:color w:val="000000"/>
          <w:sz w:val="36"/>
          <w:szCs w:val="36"/>
        </w:rPr>
        <w:t xml:space="preserve">  </w:t>
      </w:r>
      <w:bookmarkStart w:id="172" w:name="_Toc16984"/>
      <w:bookmarkStart w:id="173" w:name="_Toc1494"/>
      <w:r>
        <w:rPr>
          <w:rFonts w:hint="eastAsia" w:ascii="宋体" w:hAnsi="宋体" w:cs="宋体"/>
          <w:color w:val="000000"/>
          <w:sz w:val="36"/>
          <w:szCs w:val="36"/>
        </w:rPr>
        <w:t>评标方法</w:t>
      </w:r>
      <w:bookmarkEnd w:id="172"/>
      <w:bookmarkEnd w:id="173"/>
    </w:p>
    <w:p>
      <w:pPr>
        <w:spacing w:line="500" w:lineRule="exact"/>
        <w:ind w:firstLine="560" w:firstLineChars="200"/>
        <w:outlineLvl w:val="3"/>
        <w:rPr>
          <w:rFonts w:ascii="宋体" w:hAnsi="宋体" w:cs="宋体"/>
          <w:sz w:val="24"/>
          <w:szCs w:val="24"/>
        </w:rPr>
      </w:pPr>
      <w:r>
        <w:rPr>
          <w:rFonts w:hint="eastAsia"/>
          <w:sz w:val="28"/>
          <w:szCs w:val="28"/>
          <w:lang w:eastAsia="zh-CN"/>
        </w:rPr>
        <w:t>合同包</w:t>
      </w:r>
      <w:r>
        <w:rPr>
          <w:rFonts w:hint="eastAsia"/>
          <w:sz w:val="28"/>
          <w:szCs w:val="28"/>
          <w:lang w:val="en-US" w:eastAsia="zh-CN"/>
        </w:rPr>
        <w:t>1</w:t>
      </w:r>
    </w:p>
    <w:tbl>
      <w:tblPr>
        <w:tblStyle w:val="29"/>
        <w:tblW w:w="9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223"/>
        <w:gridCol w:w="620"/>
        <w:gridCol w:w="5399"/>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60" w:type="dxa"/>
            <w:vAlign w:val="center"/>
          </w:tcPr>
          <w:p>
            <w:pPr>
              <w:spacing w:line="360" w:lineRule="auto"/>
              <w:rPr>
                <w:rFonts w:ascii="宋体" w:hAnsi="宋体" w:cs="宋体"/>
                <w:b/>
                <w:bCs/>
                <w:sz w:val="21"/>
                <w:szCs w:val="21"/>
              </w:rPr>
            </w:pPr>
            <w:r>
              <w:rPr>
                <w:rFonts w:hint="eastAsia" w:ascii="宋体" w:hAnsi="宋体" w:cs="宋体"/>
                <w:b/>
                <w:bCs/>
                <w:sz w:val="21"/>
                <w:szCs w:val="21"/>
              </w:rPr>
              <w:t>序号</w:t>
            </w:r>
          </w:p>
        </w:tc>
        <w:tc>
          <w:tcPr>
            <w:tcW w:w="1223" w:type="dxa"/>
            <w:vAlign w:val="center"/>
          </w:tcPr>
          <w:p>
            <w:pPr>
              <w:spacing w:line="360" w:lineRule="auto"/>
              <w:ind w:firstLine="28"/>
              <w:rPr>
                <w:rFonts w:ascii="宋体" w:hAnsi="宋体" w:cs="宋体"/>
                <w:b/>
                <w:bCs/>
                <w:sz w:val="21"/>
                <w:szCs w:val="21"/>
              </w:rPr>
            </w:pPr>
            <w:r>
              <w:rPr>
                <w:rFonts w:hint="eastAsia" w:ascii="宋体" w:hAnsi="宋体" w:cs="宋体"/>
                <w:b/>
                <w:bCs/>
                <w:sz w:val="21"/>
                <w:szCs w:val="21"/>
              </w:rPr>
              <w:t>评分因素及权重</w:t>
            </w:r>
          </w:p>
        </w:tc>
        <w:tc>
          <w:tcPr>
            <w:tcW w:w="620" w:type="dxa"/>
            <w:vAlign w:val="center"/>
          </w:tcPr>
          <w:p>
            <w:pPr>
              <w:spacing w:line="360" w:lineRule="auto"/>
              <w:ind w:firstLine="28"/>
              <w:jc w:val="center"/>
              <w:rPr>
                <w:rFonts w:ascii="宋体" w:hAnsi="宋体" w:cs="宋体"/>
                <w:b/>
                <w:bCs/>
                <w:sz w:val="21"/>
                <w:szCs w:val="21"/>
              </w:rPr>
            </w:pPr>
            <w:r>
              <w:rPr>
                <w:rFonts w:hint="eastAsia" w:ascii="宋体" w:hAnsi="宋体" w:cs="宋体"/>
                <w:b/>
                <w:bCs/>
                <w:sz w:val="21"/>
                <w:szCs w:val="21"/>
              </w:rPr>
              <w:t>分值</w:t>
            </w:r>
          </w:p>
        </w:tc>
        <w:tc>
          <w:tcPr>
            <w:tcW w:w="5399" w:type="dxa"/>
            <w:vAlign w:val="center"/>
          </w:tcPr>
          <w:p>
            <w:pPr>
              <w:spacing w:line="360" w:lineRule="auto"/>
              <w:ind w:firstLine="28"/>
              <w:jc w:val="center"/>
              <w:rPr>
                <w:rFonts w:ascii="宋体" w:hAnsi="宋体" w:cs="宋体"/>
                <w:b/>
                <w:bCs/>
                <w:sz w:val="21"/>
                <w:szCs w:val="21"/>
              </w:rPr>
            </w:pPr>
            <w:r>
              <w:rPr>
                <w:rFonts w:hint="eastAsia" w:ascii="宋体" w:hAnsi="宋体" w:cs="宋体"/>
                <w:b/>
                <w:bCs/>
                <w:sz w:val="21"/>
                <w:szCs w:val="21"/>
              </w:rPr>
              <w:t>评分标准</w:t>
            </w:r>
          </w:p>
        </w:tc>
        <w:tc>
          <w:tcPr>
            <w:tcW w:w="1375" w:type="dxa"/>
            <w:vAlign w:val="center"/>
          </w:tcPr>
          <w:p>
            <w:pPr>
              <w:spacing w:line="360" w:lineRule="auto"/>
              <w:jc w:val="center"/>
              <w:rPr>
                <w:rFonts w:ascii="宋体" w:hAnsi="宋体" w:cs="宋体"/>
                <w:b/>
                <w:bCs/>
                <w:sz w:val="21"/>
                <w:szCs w:val="21"/>
              </w:rPr>
            </w:pPr>
            <w:r>
              <w:rPr>
                <w:rFonts w:hint="eastAsia" w:ascii="宋体" w:hAnsi="宋体" w:cs="宋体"/>
                <w:b/>
                <w:bCs/>
                <w:sz w:val="21"/>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9" w:hRule="atLeast"/>
        </w:trPr>
        <w:tc>
          <w:tcPr>
            <w:tcW w:w="460" w:type="dxa"/>
            <w:vAlign w:val="center"/>
          </w:tcPr>
          <w:p>
            <w:pPr>
              <w:spacing w:line="360" w:lineRule="auto"/>
              <w:ind w:firstLine="28"/>
              <w:jc w:val="center"/>
              <w:rPr>
                <w:rFonts w:ascii="宋体" w:hAnsi="宋体" w:cs="宋体"/>
                <w:sz w:val="21"/>
                <w:szCs w:val="21"/>
              </w:rPr>
            </w:pPr>
            <w:r>
              <w:rPr>
                <w:rFonts w:hint="eastAsia" w:ascii="宋体" w:hAnsi="宋体" w:cs="宋体"/>
                <w:sz w:val="21"/>
                <w:szCs w:val="21"/>
              </w:rPr>
              <w:t>1</w:t>
            </w:r>
          </w:p>
        </w:tc>
        <w:tc>
          <w:tcPr>
            <w:tcW w:w="1223" w:type="dxa"/>
            <w:vAlign w:val="center"/>
          </w:tcPr>
          <w:p>
            <w:pPr>
              <w:spacing w:line="360" w:lineRule="auto"/>
              <w:ind w:firstLine="28"/>
              <w:jc w:val="center"/>
              <w:rPr>
                <w:rFonts w:ascii="宋体" w:hAnsi="宋体" w:cs="宋体"/>
                <w:color w:val="auto"/>
                <w:sz w:val="21"/>
                <w:szCs w:val="21"/>
              </w:rPr>
            </w:pPr>
            <w:r>
              <w:rPr>
                <w:rFonts w:hint="eastAsia" w:ascii="宋体" w:hAnsi="宋体" w:cs="宋体"/>
                <w:color w:val="auto"/>
                <w:sz w:val="21"/>
                <w:szCs w:val="21"/>
              </w:rPr>
              <w:t>报价</w:t>
            </w:r>
            <w:r>
              <w:rPr>
                <w:rFonts w:ascii="宋体" w:hAnsi="宋体" w:cs="宋体"/>
                <w:color w:val="auto"/>
                <w:sz w:val="21"/>
                <w:szCs w:val="21"/>
              </w:rPr>
              <w:t>4</w:t>
            </w:r>
            <w:r>
              <w:rPr>
                <w:rFonts w:hint="eastAsia" w:ascii="宋体" w:hAnsi="宋体" w:cs="宋体"/>
                <w:color w:val="auto"/>
                <w:sz w:val="21"/>
                <w:szCs w:val="21"/>
              </w:rPr>
              <w:t>0%</w:t>
            </w:r>
          </w:p>
        </w:tc>
        <w:tc>
          <w:tcPr>
            <w:tcW w:w="620" w:type="dxa"/>
            <w:vAlign w:val="center"/>
          </w:tcPr>
          <w:p>
            <w:pPr>
              <w:spacing w:line="360" w:lineRule="auto"/>
              <w:ind w:firstLine="28"/>
              <w:jc w:val="center"/>
              <w:rPr>
                <w:rFonts w:ascii="宋体" w:hAnsi="宋体" w:cs="宋体"/>
                <w:color w:val="auto"/>
                <w:sz w:val="21"/>
                <w:szCs w:val="21"/>
              </w:rPr>
            </w:pPr>
            <w:r>
              <w:rPr>
                <w:rFonts w:ascii="宋体" w:hAnsi="宋体" w:cs="宋体"/>
                <w:color w:val="auto"/>
                <w:sz w:val="21"/>
                <w:szCs w:val="21"/>
              </w:rPr>
              <w:t>4</w:t>
            </w:r>
            <w:r>
              <w:rPr>
                <w:rFonts w:hint="eastAsia" w:ascii="宋体" w:hAnsi="宋体" w:cs="宋体"/>
                <w:color w:val="auto"/>
                <w:sz w:val="21"/>
                <w:szCs w:val="21"/>
              </w:rPr>
              <w:t>0</w:t>
            </w:r>
          </w:p>
        </w:tc>
        <w:tc>
          <w:tcPr>
            <w:tcW w:w="5399" w:type="dxa"/>
            <w:vAlign w:val="center"/>
          </w:tcPr>
          <w:p>
            <w:pPr>
              <w:spacing w:line="360" w:lineRule="auto"/>
              <w:rPr>
                <w:rFonts w:ascii="宋体" w:hAnsi="宋体"/>
                <w:color w:val="auto"/>
                <w:sz w:val="21"/>
                <w:szCs w:val="21"/>
              </w:rPr>
            </w:pPr>
            <w:r>
              <w:rPr>
                <w:rFonts w:hint="eastAsia" w:ascii="宋体" w:hAnsi="宋体"/>
                <w:color w:val="auto"/>
                <w:sz w:val="21"/>
                <w:szCs w:val="21"/>
              </w:rPr>
              <w:t>价格分应当采用低价优先法计算，即满足招标文件要求且投标价格最低的投标报价为评标基准价，其价格分为满分。其他供应商的价格分统一按照下列公式计算：</w:t>
            </w:r>
          </w:p>
          <w:p>
            <w:pPr>
              <w:spacing w:line="360" w:lineRule="auto"/>
              <w:rPr>
                <w:rFonts w:ascii="宋体" w:hAnsi="宋体"/>
                <w:color w:val="auto"/>
                <w:sz w:val="21"/>
                <w:szCs w:val="21"/>
              </w:rPr>
            </w:pPr>
            <w:r>
              <w:rPr>
                <w:rFonts w:hint="eastAsia" w:ascii="宋体" w:hAnsi="宋体"/>
                <w:color w:val="auto"/>
                <w:sz w:val="21"/>
                <w:szCs w:val="21"/>
              </w:rPr>
              <w:t>报价得分＝（评标基准价/投标报价）×</w:t>
            </w:r>
            <w:r>
              <w:rPr>
                <w:rFonts w:ascii="宋体" w:hAnsi="宋体"/>
                <w:color w:val="auto"/>
                <w:sz w:val="21"/>
                <w:szCs w:val="21"/>
              </w:rPr>
              <w:t>4</w:t>
            </w:r>
            <w:r>
              <w:rPr>
                <w:rFonts w:hint="eastAsia" w:ascii="宋体" w:hAnsi="宋体"/>
                <w:color w:val="auto"/>
                <w:sz w:val="21"/>
                <w:szCs w:val="21"/>
              </w:rPr>
              <w:t>0。</w:t>
            </w:r>
          </w:p>
          <w:p>
            <w:pPr>
              <w:spacing w:line="360" w:lineRule="auto"/>
              <w:rPr>
                <w:rFonts w:ascii="宋体" w:hAnsi="宋体" w:cs="宋体"/>
                <w:color w:val="auto"/>
                <w:sz w:val="21"/>
                <w:szCs w:val="21"/>
              </w:rPr>
            </w:pPr>
            <w:r>
              <w:rPr>
                <w:rFonts w:hint="eastAsia" w:ascii="宋体" w:hAnsi="宋体"/>
                <w:color w:val="auto"/>
                <w:sz w:val="21"/>
                <w:szCs w:val="21"/>
              </w:rPr>
              <w:t>注：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tc>
        <w:tc>
          <w:tcPr>
            <w:tcW w:w="1375" w:type="dxa"/>
            <w:vAlign w:val="center"/>
          </w:tcPr>
          <w:p>
            <w:pPr>
              <w:spacing w:line="360" w:lineRule="auto"/>
              <w:ind w:left="-38"/>
              <w:rPr>
                <w:rFonts w:ascii="宋体" w:hAnsi="宋体" w:cs="宋体"/>
                <w:sz w:val="21"/>
                <w:szCs w:val="21"/>
              </w:rPr>
            </w:pPr>
          </w:p>
          <w:p>
            <w:pPr>
              <w:spacing w:line="360" w:lineRule="auto"/>
              <w:jc w:val="center"/>
              <w:rPr>
                <w:rFonts w:ascii="宋体" w:hAnsi="宋体" w:cs="宋体"/>
                <w:sz w:val="21"/>
                <w:szCs w:val="21"/>
              </w:rPr>
            </w:pPr>
            <w:r>
              <w:rPr>
                <w:rFonts w:hint="eastAsia" w:ascii="宋体" w:hAnsi="宋体" w:cs="宋体"/>
                <w:sz w:val="21"/>
                <w:szCs w:val="21"/>
              </w:rPr>
              <w:t>政策性优惠详见下列评审标准备注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460" w:type="dxa"/>
            <w:vAlign w:val="center"/>
          </w:tcPr>
          <w:p>
            <w:pPr>
              <w:spacing w:line="360" w:lineRule="auto"/>
              <w:ind w:firstLine="28"/>
              <w:jc w:val="center"/>
              <w:rPr>
                <w:rFonts w:ascii="宋体" w:hAnsi="宋体" w:cs="宋体"/>
                <w:sz w:val="21"/>
                <w:szCs w:val="21"/>
              </w:rPr>
            </w:pPr>
            <w:r>
              <w:rPr>
                <w:rFonts w:hint="eastAsia" w:ascii="宋体" w:hAnsi="宋体" w:cs="宋体"/>
                <w:sz w:val="21"/>
                <w:szCs w:val="21"/>
              </w:rPr>
              <w:t>2</w:t>
            </w:r>
          </w:p>
        </w:tc>
        <w:tc>
          <w:tcPr>
            <w:tcW w:w="1223" w:type="dxa"/>
            <w:vAlign w:val="center"/>
          </w:tcPr>
          <w:p>
            <w:pPr>
              <w:spacing w:line="360" w:lineRule="auto"/>
              <w:jc w:val="center"/>
              <w:rPr>
                <w:rFonts w:ascii="宋体" w:hAnsi="宋体" w:cs="宋体"/>
                <w:color w:val="auto"/>
                <w:sz w:val="21"/>
                <w:szCs w:val="21"/>
              </w:rPr>
            </w:pPr>
            <w:r>
              <w:rPr>
                <w:rFonts w:hint="eastAsia" w:ascii="宋体" w:hAnsi="宋体" w:cs="宋体"/>
                <w:color w:val="auto"/>
                <w:sz w:val="21"/>
                <w:szCs w:val="21"/>
              </w:rPr>
              <w:t>技术</w:t>
            </w:r>
            <w:r>
              <w:rPr>
                <w:rFonts w:hint="eastAsia" w:ascii="宋体" w:hAnsi="宋体" w:cs="宋体"/>
                <w:color w:val="auto"/>
                <w:sz w:val="21"/>
                <w:szCs w:val="21"/>
                <w:lang w:eastAsia="zh-CN"/>
              </w:rPr>
              <w:t>指标</w:t>
            </w:r>
            <w:r>
              <w:rPr>
                <w:rFonts w:hint="eastAsia" w:ascii="宋体" w:hAnsi="宋体" w:cs="宋体"/>
                <w:color w:val="auto"/>
                <w:sz w:val="21"/>
                <w:szCs w:val="21"/>
                <w:lang w:val="en-US" w:eastAsia="zh-CN"/>
              </w:rPr>
              <w:t>26</w:t>
            </w:r>
            <w:r>
              <w:rPr>
                <w:rFonts w:hint="eastAsia" w:ascii="宋体" w:hAnsi="宋体" w:cs="宋体"/>
                <w:color w:val="auto"/>
                <w:sz w:val="21"/>
                <w:szCs w:val="21"/>
              </w:rPr>
              <w:t>%</w:t>
            </w:r>
          </w:p>
        </w:tc>
        <w:tc>
          <w:tcPr>
            <w:tcW w:w="620" w:type="dxa"/>
            <w:vAlign w:val="center"/>
          </w:tcPr>
          <w:p>
            <w:pPr>
              <w:spacing w:line="360" w:lineRule="auto"/>
              <w:ind w:firstLine="28"/>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26</w:t>
            </w:r>
          </w:p>
        </w:tc>
        <w:tc>
          <w:tcPr>
            <w:tcW w:w="5399" w:type="dxa"/>
          </w:tcPr>
          <w:p>
            <w:pPr>
              <w:spacing w:line="360" w:lineRule="auto"/>
              <w:rPr>
                <w:rFonts w:hint="eastAsia" w:ascii="宋体" w:hAnsi="宋体" w:eastAsia="宋体"/>
                <w:b/>
                <w:bCs/>
                <w:color w:val="auto"/>
                <w:sz w:val="21"/>
                <w:szCs w:val="21"/>
              </w:rPr>
            </w:pPr>
            <w:r>
              <w:rPr>
                <w:rFonts w:hint="eastAsia" w:ascii="宋体" w:hAnsi="宋体" w:eastAsia="宋体"/>
                <w:b/>
                <w:bCs/>
                <w:color w:val="auto"/>
                <w:sz w:val="21"/>
                <w:szCs w:val="21"/>
              </w:rPr>
              <w:t>根据投标人提供所投产品的主要技术指标（参数）的相应的证明材料（包括但不限于产品彩页、测试报告、官网和功能截图等技术支持性文件（资料），经评审专家审定得分。</w:t>
            </w:r>
          </w:p>
          <w:p>
            <w:pPr>
              <w:spacing w:line="360" w:lineRule="auto"/>
              <w:rPr>
                <w:rFonts w:ascii="宋体" w:hAnsi="宋体" w:cs="宋体"/>
                <w:color w:val="auto"/>
                <w:sz w:val="21"/>
                <w:szCs w:val="21"/>
              </w:rPr>
            </w:pPr>
            <w:r>
              <w:rPr>
                <w:rFonts w:hint="eastAsia" w:ascii="宋体" w:hAnsi="宋体" w:eastAsia="宋体"/>
                <w:color w:val="auto"/>
                <w:sz w:val="21"/>
                <w:szCs w:val="21"/>
              </w:rPr>
              <w:t>基本分（</w:t>
            </w:r>
            <w:r>
              <w:rPr>
                <w:rFonts w:hint="eastAsia" w:ascii="宋体" w:hAnsi="宋体"/>
                <w:color w:val="auto"/>
                <w:sz w:val="21"/>
                <w:szCs w:val="21"/>
                <w:lang w:val="en-US" w:eastAsia="zh-CN"/>
              </w:rPr>
              <w:t>26</w:t>
            </w:r>
            <w:r>
              <w:rPr>
                <w:rFonts w:hint="eastAsia" w:ascii="宋体" w:hAnsi="宋体" w:eastAsia="宋体"/>
                <w:color w:val="auto"/>
                <w:sz w:val="21"/>
                <w:szCs w:val="21"/>
              </w:rPr>
              <w:t>分）：完全符合</w:t>
            </w:r>
            <w:r>
              <w:rPr>
                <w:rFonts w:hint="eastAsia" w:ascii="宋体" w:hAnsi="宋体" w:eastAsia="宋体"/>
                <w:color w:val="auto"/>
                <w:sz w:val="21"/>
                <w:szCs w:val="21"/>
                <w:lang w:eastAsia="zh-CN"/>
              </w:rPr>
              <w:t>公开招标</w:t>
            </w:r>
            <w:r>
              <w:rPr>
                <w:rFonts w:hint="eastAsia" w:ascii="宋体" w:hAnsi="宋体" w:eastAsia="宋体"/>
                <w:color w:val="auto"/>
                <w:sz w:val="21"/>
                <w:szCs w:val="21"/>
              </w:rPr>
              <w:t>文件要求，没有负偏离的得</w:t>
            </w:r>
            <w:r>
              <w:rPr>
                <w:rFonts w:hint="eastAsia" w:ascii="宋体" w:hAnsi="宋体"/>
                <w:color w:val="auto"/>
                <w:sz w:val="21"/>
                <w:szCs w:val="21"/>
                <w:lang w:val="en-US" w:eastAsia="zh-CN"/>
              </w:rPr>
              <w:t>26</w:t>
            </w:r>
            <w:r>
              <w:rPr>
                <w:rFonts w:hint="eastAsia" w:ascii="宋体" w:hAnsi="宋体" w:eastAsia="宋体"/>
                <w:color w:val="auto"/>
                <w:sz w:val="21"/>
                <w:szCs w:val="21"/>
              </w:rPr>
              <w:t>分；技术参数负偏离每项扣1分，扣完为止。</w:t>
            </w:r>
          </w:p>
        </w:tc>
        <w:tc>
          <w:tcPr>
            <w:tcW w:w="137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2" w:hRule="atLeast"/>
        </w:trPr>
        <w:tc>
          <w:tcPr>
            <w:tcW w:w="460" w:type="dxa"/>
            <w:vAlign w:val="center"/>
          </w:tcPr>
          <w:p>
            <w:pPr>
              <w:spacing w:line="360" w:lineRule="auto"/>
              <w:ind w:firstLine="28"/>
              <w:jc w:val="center"/>
              <w:rPr>
                <w:rFonts w:ascii="宋体" w:hAnsi="宋体" w:cs="宋体"/>
                <w:sz w:val="21"/>
                <w:szCs w:val="21"/>
              </w:rPr>
            </w:pPr>
            <w:r>
              <w:rPr>
                <w:rFonts w:hint="eastAsia" w:ascii="宋体" w:hAnsi="宋体" w:cs="宋体"/>
                <w:sz w:val="21"/>
                <w:szCs w:val="21"/>
              </w:rPr>
              <w:t>3</w:t>
            </w:r>
          </w:p>
        </w:tc>
        <w:tc>
          <w:tcPr>
            <w:tcW w:w="1223" w:type="dxa"/>
            <w:vAlign w:val="center"/>
          </w:tcPr>
          <w:p>
            <w:pPr>
              <w:spacing w:line="360" w:lineRule="auto"/>
              <w:jc w:val="center"/>
              <w:rPr>
                <w:rFonts w:ascii="宋体" w:hAnsi="宋体" w:cs="宋体"/>
                <w:sz w:val="21"/>
                <w:szCs w:val="21"/>
              </w:rPr>
            </w:pPr>
            <w:r>
              <w:rPr>
                <w:rFonts w:hint="eastAsia" w:ascii="宋体" w:hAnsi="宋体" w:cs="宋体"/>
                <w:sz w:val="21"/>
                <w:szCs w:val="21"/>
                <w:lang w:eastAsia="zh-CN"/>
              </w:rPr>
              <w:t>演示</w:t>
            </w:r>
            <w:r>
              <w:rPr>
                <w:rFonts w:hint="eastAsia" w:ascii="宋体" w:hAnsi="宋体" w:cs="宋体"/>
                <w:sz w:val="21"/>
                <w:szCs w:val="21"/>
                <w:lang w:val="en-US" w:eastAsia="zh-CN"/>
              </w:rPr>
              <w:t>12</w:t>
            </w:r>
            <w:r>
              <w:rPr>
                <w:rFonts w:hint="eastAsia" w:ascii="宋体" w:hAnsi="宋体" w:cs="宋体"/>
                <w:sz w:val="21"/>
                <w:szCs w:val="21"/>
              </w:rPr>
              <w:t>%</w:t>
            </w:r>
          </w:p>
        </w:tc>
        <w:tc>
          <w:tcPr>
            <w:tcW w:w="620" w:type="dxa"/>
            <w:vAlign w:val="center"/>
          </w:tcPr>
          <w:p>
            <w:pPr>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12</w:t>
            </w:r>
          </w:p>
        </w:tc>
        <w:tc>
          <w:tcPr>
            <w:tcW w:w="5399" w:type="dxa"/>
            <w:vAlign w:val="top"/>
          </w:tcPr>
          <w:p>
            <w:pPr>
              <w:spacing w:line="360" w:lineRule="auto"/>
              <w:rPr>
                <w:rFonts w:hint="eastAsia" w:ascii="宋体" w:hAnsi="宋体" w:cs="Times New Roman"/>
                <w:color w:val="auto"/>
                <w:sz w:val="21"/>
                <w:szCs w:val="21"/>
                <w:lang w:val="en-US" w:eastAsia="zh-CN"/>
              </w:rPr>
            </w:pPr>
            <w:r>
              <w:rPr>
                <w:rFonts w:hint="eastAsia" w:ascii="宋体" w:hAnsi="宋体" w:cs="Times New Roman"/>
                <w:color w:val="auto"/>
                <w:sz w:val="21"/>
                <w:szCs w:val="21"/>
                <w:lang w:val="en-US" w:eastAsia="zh-CN"/>
              </w:rPr>
              <w:t>对</w:t>
            </w:r>
            <w:r>
              <w:rPr>
                <w:rFonts w:hint="eastAsia" w:ascii="宋体" w:hAnsi="宋体" w:eastAsia="宋体" w:cs="Times New Roman"/>
                <w:color w:val="auto"/>
                <w:sz w:val="21"/>
                <w:szCs w:val="21"/>
              </w:rPr>
              <w:t>技术参数表</w:t>
            </w:r>
            <w:r>
              <w:rPr>
                <w:rFonts w:hint="eastAsia" w:ascii="宋体" w:hAnsi="宋体" w:cs="Times New Roman"/>
                <w:color w:val="auto"/>
                <w:sz w:val="21"/>
                <w:szCs w:val="21"/>
                <w:lang w:eastAsia="zh-CN"/>
              </w:rPr>
              <w:t>要求演示项</w:t>
            </w:r>
            <w:r>
              <w:rPr>
                <w:rFonts w:hint="eastAsia" w:ascii="宋体" w:hAnsi="宋体" w:eastAsia="宋体" w:cs="Times New Roman"/>
                <w:color w:val="auto"/>
                <w:sz w:val="21"/>
                <w:szCs w:val="21"/>
              </w:rPr>
              <w:t>进行现场演示，每成功演示一项功能得</w:t>
            </w:r>
            <w:r>
              <w:rPr>
                <w:rFonts w:hint="eastAsia" w:ascii="宋体" w:hAnsi="宋体" w:eastAsia="宋体" w:cs="Times New Roman"/>
                <w:color w:val="auto"/>
                <w:sz w:val="21"/>
                <w:szCs w:val="21"/>
                <w:lang w:val="en-US" w:eastAsia="zh-CN"/>
              </w:rPr>
              <w:t xml:space="preserve"> </w:t>
            </w:r>
            <w:r>
              <w:rPr>
                <w:rFonts w:hint="eastAsia" w:ascii="宋体" w:hAnsi="宋体" w:cs="Times New Roman"/>
                <w:color w:val="auto"/>
                <w:sz w:val="21"/>
                <w:szCs w:val="21"/>
                <w:lang w:val="en-US" w:eastAsia="zh-CN"/>
              </w:rPr>
              <w:t>1.5</w:t>
            </w:r>
            <w:r>
              <w:rPr>
                <w:rFonts w:hint="eastAsia" w:ascii="宋体" w:hAnsi="宋体" w:eastAsia="宋体" w:cs="Times New Roman"/>
                <w:color w:val="auto"/>
                <w:sz w:val="21"/>
                <w:szCs w:val="21"/>
              </w:rPr>
              <w:t>分，最多</w:t>
            </w:r>
            <w:r>
              <w:rPr>
                <w:rFonts w:hint="eastAsia" w:ascii="宋体" w:hAnsi="宋体" w:eastAsia="宋体" w:cs="Times New Roman"/>
                <w:color w:val="auto"/>
                <w:sz w:val="21"/>
                <w:szCs w:val="21"/>
                <w:lang w:val="en-US" w:eastAsia="zh-CN"/>
              </w:rPr>
              <w:t>得</w:t>
            </w:r>
            <w:r>
              <w:rPr>
                <w:rFonts w:hint="eastAsia" w:ascii="宋体" w:hAnsi="宋体" w:cs="Times New Roman"/>
                <w:color w:val="auto"/>
                <w:sz w:val="21"/>
                <w:szCs w:val="21"/>
                <w:lang w:val="en-US" w:eastAsia="zh-CN"/>
              </w:rPr>
              <w:t>12</w:t>
            </w:r>
            <w:r>
              <w:rPr>
                <w:rFonts w:hint="eastAsia" w:ascii="宋体" w:hAnsi="宋体" w:eastAsia="宋体" w:cs="Times New Roman"/>
                <w:color w:val="auto"/>
                <w:sz w:val="21"/>
                <w:szCs w:val="21"/>
              </w:rPr>
              <w:t>分。</w:t>
            </w:r>
            <w:r>
              <w:rPr>
                <w:rFonts w:hint="eastAsia" w:ascii="宋体" w:hAnsi="宋体" w:cs="Times New Roman"/>
                <w:color w:val="auto"/>
                <w:sz w:val="21"/>
                <w:szCs w:val="21"/>
                <w:lang w:eastAsia="zh-CN"/>
              </w:rPr>
              <w:t>（</w:t>
            </w:r>
            <w:r>
              <w:rPr>
                <w:rFonts w:hint="eastAsia" w:ascii="宋体" w:hAnsi="宋体" w:cs="Times New Roman"/>
                <w:color w:val="auto"/>
                <w:sz w:val="21"/>
                <w:szCs w:val="21"/>
                <w:lang w:val="en-US" w:eastAsia="zh-CN"/>
              </w:rPr>
              <w:t>不限于实体环境、视频、PPT，如采用视频、PPT等非实体环境演示，每项扣1分</w:t>
            </w:r>
            <w:r>
              <w:rPr>
                <w:rFonts w:hint="eastAsia" w:ascii="宋体" w:hAnsi="宋体" w:cs="Times New Roman"/>
                <w:color w:val="auto"/>
                <w:sz w:val="21"/>
                <w:szCs w:val="21"/>
                <w:lang w:eastAsia="zh-CN"/>
              </w:rPr>
              <w:t>），</w:t>
            </w:r>
            <w:r>
              <w:rPr>
                <w:rFonts w:hint="eastAsia" w:ascii="宋体" w:hAnsi="宋体" w:cs="Times New Roman"/>
                <w:color w:val="auto"/>
                <w:sz w:val="21"/>
                <w:szCs w:val="21"/>
                <w:lang w:val="en-US" w:eastAsia="zh-CN"/>
              </w:rPr>
              <w:t>不演示为无效响应。演示项如下：</w:t>
            </w:r>
          </w:p>
          <w:p>
            <w:pPr>
              <w:spacing w:line="360" w:lineRule="auto"/>
              <w:jc w:val="left"/>
              <w:rPr>
                <w:rFonts w:hint="eastAsia" w:ascii="宋体" w:hAnsi="宋体" w:eastAsia="宋体" w:cs="Times New Roman"/>
                <w:b w:val="0"/>
                <w:bCs w:val="0"/>
                <w:color w:val="auto"/>
                <w:kern w:val="2"/>
                <w:szCs w:val="21"/>
              </w:rPr>
            </w:pPr>
            <w:r>
              <w:rPr>
                <w:rFonts w:hint="eastAsia" w:ascii="宋体" w:hAnsi="宋体" w:eastAsia="宋体" w:cs="Times New Roman"/>
                <w:b w:val="0"/>
                <w:color w:val="auto"/>
                <w:szCs w:val="21"/>
                <w:lang w:val="en-US" w:eastAsia="zh-CN"/>
              </w:rPr>
              <w:t>1、</w:t>
            </w:r>
            <w:r>
              <w:rPr>
                <w:rFonts w:hint="eastAsia" w:ascii="宋体" w:hAnsi="宋体" w:eastAsia="宋体" w:cs="Times New Roman"/>
                <w:b w:val="0"/>
                <w:color w:val="auto"/>
                <w:szCs w:val="21"/>
              </w:rPr>
              <w:t>提供Python编</w:t>
            </w:r>
            <w:r>
              <w:rPr>
                <w:rFonts w:hint="eastAsia" w:ascii="宋体" w:hAnsi="宋体" w:eastAsia="宋体" w:cs="Times New Roman"/>
                <w:b w:val="0"/>
                <w:bCs w:val="0"/>
                <w:color w:val="auto"/>
                <w:kern w:val="2"/>
                <w:szCs w:val="21"/>
              </w:rPr>
              <w:t>程</w:t>
            </w:r>
            <w:r>
              <w:rPr>
                <w:rFonts w:hint="eastAsia" w:ascii="宋体" w:hAnsi="宋体" w:eastAsia="宋体" w:cs="Times New Roman"/>
                <w:b w:val="0"/>
                <w:color w:val="auto"/>
                <w:szCs w:val="21"/>
              </w:rPr>
              <w:t>环境Jupyter Notebook或Python原生环境，</w:t>
            </w:r>
            <w:r>
              <w:rPr>
                <w:rFonts w:hint="eastAsia" w:ascii="宋体" w:hAnsi="宋体" w:eastAsia="宋体" w:cs="Times New Roman"/>
                <w:b w:val="0"/>
                <w:bCs w:val="0"/>
                <w:color w:val="auto"/>
                <w:kern w:val="2"/>
                <w:szCs w:val="21"/>
              </w:rPr>
              <w:t>与系统平台进行深度融合，</w:t>
            </w:r>
            <w:r>
              <w:rPr>
                <w:rFonts w:hint="eastAsia" w:ascii="宋体" w:hAnsi="宋体" w:eastAsia="宋体" w:cs="Times New Roman"/>
                <w:b w:val="0"/>
                <w:color w:val="auto"/>
                <w:szCs w:val="21"/>
              </w:rPr>
              <w:t>用户无需本地安装，可直接通过浏览器使用平台内的Python编</w:t>
            </w:r>
            <w:r>
              <w:rPr>
                <w:rFonts w:hint="eastAsia" w:ascii="宋体" w:hAnsi="宋体" w:eastAsia="宋体" w:cs="Times New Roman"/>
                <w:b w:val="0"/>
                <w:bCs w:val="0"/>
                <w:color w:val="auto"/>
                <w:kern w:val="2"/>
                <w:szCs w:val="21"/>
              </w:rPr>
              <w:t>程</w:t>
            </w:r>
            <w:r>
              <w:rPr>
                <w:rFonts w:hint="eastAsia" w:ascii="宋体" w:hAnsi="宋体" w:eastAsia="宋体" w:cs="Times New Roman"/>
                <w:b w:val="0"/>
                <w:color w:val="auto"/>
                <w:szCs w:val="21"/>
              </w:rPr>
              <w:t>环境，进行Python代码的编写、调试与运行。并且内置Request，Pymysql，Json、Openpyxl、Numpy、Pandas、Matplotlib、Pyecharts、Scrapy，Scikit-learn，Jieba等常用第三方模块及财务工作常用工具库，通过虚拟仿真财务工作场景，满足用户对财务大数据的采集、处理、可视化的使用需求，以及各类财务场景的应用，实现Python开发与财务应用无缝衔接。</w:t>
            </w:r>
          </w:p>
          <w:p>
            <w:pPr>
              <w:spacing w:line="360" w:lineRule="auto"/>
              <w:jc w:val="left"/>
              <w:rPr>
                <w:rFonts w:hint="eastAsia" w:ascii="宋体" w:hAnsi="宋体" w:eastAsia="宋体" w:cs="Times New Roman"/>
                <w:b w:val="0"/>
                <w:bCs w:val="0"/>
                <w:color w:val="auto"/>
                <w:kern w:val="2"/>
                <w:szCs w:val="21"/>
              </w:rPr>
            </w:pPr>
            <w:r>
              <w:rPr>
                <w:rFonts w:hint="eastAsia" w:ascii="宋体" w:hAnsi="宋体" w:eastAsia="宋体" w:cs="Times New Roman"/>
                <w:b w:val="0"/>
                <w:bCs w:val="0"/>
                <w:color w:val="auto"/>
                <w:kern w:val="2"/>
                <w:szCs w:val="21"/>
                <w:lang w:val="en-US" w:eastAsia="zh-CN"/>
              </w:rPr>
              <w:t>2、</w:t>
            </w:r>
            <w:r>
              <w:rPr>
                <w:rFonts w:hint="eastAsia" w:ascii="宋体" w:hAnsi="宋体" w:eastAsia="宋体" w:cs="Times New Roman"/>
                <w:b w:val="0"/>
                <w:bCs w:val="0"/>
                <w:color w:val="auto"/>
                <w:kern w:val="2"/>
                <w:szCs w:val="21"/>
              </w:rPr>
              <w:t>提供4000家上市公司数据，涵盖公司简介、财务报表摘要、资产负债表、利润表、现金流量表、附注明细等财务数据。系统能够按照公司名称或者股票代码（上市公司）进行检索，并且提供板块模式，按照行业板块对上市公司进行分类，方便进行财务大数据分析，以上数据每年至少更新一次。</w:t>
            </w:r>
          </w:p>
          <w:p>
            <w:pPr>
              <w:spacing w:line="360" w:lineRule="auto"/>
              <w:jc w:val="left"/>
              <w:rPr>
                <w:rFonts w:hint="eastAsia" w:ascii="宋体" w:hAnsi="宋体" w:eastAsia="宋体" w:cs="Times New Roman"/>
                <w:b w:val="0"/>
                <w:bCs w:val="0"/>
                <w:color w:val="auto"/>
                <w:kern w:val="2"/>
                <w:szCs w:val="21"/>
              </w:rPr>
            </w:pPr>
            <w:r>
              <w:rPr>
                <w:rFonts w:hint="eastAsia" w:ascii="宋体" w:hAnsi="宋体" w:eastAsia="宋体" w:cs="Times New Roman"/>
                <w:color w:val="auto"/>
                <w:kern w:val="2"/>
                <w:szCs w:val="21"/>
                <w:lang w:val="en-US" w:eastAsia="zh-CN"/>
              </w:rPr>
              <w:t>3、</w:t>
            </w:r>
            <w:r>
              <w:rPr>
                <w:rFonts w:hint="eastAsia" w:ascii="宋体" w:hAnsi="宋体" w:eastAsia="宋体" w:cs="Times New Roman"/>
                <w:b w:val="0"/>
                <w:bCs w:val="0"/>
                <w:color w:val="auto"/>
                <w:kern w:val="2"/>
                <w:szCs w:val="21"/>
              </w:rPr>
              <w:t>python编程题目支持机器自动判分功能。上传做题结果后自动根据做题情况给出题目得分；</w:t>
            </w:r>
          </w:p>
          <w:p>
            <w:pPr>
              <w:spacing w:line="360" w:lineRule="auto"/>
              <w:jc w:val="left"/>
              <w:rPr>
                <w:rFonts w:hint="eastAsia" w:ascii="宋体" w:hAnsi="宋体" w:eastAsia="宋体" w:cs="Times New Roman"/>
                <w:b w:val="0"/>
                <w:bCs w:val="0"/>
                <w:color w:val="auto"/>
                <w:kern w:val="2"/>
                <w:szCs w:val="21"/>
              </w:rPr>
            </w:pPr>
            <w:r>
              <w:rPr>
                <w:rFonts w:hint="eastAsia" w:ascii="宋体" w:hAnsi="宋体" w:eastAsia="宋体" w:cs="Times New Roman"/>
                <w:b w:val="0"/>
                <w:bCs w:val="0"/>
                <w:color w:val="auto"/>
                <w:kern w:val="2"/>
                <w:szCs w:val="21"/>
                <w:lang w:val="en-US" w:eastAsia="zh-CN"/>
              </w:rPr>
              <w:t>4、</w:t>
            </w:r>
            <w:r>
              <w:rPr>
                <w:rFonts w:hint="eastAsia" w:ascii="宋体" w:hAnsi="宋体" w:eastAsia="宋体" w:cs="Times New Roman"/>
                <w:b w:val="0"/>
                <w:bCs w:val="0"/>
                <w:color w:val="auto"/>
                <w:kern w:val="2"/>
                <w:szCs w:val="21"/>
              </w:rPr>
              <w:t>学习报告：根据学生的学习情况生成对应的学习报告，报告中包含所学习的各类型题目的正确数量、错误数量、已做题目数量、未做题目数量和题目总数量，可以查看到学生具体答题信息以及正确答案，并支持将学习报告导出为PDF文档；</w:t>
            </w:r>
          </w:p>
          <w:p>
            <w:pPr>
              <w:spacing w:line="360" w:lineRule="auto"/>
              <w:jc w:val="left"/>
              <w:rPr>
                <w:rFonts w:hint="eastAsia" w:ascii="宋体" w:hAnsi="宋体" w:eastAsia="宋体" w:cs="Times New Roman"/>
                <w:b w:val="0"/>
                <w:bCs w:val="0"/>
                <w:color w:val="auto"/>
                <w:kern w:val="2"/>
                <w:szCs w:val="21"/>
              </w:rPr>
            </w:pPr>
            <w:r>
              <w:rPr>
                <w:rFonts w:hint="eastAsia" w:ascii="宋体" w:hAnsi="宋体" w:eastAsia="宋体" w:cs="Times New Roman"/>
                <w:b w:val="0"/>
                <w:bCs w:val="0"/>
                <w:color w:val="auto"/>
                <w:kern w:val="2"/>
                <w:szCs w:val="21"/>
                <w:lang w:val="en-US" w:eastAsia="zh-CN"/>
              </w:rPr>
              <w:t>5、</w:t>
            </w:r>
            <w:r>
              <w:rPr>
                <w:rFonts w:hint="eastAsia" w:ascii="宋体" w:hAnsi="宋体" w:eastAsia="宋体" w:cs="Times New Roman"/>
                <w:b w:val="0"/>
                <w:bCs w:val="0"/>
                <w:color w:val="auto"/>
                <w:kern w:val="2"/>
                <w:szCs w:val="21"/>
              </w:rPr>
              <w:t>统计分析功能：可以按课程章节目录统计出学生在各个章节中的得分以及正确率等相关数据；</w:t>
            </w:r>
          </w:p>
          <w:p>
            <w:pPr>
              <w:spacing w:line="360" w:lineRule="auto"/>
              <w:jc w:val="left"/>
              <w:rPr>
                <w:rFonts w:hint="eastAsia" w:ascii="宋体" w:hAnsi="宋体" w:eastAsia="宋体" w:cs="Times New Roman"/>
                <w:b w:val="0"/>
                <w:bCs w:val="0"/>
                <w:color w:val="auto"/>
                <w:kern w:val="2"/>
                <w:szCs w:val="21"/>
              </w:rPr>
            </w:pPr>
            <w:r>
              <w:rPr>
                <w:rFonts w:hint="eastAsia" w:ascii="宋体" w:hAnsi="宋体" w:eastAsia="宋体" w:cs="Times New Roman"/>
                <w:color w:val="auto"/>
                <w:kern w:val="2"/>
                <w:szCs w:val="21"/>
                <w:lang w:val="en-US" w:eastAsia="zh-CN"/>
              </w:rPr>
              <w:t>6、</w:t>
            </w:r>
            <w:r>
              <w:rPr>
                <w:rFonts w:hint="eastAsia" w:ascii="宋体" w:hAnsi="宋体" w:eastAsia="宋体" w:cs="Times New Roman"/>
                <w:b w:val="0"/>
                <w:bCs w:val="0"/>
                <w:color w:val="auto"/>
                <w:kern w:val="2"/>
                <w:szCs w:val="21"/>
              </w:rPr>
              <w:t>提供多个终端使用功能：游戏支持电脑、手机等终端使用；</w:t>
            </w:r>
          </w:p>
          <w:p>
            <w:pPr>
              <w:spacing w:line="360" w:lineRule="auto"/>
              <w:jc w:val="left"/>
              <w:rPr>
                <w:rFonts w:hint="eastAsia" w:ascii="宋体" w:hAnsi="宋体" w:eastAsia="宋体" w:cs="Times New Roman"/>
                <w:b w:val="0"/>
                <w:bCs w:val="0"/>
                <w:color w:val="auto"/>
                <w:kern w:val="2"/>
                <w:szCs w:val="21"/>
              </w:rPr>
            </w:pPr>
            <w:r>
              <w:rPr>
                <w:rFonts w:hint="eastAsia" w:ascii="宋体" w:hAnsi="宋体" w:eastAsia="宋体" w:cs="Times New Roman"/>
                <w:color w:val="auto"/>
                <w:kern w:val="2"/>
                <w:szCs w:val="21"/>
                <w:lang w:val="en-US" w:eastAsia="zh-CN"/>
              </w:rPr>
              <w:t>7、</w:t>
            </w:r>
            <w:r>
              <w:rPr>
                <w:rFonts w:hint="eastAsia" w:ascii="宋体" w:hAnsi="宋体" w:eastAsia="宋体" w:cs="Times New Roman"/>
                <w:b w:val="0"/>
                <w:bCs w:val="0"/>
                <w:color w:val="auto"/>
                <w:kern w:val="2"/>
                <w:szCs w:val="21"/>
              </w:rPr>
              <w:t>可直接导入PPT并保留PPT所有动画效果，生成视频微课；</w:t>
            </w:r>
          </w:p>
          <w:p>
            <w:pPr>
              <w:spacing w:line="240" w:lineRule="auto"/>
              <w:jc w:val="left"/>
              <w:rPr>
                <w:rFonts w:hint="eastAsia" w:hAnsi="宋体" w:eastAsia="宋体" w:cs="宋体"/>
                <w:sz w:val="21"/>
                <w:szCs w:val="21"/>
                <w:lang w:eastAsia="zh-CN"/>
              </w:rPr>
            </w:pPr>
            <w:r>
              <w:rPr>
                <w:rFonts w:hint="eastAsia" w:ascii="宋体" w:hAnsi="宋体" w:eastAsia="宋体" w:cs="Times New Roman"/>
                <w:b w:val="0"/>
                <w:bCs w:val="0"/>
                <w:color w:val="auto"/>
                <w:kern w:val="2"/>
                <w:szCs w:val="21"/>
                <w:lang w:val="en-US" w:eastAsia="zh-CN"/>
              </w:rPr>
              <w:t>8、</w:t>
            </w:r>
            <w:r>
              <w:rPr>
                <w:rFonts w:hint="eastAsia" w:ascii="宋体" w:hAnsi="宋体" w:eastAsia="宋体" w:cs="Times New Roman"/>
                <w:b w:val="0"/>
                <w:bCs w:val="0"/>
                <w:color w:val="auto"/>
                <w:kern w:val="2"/>
                <w:szCs w:val="21"/>
              </w:rPr>
              <w:t>制作过程可自动录音，可合成至生成的视频微课中</w:t>
            </w:r>
            <w:r>
              <w:rPr>
                <w:rFonts w:hint="eastAsia" w:ascii="宋体" w:hAnsi="宋体" w:eastAsia="宋体" w:cs="Times New Roman"/>
                <w:b w:val="0"/>
                <w:bCs w:val="0"/>
                <w:color w:val="auto"/>
                <w:kern w:val="2"/>
                <w:szCs w:val="21"/>
                <w:lang w:eastAsia="zh-CN"/>
              </w:rPr>
              <w:t>。</w:t>
            </w:r>
          </w:p>
        </w:tc>
        <w:tc>
          <w:tcPr>
            <w:tcW w:w="1375" w:type="dxa"/>
            <w:vAlign w:val="center"/>
          </w:tcPr>
          <w:p>
            <w:pPr>
              <w:spacing w:line="360" w:lineRule="auto"/>
              <w:ind w:left="-38"/>
              <w:rPr>
                <w:rFonts w:ascii="宋体" w:hAnsi="宋体" w:cs="宋体"/>
                <w:sz w:val="21"/>
                <w:szCs w:val="21"/>
              </w:rPr>
            </w:pPr>
            <w:r>
              <w:rPr>
                <w:rFonts w:hint="eastAsia" w:ascii="宋体" w:hAnsi="宋体" w:eastAsia="宋体" w:cs="Times New Roman"/>
                <w:color w:val="auto"/>
                <w:sz w:val="21"/>
                <w:szCs w:val="21"/>
                <w:lang w:val="en-US" w:eastAsia="zh-CN"/>
              </w:rPr>
              <w:t>供应商提供演示时间不超过15分钟，演示现场只提供电源，演示所需的其它如：网络环境搭建、各类信号转换、显示设备、线材等自行解决)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trPr>
        <w:tc>
          <w:tcPr>
            <w:tcW w:w="460" w:type="dxa"/>
            <w:vAlign w:val="center"/>
          </w:tcPr>
          <w:p>
            <w:pPr>
              <w:spacing w:line="360" w:lineRule="auto"/>
              <w:ind w:firstLine="28" w:firstLineChars="0"/>
              <w:jc w:val="center"/>
              <w:rPr>
                <w:rFonts w:hint="eastAsia" w:ascii="宋体" w:hAnsi="宋体" w:cs="宋体"/>
                <w:sz w:val="21"/>
                <w:szCs w:val="21"/>
              </w:rPr>
            </w:pPr>
            <w:r>
              <w:rPr>
                <w:rFonts w:hint="eastAsia" w:ascii="宋体" w:hAnsi="宋体" w:cs="宋体"/>
                <w:sz w:val="21"/>
                <w:szCs w:val="21"/>
              </w:rPr>
              <w:t>4</w:t>
            </w:r>
          </w:p>
        </w:tc>
        <w:tc>
          <w:tcPr>
            <w:tcW w:w="1223" w:type="dxa"/>
            <w:vAlign w:val="center"/>
          </w:tcPr>
          <w:p>
            <w:pPr>
              <w:spacing w:line="360" w:lineRule="auto"/>
              <w:ind w:left="-118" w:leftChars="-56" w:right="-94" w:rightChars="-45"/>
              <w:jc w:val="center"/>
              <w:rPr>
                <w:rFonts w:hint="default" w:ascii="宋体" w:hAnsi="宋体" w:eastAsia="宋体" w:cs="宋体"/>
                <w:sz w:val="21"/>
                <w:szCs w:val="21"/>
                <w:lang w:val="en-US" w:eastAsia="zh-CN"/>
              </w:rPr>
            </w:pPr>
            <w:r>
              <w:rPr>
                <w:rFonts w:hint="eastAsia" w:ascii="宋体" w:hAnsi="宋体" w:cs="宋体"/>
                <w:color w:val="000000"/>
                <w:sz w:val="21"/>
                <w:szCs w:val="21"/>
                <w:lang w:eastAsia="zh-CN"/>
              </w:rPr>
              <w:t>售后服务</w:t>
            </w:r>
            <w:r>
              <w:rPr>
                <w:rFonts w:hint="eastAsia" w:ascii="宋体" w:hAnsi="宋体" w:cs="宋体"/>
                <w:color w:val="000000"/>
                <w:sz w:val="21"/>
                <w:szCs w:val="21"/>
                <w:lang w:val="en-US" w:eastAsia="zh-CN"/>
              </w:rPr>
              <w:t>8%</w:t>
            </w:r>
          </w:p>
        </w:tc>
        <w:tc>
          <w:tcPr>
            <w:tcW w:w="620" w:type="dxa"/>
            <w:vAlign w:val="center"/>
          </w:tcPr>
          <w:p>
            <w:pPr>
              <w:spacing w:line="360" w:lineRule="auto"/>
              <w:ind w:left="-118" w:leftChars="-56" w:right="-94" w:rightChars="-45"/>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8</w:t>
            </w:r>
          </w:p>
        </w:tc>
        <w:tc>
          <w:tcPr>
            <w:tcW w:w="5399" w:type="dxa"/>
            <w:vAlign w:val="center"/>
          </w:tcPr>
          <w:p>
            <w:pPr>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针对本项目有完整的售后服务方案及质保期外的质量保证和供应措施，制订了本地化服务的承诺和应急方案（提供有效的办公场所证明），明确了售后服务人员，有售后服务的优惠条件，有相应的物力、人力保障，能够保证产、供、销、售后服务正常运转，有详细的在设备发生不同类型故障后的到达现场时间、解决故障时间、补救措施等方面的措施或方案，同时具有明确的承诺且符合实际需求，提供详细的售后服务方案及售后服务承诺等，方案充实详细、有质量保证承诺，计</w:t>
            </w:r>
            <w:r>
              <w:rPr>
                <w:rFonts w:hint="eastAsia" w:ascii="宋体" w:hAnsi="宋体" w:eastAsia="宋体" w:cs="Times New Roman"/>
                <w:color w:val="auto"/>
                <w:sz w:val="21"/>
                <w:szCs w:val="21"/>
                <w:lang w:val="en-US" w:eastAsia="zh-CN"/>
              </w:rPr>
              <w:t>6.1-8</w:t>
            </w:r>
            <w:r>
              <w:rPr>
                <w:rFonts w:hint="eastAsia" w:ascii="宋体" w:hAnsi="宋体" w:eastAsia="宋体" w:cs="Times New Roman"/>
                <w:color w:val="auto"/>
                <w:sz w:val="21"/>
                <w:szCs w:val="21"/>
              </w:rPr>
              <w:t>分。有售后服务方案及完整的售后服务承诺，满足质保期内的服务要求，有售后服务的措施，计</w:t>
            </w:r>
            <w:r>
              <w:rPr>
                <w:rFonts w:hint="eastAsia" w:ascii="宋体" w:hAnsi="宋体" w:eastAsia="宋体" w:cs="Times New Roman"/>
                <w:color w:val="auto"/>
                <w:sz w:val="21"/>
                <w:szCs w:val="21"/>
                <w:lang w:val="en-US" w:eastAsia="zh-CN"/>
              </w:rPr>
              <w:t>3.1-6</w:t>
            </w:r>
            <w:r>
              <w:rPr>
                <w:rFonts w:hint="eastAsia" w:ascii="宋体" w:hAnsi="宋体" w:eastAsia="宋体" w:cs="Times New Roman"/>
                <w:color w:val="auto"/>
                <w:sz w:val="21"/>
                <w:szCs w:val="21"/>
              </w:rPr>
              <w:t>分；售后服务方案不完整，没有针对本项目的售后服务承诺和具体措施，计</w:t>
            </w:r>
            <w:r>
              <w:rPr>
                <w:rFonts w:hint="eastAsia" w:ascii="宋体" w:hAnsi="宋体" w:eastAsia="宋体" w:cs="Times New Roman"/>
                <w:color w:val="auto"/>
                <w:sz w:val="21"/>
                <w:szCs w:val="21"/>
                <w:lang w:val="en-US" w:eastAsia="zh-CN"/>
              </w:rPr>
              <w:t>1-3</w:t>
            </w:r>
            <w:r>
              <w:rPr>
                <w:rFonts w:hint="eastAsia" w:ascii="宋体" w:hAnsi="宋体" w:eastAsia="宋体" w:cs="Times New Roman"/>
                <w:color w:val="auto"/>
                <w:sz w:val="21"/>
                <w:szCs w:val="21"/>
              </w:rPr>
              <w:t>分；没有售后服务方案不得分。</w:t>
            </w:r>
          </w:p>
        </w:tc>
        <w:tc>
          <w:tcPr>
            <w:tcW w:w="1375" w:type="dxa"/>
            <w:vAlign w:val="center"/>
          </w:tcPr>
          <w:p>
            <w:pPr>
              <w:spacing w:line="360" w:lineRule="auto"/>
              <w:ind w:left="-38"/>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4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 w:firstLineChars="0"/>
              <w:jc w:val="center"/>
              <w:rPr>
                <w:rFonts w:ascii="宋体" w:hAnsi="宋体" w:cs="宋体"/>
                <w:sz w:val="21"/>
                <w:szCs w:val="21"/>
              </w:rPr>
            </w:pPr>
            <w:r>
              <w:rPr>
                <w:rFonts w:hint="eastAsia" w:ascii="宋体" w:hAnsi="宋体" w:cs="宋体"/>
                <w:sz w:val="21"/>
                <w:szCs w:val="21"/>
              </w:rPr>
              <w:t>5</w:t>
            </w:r>
          </w:p>
        </w:tc>
        <w:tc>
          <w:tcPr>
            <w:tcW w:w="12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1"/>
                <w:szCs w:val="21"/>
              </w:rPr>
            </w:pPr>
            <w:r>
              <w:rPr>
                <w:rFonts w:hint="eastAsia" w:ascii="宋体" w:hAnsi="宋体" w:cs="宋体"/>
                <w:sz w:val="21"/>
                <w:szCs w:val="21"/>
              </w:rPr>
              <w:t>培训方案</w:t>
            </w:r>
            <w:r>
              <w:rPr>
                <w:rFonts w:hint="eastAsia" w:ascii="宋体" w:hAnsi="宋体" w:cs="宋体"/>
                <w:sz w:val="21"/>
                <w:szCs w:val="21"/>
                <w:lang w:val="en-US" w:eastAsia="zh-CN"/>
              </w:rPr>
              <w:t>8</w:t>
            </w:r>
            <w:r>
              <w:rPr>
                <w:rFonts w:hint="eastAsia" w:ascii="宋体" w:hAnsi="宋体" w:cs="宋体"/>
                <w:sz w:val="21"/>
                <w:szCs w:val="21"/>
              </w:rPr>
              <w:t>%</w:t>
            </w:r>
          </w:p>
        </w:tc>
        <w:tc>
          <w:tcPr>
            <w:tcW w:w="6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8</w:t>
            </w:r>
          </w:p>
        </w:tc>
        <w:tc>
          <w:tcPr>
            <w:tcW w:w="539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根据供应商提供的培训方案及培训效果保证措施等进行综合评分，培训采购人指定的技术人员和管理人员，制定培训课程计划表，列出每种培训的地点和时间、培训的内容、方式、次数等，培训内容应包括所提供产品的原理和技术性能、操作维护方法、安装调试、排除故障等各个方面，培训的具体日期及人数由使用单位确定。培训方案明确，方案完善、科学合理，针对性强、服务承诺明确，计</w:t>
            </w:r>
            <w:r>
              <w:rPr>
                <w:rFonts w:hint="eastAsia" w:ascii="宋体" w:hAnsi="宋体" w:eastAsia="宋体" w:cs="Times New Roman"/>
                <w:color w:val="auto"/>
                <w:sz w:val="21"/>
                <w:szCs w:val="21"/>
                <w:lang w:val="en-US" w:eastAsia="zh-CN"/>
              </w:rPr>
              <w:t>6.1-8</w:t>
            </w:r>
            <w:r>
              <w:rPr>
                <w:rFonts w:hint="eastAsia" w:ascii="宋体" w:hAnsi="宋体" w:eastAsia="宋体" w:cs="Times New Roman"/>
                <w:color w:val="auto"/>
                <w:sz w:val="21"/>
                <w:szCs w:val="21"/>
              </w:rPr>
              <w:t>分，方案较完整、合理可行、特点和承诺不明确，计</w:t>
            </w:r>
            <w:r>
              <w:rPr>
                <w:rFonts w:hint="eastAsia" w:ascii="宋体" w:hAnsi="宋体" w:eastAsia="宋体" w:cs="Times New Roman"/>
                <w:color w:val="auto"/>
                <w:sz w:val="21"/>
                <w:szCs w:val="21"/>
                <w:lang w:val="en-US" w:eastAsia="zh-CN"/>
              </w:rPr>
              <w:t>3.1-6</w:t>
            </w:r>
            <w:r>
              <w:rPr>
                <w:rFonts w:hint="eastAsia" w:ascii="宋体" w:hAnsi="宋体" w:eastAsia="宋体" w:cs="Times New Roman"/>
                <w:color w:val="auto"/>
                <w:sz w:val="21"/>
                <w:szCs w:val="21"/>
              </w:rPr>
              <w:t>分，方案内容不完整，响应有缺项，与实际需求不符，计</w:t>
            </w:r>
            <w:r>
              <w:rPr>
                <w:rFonts w:hint="eastAsia" w:ascii="宋体" w:hAnsi="宋体" w:eastAsia="宋体" w:cs="Times New Roman"/>
                <w:color w:val="auto"/>
                <w:sz w:val="21"/>
                <w:szCs w:val="21"/>
                <w:lang w:val="en-US" w:eastAsia="zh-CN"/>
              </w:rPr>
              <w:t>1-3</w:t>
            </w:r>
            <w:r>
              <w:rPr>
                <w:rFonts w:hint="eastAsia" w:ascii="宋体" w:hAnsi="宋体" w:eastAsia="宋体" w:cs="Times New Roman"/>
                <w:color w:val="auto"/>
                <w:sz w:val="21"/>
                <w:szCs w:val="21"/>
              </w:rPr>
              <w:t>分，未提供不计分。</w:t>
            </w:r>
          </w:p>
        </w:tc>
        <w:tc>
          <w:tcPr>
            <w:tcW w:w="1375" w:type="dxa"/>
            <w:tcBorders>
              <w:top w:val="single" w:color="auto" w:sz="4" w:space="0"/>
              <w:left w:val="single" w:color="auto" w:sz="4" w:space="0"/>
              <w:bottom w:val="single" w:color="auto" w:sz="4" w:space="0"/>
              <w:right w:val="single" w:color="auto" w:sz="4" w:space="0"/>
            </w:tcBorders>
            <w:vAlign w:val="center"/>
          </w:tcPr>
          <w:p>
            <w:pPr>
              <w:spacing w:line="360" w:lineRule="auto"/>
              <w:ind w:left="-38"/>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4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6</w:t>
            </w:r>
          </w:p>
        </w:tc>
        <w:tc>
          <w:tcPr>
            <w:tcW w:w="12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1"/>
                <w:szCs w:val="21"/>
              </w:rPr>
            </w:pPr>
            <w:r>
              <w:rPr>
                <w:rFonts w:hint="eastAsia" w:ascii="宋体" w:hAnsi="宋体" w:cs="宋体"/>
                <w:sz w:val="21"/>
                <w:szCs w:val="21"/>
              </w:rPr>
              <w:t>业绩</w:t>
            </w:r>
            <w:r>
              <w:rPr>
                <w:rFonts w:hint="eastAsia" w:ascii="宋体" w:hAnsi="宋体" w:cs="宋体"/>
                <w:sz w:val="21"/>
                <w:szCs w:val="21"/>
                <w:lang w:val="en-US" w:eastAsia="zh-CN"/>
              </w:rPr>
              <w:t>6</w:t>
            </w:r>
            <w:r>
              <w:rPr>
                <w:rFonts w:hint="eastAsia" w:ascii="宋体" w:hAnsi="宋体" w:cs="宋体"/>
                <w:sz w:val="21"/>
                <w:szCs w:val="21"/>
              </w:rPr>
              <w:t>%</w:t>
            </w:r>
          </w:p>
        </w:tc>
        <w:tc>
          <w:tcPr>
            <w:tcW w:w="62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6</w:t>
            </w:r>
          </w:p>
        </w:tc>
        <w:tc>
          <w:tcPr>
            <w:tcW w:w="539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投标人提供的2019年1月1日至今所投同类业绩（以合同签订日期为准，到达最终用户，仅限投标人本身，提供完整合同复印件</w:t>
            </w:r>
            <w:r>
              <w:rPr>
                <w:rFonts w:hint="eastAsia" w:ascii="宋体" w:hAnsi="宋体" w:eastAsia="宋体" w:cs="Times New Roman"/>
                <w:color w:val="auto"/>
                <w:sz w:val="21"/>
                <w:szCs w:val="21"/>
                <w:lang w:eastAsia="zh-CN"/>
              </w:rPr>
              <w:t>、中标通知书和中标公告截图同时具备为一份有效业绩</w:t>
            </w:r>
            <w:r>
              <w:rPr>
                <w:rFonts w:hint="eastAsia" w:ascii="宋体" w:hAnsi="宋体" w:eastAsia="宋体" w:cs="Times New Roman"/>
                <w:color w:val="auto"/>
                <w:sz w:val="21"/>
                <w:szCs w:val="21"/>
              </w:rPr>
              <w:t>）进行评定，每份计1分，最高计</w:t>
            </w:r>
            <w:r>
              <w:rPr>
                <w:rFonts w:hint="eastAsia" w:ascii="宋体" w:hAnsi="宋体" w:cs="Times New Roman"/>
                <w:color w:val="auto"/>
                <w:sz w:val="21"/>
                <w:szCs w:val="21"/>
                <w:lang w:val="en-US" w:eastAsia="zh-CN"/>
              </w:rPr>
              <w:t>6</w:t>
            </w:r>
            <w:r>
              <w:rPr>
                <w:rFonts w:hint="eastAsia" w:ascii="宋体" w:hAnsi="宋体" w:eastAsia="宋体" w:cs="Times New Roman"/>
                <w:color w:val="auto"/>
                <w:sz w:val="21"/>
                <w:szCs w:val="21"/>
              </w:rPr>
              <w:t>分。</w:t>
            </w:r>
          </w:p>
        </w:tc>
        <w:tc>
          <w:tcPr>
            <w:tcW w:w="1375" w:type="dxa"/>
            <w:tcBorders>
              <w:top w:val="single" w:color="auto" w:sz="4" w:space="0"/>
              <w:left w:val="single" w:color="auto" w:sz="4" w:space="0"/>
              <w:bottom w:val="single" w:color="auto" w:sz="4" w:space="0"/>
              <w:right w:val="single" w:color="auto" w:sz="4" w:space="0"/>
            </w:tcBorders>
            <w:vAlign w:val="center"/>
          </w:tcPr>
          <w:p>
            <w:pPr>
              <w:spacing w:line="360" w:lineRule="auto"/>
              <w:ind w:left="-38" w:leftChars="0"/>
              <w:rPr>
                <w:rFonts w:ascii="宋体" w:hAnsi="宋体" w:cs="宋体"/>
                <w:sz w:val="21"/>
                <w:szCs w:val="21"/>
              </w:rPr>
            </w:pPr>
            <w:r>
              <w:rPr>
                <w:rFonts w:hint="eastAsia" w:ascii="宋体" w:hAnsi="宋体" w:cs="宋体"/>
                <w:sz w:val="21"/>
                <w:szCs w:val="21"/>
              </w:rPr>
              <w:t>（原件开标现场携带备查）</w:t>
            </w:r>
          </w:p>
        </w:tc>
      </w:tr>
    </w:tbl>
    <w:p/>
    <w:p>
      <w:pPr>
        <w:spacing w:line="500" w:lineRule="exact"/>
        <w:ind w:firstLine="560" w:firstLineChars="200"/>
        <w:outlineLvl w:val="3"/>
        <w:rPr>
          <w:rFonts w:hint="eastAsia"/>
          <w:sz w:val="28"/>
          <w:szCs w:val="28"/>
          <w:lang w:eastAsia="zh-CN"/>
        </w:rPr>
        <w:sectPr>
          <w:headerReference r:id="rId11" w:type="default"/>
          <w:footerReference r:id="rId12" w:type="default"/>
          <w:pgSz w:w="11906" w:h="16838"/>
          <w:pgMar w:top="1440" w:right="1803" w:bottom="1440" w:left="1803" w:header="851" w:footer="992" w:gutter="0"/>
          <w:pgNumType w:fmt="decimal"/>
          <w:cols w:space="720" w:num="1"/>
          <w:docGrid w:type="lines" w:linePitch="319" w:charSpace="0"/>
        </w:sectPr>
      </w:pPr>
    </w:p>
    <w:p>
      <w:pPr>
        <w:spacing w:line="500" w:lineRule="exact"/>
        <w:ind w:firstLine="560" w:firstLineChars="200"/>
        <w:outlineLvl w:val="3"/>
        <w:rPr>
          <w:rFonts w:ascii="宋体" w:hAnsi="宋体" w:cs="宋体"/>
          <w:sz w:val="24"/>
          <w:szCs w:val="24"/>
        </w:rPr>
      </w:pPr>
      <w:r>
        <w:rPr>
          <w:rFonts w:hint="eastAsia"/>
          <w:sz w:val="28"/>
          <w:szCs w:val="28"/>
          <w:lang w:eastAsia="zh-CN"/>
        </w:rPr>
        <w:t>合同包</w:t>
      </w:r>
      <w:r>
        <w:rPr>
          <w:rFonts w:hint="eastAsia"/>
          <w:sz w:val="28"/>
          <w:szCs w:val="28"/>
          <w:lang w:val="en-US" w:eastAsia="zh-CN"/>
        </w:rPr>
        <w:t>2</w:t>
      </w:r>
    </w:p>
    <w:tbl>
      <w:tblPr>
        <w:tblStyle w:val="29"/>
        <w:tblW w:w="9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223"/>
        <w:gridCol w:w="620"/>
        <w:gridCol w:w="5399"/>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60" w:type="dxa"/>
            <w:vAlign w:val="center"/>
          </w:tcPr>
          <w:p>
            <w:pPr>
              <w:spacing w:line="360" w:lineRule="auto"/>
              <w:rPr>
                <w:rFonts w:ascii="宋体" w:hAnsi="宋体" w:cs="宋体"/>
                <w:b/>
                <w:bCs/>
                <w:sz w:val="21"/>
                <w:szCs w:val="21"/>
              </w:rPr>
            </w:pPr>
            <w:r>
              <w:rPr>
                <w:rFonts w:hint="eastAsia" w:ascii="宋体" w:hAnsi="宋体" w:cs="宋体"/>
                <w:b/>
                <w:bCs/>
                <w:sz w:val="21"/>
                <w:szCs w:val="21"/>
              </w:rPr>
              <w:t>序号</w:t>
            </w:r>
          </w:p>
        </w:tc>
        <w:tc>
          <w:tcPr>
            <w:tcW w:w="1223" w:type="dxa"/>
            <w:vAlign w:val="center"/>
          </w:tcPr>
          <w:p>
            <w:pPr>
              <w:spacing w:line="360" w:lineRule="auto"/>
              <w:ind w:firstLine="28"/>
              <w:rPr>
                <w:rFonts w:ascii="宋体" w:hAnsi="宋体" w:cs="宋体"/>
                <w:b/>
                <w:bCs/>
                <w:sz w:val="21"/>
                <w:szCs w:val="21"/>
              </w:rPr>
            </w:pPr>
            <w:r>
              <w:rPr>
                <w:rFonts w:hint="eastAsia" w:ascii="宋体" w:hAnsi="宋体" w:cs="宋体"/>
                <w:b/>
                <w:bCs/>
                <w:sz w:val="21"/>
                <w:szCs w:val="21"/>
              </w:rPr>
              <w:t>评分因素及权重</w:t>
            </w:r>
          </w:p>
        </w:tc>
        <w:tc>
          <w:tcPr>
            <w:tcW w:w="620" w:type="dxa"/>
            <w:vAlign w:val="center"/>
          </w:tcPr>
          <w:p>
            <w:pPr>
              <w:spacing w:line="360" w:lineRule="auto"/>
              <w:ind w:firstLine="28"/>
              <w:jc w:val="center"/>
              <w:rPr>
                <w:rFonts w:ascii="宋体" w:hAnsi="宋体" w:cs="宋体"/>
                <w:b/>
                <w:bCs/>
                <w:sz w:val="21"/>
                <w:szCs w:val="21"/>
              </w:rPr>
            </w:pPr>
            <w:r>
              <w:rPr>
                <w:rFonts w:hint="eastAsia" w:ascii="宋体" w:hAnsi="宋体" w:cs="宋体"/>
                <w:b/>
                <w:bCs/>
                <w:sz w:val="21"/>
                <w:szCs w:val="21"/>
              </w:rPr>
              <w:t>分值</w:t>
            </w:r>
          </w:p>
        </w:tc>
        <w:tc>
          <w:tcPr>
            <w:tcW w:w="5399" w:type="dxa"/>
            <w:vAlign w:val="center"/>
          </w:tcPr>
          <w:p>
            <w:pPr>
              <w:spacing w:line="360" w:lineRule="auto"/>
              <w:ind w:firstLine="28"/>
              <w:jc w:val="center"/>
              <w:rPr>
                <w:rFonts w:ascii="宋体" w:hAnsi="宋体" w:cs="宋体"/>
                <w:b/>
                <w:bCs/>
                <w:sz w:val="21"/>
                <w:szCs w:val="21"/>
              </w:rPr>
            </w:pPr>
            <w:r>
              <w:rPr>
                <w:rFonts w:hint="eastAsia" w:ascii="宋体" w:hAnsi="宋体" w:cs="宋体"/>
                <w:b/>
                <w:bCs/>
                <w:sz w:val="21"/>
                <w:szCs w:val="21"/>
              </w:rPr>
              <w:t>评分标准</w:t>
            </w:r>
          </w:p>
        </w:tc>
        <w:tc>
          <w:tcPr>
            <w:tcW w:w="1375" w:type="dxa"/>
            <w:vAlign w:val="center"/>
          </w:tcPr>
          <w:p>
            <w:pPr>
              <w:spacing w:line="360" w:lineRule="auto"/>
              <w:jc w:val="center"/>
              <w:rPr>
                <w:rFonts w:ascii="宋体" w:hAnsi="宋体" w:cs="宋体"/>
                <w:b/>
                <w:bCs/>
                <w:sz w:val="21"/>
                <w:szCs w:val="21"/>
              </w:rPr>
            </w:pPr>
            <w:r>
              <w:rPr>
                <w:rFonts w:hint="eastAsia" w:ascii="宋体" w:hAnsi="宋体" w:cs="宋体"/>
                <w:b/>
                <w:bCs/>
                <w:sz w:val="21"/>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0" w:hRule="atLeast"/>
        </w:trPr>
        <w:tc>
          <w:tcPr>
            <w:tcW w:w="460" w:type="dxa"/>
            <w:vAlign w:val="center"/>
          </w:tcPr>
          <w:p>
            <w:pPr>
              <w:spacing w:line="360" w:lineRule="auto"/>
              <w:ind w:firstLine="28"/>
              <w:jc w:val="center"/>
              <w:rPr>
                <w:rFonts w:ascii="宋体" w:hAnsi="宋体" w:cs="宋体"/>
                <w:sz w:val="21"/>
                <w:szCs w:val="21"/>
              </w:rPr>
            </w:pPr>
            <w:r>
              <w:rPr>
                <w:rFonts w:hint="eastAsia" w:ascii="宋体" w:hAnsi="宋体" w:cs="宋体"/>
                <w:sz w:val="21"/>
                <w:szCs w:val="21"/>
              </w:rPr>
              <w:t>1</w:t>
            </w:r>
          </w:p>
        </w:tc>
        <w:tc>
          <w:tcPr>
            <w:tcW w:w="1223" w:type="dxa"/>
            <w:vAlign w:val="center"/>
          </w:tcPr>
          <w:p>
            <w:pPr>
              <w:spacing w:line="360" w:lineRule="auto"/>
              <w:ind w:firstLine="28"/>
              <w:jc w:val="center"/>
              <w:rPr>
                <w:rFonts w:ascii="宋体" w:hAnsi="宋体" w:cs="宋体"/>
                <w:color w:val="auto"/>
                <w:sz w:val="21"/>
                <w:szCs w:val="21"/>
              </w:rPr>
            </w:pPr>
            <w:r>
              <w:rPr>
                <w:rFonts w:hint="eastAsia" w:ascii="宋体" w:hAnsi="宋体" w:cs="宋体"/>
                <w:color w:val="auto"/>
                <w:sz w:val="21"/>
                <w:szCs w:val="21"/>
              </w:rPr>
              <w:t>报价</w:t>
            </w:r>
            <w:r>
              <w:rPr>
                <w:rFonts w:ascii="宋体" w:hAnsi="宋体" w:cs="宋体"/>
                <w:color w:val="auto"/>
                <w:sz w:val="21"/>
                <w:szCs w:val="21"/>
              </w:rPr>
              <w:t>4</w:t>
            </w:r>
            <w:r>
              <w:rPr>
                <w:rFonts w:hint="eastAsia" w:ascii="宋体" w:hAnsi="宋体" w:cs="宋体"/>
                <w:color w:val="auto"/>
                <w:sz w:val="21"/>
                <w:szCs w:val="21"/>
              </w:rPr>
              <w:t>0%</w:t>
            </w:r>
          </w:p>
        </w:tc>
        <w:tc>
          <w:tcPr>
            <w:tcW w:w="620" w:type="dxa"/>
            <w:vAlign w:val="center"/>
          </w:tcPr>
          <w:p>
            <w:pPr>
              <w:spacing w:line="360" w:lineRule="auto"/>
              <w:ind w:firstLine="28"/>
              <w:jc w:val="center"/>
              <w:rPr>
                <w:rFonts w:ascii="宋体" w:hAnsi="宋体" w:cs="宋体"/>
                <w:color w:val="auto"/>
                <w:sz w:val="21"/>
                <w:szCs w:val="21"/>
              </w:rPr>
            </w:pPr>
            <w:r>
              <w:rPr>
                <w:rFonts w:ascii="宋体" w:hAnsi="宋体" w:cs="宋体"/>
                <w:color w:val="auto"/>
                <w:sz w:val="21"/>
                <w:szCs w:val="21"/>
              </w:rPr>
              <w:t>4</w:t>
            </w:r>
            <w:r>
              <w:rPr>
                <w:rFonts w:hint="eastAsia" w:ascii="宋体" w:hAnsi="宋体" w:cs="宋体"/>
                <w:color w:val="auto"/>
                <w:sz w:val="21"/>
                <w:szCs w:val="21"/>
              </w:rPr>
              <w:t>0</w:t>
            </w:r>
          </w:p>
        </w:tc>
        <w:tc>
          <w:tcPr>
            <w:tcW w:w="5399" w:type="dxa"/>
            <w:vAlign w:val="center"/>
          </w:tcPr>
          <w:p>
            <w:pPr>
              <w:spacing w:line="360" w:lineRule="auto"/>
              <w:rPr>
                <w:rFonts w:ascii="宋体" w:hAnsi="宋体"/>
                <w:color w:val="auto"/>
                <w:sz w:val="21"/>
                <w:szCs w:val="21"/>
              </w:rPr>
            </w:pPr>
            <w:r>
              <w:rPr>
                <w:rFonts w:hint="eastAsia" w:ascii="宋体" w:hAnsi="宋体"/>
                <w:color w:val="auto"/>
                <w:sz w:val="21"/>
                <w:szCs w:val="21"/>
              </w:rPr>
              <w:t>价格分应当采用低价优先法计算，即满足招标文件要求且投标价格最低的投标报价为评标基准价，其价格分为满分。其他供应商的价格分统一按照下列公式计算：</w:t>
            </w:r>
          </w:p>
          <w:p>
            <w:pPr>
              <w:spacing w:line="360" w:lineRule="auto"/>
              <w:rPr>
                <w:rFonts w:ascii="宋体" w:hAnsi="宋体"/>
                <w:color w:val="auto"/>
                <w:sz w:val="21"/>
                <w:szCs w:val="21"/>
              </w:rPr>
            </w:pPr>
            <w:r>
              <w:rPr>
                <w:rFonts w:hint="eastAsia" w:ascii="宋体" w:hAnsi="宋体"/>
                <w:color w:val="auto"/>
                <w:sz w:val="21"/>
                <w:szCs w:val="21"/>
              </w:rPr>
              <w:t>报价得分＝（评标基准价/投标报价）×</w:t>
            </w:r>
            <w:r>
              <w:rPr>
                <w:rFonts w:ascii="宋体" w:hAnsi="宋体"/>
                <w:color w:val="auto"/>
                <w:sz w:val="21"/>
                <w:szCs w:val="21"/>
              </w:rPr>
              <w:t>4</w:t>
            </w:r>
            <w:r>
              <w:rPr>
                <w:rFonts w:hint="eastAsia" w:ascii="宋体" w:hAnsi="宋体"/>
                <w:color w:val="auto"/>
                <w:sz w:val="21"/>
                <w:szCs w:val="21"/>
              </w:rPr>
              <w:t>0。</w:t>
            </w:r>
          </w:p>
          <w:p>
            <w:pPr>
              <w:spacing w:line="360" w:lineRule="auto"/>
              <w:rPr>
                <w:rFonts w:ascii="宋体" w:hAnsi="宋体" w:cs="宋体"/>
                <w:color w:val="auto"/>
                <w:sz w:val="21"/>
                <w:szCs w:val="21"/>
              </w:rPr>
            </w:pPr>
            <w:r>
              <w:rPr>
                <w:rFonts w:hint="eastAsia" w:ascii="宋体" w:hAnsi="宋体"/>
                <w:color w:val="auto"/>
                <w:sz w:val="21"/>
                <w:szCs w:val="21"/>
              </w:rPr>
              <w:t>注：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tc>
        <w:tc>
          <w:tcPr>
            <w:tcW w:w="1375" w:type="dxa"/>
            <w:vAlign w:val="center"/>
          </w:tcPr>
          <w:p>
            <w:pPr>
              <w:spacing w:line="360" w:lineRule="auto"/>
              <w:ind w:left="-38"/>
              <w:rPr>
                <w:rFonts w:ascii="宋体" w:hAnsi="宋体" w:cs="宋体"/>
                <w:sz w:val="21"/>
                <w:szCs w:val="21"/>
              </w:rPr>
            </w:pPr>
          </w:p>
          <w:p>
            <w:pPr>
              <w:spacing w:line="360" w:lineRule="auto"/>
              <w:jc w:val="center"/>
              <w:rPr>
                <w:rFonts w:ascii="宋体" w:hAnsi="宋体" w:cs="宋体"/>
                <w:sz w:val="21"/>
                <w:szCs w:val="21"/>
              </w:rPr>
            </w:pPr>
            <w:r>
              <w:rPr>
                <w:rFonts w:hint="eastAsia" w:ascii="宋体" w:hAnsi="宋体" w:cs="宋体"/>
                <w:sz w:val="21"/>
                <w:szCs w:val="21"/>
              </w:rPr>
              <w:t>政策性优惠详见下列评审标准备注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460" w:type="dxa"/>
            <w:vAlign w:val="center"/>
          </w:tcPr>
          <w:p>
            <w:pPr>
              <w:spacing w:line="360" w:lineRule="auto"/>
              <w:ind w:firstLine="28"/>
              <w:jc w:val="center"/>
              <w:rPr>
                <w:rFonts w:ascii="宋体" w:hAnsi="宋体" w:cs="宋体"/>
                <w:sz w:val="21"/>
                <w:szCs w:val="21"/>
              </w:rPr>
            </w:pPr>
            <w:r>
              <w:rPr>
                <w:rFonts w:hint="eastAsia" w:ascii="宋体" w:hAnsi="宋体" w:cs="宋体"/>
                <w:sz w:val="21"/>
                <w:szCs w:val="21"/>
              </w:rPr>
              <w:t>2</w:t>
            </w:r>
          </w:p>
        </w:tc>
        <w:tc>
          <w:tcPr>
            <w:tcW w:w="1223" w:type="dxa"/>
            <w:vAlign w:val="center"/>
          </w:tcPr>
          <w:p>
            <w:pPr>
              <w:spacing w:line="360" w:lineRule="auto"/>
              <w:jc w:val="center"/>
              <w:rPr>
                <w:rFonts w:ascii="宋体" w:hAnsi="宋体" w:cs="宋体"/>
                <w:color w:val="auto"/>
                <w:sz w:val="21"/>
                <w:szCs w:val="21"/>
              </w:rPr>
            </w:pPr>
            <w:r>
              <w:rPr>
                <w:rFonts w:hint="eastAsia" w:ascii="宋体" w:hAnsi="宋体" w:cs="宋体"/>
                <w:color w:val="auto"/>
                <w:sz w:val="21"/>
                <w:szCs w:val="21"/>
              </w:rPr>
              <w:t>技术</w:t>
            </w:r>
            <w:r>
              <w:rPr>
                <w:rFonts w:hint="eastAsia" w:ascii="宋体" w:hAnsi="宋体" w:cs="宋体"/>
                <w:color w:val="auto"/>
                <w:sz w:val="21"/>
                <w:szCs w:val="21"/>
                <w:lang w:eastAsia="zh-CN"/>
              </w:rPr>
              <w:t>指标</w:t>
            </w:r>
            <w:r>
              <w:rPr>
                <w:rFonts w:hint="eastAsia" w:ascii="宋体" w:hAnsi="宋体" w:cs="宋体"/>
                <w:color w:val="auto"/>
                <w:sz w:val="21"/>
                <w:szCs w:val="21"/>
                <w:lang w:val="en-US" w:eastAsia="zh-CN"/>
              </w:rPr>
              <w:t>25</w:t>
            </w:r>
            <w:r>
              <w:rPr>
                <w:rFonts w:hint="eastAsia" w:ascii="宋体" w:hAnsi="宋体" w:cs="宋体"/>
                <w:color w:val="auto"/>
                <w:sz w:val="21"/>
                <w:szCs w:val="21"/>
              </w:rPr>
              <w:t>%</w:t>
            </w:r>
          </w:p>
        </w:tc>
        <w:tc>
          <w:tcPr>
            <w:tcW w:w="620" w:type="dxa"/>
            <w:vAlign w:val="center"/>
          </w:tcPr>
          <w:p>
            <w:pPr>
              <w:spacing w:line="360" w:lineRule="auto"/>
              <w:ind w:firstLine="28"/>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25</w:t>
            </w:r>
          </w:p>
        </w:tc>
        <w:tc>
          <w:tcPr>
            <w:tcW w:w="5399" w:type="dxa"/>
          </w:tcPr>
          <w:p>
            <w:pPr>
              <w:spacing w:line="360" w:lineRule="auto"/>
              <w:rPr>
                <w:rFonts w:hint="eastAsia" w:ascii="宋体" w:hAnsi="宋体" w:cs="宋体"/>
                <w:b/>
                <w:bCs/>
                <w:kern w:val="0"/>
                <w:sz w:val="21"/>
                <w:szCs w:val="21"/>
              </w:rPr>
            </w:pPr>
            <w:r>
              <w:rPr>
                <w:rFonts w:hint="eastAsia" w:ascii="宋体" w:hAnsi="宋体" w:cs="宋体"/>
                <w:b/>
                <w:bCs/>
                <w:kern w:val="0"/>
                <w:sz w:val="21"/>
                <w:szCs w:val="21"/>
              </w:rPr>
              <w:t>根据投标人提供所投产品的主要技术指标（参数）的相应的证明材料（包括但不限于产品彩页、测试报告、官网和功能截图等技术支持性文件（资料），经评审专家审定得分。</w:t>
            </w:r>
          </w:p>
          <w:p>
            <w:pPr>
              <w:numPr>
                <w:ilvl w:val="0"/>
                <w:numId w:val="24"/>
              </w:numPr>
              <w:spacing w:line="360" w:lineRule="auto"/>
              <w:rPr>
                <w:rFonts w:hint="eastAsia" w:ascii="宋体" w:hAnsi="宋体" w:cs="宋体"/>
                <w:kern w:val="0"/>
                <w:sz w:val="21"/>
                <w:szCs w:val="21"/>
              </w:rPr>
            </w:pPr>
            <w:r>
              <w:rPr>
                <w:rFonts w:hint="eastAsia" w:ascii="宋体" w:hAnsi="宋体" w:cs="宋体"/>
                <w:kern w:val="0"/>
                <w:sz w:val="21"/>
                <w:szCs w:val="21"/>
              </w:rPr>
              <w:t>基本分（</w:t>
            </w:r>
            <w:r>
              <w:rPr>
                <w:rFonts w:hint="eastAsia" w:ascii="宋体" w:hAnsi="宋体" w:cs="宋体"/>
                <w:kern w:val="0"/>
                <w:sz w:val="21"/>
                <w:szCs w:val="21"/>
                <w:lang w:val="en-US" w:eastAsia="zh-CN"/>
              </w:rPr>
              <w:t>20</w:t>
            </w:r>
            <w:r>
              <w:rPr>
                <w:rFonts w:hint="eastAsia" w:ascii="宋体" w:hAnsi="宋体" w:cs="宋体"/>
                <w:kern w:val="0"/>
                <w:sz w:val="21"/>
                <w:szCs w:val="21"/>
              </w:rPr>
              <w:t>分）：完全符合</w:t>
            </w:r>
            <w:r>
              <w:rPr>
                <w:rFonts w:hint="eastAsia" w:ascii="宋体" w:hAnsi="宋体" w:cs="宋体"/>
                <w:kern w:val="0"/>
                <w:sz w:val="21"/>
                <w:szCs w:val="21"/>
                <w:lang w:eastAsia="zh-CN"/>
              </w:rPr>
              <w:t>公开招标</w:t>
            </w:r>
            <w:r>
              <w:rPr>
                <w:rFonts w:hint="eastAsia" w:ascii="宋体" w:hAnsi="宋体" w:cs="宋体"/>
                <w:kern w:val="0"/>
                <w:sz w:val="21"/>
                <w:szCs w:val="21"/>
              </w:rPr>
              <w:t>文件要求，没有负偏离的得</w:t>
            </w:r>
            <w:r>
              <w:rPr>
                <w:rFonts w:hint="eastAsia" w:ascii="宋体" w:hAnsi="宋体" w:cs="宋体"/>
                <w:kern w:val="0"/>
                <w:sz w:val="21"/>
                <w:szCs w:val="21"/>
                <w:lang w:val="en-US" w:eastAsia="zh-CN"/>
              </w:rPr>
              <w:t>20</w:t>
            </w:r>
            <w:r>
              <w:rPr>
                <w:rFonts w:hint="eastAsia" w:ascii="宋体" w:hAnsi="宋体" w:cs="宋体"/>
                <w:kern w:val="0"/>
                <w:sz w:val="21"/>
                <w:szCs w:val="21"/>
              </w:rPr>
              <w:t>分；</w:t>
            </w:r>
            <w:r>
              <w:rPr>
                <w:rFonts w:hint="eastAsia" w:eastAsia="宋体" w:asciiTheme="minorEastAsia" w:hAnsiTheme="minorEastAsia" w:cstheme="minorEastAsia"/>
                <w:kern w:val="0"/>
                <w:szCs w:val="21"/>
                <w:highlight w:val="none"/>
                <w:lang w:val="en-US" w:eastAsia="zh-CN"/>
              </w:rPr>
              <w:t>★</w:t>
            </w:r>
            <w:r>
              <w:rPr>
                <w:rFonts w:hint="eastAsia" w:ascii="宋体" w:hAnsi="宋体" w:cs="宋体"/>
                <w:kern w:val="0"/>
                <w:sz w:val="21"/>
                <w:szCs w:val="21"/>
              </w:rPr>
              <w:t>技术参数负偏离每项扣</w:t>
            </w:r>
            <w:r>
              <w:rPr>
                <w:rFonts w:hint="eastAsia" w:ascii="宋体" w:hAnsi="宋体" w:cs="宋体"/>
                <w:kern w:val="0"/>
                <w:sz w:val="21"/>
                <w:szCs w:val="21"/>
                <w:lang w:val="en-US" w:eastAsia="zh-CN"/>
              </w:rPr>
              <w:t>2</w:t>
            </w:r>
            <w:r>
              <w:rPr>
                <w:rFonts w:hint="eastAsia" w:ascii="宋体" w:hAnsi="宋体" w:cs="宋体"/>
                <w:kern w:val="0"/>
                <w:sz w:val="21"/>
                <w:szCs w:val="21"/>
              </w:rPr>
              <w:t>分</w:t>
            </w:r>
            <w:r>
              <w:rPr>
                <w:rFonts w:hint="eastAsia" w:ascii="宋体" w:hAnsi="宋体" w:cs="宋体"/>
                <w:kern w:val="0"/>
                <w:sz w:val="21"/>
                <w:szCs w:val="21"/>
                <w:lang w:eastAsia="zh-CN"/>
              </w:rPr>
              <w:t>；非</w:t>
            </w:r>
            <w:r>
              <w:rPr>
                <w:rFonts w:hint="eastAsia" w:eastAsia="宋体" w:asciiTheme="minorEastAsia" w:hAnsiTheme="minorEastAsia" w:cstheme="minorEastAsia"/>
                <w:kern w:val="0"/>
                <w:szCs w:val="21"/>
                <w:highlight w:val="none"/>
                <w:lang w:val="en-US" w:eastAsia="zh-CN"/>
              </w:rPr>
              <w:t>★</w:t>
            </w:r>
            <w:r>
              <w:rPr>
                <w:rFonts w:hint="eastAsia" w:ascii="宋体" w:hAnsi="宋体" w:cs="宋体"/>
                <w:kern w:val="0"/>
                <w:sz w:val="21"/>
                <w:szCs w:val="21"/>
              </w:rPr>
              <w:t>技术参数负偏离每项扣</w:t>
            </w:r>
            <w:r>
              <w:rPr>
                <w:rFonts w:hint="eastAsia" w:ascii="宋体" w:hAnsi="宋体" w:cs="宋体"/>
                <w:kern w:val="0"/>
                <w:sz w:val="21"/>
                <w:szCs w:val="21"/>
                <w:lang w:val="en-US" w:eastAsia="zh-CN"/>
              </w:rPr>
              <w:t>1</w:t>
            </w:r>
            <w:r>
              <w:rPr>
                <w:rFonts w:hint="eastAsia" w:ascii="宋体" w:hAnsi="宋体" w:cs="宋体"/>
                <w:kern w:val="0"/>
                <w:sz w:val="21"/>
                <w:szCs w:val="21"/>
              </w:rPr>
              <w:t>分，扣完为止。</w:t>
            </w:r>
          </w:p>
          <w:p>
            <w:pPr>
              <w:spacing w:line="360" w:lineRule="auto"/>
              <w:rPr>
                <w:rFonts w:ascii="宋体" w:hAnsi="宋体" w:cs="宋体"/>
                <w:color w:val="auto"/>
                <w:sz w:val="21"/>
                <w:szCs w:val="21"/>
              </w:rPr>
            </w:pPr>
            <w:r>
              <w:rPr>
                <w:rFonts w:hint="eastAsia" w:ascii="宋体" w:hAnsi="宋体" w:cs="宋体"/>
                <w:kern w:val="0"/>
                <w:sz w:val="21"/>
                <w:szCs w:val="21"/>
                <w:lang w:val="en-US" w:eastAsia="zh-CN"/>
              </w:rPr>
              <w:t>2、</w:t>
            </w:r>
            <w:r>
              <w:rPr>
                <w:rFonts w:hint="eastAsia" w:ascii="宋体" w:hAnsi="宋体" w:cs="宋体"/>
                <w:kern w:val="0"/>
                <w:sz w:val="21"/>
                <w:szCs w:val="21"/>
              </w:rPr>
              <w:t>加分（最高加5分）：在基本分的基础上，投标产品主要技术指标、参数经评审专家认定优于</w:t>
            </w:r>
            <w:r>
              <w:rPr>
                <w:rFonts w:hint="eastAsia" w:ascii="宋体" w:hAnsi="宋体" w:cs="宋体"/>
                <w:kern w:val="0"/>
                <w:sz w:val="21"/>
                <w:szCs w:val="21"/>
                <w:lang w:eastAsia="zh-CN"/>
              </w:rPr>
              <w:t>公开招标</w:t>
            </w:r>
            <w:r>
              <w:rPr>
                <w:rFonts w:hint="eastAsia" w:ascii="宋体" w:hAnsi="宋体" w:cs="宋体"/>
                <w:kern w:val="0"/>
                <w:sz w:val="21"/>
                <w:szCs w:val="21"/>
              </w:rPr>
              <w:t>文件规定的相应技术指标、参数，并且有实质性能提升的，根据响应程度进行相应加分，参数每有一项优于加1分，正偏离参数最多加5分。优于指标须有佐证材料，否则不予加分。</w:t>
            </w:r>
          </w:p>
        </w:tc>
        <w:tc>
          <w:tcPr>
            <w:tcW w:w="1375" w:type="dxa"/>
            <w:vAlign w:val="center"/>
          </w:tcPr>
          <w:p>
            <w:pPr>
              <w:spacing w:line="360" w:lineRule="auto"/>
              <w:rPr>
                <w:rFonts w:ascii="宋体" w:hAnsi="宋体" w:cs="宋体"/>
                <w:sz w:val="21"/>
                <w:szCs w:val="21"/>
              </w:rPr>
            </w:pPr>
            <w:r>
              <w:rPr>
                <w:rFonts w:hint="eastAsia" w:ascii="宋体" w:hAnsi="宋体" w:eastAsia="宋体" w:cs="宋体"/>
                <w:sz w:val="18"/>
                <w:szCs w:val="18"/>
              </w:rPr>
              <w:t>采购文件要求提供证明材料而未提供或提供的证明材料不符合要求视为负偏离。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dxa"/>
            <w:vAlign w:val="center"/>
          </w:tcPr>
          <w:p>
            <w:pPr>
              <w:spacing w:line="360" w:lineRule="auto"/>
              <w:ind w:firstLine="28"/>
              <w:jc w:val="center"/>
              <w:rPr>
                <w:rFonts w:ascii="宋体" w:hAnsi="宋体" w:cs="宋体"/>
                <w:sz w:val="21"/>
                <w:szCs w:val="21"/>
              </w:rPr>
            </w:pPr>
            <w:r>
              <w:rPr>
                <w:rFonts w:hint="eastAsia" w:ascii="宋体" w:hAnsi="宋体" w:cs="宋体"/>
                <w:sz w:val="21"/>
                <w:szCs w:val="21"/>
              </w:rPr>
              <w:t>3</w:t>
            </w:r>
          </w:p>
        </w:tc>
        <w:tc>
          <w:tcPr>
            <w:tcW w:w="1223" w:type="dxa"/>
            <w:vAlign w:val="center"/>
          </w:tcPr>
          <w:p>
            <w:pPr>
              <w:spacing w:line="360" w:lineRule="auto"/>
              <w:jc w:val="center"/>
              <w:rPr>
                <w:rFonts w:ascii="宋体" w:hAnsi="宋体" w:cs="宋体"/>
                <w:sz w:val="21"/>
                <w:szCs w:val="21"/>
              </w:rPr>
            </w:pPr>
            <w:r>
              <w:rPr>
                <w:rFonts w:hint="eastAsia" w:ascii="宋体" w:hAnsi="宋体" w:cs="宋体"/>
                <w:sz w:val="21"/>
                <w:szCs w:val="21"/>
                <w:lang w:eastAsia="zh-CN"/>
              </w:rPr>
              <w:t>演示</w:t>
            </w:r>
            <w:r>
              <w:rPr>
                <w:rFonts w:hint="eastAsia" w:ascii="宋体" w:hAnsi="宋体" w:cs="宋体"/>
                <w:sz w:val="21"/>
                <w:szCs w:val="21"/>
                <w:lang w:val="en-US" w:eastAsia="zh-CN"/>
              </w:rPr>
              <w:t>15</w:t>
            </w:r>
            <w:r>
              <w:rPr>
                <w:rFonts w:hint="eastAsia" w:ascii="宋体" w:hAnsi="宋体" w:cs="宋体"/>
                <w:sz w:val="21"/>
                <w:szCs w:val="21"/>
              </w:rPr>
              <w:t>%</w:t>
            </w:r>
          </w:p>
        </w:tc>
        <w:tc>
          <w:tcPr>
            <w:tcW w:w="620" w:type="dxa"/>
            <w:vAlign w:val="center"/>
          </w:tcPr>
          <w:p>
            <w:pPr>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w:t>
            </w:r>
          </w:p>
        </w:tc>
        <w:tc>
          <w:tcPr>
            <w:tcW w:w="5399" w:type="dxa"/>
            <w:vAlign w:val="top"/>
          </w:tcPr>
          <w:p>
            <w:pPr>
              <w:numPr>
                <w:ilvl w:val="0"/>
                <w:numId w:val="0"/>
              </w:numPr>
              <w:spacing w:line="360" w:lineRule="auto"/>
              <w:jc w:val="left"/>
              <w:rPr>
                <w:rFonts w:hint="eastAsia"/>
              </w:rPr>
            </w:pPr>
            <w:r>
              <w:rPr>
                <w:rFonts w:hint="eastAsia" w:ascii="宋体" w:hAnsi="宋体" w:cs="Times New Roman"/>
                <w:color w:val="auto"/>
                <w:sz w:val="21"/>
                <w:szCs w:val="21"/>
                <w:lang w:val="en-US" w:eastAsia="zh-CN"/>
              </w:rPr>
              <w:t>对</w:t>
            </w:r>
            <w:r>
              <w:rPr>
                <w:rFonts w:hint="eastAsia" w:ascii="宋体" w:hAnsi="宋体" w:eastAsia="宋体" w:cs="Times New Roman"/>
                <w:color w:val="auto"/>
                <w:sz w:val="21"/>
                <w:szCs w:val="21"/>
              </w:rPr>
              <w:t>技术参数表</w:t>
            </w:r>
            <w:r>
              <w:rPr>
                <w:rFonts w:hint="eastAsia" w:ascii="宋体" w:hAnsi="宋体" w:cs="Times New Roman"/>
                <w:color w:val="auto"/>
                <w:sz w:val="21"/>
                <w:szCs w:val="21"/>
                <w:lang w:eastAsia="zh-CN"/>
              </w:rPr>
              <w:t>要求演示项</w:t>
            </w:r>
            <w:r>
              <w:rPr>
                <w:rFonts w:hint="eastAsia" w:ascii="宋体" w:hAnsi="宋体" w:eastAsia="宋体" w:cs="Times New Roman"/>
                <w:color w:val="auto"/>
                <w:sz w:val="21"/>
                <w:szCs w:val="21"/>
              </w:rPr>
              <w:t>进行现场演示，每成功演示一项功能得</w:t>
            </w:r>
            <w:r>
              <w:rPr>
                <w:rFonts w:hint="eastAsia" w:ascii="宋体" w:hAnsi="宋体" w:eastAsia="宋体" w:cs="Times New Roman"/>
                <w:color w:val="auto"/>
                <w:sz w:val="21"/>
                <w:szCs w:val="21"/>
                <w:lang w:val="en-US" w:eastAsia="zh-CN"/>
              </w:rPr>
              <w:t xml:space="preserve"> </w:t>
            </w:r>
            <w:r>
              <w:rPr>
                <w:rFonts w:hint="eastAsia" w:ascii="宋体" w:hAnsi="宋体" w:cs="Times New Roman"/>
                <w:color w:val="auto"/>
                <w:sz w:val="21"/>
                <w:szCs w:val="21"/>
                <w:lang w:val="en-US" w:eastAsia="zh-CN"/>
              </w:rPr>
              <w:t>1</w:t>
            </w:r>
            <w:r>
              <w:rPr>
                <w:rFonts w:hint="eastAsia" w:ascii="宋体" w:hAnsi="宋体" w:eastAsia="宋体" w:cs="Times New Roman"/>
                <w:color w:val="auto"/>
                <w:sz w:val="21"/>
                <w:szCs w:val="21"/>
              </w:rPr>
              <w:t>分，最多</w:t>
            </w:r>
            <w:r>
              <w:rPr>
                <w:rFonts w:hint="eastAsia" w:ascii="宋体" w:hAnsi="宋体" w:eastAsia="宋体" w:cs="Times New Roman"/>
                <w:color w:val="auto"/>
                <w:sz w:val="21"/>
                <w:szCs w:val="21"/>
                <w:lang w:val="en-US" w:eastAsia="zh-CN"/>
              </w:rPr>
              <w:t>得</w:t>
            </w:r>
            <w:r>
              <w:rPr>
                <w:rFonts w:hint="eastAsia" w:ascii="宋体" w:hAnsi="宋体" w:cs="Times New Roman"/>
                <w:color w:val="auto"/>
                <w:sz w:val="21"/>
                <w:szCs w:val="21"/>
                <w:lang w:val="en-US" w:eastAsia="zh-CN"/>
              </w:rPr>
              <w:t>15</w:t>
            </w:r>
            <w:r>
              <w:rPr>
                <w:rFonts w:hint="eastAsia" w:ascii="宋体" w:hAnsi="宋体" w:eastAsia="宋体" w:cs="Times New Roman"/>
                <w:color w:val="auto"/>
                <w:sz w:val="21"/>
                <w:szCs w:val="21"/>
              </w:rPr>
              <w:t>分。</w:t>
            </w:r>
            <w:r>
              <w:rPr>
                <w:rFonts w:hint="eastAsia" w:ascii="宋体" w:hAnsi="宋体" w:cs="Times New Roman"/>
                <w:color w:val="auto"/>
                <w:sz w:val="21"/>
                <w:szCs w:val="21"/>
                <w:lang w:eastAsia="zh-CN"/>
              </w:rPr>
              <w:t>（</w:t>
            </w:r>
            <w:r>
              <w:rPr>
                <w:rFonts w:hint="eastAsia" w:ascii="宋体" w:hAnsi="宋体" w:cs="Times New Roman"/>
                <w:color w:val="auto"/>
                <w:sz w:val="21"/>
                <w:szCs w:val="21"/>
                <w:lang w:val="en-US" w:eastAsia="zh-CN"/>
              </w:rPr>
              <w:t>不限于实体环境、视频、PPT，如采用视频、PPT等非实体环境演示，每项扣0.5分</w:t>
            </w:r>
            <w:r>
              <w:rPr>
                <w:rFonts w:hint="eastAsia" w:ascii="宋体" w:hAnsi="宋体" w:cs="Times New Roman"/>
                <w:color w:val="auto"/>
                <w:sz w:val="21"/>
                <w:szCs w:val="21"/>
                <w:lang w:eastAsia="zh-CN"/>
              </w:rPr>
              <w:t>），</w:t>
            </w:r>
            <w:r>
              <w:rPr>
                <w:rFonts w:hint="eastAsia" w:ascii="宋体" w:hAnsi="宋体" w:cs="Times New Roman"/>
                <w:color w:val="auto"/>
                <w:sz w:val="21"/>
                <w:szCs w:val="21"/>
                <w:lang w:val="en-US" w:eastAsia="zh-CN"/>
              </w:rPr>
              <w:t>不演示为无效响应。演示项如下</w:t>
            </w:r>
            <w:r>
              <w:rPr>
                <w:rFonts w:hint="eastAsia"/>
              </w:rPr>
              <w:t>。</w:t>
            </w:r>
          </w:p>
          <w:p>
            <w:pPr>
              <w:numPr>
                <w:ilvl w:val="0"/>
                <w:numId w:val="0"/>
              </w:numPr>
              <w:spacing w:line="360" w:lineRule="auto"/>
              <w:jc w:val="left"/>
              <w:rPr>
                <w:rFonts w:hint="eastAsia" w:ascii="Times New Roman" w:hAnsi="Times New Roman" w:cs="Times New Roman"/>
                <w:lang w:val="en-US" w:eastAsia="zh-CN"/>
              </w:rPr>
            </w:pPr>
            <w:r>
              <w:rPr>
                <w:rFonts w:hint="eastAsia" w:ascii="Times New Roman" w:hAnsi="Times New Roman" w:cs="Times New Roman"/>
                <w:lang w:val="en-US" w:eastAsia="zh-CN"/>
              </w:rPr>
              <w:t>1、管理架构模式：系统平台应具有C/S主控端管理和B/S架构的WEB管理双管理架构模式</w:t>
            </w:r>
            <w:r>
              <w:rPr>
                <w:rFonts w:hint="eastAsia" w:cs="Times New Roman"/>
                <w:lang w:val="en-US" w:eastAsia="zh-CN"/>
              </w:rPr>
              <w:t>；</w:t>
            </w:r>
          </w:p>
          <w:p>
            <w:pPr>
              <w:numPr>
                <w:ilvl w:val="0"/>
                <w:numId w:val="0"/>
              </w:numPr>
              <w:spacing w:line="360" w:lineRule="auto"/>
              <w:jc w:val="left"/>
              <w:rPr>
                <w:rFonts w:hint="eastAsia" w:ascii="Times New Roman" w:hAnsi="Times New Roman" w:cs="Times New Roman"/>
                <w:lang w:val="en-US" w:eastAsia="zh-CN"/>
              </w:rPr>
            </w:pPr>
            <w:r>
              <w:rPr>
                <w:rFonts w:hint="eastAsia" w:ascii="Times New Roman" w:hAnsi="Times New Roman" w:cs="Times New Roman"/>
                <w:lang w:val="en-US" w:eastAsia="zh-CN"/>
              </w:rPr>
              <w:t>2、镜像映射与扩容要求：服务器端镜像支持映射模式，支持镜像在服务器端直接映射成系统盘符操作；在镜像空间不足状态下，服务管理端支持镜像一键扩容至实际镜像需求大小，避免重复制作做镜像；</w:t>
            </w:r>
          </w:p>
          <w:p>
            <w:pPr>
              <w:numPr>
                <w:ilvl w:val="0"/>
                <w:numId w:val="0"/>
              </w:numPr>
              <w:spacing w:line="360" w:lineRule="auto"/>
              <w:jc w:val="left"/>
              <w:rPr>
                <w:rFonts w:hint="eastAsia" w:ascii="Times New Roman" w:hAnsi="Times New Roman" w:cs="Times New Roman"/>
                <w:lang w:val="en-US" w:eastAsia="zh-CN"/>
              </w:rPr>
            </w:pPr>
            <w:r>
              <w:rPr>
                <w:rFonts w:hint="eastAsia" w:ascii="Times New Roman" w:hAnsi="Times New Roman" w:cs="Times New Roman"/>
                <w:lang w:val="en-US" w:eastAsia="zh-CN"/>
              </w:rPr>
              <w:t>3、集成管理要求：主管理界面应支持镜像管理、方案管理、任务计划、网络拓扑、群组管理、客户端管理、温度监控报警、资产盘点等基本管理功能；以便于高效管理运维；</w:t>
            </w:r>
          </w:p>
          <w:p>
            <w:pPr>
              <w:numPr>
                <w:ilvl w:val="0"/>
                <w:numId w:val="0"/>
              </w:numPr>
              <w:spacing w:line="360" w:lineRule="auto"/>
              <w:jc w:val="left"/>
              <w:rPr>
                <w:rFonts w:hint="eastAsia" w:ascii="Times New Roman" w:hAnsi="Times New Roman" w:cs="Times New Roman"/>
                <w:lang w:val="en-US" w:eastAsia="zh-CN"/>
              </w:rPr>
            </w:pPr>
            <w:r>
              <w:rPr>
                <w:rFonts w:hint="eastAsia" w:ascii="Times New Roman" w:hAnsi="Times New Roman" w:cs="Times New Roman"/>
                <w:lang w:val="en-US" w:eastAsia="zh-CN"/>
              </w:rPr>
              <w:t>4、网络拓扑要求：为提高客户机镜像缓存速率，管理端通过网络拓扑功能，对进行网络分组客户端只在本虚拟交换机内进行数据交换，提升离线速度，降低P2P种子机的压力；</w:t>
            </w:r>
          </w:p>
          <w:p>
            <w:pPr>
              <w:numPr>
                <w:ilvl w:val="0"/>
                <w:numId w:val="0"/>
              </w:numPr>
              <w:spacing w:line="360" w:lineRule="auto"/>
              <w:jc w:val="left"/>
              <w:rPr>
                <w:rFonts w:hint="eastAsia" w:ascii="Times New Roman" w:hAnsi="Times New Roman" w:cs="Times New Roman"/>
                <w:lang w:val="en-US" w:eastAsia="zh-CN"/>
              </w:rPr>
            </w:pPr>
            <w:r>
              <w:rPr>
                <w:rFonts w:hint="eastAsia" w:ascii="Times New Roman" w:hAnsi="Times New Roman" w:cs="Times New Roman"/>
                <w:lang w:val="en-US" w:eastAsia="zh-CN"/>
              </w:rPr>
              <w:t>5、资产盘点要求：支持手动配置资产盘点表功能，支持资产添加终端类型、品牌、质保期限等相关数据，支持每台电脑添加图片数据并展示出来，展示方式分为列表展示和图标展示两种；</w:t>
            </w:r>
          </w:p>
          <w:p>
            <w:pPr>
              <w:numPr>
                <w:ilvl w:val="0"/>
                <w:numId w:val="0"/>
              </w:numPr>
              <w:spacing w:line="360" w:lineRule="auto"/>
              <w:jc w:val="left"/>
              <w:rPr>
                <w:rFonts w:hint="eastAsia" w:ascii="Times New Roman" w:hAnsi="Times New Roman" w:cs="Times New Roman"/>
                <w:lang w:val="en-US" w:eastAsia="zh-CN"/>
              </w:rPr>
            </w:pPr>
            <w:r>
              <w:rPr>
                <w:rFonts w:hint="eastAsia" w:ascii="Times New Roman" w:hAnsi="Times New Roman" w:cs="Times New Roman"/>
                <w:lang w:val="en-US" w:eastAsia="zh-CN"/>
              </w:rPr>
              <w:t>6、监控报警要求：WEB管理端对全部客户端或单独客户端的CPU\硬盘设置温度临界点。达到温度最高值，管理端会自动提供客户端硬件温度预警；</w:t>
            </w:r>
          </w:p>
          <w:p>
            <w:pPr>
              <w:numPr>
                <w:ilvl w:val="0"/>
                <w:numId w:val="0"/>
              </w:numPr>
              <w:spacing w:line="360" w:lineRule="auto"/>
              <w:jc w:val="left"/>
              <w:rPr>
                <w:rFonts w:hint="eastAsia" w:ascii="Times New Roman" w:hAnsi="Times New Roman" w:cs="Times New Roman"/>
                <w:lang w:val="en-US" w:eastAsia="zh-CN"/>
              </w:rPr>
            </w:pPr>
            <w:r>
              <w:rPr>
                <w:rFonts w:hint="eastAsia" w:ascii="Times New Roman" w:hAnsi="Times New Roman" w:cs="Times New Roman"/>
                <w:lang w:val="en-US" w:eastAsia="zh-CN"/>
              </w:rPr>
              <w:t>7、快照管理要求：支持镜像手动快照和自动快照两个功能模式，便于管理人员和操作员根据自动向导提示逐步完成软件安装操作；</w:t>
            </w:r>
          </w:p>
          <w:p>
            <w:pPr>
              <w:numPr>
                <w:ilvl w:val="0"/>
                <w:numId w:val="0"/>
              </w:numPr>
              <w:spacing w:line="360" w:lineRule="auto"/>
              <w:jc w:val="left"/>
              <w:rPr>
                <w:rFonts w:hint="eastAsia" w:ascii="Times New Roman" w:hAnsi="Times New Roman" w:cs="Times New Roman"/>
                <w:lang w:val="en-US" w:eastAsia="zh-CN"/>
              </w:rPr>
            </w:pPr>
            <w:r>
              <w:rPr>
                <w:rFonts w:hint="eastAsia" w:ascii="Times New Roman" w:hAnsi="Times New Roman" w:cs="Times New Roman"/>
                <w:lang w:val="en-US" w:eastAsia="zh-CN"/>
              </w:rPr>
              <w:t>8、回收菜单项缓存数据：支持对客户端启动菜单节点外缓存数据进行回收，支持监测客户端硬盘真实缓存数据占用空间比例变化；提高硬盘缓存空间</w:t>
            </w:r>
            <w:r>
              <w:rPr>
                <w:rFonts w:hint="eastAsia" w:cs="Times New Roman"/>
                <w:lang w:val="en-US" w:eastAsia="zh-CN"/>
              </w:rPr>
              <w:t>；</w:t>
            </w:r>
          </w:p>
          <w:p>
            <w:pPr>
              <w:numPr>
                <w:ilvl w:val="0"/>
                <w:numId w:val="0"/>
              </w:numPr>
              <w:spacing w:line="360" w:lineRule="auto"/>
              <w:jc w:val="left"/>
              <w:rPr>
                <w:rFonts w:hint="eastAsia" w:ascii="Times New Roman" w:hAnsi="Times New Roman" w:cs="Times New Roman"/>
                <w:lang w:val="en-US" w:eastAsia="zh-CN"/>
              </w:rPr>
            </w:pPr>
            <w:r>
              <w:rPr>
                <w:rFonts w:hint="eastAsia" w:ascii="Times New Roman" w:hAnsi="Times New Roman" w:cs="Times New Roman"/>
                <w:lang w:val="en-US" w:eastAsia="zh-CN"/>
              </w:rPr>
              <w:t>9.提供故障报修功能:用户可以自主申报故障报修，选择故障类型，故障处理等级并可备注。管理员可以直接查看故障申报电脑，故障事件和备注进行处理</w:t>
            </w:r>
            <w:r>
              <w:rPr>
                <w:rFonts w:hint="eastAsia" w:cs="Times New Roman"/>
                <w:lang w:val="en-US" w:eastAsia="zh-CN"/>
              </w:rPr>
              <w:t>；</w:t>
            </w:r>
          </w:p>
          <w:p>
            <w:pPr>
              <w:numPr>
                <w:ilvl w:val="0"/>
                <w:numId w:val="0"/>
              </w:numPr>
              <w:spacing w:line="360" w:lineRule="auto"/>
              <w:jc w:val="left"/>
              <w:rPr>
                <w:rFonts w:hint="eastAsia" w:ascii="Times New Roman" w:hAnsi="Times New Roman" w:cs="Times New Roman"/>
                <w:lang w:val="en-US" w:eastAsia="zh-CN"/>
              </w:rPr>
            </w:pPr>
            <w:r>
              <w:rPr>
                <w:rFonts w:hint="eastAsia" w:ascii="Times New Roman" w:hAnsi="Times New Roman" w:cs="Times New Roman"/>
                <w:lang w:val="en-US" w:eastAsia="zh-CN"/>
              </w:rPr>
              <w:t>10、授权码管理要求：需支持批量设置Windows正版授权码，支持批量激活应用软件系统，简化管理人员的操作配置工作备注</w:t>
            </w:r>
            <w:r>
              <w:rPr>
                <w:rFonts w:hint="eastAsia" w:cs="Times New Roman"/>
                <w:lang w:val="en-US" w:eastAsia="zh-CN"/>
              </w:rPr>
              <w:t>；</w:t>
            </w:r>
          </w:p>
          <w:p>
            <w:pPr>
              <w:numPr>
                <w:ilvl w:val="0"/>
                <w:numId w:val="0"/>
              </w:numPr>
              <w:spacing w:line="360" w:lineRule="auto"/>
              <w:jc w:val="left"/>
              <w:rPr>
                <w:rFonts w:hint="eastAsia" w:ascii="Times New Roman" w:hAnsi="Times New Roman" w:cs="Times New Roman"/>
                <w:lang w:val="en-US" w:eastAsia="zh-CN"/>
              </w:rPr>
            </w:pPr>
            <w:r>
              <w:rPr>
                <w:rFonts w:hint="eastAsia" w:ascii="Times New Roman" w:hAnsi="Times New Roman" w:cs="Times New Roman"/>
                <w:lang w:val="en-US" w:eastAsia="zh-CN"/>
              </w:rPr>
              <w:t>11、私有数据维护功能要求：支持客户终端上的节点在还原状态下都能保留个性化数据，为无法破解的应用软件使用提供便利；</w:t>
            </w:r>
          </w:p>
          <w:p>
            <w:pPr>
              <w:numPr>
                <w:ilvl w:val="0"/>
                <w:numId w:val="0"/>
              </w:numPr>
              <w:spacing w:line="360" w:lineRule="auto"/>
              <w:jc w:val="left"/>
              <w:rPr>
                <w:rFonts w:hint="eastAsia" w:ascii="Times New Roman" w:hAnsi="Times New Roman" w:cs="Times New Roman"/>
                <w:lang w:val="en-US" w:eastAsia="zh-CN"/>
              </w:rPr>
            </w:pPr>
            <w:r>
              <w:rPr>
                <w:rFonts w:hint="eastAsia" w:ascii="Times New Roman" w:hAnsi="Times New Roman" w:cs="Times New Roman"/>
                <w:lang w:val="en-US" w:eastAsia="zh-CN"/>
              </w:rPr>
              <w:t>12、方案管理要求：支持设置课程表和教学桌面系统、考试桌面系统关联等功能，系统将根据排程设定的时间自动切换教学及考试教学方案桌面</w:t>
            </w:r>
            <w:r>
              <w:rPr>
                <w:rFonts w:hint="eastAsia" w:cs="Times New Roman"/>
                <w:lang w:val="en-US" w:eastAsia="zh-CN"/>
              </w:rPr>
              <w:t>；</w:t>
            </w:r>
          </w:p>
          <w:p>
            <w:pPr>
              <w:numPr>
                <w:ilvl w:val="0"/>
                <w:numId w:val="0"/>
              </w:numPr>
              <w:spacing w:line="360" w:lineRule="auto"/>
              <w:jc w:val="left"/>
              <w:rPr>
                <w:rFonts w:hint="eastAsia" w:ascii="Times New Roman" w:hAnsi="Times New Roman" w:cs="Times New Roman"/>
                <w:lang w:val="en-US" w:eastAsia="zh-CN"/>
              </w:rPr>
            </w:pPr>
            <w:r>
              <w:rPr>
                <w:rFonts w:hint="eastAsia" w:ascii="Times New Roman" w:hAnsi="Times New Roman" w:cs="Times New Roman"/>
                <w:lang w:val="en-US" w:eastAsia="zh-CN"/>
              </w:rPr>
              <w:t>13.多镜像多节点缓存，每个镜像支持最少8个快照节点，并通过树状结构展示。支持同一镜像下多快照同时都加入启动菜单，同时离线缓存，可以由终端用户在启动时直接选择不同快照节点切换启动，在断网情况下，多快照节点可以随意切换启动</w:t>
            </w:r>
            <w:r>
              <w:rPr>
                <w:rFonts w:hint="eastAsia" w:cs="Times New Roman"/>
                <w:lang w:val="en-US" w:eastAsia="zh-CN"/>
              </w:rPr>
              <w:t>；</w:t>
            </w:r>
          </w:p>
          <w:p>
            <w:pPr>
              <w:numPr>
                <w:ilvl w:val="0"/>
                <w:numId w:val="0"/>
              </w:numPr>
              <w:spacing w:line="360" w:lineRule="auto"/>
              <w:jc w:val="left"/>
              <w:rPr>
                <w:rFonts w:hint="eastAsia" w:ascii="Times New Roman" w:hAnsi="Times New Roman" w:cs="Times New Roman"/>
                <w:lang w:val="en-US" w:eastAsia="zh-CN"/>
              </w:rPr>
            </w:pPr>
            <w:r>
              <w:rPr>
                <w:rFonts w:hint="eastAsia" w:ascii="Times New Roman" w:hAnsi="Times New Roman" w:cs="Times New Roman"/>
                <w:lang w:val="en-US" w:eastAsia="zh-CN"/>
              </w:rPr>
              <w:t>14、教学镜像隐藏功能：在云终端控制器后台对教学镜像设置后，可实现部分教学镜像任课老师和学生可见，部分镜像（如考试镜像）任课老师和学生不可见，当需要使用的时候，只需一键设置任课老师和学生均可看到镜像，保证重要镜像的安全性</w:t>
            </w:r>
            <w:r>
              <w:rPr>
                <w:rFonts w:hint="eastAsia" w:cs="Times New Roman"/>
                <w:lang w:val="en-US" w:eastAsia="zh-CN"/>
              </w:rPr>
              <w:t>；</w:t>
            </w:r>
          </w:p>
          <w:p>
            <w:pPr>
              <w:numPr>
                <w:ilvl w:val="0"/>
                <w:numId w:val="0"/>
              </w:numPr>
              <w:spacing w:line="360" w:lineRule="auto"/>
              <w:jc w:val="left"/>
              <w:rPr>
                <w:rFonts w:hint="eastAsia"/>
                <w:lang w:eastAsia="zh-CN"/>
              </w:rPr>
            </w:pPr>
            <w:r>
              <w:rPr>
                <w:rFonts w:hint="eastAsia" w:ascii="Times New Roman" w:hAnsi="Times New Roman" w:cs="Times New Roman"/>
                <w:lang w:val="en-US" w:eastAsia="zh-CN"/>
              </w:rPr>
              <w:t>15、远程协助模块:远程协助便于远程协助教师处理软件方面问题操作，远程开关机、快速开关机、重启，格式化硬盘分区，重新缓存，清除缓存，学生机自动时间校对、文件分发等功能</w:t>
            </w:r>
            <w:r>
              <w:rPr>
                <w:rFonts w:hint="eastAsia" w:ascii="Times New Roman" w:hAnsi="Times New Roman" w:cs="Times New Roman"/>
                <w:lang w:eastAsia="zh-CN"/>
              </w:rPr>
              <w:t>。</w:t>
            </w:r>
          </w:p>
        </w:tc>
        <w:tc>
          <w:tcPr>
            <w:tcW w:w="1375" w:type="dxa"/>
            <w:vAlign w:val="center"/>
          </w:tcPr>
          <w:p>
            <w:pPr>
              <w:spacing w:line="360" w:lineRule="auto"/>
              <w:ind w:left="-38"/>
              <w:rPr>
                <w:rFonts w:ascii="宋体" w:hAnsi="宋体" w:cs="宋体"/>
                <w:sz w:val="21"/>
                <w:szCs w:val="21"/>
              </w:rPr>
            </w:pPr>
            <w:r>
              <w:rPr>
                <w:rFonts w:hint="eastAsia" w:ascii="宋体" w:hAnsi="宋体" w:eastAsia="宋体" w:cs="Times New Roman"/>
                <w:color w:val="auto"/>
                <w:sz w:val="21"/>
                <w:szCs w:val="21"/>
                <w:lang w:val="en-US" w:eastAsia="zh-CN"/>
              </w:rPr>
              <w:t>供应商提供演示时间不超过15分钟，演示现场只提供电源，演示所需的其它如：网络环境搭建、各类信号转换、显示设备、线材等自行解决)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460" w:type="dxa"/>
            <w:vMerge w:val="restart"/>
            <w:vAlign w:val="center"/>
          </w:tcPr>
          <w:p>
            <w:pPr>
              <w:spacing w:line="360" w:lineRule="auto"/>
              <w:ind w:firstLine="28"/>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1223" w:type="dxa"/>
            <w:vMerge w:val="restart"/>
            <w:vAlign w:val="center"/>
          </w:tcPr>
          <w:p>
            <w:pPr>
              <w:spacing w:line="360" w:lineRule="auto"/>
              <w:jc w:val="center"/>
              <w:rPr>
                <w:rFonts w:hint="default" w:ascii="宋体" w:hAnsi="宋体" w:cs="宋体"/>
                <w:sz w:val="21"/>
                <w:szCs w:val="21"/>
                <w:lang w:val="en-US" w:eastAsia="zh-CN"/>
              </w:rPr>
            </w:pPr>
            <w:r>
              <w:rPr>
                <w:rFonts w:hint="eastAsia" w:ascii="宋体" w:hAnsi="宋体" w:cs="宋体"/>
                <w:sz w:val="21"/>
                <w:szCs w:val="21"/>
                <w:lang w:eastAsia="zh-CN"/>
              </w:rPr>
              <w:t>质量保证</w:t>
            </w:r>
            <w:r>
              <w:rPr>
                <w:rFonts w:hint="eastAsia" w:ascii="宋体" w:hAnsi="宋体" w:cs="宋体"/>
                <w:sz w:val="21"/>
                <w:szCs w:val="21"/>
                <w:lang w:val="en-US" w:eastAsia="zh-CN"/>
              </w:rPr>
              <w:t>4%</w:t>
            </w:r>
          </w:p>
        </w:tc>
        <w:tc>
          <w:tcPr>
            <w:tcW w:w="620" w:type="dxa"/>
            <w:vAlign w:val="center"/>
          </w:tcPr>
          <w:p>
            <w:pPr>
              <w:spacing w:line="400" w:lineRule="exact"/>
              <w:ind w:firstLine="28"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5399" w:type="dxa"/>
            <w:vAlign w:val="center"/>
          </w:tcPr>
          <w:p>
            <w:pPr>
              <w:spacing w:line="360" w:lineRule="auto"/>
              <w:rPr>
                <w:rFonts w:hint="eastAsia" w:ascii="宋体" w:hAnsi="宋体" w:eastAsia="宋体" w:cs="宋体"/>
                <w:kern w:val="0"/>
                <w:sz w:val="21"/>
                <w:szCs w:val="21"/>
                <w:highlight w:val="none"/>
                <w:lang w:val="en-US" w:eastAsia="zh-CN"/>
              </w:rPr>
            </w:pPr>
            <w:r>
              <w:rPr>
                <w:rFonts w:hint="eastAsia" w:ascii="宋体" w:hAnsi="宋体" w:eastAsia="宋体" w:cs="宋体"/>
                <w:sz w:val="21"/>
                <w:szCs w:val="21"/>
              </w:rPr>
              <w:t>设备进货渠道正规，并能够提供设备说明书等相关资料。质量保证，确保生产供应的设备无假货、水货、翻新货且无产权纠纷，根据投标人提供的证明文件齐全程度，由评委综合比较，证明资料齐全、完整计</w:t>
            </w:r>
            <w:r>
              <w:rPr>
                <w:rFonts w:hint="eastAsia" w:ascii="宋体" w:hAnsi="宋体" w:cs="宋体"/>
                <w:sz w:val="21"/>
                <w:szCs w:val="21"/>
                <w:lang w:val="en-US" w:eastAsia="zh-CN"/>
              </w:rPr>
              <w:t>1.1-2</w:t>
            </w:r>
            <w:r>
              <w:rPr>
                <w:rFonts w:hint="eastAsia" w:ascii="宋体" w:hAnsi="宋体" w:eastAsia="宋体" w:cs="宋体"/>
                <w:sz w:val="21"/>
                <w:szCs w:val="21"/>
              </w:rPr>
              <w:t>分，证明资料欠缺、不完整计0.1-</w:t>
            </w:r>
            <w:r>
              <w:rPr>
                <w:rFonts w:hint="eastAsia" w:ascii="宋体" w:hAnsi="宋体" w:cs="宋体"/>
                <w:sz w:val="21"/>
                <w:szCs w:val="21"/>
                <w:lang w:val="en-US" w:eastAsia="zh-CN"/>
              </w:rPr>
              <w:t>1</w:t>
            </w:r>
            <w:r>
              <w:rPr>
                <w:rFonts w:hint="eastAsia" w:ascii="宋体" w:hAnsi="宋体" w:eastAsia="宋体" w:cs="宋体"/>
                <w:sz w:val="21"/>
                <w:szCs w:val="21"/>
              </w:rPr>
              <w:t>分。</w:t>
            </w:r>
          </w:p>
        </w:tc>
        <w:tc>
          <w:tcPr>
            <w:tcW w:w="1375" w:type="dxa"/>
            <w:vAlign w:val="center"/>
          </w:tcPr>
          <w:p>
            <w:pPr>
              <w:spacing w:line="360" w:lineRule="auto"/>
              <w:ind w:left="-38"/>
              <w:rPr>
                <w:rFonts w:hint="eastAsia" w:ascii="宋体" w:hAnsi="宋体"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460" w:type="dxa"/>
            <w:vMerge w:val="continue"/>
            <w:vAlign w:val="center"/>
          </w:tcPr>
          <w:p>
            <w:pPr>
              <w:spacing w:line="360" w:lineRule="auto"/>
              <w:ind w:firstLine="28"/>
              <w:jc w:val="center"/>
              <w:rPr>
                <w:rFonts w:hint="eastAsia" w:ascii="宋体" w:hAnsi="宋体" w:cs="宋体"/>
                <w:sz w:val="21"/>
                <w:szCs w:val="21"/>
              </w:rPr>
            </w:pPr>
          </w:p>
        </w:tc>
        <w:tc>
          <w:tcPr>
            <w:tcW w:w="1223" w:type="dxa"/>
            <w:vMerge w:val="continue"/>
            <w:vAlign w:val="center"/>
          </w:tcPr>
          <w:p>
            <w:pPr>
              <w:spacing w:line="360" w:lineRule="auto"/>
              <w:jc w:val="center"/>
              <w:rPr>
                <w:rFonts w:hint="eastAsia" w:ascii="宋体" w:hAnsi="宋体" w:cs="宋体"/>
                <w:sz w:val="21"/>
                <w:szCs w:val="21"/>
                <w:lang w:eastAsia="zh-CN"/>
              </w:rPr>
            </w:pPr>
          </w:p>
        </w:tc>
        <w:tc>
          <w:tcPr>
            <w:tcW w:w="620" w:type="dxa"/>
            <w:vAlign w:val="center"/>
          </w:tcPr>
          <w:p>
            <w:pPr>
              <w:spacing w:line="400" w:lineRule="exact"/>
              <w:ind w:firstLine="28"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2</w:t>
            </w:r>
          </w:p>
        </w:tc>
        <w:tc>
          <w:tcPr>
            <w:tcW w:w="5399" w:type="dxa"/>
            <w:vAlign w:val="center"/>
          </w:tcPr>
          <w:p>
            <w:pPr>
              <w:spacing w:line="360" w:lineRule="auto"/>
              <w:rPr>
                <w:rFonts w:hint="eastAsia" w:ascii="宋体" w:hAnsi="宋体" w:eastAsia="宋体" w:cs="宋体"/>
                <w:kern w:val="0"/>
                <w:sz w:val="21"/>
                <w:szCs w:val="21"/>
                <w:highlight w:val="none"/>
                <w:lang w:val="en-US" w:eastAsia="zh-CN"/>
              </w:rPr>
            </w:pPr>
            <w:r>
              <w:rPr>
                <w:rFonts w:hint="eastAsia" w:ascii="宋体" w:hAnsi="宋体" w:eastAsia="宋体" w:cs="宋体"/>
                <w:sz w:val="21"/>
                <w:szCs w:val="21"/>
              </w:rPr>
              <w:t>投标产品为行业主流产品，方便操作，安全可靠，符合使用需求，整体配置具有合理性、一致性、兼容性，产品品牌、型号、产地明确，按其响应程度计0-2分。</w:t>
            </w:r>
          </w:p>
        </w:tc>
        <w:tc>
          <w:tcPr>
            <w:tcW w:w="1375" w:type="dxa"/>
            <w:vAlign w:val="center"/>
          </w:tcPr>
          <w:p>
            <w:pPr>
              <w:spacing w:line="360" w:lineRule="auto"/>
              <w:ind w:left="-38"/>
              <w:rPr>
                <w:rFonts w:hint="eastAsia" w:ascii="宋体" w:hAnsi="宋体"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trPr>
        <w:tc>
          <w:tcPr>
            <w:tcW w:w="460" w:type="dxa"/>
            <w:vMerge w:val="restart"/>
            <w:vAlign w:val="center"/>
          </w:tcPr>
          <w:p>
            <w:pPr>
              <w:spacing w:line="360" w:lineRule="auto"/>
              <w:ind w:firstLine="28"/>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5</w:t>
            </w:r>
          </w:p>
        </w:tc>
        <w:tc>
          <w:tcPr>
            <w:tcW w:w="1223" w:type="dxa"/>
            <w:vMerge w:val="restart"/>
            <w:vAlign w:val="center"/>
          </w:tcPr>
          <w:p>
            <w:pPr>
              <w:spacing w:line="360" w:lineRule="auto"/>
              <w:jc w:val="center"/>
              <w:rPr>
                <w:rFonts w:hint="default" w:ascii="宋体" w:hAnsi="宋体" w:cs="宋体"/>
                <w:sz w:val="21"/>
                <w:szCs w:val="21"/>
                <w:lang w:val="en-US" w:eastAsia="zh-CN"/>
              </w:rPr>
            </w:pPr>
            <w:r>
              <w:rPr>
                <w:rFonts w:hint="eastAsia" w:ascii="宋体" w:hAnsi="宋体" w:cs="宋体"/>
                <w:sz w:val="21"/>
                <w:szCs w:val="21"/>
                <w:lang w:eastAsia="zh-CN"/>
              </w:rPr>
              <w:t>装修方案</w:t>
            </w:r>
            <w:r>
              <w:rPr>
                <w:rFonts w:hint="eastAsia" w:ascii="宋体" w:hAnsi="宋体" w:cs="宋体"/>
                <w:sz w:val="21"/>
                <w:szCs w:val="21"/>
                <w:lang w:val="en-US" w:eastAsia="zh-CN"/>
              </w:rPr>
              <w:t>8%</w:t>
            </w:r>
          </w:p>
        </w:tc>
        <w:tc>
          <w:tcPr>
            <w:tcW w:w="620" w:type="dxa"/>
            <w:vAlign w:val="center"/>
          </w:tcPr>
          <w:p>
            <w:pPr>
              <w:spacing w:line="400" w:lineRule="exact"/>
              <w:ind w:firstLine="28" w:firstLineChars="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装修方案4</w:t>
            </w:r>
          </w:p>
        </w:tc>
        <w:tc>
          <w:tcPr>
            <w:tcW w:w="5399" w:type="dxa"/>
            <w:vAlign w:val="center"/>
          </w:tcPr>
          <w:p>
            <w:pPr>
              <w:spacing w:line="360" w:lineRule="auto"/>
              <w:rPr>
                <w:rFonts w:hint="eastAsia" w:ascii="宋体" w:hAnsi="宋体" w:cs="Times New Roman"/>
                <w:color w:val="auto"/>
                <w:sz w:val="21"/>
                <w:szCs w:val="21"/>
                <w:lang w:eastAsia="zh-CN"/>
              </w:rPr>
            </w:pPr>
            <w:r>
              <w:rPr>
                <w:rFonts w:hint="eastAsia" w:ascii="宋体" w:hAnsi="宋体" w:cs="宋体"/>
                <w:sz w:val="21"/>
                <w:szCs w:val="21"/>
                <w:lang w:eastAsia="zh-CN"/>
              </w:rPr>
              <w:t>根据供应商针对</w:t>
            </w:r>
            <w:r>
              <w:rPr>
                <w:rFonts w:hint="eastAsia" w:ascii="宋体" w:hAnsi="宋体" w:cs="Times New Roman"/>
                <w:color w:val="auto"/>
                <w:sz w:val="21"/>
                <w:szCs w:val="21"/>
                <w:lang w:eastAsia="zh-CN"/>
              </w:rPr>
              <w:t>本项目提供的装修方案，包括项目旧设备拆除方案、项目装修方案、项目验收方案、项目选材情况等内容。</w:t>
            </w:r>
          </w:p>
          <w:p>
            <w:pPr>
              <w:spacing w:line="360" w:lineRule="auto"/>
              <w:rPr>
                <w:rFonts w:hint="eastAsia" w:ascii="宋体" w:hAnsi="宋体" w:eastAsia="宋体" w:cs="宋体"/>
                <w:sz w:val="18"/>
                <w:szCs w:val="18"/>
                <w:lang w:eastAsia="zh-CN"/>
              </w:rPr>
            </w:pPr>
            <w:r>
              <w:rPr>
                <w:rFonts w:hint="eastAsia" w:ascii="宋体" w:hAnsi="宋体" w:cs="Times New Roman"/>
                <w:color w:val="auto"/>
                <w:sz w:val="21"/>
                <w:szCs w:val="21"/>
              </w:rPr>
              <w:t>方案制定内容齐全，各类措施健全，完全满足采购需求并符合本项目实施特点得</w:t>
            </w:r>
            <w:r>
              <w:rPr>
                <w:rFonts w:hint="eastAsia" w:ascii="宋体" w:hAnsi="宋体" w:cs="Times New Roman"/>
                <w:color w:val="auto"/>
                <w:sz w:val="21"/>
                <w:szCs w:val="21"/>
                <w:lang w:val="en-US" w:eastAsia="zh-CN"/>
              </w:rPr>
              <w:t>4</w:t>
            </w:r>
            <w:r>
              <w:rPr>
                <w:rFonts w:hint="eastAsia" w:ascii="宋体" w:hAnsi="宋体" w:cs="Times New Roman"/>
                <w:color w:val="auto"/>
                <w:sz w:val="21"/>
                <w:szCs w:val="21"/>
              </w:rPr>
              <w:t>分；以上方面中每缺少一方面内容扣</w:t>
            </w:r>
            <w:r>
              <w:rPr>
                <w:rFonts w:hint="eastAsia" w:ascii="宋体" w:hAnsi="宋体" w:cs="Times New Roman"/>
                <w:color w:val="auto"/>
                <w:sz w:val="21"/>
                <w:szCs w:val="21"/>
                <w:lang w:val="en-US" w:eastAsia="zh-CN"/>
              </w:rPr>
              <w:t>1</w:t>
            </w:r>
            <w:r>
              <w:rPr>
                <w:rFonts w:hint="eastAsia" w:ascii="宋体" w:hAnsi="宋体" w:cs="Times New Roman"/>
                <w:color w:val="auto"/>
                <w:sz w:val="21"/>
                <w:szCs w:val="21"/>
              </w:rPr>
              <w:t>分；每有一处内容与实际需求不符或不满足要求扣</w:t>
            </w:r>
            <w:r>
              <w:rPr>
                <w:rFonts w:hint="eastAsia" w:ascii="宋体" w:hAnsi="宋体" w:cs="Times New Roman"/>
                <w:color w:val="auto"/>
                <w:sz w:val="21"/>
                <w:szCs w:val="21"/>
                <w:lang w:val="en-US" w:eastAsia="zh-CN"/>
              </w:rPr>
              <w:t>0.1-0.5</w:t>
            </w:r>
            <w:r>
              <w:rPr>
                <w:rFonts w:hint="eastAsia" w:ascii="宋体" w:hAnsi="宋体" w:cs="Times New Roman"/>
                <w:color w:val="auto"/>
                <w:sz w:val="21"/>
                <w:szCs w:val="21"/>
              </w:rPr>
              <w:t>分，扣完为止。</w:t>
            </w:r>
          </w:p>
        </w:tc>
        <w:tc>
          <w:tcPr>
            <w:tcW w:w="1375" w:type="dxa"/>
            <w:vMerge w:val="restart"/>
            <w:vAlign w:val="center"/>
          </w:tcPr>
          <w:p>
            <w:pPr>
              <w:spacing w:line="360" w:lineRule="auto"/>
              <w:ind w:left="-38"/>
              <w:rPr>
                <w:rFonts w:hint="eastAsia" w:ascii="宋体" w:hAnsi="宋体"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trPr>
        <w:tc>
          <w:tcPr>
            <w:tcW w:w="460" w:type="dxa"/>
            <w:vMerge w:val="continue"/>
            <w:vAlign w:val="center"/>
          </w:tcPr>
          <w:p>
            <w:pPr>
              <w:spacing w:line="360" w:lineRule="auto"/>
            </w:pPr>
          </w:p>
        </w:tc>
        <w:tc>
          <w:tcPr>
            <w:tcW w:w="1223" w:type="dxa"/>
            <w:vMerge w:val="continue"/>
            <w:vAlign w:val="center"/>
          </w:tcPr>
          <w:p>
            <w:pPr>
              <w:spacing w:line="360" w:lineRule="auto"/>
            </w:pPr>
          </w:p>
        </w:tc>
        <w:tc>
          <w:tcPr>
            <w:tcW w:w="620" w:type="dxa"/>
            <w:vAlign w:val="center"/>
          </w:tcPr>
          <w:p>
            <w:pPr>
              <w:spacing w:line="360" w:lineRule="auto"/>
              <w:rPr>
                <w:rFonts w:hint="default" w:eastAsia="宋体"/>
                <w:lang w:val="en-US" w:eastAsia="zh-CN"/>
              </w:rPr>
            </w:pPr>
            <w:r>
              <w:rPr>
                <w:rFonts w:hint="eastAsia" w:ascii="宋体" w:hAnsi="宋体" w:cs="宋体"/>
                <w:sz w:val="18"/>
                <w:szCs w:val="18"/>
                <w:lang w:val="en-US" w:eastAsia="zh-CN"/>
              </w:rPr>
              <w:t>文化建设</w:t>
            </w:r>
            <w:r>
              <w:rPr>
                <w:rFonts w:hint="eastAsia"/>
                <w:lang w:val="en-US" w:eastAsia="zh-CN"/>
              </w:rPr>
              <w:t>4%</w:t>
            </w:r>
          </w:p>
        </w:tc>
        <w:tc>
          <w:tcPr>
            <w:tcW w:w="5399" w:type="dxa"/>
            <w:vAlign w:val="center"/>
          </w:tcPr>
          <w:p>
            <w:pPr>
              <w:spacing w:line="360" w:lineRule="auto"/>
              <w:rPr>
                <w:rFonts w:hint="eastAsia" w:ascii="宋体" w:hAnsi="宋体" w:cs="Times New Roman"/>
                <w:color w:val="auto"/>
                <w:sz w:val="21"/>
                <w:szCs w:val="21"/>
              </w:rPr>
            </w:pPr>
            <w:r>
              <w:rPr>
                <w:rFonts w:hint="eastAsia" w:ascii="宋体" w:hAnsi="宋体" w:cs="宋体"/>
                <w:sz w:val="21"/>
                <w:szCs w:val="21"/>
                <w:lang w:eastAsia="zh-CN"/>
              </w:rPr>
              <w:t>根据供应商针对</w:t>
            </w:r>
            <w:r>
              <w:rPr>
                <w:rFonts w:hint="eastAsia" w:ascii="宋体" w:hAnsi="宋体" w:cs="Times New Roman"/>
                <w:color w:val="auto"/>
                <w:sz w:val="21"/>
                <w:szCs w:val="21"/>
                <w:lang w:eastAsia="zh-CN"/>
              </w:rPr>
              <w:t>本项目提供的文化建设方案，结合学院文化特色制定合理方案，方案</w:t>
            </w:r>
            <w:r>
              <w:rPr>
                <w:rFonts w:hint="eastAsia" w:ascii="宋体" w:hAnsi="宋体" w:eastAsia="宋体" w:cs="Times New Roman"/>
                <w:color w:val="auto"/>
                <w:sz w:val="21"/>
                <w:szCs w:val="21"/>
                <w:lang w:eastAsia="zh-CN"/>
              </w:rPr>
              <w:t>内容</w:t>
            </w:r>
            <w:r>
              <w:rPr>
                <w:rFonts w:hint="eastAsia" w:ascii="宋体" w:hAnsi="宋体" w:eastAsia="宋体" w:cs="Times New Roman"/>
                <w:color w:val="auto"/>
                <w:sz w:val="21"/>
                <w:szCs w:val="21"/>
              </w:rPr>
              <w:t>科学合理，针对性强计</w:t>
            </w:r>
            <w:r>
              <w:rPr>
                <w:rFonts w:hint="eastAsia" w:ascii="宋体" w:hAnsi="宋体" w:cs="Times New Roman"/>
                <w:color w:val="auto"/>
                <w:sz w:val="21"/>
                <w:szCs w:val="21"/>
                <w:lang w:val="en-US" w:eastAsia="zh-CN"/>
              </w:rPr>
              <w:t>2.1-4</w:t>
            </w:r>
            <w:r>
              <w:rPr>
                <w:rFonts w:hint="eastAsia" w:ascii="宋体" w:hAnsi="宋体" w:eastAsia="宋体" w:cs="Times New Roman"/>
                <w:color w:val="auto"/>
                <w:sz w:val="21"/>
                <w:szCs w:val="21"/>
              </w:rPr>
              <w:t>分</w:t>
            </w:r>
            <w:r>
              <w:rPr>
                <w:rFonts w:hint="eastAsia" w:ascii="宋体" w:hAnsi="宋体" w:cs="Times New Roman"/>
                <w:color w:val="auto"/>
                <w:sz w:val="21"/>
                <w:szCs w:val="21"/>
                <w:lang w:eastAsia="zh-CN"/>
              </w:rPr>
              <w:t>；</w:t>
            </w:r>
            <w:r>
              <w:rPr>
                <w:rFonts w:hint="eastAsia" w:ascii="宋体" w:hAnsi="宋体" w:eastAsia="宋体" w:cs="Times New Roman"/>
                <w:color w:val="auto"/>
                <w:sz w:val="21"/>
                <w:szCs w:val="21"/>
              </w:rPr>
              <w:t>方案内容</w:t>
            </w:r>
            <w:r>
              <w:rPr>
                <w:rFonts w:hint="eastAsia" w:ascii="宋体" w:hAnsi="宋体" w:eastAsia="宋体" w:cs="Times New Roman"/>
                <w:color w:val="auto"/>
                <w:sz w:val="21"/>
                <w:szCs w:val="21"/>
                <w:lang w:eastAsia="zh-CN"/>
              </w:rPr>
              <w:t>不合理，</w:t>
            </w:r>
            <w:r>
              <w:rPr>
                <w:rFonts w:hint="eastAsia" w:ascii="宋体" w:hAnsi="宋体" w:eastAsia="宋体" w:cs="Times New Roman"/>
                <w:color w:val="auto"/>
                <w:sz w:val="21"/>
                <w:szCs w:val="21"/>
              </w:rPr>
              <w:t>不完整，与实际需求不符，计</w:t>
            </w:r>
            <w:r>
              <w:rPr>
                <w:rFonts w:hint="eastAsia" w:ascii="宋体" w:hAnsi="宋体" w:eastAsia="宋体" w:cs="Times New Roman"/>
                <w:color w:val="auto"/>
                <w:sz w:val="21"/>
                <w:szCs w:val="21"/>
                <w:lang w:val="en-US" w:eastAsia="zh-CN"/>
              </w:rPr>
              <w:t>1-</w:t>
            </w:r>
            <w:r>
              <w:rPr>
                <w:rFonts w:hint="eastAsia" w:ascii="宋体" w:hAnsi="宋体" w:cs="Times New Roman"/>
                <w:color w:val="auto"/>
                <w:sz w:val="21"/>
                <w:szCs w:val="21"/>
                <w:lang w:val="en-US" w:eastAsia="zh-CN"/>
              </w:rPr>
              <w:t>2</w:t>
            </w:r>
            <w:r>
              <w:rPr>
                <w:rFonts w:hint="eastAsia" w:ascii="宋体" w:hAnsi="宋体" w:eastAsia="宋体" w:cs="Times New Roman"/>
                <w:color w:val="auto"/>
                <w:sz w:val="21"/>
                <w:szCs w:val="21"/>
              </w:rPr>
              <w:t>分，未提供不计分。</w:t>
            </w:r>
          </w:p>
        </w:tc>
        <w:tc>
          <w:tcPr>
            <w:tcW w:w="1375" w:type="dxa"/>
            <w:vMerge w:val="continue"/>
            <w:vAlign w:val="center"/>
          </w:tcPr>
          <w:p>
            <w:pPr>
              <w:spacing w:line="360" w:lineRule="auto"/>
              <w:rPr>
                <w:rFonts w:hint="eastAsia" w:ascii="宋体" w:hAnsi="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60" w:type="dxa"/>
            <w:vAlign w:val="center"/>
          </w:tcPr>
          <w:p>
            <w:pPr>
              <w:spacing w:line="360" w:lineRule="auto"/>
              <w:ind w:firstLine="28" w:firstLineChars="0"/>
              <w:jc w:val="center"/>
              <w:rPr>
                <w:rFonts w:hint="eastAsia" w:ascii="宋体" w:hAnsi="宋体" w:eastAsia="宋体" w:cs="宋体"/>
                <w:sz w:val="21"/>
                <w:szCs w:val="21"/>
                <w:lang w:eastAsia="zh-CN"/>
              </w:rPr>
            </w:pPr>
            <w:r>
              <w:rPr>
                <w:rFonts w:hint="eastAsia" w:ascii="宋体" w:hAnsi="宋体" w:cs="宋体"/>
                <w:sz w:val="21"/>
                <w:szCs w:val="21"/>
                <w:lang w:val="en-US" w:eastAsia="zh-CN"/>
              </w:rPr>
              <w:t>6</w:t>
            </w:r>
          </w:p>
        </w:tc>
        <w:tc>
          <w:tcPr>
            <w:tcW w:w="1223" w:type="dxa"/>
            <w:vAlign w:val="center"/>
          </w:tcPr>
          <w:p>
            <w:pPr>
              <w:spacing w:line="360" w:lineRule="auto"/>
              <w:ind w:left="-118" w:leftChars="-56" w:right="-94" w:rightChars="-45"/>
              <w:jc w:val="center"/>
              <w:rPr>
                <w:rFonts w:hint="default" w:ascii="宋体" w:hAnsi="宋体" w:eastAsia="宋体" w:cs="宋体"/>
                <w:sz w:val="21"/>
                <w:szCs w:val="21"/>
                <w:lang w:val="en-US" w:eastAsia="zh-CN"/>
              </w:rPr>
            </w:pPr>
            <w:r>
              <w:rPr>
                <w:rFonts w:hint="eastAsia" w:ascii="宋体" w:hAnsi="宋体" w:cs="宋体"/>
                <w:color w:val="000000"/>
                <w:sz w:val="21"/>
                <w:szCs w:val="21"/>
                <w:lang w:eastAsia="zh-CN"/>
              </w:rPr>
              <w:t>售后服务</w:t>
            </w:r>
            <w:r>
              <w:rPr>
                <w:rFonts w:hint="eastAsia" w:ascii="宋体" w:hAnsi="宋体" w:cs="宋体"/>
                <w:color w:val="000000"/>
                <w:sz w:val="21"/>
                <w:szCs w:val="21"/>
                <w:lang w:val="en-US" w:eastAsia="zh-CN"/>
              </w:rPr>
              <w:t>3%</w:t>
            </w:r>
          </w:p>
        </w:tc>
        <w:tc>
          <w:tcPr>
            <w:tcW w:w="620" w:type="dxa"/>
            <w:vAlign w:val="center"/>
          </w:tcPr>
          <w:p>
            <w:pPr>
              <w:spacing w:line="360" w:lineRule="auto"/>
              <w:ind w:left="-118" w:leftChars="-56" w:right="-94" w:rightChars="-45"/>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3</w:t>
            </w:r>
          </w:p>
        </w:tc>
        <w:tc>
          <w:tcPr>
            <w:tcW w:w="5399" w:type="dxa"/>
            <w:vAlign w:val="center"/>
          </w:tcPr>
          <w:p>
            <w:pPr>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针对本项目有完整的售后服务方案及质保期外的质量保证和供应措施，制订了本地化服务的承诺和应急方案（提供有效的办公场所证明），明确了售后服务人员，有售后服务的优惠条件，有相应的物力、人力保障，能够保证产、供、销、售后服务正常运转，有详细的在设备发生不同类型故障后的到达现场时间、解决故障时间、补救措施等方面的措施或方案，同时具有明确的承诺且符合实际需求，提供详细的售后服务方案及售后服务承诺等，方案充实详细、有质量保证承诺，计</w:t>
            </w:r>
            <w:r>
              <w:rPr>
                <w:rFonts w:hint="eastAsia" w:ascii="宋体" w:hAnsi="宋体" w:cs="Times New Roman"/>
                <w:color w:val="auto"/>
                <w:sz w:val="21"/>
                <w:szCs w:val="21"/>
                <w:lang w:val="en-US" w:eastAsia="zh-CN"/>
              </w:rPr>
              <w:t>2.1-3</w:t>
            </w:r>
            <w:r>
              <w:rPr>
                <w:rFonts w:hint="eastAsia" w:ascii="宋体" w:hAnsi="宋体" w:eastAsia="宋体" w:cs="Times New Roman"/>
                <w:color w:val="auto"/>
                <w:sz w:val="21"/>
                <w:szCs w:val="21"/>
              </w:rPr>
              <w:t>分</w:t>
            </w:r>
            <w:r>
              <w:rPr>
                <w:rFonts w:hint="eastAsia" w:ascii="宋体" w:hAnsi="宋体" w:cs="Times New Roman"/>
                <w:color w:val="auto"/>
                <w:sz w:val="21"/>
                <w:szCs w:val="21"/>
                <w:lang w:eastAsia="zh-CN"/>
              </w:rPr>
              <w:t>；</w:t>
            </w:r>
            <w:r>
              <w:rPr>
                <w:rFonts w:hint="eastAsia" w:ascii="宋体" w:hAnsi="宋体" w:eastAsia="宋体" w:cs="Times New Roman"/>
                <w:color w:val="auto"/>
                <w:sz w:val="21"/>
                <w:szCs w:val="21"/>
              </w:rPr>
              <w:t>售后服务方案不完整，没有针对本项目的售后服务承诺和具体措施，计</w:t>
            </w:r>
            <w:r>
              <w:rPr>
                <w:rFonts w:hint="eastAsia" w:ascii="宋体" w:hAnsi="宋体" w:eastAsia="宋体" w:cs="Times New Roman"/>
                <w:color w:val="auto"/>
                <w:sz w:val="21"/>
                <w:szCs w:val="21"/>
                <w:lang w:val="en-US" w:eastAsia="zh-CN"/>
              </w:rPr>
              <w:t>1-</w:t>
            </w:r>
            <w:r>
              <w:rPr>
                <w:rFonts w:hint="eastAsia" w:ascii="宋体" w:hAnsi="宋体" w:cs="Times New Roman"/>
                <w:color w:val="auto"/>
                <w:sz w:val="21"/>
                <w:szCs w:val="21"/>
                <w:lang w:val="en-US" w:eastAsia="zh-CN"/>
              </w:rPr>
              <w:t>2</w:t>
            </w:r>
            <w:r>
              <w:rPr>
                <w:rFonts w:hint="eastAsia" w:ascii="宋体" w:hAnsi="宋体" w:eastAsia="宋体" w:cs="Times New Roman"/>
                <w:color w:val="auto"/>
                <w:sz w:val="21"/>
                <w:szCs w:val="21"/>
              </w:rPr>
              <w:t>分；没有售后服务方案不得分。</w:t>
            </w:r>
          </w:p>
        </w:tc>
        <w:tc>
          <w:tcPr>
            <w:tcW w:w="1375" w:type="dxa"/>
            <w:vAlign w:val="center"/>
          </w:tcPr>
          <w:p>
            <w:pPr>
              <w:spacing w:line="360" w:lineRule="auto"/>
              <w:ind w:left="-38"/>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4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 w:firstLineChars="0"/>
              <w:jc w:val="center"/>
              <w:rPr>
                <w:rFonts w:hint="eastAsia" w:ascii="宋体" w:hAnsi="宋体" w:eastAsia="宋体" w:cs="宋体"/>
                <w:sz w:val="21"/>
                <w:szCs w:val="21"/>
                <w:lang w:eastAsia="zh-CN"/>
              </w:rPr>
            </w:pPr>
            <w:r>
              <w:rPr>
                <w:rFonts w:hint="eastAsia" w:ascii="宋体" w:hAnsi="宋体" w:cs="宋体"/>
                <w:sz w:val="21"/>
                <w:szCs w:val="21"/>
                <w:lang w:val="en-US" w:eastAsia="zh-CN"/>
              </w:rPr>
              <w:t>7</w:t>
            </w:r>
          </w:p>
        </w:tc>
        <w:tc>
          <w:tcPr>
            <w:tcW w:w="12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1"/>
                <w:szCs w:val="21"/>
              </w:rPr>
            </w:pPr>
            <w:r>
              <w:rPr>
                <w:rFonts w:hint="eastAsia" w:ascii="宋体" w:hAnsi="宋体" w:cs="宋体"/>
                <w:sz w:val="21"/>
                <w:szCs w:val="21"/>
              </w:rPr>
              <w:t>培训方案</w:t>
            </w:r>
            <w:r>
              <w:rPr>
                <w:rFonts w:hint="eastAsia" w:ascii="宋体" w:hAnsi="宋体" w:cs="宋体"/>
                <w:sz w:val="21"/>
                <w:szCs w:val="21"/>
                <w:lang w:val="en-US" w:eastAsia="zh-CN"/>
              </w:rPr>
              <w:t>3</w:t>
            </w:r>
            <w:r>
              <w:rPr>
                <w:rFonts w:hint="eastAsia" w:ascii="宋体" w:hAnsi="宋体" w:cs="宋体"/>
                <w:sz w:val="21"/>
                <w:szCs w:val="21"/>
              </w:rPr>
              <w:t>%</w:t>
            </w:r>
          </w:p>
        </w:tc>
        <w:tc>
          <w:tcPr>
            <w:tcW w:w="6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3</w:t>
            </w:r>
          </w:p>
        </w:tc>
        <w:tc>
          <w:tcPr>
            <w:tcW w:w="539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根据供应商提供的培训方案及培训效果保证措施等进行综合评分，培训采购人指定的技术人员和管理人员，制定培训课程计划表，列出每种培训的地点和时间、培训的内容、方式、次数等，培训内容应包括所提供产品的原理和技术性能、操作维护方法、安装调试、排除故障等各个方面，培训的具体日期及人数由使用单位确定。培训方案明确，方案完善、科学合理，针对性强、服务承诺明确，计</w:t>
            </w:r>
            <w:r>
              <w:rPr>
                <w:rFonts w:hint="eastAsia" w:ascii="宋体" w:hAnsi="宋体" w:cs="Times New Roman"/>
                <w:color w:val="auto"/>
                <w:sz w:val="21"/>
                <w:szCs w:val="21"/>
                <w:lang w:val="en-US" w:eastAsia="zh-CN"/>
              </w:rPr>
              <w:t>2.1-3</w:t>
            </w:r>
            <w:r>
              <w:rPr>
                <w:rFonts w:hint="eastAsia" w:ascii="宋体" w:hAnsi="宋体" w:eastAsia="宋体" w:cs="Times New Roman"/>
                <w:color w:val="auto"/>
                <w:sz w:val="21"/>
                <w:szCs w:val="21"/>
              </w:rPr>
              <w:t>分</w:t>
            </w:r>
            <w:r>
              <w:rPr>
                <w:rFonts w:hint="eastAsia" w:ascii="宋体" w:hAnsi="宋体" w:cs="Times New Roman"/>
                <w:color w:val="auto"/>
                <w:sz w:val="21"/>
                <w:szCs w:val="21"/>
                <w:lang w:eastAsia="zh-CN"/>
              </w:rPr>
              <w:t>；</w:t>
            </w:r>
            <w:r>
              <w:rPr>
                <w:rFonts w:hint="eastAsia" w:ascii="宋体" w:hAnsi="宋体" w:eastAsia="宋体" w:cs="Times New Roman"/>
                <w:color w:val="auto"/>
                <w:sz w:val="21"/>
                <w:szCs w:val="21"/>
              </w:rPr>
              <w:t>方案内容不完整，响应有缺项，与实际需求不符，计</w:t>
            </w:r>
            <w:r>
              <w:rPr>
                <w:rFonts w:hint="eastAsia" w:ascii="宋体" w:hAnsi="宋体" w:eastAsia="宋体" w:cs="Times New Roman"/>
                <w:color w:val="auto"/>
                <w:sz w:val="21"/>
                <w:szCs w:val="21"/>
                <w:lang w:val="en-US" w:eastAsia="zh-CN"/>
              </w:rPr>
              <w:t>1-</w:t>
            </w:r>
            <w:r>
              <w:rPr>
                <w:rFonts w:hint="eastAsia" w:ascii="宋体" w:hAnsi="宋体" w:cs="Times New Roman"/>
                <w:color w:val="auto"/>
                <w:sz w:val="21"/>
                <w:szCs w:val="21"/>
                <w:lang w:val="en-US" w:eastAsia="zh-CN"/>
              </w:rPr>
              <w:t>2</w:t>
            </w:r>
            <w:r>
              <w:rPr>
                <w:rFonts w:hint="eastAsia" w:ascii="宋体" w:hAnsi="宋体" w:eastAsia="宋体" w:cs="Times New Roman"/>
                <w:color w:val="auto"/>
                <w:sz w:val="21"/>
                <w:szCs w:val="21"/>
              </w:rPr>
              <w:t>分，未提供不计分。</w:t>
            </w:r>
          </w:p>
        </w:tc>
        <w:tc>
          <w:tcPr>
            <w:tcW w:w="1375" w:type="dxa"/>
            <w:tcBorders>
              <w:top w:val="single" w:color="auto" w:sz="4" w:space="0"/>
              <w:left w:val="single" w:color="auto" w:sz="4" w:space="0"/>
              <w:bottom w:val="single" w:color="auto" w:sz="4" w:space="0"/>
              <w:right w:val="single" w:color="auto" w:sz="4" w:space="0"/>
            </w:tcBorders>
            <w:vAlign w:val="center"/>
          </w:tcPr>
          <w:p>
            <w:pPr>
              <w:spacing w:line="360" w:lineRule="auto"/>
              <w:ind w:left="-38"/>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4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8</w:t>
            </w:r>
          </w:p>
        </w:tc>
        <w:tc>
          <w:tcPr>
            <w:tcW w:w="12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1"/>
                <w:szCs w:val="21"/>
              </w:rPr>
            </w:pPr>
            <w:r>
              <w:rPr>
                <w:rFonts w:hint="eastAsia" w:ascii="宋体" w:hAnsi="宋体" w:cs="宋体"/>
                <w:sz w:val="21"/>
                <w:szCs w:val="21"/>
              </w:rPr>
              <w:t>业绩</w:t>
            </w:r>
            <w:r>
              <w:rPr>
                <w:rFonts w:hint="eastAsia" w:ascii="宋体" w:hAnsi="宋体" w:cs="宋体"/>
                <w:sz w:val="21"/>
                <w:szCs w:val="21"/>
                <w:lang w:val="en-US" w:eastAsia="zh-CN"/>
              </w:rPr>
              <w:t>2</w:t>
            </w:r>
            <w:r>
              <w:rPr>
                <w:rFonts w:hint="eastAsia" w:ascii="宋体" w:hAnsi="宋体" w:cs="宋体"/>
                <w:sz w:val="21"/>
                <w:szCs w:val="21"/>
              </w:rPr>
              <w:t>%</w:t>
            </w:r>
          </w:p>
        </w:tc>
        <w:tc>
          <w:tcPr>
            <w:tcW w:w="62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539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投标人提供的2019年1月1日至今所投同类业绩（以合同签订日期为准，到达最终用户，仅限投标人本身，提供完整合同复印件</w:t>
            </w:r>
            <w:r>
              <w:rPr>
                <w:rFonts w:hint="eastAsia" w:ascii="宋体" w:hAnsi="宋体" w:eastAsia="宋体" w:cs="Times New Roman"/>
                <w:color w:val="auto"/>
                <w:sz w:val="21"/>
                <w:szCs w:val="21"/>
                <w:lang w:eastAsia="zh-CN"/>
              </w:rPr>
              <w:t>、中标通知书和中标公告截图同时具备为一份有效业绩</w:t>
            </w:r>
            <w:r>
              <w:rPr>
                <w:rFonts w:hint="eastAsia" w:ascii="宋体" w:hAnsi="宋体" w:eastAsia="宋体" w:cs="Times New Roman"/>
                <w:color w:val="auto"/>
                <w:sz w:val="21"/>
                <w:szCs w:val="21"/>
              </w:rPr>
              <w:t>）进行评定，每份计1分，最高计</w:t>
            </w:r>
            <w:r>
              <w:rPr>
                <w:rFonts w:hint="eastAsia" w:ascii="宋体" w:hAnsi="宋体" w:cs="Times New Roman"/>
                <w:color w:val="auto"/>
                <w:sz w:val="21"/>
                <w:szCs w:val="21"/>
                <w:lang w:val="en-US" w:eastAsia="zh-CN"/>
              </w:rPr>
              <w:t>2</w:t>
            </w:r>
            <w:r>
              <w:rPr>
                <w:rFonts w:hint="eastAsia" w:ascii="宋体" w:hAnsi="宋体" w:eastAsia="宋体" w:cs="Times New Roman"/>
                <w:color w:val="auto"/>
                <w:sz w:val="21"/>
                <w:szCs w:val="21"/>
              </w:rPr>
              <w:t>分。</w:t>
            </w:r>
          </w:p>
        </w:tc>
        <w:tc>
          <w:tcPr>
            <w:tcW w:w="1375" w:type="dxa"/>
            <w:tcBorders>
              <w:top w:val="single" w:color="auto" w:sz="4" w:space="0"/>
              <w:left w:val="single" w:color="auto" w:sz="4" w:space="0"/>
              <w:bottom w:val="single" w:color="auto" w:sz="4" w:space="0"/>
              <w:right w:val="single" w:color="auto" w:sz="4" w:space="0"/>
            </w:tcBorders>
            <w:vAlign w:val="center"/>
          </w:tcPr>
          <w:p>
            <w:pPr>
              <w:spacing w:line="360" w:lineRule="auto"/>
              <w:ind w:left="-38" w:leftChars="0"/>
              <w:rPr>
                <w:rFonts w:ascii="宋体" w:hAnsi="宋体" w:cs="宋体"/>
                <w:sz w:val="21"/>
                <w:szCs w:val="21"/>
              </w:rPr>
            </w:pPr>
            <w:r>
              <w:rPr>
                <w:rFonts w:hint="eastAsia" w:ascii="宋体" w:hAnsi="宋体" w:cs="宋体"/>
                <w:sz w:val="21"/>
                <w:szCs w:val="21"/>
              </w:rPr>
              <w:t>（原件开标现场携带备查）</w:t>
            </w:r>
          </w:p>
        </w:tc>
      </w:tr>
    </w:tbl>
    <w:p>
      <w:pPr>
        <w:spacing w:line="500" w:lineRule="exact"/>
        <w:ind w:firstLine="560" w:firstLineChars="200"/>
        <w:outlineLvl w:val="3"/>
        <w:rPr>
          <w:rFonts w:hint="eastAsia"/>
          <w:sz w:val="28"/>
          <w:szCs w:val="28"/>
          <w:lang w:eastAsia="zh-CN"/>
        </w:rPr>
        <w:sectPr>
          <w:pgSz w:w="11906" w:h="16838"/>
          <w:pgMar w:top="1440" w:right="1803" w:bottom="1440" w:left="1803" w:header="851" w:footer="992" w:gutter="0"/>
          <w:pgNumType w:fmt="decimal"/>
          <w:cols w:space="720" w:num="1"/>
          <w:docGrid w:type="lines" w:linePitch="319" w:charSpace="0"/>
        </w:sectPr>
      </w:pPr>
    </w:p>
    <w:p>
      <w:pPr>
        <w:spacing w:line="500" w:lineRule="exact"/>
        <w:ind w:firstLine="560" w:firstLineChars="200"/>
        <w:outlineLvl w:val="3"/>
        <w:rPr>
          <w:rFonts w:ascii="宋体" w:hAnsi="宋体" w:cs="宋体"/>
          <w:sz w:val="24"/>
          <w:szCs w:val="24"/>
        </w:rPr>
      </w:pPr>
      <w:r>
        <w:rPr>
          <w:rFonts w:hint="eastAsia"/>
          <w:sz w:val="28"/>
          <w:szCs w:val="28"/>
          <w:lang w:eastAsia="zh-CN"/>
        </w:rPr>
        <w:t>合同包</w:t>
      </w:r>
      <w:r>
        <w:rPr>
          <w:rFonts w:hint="eastAsia"/>
          <w:sz w:val="28"/>
          <w:szCs w:val="28"/>
          <w:lang w:val="en-US" w:eastAsia="zh-CN"/>
        </w:rPr>
        <w:t>3</w:t>
      </w:r>
    </w:p>
    <w:tbl>
      <w:tblPr>
        <w:tblStyle w:val="29"/>
        <w:tblW w:w="9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223"/>
        <w:gridCol w:w="620"/>
        <w:gridCol w:w="5399"/>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60" w:type="dxa"/>
            <w:vAlign w:val="center"/>
          </w:tcPr>
          <w:p>
            <w:pPr>
              <w:spacing w:line="360" w:lineRule="auto"/>
              <w:rPr>
                <w:rFonts w:ascii="宋体" w:hAnsi="宋体" w:cs="宋体"/>
                <w:b/>
                <w:bCs/>
                <w:sz w:val="21"/>
                <w:szCs w:val="21"/>
              </w:rPr>
            </w:pPr>
            <w:r>
              <w:rPr>
                <w:rFonts w:hint="eastAsia" w:ascii="宋体" w:hAnsi="宋体" w:cs="宋体"/>
                <w:b/>
                <w:bCs/>
                <w:sz w:val="21"/>
                <w:szCs w:val="21"/>
              </w:rPr>
              <w:t>序号</w:t>
            </w:r>
          </w:p>
        </w:tc>
        <w:tc>
          <w:tcPr>
            <w:tcW w:w="1223" w:type="dxa"/>
            <w:vAlign w:val="center"/>
          </w:tcPr>
          <w:p>
            <w:pPr>
              <w:spacing w:line="360" w:lineRule="auto"/>
              <w:ind w:firstLine="28"/>
              <w:rPr>
                <w:rFonts w:ascii="宋体" w:hAnsi="宋体" w:cs="宋体"/>
                <w:b/>
                <w:bCs/>
                <w:sz w:val="21"/>
                <w:szCs w:val="21"/>
              </w:rPr>
            </w:pPr>
            <w:r>
              <w:rPr>
                <w:rFonts w:hint="eastAsia" w:ascii="宋体" w:hAnsi="宋体" w:cs="宋体"/>
                <w:b/>
                <w:bCs/>
                <w:sz w:val="21"/>
                <w:szCs w:val="21"/>
              </w:rPr>
              <w:t>评分因素及权重</w:t>
            </w:r>
          </w:p>
        </w:tc>
        <w:tc>
          <w:tcPr>
            <w:tcW w:w="620" w:type="dxa"/>
            <w:vAlign w:val="center"/>
          </w:tcPr>
          <w:p>
            <w:pPr>
              <w:spacing w:line="360" w:lineRule="auto"/>
              <w:ind w:firstLine="28"/>
              <w:jc w:val="center"/>
              <w:rPr>
                <w:rFonts w:ascii="宋体" w:hAnsi="宋体" w:cs="宋体"/>
                <w:b/>
                <w:bCs/>
                <w:sz w:val="21"/>
                <w:szCs w:val="21"/>
              </w:rPr>
            </w:pPr>
            <w:r>
              <w:rPr>
                <w:rFonts w:hint="eastAsia" w:ascii="宋体" w:hAnsi="宋体" w:cs="宋体"/>
                <w:b/>
                <w:bCs/>
                <w:sz w:val="21"/>
                <w:szCs w:val="21"/>
              </w:rPr>
              <w:t>分值</w:t>
            </w:r>
          </w:p>
        </w:tc>
        <w:tc>
          <w:tcPr>
            <w:tcW w:w="5399" w:type="dxa"/>
            <w:vAlign w:val="center"/>
          </w:tcPr>
          <w:p>
            <w:pPr>
              <w:spacing w:line="360" w:lineRule="auto"/>
              <w:ind w:firstLine="28"/>
              <w:jc w:val="center"/>
              <w:rPr>
                <w:rFonts w:ascii="宋体" w:hAnsi="宋体" w:cs="宋体"/>
                <w:b/>
                <w:bCs/>
                <w:sz w:val="21"/>
                <w:szCs w:val="21"/>
              </w:rPr>
            </w:pPr>
            <w:r>
              <w:rPr>
                <w:rFonts w:hint="eastAsia" w:ascii="宋体" w:hAnsi="宋体" w:cs="宋体"/>
                <w:b/>
                <w:bCs/>
                <w:sz w:val="21"/>
                <w:szCs w:val="21"/>
              </w:rPr>
              <w:t>评分标准</w:t>
            </w:r>
          </w:p>
        </w:tc>
        <w:tc>
          <w:tcPr>
            <w:tcW w:w="1375" w:type="dxa"/>
            <w:vAlign w:val="center"/>
          </w:tcPr>
          <w:p>
            <w:pPr>
              <w:spacing w:line="360" w:lineRule="auto"/>
              <w:jc w:val="center"/>
              <w:rPr>
                <w:rFonts w:ascii="宋体" w:hAnsi="宋体" w:cs="宋体"/>
                <w:b/>
                <w:bCs/>
                <w:sz w:val="21"/>
                <w:szCs w:val="21"/>
              </w:rPr>
            </w:pPr>
            <w:r>
              <w:rPr>
                <w:rFonts w:hint="eastAsia" w:ascii="宋体" w:hAnsi="宋体" w:cs="宋体"/>
                <w:b/>
                <w:bCs/>
                <w:sz w:val="21"/>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9" w:hRule="atLeast"/>
        </w:trPr>
        <w:tc>
          <w:tcPr>
            <w:tcW w:w="460" w:type="dxa"/>
            <w:vAlign w:val="center"/>
          </w:tcPr>
          <w:p>
            <w:pPr>
              <w:spacing w:line="360" w:lineRule="auto"/>
              <w:ind w:firstLine="28"/>
              <w:jc w:val="center"/>
              <w:rPr>
                <w:rFonts w:ascii="宋体" w:hAnsi="宋体" w:cs="宋体"/>
                <w:sz w:val="21"/>
                <w:szCs w:val="21"/>
              </w:rPr>
            </w:pPr>
            <w:r>
              <w:rPr>
                <w:rFonts w:hint="eastAsia" w:ascii="宋体" w:hAnsi="宋体" w:cs="宋体"/>
                <w:sz w:val="21"/>
                <w:szCs w:val="21"/>
              </w:rPr>
              <w:t>1</w:t>
            </w:r>
          </w:p>
        </w:tc>
        <w:tc>
          <w:tcPr>
            <w:tcW w:w="1223" w:type="dxa"/>
            <w:vAlign w:val="center"/>
          </w:tcPr>
          <w:p>
            <w:pPr>
              <w:spacing w:line="360" w:lineRule="auto"/>
              <w:ind w:firstLine="28"/>
              <w:jc w:val="center"/>
              <w:rPr>
                <w:rFonts w:ascii="宋体" w:hAnsi="宋体" w:cs="宋体"/>
                <w:color w:val="auto"/>
                <w:sz w:val="21"/>
                <w:szCs w:val="21"/>
              </w:rPr>
            </w:pPr>
            <w:r>
              <w:rPr>
                <w:rFonts w:hint="eastAsia" w:ascii="宋体" w:hAnsi="宋体" w:cs="宋体"/>
                <w:color w:val="auto"/>
                <w:sz w:val="21"/>
                <w:szCs w:val="21"/>
              </w:rPr>
              <w:t>报价</w:t>
            </w:r>
            <w:r>
              <w:rPr>
                <w:rFonts w:hint="eastAsia" w:ascii="宋体" w:hAnsi="宋体" w:cs="宋体"/>
                <w:color w:val="auto"/>
                <w:sz w:val="21"/>
                <w:szCs w:val="21"/>
                <w:lang w:val="en-US" w:eastAsia="zh-CN"/>
              </w:rPr>
              <w:t>30</w:t>
            </w:r>
            <w:r>
              <w:rPr>
                <w:rFonts w:hint="eastAsia" w:ascii="宋体" w:hAnsi="宋体" w:cs="宋体"/>
                <w:color w:val="auto"/>
                <w:sz w:val="21"/>
                <w:szCs w:val="21"/>
              </w:rPr>
              <w:t>%</w:t>
            </w:r>
          </w:p>
        </w:tc>
        <w:tc>
          <w:tcPr>
            <w:tcW w:w="620" w:type="dxa"/>
            <w:vAlign w:val="center"/>
          </w:tcPr>
          <w:p>
            <w:pPr>
              <w:spacing w:line="360" w:lineRule="auto"/>
              <w:ind w:firstLine="28"/>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30</w:t>
            </w:r>
          </w:p>
        </w:tc>
        <w:tc>
          <w:tcPr>
            <w:tcW w:w="5399" w:type="dxa"/>
            <w:vAlign w:val="center"/>
          </w:tcPr>
          <w:p>
            <w:pPr>
              <w:spacing w:line="360" w:lineRule="auto"/>
              <w:rPr>
                <w:rFonts w:ascii="宋体" w:hAnsi="宋体"/>
                <w:color w:val="auto"/>
                <w:sz w:val="21"/>
                <w:szCs w:val="21"/>
              </w:rPr>
            </w:pPr>
            <w:r>
              <w:rPr>
                <w:rFonts w:hint="eastAsia" w:ascii="宋体" w:hAnsi="宋体"/>
                <w:color w:val="auto"/>
                <w:sz w:val="21"/>
                <w:szCs w:val="21"/>
              </w:rPr>
              <w:t>价格分应当采用低价优先法计算，即满足招标文件要求且投标价格最低的投标报价为评标基准价，其价格分为满分。其他供应商的价格分统一按照下列公式计算：</w:t>
            </w:r>
          </w:p>
          <w:p>
            <w:pPr>
              <w:spacing w:line="360" w:lineRule="auto"/>
              <w:rPr>
                <w:rFonts w:ascii="宋体" w:hAnsi="宋体"/>
                <w:color w:val="auto"/>
                <w:sz w:val="21"/>
                <w:szCs w:val="21"/>
              </w:rPr>
            </w:pPr>
            <w:r>
              <w:rPr>
                <w:rFonts w:hint="eastAsia" w:ascii="宋体" w:hAnsi="宋体"/>
                <w:color w:val="auto"/>
                <w:sz w:val="21"/>
                <w:szCs w:val="21"/>
              </w:rPr>
              <w:t>报价得分＝（评标基准价/投标报价）×</w:t>
            </w:r>
            <w:r>
              <w:rPr>
                <w:rFonts w:hint="eastAsia" w:ascii="宋体" w:hAnsi="宋体"/>
                <w:color w:val="auto"/>
                <w:sz w:val="21"/>
                <w:szCs w:val="21"/>
                <w:lang w:val="en-US" w:eastAsia="zh-CN"/>
              </w:rPr>
              <w:t>30</w:t>
            </w:r>
            <w:r>
              <w:rPr>
                <w:rFonts w:hint="eastAsia" w:ascii="宋体" w:hAnsi="宋体"/>
                <w:color w:val="auto"/>
                <w:sz w:val="21"/>
                <w:szCs w:val="21"/>
              </w:rPr>
              <w:t>。</w:t>
            </w:r>
          </w:p>
          <w:p>
            <w:pPr>
              <w:spacing w:line="360" w:lineRule="auto"/>
              <w:rPr>
                <w:rFonts w:ascii="宋体" w:hAnsi="宋体" w:cs="宋体"/>
                <w:color w:val="auto"/>
                <w:sz w:val="21"/>
                <w:szCs w:val="21"/>
              </w:rPr>
            </w:pPr>
            <w:r>
              <w:rPr>
                <w:rFonts w:hint="eastAsia" w:ascii="宋体" w:hAnsi="宋体"/>
                <w:color w:val="auto"/>
                <w:sz w:val="21"/>
                <w:szCs w:val="21"/>
              </w:rPr>
              <w:t>注：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tc>
        <w:tc>
          <w:tcPr>
            <w:tcW w:w="1375" w:type="dxa"/>
            <w:vAlign w:val="center"/>
          </w:tcPr>
          <w:p>
            <w:pPr>
              <w:spacing w:line="360" w:lineRule="auto"/>
              <w:ind w:left="-38"/>
              <w:rPr>
                <w:rFonts w:ascii="宋体" w:hAnsi="宋体" w:cs="宋体"/>
                <w:sz w:val="21"/>
                <w:szCs w:val="21"/>
              </w:rPr>
            </w:pPr>
          </w:p>
          <w:p>
            <w:pPr>
              <w:spacing w:line="360" w:lineRule="auto"/>
              <w:jc w:val="center"/>
              <w:rPr>
                <w:rFonts w:ascii="宋体" w:hAnsi="宋体" w:cs="宋体"/>
                <w:sz w:val="21"/>
                <w:szCs w:val="21"/>
              </w:rPr>
            </w:pPr>
            <w:r>
              <w:rPr>
                <w:rFonts w:hint="eastAsia" w:ascii="宋体" w:hAnsi="宋体" w:cs="宋体"/>
                <w:sz w:val="21"/>
                <w:szCs w:val="21"/>
              </w:rPr>
              <w:t>政策性优惠详见下列评审标准备注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460" w:type="dxa"/>
            <w:vAlign w:val="center"/>
          </w:tcPr>
          <w:p>
            <w:pPr>
              <w:spacing w:line="360" w:lineRule="auto"/>
              <w:ind w:firstLine="28"/>
              <w:jc w:val="center"/>
              <w:rPr>
                <w:rFonts w:ascii="宋体" w:hAnsi="宋体" w:cs="宋体"/>
                <w:sz w:val="21"/>
                <w:szCs w:val="21"/>
              </w:rPr>
            </w:pPr>
            <w:r>
              <w:rPr>
                <w:rFonts w:hint="eastAsia" w:ascii="宋体" w:hAnsi="宋体" w:cs="宋体"/>
                <w:sz w:val="21"/>
                <w:szCs w:val="21"/>
              </w:rPr>
              <w:t>2</w:t>
            </w:r>
          </w:p>
        </w:tc>
        <w:tc>
          <w:tcPr>
            <w:tcW w:w="1223" w:type="dxa"/>
            <w:vAlign w:val="center"/>
          </w:tcPr>
          <w:p>
            <w:pPr>
              <w:spacing w:line="360" w:lineRule="auto"/>
              <w:jc w:val="center"/>
              <w:rPr>
                <w:rFonts w:ascii="宋体" w:hAnsi="宋体" w:cs="宋体"/>
                <w:color w:val="auto"/>
                <w:sz w:val="21"/>
                <w:szCs w:val="21"/>
              </w:rPr>
            </w:pPr>
            <w:r>
              <w:rPr>
                <w:rFonts w:hint="eastAsia" w:ascii="宋体" w:hAnsi="宋体" w:cs="宋体"/>
                <w:color w:val="auto"/>
                <w:sz w:val="21"/>
                <w:szCs w:val="21"/>
              </w:rPr>
              <w:t>技术</w:t>
            </w:r>
            <w:r>
              <w:rPr>
                <w:rFonts w:hint="eastAsia" w:ascii="宋体" w:hAnsi="宋体" w:cs="宋体"/>
                <w:color w:val="auto"/>
                <w:sz w:val="21"/>
                <w:szCs w:val="21"/>
                <w:lang w:eastAsia="zh-CN"/>
              </w:rPr>
              <w:t>指标</w:t>
            </w:r>
            <w:r>
              <w:rPr>
                <w:rFonts w:hint="eastAsia" w:ascii="宋体" w:hAnsi="宋体" w:cs="宋体"/>
                <w:color w:val="auto"/>
                <w:sz w:val="21"/>
                <w:szCs w:val="21"/>
                <w:lang w:val="en-US" w:eastAsia="zh-CN"/>
              </w:rPr>
              <w:t>25</w:t>
            </w:r>
            <w:r>
              <w:rPr>
                <w:rFonts w:hint="eastAsia" w:ascii="宋体" w:hAnsi="宋体" w:cs="宋体"/>
                <w:color w:val="auto"/>
                <w:sz w:val="21"/>
                <w:szCs w:val="21"/>
              </w:rPr>
              <w:t>%</w:t>
            </w:r>
          </w:p>
        </w:tc>
        <w:tc>
          <w:tcPr>
            <w:tcW w:w="620" w:type="dxa"/>
            <w:vAlign w:val="center"/>
          </w:tcPr>
          <w:p>
            <w:pPr>
              <w:spacing w:line="360" w:lineRule="auto"/>
              <w:ind w:firstLine="28"/>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25</w:t>
            </w:r>
          </w:p>
        </w:tc>
        <w:tc>
          <w:tcPr>
            <w:tcW w:w="5399" w:type="dxa"/>
          </w:tcPr>
          <w:p>
            <w:pPr>
              <w:spacing w:line="360" w:lineRule="auto"/>
              <w:rPr>
                <w:rFonts w:hint="eastAsia" w:ascii="宋体" w:hAnsi="宋体" w:cs="宋体"/>
                <w:b/>
                <w:bCs/>
                <w:kern w:val="0"/>
                <w:sz w:val="21"/>
                <w:szCs w:val="21"/>
              </w:rPr>
            </w:pPr>
            <w:r>
              <w:rPr>
                <w:rFonts w:hint="eastAsia" w:ascii="宋体" w:hAnsi="宋体" w:cs="宋体"/>
                <w:b/>
                <w:bCs/>
                <w:kern w:val="0"/>
                <w:sz w:val="21"/>
                <w:szCs w:val="21"/>
              </w:rPr>
              <w:t>根据投标人提供所投产品的主要技术指标（参数）的相应的证明材料（包括但不限于产品彩页、测试报告、官网和功能截图等技术支持性文件（资料），经评审专家审定得分。</w:t>
            </w:r>
          </w:p>
          <w:p>
            <w:pPr>
              <w:numPr>
                <w:ilvl w:val="-1"/>
                <w:numId w:val="0"/>
              </w:numPr>
              <w:spacing w:line="360" w:lineRule="auto"/>
              <w:rPr>
                <w:rFonts w:hint="eastAsia" w:ascii="宋体" w:hAnsi="宋体" w:cs="宋体"/>
                <w:kern w:val="0"/>
                <w:sz w:val="21"/>
                <w:szCs w:val="21"/>
              </w:rPr>
            </w:pPr>
            <w:r>
              <w:rPr>
                <w:rFonts w:hint="eastAsia" w:ascii="宋体" w:hAnsi="宋体" w:cs="宋体"/>
                <w:kern w:val="0"/>
                <w:sz w:val="21"/>
                <w:szCs w:val="21"/>
                <w:lang w:val="en-US" w:eastAsia="zh-CN"/>
              </w:rPr>
              <w:t>1、</w:t>
            </w:r>
            <w:r>
              <w:rPr>
                <w:rFonts w:hint="eastAsia" w:ascii="宋体" w:hAnsi="宋体" w:cs="宋体"/>
                <w:kern w:val="0"/>
                <w:sz w:val="21"/>
                <w:szCs w:val="21"/>
              </w:rPr>
              <w:t>基本分（</w:t>
            </w:r>
            <w:r>
              <w:rPr>
                <w:rFonts w:hint="eastAsia" w:ascii="宋体" w:hAnsi="宋体" w:cs="宋体"/>
                <w:kern w:val="0"/>
                <w:sz w:val="21"/>
                <w:szCs w:val="21"/>
                <w:lang w:val="en-US" w:eastAsia="zh-CN"/>
              </w:rPr>
              <w:t>20</w:t>
            </w:r>
            <w:r>
              <w:rPr>
                <w:rFonts w:hint="eastAsia" w:ascii="宋体" w:hAnsi="宋体" w:cs="宋体"/>
                <w:kern w:val="0"/>
                <w:sz w:val="21"/>
                <w:szCs w:val="21"/>
              </w:rPr>
              <w:t>分）：完全符合</w:t>
            </w:r>
            <w:r>
              <w:rPr>
                <w:rFonts w:hint="eastAsia" w:ascii="宋体" w:hAnsi="宋体" w:cs="宋体"/>
                <w:kern w:val="0"/>
                <w:sz w:val="21"/>
                <w:szCs w:val="21"/>
                <w:lang w:eastAsia="zh-CN"/>
              </w:rPr>
              <w:t>公开招标</w:t>
            </w:r>
            <w:r>
              <w:rPr>
                <w:rFonts w:hint="eastAsia" w:ascii="宋体" w:hAnsi="宋体" w:cs="宋体"/>
                <w:kern w:val="0"/>
                <w:sz w:val="21"/>
                <w:szCs w:val="21"/>
              </w:rPr>
              <w:t>文件要求，没有负偏离的得</w:t>
            </w:r>
            <w:r>
              <w:rPr>
                <w:rFonts w:hint="eastAsia" w:ascii="宋体" w:hAnsi="宋体" w:cs="宋体"/>
                <w:kern w:val="0"/>
                <w:sz w:val="21"/>
                <w:szCs w:val="21"/>
                <w:lang w:val="en-US" w:eastAsia="zh-CN"/>
              </w:rPr>
              <w:t>20</w:t>
            </w:r>
            <w:r>
              <w:rPr>
                <w:rFonts w:hint="eastAsia" w:ascii="宋体" w:hAnsi="宋体" w:cs="宋体"/>
                <w:kern w:val="0"/>
                <w:sz w:val="21"/>
                <w:szCs w:val="21"/>
              </w:rPr>
              <w:t>分；技术参数负偏离每项扣1分，扣完为止。</w:t>
            </w:r>
          </w:p>
          <w:p>
            <w:pPr>
              <w:spacing w:line="360" w:lineRule="auto"/>
              <w:rPr>
                <w:rFonts w:ascii="宋体" w:hAnsi="宋体" w:cs="宋体"/>
                <w:color w:val="auto"/>
                <w:sz w:val="21"/>
                <w:szCs w:val="21"/>
              </w:rPr>
            </w:pPr>
            <w:r>
              <w:rPr>
                <w:rFonts w:hint="eastAsia" w:ascii="宋体" w:hAnsi="宋体" w:cs="宋体"/>
                <w:kern w:val="0"/>
                <w:sz w:val="21"/>
                <w:szCs w:val="21"/>
                <w:lang w:val="en-US" w:eastAsia="zh-CN"/>
              </w:rPr>
              <w:t>2、</w:t>
            </w:r>
            <w:r>
              <w:rPr>
                <w:rFonts w:hint="eastAsia" w:ascii="宋体" w:hAnsi="宋体" w:cs="宋体"/>
                <w:kern w:val="0"/>
                <w:sz w:val="21"/>
                <w:szCs w:val="21"/>
              </w:rPr>
              <w:t>加分（最高加5分）：在基本分的基础上，投标产品主要技术指标、参数经评审专家认定优于</w:t>
            </w:r>
            <w:r>
              <w:rPr>
                <w:rFonts w:hint="eastAsia" w:ascii="宋体" w:hAnsi="宋体" w:cs="宋体"/>
                <w:kern w:val="0"/>
                <w:sz w:val="21"/>
                <w:szCs w:val="21"/>
                <w:lang w:eastAsia="zh-CN"/>
              </w:rPr>
              <w:t>公开招标</w:t>
            </w:r>
            <w:r>
              <w:rPr>
                <w:rFonts w:hint="eastAsia" w:ascii="宋体" w:hAnsi="宋体" w:cs="宋体"/>
                <w:kern w:val="0"/>
                <w:sz w:val="21"/>
                <w:szCs w:val="21"/>
              </w:rPr>
              <w:t>文件规定的相应技术指标、参数，并且有实质性能提升的，根据响应程度进行相应加分，参数每有一项优于加1分，正偏离参数最多加5分。优于指标须有佐证材料，否则不予加分。</w:t>
            </w:r>
          </w:p>
        </w:tc>
        <w:tc>
          <w:tcPr>
            <w:tcW w:w="137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trPr>
        <w:tc>
          <w:tcPr>
            <w:tcW w:w="460" w:type="dxa"/>
            <w:vAlign w:val="center"/>
          </w:tcPr>
          <w:p>
            <w:pPr>
              <w:spacing w:line="360" w:lineRule="auto"/>
              <w:ind w:firstLine="28" w:firstLineChars="0"/>
              <w:jc w:val="center"/>
              <w:rPr>
                <w:rFonts w:hint="eastAsia" w:ascii="宋体" w:hAnsi="宋体" w:eastAsia="宋体" w:cs="宋体"/>
                <w:sz w:val="21"/>
                <w:szCs w:val="21"/>
                <w:lang w:eastAsia="zh-CN"/>
              </w:rPr>
            </w:pPr>
            <w:r>
              <w:rPr>
                <w:rFonts w:hint="eastAsia" w:ascii="宋体" w:hAnsi="宋体" w:cs="宋体"/>
                <w:sz w:val="21"/>
                <w:szCs w:val="21"/>
                <w:lang w:val="en-US" w:eastAsia="zh-CN"/>
              </w:rPr>
              <w:t>3</w:t>
            </w:r>
          </w:p>
        </w:tc>
        <w:tc>
          <w:tcPr>
            <w:tcW w:w="1223" w:type="dxa"/>
            <w:vAlign w:val="center"/>
          </w:tcPr>
          <w:p>
            <w:pPr>
              <w:spacing w:line="360" w:lineRule="auto"/>
              <w:ind w:left="0" w:leftChars="0" w:right="0" w:rightChars="0"/>
              <w:jc w:val="left"/>
              <w:rPr>
                <w:rFonts w:hint="eastAsia" w:ascii="宋体" w:hAnsi="宋体" w:eastAsia="宋体" w:cs="Times New Roman"/>
                <w:color w:val="auto"/>
                <w:sz w:val="21"/>
                <w:szCs w:val="21"/>
                <w:lang w:val="en-US" w:eastAsia="zh-CN"/>
              </w:rPr>
            </w:pPr>
            <w:r>
              <w:rPr>
                <w:rFonts w:hint="eastAsia" w:ascii="宋体" w:hAnsi="宋体" w:cs="Times New Roman"/>
                <w:color w:val="auto"/>
                <w:sz w:val="21"/>
                <w:szCs w:val="21"/>
                <w:lang w:eastAsia="zh-CN"/>
              </w:rPr>
              <w:t>售后服务</w:t>
            </w:r>
            <w:r>
              <w:rPr>
                <w:rFonts w:hint="eastAsia" w:ascii="宋体" w:hAnsi="宋体" w:cs="Times New Roman"/>
                <w:color w:val="auto"/>
                <w:sz w:val="21"/>
                <w:szCs w:val="21"/>
                <w:lang w:val="en-US" w:eastAsia="zh-CN"/>
              </w:rPr>
              <w:t>8%</w:t>
            </w:r>
          </w:p>
        </w:tc>
        <w:tc>
          <w:tcPr>
            <w:tcW w:w="620" w:type="dxa"/>
            <w:vAlign w:val="center"/>
          </w:tcPr>
          <w:p>
            <w:pPr>
              <w:spacing w:line="360" w:lineRule="auto"/>
              <w:ind w:left="0" w:leftChars="0" w:right="0" w:rightChars="0"/>
              <w:jc w:val="left"/>
              <w:rPr>
                <w:rFonts w:hint="eastAsia" w:ascii="宋体" w:hAnsi="宋体" w:eastAsia="宋体" w:cs="Times New Roman"/>
                <w:color w:val="auto"/>
                <w:sz w:val="21"/>
                <w:szCs w:val="21"/>
                <w:lang w:val="en-US" w:eastAsia="zh-CN"/>
              </w:rPr>
            </w:pPr>
            <w:r>
              <w:rPr>
                <w:rFonts w:hint="eastAsia" w:ascii="宋体" w:hAnsi="宋体" w:cs="Times New Roman"/>
                <w:color w:val="auto"/>
                <w:sz w:val="21"/>
                <w:szCs w:val="21"/>
                <w:lang w:val="en-US" w:eastAsia="zh-CN"/>
              </w:rPr>
              <w:t>8</w:t>
            </w:r>
          </w:p>
        </w:tc>
        <w:tc>
          <w:tcPr>
            <w:tcW w:w="5399" w:type="dxa"/>
            <w:vAlign w:val="center"/>
          </w:tcPr>
          <w:p>
            <w:pPr>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针对本项目有完整的售后服务方案及质保期外的质量保证和供应措施，制订了本地化服务的承诺和应急方案（提供有效的办公场所证明），明确了售后服务人员，有售后服务的优惠条件，有相应的物力、人力保障，能够保证产、供、销、售后服务正常运转，有详细的在设备发生不同类型故障后的到达现场时间、解决故障时间、补救措施等方面的措施或方案，同时具有明确的承诺且符合实际需求，提供详细的售后服务方案及售后服务承诺等，方案充实详细、有质量保证承诺，计</w:t>
            </w:r>
            <w:r>
              <w:rPr>
                <w:rFonts w:hint="eastAsia" w:ascii="宋体" w:hAnsi="宋体" w:eastAsia="宋体" w:cs="Times New Roman"/>
                <w:color w:val="auto"/>
                <w:sz w:val="21"/>
                <w:szCs w:val="21"/>
                <w:lang w:val="en-US" w:eastAsia="zh-CN"/>
              </w:rPr>
              <w:t>6.1-8</w:t>
            </w:r>
            <w:r>
              <w:rPr>
                <w:rFonts w:hint="eastAsia" w:ascii="宋体" w:hAnsi="宋体" w:eastAsia="宋体" w:cs="Times New Roman"/>
                <w:color w:val="auto"/>
                <w:sz w:val="21"/>
                <w:szCs w:val="21"/>
              </w:rPr>
              <w:t>分。有售后服务方案及完整的售后服务承诺，满足质保期内的服务要求，有售后服务的措施，计</w:t>
            </w:r>
            <w:r>
              <w:rPr>
                <w:rFonts w:hint="eastAsia" w:ascii="宋体" w:hAnsi="宋体" w:eastAsia="宋体" w:cs="Times New Roman"/>
                <w:color w:val="auto"/>
                <w:sz w:val="21"/>
                <w:szCs w:val="21"/>
                <w:lang w:val="en-US" w:eastAsia="zh-CN"/>
              </w:rPr>
              <w:t>3.1-6</w:t>
            </w:r>
            <w:r>
              <w:rPr>
                <w:rFonts w:hint="eastAsia" w:ascii="宋体" w:hAnsi="宋体" w:eastAsia="宋体" w:cs="Times New Roman"/>
                <w:color w:val="auto"/>
                <w:sz w:val="21"/>
                <w:szCs w:val="21"/>
              </w:rPr>
              <w:t>分；售后服务方案不完整，没有针对本项目的售后服务承诺和具体措施，计</w:t>
            </w:r>
            <w:r>
              <w:rPr>
                <w:rFonts w:hint="eastAsia" w:ascii="宋体" w:hAnsi="宋体" w:eastAsia="宋体" w:cs="Times New Roman"/>
                <w:color w:val="auto"/>
                <w:sz w:val="21"/>
                <w:szCs w:val="21"/>
                <w:lang w:val="en-US" w:eastAsia="zh-CN"/>
              </w:rPr>
              <w:t>1-3</w:t>
            </w:r>
            <w:r>
              <w:rPr>
                <w:rFonts w:hint="eastAsia" w:ascii="宋体" w:hAnsi="宋体" w:eastAsia="宋体" w:cs="Times New Roman"/>
                <w:color w:val="auto"/>
                <w:sz w:val="21"/>
                <w:szCs w:val="21"/>
              </w:rPr>
              <w:t>分；没有售后服务方案不得分。</w:t>
            </w:r>
          </w:p>
        </w:tc>
        <w:tc>
          <w:tcPr>
            <w:tcW w:w="1375" w:type="dxa"/>
            <w:vAlign w:val="center"/>
          </w:tcPr>
          <w:p>
            <w:pPr>
              <w:spacing w:line="360" w:lineRule="auto"/>
              <w:ind w:left="-38"/>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4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 w:firstLineChars="0"/>
              <w:jc w:val="center"/>
              <w:rPr>
                <w:rFonts w:hint="eastAsia" w:ascii="宋体" w:hAnsi="宋体" w:eastAsia="宋体" w:cs="宋体"/>
                <w:sz w:val="21"/>
                <w:szCs w:val="21"/>
                <w:lang w:eastAsia="zh-CN"/>
              </w:rPr>
            </w:pPr>
            <w:r>
              <w:rPr>
                <w:rFonts w:hint="eastAsia" w:ascii="宋体" w:hAnsi="宋体" w:cs="宋体"/>
                <w:sz w:val="21"/>
                <w:szCs w:val="21"/>
                <w:lang w:val="en-US" w:eastAsia="zh-CN"/>
              </w:rPr>
              <w:t>4</w:t>
            </w:r>
          </w:p>
        </w:tc>
        <w:tc>
          <w:tcPr>
            <w:tcW w:w="122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cs="Times New Roman"/>
                <w:color w:val="auto"/>
                <w:sz w:val="21"/>
                <w:szCs w:val="21"/>
              </w:rPr>
            </w:pPr>
            <w:r>
              <w:rPr>
                <w:rFonts w:hint="eastAsia" w:ascii="宋体" w:hAnsi="宋体" w:cs="Times New Roman"/>
                <w:color w:val="auto"/>
                <w:sz w:val="21"/>
                <w:szCs w:val="21"/>
              </w:rPr>
              <w:t>培训方案</w:t>
            </w:r>
            <w:r>
              <w:rPr>
                <w:rFonts w:hint="eastAsia" w:ascii="宋体" w:hAnsi="宋体" w:cs="Times New Roman"/>
                <w:color w:val="auto"/>
                <w:sz w:val="21"/>
                <w:szCs w:val="21"/>
                <w:lang w:val="en-US" w:eastAsia="zh-CN"/>
              </w:rPr>
              <w:t>10</w:t>
            </w:r>
            <w:r>
              <w:rPr>
                <w:rFonts w:hint="eastAsia" w:ascii="宋体" w:hAnsi="宋体" w:cs="Times New Roman"/>
                <w:color w:val="auto"/>
                <w:sz w:val="21"/>
                <w:szCs w:val="21"/>
              </w:rPr>
              <w:t>%</w:t>
            </w:r>
          </w:p>
        </w:tc>
        <w:tc>
          <w:tcPr>
            <w:tcW w:w="62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default" w:ascii="宋体" w:hAnsi="宋体" w:eastAsia="宋体" w:cs="Times New Roman"/>
                <w:color w:val="auto"/>
                <w:sz w:val="21"/>
                <w:szCs w:val="21"/>
                <w:lang w:val="en-US" w:eastAsia="zh-CN"/>
              </w:rPr>
            </w:pPr>
            <w:r>
              <w:rPr>
                <w:rFonts w:hint="eastAsia" w:ascii="宋体" w:hAnsi="宋体" w:cs="Times New Roman"/>
                <w:color w:val="auto"/>
                <w:sz w:val="21"/>
                <w:szCs w:val="21"/>
                <w:lang w:val="en-US" w:eastAsia="zh-CN"/>
              </w:rPr>
              <w:t>10</w:t>
            </w:r>
          </w:p>
        </w:tc>
        <w:tc>
          <w:tcPr>
            <w:tcW w:w="539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根据供应商提供的培训方案及培训效果保证措施等进行综合评分，培训采购人指定的技术人员和管理人员，制定培训课程计划表，列出每种培训的地点和时间、培训的内容、方式、次数等，培训内容应包括所提供产品的原理和技术性能、操作维护方法、安装调试、排除故障等各个方面，培训的具体日期及人数由使用单位确定。培训方案明确，方案完善、科学合理，针对性强、服务承诺明确，计</w:t>
            </w:r>
            <w:r>
              <w:rPr>
                <w:rFonts w:hint="eastAsia" w:ascii="宋体" w:hAnsi="宋体" w:cs="Times New Roman"/>
                <w:color w:val="auto"/>
                <w:sz w:val="21"/>
                <w:szCs w:val="21"/>
                <w:lang w:val="en-US" w:eastAsia="zh-CN"/>
              </w:rPr>
              <w:t>7.1-10</w:t>
            </w:r>
            <w:r>
              <w:rPr>
                <w:rFonts w:hint="eastAsia" w:ascii="宋体" w:hAnsi="宋体" w:eastAsia="宋体" w:cs="Times New Roman"/>
                <w:color w:val="auto"/>
                <w:sz w:val="21"/>
                <w:szCs w:val="21"/>
              </w:rPr>
              <w:t>分，方案较完整、合理可行、特点和承诺不明确，计</w:t>
            </w:r>
            <w:r>
              <w:rPr>
                <w:rFonts w:hint="eastAsia" w:ascii="宋体" w:hAnsi="宋体" w:cs="Times New Roman"/>
                <w:color w:val="auto"/>
                <w:sz w:val="21"/>
                <w:szCs w:val="21"/>
                <w:lang w:val="en-US" w:eastAsia="zh-CN"/>
              </w:rPr>
              <w:t>4.1-7</w:t>
            </w:r>
            <w:r>
              <w:rPr>
                <w:rFonts w:hint="eastAsia" w:ascii="宋体" w:hAnsi="宋体" w:eastAsia="宋体" w:cs="Times New Roman"/>
                <w:color w:val="auto"/>
                <w:sz w:val="21"/>
                <w:szCs w:val="21"/>
              </w:rPr>
              <w:t>分，方案内容不完整，响应有缺项，与实际需求不符，计</w:t>
            </w:r>
            <w:r>
              <w:rPr>
                <w:rFonts w:hint="eastAsia" w:ascii="宋体" w:hAnsi="宋体" w:eastAsia="宋体" w:cs="Times New Roman"/>
                <w:color w:val="auto"/>
                <w:sz w:val="21"/>
                <w:szCs w:val="21"/>
                <w:lang w:val="en-US" w:eastAsia="zh-CN"/>
              </w:rPr>
              <w:t>1-</w:t>
            </w:r>
            <w:r>
              <w:rPr>
                <w:rFonts w:hint="eastAsia" w:ascii="宋体" w:hAnsi="宋体" w:cs="Times New Roman"/>
                <w:color w:val="auto"/>
                <w:sz w:val="21"/>
                <w:szCs w:val="21"/>
                <w:lang w:val="en-US" w:eastAsia="zh-CN"/>
              </w:rPr>
              <w:t>4</w:t>
            </w:r>
            <w:r>
              <w:rPr>
                <w:rFonts w:hint="eastAsia" w:ascii="宋体" w:hAnsi="宋体" w:eastAsia="宋体" w:cs="Times New Roman"/>
                <w:color w:val="auto"/>
                <w:sz w:val="21"/>
                <w:szCs w:val="21"/>
              </w:rPr>
              <w:t>分，未提供不计分。</w:t>
            </w:r>
          </w:p>
        </w:tc>
        <w:tc>
          <w:tcPr>
            <w:tcW w:w="1375" w:type="dxa"/>
            <w:tcBorders>
              <w:top w:val="single" w:color="auto" w:sz="4" w:space="0"/>
              <w:left w:val="single" w:color="auto" w:sz="4" w:space="0"/>
              <w:bottom w:val="single" w:color="auto" w:sz="4" w:space="0"/>
              <w:right w:val="single" w:color="auto" w:sz="4" w:space="0"/>
            </w:tcBorders>
            <w:vAlign w:val="center"/>
          </w:tcPr>
          <w:p>
            <w:pPr>
              <w:spacing w:line="360" w:lineRule="auto"/>
              <w:ind w:left="-38"/>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4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5</w:t>
            </w:r>
          </w:p>
        </w:tc>
        <w:tc>
          <w:tcPr>
            <w:tcW w:w="122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Times New Roman"/>
                <w:color w:val="auto"/>
                <w:sz w:val="21"/>
                <w:szCs w:val="21"/>
                <w:lang w:val="en-US" w:eastAsia="zh-CN"/>
              </w:rPr>
            </w:pPr>
            <w:r>
              <w:rPr>
                <w:rFonts w:hint="eastAsia" w:ascii="宋体" w:hAnsi="宋体" w:cs="Times New Roman"/>
                <w:color w:val="auto"/>
                <w:sz w:val="21"/>
                <w:szCs w:val="21"/>
                <w:lang w:val="en-US" w:eastAsia="zh-CN"/>
              </w:rPr>
              <w:t>演示15%</w:t>
            </w:r>
          </w:p>
        </w:tc>
        <w:tc>
          <w:tcPr>
            <w:tcW w:w="62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cs="Times New Roman"/>
                <w:color w:val="auto"/>
                <w:sz w:val="21"/>
                <w:szCs w:val="21"/>
                <w:lang w:val="en-US" w:eastAsia="zh-CN"/>
              </w:rPr>
            </w:pPr>
            <w:r>
              <w:rPr>
                <w:rFonts w:hint="eastAsia" w:ascii="宋体" w:hAnsi="宋体" w:cs="Times New Roman"/>
                <w:color w:val="auto"/>
                <w:sz w:val="21"/>
                <w:szCs w:val="21"/>
                <w:lang w:val="en-US" w:eastAsia="zh-CN"/>
              </w:rPr>
              <w:t>15</w:t>
            </w:r>
          </w:p>
        </w:tc>
        <w:tc>
          <w:tcPr>
            <w:tcW w:w="539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Times New Roman"/>
                <w:color w:val="auto"/>
                <w:sz w:val="21"/>
                <w:szCs w:val="21"/>
                <w:lang w:val="en-US" w:eastAsia="zh-CN"/>
              </w:rPr>
            </w:pPr>
            <w:r>
              <w:rPr>
                <w:rFonts w:hint="eastAsia" w:ascii="宋体" w:hAnsi="宋体" w:cs="Times New Roman"/>
                <w:color w:val="auto"/>
                <w:sz w:val="21"/>
                <w:szCs w:val="21"/>
                <w:lang w:val="en-US" w:eastAsia="zh-CN"/>
              </w:rPr>
              <w:t>对</w:t>
            </w:r>
            <w:r>
              <w:rPr>
                <w:rFonts w:hint="eastAsia" w:ascii="宋体" w:hAnsi="宋体" w:eastAsia="宋体" w:cs="Times New Roman"/>
                <w:color w:val="auto"/>
                <w:sz w:val="21"/>
                <w:szCs w:val="21"/>
              </w:rPr>
              <w:t>技术参数表</w:t>
            </w:r>
            <w:r>
              <w:rPr>
                <w:rFonts w:hint="eastAsia" w:ascii="宋体" w:hAnsi="宋体" w:cs="Times New Roman"/>
                <w:color w:val="auto"/>
                <w:sz w:val="21"/>
                <w:szCs w:val="21"/>
                <w:lang w:eastAsia="zh-CN"/>
              </w:rPr>
              <w:t>要求演示项</w:t>
            </w:r>
            <w:r>
              <w:rPr>
                <w:rFonts w:hint="eastAsia" w:ascii="宋体" w:hAnsi="宋体" w:eastAsia="宋体" w:cs="Times New Roman"/>
                <w:color w:val="auto"/>
                <w:sz w:val="21"/>
                <w:szCs w:val="21"/>
              </w:rPr>
              <w:t>进行现场演示，每成功演示一项功能得</w:t>
            </w:r>
            <w:r>
              <w:rPr>
                <w:rFonts w:hint="eastAsia" w:ascii="宋体" w:hAnsi="宋体" w:eastAsia="宋体" w:cs="Times New Roman"/>
                <w:color w:val="auto"/>
                <w:sz w:val="21"/>
                <w:szCs w:val="21"/>
                <w:lang w:val="en-US" w:eastAsia="zh-CN"/>
              </w:rPr>
              <w:t xml:space="preserve"> </w:t>
            </w:r>
            <w:r>
              <w:rPr>
                <w:rFonts w:hint="eastAsia" w:ascii="宋体" w:hAnsi="宋体" w:cs="Times New Roman"/>
                <w:color w:val="auto"/>
                <w:sz w:val="21"/>
                <w:szCs w:val="21"/>
                <w:lang w:val="en-US" w:eastAsia="zh-CN"/>
              </w:rPr>
              <w:t>1</w:t>
            </w:r>
            <w:r>
              <w:rPr>
                <w:rFonts w:hint="eastAsia" w:ascii="宋体" w:hAnsi="宋体" w:eastAsia="宋体" w:cs="Times New Roman"/>
                <w:color w:val="auto"/>
                <w:sz w:val="21"/>
                <w:szCs w:val="21"/>
              </w:rPr>
              <w:t>分，最多</w:t>
            </w:r>
            <w:r>
              <w:rPr>
                <w:rFonts w:hint="eastAsia" w:ascii="宋体" w:hAnsi="宋体" w:eastAsia="宋体" w:cs="Times New Roman"/>
                <w:color w:val="auto"/>
                <w:sz w:val="21"/>
                <w:szCs w:val="21"/>
                <w:lang w:val="en-US" w:eastAsia="zh-CN"/>
              </w:rPr>
              <w:t>得</w:t>
            </w:r>
            <w:r>
              <w:rPr>
                <w:rFonts w:hint="eastAsia" w:ascii="宋体" w:hAnsi="宋体" w:cs="Times New Roman"/>
                <w:color w:val="auto"/>
                <w:sz w:val="21"/>
                <w:szCs w:val="21"/>
                <w:lang w:val="en-US" w:eastAsia="zh-CN"/>
              </w:rPr>
              <w:t>15</w:t>
            </w:r>
            <w:r>
              <w:rPr>
                <w:rFonts w:hint="eastAsia" w:ascii="宋体" w:hAnsi="宋体" w:eastAsia="宋体" w:cs="Times New Roman"/>
                <w:color w:val="auto"/>
                <w:sz w:val="21"/>
                <w:szCs w:val="21"/>
              </w:rPr>
              <w:t>分。</w:t>
            </w:r>
            <w:r>
              <w:rPr>
                <w:rFonts w:hint="eastAsia" w:ascii="宋体" w:hAnsi="宋体" w:cs="Times New Roman"/>
                <w:color w:val="auto"/>
                <w:sz w:val="21"/>
                <w:szCs w:val="21"/>
                <w:lang w:eastAsia="zh-CN"/>
              </w:rPr>
              <w:t>（</w:t>
            </w:r>
            <w:r>
              <w:rPr>
                <w:rFonts w:hint="eastAsia" w:ascii="宋体" w:hAnsi="宋体" w:cs="Times New Roman"/>
                <w:color w:val="auto"/>
                <w:sz w:val="21"/>
                <w:szCs w:val="21"/>
                <w:lang w:val="en-US" w:eastAsia="zh-CN"/>
              </w:rPr>
              <w:t>不限于实体环境、视频、PPT，如采用视频、PPT等非实体环境演示，每项扣0.5分</w:t>
            </w:r>
            <w:r>
              <w:rPr>
                <w:rFonts w:hint="eastAsia" w:ascii="宋体" w:hAnsi="宋体" w:cs="Times New Roman"/>
                <w:color w:val="auto"/>
                <w:sz w:val="21"/>
                <w:szCs w:val="21"/>
                <w:lang w:eastAsia="zh-CN"/>
              </w:rPr>
              <w:t>），</w:t>
            </w:r>
            <w:r>
              <w:rPr>
                <w:rFonts w:hint="eastAsia" w:ascii="宋体" w:hAnsi="宋体" w:cs="Times New Roman"/>
                <w:color w:val="auto"/>
                <w:sz w:val="21"/>
                <w:szCs w:val="21"/>
                <w:lang w:val="en-US" w:eastAsia="zh-CN"/>
              </w:rPr>
              <w:t>不演示为无效响应。演示项如下：</w:t>
            </w:r>
          </w:p>
          <w:p>
            <w:pPr>
              <w:snapToGrid/>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1、</w:t>
            </w:r>
            <w:r>
              <w:rPr>
                <w:rFonts w:hint="eastAsia" w:ascii="宋体" w:hAnsi="宋体" w:eastAsia="宋体" w:cs="Times New Roman"/>
                <w:color w:val="auto"/>
                <w:sz w:val="21"/>
                <w:szCs w:val="21"/>
              </w:rPr>
              <w:t>系统具有良好的数据分析功能，能通过监测学生的实训数据，以图表的形式直观的反应出学生的活跃度与实训任务的活跃度</w:t>
            </w:r>
          </w:p>
          <w:p>
            <w:pPr>
              <w:snapToGrid/>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2、</w:t>
            </w:r>
            <w:r>
              <w:rPr>
                <w:rFonts w:hint="eastAsia" w:ascii="宋体" w:hAnsi="宋体" w:eastAsia="宋体" w:cs="Times New Roman"/>
                <w:color w:val="auto"/>
                <w:sz w:val="21"/>
                <w:szCs w:val="21"/>
              </w:rPr>
              <w:t>教师端的学情分析提供按任务、学生两种形式的分析结果，采用图形和列表两种形式呈现。任务分析结果以进度和成绩的分析图为主，进度的主要分析要素是不同任务的完成率，成绩的分析图要体现出不同任务的成绩分布（最高分、最低分、平均分）。按学生进行分析的结果，以学生为变量，完成率和实训成绩为因变量，用图表或列表的形式展现出变量与因变量之间的关系</w:t>
            </w:r>
          </w:p>
          <w:p>
            <w:pPr>
              <w:snapToGrid/>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3、</w:t>
            </w:r>
            <w:r>
              <w:rPr>
                <w:rFonts w:hint="eastAsia" w:ascii="宋体" w:hAnsi="宋体" w:eastAsia="宋体" w:cs="Times New Roman"/>
                <w:color w:val="auto"/>
                <w:sz w:val="21"/>
                <w:szCs w:val="21"/>
              </w:rPr>
              <w:t>系统内实训的类型要涉及直播营销策划、直播推广与引流、直播营销实施、直播营销复盘、粉丝运营5大模块内容，实训不少于10个大任务</w:t>
            </w:r>
          </w:p>
          <w:p>
            <w:pPr>
              <w:snapToGrid/>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4、</w:t>
            </w:r>
            <w:r>
              <w:rPr>
                <w:rFonts w:hint="eastAsia" w:ascii="宋体" w:hAnsi="宋体" w:eastAsia="宋体" w:cs="Times New Roman"/>
                <w:color w:val="auto"/>
                <w:sz w:val="21"/>
                <w:szCs w:val="21"/>
              </w:rPr>
              <w:t>系统内置的实训任务有明确的引导。包括任务目标、任务背景、任务分析、任务操作等内容，将整体任务颗粒化，引导学生一步步克服困难，完成任务</w:t>
            </w:r>
          </w:p>
          <w:p>
            <w:pPr>
              <w:snapToGrid/>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5、</w:t>
            </w:r>
            <w:r>
              <w:rPr>
                <w:rFonts w:hint="eastAsia" w:ascii="宋体" w:hAnsi="宋体" w:eastAsia="宋体" w:cs="Times New Roman"/>
                <w:color w:val="auto"/>
                <w:sz w:val="21"/>
                <w:szCs w:val="21"/>
              </w:rPr>
              <w:t>直播实施的实训任务中根据不同的商品自动推送不同的问题、干扰弹幕，支持弹幕互动、发红包、直播礼物特效等功能</w:t>
            </w:r>
          </w:p>
          <w:p>
            <w:pPr>
              <w:snapToGrid/>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6、</w:t>
            </w:r>
            <w:r>
              <w:rPr>
                <w:rFonts w:hint="eastAsia" w:ascii="宋体" w:hAnsi="宋体" w:eastAsia="宋体" w:cs="Times New Roman"/>
                <w:color w:val="auto"/>
                <w:sz w:val="21"/>
                <w:szCs w:val="21"/>
              </w:rPr>
              <w:t>系统模拟智能主播助理功能、新人券、优惠券等功能，能够发布直播并查看实时直播视频，直播过程中具备宝贝上架、标记讲解、权益投放、抽奖、投票、店铺小卡、关注卡片、公告、粉丝推送、跨店减免券、裂变优惠券等功能</w:t>
            </w:r>
          </w:p>
          <w:p>
            <w:pPr>
              <w:snapToGrid/>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7、</w:t>
            </w:r>
            <w:r>
              <w:rPr>
                <w:rFonts w:hint="eastAsia" w:ascii="宋体" w:hAnsi="宋体" w:eastAsia="宋体" w:cs="Times New Roman"/>
                <w:color w:val="auto"/>
                <w:sz w:val="21"/>
                <w:szCs w:val="21"/>
              </w:rPr>
              <w:t>系统需包含视觉营销设计、网络推广、网上交易管理、网络客户服务以及电子商务数据分析与应用</w:t>
            </w:r>
            <w:r>
              <w:rPr>
                <w:rFonts w:hint="eastAsia" w:ascii="宋体" w:hAnsi="宋体" w:eastAsia="宋体" w:cs="Times New Roman"/>
                <w:color w:val="auto"/>
                <w:sz w:val="21"/>
                <w:szCs w:val="21"/>
                <w:lang w:val="en-US" w:eastAsia="zh-CN"/>
              </w:rPr>
              <w:t>五大工作领域，不少于10类工作任务，每个工作任务包含一到多个子任务</w:t>
            </w:r>
          </w:p>
          <w:p>
            <w:pPr>
              <w:snapToGrid/>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8、</w:t>
            </w:r>
            <w:r>
              <w:rPr>
                <w:rFonts w:hint="eastAsia" w:ascii="宋体" w:hAnsi="宋体" w:eastAsia="宋体" w:cs="Times New Roman"/>
                <w:color w:val="auto"/>
                <w:sz w:val="21"/>
                <w:szCs w:val="21"/>
              </w:rPr>
              <w:t>系统</w:t>
            </w:r>
            <w:r>
              <w:rPr>
                <w:rFonts w:hint="eastAsia" w:ascii="宋体" w:hAnsi="宋体" w:eastAsia="宋体" w:cs="Times New Roman"/>
                <w:color w:val="auto"/>
                <w:sz w:val="21"/>
                <w:szCs w:val="21"/>
                <w:lang w:val="en-US" w:eastAsia="zh-CN"/>
              </w:rPr>
              <w:t>需</w:t>
            </w:r>
            <w:r>
              <w:rPr>
                <w:rFonts w:hint="eastAsia" w:ascii="宋体" w:hAnsi="宋体" w:eastAsia="宋体" w:cs="Times New Roman"/>
                <w:color w:val="auto"/>
                <w:sz w:val="21"/>
                <w:szCs w:val="21"/>
              </w:rPr>
              <w:t>以真实数据、类似引擎、接近算法</w:t>
            </w:r>
            <w:r>
              <w:rPr>
                <w:rFonts w:hint="eastAsia" w:ascii="宋体" w:hAnsi="宋体" w:eastAsia="宋体" w:cs="Times New Roman"/>
                <w:color w:val="auto"/>
                <w:sz w:val="21"/>
                <w:szCs w:val="21"/>
                <w:lang w:val="en-US" w:eastAsia="zh-CN"/>
              </w:rPr>
              <w:t>等</w:t>
            </w:r>
            <w:r>
              <w:rPr>
                <w:rFonts w:hint="eastAsia" w:ascii="宋体" w:hAnsi="宋体" w:eastAsia="宋体" w:cs="Times New Roman"/>
                <w:color w:val="auto"/>
                <w:sz w:val="21"/>
                <w:szCs w:val="21"/>
              </w:rPr>
              <w:t>方式模拟了电子商务平台</w:t>
            </w:r>
            <w:r>
              <w:rPr>
                <w:rFonts w:hint="eastAsia" w:ascii="宋体" w:hAnsi="宋体" w:eastAsia="宋体" w:cs="Times New Roman"/>
                <w:color w:val="auto"/>
                <w:sz w:val="21"/>
                <w:szCs w:val="21"/>
                <w:lang w:eastAsia="zh-CN"/>
              </w:rPr>
              <w:t>，通过虚拟资金解决创业资金短缺问题，通过直观营销效果解决结果模糊的问题</w:t>
            </w:r>
          </w:p>
          <w:p>
            <w:pPr>
              <w:snapToGrid/>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9、</w:t>
            </w:r>
            <w:r>
              <w:rPr>
                <w:rFonts w:hint="eastAsia" w:ascii="宋体" w:hAnsi="宋体" w:eastAsia="宋体" w:cs="Times New Roman"/>
                <w:color w:val="auto"/>
                <w:sz w:val="21"/>
                <w:szCs w:val="21"/>
              </w:rPr>
              <w:t>系统</w:t>
            </w:r>
            <w:r>
              <w:rPr>
                <w:rFonts w:hint="eastAsia" w:ascii="宋体" w:hAnsi="宋体" w:eastAsia="宋体" w:cs="Times New Roman"/>
                <w:color w:val="auto"/>
                <w:sz w:val="21"/>
                <w:szCs w:val="21"/>
                <w:lang w:val="en-US" w:eastAsia="zh-CN"/>
              </w:rPr>
              <w:t>需</w:t>
            </w:r>
            <w:r>
              <w:rPr>
                <w:rFonts w:hint="eastAsia" w:ascii="宋体" w:hAnsi="宋体" w:eastAsia="宋体" w:cs="Times New Roman"/>
                <w:color w:val="auto"/>
                <w:sz w:val="21"/>
                <w:szCs w:val="21"/>
              </w:rPr>
              <w:t>实现虚拟仿真考核，打造动态的市场环境，推广模块采用人工智能技术模拟买家来产生点击、购买等行为</w:t>
            </w:r>
          </w:p>
          <w:p>
            <w:pPr>
              <w:snapToGrid/>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10、</w:t>
            </w:r>
            <w:r>
              <w:rPr>
                <w:rFonts w:hint="eastAsia" w:ascii="宋体" w:hAnsi="宋体" w:eastAsia="宋体" w:cs="Times New Roman"/>
                <w:color w:val="auto"/>
                <w:sz w:val="21"/>
                <w:szCs w:val="21"/>
              </w:rPr>
              <w:t>视觉营销设计</w:t>
            </w:r>
            <w:r>
              <w:rPr>
                <w:rFonts w:hint="eastAsia" w:ascii="宋体" w:hAnsi="宋体" w:eastAsia="宋体" w:cs="Times New Roman"/>
                <w:color w:val="auto"/>
                <w:sz w:val="21"/>
                <w:szCs w:val="21"/>
                <w:lang w:val="en-US" w:eastAsia="zh-CN"/>
              </w:rPr>
              <w:t>工作领域，</w:t>
            </w:r>
            <w:r>
              <w:rPr>
                <w:rFonts w:hint="eastAsia" w:ascii="宋体" w:hAnsi="宋体" w:eastAsia="宋体" w:cs="Times New Roman"/>
                <w:color w:val="auto"/>
                <w:sz w:val="21"/>
                <w:szCs w:val="21"/>
              </w:rPr>
              <w:t>提供PC端、移动端各两套装修模板。</w:t>
            </w:r>
            <w:r>
              <w:rPr>
                <w:rFonts w:hint="eastAsia" w:ascii="宋体" w:hAnsi="宋体" w:eastAsia="宋体" w:cs="Times New Roman"/>
                <w:color w:val="auto"/>
                <w:sz w:val="21"/>
                <w:szCs w:val="21"/>
                <w:lang w:val="en-US" w:eastAsia="zh-CN"/>
              </w:rPr>
              <w:t>包含PC端店铺首页排版与布局、PC端商品详情页排版与布局、移动端店铺首页排版与布局、移动端商品详情页排版与布局等不少于6个子任务</w:t>
            </w:r>
          </w:p>
          <w:p>
            <w:pPr>
              <w:snapToGrid/>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11、</w:t>
            </w:r>
            <w:r>
              <w:rPr>
                <w:rFonts w:hint="eastAsia" w:ascii="宋体" w:hAnsi="宋体" w:eastAsia="宋体" w:cs="Times New Roman"/>
                <w:color w:val="auto"/>
                <w:sz w:val="21"/>
                <w:szCs w:val="21"/>
              </w:rPr>
              <w:t>网络推广</w:t>
            </w:r>
            <w:r>
              <w:rPr>
                <w:rFonts w:hint="eastAsia" w:ascii="宋体" w:hAnsi="宋体" w:eastAsia="宋体" w:cs="Times New Roman"/>
                <w:color w:val="auto"/>
                <w:sz w:val="21"/>
                <w:szCs w:val="21"/>
                <w:lang w:val="en-US" w:eastAsia="zh-CN"/>
              </w:rPr>
              <w:t>工作领域</w:t>
            </w:r>
            <w:r>
              <w:rPr>
                <w:rFonts w:hint="eastAsia" w:ascii="宋体" w:hAnsi="宋体" w:eastAsia="宋体" w:cs="Times New Roman"/>
                <w:color w:val="auto"/>
                <w:sz w:val="21"/>
                <w:szCs w:val="21"/>
              </w:rPr>
              <w:t>。</w:t>
            </w:r>
            <w:r>
              <w:rPr>
                <w:rFonts w:hint="eastAsia" w:ascii="宋体" w:hAnsi="宋体" w:eastAsia="宋体" w:cs="Times New Roman"/>
                <w:color w:val="auto"/>
                <w:sz w:val="21"/>
                <w:szCs w:val="21"/>
                <w:lang w:val="en-US" w:eastAsia="zh-CN"/>
              </w:rPr>
              <w:t>包含SEO优化、SEM推广、信息流推广3类工作任务，</w:t>
            </w:r>
            <w:r>
              <w:rPr>
                <w:rFonts w:hint="eastAsia" w:ascii="宋体" w:hAnsi="宋体" w:eastAsia="宋体" w:cs="Times New Roman"/>
                <w:color w:val="auto"/>
                <w:sz w:val="21"/>
                <w:szCs w:val="21"/>
              </w:rPr>
              <w:t>能够模拟网店推广职业岗位基本工作内容与业务流程，模拟电子商务网店站内推广活动</w:t>
            </w:r>
          </w:p>
          <w:p>
            <w:pPr>
              <w:snapToGrid/>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12、</w:t>
            </w:r>
            <w:r>
              <w:rPr>
                <w:rFonts w:hint="eastAsia" w:ascii="宋体" w:hAnsi="宋体" w:eastAsia="宋体" w:cs="Times New Roman"/>
                <w:color w:val="auto"/>
                <w:sz w:val="21"/>
                <w:szCs w:val="21"/>
              </w:rPr>
              <w:t>网上交易管理</w:t>
            </w:r>
            <w:r>
              <w:rPr>
                <w:rFonts w:hint="eastAsia" w:ascii="宋体" w:hAnsi="宋体" w:eastAsia="宋体" w:cs="Times New Roman"/>
                <w:color w:val="auto"/>
                <w:sz w:val="21"/>
                <w:szCs w:val="21"/>
                <w:lang w:val="en-US" w:eastAsia="zh-CN"/>
              </w:rPr>
              <w:t>工作领域</w:t>
            </w:r>
            <w:r>
              <w:rPr>
                <w:rFonts w:hint="eastAsia" w:ascii="宋体" w:hAnsi="宋体" w:eastAsia="宋体" w:cs="Times New Roman"/>
                <w:color w:val="auto"/>
                <w:sz w:val="21"/>
                <w:szCs w:val="21"/>
              </w:rPr>
              <w:t>。</w:t>
            </w:r>
            <w:r>
              <w:rPr>
                <w:rFonts w:hint="eastAsia" w:ascii="宋体" w:hAnsi="宋体" w:eastAsia="宋体" w:cs="Times New Roman"/>
                <w:color w:val="auto"/>
                <w:sz w:val="21"/>
                <w:szCs w:val="21"/>
                <w:lang w:val="en-US" w:eastAsia="zh-CN"/>
              </w:rPr>
              <w:t>包含</w:t>
            </w:r>
            <w:r>
              <w:rPr>
                <w:rFonts w:hint="eastAsia" w:ascii="宋体" w:hAnsi="宋体" w:eastAsia="宋体" w:cs="Times New Roman"/>
                <w:color w:val="auto"/>
                <w:sz w:val="21"/>
                <w:szCs w:val="21"/>
              </w:rPr>
              <w:t>客户画像分析</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交易评价分析</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销售报表制作</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采购计划制定</w:t>
            </w:r>
            <w:r>
              <w:rPr>
                <w:rFonts w:hint="eastAsia" w:ascii="宋体" w:hAnsi="宋体" w:eastAsia="宋体" w:cs="Times New Roman"/>
                <w:color w:val="auto"/>
                <w:sz w:val="21"/>
                <w:szCs w:val="21"/>
                <w:lang w:val="en-US" w:eastAsia="zh-CN"/>
              </w:rPr>
              <w:t>4类工作任务</w:t>
            </w:r>
          </w:p>
          <w:p>
            <w:pPr>
              <w:snapToGrid/>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13、</w:t>
            </w:r>
            <w:r>
              <w:rPr>
                <w:rFonts w:hint="eastAsia" w:ascii="宋体" w:hAnsi="宋体" w:eastAsia="宋体" w:cs="Times New Roman"/>
                <w:color w:val="auto"/>
                <w:sz w:val="21"/>
                <w:szCs w:val="21"/>
              </w:rPr>
              <w:t>网络客户服务</w:t>
            </w:r>
            <w:r>
              <w:rPr>
                <w:rFonts w:hint="eastAsia" w:ascii="宋体" w:hAnsi="宋体" w:eastAsia="宋体" w:cs="Times New Roman"/>
                <w:color w:val="auto"/>
                <w:sz w:val="21"/>
                <w:szCs w:val="21"/>
                <w:lang w:val="en-US" w:eastAsia="zh-CN"/>
              </w:rPr>
              <w:t>工作领域</w:t>
            </w:r>
            <w:r>
              <w:rPr>
                <w:rFonts w:hint="eastAsia" w:ascii="宋体" w:hAnsi="宋体" w:eastAsia="宋体" w:cs="Times New Roman"/>
                <w:color w:val="auto"/>
                <w:sz w:val="21"/>
                <w:szCs w:val="21"/>
              </w:rPr>
              <w:t>。</w:t>
            </w:r>
            <w:r>
              <w:rPr>
                <w:rFonts w:hint="eastAsia" w:ascii="宋体" w:hAnsi="宋体" w:eastAsia="宋体" w:cs="Times New Roman"/>
                <w:color w:val="auto"/>
                <w:sz w:val="21"/>
                <w:szCs w:val="21"/>
                <w:lang w:val="en-US" w:eastAsia="zh-CN"/>
              </w:rPr>
              <w:t>包含</w:t>
            </w:r>
            <w:r>
              <w:rPr>
                <w:rFonts w:hint="eastAsia" w:ascii="宋体" w:hAnsi="宋体" w:eastAsia="宋体" w:cs="Times New Roman"/>
                <w:color w:val="auto"/>
                <w:sz w:val="21"/>
                <w:szCs w:val="21"/>
              </w:rPr>
              <w:t>社群建立</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社群邀新</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社群运营</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客户活动运营</w:t>
            </w:r>
            <w:r>
              <w:rPr>
                <w:rFonts w:hint="eastAsia" w:ascii="宋体" w:hAnsi="宋体" w:eastAsia="宋体" w:cs="Times New Roman"/>
                <w:color w:val="auto"/>
                <w:sz w:val="21"/>
                <w:szCs w:val="21"/>
                <w:lang w:val="en-US" w:eastAsia="zh-CN"/>
              </w:rPr>
              <w:t>4类工作任务，系统采用相同UI界面设计及逆行仿真模拟</w:t>
            </w:r>
          </w:p>
          <w:p>
            <w:pPr>
              <w:snapToGrid/>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14、</w:t>
            </w:r>
            <w:r>
              <w:rPr>
                <w:rFonts w:hint="eastAsia" w:ascii="宋体" w:hAnsi="宋体" w:eastAsia="宋体" w:cs="Times New Roman"/>
                <w:color w:val="auto"/>
                <w:sz w:val="21"/>
                <w:szCs w:val="21"/>
              </w:rPr>
              <w:t>电子商务数据分析与应用</w:t>
            </w:r>
            <w:r>
              <w:rPr>
                <w:rFonts w:hint="eastAsia" w:ascii="宋体" w:hAnsi="宋体" w:eastAsia="宋体" w:cs="Times New Roman"/>
                <w:color w:val="auto"/>
                <w:sz w:val="21"/>
                <w:szCs w:val="21"/>
                <w:lang w:val="en-US" w:eastAsia="zh-CN"/>
              </w:rPr>
              <w:t>工作领域</w:t>
            </w:r>
            <w:r>
              <w:rPr>
                <w:rFonts w:hint="eastAsia" w:ascii="宋体" w:hAnsi="宋体" w:eastAsia="宋体" w:cs="Times New Roman"/>
                <w:color w:val="auto"/>
                <w:sz w:val="21"/>
                <w:szCs w:val="21"/>
              </w:rPr>
              <w:t>。</w:t>
            </w:r>
            <w:r>
              <w:rPr>
                <w:rFonts w:hint="eastAsia" w:ascii="宋体" w:hAnsi="宋体" w:eastAsia="宋体" w:cs="Times New Roman"/>
                <w:color w:val="auto"/>
                <w:sz w:val="21"/>
                <w:szCs w:val="21"/>
                <w:lang w:val="en-US" w:eastAsia="zh-CN"/>
              </w:rPr>
              <w:t>包含</w:t>
            </w:r>
            <w:r>
              <w:rPr>
                <w:rFonts w:hint="eastAsia" w:ascii="宋体" w:hAnsi="宋体" w:eastAsia="宋体" w:cs="Times New Roman"/>
                <w:color w:val="auto"/>
                <w:sz w:val="21"/>
                <w:szCs w:val="21"/>
              </w:rPr>
              <w:t>商务数据统计与分析</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rPr>
              <w:t>数据报表设计与制作</w:t>
            </w:r>
            <w:r>
              <w:rPr>
                <w:rFonts w:hint="eastAsia" w:ascii="宋体" w:hAnsi="宋体" w:eastAsia="宋体" w:cs="Times New Roman"/>
                <w:color w:val="auto"/>
                <w:sz w:val="21"/>
                <w:szCs w:val="21"/>
                <w:lang w:val="en-US" w:eastAsia="zh-CN"/>
              </w:rPr>
              <w:t>2类工作任务</w:t>
            </w:r>
          </w:p>
          <w:p>
            <w:pPr>
              <w:snapToGrid/>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15、</w:t>
            </w:r>
            <w:r>
              <w:rPr>
                <w:rFonts w:hint="eastAsia" w:ascii="宋体" w:hAnsi="宋体" w:eastAsia="宋体" w:cs="Times New Roman"/>
                <w:color w:val="auto"/>
                <w:sz w:val="21"/>
                <w:szCs w:val="21"/>
              </w:rPr>
              <w:t>具备主观评分、客观评分两种评分方式，除视觉营销设计</w:t>
            </w:r>
            <w:r>
              <w:rPr>
                <w:rFonts w:hint="eastAsia" w:ascii="宋体" w:hAnsi="宋体" w:eastAsia="宋体" w:cs="Times New Roman"/>
                <w:color w:val="auto"/>
                <w:sz w:val="21"/>
                <w:szCs w:val="21"/>
                <w:lang w:val="en-US" w:eastAsia="zh-CN"/>
              </w:rPr>
              <w:t>工作领域</w:t>
            </w:r>
            <w:r>
              <w:rPr>
                <w:rFonts w:hint="eastAsia" w:ascii="宋体" w:hAnsi="宋体" w:eastAsia="宋体" w:cs="Times New Roman"/>
                <w:color w:val="auto"/>
                <w:sz w:val="21"/>
                <w:szCs w:val="21"/>
              </w:rPr>
              <w:t>之外的所有任务均采用客观评分方式。客观评分任务，学生提交后，在教师端直接可以查看到学生每个实训任务对应的得分情况，主观评分任务提供详细的评分标准，通过分档的形式进行评分</w:t>
            </w:r>
          </w:p>
        </w:tc>
        <w:tc>
          <w:tcPr>
            <w:tcW w:w="1375" w:type="dxa"/>
            <w:tcBorders>
              <w:top w:val="single" w:color="auto" w:sz="4" w:space="0"/>
              <w:left w:val="single" w:color="auto" w:sz="4" w:space="0"/>
              <w:bottom w:val="single" w:color="auto" w:sz="4" w:space="0"/>
              <w:right w:val="single" w:color="auto" w:sz="4" w:space="0"/>
            </w:tcBorders>
            <w:vAlign w:val="center"/>
          </w:tcPr>
          <w:p>
            <w:pPr>
              <w:spacing w:line="360" w:lineRule="auto"/>
              <w:ind w:left="-38"/>
              <w:rPr>
                <w:rFonts w:ascii="宋体" w:hAnsi="宋体" w:cs="宋体"/>
                <w:sz w:val="21"/>
                <w:szCs w:val="21"/>
              </w:rPr>
            </w:pPr>
            <w:r>
              <w:rPr>
                <w:rFonts w:hint="eastAsia" w:ascii="宋体" w:hAnsi="宋体" w:eastAsia="宋体" w:cs="Times New Roman"/>
                <w:color w:val="auto"/>
                <w:sz w:val="21"/>
                <w:szCs w:val="21"/>
                <w:lang w:val="en-US" w:eastAsia="zh-CN"/>
              </w:rPr>
              <w:t>供应商提供演示时间不超过15分钟，演示现场只提供电源，演示所需的其它如：网络环境搭建、各类信号转换、显示设备、线材等自行解决)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4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6</w:t>
            </w:r>
          </w:p>
        </w:tc>
        <w:tc>
          <w:tcPr>
            <w:tcW w:w="122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cs="Times New Roman"/>
                <w:color w:val="auto"/>
                <w:sz w:val="21"/>
                <w:szCs w:val="21"/>
                <w:lang w:val="en-US" w:eastAsia="zh-CN"/>
              </w:rPr>
            </w:pPr>
            <w:r>
              <w:rPr>
                <w:rFonts w:hint="eastAsia" w:ascii="宋体" w:hAnsi="宋体" w:cs="Times New Roman"/>
                <w:color w:val="auto"/>
                <w:sz w:val="21"/>
                <w:szCs w:val="21"/>
                <w:lang w:val="en-US" w:eastAsia="zh-CN"/>
              </w:rPr>
              <w:t>企业实力2%</w:t>
            </w:r>
          </w:p>
        </w:tc>
        <w:tc>
          <w:tcPr>
            <w:tcW w:w="62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cs="Times New Roman"/>
                <w:color w:val="auto"/>
                <w:sz w:val="21"/>
                <w:szCs w:val="21"/>
                <w:lang w:val="en-US" w:eastAsia="zh-CN"/>
              </w:rPr>
            </w:pPr>
            <w:r>
              <w:rPr>
                <w:rFonts w:hint="eastAsia" w:ascii="宋体" w:hAnsi="宋体" w:cs="Times New Roman"/>
                <w:color w:val="auto"/>
                <w:sz w:val="21"/>
                <w:szCs w:val="21"/>
                <w:lang w:val="en-US" w:eastAsia="zh-CN"/>
              </w:rPr>
              <w:t>2</w:t>
            </w:r>
          </w:p>
        </w:tc>
        <w:tc>
          <w:tcPr>
            <w:tcW w:w="539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Times New Roman"/>
                <w:color w:val="auto"/>
                <w:szCs w:val="21"/>
                <w:lang w:val="en-US" w:eastAsia="zh-CN"/>
              </w:rPr>
            </w:pPr>
            <w:r>
              <w:rPr>
                <w:rFonts w:hint="eastAsia" w:ascii="宋体" w:hAnsi="宋体" w:cs="Times New Roman"/>
                <w:color w:val="auto"/>
                <w:szCs w:val="21"/>
                <w:lang w:val="en-US" w:eastAsia="zh-CN"/>
              </w:rPr>
              <w:t>提供所投产品（直播营销理实一体化实训系统、</w:t>
            </w:r>
            <w:r>
              <w:rPr>
                <w:rFonts w:hint="eastAsia" w:ascii="宋体" w:hAnsi="宋体" w:eastAsia="宋体" w:cs="Times New Roman"/>
                <w:color w:val="auto"/>
                <w:sz w:val="21"/>
                <w:szCs w:val="21"/>
              </w:rPr>
              <w:t>电子商务师三级实训系统</w:t>
            </w:r>
            <w:r>
              <w:rPr>
                <w:rFonts w:hint="eastAsia" w:ascii="宋体" w:hAnsi="宋体" w:cs="Times New Roman"/>
                <w:color w:val="auto"/>
                <w:szCs w:val="21"/>
                <w:lang w:val="en-US" w:eastAsia="zh-CN"/>
              </w:rPr>
              <w:t>）</w:t>
            </w:r>
            <w:r>
              <w:rPr>
                <w:rFonts w:hint="eastAsia" w:ascii="宋体" w:hAnsi="宋体" w:eastAsia="宋体" w:cs="Times New Roman"/>
                <w:color w:val="auto"/>
                <w:sz w:val="21"/>
                <w:szCs w:val="21"/>
              </w:rPr>
              <w:t>国家版权局颁发的《计算机著作权登记证书》</w:t>
            </w:r>
            <w:r>
              <w:rPr>
                <w:rFonts w:hint="eastAsia" w:ascii="宋体" w:hAnsi="宋体" w:eastAsia="宋体" w:cs="Times New Roman"/>
                <w:color w:val="auto"/>
                <w:sz w:val="21"/>
                <w:szCs w:val="21"/>
                <w:lang w:val="en-US" w:eastAsia="zh-CN"/>
              </w:rPr>
              <w:t>提供一个得1分，最高2分。</w:t>
            </w:r>
          </w:p>
        </w:tc>
        <w:tc>
          <w:tcPr>
            <w:tcW w:w="1375" w:type="dxa"/>
            <w:tcBorders>
              <w:top w:val="single" w:color="auto" w:sz="4" w:space="0"/>
              <w:left w:val="single" w:color="auto" w:sz="4" w:space="0"/>
              <w:bottom w:val="single" w:color="auto" w:sz="4" w:space="0"/>
              <w:right w:val="single" w:color="auto" w:sz="4" w:space="0"/>
            </w:tcBorders>
            <w:vAlign w:val="center"/>
          </w:tcPr>
          <w:p>
            <w:pPr>
              <w:spacing w:line="360" w:lineRule="auto"/>
              <w:ind w:left="-38"/>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4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7</w:t>
            </w:r>
          </w:p>
        </w:tc>
        <w:tc>
          <w:tcPr>
            <w:tcW w:w="12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1"/>
                <w:szCs w:val="21"/>
              </w:rPr>
            </w:pPr>
            <w:r>
              <w:rPr>
                <w:rFonts w:hint="eastAsia" w:ascii="宋体" w:hAnsi="宋体" w:cs="宋体"/>
                <w:sz w:val="21"/>
                <w:szCs w:val="21"/>
              </w:rPr>
              <w:t>业绩</w:t>
            </w:r>
            <w:r>
              <w:rPr>
                <w:rFonts w:hint="eastAsia" w:ascii="宋体" w:hAnsi="宋体" w:cs="宋体"/>
                <w:sz w:val="21"/>
                <w:szCs w:val="21"/>
                <w:lang w:val="en-US" w:eastAsia="zh-CN"/>
              </w:rPr>
              <w:t>10</w:t>
            </w:r>
            <w:r>
              <w:rPr>
                <w:rFonts w:hint="eastAsia" w:ascii="宋体" w:hAnsi="宋体" w:cs="宋体"/>
                <w:sz w:val="21"/>
                <w:szCs w:val="21"/>
              </w:rPr>
              <w:t>%</w:t>
            </w:r>
          </w:p>
        </w:tc>
        <w:tc>
          <w:tcPr>
            <w:tcW w:w="62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10</w:t>
            </w:r>
          </w:p>
        </w:tc>
        <w:tc>
          <w:tcPr>
            <w:tcW w:w="539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投标人提供的2019年1月1日至今所投同类业绩（以合同签订日期为准，到达最终用户，仅限投标人本身，提供完整合同复印件</w:t>
            </w:r>
            <w:r>
              <w:rPr>
                <w:rFonts w:hint="eastAsia" w:ascii="宋体" w:hAnsi="宋体" w:eastAsia="宋体" w:cs="Times New Roman"/>
                <w:color w:val="auto"/>
                <w:sz w:val="21"/>
                <w:szCs w:val="21"/>
                <w:lang w:eastAsia="zh-CN"/>
              </w:rPr>
              <w:t>、中标通知书和中标公告截图同时具备为一份有效业绩</w:t>
            </w:r>
            <w:r>
              <w:rPr>
                <w:rFonts w:hint="eastAsia" w:ascii="宋体" w:hAnsi="宋体" w:eastAsia="宋体" w:cs="Times New Roman"/>
                <w:color w:val="auto"/>
                <w:sz w:val="21"/>
                <w:szCs w:val="21"/>
              </w:rPr>
              <w:t>）进行评定，每份计1分，最高计</w:t>
            </w:r>
            <w:r>
              <w:rPr>
                <w:rFonts w:hint="eastAsia" w:ascii="宋体" w:hAnsi="宋体" w:cs="Times New Roman"/>
                <w:color w:val="auto"/>
                <w:sz w:val="21"/>
                <w:szCs w:val="21"/>
                <w:lang w:val="en-US" w:eastAsia="zh-CN"/>
              </w:rPr>
              <w:t>10</w:t>
            </w:r>
            <w:r>
              <w:rPr>
                <w:rFonts w:hint="eastAsia" w:ascii="宋体" w:hAnsi="宋体" w:eastAsia="宋体" w:cs="Times New Roman"/>
                <w:color w:val="auto"/>
                <w:sz w:val="21"/>
                <w:szCs w:val="21"/>
              </w:rPr>
              <w:t>分。</w:t>
            </w:r>
          </w:p>
        </w:tc>
        <w:tc>
          <w:tcPr>
            <w:tcW w:w="1375" w:type="dxa"/>
            <w:tcBorders>
              <w:top w:val="single" w:color="auto" w:sz="4" w:space="0"/>
              <w:left w:val="single" w:color="auto" w:sz="4" w:space="0"/>
              <w:bottom w:val="single" w:color="auto" w:sz="4" w:space="0"/>
              <w:right w:val="single" w:color="auto" w:sz="4" w:space="0"/>
            </w:tcBorders>
            <w:vAlign w:val="center"/>
          </w:tcPr>
          <w:p>
            <w:pPr>
              <w:spacing w:line="360" w:lineRule="auto"/>
              <w:ind w:left="-38" w:leftChars="0"/>
              <w:rPr>
                <w:rFonts w:ascii="宋体" w:hAnsi="宋体" w:cs="宋体"/>
                <w:sz w:val="21"/>
                <w:szCs w:val="21"/>
              </w:rPr>
            </w:pPr>
            <w:r>
              <w:rPr>
                <w:rFonts w:hint="eastAsia" w:ascii="宋体" w:hAnsi="宋体" w:cs="宋体"/>
                <w:sz w:val="21"/>
                <w:szCs w:val="21"/>
              </w:rPr>
              <w:t>（原件开标现场携带备查）</w:t>
            </w:r>
          </w:p>
        </w:tc>
      </w:tr>
    </w:tbl>
    <w:p>
      <w:pPr>
        <w:spacing w:line="500" w:lineRule="exact"/>
        <w:ind w:firstLine="560" w:firstLineChars="200"/>
        <w:outlineLvl w:val="3"/>
        <w:rPr>
          <w:rFonts w:hint="eastAsia"/>
          <w:sz w:val="28"/>
          <w:szCs w:val="28"/>
          <w:lang w:eastAsia="zh-CN"/>
        </w:rPr>
        <w:sectPr>
          <w:pgSz w:w="11906" w:h="16838"/>
          <w:pgMar w:top="1440" w:right="1803" w:bottom="1440" w:left="1803" w:header="851" w:footer="992" w:gutter="0"/>
          <w:pgNumType w:fmt="decimal"/>
          <w:cols w:space="720" w:num="1"/>
          <w:docGrid w:type="lines" w:linePitch="319" w:charSpace="0"/>
        </w:sectPr>
      </w:pPr>
    </w:p>
    <w:p>
      <w:pPr>
        <w:spacing w:line="500" w:lineRule="exact"/>
        <w:ind w:firstLine="560" w:firstLineChars="200"/>
        <w:outlineLvl w:val="3"/>
        <w:rPr>
          <w:rFonts w:ascii="宋体" w:hAnsi="宋体" w:cs="宋体"/>
          <w:sz w:val="24"/>
          <w:szCs w:val="24"/>
        </w:rPr>
      </w:pPr>
      <w:r>
        <w:rPr>
          <w:rFonts w:hint="eastAsia"/>
          <w:sz w:val="28"/>
          <w:szCs w:val="28"/>
          <w:lang w:eastAsia="zh-CN"/>
        </w:rPr>
        <w:t>合同包</w:t>
      </w:r>
      <w:r>
        <w:rPr>
          <w:rFonts w:hint="eastAsia"/>
          <w:sz w:val="28"/>
          <w:szCs w:val="28"/>
          <w:lang w:val="en-US" w:eastAsia="zh-CN"/>
        </w:rPr>
        <w:t>4</w:t>
      </w:r>
    </w:p>
    <w:tbl>
      <w:tblPr>
        <w:tblStyle w:val="29"/>
        <w:tblW w:w="9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223"/>
        <w:gridCol w:w="620"/>
        <w:gridCol w:w="5399"/>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60" w:type="dxa"/>
            <w:vAlign w:val="center"/>
          </w:tcPr>
          <w:p>
            <w:pPr>
              <w:spacing w:line="360" w:lineRule="auto"/>
              <w:rPr>
                <w:rFonts w:ascii="宋体" w:hAnsi="宋体" w:cs="宋体"/>
                <w:b/>
                <w:bCs/>
                <w:sz w:val="21"/>
                <w:szCs w:val="21"/>
              </w:rPr>
            </w:pPr>
            <w:r>
              <w:rPr>
                <w:rFonts w:hint="eastAsia" w:ascii="宋体" w:hAnsi="宋体" w:cs="宋体"/>
                <w:b/>
                <w:bCs/>
                <w:sz w:val="21"/>
                <w:szCs w:val="21"/>
              </w:rPr>
              <w:t>序号</w:t>
            </w:r>
          </w:p>
        </w:tc>
        <w:tc>
          <w:tcPr>
            <w:tcW w:w="1223" w:type="dxa"/>
            <w:vAlign w:val="center"/>
          </w:tcPr>
          <w:p>
            <w:pPr>
              <w:spacing w:line="360" w:lineRule="auto"/>
              <w:ind w:firstLine="28"/>
              <w:rPr>
                <w:rFonts w:ascii="宋体" w:hAnsi="宋体" w:cs="宋体"/>
                <w:b/>
                <w:bCs/>
                <w:sz w:val="21"/>
                <w:szCs w:val="21"/>
              </w:rPr>
            </w:pPr>
            <w:r>
              <w:rPr>
                <w:rFonts w:hint="eastAsia" w:ascii="宋体" w:hAnsi="宋体" w:cs="宋体"/>
                <w:b/>
                <w:bCs/>
                <w:sz w:val="21"/>
                <w:szCs w:val="21"/>
              </w:rPr>
              <w:t>评分因素及权重</w:t>
            </w:r>
          </w:p>
        </w:tc>
        <w:tc>
          <w:tcPr>
            <w:tcW w:w="620" w:type="dxa"/>
            <w:vAlign w:val="center"/>
          </w:tcPr>
          <w:p>
            <w:pPr>
              <w:spacing w:line="360" w:lineRule="auto"/>
              <w:ind w:firstLine="28"/>
              <w:jc w:val="center"/>
              <w:rPr>
                <w:rFonts w:ascii="宋体" w:hAnsi="宋体" w:cs="宋体"/>
                <w:b/>
                <w:bCs/>
                <w:sz w:val="21"/>
                <w:szCs w:val="21"/>
              </w:rPr>
            </w:pPr>
            <w:r>
              <w:rPr>
                <w:rFonts w:hint="eastAsia" w:ascii="宋体" w:hAnsi="宋体" w:cs="宋体"/>
                <w:b/>
                <w:bCs/>
                <w:sz w:val="21"/>
                <w:szCs w:val="21"/>
              </w:rPr>
              <w:t>分值</w:t>
            </w:r>
          </w:p>
        </w:tc>
        <w:tc>
          <w:tcPr>
            <w:tcW w:w="5399" w:type="dxa"/>
            <w:vAlign w:val="center"/>
          </w:tcPr>
          <w:p>
            <w:pPr>
              <w:spacing w:line="360" w:lineRule="auto"/>
              <w:ind w:firstLine="28"/>
              <w:jc w:val="center"/>
              <w:rPr>
                <w:rFonts w:ascii="宋体" w:hAnsi="宋体" w:cs="宋体"/>
                <w:b/>
                <w:bCs/>
                <w:sz w:val="21"/>
                <w:szCs w:val="21"/>
              </w:rPr>
            </w:pPr>
            <w:r>
              <w:rPr>
                <w:rFonts w:hint="eastAsia" w:ascii="宋体" w:hAnsi="宋体" w:cs="宋体"/>
                <w:b/>
                <w:bCs/>
                <w:sz w:val="21"/>
                <w:szCs w:val="21"/>
              </w:rPr>
              <w:t>评分标准</w:t>
            </w:r>
          </w:p>
        </w:tc>
        <w:tc>
          <w:tcPr>
            <w:tcW w:w="1375" w:type="dxa"/>
            <w:vAlign w:val="center"/>
          </w:tcPr>
          <w:p>
            <w:pPr>
              <w:spacing w:line="360" w:lineRule="auto"/>
              <w:jc w:val="center"/>
              <w:rPr>
                <w:rFonts w:ascii="宋体" w:hAnsi="宋体" w:cs="宋体"/>
                <w:b/>
                <w:bCs/>
                <w:sz w:val="21"/>
                <w:szCs w:val="21"/>
              </w:rPr>
            </w:pPr>
            <w:r>
              <w:rPr>
                <w:rFonts w:hint="eastAsia" w:ascii="宋体" w:hAnsi="宋体" w:cs="宋体"/>
                <w:b/>
                <w:bCs/>
                <w:sz w:val="21"/>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9" w:hRule="atLeast"/>
        </w:trPr>
        <w:tc>
          <w:tcPr>
            <w:tcW w:w="460" w:type="dxa"/>
            <w:vAlign w:val="center"/>
          </w:tcPr>
          <w:p>
            <w:pPr>
              <w:spacing w:line="360" w:lineRule="auto"/>
              <w:ind w:firstLine="28"/>
              <w:jc w:val="center"/>
              <w:rPr>
                <w:rFonts w:ascii="宋体" w:hAnsi="宋体" w:cs="宋体"/>
                <w:sz w:val="21"/>
                <w:szCs w:val="21"/>
              </w:rPr>
            </w:pPr>
            <w:r>
              <w:rPr>
                <w:rFonts w:hint="eastAsia" w:ascii="宋体" w:hAnsi="宋体" w:cs="宋体"/>
                <w:sz w:val="21"/>
                <w:szCs w:val="21"/>
              </w:rPr>
              <w:t>1</w:t>
            </w:r>
          </w:p>
        </w:tc>
        <w:tc>
          <w:tcPr>
            <w:tcW w:w="1223" w:type="dxa"/>
            <w:vAlign w:val="center"/>
          </w:tcPr>
          <w:p>
            <w:pPr>
              <w:spacing w:line="360" w:lineRule="auto"/>
              <w:ind w:firstLine="28"/>
              <w:jc w:val="center"/>
              <w:rPr>
                <w:rFonts w:ascii="宋体" w:hAnsi="宋体" w:cs="宋体"/>
                <w:color w:val="auto"/>
                <w:sz w:val="21"/>
                <w:szCs w:val="21"/>
              </w:rPr>
            </w:pPr>
            <w:r>
              <w:rPr>
                <w:rFonts w:hint="eastAsia" w:ascii="宋体" w:hAnsi="宋体" w:cs="宋体"/>
                <w:color w:val="auto"/>
                <w:sz w:val="21"/>
                <w:szCs w:val="21"/>
              </w:rPr>
              <w:t>报价</w:t>
            </w:r>
            <w:r>
              <w:rPr>
                <w:rFonts w:hint="eastAsia" w:ascii="宋体" w:hAnsi="宋体" w:cs="宋体"/>
                <w:color w:val="auto"/>
                <w:sz w:val="21"/>
                <w:szCs w:val="21"/>
                <w:lang w:val="en-US" w:eastAsia="zh-CN"/>
              </w:rPr>
              <w:t>30</w:t>
            </w:r>
            <w:r>
              <w:rPr>
                <w:rFonts w:hint="eastAsia" w:ascii="宋体" w:hAnsi="宋体" w:cs="宋体"/>
                <w:color w:val="auto"/>
                <w:sz w:val="21"/>
                <w:szCs w:val="21"/>
              </w:rPr>
              <w:t>%</w:t>
            </w:r>
          </w:p>
        </w:tc>
        <w:tc>
          <w:tcPr>
            <w:tcW w:w="620" w:type="dxa"/>
            <w:vAlign w:val="center"/>
          </w:tcPr>
          <w:p>
            <w:pPr>
              <w:spacing w:line="360" w:lineRule="auto"/>
              <w:ind w:firstLine="28"/>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30</w:t>
            </w:r>
          </w:p>
        </w:tc>
        <w:tc>
          <w:tcPr>
            <w:tcW w:w="5399" w:type="dxa"/>
            <w:vAlign w:val="center"/>
          </w:tcPr>
          <w:p>
            <w:pPr>
              <w:spacing w:line="360" w:lineRule="auto"/>
              <w:rPr>
                <w:rFonts w:ascii="宋体" w:hAnsi="宋体"/>
                <w:color w:val="auto"/>
                <w:sz w:val="21"/>
                <w:szCs w:val="21"/>
              </w:rPr>
            </w:pPr>
            <w:r>
              <w:rPr>
                <w:rFonts w:hint="eastAsia" w:ascii="宋体" w:hAnsi="宋体"/>
                <w:color w:val="auto"/>
                <w:sz w:val="21"/>
                <w:szCs w:val="21"/>
              </w:rPr>
              <w:t>价格分应当采用低价优先法计算，即满足招标文件要求且投标价格最低的投标报价为评标基准价，其价格分为满分。其他供应商的价格分统一按照下列公式计算：</w:t>
            </w:r>
          </w:p>
          <w:p>
            <w:pPr>
              <w:spacing w:line="360" w:lineRule="auto"/>
              <w:rPr>
                <w:rFonts w:ascii="宋体" w:hAnsi="宋体"/>
                <w:color w:val="auto"/>
                <w:sz w:val="21"/>
                <w:szCs w:val="21"/>
              </w:rPr>
            </w:pPr>
            <w:r>
              <w:rPr>
                <w:rFonts w:hint="eastAsia" w:ascii="宋体" w:hAnsi="宋体"/>
                <w:color w:val="auto"/>
                <w:sz w:val="21"/>
                <w:szCs w:val="21"/>
              </w:rPr>
              <w:t>报价得分＝（评标基准价/投标报价）×</w:t>
            </w:r>
            <w:r>
              <w:rPr>
                <w:rFonts w:hint="eastAsia" w:ascii="宋体" w:hAnsi="宋体"/>
                <w:color w:val="auto"/>
                <w:sz w:val="21"/>
                <w:szCs w:val="21"/>
                <w:lang w:val="en-US" w:eastAsia="zh-CN"/>
              </w:rPr>
              <w:t>30</w:t>
            </w:r>
            <w:r>
              <w:rPr>
                <w:rFonts w:hint="eastAsia" w:ascii="宋体" w:hAnsi="宋体"/>
                <w:color w:val="auto"/>
                <w:sz w:val="21"/>
                <w:szCs w:val="21"/>
              </w:rPr>
              <w:t>。</w:t>
            </w:r>
          </w:p>
          <w:p>
            <w:pPr>
              <w:spacing w:line="360" w:lineRule="auto"/>
              <w:rPr>
                <w:rFonts w:ascii="宋体" w:hAnsi="宋体" w:cs="宋体"/>
                <w:color w:val="auto"/>
                <w:sz w:val="21"/>
                <w:szCs w:val="21"/>
              </w:rPr>
            </w:pPr>
            <w:r>
              <w:rPr>
                <w:rFonts w:hint="eastAsia" w:ascii="宋体" w:hAnsi="宋体"/>
                <w:color w:val="auto"/>
                <w:sz w:val="21"/>
                <w:szCs w:val="21"/>
              </w:rPr>
              <w:t>注：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tc>
        <w:tc>
          <w:tcPr>
            <w:tcW w:w="1375" w:type="dxa"/>
            <w:vAlign w:val="center"/>
          </w:tcPr>
          <w:p>
            <w:pPr>
              <w:spacing w:line="360" w:lineRule="auto"/>
              <w:ind w:left="-38"/>
              <w:rPr>
                <w:rFonts w:ascii="宋体" w:hAnsi="宋体" w:cs="宋体"/>
                <w:sz w:val="21"/>
                <w:szCs w:val="21"/>
              </w:rPr>
            </w:pPr>
          </w:p>
          <w:p>
            <w:pPr>
              <w:spacing w:line="360" w:lineRule="auto"/>
              <w:jc w:val="center"/>
              <w:rPr>
                <w:rFonts w:ascii="宋体" w:hAnsi="宋体" w:cs="宋体"/>
                <w:sz w:val="21"/>
                <w:szCs w:val="21"/>
              </w:rPr>
            </w:pPr>
            <w:r>
              <w:rPr>
                <w:rFonts w:hint="eastAsia" w:ascii="宋体" w:hAnsi="宋体" w:cs="宋体"/>
                <w:sz w:val="21"/>
                <w:szCs w:val="21"/>
              </w:rPr>
              <w:t>政策性优惠详见下列评审标准备注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5" w:hRule="atLeast"/>
        </w:trPr>
        <w:tc>
          <w:tcPr>
            <w:tcW w:w="460" w:type="dxa"/>
            <w:vAlign w:val="center"/>
          </w:tcPr>
          <w:p>
            <w:pPr>
              <w:spacing w:line="360" w:lineRule="auto"/>
              <w:ind w:firstLine="28"/>
              <w:jc w:val="center"/>
              <w:rPr>
                <w:rFonts w:ascii="宋体" w:hAnsi="宋体" w:cs="宋体"/>
                <w:sz w:val="21"/>
                <w:szCs w:val="21"/>
              </w:rPr>
            </w:pPr>
            <w:r>
              <w:rPr>
                <w:rFonts w:hint="eastAsia" w:ascii="宋体" w:hAnsi="宋体" w:cs="宋体"/>
                <w:sz w:val="21"/>
                <w:szCs w:val="21"/>
              </w:rPr>
              <w:t>2</w:t>
            </w:r>
          </w:p>
        </w:tc>
        <w:tc>
          <w:tcPr>
            <w:tcW w:w="1223" w:type="dxa"/>
            <w:vAlign w:val="center"/>
          </w:tcPr>
          <w:p>
            <w:pPr>
              <w:spacing w:line="360" w:lineRule="auto"/>
              <w:jc w:val="center"/>
              <w:rPr>
                <w:rFonts w:ascii="宋体" w:hAnsi="宋体" w:cs="宋体"/>
                <w:color w:val="auto"/>
                <w:sz w:val="21"/>
                <w:szCs w:val="21"/>
              </w:rPr>
            </w:pPr>
            <w:r>
              <w:rPr>
                <w:rFonts w:hint="eastAsia" w:ascii="宋体" w:hAnsi="宋体" w:cs="宋体"/>
                <w:color w:val="auto"/>
                <w:sz w:val="21"/>
                <w:szCs w:val="21"/>
              </w:rPr>
              <w:t>技术</w:t>
            </w:r>
            <w:r>
              <w:rPr>
                <w:rFonts w:hint="eastAsia" w:ascii="宋体" w:hAnsi="宋体" w:cs="宋体"/>
                <w:color w:val="auto"/>
                <w:sz w:val="21"/>
                <w:szCs w:val="21"/>
                <w:lang w:eastAsia="zh-CN"/>
              </w:rPr>
              <w:t>指标</w:t>
            </w:r>
            <w:r>
              <w:rPr>
                <w:rFonts w:hint="eastAsia" w:ascii="宋体" w:hAnsi="宋体" w:cs="宋体"/>
                <w:color w:val="auto"/>
                <w:sz w:val="21"/>
                <w:szCs w:val="21"/>
                <w:lang w:val="en-US" w:eastAsia="zh-CN"/>
              </w:rPr>
              <w:t>20</w:t>
            </w:r>
            <w:r>
              <w:rPr>
                <w:rFonts w:hint="eastAsia" w:ascii="宋体" w:hAnsi="宋体" w:cs="宋体"/>
                <w:color w:val="auto"/>
                <w:sz w:val="21"/>
                <w:szCs w:val="21"/>
              </w:rPr>
              <w:t>%</w:t>
            </w:r>
          </w:p>
        </w:tc>
        <w:tc>
          <w:tcPr>
            <w:tcW w:w="620" w:type="dxa"/>
            <w:vAlign w:val="center"/>
          </w:tcPr>
          <w:p>
            <w:pPr>
              <w:spacing w:line="360" w:lineRule="auto"/>
              <w:ind w:firstLine="28"/>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20</w:t>
            </w:r>
          </w:p>
        </w:tc>
        <w:tc>
          <w:tcPr>
            <w:tcW w:w="5399" w:type="dxa"/>
          </w:tcPr>
          <w:p>
            <w:pPr>
              <w:spacing w:line="360" w:lineRule="auto"/>
              <w:rPr>
                <w:rFonts w:hint="eastAsia" w:ascii="宋体" w:hAnsi="宋体" w:eastAsia="宋体"/>
                <w:b/>
                <w:bCs/>
                <w:color w:val="auto"/>
                <w:sz w:val="21"/>
                <w:szCs w:val="21"/>
              </w:rPr>
            </w:pPr>
            <w:r>
              <w:rPr>
                <w:rFonts w:hint="eastAsia" w:ascii="宋体" w:hAnsi="宋体" w:eastAsia="宋体"/>
                <w:b/>
                <w:bCs/>
                <w:color w:val="auto"/>
                <w:sz w:val="21"/>
                <w:szCs w:val="21"/>
              </w:rPr>
              <w:t>根据投标人提供所投产品的主要技术指标（参数）的相应的证明材料（包括但不限于产品彩页、测试报告、官网和功能截图等技术支持性文件（资料），经评审专家审定得分。</w:t>
            </w:r>
          </w:p>
          <w:p>
            <w:pPr>
              <w:spacing w:line="360" w:lineRule="auto"/>
              <w:rPr>
                <w:rFonts w:ascii="宋体" w:hAnsi="宋体" w:cs="宋体"/>
                <w:color w:val="auto"/>
                <w:sz w:val="21"/>
                <w:szCs w:val="21"/>
              </w:rPr>
            </w:pPr>
            <w:r>
              <w:rPr>
                <w:rFonts w:hint="eastAsia" w:ascii="宋体" w:hAnsi="宋体" w:eastAsia="宋体"/>
                <w:color w:val="auto"/>
                <w:sz w:val="21"/>
                <w:szCs w:val="21"/>
              </w:rPr>
              <w:t>基本分（</w:t>
            </w:r>
            <w:r>
              <w:rPr>
                <w:rFonts w:hint="eastAsia" w:ascii="宋体" w:hAnsi="宋体" w:eastAsia="宋体"/>
                <w:color w:val="auto"/>
                <w:sz w:val="21"/>
                <w:szCs w:val="21"/>
                <w:lang w:val="en-US" w:eastAsia="zh-CN"/>
              </w:rPr>
              <w:t>20</w:t>
            </w:r>
            <w:r>
              <w:rPr>
                <w:rFonts w:hint="eastAsia" w:ascii="宋体" w:hAnsi="宋体" w:eastAsia="宋体"/>
                <w:color w:val="auto"/>
                <w:sz w:val="21"/>
                <w:szCs w:val="21"/>
              </w:rPr>
              <w:t>分）：完全符合</w:t>
            </w:r>
            <w:r>
              <w:rPr>
                <w:rFonts w:hint="eastAsia" w:ascii="宋体" w:hAnsi="宋体"/>
                <w:color w:val="auto"/>
                <w:sz w:val="21"/>
                <w:szCs w:val="21"/>
                <w:lang w:eastAsia="zh-CN"/>
              </w:rPr>
              <w:t>公开招标</w:t>
            </w:r>
            <w:r>
              <w:rPr>
                <w:rFonts w:hint="eastAsia" w:ascii="宋体" w:hAnsi="宋体" w:eastAsia="宋体"/>
                <w:color w:val="auto"/>
                <w:sz w:val="21"/>
                <w:szCs w:val="21"/>
              </w:rPr>
              <w:t>文件要求，没有负偏离的得</w:t>
            </w:r>
            <w:r>
              <w:rPr>
                <w:rFonts w:hint="eastAsia" w:ascii="宋体" w:hAnsi="宋体" w:eastAsia="宋体"/>
                <w:color w:val="auto"/>
                <w:sz w:val="21"/>
                <w:szCs w:val="21"/>
                <w:lang w:val="en-US" w:eastAsia="zh-CN"/>
              </w:rPr>
              <w:t>20</w:t>
            </w:r>
            <w:r>
              <w:rPr>
                <w:rFonts w:hint="eastAsia" w:ascii="宋体" w:hAnsi="宋体" w:eastAsia="宋体"/>
                <w:color w:val="auto"/>
                <w:sz w:val="21"/>
                <w:szCs w:val="21"/>
              </w:rPr>
              <w:t>分；技术参数负偏离每项扣1分，扣完为止。</w:t>
            </w:r>
          </w:p>
        </w:tc>
        <w:tc>
          <w:tcPr>
            <w:tcW w:w="137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60" w:type="dxa"/>
            <w:vAlign w:val="center"/>
          </w:tcPr>
          <w:p>
            <w:pPr>
              <w:spacing w:line="360" w:lineRule="auto"/>
              <w:ind w:firstLine="28"/>
              <w:jc w:val="center"/>
              <w:rPr>
                <w:rFonts w:ascii="宋体" w:hAnsi="宋体" w:cs="宋体"/>
                <w:sz w:val="21"/>
                <w:szCs w:val="21"/>
              </w:rPr>
            </w:pPr>
            <w:r>
              <w:rPr>
                <w:rFonts w:hint="eastAsia" w:ascii="宋体" w:hAnsi="宋体" w:cs="宋体"/>
                <w:sz w:val="21"/>
                <w:szCs w:val="21"/>
              </w:rPr>
              <w:t>3</w:t>
            </w:r>
          </w:p>
        </w:tc>
        <w:tc>
          <w:tcPr>
            <w:tcW w:w="1223" w:type="dxa"/>
            <w:vAlign w:val="center"/>
          </w:tcPr>
          <w:p>
            <w:pPr>
              <w:spacing w:line="360" w:lineRule="auto"/>
              <w:jc w:val="center"/>
              <w:rPr>
                <w:rFonts w:ascii="宋体" w:hAnsi="宋体" w:cs="宋体"/>
                <w:sz w:val="21"/>
                <w:szCs w:val="21"/>
              </w:rPr>
            </w:pPr>
            <w:r>
              <w:rPr>
                <w:rFonts w:hint="eastAsia" w:ascii="宋体" w:hAnsi="宋体" w:cs="宋体"/>
                <w:sz w:val="21"/>
                <w:szCs w:val="21"/>
                <w:lang w:eastAsia="zh-CN"/>
              </w:rPr>
              <w:t>实施方案</w:t>
            </w:r>
            <w:r>
              <w:rPr>
                <w:rFonts w:hint="eastAsia" w:ascii="宋体" w:hAnsi="宋体" w:cs="宋体"/>
                <w:sz w:val="21"/>
                <w:szCs w:val="21"/>
              </w:rPr>
              <w:t>1</w:t>
            </w:r>
            <w:r>
              <w:rPr>
                <w:rFonts w:hint="eastAsia" w:ascii="宋体" w:hAnsi="宋体" w:cs="宋体"/>
                <w:sz w:val="21"/>
                <w:szCs w:val="21"/>
                <w:lang w:val="en-US" w:eastAsia="zh-CN"/>
              </w:rPr>
              <w:t>0</w:t>
            </w:r>
            <w:r>
              <w:rPr>
                <w:rFonts w:hint="eastAsia" w:ascii="宋体" w:hAnsi="宋体" w:cs="宋体"/>
                <w:sz w:val="21"/>
                <w:szCs w:val="21"/>
              </w:rPr>
              <w:t>%</w:t>
            </w:r>
          </w:p>
        </w:tc>
        <w:tc>
          <w:tcPr>
            <w:tcW w:w="620" w:type="dxa"/>
            <w:vAlign w:val="center"/>
          </w:tcPr>
          <w:p>
            <w:pPr>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10</w:t>
            </w:r>
          </w:p>
        </w:tc>
        <w:tc>
          <w:tcPr>
            <w:tcW w:w="5399" w:type="dxa"/>
            <w:vAlign w:val="top"/>
          </w:tcPr>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根据</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对本项目采购需求的理解</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包括项目组织实施方案、实施流程、项目准备阶段管理、实施进度阶段管理及验收阶段管理、项目成果交付等各阶段实施方案等</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供应商提供的项目整体实施方案内容全面、详细，能针对采购人需求提供合理可行的实施方案保障，计4</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分；实施方案内容</w:t>
            </w:r>
            <w:r>
              <w:rPr>
                <w:rFonts w:hint="eastAsia" w:ascii="宋体" w:hAnsi="宋体" w:eastAsia="宋体" w:cs="宋体"/>
                <w:color w:val="auto"/>
                <w:sz w:val="21"/>
                <w:szCs w:val="21"/>
                <w:lang w:eastAsia="zh-CN"/>
              </w:rPr>
              <w:t>有细微偏差，不够全面、不够详细，能够</w:t>
            </w:r>
            <w:r>
              <w:rPr>
                <w:rFonts w:hint="eastAsia" w:ascii="宋体" w:hAnsi="宋体" w:eastAsia="宋体" w:cs="宋体"/>
                <w:color w:val="auto"/>
                <w:sz w:val="21"/>
                <w:szCs w:val="21"/>
              </w:rPr>
              <w:t>基本满足需求，计</w:t>
            </w:r>
            <w:r>
              <w:rPr>
                <w:rFonts w:hint="eastAsia" w:ascii="宋体" w:hAnsi="宋体" w:eastAsia="宋体" w:cs="宋体"/>
                <w:color w:val="auto"/>
                <w:sz w:val="21"/>
                <w:szCs w:val="21"/>
                <w:lang w:val="en-US" w:eastAsia="zh-CN"/>
              </w:rPr>
              <w:t>2.1-4</w:t>
            </w:r>
            <w:r>
              <w:rPr>
                <w:rFonts w:hint="eastAsia" w:ascii="宋体" w:hAnsi="宋体" w:eastAsia="宋体" w:cs="宋体"/>
                <w:color w:val="auto"/>
                <w:sz w:val="21"/>
                <w:szCs w:val="21"/>
              </w:rPr>
              <w:t>分；实施方案内容</w:t>
            </w:r>
            <w:r>
              <w:rPr>
                <w:rFonts w:hint="eastAsia" w:ascii="宋体" w:hAnsi="宋体" w:eastAsia="宋体" w:cs="宋体"/>
                <w:color w:val="auto"/>
                <w:sz w:val="21"/>
                <w:szCs w:val="21"/>
                <w:lang w:eastAsia="zh-CN"/>
              </w:rPr>
              <w:t>欠缺、不完善、</w:t>
            </w:r>
            <w:r>
              <w:rPr>
                <w:rFonts w:hint="eastAsia" w:ascii="宋体" w:hAnsi="宋体" w:eastAsia="宋体" w:cs="宋体"/>
                <w:color w:val="auto"/>
                <w:sz w:val="21"/>
                <w:szCs w:val="21"/>
              </w:rPr>
              <w:t>有缺漏项，计</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rPr>
              <w:t>分</w:t>
            </w:r>
            <w:r>
              <w:rPr>
                <w:rFonts w:hint="eastAsia" w:ascii="宋体" w:hAnsi="宋体" w:eastAsia="宋体" w:cs="宋体"/>
                <w:color w:val="auto"/>
                <w:sz w:val="21"/>
                <w:szCs w:val="21"/>
                <w:lang w:eastAsia="zh-CN"/>
              </w:rPr>
              <w:t>；未提供不计分</w:t>
            </w:r>
            <w:r>
              <w:rPr>
                <w:rFonts w:hint="eastAsia" w:ascii="宋体" w:hAnsi="宋体" w:eastAsia="宋体" w:cs="宋体"/>
                <w:color w:val="auto"/>
                <w:sz w:val="21"/>
                <w:szCs w:val="21"/>
              </w:rPr>
              <w:t>。</w:t>
            </w:r>
          </w:p>
          <w:p>
            <w:pPr>
              <w:spacing w:line="360" w:lineRule="auto"/>
              <w:rPr>
                <w:rFonts w:hint="eastAsia" w:hAnsi="宋体" w:eastAsia="宋体" w:cs="宋体"/>
                <w:sz w:val="21"/>
                <w:szCs w:val="21"/>
                <w:lang w:eastAsia="zh-CN"/>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根据</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对本项目所递交的智能财税技能测评平台进行评分（包括但不限于总体架构设计的完整性、应用架构的合理性、技术架构设计的完整性及方案的成熟度进行比较和评价），供应商提供的项目整体实施方案内容全面、详细，能针对采购人需求提供合理可行的实施方案保障，计</w:t>
            </w:r>
            <w:r>
              <w:rPr>
                <w:rFonts w:hint="eastAsia" w:ascii="宋体" w:hAnsi="宋体" w:eastAsia="宋体" w:cs="宋体"/>
                <w:color w:val="auto"/>
                <w:sz w:val="21"/>
                <w:szCs w:val="21"/>
                <w:lang w:val="en-US" w:eastAsia="zh-CN"/>
              </w:rPr>
              <w:t>4.1-5</w:t>
            </w:r>
            <w:r>
              <w:rPr>
                <w:rFonts w:hint="eastAsia" w:ascii="宋体" w:hAnsi="宋体" w:eastAsia="宋体" w:cs="宋体"/>
                <w:color w:val="auto"/>
                <w:sz w:val="21"/>
                <w:szCs w:val="21"/>
              </w:rPr>
              <w:t>分；实施方案内容</w:t>
            </w:r>
            <w:r>
              <w:rPr>
                <w:rFonts w:hint="eastAsia" w:ascii="宋体" w:hAnsi="宋体" w:eastAsia="宋体" w:cs="宋体"/>
                <w:color w:val="auto"/>
                <w:sz w:val="21"/>
                <w:szCs w:val="21"/>
                <w:lang w:eastAsia="zh-CN"/>
              </w:rPr>
              <w:t>有细微偏差，不够全面、不够详细，能够</w:t>
            </w:r>
            <w:r>
              <w:rPr>
                <w:rFonts w:hint="eastAsia" w:ascii="宋体" w:hAnsi="宋体" w:eastAsia="宋体" w:cs="宋体"/>
                <w:color w:val="auto"/>
                <w:sz w:val="21"/>
                <w:szCs w:val="21"/>
              </w:rPr>
              <w:t>基本满足需求，计</w:t>
            </w:r>
            <w:r>
              <w:rPr>
                <w:rFonts w:hint="eastAsia" w:ascii="宋体" w:hAnsi="宋体" w:eastAsia="宋体" w:cs="宋体"/>
                <w:color w:val="auto"/>
                <w:sz w:val="21"/>
                <w:szCs w:val="21"/>
                <w:lang w:val="en-US" w:eastAsia="zh-CN"/>
              </w:rPr>
              <w:t>2.1-4</w:t>
            </w:r>
            <w:r>
              <w:rPr>
                <w:rFonts w:hint="eastAsia" w:ascii="宋体" w:hAnsi="宋体" w:eastAsia="宋体" w:cs="宋体"/>
                <w:color w:val="auto"/>
                <w:sz w:val="21"/>
                <w:szCs w:val="21"/>
              </w:rPr>
              <w:t>分；实施方案内容</w:t>
            </w:r>
            <w:r>
              <w:rPr>
                <w:rFonts w:hint="eastAsia" w:ascii="宋体" w:hAnsi="宋体" w:eastAsia="宋体" w:cs="宋体"/>
                <w:color w:val="auto"/>
                <w:sz w:val="21"/>
                <w:szCs w:val="21"/>
                <w:lang w:eastAsia="zh-CN"/>
              </w:rPr>
              <w:t>欠缺、不完善、</w:t>
            </w:r>
            <w:r>
              <w:rPr>
                <w:rFonts w:hint="eastAsia" w:ascii="宋体" w:hAnsi="宋体" w:eastAsia="宋体" w:cs="宋体"/>
                <w:color w:val="auto"/>
                <w:sz w:val="21"/>
                <w:szCs w:val="21"/>
              </w:rPr>
              <w:t>有缺漏项，计</w:t>
            </w: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rPr>
              <w:t>分</w:t>
            </w:r>
            <w:r>
              <w:rPr>
                <w:rFonts w:hint="eastAsia" w:ascii="宋体" w:hAnsi="宋体" w:eastAsia="宋体" w:cs="宋体"/>
                <w:color w:val="auto"/>
                <w:sz w:val="21"/>
                <w:szCs w:val="21"/>
                <w:lang w:eastAsia="zh-CN"/>
              </w:rPr>
              <w:t>；未提供不计分。</w:t>
            </w:r>
          </w:p>
        </w:tc>
        <w:tc>
          <w:tcPr>
            <w:tcW w:w="1375" w:type="dxa"/>
            <w:vAlign w:val="center"/>
          </w:tcPr>
          <w:p>
            <w:pPr>
              <w:spacing w:line="360" w:lineRule="auto"/>
              <w:ind w:left="-38"/>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trPr>
        <w:tc>
          <w:tcPr>
            <w:tcW w:w="460" w:type="dxa"/>
            <w:vAlign w:val="center"/>
          </w:tcPr>
          <w:p>
            <w:pPr>
              <w:spacing w:line="360" w:lineRule="auto"/>
              <w:ind w:firstLine="28" w:firstLineChars="0"/>
              <w:jc w:val="center"/>
              <w:rPr>
                <w:rFonts w:hint="eastAsia" w:ascii="宋体" w:hAnsi="宋体" w:cs="宋体"/>
                <w:sz w:val="21"/>
                <w:szCs w:val="21"/>
              </w:rPr>
            </w:pPr>
            <w:r>
              <w:rPr>
                <w:rFonts w:hint="eastAsia" w:ascii="宋体" w:hAnsi="宋体" w:cs="宋体"/>
                <w:sz w:val="21"/>
                <w:szCs w:val="21"/>
              </w:rPr>
              <w:t>4</w:t>
            </w:r>
          </w:p>
        </w:tc>
        <w:tc>
          <w:tcPr>
            <w:tcW w:w="1223" w:type="dxa"/>
            <w:vAlign w:val="center"/>
          </w:tcPr>
          <w:p>
            <w:pPr>
              <w:spacing w:line="360" w:lineRule="auto"/>
              <w:ind w:left="-118" w:leftChars="-56" w:right="-94" w:rightChars="-45"/>
              <w:jc w:val="center"/>
              <w:rPr>
                <w:rFonts w:hint="default" w:ascii="宋体" w:hAnsi="宋体" w:eastAsia="宋体" w:cs="宋体"/>
                <w:sz w:val="21"/>
                <w:szCs w:val="21"/>
                <w:lang w:val="en-US" w:eastAsia="zh-CN"/>
              </w:rPr>
            </w:pPr>
            <w:r>
              <w:rPr>
                <w:rFonts w:hint="eastAsia" w:ascii="宋体" w:hAnsi="宋体" w:cs="宋体"/>
                <w:color w:val="000000"/>
                <w:sz w:val="21"/>
                <w:szCs w:val="21"/>
                <w:lang w:eastAsia="zh-CN"/>
              </w:rPr>
              <w:t>售后服务</w:t>
            </w:r>
            <w:r>
              <w:rPr>
                <w:rFonts w:hint="eastAsia" w:ascii="宋体" w:hAnsi="宋体" w:cs="宋体"/>
                <w:color w:val="000000"/>
                <w:sz w:val="21"/>
                <w:szCs w:val="21"/>
                <w:lang w:val="en-US" w:eastAsia="zh-CN"/>
              </w:rPr>
              <w:t>8%</w:t>
            </w:r>
          </w:p>
        </w:tc>
        <w:tc>
          <w:tcPr>
            <w:tcW w:w="620" w:type="dxa"/>
            <w:vAlign w:val="center"/>
          </w:tcPr>
          <w:p>
            <w:pPr>
              <w:spacing w:line="360" w:lineRule="auto"/>
              <w:ind w:left="-118" w:leftChars="-56" w:right="-94" w:rightChars="-45"/>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8</w:t>
            </w:r>
          </w:p>
        </w:tc>
        <w:tc>
          <w:tcPr>
            <w:tcW w:w="5399" w:type="dxa"/>
            <w:vAlign w:val="center"/>
          </w:tcPr>
          <w:p>
            <w:pPr>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针对本项目有完整的售后服务方案及质保期外的质量保证和供应措施，制订了本地化服务的承诺和应急方案（提供有效的办公场所证明），明确了售后服务人员，有售后服务的优惠条件，有相应的物力、人力保障，能够保证产、供、销、售后服务正常运转，有详细的在设备发生不同类型故障后的到达现场时间、解决故障时间、补救措施等方面的措施或方案，同时具有明确的承诺且符合实际需求，提供详细的售后服务方案及售后服务承诺等，方案充实详细、有质量保证承诺，计</w:t>
            </w:r>
            <w:r>
              <w:rPr>
                <w:rFonts w:hint="eastAsia" w:ascii="宋体" w:hAnsi="宋体" w:eastAsia="宋体" w:cs="Times New Roman"/>
                <w:color w:val="auto"/>
                <w:sz w:val="21"/>
                <w:szCs w:val="21"/>
                <w:lang w:val="en-US" w:eastAsia="zh-CN"/>
              </w:rPr>
              <w:t>6.1-8</w:t>
            </w:r>
            <w:r>
              <w:rPr>
                <w:rFonts w:hint="eastAsia" w:ascii="宋体" w:hAnsi="宋体" w:eastAsia="宋体" w:cs="Times New Roman"/>
                <w:color w:val="auto"/>
                <w:sz w:val="21"/>
                <w:szCs w:val="21"/>
              </w:rPr>
              <w:t>分。有售后服务方案及完整的售后服务承诺，满足质保期内的服务要求，有售后服务的措施，计</w:t>
            </w:r>
            <w:r>
              <w:rPr>
                <w:rFonts w:hint="eastAsia" w:ascii="宋体" w:hAnsi="宋体" w:eastAsia="宋体" w:cs="Times New Roman"/>
                <w:color w:val="auto"/>
                <w:sz w:val="21"/>
                <w:szCs w:val="21"/>
                <w:lang w:val="en-US" w:eastAsia="zh-CN"/>
              </w:rPr>
              <w:t>3.1-6</w:t>
            </w:r>
            <w:r>
              <w:rPr>
                <w:rFonts w:hint="eastAsia" w:ascii="宋体" w:hAnsi="宋体" w:eastAsia="宋体" w:cs="Times New Roman"/>
                <w:color w:val="auto"/>
                <w:sz w:val="21"/>
                <w:szCs w:val="21"/>
              </w:rPr>
              <w:t>分；售后服务方案不完整，没有针对本项目的售后服务承诺和具体措施，计</w:t>
            </w:r>
            <w:r>
              <w:rPr>
                <w:rFonts w:hint="eastAsia" w:ascii="宋体" w:hAnsi="宋体" w:eastAsia="宋体" w:cs="Times New Roman"/>
                <w:color w:val="auto"/>
                <w:sz w:val="21"/>
                <w:szCs w:val="21"/>
                <w:lang w:val="en-US" w:eastAsia="zh-CN"/>
              </w:rPr>
              <w:t>1-3</w:t>
            </w:r>
            <w:r>
              <w:rPr>
                <w:rFonts w:hint="eastAsia" w:ascii="宋体" w:hAnsi="宋体" w:eastAsia="宋体" w:cs="Times New Roman"/>
                <w:color w:val="auto"/>
                <w:sz w:val="21"/>
                <w:szCs w:val="21"/>
              </w:rPr>
              <w:t>分；没有售后服务方案不得分。</w:t>
            </w:r>
          </w:p>
        </w:tc>
        <w:tc>
          <w:tcPr>
            <w:tcW w:w="1375" w:type="dxa"/>
            <w:vAlign w:val="center"/>
          </w:tcPr>
          <w:p>
            <w:pPr>
              <w:spacing w:line="360" w:lineRule="auto"/>
              <w:ind w:left="-38"/>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4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 w:firstLineChars="0"/>
              <w:jc w:val="center"/>
              <w:rPr>
                <w:rFonts w:ascii="宋体" w:hAnsi="宋体" w:cs="宋体"/>
                <w:sz w:val="21"/>
                <w:szCs w:val="21"/>
              </w:rPr>
            </w:pPr>
            <w:r>
              <w:rPr>
                <w:rFonts w:hint="eastAsia" w:ascii="宋体" w:hAnsi="宋体" w:cs="宋体"/>
                <w:sz w:val="21"/>
                <w:szCs w:val="21"/>
              </w:rPr>
              <w:t>5</w:t>
            </w:r>
          </w:p>
        </w:tc>
        <w:tc>
          <w:tcPr>
            <w:tcW w:w="12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1"/>
                <w:szCs w:val="21"/>
              </w:rPr>
            </w:pPr>
            <w:r>
              <w:rPr>
                <w:rFonts w:hint="eastAsia" w:ascii="宋体" w:hAnsi="宋体" w:cs="宋体"/>
                <w:sz w:val="21"/>
                <w:szCs w:val="21"/>
              </w:rPr>
              <w:t>培训方案</w:t>
            </w:r>
            <w:r>
              <w:rPr>
                <w:rFonts w:hint="eastAsia" w:ascii="宋体" w:hAnsi="宋体" w:cs="宋体"/>
                <w:sz w:val="21"/>
                <w:szCs w:val="21"/>
                <w:lang w:val="en-US" w:eastAsia="zh-CN"/>
              </w:rPr>
              <w:t>6</w:t>
            </w:r>
            <w:r>
              <w:rPr>
                <w:rFonts w:hint="eastAsia" w:ascii="宋体" w:hAnsi="宋体" w:cs="宋体"/>
                <w:sz w:val="21"/>
                <w:szCs w:val="21"/>
              </w:rPr>
              <w:t>%</w:t>
            </w:r>
          </w:p>
        </w:tc>
        <w:tc>
          <w:tcPr>
            <w:tcW w:w="6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6</w:t>
            </w:r>
          </w:p>
        </w:tc>
        <w:tc>
          <w:tcPr>
            <w:tcW w:w="539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根据供应商提供的培训方案及培训效果保证措施等进行综合评分，培训采购人指定的技术人员和管理人员，制定培训课程计划表，列出每种培训的地点和时间、培训的内容、方式、次数等，培训内容应包括所提供产品的原理和技术性能、操作维护方法、安装调试、排除故障等各个方面，培训的具体日期及人数由使用单位确定。培训方案明确，方案完善、科学合理，针对性强、服务承诺明确，计</w:t>
            </w:r>
            <w:r>
              <w:rPr>
                <w:rFonts w:hint="eastAsia" w:ascii="宋体" w:hAnsi="宋体" w:cs="Times New Roman"/>
                <w:color w:val="auto"/>
                <w:sz w:val="21"/>
                <w:szCs w:val="21"/>
                <w:lang w:val="en-US" w:eastAsia="zh-CN"/>
              </w:rPr>
              <w:t>4</w:t>
            </w:r>
            <w:r>
              <w:rPr>
                <w:rFonts w:hint="eastAsia" w:ascii="宋体" w:hAnsi="宋体" w:eastAsia="宋体" w:cs="Times New Roman"/>
                <w:color w:val="auto"/>
                <w:sz w:val="21"/>
                <w:szCs w:val="21"/>
                <w:lang w:val="en-US" w:eastAsia="zh-CN"/>
              </w:rPr>
              <w:t>.1-</w:t>
            </w:r>
            <w:r>
              <w:rPr>
                <w:rFonts w:hint="eastAsia" w:ascii="宋体" w:hAnsi="宋体" w:cs="Times New Roman"/>
                <w:color w:val="auto"/>
                <w:sz w:val="21"/>
                <w:szCs w:val="21"/>
                <w:lang w:val="en-US" w:eastAsia="zh-CN"/>
              </w:rPr>
              <w:t>6</w:t>
            </w:r>
            <w:r>
              <w:rPr>
                <w:rFonts w:hint="eastAsia" w:ascii="宋体" w:hAnsi="宋体" w:eastAsia="宋体" w:cs="Times New Roman"/>
                <w:color w:val="auto"/>
                <w:sz w:val="21"/>
                <w:szCs w:val="21"/>
              </w:rPr>
              <w:t>分，方案较完整、合理可行、特点和承诺不明确，计</w:t>
            </w:r>
            <w:r>
              <w:rPr>
                <w:rFonts w:hint="eastAsia" w:ascii="宋体" w:hAnsi="宋体" w:cs="Times New Roman"/>
                <w:color w:val="auto"/>
                <w:sz w:val="21"/>
                <w:szCs w:val="21"/>
                <w:lang w:val="en-US" w:eastAsia="zh-CN"/>
              </w:rPr>
              <w:t>2</w:t>
            </w:r>
            <w:r>
              <w:rPr>
                <w:rFonts w:hint="eastAsia" w:ascii="宋体" w:hAnsi="宋体" w:eastAsia="宋体" w:cs="Times New Roman"/>
                <w:color w:val="auto"/>
                <w:sz w:val="21"/>
                <w:szCs w:val="21"/>
                <w:lang w:val="en-US" w:eastAsia="zh-CN"/>
              </w:rPr>
              <w:t>.1-</w:t>
            </w:r>
            <w:r>
              <w:rPr>
                <w:rFonts w:hint="eastAsia" w:ascii="宋体" w:hAnsi="宋体" w:cs="Times New Roman"/>
                <w:color w:val="auto"/>
                <w:sz w:val="21"/>
                <w:szCs w:val="21"/>
                <w:lang w:val="en-US" w:eastAsia="zh-CN"/>
              </w:rPr>
              <w:t>4</w:t>
            </w:r>
            <w:r>
              <w:rPr>
                <w:rFonts w:hint="eastAsia" w:ascii="宋体" w:hAnsi="宋体" w:eastAsia="宋体" w:cs="Times New Roman"/>
                <w:color w:val="auto"/>
                <w:sz w:val="21"/>
                <w:szCs w:val="21"/>
              </w:rPr>
              <w:t>分，方案内容不完整，响应有缺项，与实际需求不符，计</w:t>
            </w:r>
            <w:r>
              <w:rPr>
                <w:rFonts w:hint="eastAsia" w:ascii="宋体" w:hAnsi="宋体" w:cs="Times New Roman"/>
                <w:color w:val="auto"/>
                <w:sz w:val="21"/>
                <w:szCs w:val="21"/>
                <w:lang w:val="en-US" w:eastAsia="zh-CN"/>
              </w:rPr>
              <w:t>0</w:t>
            </w:r>
            <w:r>
              <w:rPr>
                <w:rFonts w:hint="eastAsia" w:ascii="宋体" w:hAnsi="宋体" w:eastAsia="宋体" w:cs="Times New Roman"/>
                <w:color w:val="auto"/>
                <w:sz w:val="21"/>
                <w:szCs w:val="21"/>
                <w:lang w:val="en-US" w:eastAsia="zh-CN"/>
              </w:rPr>
              <w:t>-</w:t>
            </w:r>
            <w:r>
              <w:rPr>
                <w:rFonts w:hint="eastAsia" w:ascii="宋体" w:hAnsi="宋体" w:cs="Times New Roman"/>
                <w:color w:val="auto"/>
                <w:sz w:val="21"/>
                <w:szCs w:val="21"/>
                <w:lang w:val="en-US" w:eastAsia="zh-CN"/>
              </w:rPr>
              <w:t>2</w:t>
            </w:r>
            <w:r>
              <w:rPr>
                <w:rFonts w:hint="eastAsia" w:ascii="宋体" w:hAnsi="宋体" w:eastAsia="宋体" w:cs="Times New Roman"/>
                <w:color w:val="auto"/>
                <w:sz w:val="21"/>
                <w:szCs w:val="21"/>
              </w:rPr>
              <w:t>分，未提供不计分。</w:t>
            </w:r>
          </w:p>
        </w:tc>
        <w:tc>
          <w:tcPr>
            <w:tcW w:w="1375" w:type="dxa"/>
            <w:tcBorders>
              <w:top w:val="single" w:color="auto" w:sz="4" w:space="0"/>
              <w:left w:val="single" w:color="auto" w:sz="4" w:space="0"/>
              <w:bottom w:val="single" w:color="auto" w:sz="4" w:space="0"/>
              <w:right w:val="single" w:color="auto" w:sz="4" w:space="0"/>
            </w:tcBorders>
            <w:vAlign w:val="center"/>
          </w:tcPr>
          <w:p>
            <w:pPr>
              <w:spacing w:line="360" w:lineRule="auto"/>
              <w:ind w:left="-38"/>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4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 w:firstLineChars="0"/>
              <w:jc w:val="center"/>
              <w:rPr>
                <w:rFonts w:hint="eastAsia" w:ascii="宋体" w:hAnsi="宋体" w:cs="宋体"/>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演示8%</w:t>
            </w:r>
          </w:p>
        </w:tc>
        <w:tc>
          <w:tcPr>
            <w:tcW w:w="6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sz w:val="21"/>
                <w:szCs w:val="21"/>
                <w:lang w:val="en-US" w:eastAsia="zh-CN"/>
              </w:rPr>
            </w:pPr>
          </w:p>
        </w:tc>
        <w:tc>
          <w:tcPr>
            <w:tcW w:w="539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Times New Roman"/>
                <w:color w:val="auto"/>
                <w:sz w:val="21"/>
                <w:szCs w:val="21"/>
                <w:lang w:val="en-US" w:eastAsia="zh-CN"/>
              </w:rPr>
            </w:pPr>
            <w:r>
              <w:rPr>
                <w:rFonts w:hint="eastAsia" w:ascii="宋体" w:hAnsi="宋体" w:cs="Times New Roman"/>
                <w:color w:val="auto"/>
                <w:sz w:val="21"/>
                <w:szCs w:val="21"/>
                <w:lang w:val="en-US" w:eastAsia="zh-CN"/>
              </w:rPr>
              <w:t>对</w:t>
            </w:r>
            <w:r>
              <w:rPr>
                <w:rFonts w:hint="eastAsia" w:ascii="宋体" w:hAnsi="宋体" w:eastAsia="宋体" w:cs="Times New Roman"/>
                <w:color w:val="auto"/>
                <w:sz w:val="21"/>
                <w:szCs w:val="21"/>
              </w:rPr>
              <w:t>技术参数表</w:t>
            </w:r>
            <w:r>
              <w:rPr>
                <w:rFonts w:hint="eastAsia" w:ascii="宋体" w:hAnsi="宋体" w:cs="Times New Roman"/>
                <w:color w:val="auto"/>
                <w:sz w:val="21"/>
                <w:szCs w:val="21"/>
                <w:lang w:eastAsia="zh-CN"/>
              </w:rPr>
              <w:t>要求演示项</w:t>
            </w:r>
            <w:r>
              <w:rPr>
                <w:rFonts w:hint="eastAsia" w:ascii="宋体" w:hAnsi="宋体" w:eastAsia="宋体" w:cs="Times New Roman"/>
                <w:color w:val="auto"/>
                <w:sz w:val="21"/>
                <w:szCs w:val="21"/>
              </w:rPr>
              <w:t>进行现场演示，每成功演示一项功能得</w:t>
            </w:r>
            <w:r>
              <w:rPr>
                <w:rFonts w:hint="eastAsia" w:ascii="宋体" w:hAnsi="宋体" w:cs="Times New Roman"/>
                <w:color w:val="auto"/>
                <w:sz w:val="21"/>
                <w:szCs w:val="21"/>
                <w:lang w:val="en-US" w:eastAsia="zh-CN"/>
              </w:rPr>
              <w:t>1</w:t>
            </w:r>
            <w:r>
              <w:rPr>
                <w:rFonts w:hint="eastAsia" w:ascii="宋体" w:hAnsi="宋体" w:eastAsia="宋体" w:cs="Times New Roman"/>
                <w:color w:val="auto"/>
                <w:sz w:val="21"/>
                <w:szCs w:val="21"/>
              </w:rPr>
              <w:t>分，最多</w:t>
            </w:r>
            <w:r>
              <w:rPr>
                <w:rFonts w:hint="eastAsia" w:ascii="宋体" w:hAnsi="宋体" w:eastAsia="宋体" w:cs="Times New Roman"/>
                <w:color w:val="auto"/>
                <w:sz w:val="21"/>
                <w:szCs w:val="21"/>
                <w:lang w:val="en-US" w:eastAsia="zh-CN"/>
              </w:rPr>
              <w:t>得</w:t>
            </w:r>
            <w:r>
              <w:rPr>
                <w:rFonts w:hint="eastAsia" w:ascii="宋体" w:hAnsi="宋体" w:cs="Times New Roman"/>
                <w:color w:val="auto"/>
                <w:sz w:val="21"/>
                <w:szCs w:val="21"/>
                <w:lang w:val="en-US" w:eastAsia="zh-CN"/>
              </w:rPr>
              <w:t>8</w:t>
            </w:r>
            <w:r>
              <w:rPr>
                <w:rFonts w:hint="eastAsia" w:ascii="宋体" w:hAnsi="宋体" w:eastAsia="宋体" w:cs="Times New Roman"/>
                <w:color w:val="auto"/>
                <w:sz w:val="21"/>
                <w:szCs w:val="21"/>
              </w:rPr>
              <w:t>分。</w:t>
            </w:r>
            <w:r>
              <w:rPr>
                <w:rFonts w:hint="eastAsia" w:ascii="宋体" w:hAnsi="宋体" w:cs="Times New Roman"/>
                <w:color w:val="auto"/>
                <w:sz w:val="21"/>
                <w:szCs w:val="21"/>
                <w:lang w:eastAsia="zh-CN"/>
              </w:rPr>
              <w:t>（</w:t>
            </w:r>
            <w:r>
              <w:rPr>
                <w:rFonts w:hint="eastAsia" w:ascii="宋体" w:hAnsi="宋体" w:cs="Times New Roman"/>
                <w:color w:val="auto"/>
                <w:sz w:val="21"/>
                <w:szCs w:val="21"/>
                <w:lang w:val="en-US" w:eastAsia="zh-CN"/>
              </w:rPr>
              <w:t>不限于实体环境、视频、PPT，如采用视频、PPT等非实体环境演示，每项扣0.5分</w:t>
            </w:r>
            <w:r>
              <w:rPr>
                <w:rFonts w:hint="eastAsia" w:ascii="宋体" w:hAnsi="宋体" w:cs="Times New Roman"/>
                <w:color w:val="auto"/>
                <w:sz w:val="21"/>
                <w:szCs w:val="21"/>
                <w:lang w:eastAsia="zh-CN"/>
              </w:rPr>
              <w:t>），</w:t>
            </w:r>
            <w:r>
              <w:rPr>
                <w:rFonts w:hint="eastAsia" w:ascii="宋体" w:hAnsi="宋体" w:cs="Times New Roman"/>
                <w:color w:val="auto"/>
                <w:sz w:val="21"/>
                <w:szCs w:val="21"/>
                <w:lang w:val="en-US" w:eastAsia="zh-CN"/>
              </w:rPr>
              <w:t>不演示为无效响应。演示项如下：</w:t>
            </w:r>
          </w:p>
          <w:p>
            <w:pPr>
              <w:spacing w:line="360" w:lineRule="auto"/>
              <w:rPr>
                <w:rFonts w:hint="eastAsia" w:ascii="宋体" w:hAnsi="宋体" w:cs="Times New Roman"/>
                <w:color w:val="auto"/>
                <w:sz w:val="21"/>
                <w:szCs w:val="21"/>
                <w:lang w:val="en-US" w:eastAsia="zh-CN"/>
              </w:rPr>
            </w:pPr>
            <w:r>
              <w:rPr>
                <w:rFonts w:hint="eastAsia" w:ascii="宋体" w:hAnsi="宋体" w:cs="Times New Roman"/>
                <w:color w:val="auto"/>
                <w:sz w:val="21"/>
                <w:szCs w:val="21"/>
                <w:lang w:val="en-US" w:eastAsia="zh-CN"/>
              </w:rPr>
              <w:t>1、如果学生角色为全角色，可以操作训练中的所有试题。如果为某一岗位，只能操作自己所属角色对应的试题，不能操作其他角色对应的试题。</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2、智能票据系统可实现增值税进项发票OCR识别自动查验、自动记账，员工费用报销OCR识别分类并记账。</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3、进行RPA开票流程设计并运用RPA开票机器人开具电子发票。</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4、票据</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票据管理，实现票据自动归集，既可以接收智能票据系统传入的发票数据自动记账，也可以通过OCR等方式将图像形式的票据识别为数字信息，并按不同公司自动归集分类、智能记账生成凭证。</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5、报表</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资产负债表（月报及季报）、利润表（月报及季报）、现金流量表、现金流量表季报、财务概要信息、所得税纳税调整表。</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6、智能工资</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自动计算工资表，个人所得税附加扣除、专项附加扣除的自动计算，自动计算个人所得税、个税查询、工资的计提、社保公积金的计提、代扣个税、代扣社保公积金、工资发放等功能。</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7、 成本核算</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可对产成品和中间产品设置成本分配定额。</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可维护库存的月初在产品、月末在产品、工费清单信息。</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可自动获取当月期初库存、入库、出库信息、月初月末在产品等信息。</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可按品种法等方法自动计算半成品单位成本，并计算完工产品及在产品成本。</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可按品种法等方法自动计算产成品单位成本，并计算完工产品及在产品成本。</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可将产品成自动回写到产成品入库单、销售出库单等库存单据上。</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可在财务核算系统自动生成成本的相关凭证。</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可查看成本计算过程中的材料清单信息。</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可查看成本计算过程中的成本分配信息。</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可查看成本计算过程中的单位成本计算信息。</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8、 差旅标准设置</w:t>
            </w:r>
          </w:p>
          <w:p>
            <w:pPr>
              <w:spacing w:line="360" w:lineRule="auto"/>
              <w:rPr>
                <w:rFonts w:hint="eastAsia" w:ascii="宋体" w:hAnsi="宋体"/>
                <w:color w:val="auto"/>
                <w:szCs w:val="21"/>
                <w:lang w:val="en-US" w:eastAsia="zh-CN"/>
              </w:rPr>
            </w:pPr>
            <w:r>
              <w:rPr>
                <w:rFonts w:hint="eastAsia" w:ascii="宋体" w:hAnsi="宋体"/>
                <w:color w:val="auto"/>
                <w:szCs w:val="21"/>
                <w:lang w:val="en-US" w:eastAsia="zh-CN"/>
              </w:rPr>
              <w:t>包含机票标准、酒店标准、火车票标准、差旅标准功能。</w:t>
            </w:r>
          </w:p>
          <w:p>
            <w:pPr>
              <w:spacing w:line="360" w:lineRule="auto"/>
              <w:rPr>
                <w:rFonts w:hint="default" w:ascii="宋体" w:hAnsi="宋体" w:eastAsia="宋体" w:cs="Times New Roman"/>
                <w:color w:val="auto"/>
                <w:sz w:val="21"/>
                <w:szCs w:val="21"/>
                <w:lang w:val="en-US" w:eastAsia="zh-CN"/>
              </w:rPr>
            </w:pPr>
            <w:r>
              <w:rPr>
                <w:rFonts w:hint="eastAsia" w:ascii="宋体" w:hAnsi="宋体" w:cs="Times New Roman"/>
                <w:color w:val="auto"/>
                <w:sz w:val="21"/>
                <w:szCs w:val="21"/>
                <w:lang w:val="en-US" w:eastAsia="zh-CN"/>
              </w:rPr>
              <w:t>如演示为视频、PPT评审专家视情况进行响应扣分。</w:t>
            </w:r>
          </w:p>
        </w:tc>
        <w:tc>
          <w:tcPr>
            <w:tcW w:w="1375" w:type="dxa"/>
            <w:tcBorders>
              <w:top w:val="single" w:color="auto" w:sz="4" w:space="0"/>
              <w:left w:val="single" w:color="auto" w:sz="4" w:space="0"/>
              <w:bottom w:val="single" w:color="auto" w:sz="4" w:space="0"/>
              <w:right w:val="single" w:color="auto" w:sz="4" w:space="0"/>
            </w:tcBorders>
            <w:vAlign w:val="center"/>
          </w:tcPr>
          <w:p>
            <w:pPr>
              <w:spacing w:line="360" w:lineRule="auto"/>
              <w:ind w:left="-38"/>
              <w:rPr>
                <w:rFonts w:ascii="宋体" w:hAnsi="宋体" w:cs="宋体"/>
                <w:sz w:val="21"/>
                <w:szCs w:val="21"/>
              </w:rPr>
            </w:pPr>
            <w:r>
              <w:rPr>
                <w:rFonts w:hint="eastAsia" w:ascii="宋体" w:hAnsi="宋体" w:eastAsia="宋体" w:cs="Times New Roman"/>
                <w:color w:val="auto"/>
                <w:sz w:val="21"/>
                <w:szCs w:val="21"/>
                <w:lang w:val="en-US" w:eastAsia="zh-CN"/>
              </w:rPr>
              <w:t>供应商提供演示时间不超过15分钟，演示现场只提供电源，演示所需的其它如：网络环境搭建、各类信号转换、显示设备、线材等自行解决)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4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6</w:t>
            </w:r>
          </w:p>
        </w:tc>
        <w:tc>
          <w:tcPr>
            <w:tcW w:w="12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eastAsia="zh-CN"/>
              </w:rPr>
              <w:t>人员配备</w:t>
            </w:r>
            <w:r>
              <w:rPr>
                <w:rFonts w:hint="eastAsia" w:ascii="宋体" w:hAnsi="宋体" w:cs="宋体"/>
                <w:sz w:val="21"/>
                <w:szCs w:val="21"/>
                <w:lang w:val="en-US" w:eastAsia="zh-CN"/>
              </w:rPr>
              <w:t>8%</w:t>
            </w:r>
          </w:p>
        </w:tc>
        <w:tc>
          <w:tcPr>
            <w:tcW w:w="6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8</w:t>
            </w:r>
          </w:p>
        </w:tc>
        <w:tc>
          <w:tcPr>
            <w:tcW w:w="539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Times New Roman"/>
                <w:color w:val="auto"/>
                <w:sz w:val="21"/>
                <w:szCs w:val="21"/>
              </w:rPr>
            </w:pPr>
            <w:r>
              <w:rPr>
                <w:rFonts w:hint="eastAsia" w:ascii="宋体" w:hAnsi="宋体" w:cs="宋体"/>
              </w:rPr>
              <w:t>提供实施团队成员信息，根据人员清单及专业能力（须提供相关工作经验、相关资质等证明材料）等方面进行综合打分</w:t>
            </w:r>
            <w:r>
              <w:rPr>
                <w:rFonts w:hint="eastAsia" w:ascii="宋体" w:hAnsi="宋体" w:cs="宋体"/>
                <w:lang w:eastAsia="zh-CN"/>
              </w:rPr>
              <w:t>。</w:t>
            </w:r>
            <w:r>
              <w:rPr>
                <w:rFonts w:hint="eastAsia" w:ascii="宋体" w:hAnsi="宋体" w:cs="宋体"/>
              </w:rPr>
              <w:t>针对本项目的实施团队人员充足，组织架构合理，项目人员专业技术能力强，同类项目工作经验丰富，</w:t>
            </w:r>
            <w:r>
              <w:rPr>
                <w:rFonts w:hint="eastAsia" w:ascii="宋体" w:hAnsi="宋体" w:eastAsia="宋体" w:cs="Times New Roman"/>
                <w:color w:val="auto"/>
                <w:sz w:val="21"/>
                <w:szCs w:val="21"/>
              </w:rPr>
              <w:t>计</w:t>
            </w:r>
            <w:r>
              <w:rPr>
                <w:rFonts w:hint="eastAsia" w:ascii="宋体" w:hAnsi="宋体" w:eastAsia="宋体" w:cs="宋体"/>
                <w:lang w:val="en-US" w:eastAsia="zh-CN"/>
              </w:rPr>
              <w:t>6.1-8</w:t>
            </w:r>
            <w:r>
              <w:rPr>
                <w:rFonts w:hint="eastAsia" w:ascii="宋体" w:hAnsi="宋体" w:cs="宋体"/>
              </w:rPr>
              <w:t>分；针对本项目的实施团队人员较充足，组织架构较合理，项目人员专业技术能力较强，同类项目工作经验较少，</w:t>
            </w:r>
            <w:r>
              <w:rPr>
                <w:rFonts w:hint="eastAsia" w:ascii="宋体" w:hAnsi="宋体" w:eastAsia="宋体" w:cs="Times New Roman"/>
                <w:color w:val="auto"/>
                <w:sz w:val="21"/>
                <w:szCs w:val="21"/>
              </w:rPr>
              <w:t>计</w:t>
            </w:r>
            <w:r>
              <w:rPr>
                <w:rFonts w:hint="eastAsia" w:ascii="宋体" w:hAnsi="宋体" w:eastAsia="宋体" w:cs="宋体"/>
                <w:lang w:val="en-US" w:eastAsia="zh-CN"/>
              </w:rPr>
              <w:t>3.1-6</w:t>
            </w:r>
            <w:r>
              <w:rPr>
                <w:rFonts w:hint="eastAsia" w:ascii="宋体" w:hAnsi="宋体" w:cs="宋体"/>
              </w:rPr>
              <w:t>分；针对本项目的实施团队人员较少，组织架构不合理，项目人员专业技术能力差，缺乏同类项目工作经验，</w:t>
            </w:r>
            <w:r>
              <w:rPr>
                <w:rFonts w:hint="eastAsia" w:ascii="宋体" w:hAnsi="宋体" w:eastAsia="宋体" w:cs="Times New Roman"/>
                <w:color w:val="auto"/>
                <w:sz w:val="21"/>
                <w:szCs w:val="21"/>
              </w:rPr>
              <w:t>计</w:t>
            </w:r>
            <w:r>
              <w:rPr>
                <w:rFonts w:hint="eastAsia" w:ascii="宋体" w:hAnsi="宋体" w:eastAsia="宋体" w:cs="宋体"/>
                <w:lang w:val="en-US" w:eastAsia="zh-CN"/>
              </w:rPr>
              <w:t>1-3</w:t>
            </w:r>
            <w:r>
              <w:rPr>
                <w:rFonts w:hint="eastAsia" w:ascii="宋体" w:hAnsi="宋体" w:cs="宋体"/>
              </w:rPr>
              <w:t>分；</w:t>
            </w:r>
            <w:r>
              <w:rPr>
                <w:rFonts w:hint="eastAsia" w:ascii="宋体" w:hAnsi="宋体" w:cs="宋体"/>
                <w:color w:val="auto"/>
                <w:sz w:val="21"/>
                <w:szCs w:val="21"/>
                <w:lang w:val="en-US" w:eastAsia="zh-CN"/>
              </w:rPr>
              <w:t>未提供不得分。</w:t>
            </w:r>
          </w:p>
        </w:tc>
        <w:tc>
          <w:tcPr>
            <w:tcW w:w="1375" w:type="dxa"/>
            <w:tcBorders>
              <w:top w:val="single" w:color="auto" w:sz="4" w:space="0"/>
              <w:left w:val="single" w:color="auto" w:sz="4" w:space="0"/>
              <w:bottom w:val="single" w:color="auto" w:sz="4" w:space="0"/>
              <w:right w:val="single" w:color="auto" w:sz="4" w:space="0"/>
            </w:tcBorders>
            <w:vAlign w:val="center"/>
          </w:tcPr>
          <w:p>
            <w:pPr>
              <w:spacing w:line="360" w:lineRule="auto"/>
              <w:ind w:left="-38"/>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4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7</w:t>
            </w:r>
          </w:p>
        </w:tc>
        <w:tc>
          <w:tcPr>
            <w:tcW w:w="12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1"/>
                <w:szCs w:val="21"/>
              </w:rPr>
            </w:pPr>
            <w:r>
              <w:rPr>
                <w:rFonts w:hint="eastAsia" w:ascii="宋体" w:hAnsi="宋体" w:cs="宋体"/>
                <w:sz w:val="21"/>
                <w:szCs w:val="21"/>
              </w:rPr>
              <w:t>业绩</w:t>
            </w:r>
            <w:r>
              <w:rPr>
                <w:rFonts w:hint="eastAsia" w:ascii="宋体" w:hAnsi="宋体" w:cs="宋体"/>
                <w:sz w:val="21"/>
                <w:szCs w:val="21"/>
                <w:lang w:val="en-US" w:eastAsia="zh-CN"/>
              </w:rPr>
              <w:t>10</w:t>
            </w:r>
            <w:r>
              <w:rPr>
                <w:rFonts w:hint="eastAsia" w:ascii="宋体" w:hAnsi="宋体" w:cs="宋体"/>
                <w:sz w:val="21"/>
                <w:szCs w:val="21"/>
              </w:rPr>
              <w:t>%</w:t>
            </w:r>
          </w:p>
        </w:tc>
        <w:tc>
          <w:tcPr>
            <w:tcW w:w="62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10</w:t>
            </w:r>
          </w:p>
        </w:tc>
        <w:tc>
          <w:tcPr>
            <w:tcW w:w="539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Times New Roman"/>
                <w:color w:val="auto"/>
                <w:sz w:val="21"/>
                <w:szCs w:val="21"/>
              </w:rPr>
            </w:pPr>
            <w:r>
              <w:rPr>
                <w:rFonts w:hint="eastAsia" w:ascii="宋体" w:hAnsi="宋体"/>
                <w:color w:val="000000" w:themeColor="text1"/>
                <w:szCs w:val="21"/>
                <w14:textFill>
                  <w14:solidFill>
                    <w14:schemeClr w14:val="tx1"/>
                  </w14:solidFill>
                </w14:textFill>
              </w:rPr>
              <w:t>投标人提供的2019年1月1日至今所投同类业绩（以合同签订日期为准，到达最终用户，仅限投标人本身，提供完整合同复印件</w:t>
            </w:r>
            <w:r>
              <w:rPr>
                <w:rFonts w:hint="eastAsia" w:ascii="宋体" w:hAnsi="宋体"/>
                <w:color w:val="000000" w:themeColor="text1"/>
                <w:szCs w:val="21"/>
                <w:lang w:val="en-US" w:eastAsia="zh-CN"/>
                <w14:textFill>
                  <w14:solidFill>
                    <w14:schemeClr w14:val="tx1"/>
                  </w14:solidFill>
                </w14:textFill>
              </w:rPr>
              <w:t>、中标通知书和中标公告截图同时具备</w:t>
            </w:r>
            <w:r>
              <w:rPr>
                <w:rFonts w:hint="eastAsia" w:ascii="宋体" w:hAnsi="宋体"/>
                <w:color w:val="000000" w:themeColor="text1"/>
                <w:szCs w:val="21"/>
                <w14:textFill>
                  <w14:solidFill>
                    <w14:schemeClr w14:val="tx1"/>
                  </w14:solidFill>
                </w14:textFill>
              </w:rPr>
              <w:t>为一份有效业绩）进行评定，每份计1分，最高计10分。</w:t>
            </w:r>
          </w:p>
        </w:tc>
        <w:tc>
          <w:tcPr>
            <w:tcW w:w="1375" w:type="dxa"/>
            <w:tcBorders>
              <w:top w:val="single" w:color="auto" w:sz="4" w:space="0"/>
              <w:left w:val="single" w:color="auto" w:sz="4" w:space="0"/>
              <w:bottom w:val="single" w:color="auto" w:sz="4" w:space="0"/>
              <w:right w:val="single" w:color="auto" w:sz="4" w:space="0"/>
            </w:tcBorders>
            <w:vAlign w:val="center"/>
          </w:tcPr>
          <w:p>
            <w:pPr>
              <w:spacing w:line="360" w:lineRule="auto"/>
              <w:ind w:left="-38" w:leftChars="0"/>
              <w:rPr>
                <w:rFonts w:ascii="宋体" w:hAnsi="宋体" w:cs="宋体"/>
                <w:sz w:val="21"/>
                <w:szCs w:val="21"/>
              </w:rPr>
            </w:pPr>
            <w:r>
              <w:rPr>
                <w:rFonts w:hint="eastAsia" w:ascii="宋体" w:hAnsi="宋体" w:cs="宋体"/>
                <w:sz w:val="21"/>
                <w:szCs w:val="21"/>
              </w:rPr>
              <w:t>（原件开标现场携带备查）</w:t>
            </w:r>
          </w:p>
        </w:tc>
      </w:tr>
    </w:tbl>
    <w:p>
      <w:pPr>
        <w:spacing w:line="500" w:lineRule="exact"/>
        <w:ind w:firstLine="480" w:firstLineChars="200"/>
        <w:outlineLvl w:val="3"/>
        <w:rPr>
          <w:rFonts w:hint="eastAsia" w:ascii="宋体" w:hAnsi="宋体" w:cs="宋体"/>
          <w:sz w:val="24"/>
          <w:szCs w:val="24"/>
          <w:lang w:eastAsia="zh-CN"/>
        </w:rPr>
        <w:sectPr>
          <w:pgSz w:w="11906" w:h="16838"/>
          <w:pgMar w:top="1440" w:right="1803" w:bottom="1440" w:left="1803" w:header="851" w:footer="992" w:gutter="0"/>
          <w:pgNumType w:fmt="decimal"/>
          <w:cols w:space="720" w:num="1"/>
          <w:docGrid w:type="lines" w:linePitch="319" w:charSpace="0"/>
        </w:sectPr>
      </w:pPr>
    </w:p>
    <w:p>
      <w:pPr>
        <w:spacing w:line="500" w:lineRule="exact"/>
        <w:ind w:firstLine="480" w:firstLineChars="200"/>
        <w:outlineLvl w:val="3"/>
        <w:rPr>
          <w:rFonts w:hint="default" w:ascii="宋体" w:hAnsi="宋体" w:eastAsia="宋体" w:cs="宋体"/>
          <w:sz w:val="24"/>
          <w:szCs w:val="24"/>
          <w:lang w:val="en-US" w:eastAsia="zh-CN"/>
        </w:rPr>
      </w:pPr>
      <w:r>
        <w:rPr>
          <w:rFonts w:hint="eastAsia" w:ascii="宋体" w:hAnsi="宋体" w:cs="宋体"/>
          <w:sz w:val="24"/>
          <w:szCs w:val="24"/>
          <w:lang w:eastAsia="zh-CN"/>
        </w:rPr>
        <w:t>合同包</w:t>
      </w:r>
      <w:r>
        <w:rPr>
          <w:rFonts w:hint="eastAsia" w:ascii="宋体" w:hAnsi="宋体" w:cs="宋体"/>
          <w:sz w:val="24"/>
          <w:szCs w:val="24"/>
          <w:lang w:val="en-US" w:eastAsia="zh-CN"/>
        </w:rPr>
        <w:t>5</w:t>
      </w:r>
    </w:p>
    <w:tbl>
      <w:tblPr>
        <w:tblStyle w:val="29"/>
        <w:tblW w:w="9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223"/>
        <w:gridCol w:w="620"/>
        <w:gridCol w:w="5399"/>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60" w:type="dxa"/>
            <w:vAlign w:val="center"/>
          </w:tcPr>
          <w:p>
            <w:pPr>
              <w:spacing w:line="360" w:lineRule="auto"/>
              <w:rPr>
                <w:rFonts w:ascii="宋体" w:hAnsi="宋体" w:cs="宋体"/>
                <w:b/>
                <w:bCs/>
                <w:sz w:val="21"/>
                <w:szCs w:val="21"/>
              </w:rPr>
            </w:pPr>
            <w:r>
              <w:rPr>
                <w:rFonts w:hint="eastAsia" w:ascii="宋体" w:hAnsi="宋体" w:cs="宋体"/>
                <w:b/>
                <w:bCs/>
                <w:sz w:val="21"/>
                <w:szCs w:val="21"/>
              </w:rPr>
              <w:t>序号</w:t>
            </w:r>
          </w:p>
        </w:tc>
        <w:tc>
          <w:tcPr>
            <w:tcW w:w="1223" w:type="dxa"/>
            <w:vAlign w:val="center"/>
          </w:tcPr>
          <w:p>
            <w:pPr>
              <w:spacing w:line="360" w:lineRule="auto"/>
              <w:ind w:firstLine="28"/>
              <w:rPr>
                <w:rFonts w:ascii="宋体" w:hAnsi="宋体" w:cs="宋体"/>
                <w:b/>
                <w:bCs/>
                <w:sz w:val="21"/>
                <w:szCs w:val="21"/>
              </w:rPr>
            </w:pPr>
            <w:r>
              <w:rPr>
                <w:rFonts w:hint="eastAsia" w:ascii="宋体" w:hAnsi="宋体" w:cs="宋体"/>
                <w:b/>
                <w:bCs/>
                <w:sz w:val="21"/>
                <w:szCs w:val="21"/>
              </w:rPr>
              <w:t>评分因素及权重</w:t>
            </w:r>
          </w:p>
        </w:tc>
        <w:tc>
          <w:tcPr>
            <w:tcW w:w="620" w:type="dxa"/>
            <w:vAlign w:val="center"/>
          </w:tcPr>
          <w:p>
            <w:pPr>
              <w:spacing w:line="360" w:lineRule="auto"/>
              <w:ind w:firstLine="28"/>
              <w:jc w:val="center"/>
              <w:rPr>
                <w:rFonts w:ascii="宋体" w:hAnsi="宋体" w:cs="宋体"/>
                <w:b/>
                <w:bCs/>
                <w:sz w:val="21"/>
                <w:szCs w:val="21"/>
              </w:rPr>
            </w:pPr>
            <w:r>
              <w:rPr>
                <w:rFonts w:hint="eastAsia" w:ascii="宋体" w:hAnsi="宋体" w:cs="宋体"/>
                <w:b/>
                <w:bCs/>
                <w:sz w:val="21"/>
                <w:szCs w:val="21"/>
              </w:rPr>
              <w:t>分值</w:t>
            </w:r>
          </w:p>
        </w:tc>
        <w:tc>
          <w:tcPr>
            <w:tcW w:w="5399" w:type="dxa"/>
            <w:vAlign w:val="center"/>
          </w:tcPr>
          <w:p>
            <w:pPr>
              <w:spacing w:line="360" w:lineRule="auto"/>
              <w:ind w:firstLine="28"/>
              <w:jc w:val="center"/>
              <w:rPr>
                <w:rFonts w:ascii="宋体" w:hAnsi="宋体" w:cs="宋体"/>
                <w:b/>
                <w:bCs/>
                <w:sz w:val="21"/>
                <w:szCs w:val="21"/>
              </w:rPr>
            </w:pPr>
            <w:r>
              <w:rPr>
                <w:rFonts w:hint="eastAsia" w:ascii="宋体" w:hAnsi="宋体" w:cs="宋体"/>
                <w:b/>
                <w:bCs/>
                <w:sz w:val="21"/>
                <w:szCs w:val="21"/>
              </w:rPr>
              <w:t>评分标准</w:t>
            </w:r>
          </w:p>
        </w:tc>
        <w:tc>
          <w:tcPr>
            <w:tcW w:w="1375" w:type="dxa"/>
            <w:vAlign w:val="center"/>
          </w:tcPr>
          <w:p>
            <w:pPr>
              <w:spacing w:line="360" w:lineRule="auto"/>
              <w:jc w:val="center"/>
              <w:rPr>
                <w:rFonts w:ascii="宋体" w:hAnsi="宋体" w:cs="宋体"/>
                <w:b/>
                <w:bCs/>
                <w:sz w:val="21"/>
                <w:szCs w:val="21"/>
              </w:rPr>
            </w:pPr>
            <w:r>
              <w:rPr>
                <w:rFonts w:hint="eastAsia" w:ascii="宋体" w:hAnsi="宋体" w:cs="宋体"/>
                <w:b/>
                <w:bCs/>
                <w:sz w:val="21"/>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9" w:hRule="atLeast"/>
        </w:trPr>
        <w:tc>
          <w:tcPr>
            <w:tcW w:w="460" w:type="dxa"/>
            <w:vAlign w:val="center"/>
          </w:tcPr>
          <w:p>
            <w:pPr>
              <w:spacing w:line="360" w:lineRule="auto"/>
              <w:ind w:firstLine="28"/>
              <w:jc w:val="center"/>
              <w:rPr>
                <w:rFonts w:ascii="宋体" w:hAnsi="宋体" w:cs="宋体"/>
                <w:sz w:val="21"/>
                <w:szCs w:val="21"/>
              </w:rPr>
            </w:pPr>
            <w:r>
              <w:rPr>
                <w:rFonts w:hint="eastAsia" w:ascii="宋体" w:hAnsi="宋体" w:cs="宋体"/>
                <w:sz w:val="21"/>
                <w:szCs w:val="21"/>
              </w:rPr>
              <w:t>1</w:t>
            </w:r>
          </w:p>
        </w:tc>
        <w:tc>
          <w:tcPr>
            <w:tcW w:w="1223" w:type="dxa"/>
            <w:vAlign w:val="center"/>
          </w:tcPr>
          <w:p>
            <w:pPr>
              <w:spacing w:line="360" w:lineRule="auto"/>
              <w:ind w:firstLine="28"/>
              <w:jc w:val="center"/>
              <w:rPr>
                <w:rFonts w:ascii="宋体" w:hAnsi="宋体" w:cs="宋体"/>
                <w:color w:val="auto"/>
                <w:sz w:val="21"/>
                <w:szCs w:val="21"/>
              </w:rPr>
            </w:pPr>
            <w:r>
              <w:rPr>
                <w:rFonts w:hint="eastAsia" w:ascii="宋体" w:hAnsi="宋体" w:cs="宋体"/>
                <w:color w:val="auto"/>
                <w:sz w:val="21"/>
                <w:szCs w:val="21"/>
              </w:rPr>
              <w:t>报价</w:t>
            </w:r>
            <w:r>
              <w:rPr>
                <w:rFonts w:ascii="宋体" w:hAnsi="宋体" w:cs="宋体"/>
                <w:color w:val="auto"/>
                <w:sz w:val="21"/>
                <w:szCs w:val="21"/>
              </w:rPr>
              <w:t>4</w:t>
            </w:r>
            <w:r>
              <w:rPr>
                <w:rFonts w:hint="eastAsia" w:ascii="宋体" w:hAnsi="宋体" w:cs="宋体"/>
                <w:color w:val="auto"/>
                <w:sz w:val="21"/>
                <w:szCs w:val="21"/>
              </w:rPr>
              <w:t>0%</w:t>
            </w:r>
          </w:p>
        </w:tc>
        <w:tc>
          <w:tcPr>
            <w:tcW w:w="620" w:type="dxa"/>
            <w:vAlign w:val="center"/>
          </w:tcPr>
          <w:p>
            <w:pPr>
              <w:spacing w:line="360" w:lineRule="auto"/>
              <w:ind w:firstLine="28"/>
              <w:jc w:val="center"/>
              <w:rPr>
                <w:rFonts w:ascii="宋体" w:hAnsi="宋体" w:cs="宋体"/>
                <w:color w:val="auto"/>
                <w:sz w:val="21"/>
                <w:szCs w:val="21"/>
              </w:rPr>
            </w:pPr>
            <w:r>
              <w:rPr>
                <w:rFonts w:ascii="宋体" w:hAnsi="宋体" w:cs="宋体"/>
                <w:color w:val="auto"/>
                <w:sz w:val="21"/>
                <w:szCs w:val="21"/>
              </w:rPr>
              <w:t>4</w:t>
            </w:r>
            <w:r>
              <w:rPr>
                <w:rFonts w:hint="eastAsia" w:ascii="宋体" w:hAnsi="宋体" w:cs="宋体"/>
                <w:color w:val="auto"/>
                <w:sz w:val="21"/>
                <w:szCs w:val="21"/>
              </w:rPr>
              <w:t>0</w:t>
            </w:r>
          </w:p>
        </w:tc>
        <w:tc>
          <w:tcPr>
            <w:tcW w:w="5399" w:type="dxa"/>
            <w:vAlign w:val="center"/>
          </w:tcPr>
          <w:p>
            <w:pPr>
              <w:spacing w:line="360" w:lineRule="auto"/>
              <w:rPr>
                <w:rFonts w:ascii="宋体" w:hAnsi="宋体"/>
                <w:color w:val="auto"/>
                <w:sz w:val="21"/>
                <w:szCs w:val="21"/>
              </w:rPr>
            </w:pPr>
            <w:r>
              <w:rPr>
                <w:rFonts w:hint="eastAsia" w:ascii="宋体" w:hAnsi="宋体"/>
                <w:color w:val="auto"/>
                <w:sz w:val="21"/>
                <w:szCs w:val="21"/>
              </w:rPr>
              <w:t>价格分应当采用低价优先法计算，即满足招标文件要求且投标价格最低的投标报价为评标基准价，其价格分为满分。其他供应商的价格分统一按照下列公式计算：</w:t>
            </w:r>
          </w:p>
          <w:p>
            <w:pPr>
              <w:spacing w:line="360" w:lineRule="auto"/>
              <w:rPr>
                <w:rFonts w:ascii="宋体" w:hAnsi="宋体"/>
                <w:color w:val="auto"/>
                <w:sz w:val="21"/>
                <w:szCs w:val="21"/>
              </w:rPr>
            </w:pPr>
            <w:r>
              <w:rPr>
                <w:rFonts w:hint="eastAsia" w:ascii="宋体" w:hAnsi="宋体"/>
                <w:color w:val="auto"/>
                <w:sz w:val="21"/>
                <w:szCs w:val="21"/>
              </w:rPr>
              <w:t>报价得分＝（评标基准价/投标报价）×</w:t>
            </w:r>
            <w:r>
              <w:rPr>
                <w:rFonts w:ascii="宋体" w:hAnsi="宋体"/>
                <w:color w:val="auto"/>
                <w:sz w:val="21"/>
                <w:szCs w:val="21"/>
              </w:rPr>
              <w:t>4</w:t>
            </w:r>
            <w:r>
              <w:rPr>
                <w:rFonts w:hint="eastAsia" w:ascii="宋体" w:hAnsi="宋体"/>
                <w:color w:val="auto"/>
                <w:sz w:val="21"/>
                <w:szCs w:val="21"/>
              </w:rPr>
              <w:t>0。</w:t>
            </w:r>
          </w:p>
          <w:p>
            <w:pPr>
              <w:spacing w:line="360" w:lineRule="auto"/>
              <w:rPr>
                <w:rFonts w:ascii="宋体" w:hAnsi="宋体" w:cs="宋体"/>
                <w:color w:val="auto"/>
                <w:sz w:val="21"/>
                <w:szCs w:val="21"/>
              </w:rPr>
            </w:pPr>
            <w:r>
              <w:rPr>
                <w:rFonts w:hint="eastAsia" w:ascii="宋体" w:hAnsi="宋体"/>
                <w:color w:val="auto"/>
                <w:sz w:val="21"/>
                <w:szCs w:val="21"/>
              </w:rPr>
              <w:t>注：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tc>
        <w:tc>
          <w:tcPr>
            <w:tcW w:w="1375" w:type="dxa"/>
            <w:vAlign w:val="center"/>
          </w:tcPr>
          <w:p>
            <w:pPr>
              <w:spacing w:line="360" w:lineRule="auto"/>
              <w:ind w:left="-38"/>
              <w:rPr>
                <w:rFonts w:ascii="宋体" w:hAnsi="宋体" w:cs="宋体"/>
                <w:sz w:val="21"/>
                <w:szCs w:val="21"/>
              </w:rPr>
            </w:pPr>
          </w:p>
          <w:p>
            <w:pPr>
              <w:spacing w:line="360" w:lineRule="auto"/>
              <w:jc w:val="center"/>
              <w:rPr>
                <w:rFonts w:ascii="宋体" w:hAnsi="宋体" w:cs="宋体"/>
                <w:sz w:val="21"/>
                <w:szCs w:val="21"/>
              </w:rPr>
            </w:pPr>
            <w:r>
              <w:rPr>
                <w:rFonts w:hint="eastAsia" w:ascii="宋体" w:hAnsi="宋体" w:cs="宋体"/>
                <w:sz w:val="21"/>
                <w:szCs w:val="21"/>
              </w:rPr>
              <w:t>政策性优惠详见下列评审标准备注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0" w:hRule="atLeast"/>
        </w:trPr>
        <w:tc>
          <w:tcPr>
            <w:tcW w:w="460" w:type="dxa"/>
            <w:vAlign w:val="center"/>
          </w:tcPr>
          <w:p>
            <w:pPr>
              <w:spacing w:line="360" w:lineRule="auto"/>
              <w:ind w:firstLine="28"/>
              <w:jc w:val="center"/>
              <w:rPr>
                <w:rFonts w:ascii="宋体" w:hAnsi="宋体" w:cs="宋体"/>
                <w:sz w:val="21"/>
                <w:szCs w:val="21"/>
              </w:rPr>
            </w:pPr>
            <w:r>
              <w:rPr>
                <w:rFonts w:hint="eastAsia" w:ascii="宋体" w:hAnsi="宋体" w:cs="宋体"/>
                <w:sz w:val="21"/>
                <w:szCs w:val="21"/>
              </w:rPr>
              <w:t>2</w:t>
            </w:r>
          </w:p>
        </w:tc>
        <w:tc>
          <w:tcPr>
            <w:tcW w:w="1223" w:type="dxa"/>
            <w:vAlign w:val="center"/>
          </w:tcPr>
          <w:p>
            <w:pPr>
              <w:spacing w:line="360" w:lineRule="auto"/>
              <w:jc w:val="center"/>
              <w:rPr>
                <w:rFonts w:ascii="宋体" w:hAnsi="宋体" w:cs="宋体"/>
                <w:color w:val="auto"/>
                <w:sz w:val="21"/>
                <w:szCs w:val="21"/>
              </w:rPr>
            </w:pPr>
            <w:r>
              <w:rPr>
                <w:rFonts w:hint="eastAsia" w:ascii="宋体" w:hAnsi="宋体" w:cs="宋体"/>
                <w:color w:val="auto"/>
                <w:sz w:val="21"/>
                <w:szCs w:val="21"/>
              </w:rPr>
              <w:t>技术</w:t>
            </w:r>
            <w:r>
              <w:rPr>
                <w:rFonts w:hint="eastAsia" w:ascii="宋体" w:hAnsi="宋体" w:cs="宋体"/>
                <w:color w:val="auto"/>
                <w:sz w:val="21"/>
                <w:szCs w:val="21"/>
                <w:lang w:eastAsia="zh-CN"/>
              </w:rPr>
              <w:t>指标</w:t>
            </w:r>
            <w:r>
              <w:rPr>
                <w:rFonts w:hint="eastAsia" w:ascii="宋体" w:hAnsi="宋体" w:cs="宋体"/>
                <w:color w:val="auto"/>
                <w:sz w:val="21"/>
                <w:szCs w:val="21"/>
                <w:lang w:val="en-US" w:eastAsia="zh-CN"/>
              </w:rPr>
              <w:t>30</w:t>
            </w:r>
            <w:r>
              <w:rPr>
                <w:rFonts w:hint="eastAsia" w:ascii="宋体" w:hAnsi="宋体" w:cs="宋体"/>
                <w:color w:val="auto"/>
                <w:sz w:val="21"/>
                <w:szCs w:val="21"/>
              </w:rPr>
              <w:t>%</w:t>
            </w:r>
          </w:p>
        </w:tc>
        <w:tc>
          <w:tcPr>
            <w:tcW w:w="620" w:type="dxa"/>
            <w:vAlign w:val="center"/>
          </w:tcPr>
          <w:p>
            <w:pPr>
              <w:spacing w:line="360" w:lineRule="auto"/>
              <w:ind w:firstLine="28"/>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30</w:t>
            </w:r>
          </w:p>
        </w:tc>
        <w:tc>
          <w:tcPr>
            <w:tcW w:w="5399" w:type="dxa"/>
          </w:tcPr>
          <w:p>
            <w:pPr>
              <w:spacing w:line="360" w:lineRule="auto"/>
              <w:rPr>
                <w:rFonts w:hint="eastAsia" w:ascii="宋体" w:hAnsi="宋体" w:cs="Times New Roman"/>
                <w:b/>
                <w:bCs/>
                <w:color w:val="auto"/>
                <w:kern w:val="2"/>
                <w:sz w:val="21"/>
                <w:szCs w:val="21"/>
              </w:rPr>
            </w:pPr>
            <w:r>
              <w:rPr>
                <w:rFonts w:hint="eastAsia" w:ascii="宋体" w:hAnsi="宋体" w:cs="Times New Roman"/>
                <w:b/>
                <w:bCs/>
                <w:color w:val="auto"/>
                <w:kern w:val="2"/>
                <w:sz w:val="21"/>
                <w:szCs w:val="21"/>
              </w:rPr>
              <w:t>根据投标人提供所投产品的主要技术指标（参数）的相应的证明材料（包括但不限于产品彩页、测试报告、官网和功能截图等技术支持性文件（资料），经评审专家审定得分。</w:t>
            </w:r>
          </w:p>
          <w:p>
            <w:pPr>
              <w:numPr>
                <w:ilvl w:val="0"/>
                <w:numId w:val="0"/>
              </w:numPr>
              <w:spacing w:line="360" w:lineRule="auto"/>
              <w:rPr>
                <w:rFonts w:hint="eastAsia" w:ascii="宋体" w:hAnsi="宋体" w:cs="宋体"/>
                <w:kern w:val="0"/>
                <w:sz w:val="21"/>
                <w:szCs w:val="21"/>
              </w:rPr>
            </w:pPr>
            <w:r>
              <w:rPr>
                <w:rFonts w:hint="eastAsia" w:ascii="宋体" w:hAnsi="宋体" w:cs="宋体"/>
                <w:kern w:val="0"/>
                <w:sz w:val="21"/>
                <w:szCs w:val="21"/>
                <w:lang w:val="en-US" w:eastAsia="zh-CN"/>
              </w:rPr>
              <w:t>1、</w:t>
            </w:r>
            <w:r>
              <w:rPr>
                <w:rFonts w:hint="eastAsia" w:ascii="宋体" w:hAnsi="宋体" w:eastAsia="宋体" w:cs="宋体"/>
                <w:kern w:val="0"/>
                <w:sz w:val="21"/>
                <w:szCs w:val="21"/>
              </w:rPr>
              <w:t>基本分（</w:t>
            </w:r>
            <w:r>
              <w:rPr>
                <w:rFonts w:hint="eastAsia" w:ascii="宋体" w:hAnsi="宋体" w:eastAsia="宋体" w:cs="宋体"/>
                <w:kern w:val="0"/>
                <w:sz w:val="21"/>
                <w:szCs w:val="21"/>
                <w:lang w:val="en-US" w:eastAsia="zh-CN"/>
              </w:rPr>
              <w:t>25</w:t>
            </w:r>
            <w:r>
              <w:rPr>
                <w:rFonts w:hint="eastAsia" w:ascii="宋体" w:hAnsi="宋体" w:eastAsia="宋体" w:cs="宋体"/>
                <w:kern w:val="0"/>
                <w:sz w:val="21"/>
                <w:szCs w:val="21"/>
              </w:rPr>
              <w:t>分）：完全</w:t>
            </w:r>
            <w:r>
              <w:rPr>
                <w:rFonts w:hint="eastAsia" w:ascii="宋体" w:hAnsi="宋体" w:cs="宋体"/>
                <w:kern w:val="0"/>
                <w:sz w:val="21"/>
                <w:szCs w:val="21"/>
                <w:lang w:eastAsia="zh-CN"/>
              </w:rPr>
              <w:t>公开招标</w:t>
            </w:r>
            <w:r>
              <w:rPr>
                <w:rFonts w:hint="eastAsia" w:ascii="宋体" w:hAnsi="宋体" w:eastAsia="宋体" w:cs="宋体"/>
                <w:kern w:val="0"/>
                <w:sz w:val="21"/>
                <w:szCs w:val="21"/>
              </w:rPr>
              <w:t>文件要求，没有负偏离的得</w:t>
            </w:r>
            <w:r>
              <w:rPr>
                <w:rFonts w:hint="eastAsia" w:ascii="宋体" w:hAnsi="宋体" w:eastAsia="宋体" w:cs="宋体"/>
                <w:kern w:val="0"/>
                <w:sz w:val="21"/>
                <w:szCs w:val="21"/>
                <w:lang w:val="en-US" w:eastAsia="zh-CN"/>
              </w:rPr>
              <w:t>25</w:t>
            </w:r>
            <w:r>
              <w:rPr>
                <w:rFonts w:hint="eastAsia" w:ascii="宋体" w:hAnsi="宋体" w:eastAsia="宋体" w:cs="宋体"/>
                <w:kern w:val="0"/>
                <w:sz w:val="21"/>
                <w:szCs w:val="21"/>
              </w:rPr>
              <w:t>分；技术参数负偏离每项扣1分，扣完为止。</w:t>
            </w:r>
          </w:p>
          <w:p>
            <w:pPr>
              <w:spacing w:line="360" w:lineRule="auto"/>
              <w:rPr>
                <w:rFonts w:ascii="宋体" w:hAnsi="宋体" w:cs="宋体"/>
                <w:color w:val="auto"/>
                <w:sz w:val="21"/>
                <w:szCs w:val="21"/>
              </w:rPr>
            </w:pPr>
            <w:r>
              <w:rPr>
                <w:rFonts w:hint="eastAsia" w:ascii="宋体" w:hAnsi="宋体" w:cs="宋体"/>
                <w:kern w:val="0"/>
                <w:sz w:val="21"/>
                <w:szCs w:val="21"/>
                <w:lang w:val="en-US" w:eastAsia="zh-CN"/>
              </w:rPr>
              <w:t>2、</w:t>
            </w:r>
            <w:r>
              <w:rPr>
                <w:rFonts w:hint="eastAsia" w:ascii="宋体" w:hAnsi="宋体" w:cs="宋体"/>
                <w:kern w:val="0"/>
                <w:sz w:val="21"/>
                <w:szCs w:val="21"/>
              </w:rPr>
              <w:t>加分（最高加5分）：在基本分的基础上，投标产品主要技术指标、参数经评审专家认定优于</w:t>
            </w:r>
            <w:r>
              <w:rPr>
                <w:rFonts w:hint="eastAsia" w:ascii="宋体" w:hAnsi="宋体" w:cs="宋体"/>
                <w:kern w:val="0"/>
                <w:sz w:val="21"/>
                <w:szCs w:val="21"/>
                <w:lang w:eastAsia="zh-CN"/>
              </w:rPr>
              <w:t>公开招标</w:t>
            </w:r>
            <w:r>
              <w:rPr>
                <w:rFonts w:hint="eastAsia" w:ascii="宋体" w:hAnsi="宋体" w:cs="宋体"/>
                <w:kern w:val="0"/>
                <w:sz w:val="21"/>
                <w:szCs w:val="21"/>
              </w:rPr>
              <w:t>文件规定的相应技术指标、参数，并且有实质性能提升的，根据响应程度进行相应加分，参数每有一项优于加1分，正偏离参数最多加5分。优于指标须有佐证材料，否则不予加分。</w:t>
            </w:r>
          </w:p>
        </w:tc>
        <w:tc>
          <w:tcPr>
            <w:tcW w:w="137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460" w:type="dxa"/>
            <w:vMerge w:val="restart"/>
            <w:vAlign w:val="center"/>
          </w:tcPr>
          <w:p>
            <w:pPr>
              <w:spacing w:line="360" w:lineRule="auto"/>
              <w:ind w:firstLine="28"/>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1223" w:type="dxa"/>
            <w:vMerge w:val="restart"/>
            <w:vAlign w:val="center"/>
          </w:tcPr>
          <w:p>
            <w:pPr>
              <w:spacing w:line="360" w:lineRule="auto"/>
              <w:jc w:val="center"/>
              <w:rPr>
                <w:rFonts w:hint="default" w:ascii="宋体" w:hAnsi="宋体" w:cs="宋体"/>
                <w:sz w:val="21"/>
                <w:szCs w:val="21"/>
                <w:lang w:val="en-US" w:eastAsia="zh-CN"/>
              </w:rPr>
            </w:pPr>
            <w:r>
              <w:rPr>
                <w:rFonts w:hint="eastAsia" w:ascii="宋体" w:hAnsi="宋体" w:cs="宋体"/>
                <w:sz w:val="21"/>
                <w:szCs w:val="21"/>
                <w:lang w:eastAsia="zh-CN"/>
              </w:rPr>
              <w:t>质量保证</w:t>
            </w:r>
            <w:r>
              <w:rPr>
                <w:rFonts w:hint="eastAsia" w:ascii="宋体" w:hAnsi="宋体" w:cs="宋体"/>
                <w:sz w:val="21"/>
                <w:szCs w:val="21"/>
                <w:lang w:val="en-US" w:eastAsia="zh-CN"/>
              </w:rPr>
              <w:t>8%</w:t>
            </w:r>
          </w:p>
        </w:tc>
        <w:tc>
          <w:tcPr>
            <w:tcW w:w="620" w:type="dxa"/>
            <w:vAlign w:val="center"/>
          </w:tcPr>
          <w:p>
            <w:pPr>
              <w:spacing w:line="400" w:lineRule="exact"/>
              <w:ind w:firstLine="28"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3</w:t>
            </w:r>
          </w:p>
        </w:tc>
        <w:tc>
          <w:tcPr>
            <w:tcW w:w="5399" w:type="dxa"/>
            <w:vAlign w:val="center"/>
          </w:tcPr>
          <w:p>
            <w:pPr>
              <w:spacing w:line="360" w:lineRule="auto"/>
              <w:rPr>
                <w:rFonts w:hint="eastAsia" w:ascii="宋体" w:hAnsi="宋体" w:eastAsia="宋体" w:cs="Times New Roman"/>
                <w:color w:val="auto"/>
                <w:kern w:val="2"/>
                <w:sz w:val="21"/>
                <w:szCs w:val="21"/>
                <w:highlight w:val="none"/>
                <w:lang w:val="en-US" w:eastAsia="zh-CN"/>
              </w:rPr>
            </w:pPr>
            <w:r>
              <w:rPr>
                <w:rFonts w:hint="eastAsia" w:ascii="宋体" w:hAnsi="宋体" w:eastAsia="宋体" w:cs="Times New Roman"/>
                <w:color w:val="auto"/>
                <w:sz w:val="21"/>
                <w:szCs w:val="21"/>
              </w:rPr>
              <w:t>设备进货渠道正规，并能够提供设备说明书等相关资料。质量保证，确保生产供应的设备无假货、水货、翻新货且无产权纠纷，根据投标人提供的证明文件齐全程度，由评委综合比较，证明资料齐全、完整计2.1-3分，证明资料欠缺、不完整计0.1-2分。</w:t>
            </w:r>
          </w:p>
        </w:tc>
        <w:tc>
          <w:tcPr>
            <w:tcW w:w="1375" w:type="dxa"/>
            <w:vAlign w:val="center"/>
          </w:tcPr>
          <w:p>
            <w:pPr>
              <w:spacing w:line="360" w:lineRule="auto"/>
              <w:ind w:left="-38"/>
              <w:rPr>
                <w:rFonts w:hint="eastAsia" w:ascii="宋体" w:hAnsi="宋体"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460" w:type="dxa"/>
            <w:vMerge w:val="continue"/>
            <w:vAlign w:val="center"/>
          </w:tcPr>
          <w:p>
            <w:pPr>
              <w:spacing w:line="360" w:lineRule="auto"/>
              <w:ind w:firstLine="28"/>
              <w:jc w:val="center"/>
              <w:rPr>
                <w:rFonts w:hint="eastAsia" w:ascii="宋体" w:hAnsi="宋体" w:cs="宋体"/>
                <w:sz w:val="21"/>
                <w:szCs w:val="21"/>
              </w:rPr>
            </w:pPr>
          </w:p>
        </w:tc>
        <w:tc>
          <w:tcPr>
            <w:tcW w:w="1223" w:type="dxa"/>
            <w:vMerge w:val="continue"/>
            <w:vAlign w:val="center"/>
          </w:tcPr>
          <w:p>
            <w:pPr>
              <w:spacing w:line="360" w:lineRule="auto"/>
              <w:jc w:val="center"/>
              <w:rPr>
                <w:rFonts w:hint="eastAsia" w:ascii="宋体" w:hAnsi="宋体" w:cs="宋体"/>
                <w:sz w:val="21"/>
                <w:szCs w:val="21"/>
                <w:lang w:eastAsia="zh-CN"/>
              </w:rPr>
            </w:pPr>
          </w:p>
        </w:tc>
        <w:tc>
          <w:tcPr>
            <w:tcW w:w="620" w:type="dxa"/>
            <w:vAlign w:val="center"/>
          </w:tcPr>
          <w:p>
            <w:pPr>
              <w:spacing w:line="400" w:lineRule="exact"/>
              <w:ind w:firstLine="28"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3</w:t>
            </w:r>
          </w:p>
        </w:tc>
        <w:tc>
          <w:tcPr>
            <w:tcW w:w="5399" w:type="dxa"/>
            <w:vAlign w:val="center"/>
          </w:tcPr>
          <w:p>
            <w:pPr>
              <w:spacing w:line="360" w:lineRule="auto"/>
              <w:rPr>
                <w:rFonts w:hint="eastAsia" w:ascii="宋体" w:hAnsi="宋体" w:eastAsia="宋体" w:cs="Times New Roman"/>
                <w:color w:val="auto"/>
                <w:kern w:val="2"/>
                <w:sz w:val="21"/>
                <w:szCs w:val="21"/>
                <w:highlight w:val="none"/>
                <w:lang w:val="en-US" w:eastAsia="zh-CN"/>
              </w:rPr>
            </w:pPr>
            <w:r>
              <w:rPr>
                <w:rFonts w:hint="eastAsia" w:ascii="宋体" w:hAnsi="宋体" w:eastAsia="宋体" w:cs="Times New Roman"/>
                <w:color w:val="auto"/>
                <w:sz w:val="21"/>
                <w:szCs w:val="21"/>
              </w:rPr>
              <w:t>投标人在产品使用、技术保障有较好的承诺和保证措施，配备了响应人员，相关证明材料、内容完整详细2.1-3分；相关证明材料欠缺得0.1-2分；未提供不得分。</w:t>
            </w:r>
          </w:p>
        </w:tc>
        <w:tc>
          <w:tcPr>
            <w:tcW w:w="1375" w:type="dxa"/>
            <w:vAlign w:val="center"/>
          </w:tcPr>
          <w:p>
            <w:pPr>
              <w:spacing w:line="360" w:lineRule="auto"/>
              <w:ind w:left="-38"/>
              <w:rPr>
                <w:rFonts w:hint="eastAsia" w:ascii="宋体" w:hAnsi="宋体"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460" w:type="dxa"/>
            <w:vMerge w:val="continue"/>
            <w:vAlign w:val="center"/>
          </w:tcPr>
          <w:p>
            <w:pPr>
              <w:spacing w:line="360" w:lineRule="auto"/>
              <w:ind w:firstLine="28"/>
              <w:jc w:val="center"/>
              <w:rPr>
                <w:rFonts w:hint="eastAsia" w:ascii="宋体" w:hAnsi="宋体" w:cs="宋体"/>
                <w:sz w:val="21"/>
                <w:szCs w:val="21"/>
              </w:rPr>
            </w:pPr>
          </w:p>
        </w:tc>
        <w:tc>
          <w:tcPr>
            <w:tcW w:w="1223" w:type="dxa"/>
            <w:vMerge w:val="continue"/>
            <w:vAlign w:val="center"/>
          </w:tcPr>
          <w:p>
            <w:pPr>
              <w:spacing w:line="360" w:lineRule="auto"/>
              <w:jc w:val="center"/>
              <w:rPr>
                <w:rFonts w:hint="eastAsia" w:ascii="宋体" w:hAnsi="宋体" w:cs="宋体"/>
                <w:sz w:val="21"/>
                <w:szCs w:val="21"/>
                <w:lang w:eastAsia="zh-CN"/>
              </w:rPr>
            </w:pPr>
          </w:p>
        </w:tc>
        <w:tc>
          <w:tcPr>
            <w:tcW w:w="620" w:type="dxa"/>
            <w:vAlign w:val="center"/>
          </w:tcPr>
          <w:p>
            <w:pPr>
              <w:spacing w:line="400" w:lineRule="exact"/>
              <w:ind w:firstLine="28"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2</w:t>
            </w:r>
          </w:p>
        </w:tc>
        <w:tc>
          <w:tcPr>
            <w:tcW w:w="5399" w:type="dxa"/>
            <w:vAlign w:val="center"/>
          </w:tcPr>
          <w:p>
            <w:pPr>
              <w:spacing w:line="360" w:lineRule="auto"/>
              <w:rPr>
                <w:rFonts w:hint="eastAsia" w:ascii="宋体" w:hAnsi="宋体" w:eastAsia="宋体" w:cs="Times New Roman"/>
                <w:color w:val="auto"/>
                <w:kern w:val="2"/>
                <w:sz w:val="21"/>
                <w:szCs w:val="21"/>
                <w:highlight w:val="none"/>
                <w:lang w:val="en-US" w:eastAsia="zh-CN"/>
              </w:rPr>
            </w:pPr>
            <w:r>
              <w:rPr>
                <w:rFonts w:hint="eastAsia" w:ascii="宋体" w:hAnsi="宋体" w:eastAsia="宋体" w:cs="Times New Roman"/>
                <w:color w:val="auto"/>
                <w:sz w:val="21"/>
                <w:szCs w:val="21"/>
              </w:rPr>
              <w:t>投标产品为行业主流产品，方便操作，安全可靠，符合使用需求，整体配置具有合理性、一致性、兼容性，产品品牌、型号、产地明确，按其响应程度计0-2分。</w:t>
            </w:r>
          </w:p>
        </w:tc>
        <w:tc>
          <w:tcPr>
            <w:tcW w:w="1375" w:type="dxa"/>
            <w:vAlign w:val="center"/>
          </w:tcPr>
          <w:p>
            <w:pPr>
              <w:spacing w:line="360" w:lineRule="auto"/>
              <w:ind w:left="-38"/>
              <w:rPr>
                <w:rFonts w:hint="eastAsia" w:ascii="宋体" w:hAnsi="宋体"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460" w:type="dxa"/>
            <w:vAlign w:val="center"/>
          </w:tcPr>
          <w:p>
            <w:pPr>
              <w:spacing w:line="360" w:lineRule="auto"/>
              <w:ind w:firstLine="28"/>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1223" w:type="dxa"/>
            <w:vAlign w:val="center"/>
          </w:tcPr>
          <w:p>
            <w:pPr>
              <w:spacing w:line="360" w:lineRule="auto"/>
              <w:jc w:val="center"/>
              <w:rPr>
                <w:rFonts w:hint="default" w:ascii="宋体" w:hAnsi="宋体" w:cs="宋体"/>
                <w:sz w:val="21"/>
                <w:szCs w:val="21"/>
                <w:lang w:val="en-US" w:eastAsia="zh-CN"/>
              </w:rPr>
            </w:pPr>
            <w:r>
              <w:rPr>
                <w:rFonts w:hint="eastAsia" w:ascii="宋体" w:hAnsi="宋体" w:cs="宋体"/>
                <w:sz w:val="21"/>
                <w:szCs w:val="21"/>
                <w:lang w:eastAsia="zh-CN"/>
              </w:rPr>
              <w:t>装修方案</w:t>
            </w:r>
            <w:r>
              <w:rPr>
                <w:rFonts w:hint="eastAsia" w:ascii="宋体" w:hAnsi="宋体" w:cs="宋体"/>
                <w:sz w:val="21"/>
                <w:szCs w:val="21"/>
                <w:lang w:val="en-US" w:eastAsia="zh-CN"/>
              </w:rPr>
              <w:t>10%</w:t>
            </w:r>
          </w:p>
        </w:tc>
        <w:tc>
          <w:tcPr>
            <w:tcW w:w="620" w:type="dxa"/>
            <w:vAlign w:val="center"/>
          </w:tcPr>
          <w:p>
            <w:pPr>
              <w:spacing w:line="400" w:lineRule="exact"/>
              <w:ind w:firstLine="28" w:firstLineChars="0"/>
              <w:jc w:val="center"/>
              <w:rPr>
                <w:rFonts w:hint="default" w:ascii="宋体" w:hAnsi="宋体" w:eastAsia="宋体" w:cs="宋体"/>
                <w:sz w:val="18"/>
                <w:szCs w:val="18"/>
                <w:lang w:val="en-US" w:eastAsia="zh-CN"/>
              </w:rPr>
            </w:pPr>
            <w:r>
              <w:rPr>
                <w:rFonts w:hint="eastAsia" w:ascii="宋体" w:hAnsi="宋体" w:cs="宋体"/>
                <w:sz w:val="18"/>
                <w:szCs w:val="18"/>
                <w:lang w:val="en-US" w:eastAsia="zh-CN"/>
              </w:rPr>
              <w:t>10</w:t>
            </w:r>
          </w:p>
        </w:tc>
        <w:tc>
          <w:tcPr>
            <w:tcW w:w="5399" w:type="dxa"/>
            <w:vAlign w:val="center"/>
          </w:tcPr>
          <w:p>
            <w:pPr>
              <w:spacing w:line="360" w:lineRule="auto"/>
              <w:rPr>
                <w:rFonts w:hint="eastAsia" w:ascii="宋体" w:hAnsi="宋体" w:cs="Times New Roman"/>
                <w:color w:val="auto"/>
                <w:sz w:val="21"/>
                <w:szCs w:val="21"/>
                <w:lang w:eastAsia="zh-CN"/>
              </w:rPr>
            </w:pPr>
            <w:r>
              <w:rPr>
                <w:rFonts w:hint="eastAsia" w:ascii="宋体" w:hAnsi="宋体" w:cs="Times New Roman"/>
                <w:color w:val="auto"/>
                <w:sz w:val="21"/>
                <w:szCs w:val="21"/>
                <w:lang w:eastAsia="zh-CN"/>
              </w:rPr>
              <w:t>根据供应商针对本项目提供的装修方案，包括项目实施方案、项目装修方案、项目验收方案、项目选材情况、</w:t>
            </w:r>
            <w:r>
              <w:rPr>
                <w:rFonts w:hint="eastAsia" w:ascii="宋体" w:hAnsi="宋体" w:cs="Times New Roman"/>
                <w:color w:val="auto"/>
                <w:sz w:val="21"/>
                <w:szCs w:val="21"/>
                <w:lang w:val="en-US" w:eastAsia="zh-CN"/>
              </w:rPr>
              <w:t>文化氛围营造</w:t>
            </w:r>
            <w:r>
              <w:rPr>
                <w:rFonts w:hint="eastAsia" w:ascii="宋体" w:hAnsi="宋体" w:cs="Times New Roman"/>
                <w:color w:val="auto"/>
                <w:sz w:val="21"/>
                <w:szCs w:val="21"/>
                <w:lang w:eastAsia="zh-CN"/>
              </w:rPr>
              <w:t>等内容。</w:t>
            </w:r>
            <w:bookmarkStart w:id="304" w:name="_GoBack"/>
            <w:bookmarkEnd w:id="304"/>
          </w:p>
          <w:p>
            <w:pPr>
              <w:spacing w:line="360" w:lineRule="auto"/>
              <w:rPr>
                <w:rFonts w:hint="eastAsia" w:ascii="宋体" w:hAnsi="宋体" w:eastAsia="宋体" w:cs="Times New Roman"/>
                <w:color w:val="auto"/>
                <w:sz w:val="21"/>
                <w:szCs w:val="21"/>
                <w:lang w:eastAsia="zh-CN"/>
              </w:rPr>
            </w:pPr>
            <w:r>
              <w:rPr>
                <w:rFonts w:hint="eastAsia" w:ascii="宋体" w:hAnsi="宋体" w:cs="Times New Roman"/>
                <w:color w:val="auto"/>
                <w:sz w:val="21"/>
                <w:szCs w:val="21"/>
              </w:rPr>
              <w:t>方案制定内容齐全，各类措施健全，完全满足采购需求并符合本项目实施特点得</w:t>
            </w:r>
            <w:r>
              <w:rPr>
                <w:rFonts w:hint="eastAsia" w:ascii="宋体" w:hAnsi="宋体" w:cs="Times New Roman"/>
                <w:color w:val="auto"/>
                <w:sz w:val="21"/>
                <w:szCs w:val="21"/>
                <w:lang w:val="en-US" w:eastAsia="zh-CN"/>
              </w:rPr>
              <w:t>10</w:t>
            </w:r>
            <w:r>
              <w:rPr>
                <w:rFonts w:hint="eastAsia" w:ascii="宋体" w:hAnsi="宋体" w:cs="Times New Roman"/>
                <w:color w:val="auto"/>
                <w:sz w:val="21"/>
                <w:szCs w:val="21"/>
              </w:rPr>
              <w:t>分；以上方面中每缺少一方面内容扣</w:t>
            </w:r>
            <w:r>
              <w:rPr>
                <w:rFonts w:hint="eastAsia" w:ascii="宋体" w:hAnsi="宋体" w:cs="Times New Roman"/>
                <w:color w:val="auto"/>
                <w:sz w:val="21"/>
                <w:szCs w:val="21"/>
                <w:lang w:val="en-US" w:eastAsia="zh-CN"/>
              </w:rPr>
              <w:t>2</w:t>
            </w:r>
            <w:r>
              <w:rPr>
                <w:rFonts w:hint="eastAsia" w:ascii="宋体" w:hAnsi="宋体" w:cs="Times New Roman"/>
                <w:color w:val="auto"/>
                <w:sz w:val="21"/>
                <w:szCs w:val="21"/>
              </w:rPr>
              <w:t>分；每有一处内容与实际需求不符或不满足要求扣</w:t>
            </w:r>
            <w:r>
              <w:rPr>
                <w:rFonts w:hint="eastAsia" w:ascii="宋体" w:hAnsi="宋体" w:cs="Times New Roman"/>
                <w:color w:val="auto"/>
                <w:sz w:val="21"/>
                <w:szCs w:val="21"/>
                <w:lang w:val="en-US" w:eastAsia="zh-CN"/>
              </w:rPr>
              <w:t>0.5-1.5</w:t>
            </w:r>
            <w:r>
              <w:rPr>
                <w:rFonts w:hint="eastAsia" w:ascii="宋体" w:hAnsi="宋体" w:cs="Times New Roman"/>
                <w:color w:val="auto"/>
                <w:sz w:val="21"/>
                <w:szCs w:val="21"/>
              </w:rPr>
              <w:t>分，扣完为止。</w:t>
            </w:r>
          </w:p>
        </w:tc>
        <w:tc>
          <w:tcPr>
            <w:tcW w:w="1375" w:type="dxa"/>
            <w:vAlign w:val="center"/>
          </w:tcPr>
          <w:p>
            <w:pPr>
              <w:spacing w:line="360" w:lineRule="auto"/>
              <w:ind w:left="-38"/>
              <w:rPr>
                <w:rFonts w:hint="eastAsia" w:ascii="宋体" w:hAnsi="宋体"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trPr>
        <w:tc>
          <w:tcPr>
            <w:tcW w:w="460" w:type="dxa"/>
            <w:vAlign w:val="center"/>
          </w:tcPr>
          <w:p>
            <w:pPr>
              <w:spacing w:line="360" w:lineRule="auto"/>
              <w:ind w:firstLine="28" w:firstLineChars="0"/>
              <w:jc w:val="center"/>
              <w:rPr>
                <w:rFonts w:hint="eastAsia" w:ascii="宋体" w:hAnsi="宋体" w:eastAsia="宋体" w:cs="宋体"/>
                <w:sz w:val="21"/>
                <w:szCs w:val="21"/>
                <w:lang w:eastAsia="zh-CN"/>
              </w:rPr>
            </w:pPr>
            <w:r>
              <w:rPr>
                <w:rFonts w:hint="eastAsia" w:ascii="宋体" w:hAnsi="宋体" w:cs="宋体"/>
                <w:sz w:val="21"/>
                <w:szCs w:val="21"/>
                <w:lang w:val="en-US" w:eastAsia="zh-CN"/>
              </w:rPr>
              <w:t>5</w:t>
            </w:r>
          </w:p>
        </w:tc>
        <w:tc>
          <w:tcPr>
            <w:tcW w:w="1223" w:type="dxa"/>
            <w:vAlign w:val="center"/>
          </w:tcPr>
          <w:p>
            <w:pPr>
              <w:spacing w:line="360" w:lineRule="auto"/>
              <w:ind w:left="-118" w:leftChars="-56" w:right="-94" w:rightChars="-45"/>
              <w:jc w:val="center"/>
              <w:rPr>
                <w:rFonts w:hint="default" w:ascii="宋体" w:hAnsi="宋体" w:eastAsia="宋体" w:cs="宋体"/>
                <w:sz w:val="21"/>
                <w:szCs w:val="21"/>
                <w:lang w:val="en-US" w:eastAsia="zh-CN"/>
              </w:rPr>
            </w:pPr>
            <w:r>
              <w:rPr>
                <w:rFonts w:hint="eastAsia" w:ascii="宋体" w:hAnsi="宋体" w:cs="宋体"/>
                <w:color w:val="000000"/>
                <w:sz w:val="21"/>
                <w:szCs w:val="21"/>
                <w:lang w:eastAsia="zh-CN"/>
              </w:rPr>
              <w:t>售后服务</w:t>
            </w:r>
            <w:r>
              <w:rPr>
                <w:rFonts w:hint="eastAsia" w:ascii="宋体" w:hAnsi="宋体" w:cs="宋体"/>
                <w:color w:val="000000"/>
                <w:sz w:val="21"/>
                <w:szCs w:val="21"/>
                <w:lang w:val="en-US" w:eastAsia="zh-CN"/>
              </w:rPr>
              <w:t>6%</w:t>
            </w:r>
          </w:p>
        </w:tc>
        <w:tc>
          <w:tcPr>
            <w:tcW w:w="620" w:type="dxa"/>
            <w:vAlign w:val="center"/>
          </w:tcPr>
          <w:p>
            <w:pPr>
              <w:spacing w:line="360" w:lineRule="auto"/>
              <w:ind w:left="-118" w:leftChars="-56" w:right="-94" w:rightChars="-45"/>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6</w:t>
            </w:r>
          </w:p>
        </w:tc>
        <w:tc>
          <w:tcPr>
            <w:tcW w:w="5399" w:type="dxa"/>
            <w:vAlign w:val="center"/>
          </w:tcPr>
          <w:p>
            <w:pPr>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针对本项目有完整的售后服务方案及质保期外的质量保证和供应措施，制订了本地化服务的承诺和应急方案（提供有效的办公场所证明），明确了售后服务人员，有售后服务的优惠条件，有相应的物力、人力保障，能够保证产、供、销、售后服务正常运转，有详细的在设备发生不同类型故障后的到达现场时间、解决故障时间、补救措施等方面的措施或方案，同时具有明确的承诺且符合实际需求，提供详细的售后服务方案及售后服务承诺等，方案充实详细、有质量保证承诺，计</w:t>
            </w:r>
            <w:r>
              <w:rPr>
                <w:rFonts w:hint="eastAsia" w:ascii="宋体" w:hAnsi="宋体" w:eastAsia="宋体" w:cs="Times New Roman"/>
                <w:color w:val="auto"/>
                <w:sz w:val="21"/>
                <w:szCs w:val="21"/>
                <w:lang w:val="en-US" w:eastAsia="zh-CN"/>
              </w:rPr>
              <w:t>4.1-6</w:t>
            </w:r>
            <w:r>
              <w:rPr>
                <w:rFonts w:hint="eastAsia" w:ascii="宋体" w:hAnsi="宋体" w:eastAsia="宋体" w:cs="Times New Roman"/>
                <w:color w:val="auto"/>
                <w:sz w:val="21"/>
                <w:szCs w:val="21"/>
              </w:rPr>
              <w:t>分。有售后服务方案及完整的售后服务承诺，满足质保期内的服务要求，有售后服务的措施，计</w:t>
            </w:r>
            <w:r>
              <w:rPr>
                <w:rFonts w:hint="eastAsia" w:ascii="宋体" w:hAnsi="宋体" w:eastAsia="宋体" w:cs="Times New Roman"/>
                <w:color w:val="auto"/>
                <w:sz w:val="21"/>
                <w:szCs w:val="21"/>
                <w:lang w:val="en-US" w:eastAsia="zh-CN"/>
              </w:rPr>
              <w:t>2.1-4</w:t>
            </w:r>
            <w:r>
              <w:rPr>
                <w:rFonts w:hint="eastAsia" w:ascii="宋体" w:hAnsi="宋体" w:eastAsia="宋体" w:cs="Times New Roman"/>
                <w:color w:val="auto"/>
                <w:sz w:val="21"/>
                <w:szCs w:val="21"/>
              </w:rPr>
              <w:t>分；售后服务方案不完整，没有针对本项目的售后服务承诺和具体措施，计</w:t>
            </w:r>
            <w:r>
              <w:rPr>
                <w:rFonts w:hint="eastAsia" w:ascii="宋体" w:hAnsi="宋体" w:eastAsia="宋体" w:cs="Times New Roman"/>
                <w:color w:val="auto"/>
                <w:sz w:val="21"/>
                <w:szCs w:val="21"/>
                <w:lang w:val="en-US" w:eastAsia="zh-CN"/>
              </w:rPr>
              <w:t>1-2</w:t>
            </w:r>
            <w:r>
              <w:rPr>
                <w:rFonts w:hint="eastAsia" w:ascii="宋体" w:hAnsi="宋体" w:eastAsia="宋体" w:cs="Times New Roman"/>
                <w:color w:val="auto"/>
                <w:sz w:val="21"/>
                <w:szCs w:val="21"/>
              </w:rPr>
              <w:t>分；没有售后服务方案不得分。</w:t>
            </w:r>
          </w:p>
        </w:tc>
        <w:tc>
          <w:tcPr>
            <w:tcW w:w="1375" w:type="dxa"/>
            <w:vAlign w:val="center"/>
          </w:tcPr>
          <w:p>
            <w:pPr>
              <w:spacing w:line="360" w:lineRule="auto"/>
              <w:ind w:left="-38"/>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4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 w:firstLineChars="0"/>
              <w:jc w:val="center"/>
              <w:rPr>
                <w:rFonts w:hint="eastAsia" w:ascii="宋体" w:hAnsi="宋体" w:eastAsia="宋体" w:cs="宋体"/>
                <w:sz w:val="21"/>
                <w:szCs w:val="21"/>
                <w:lang w:eastAsia="zh-CN"/>
              </w:rPr>
            </w:pPr>
            <w:r>
              <w:rPr>
                <w:rFonts w:hint="eastAsia" w:ascii="宋体" w:hAnsi="宋体" w:cs="宋体"/>
                <w:sz w:val="21"/>
                <w:szCs w:val="21"/>
                <w:lang w:val="en-US" w:eastAsia="zh-CN"/>
              </w:rPr>
              <w:t>6</w:t>
            </w:r>
          </w:p>
        </w:tc>
        <w:tc>
          <w:tcPr>
            <w:tcW w:w="12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1"/>
                <w:szCs w:val="21"/>
              </w:rPr>
            </w:pPr>
            <w:r>
              <w:rPr>
                <w:rFonts w:hint="eastAsia" w:ascii="宋体" w:hAnsi="宋体" w:cs="宋体"/>
                <w:sz w:val="21"/>
                <w:szCs w:val="21"/>
              </w:rPr>
              <w:t>培训方案</w:t>
            </w:r>
            <w:r>
              <w:rPr>
                <w:rFonts w:hint="eastAsia" w:ascii="宋体" w:hAnsi="宋体" w:cs="宋体"/>
                <w:sz w:val="21"/>
                <w:szCs w:val="21"/>
                <w:lang w:val="en-US" w:eastAsia="zh-CN"/>
              </w:rPr>
              <w:t>2</w:t>
            </w:r>
            <w:r>
              <w:rPr>
                <w:rFonts w:hint="eastAsia" w:ascii="宋体" w:hAnsi="宋体" w:cs="宋体"/>
                <w:sz w:val="21"/>
                <w:szCs w:val="21"/>
              </w:rPr>
              <w:t>%</w:t>
            </w:r>
          </w:p>
        </w:tc>
        <w:tc>
          <w:tcPr>
            <w:tcW w:w="6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w:t>
            </w:r>
          </w:p>
        </w:tc>
        <w:tc>
          <w:tcPr>
            <w:tcW w:w="539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根据供应商提供的培训方案及培训效果保证措施等进行综合评分，培训采购人指定的技术人员和管理人员，制定培训课程计划表，列出每种培训的地点和时间、培训的内容、方式、次数等，培训内容应包括所提供产品的原理和技术性能、操作维护方法、安装调试、排除故障等各个方面，培训的具体日期及人数由使用单位确定。培训方案明确，方案完善、科学合理，针对性强、服务承诺明确，计</w:t>
            </w:r>
            <w:r>
              <w:rPr>
                <w:rFonts w:hint="eastAsia" w:ascii="宋体" w:hAnsi="宋体" w:cs="Times New Roman"/>
                <w:color w:val="auto"/>
                <w:sz w:val="21"/>
                <w:szCs w:val="21"/>
                <w:lang w:val="en-US" w:eastAsia="zh-CN"/>
              </w:rPr>
              <w:t>1-2</w:t>
            </w:r>
            <w:r>
              <w:rPr>
                <w:rFonts w:hint="eastAsia" w:ascii="宋体" w:hAnsi="宋体" w:eastAsia="宋体" w:cs="Times New Roman"/>
                <w:color w:val="auto"/>
                <w:sz w:val="21"/>
                <w:szCs w:val="21"/>
              </w:rPr>
              <w:t>分</w:t>
            </w:r>
            <w:r>
              <w:rPr>
                <w:rFonts w:hint="eastAsia" w:ascii="宋体" w:hAnsi="宋体" w:cs="Times New Roman"/>
                <w:color w:val="auto"/>
                <w:sz w:val="21"/>
                <w:szCs w:val="21"/>
                <w:lang w:eastAsia="zh-CN"/>
              </w:rPr>
              <w:t>；</w:t>
            </w:r>
            <w:r>
              <w:rPr>
                <w:rFonts w:hint="eastAsia" w:ascii="宋体" w:hAnsi="宋体" w:eastAsia="宋体" w:cs="Times New Roman"/>
                <w:color w:val="auto"/>
                <w:sz w:val="21"/>
                <w:szCs w:val="21"/>
              </w:rPr>
              <w:t>方案内容不完整，响应有缺项，与实际需求不符，计</w:t>
            </w:r>
            <w:r>
              <w:rPr>
                <w:rFonts w:hint="eastAsia" w:ascii="宋体" w:hAnsi="宋体" w:cs="Times New Roman"/>
                <w:color w:val="auto"/>
                <w:sz w:val="21"/>
                <w:szCs w:val="21"/>
                <w:lang w:val="en-US" w:eastAsia="zh-CN"/>
              </w:rPr>
              <w:t>0.1-1</w:t>
            </w:r>
            <w:r>
              <w:rPr>
                <w:rFonts w:hint="eastAsia" w:ascii="宋体" w:hAnsi="宋体" w:eastAsia="宋体" w:cs="Times New Roman"/>
                <w:color w:val="auto"/>
                <w:sz w:val="21"/>
                <w:szCs w:val="21"/>
              </w:rPr>
              <w:t>分，未提供不计分。</w:t>
            </w:r>
          </w:p>
        </w:tc>
        <w:tc>
          <w:tcPr>
            <w:tcW w:w="1375" w:type="dxa"/>
            <w:tcBorders>
              <w:top w:val="single" w:color="auto" w:sz="4" w:space="0"/>
              <w:left w:val="single" w:color="auto" w:sz="4" w:space="0"/>
              <w:bottom w:val="single" w:color="auto" w:sz="4" w:space="0"/>
              <w:right w:val="single" w:color="auto" w:sz="4" w:space="0"/>
            </w:tcBorders>
            <w:vAlign w:val="center"/>
          </w:tcPr>
          <w:p>
            <w:pPr>
              <w:spacing w:line="360" w:lineRule="auto"/>
              <w:ind w:left="-38"/>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4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7</w:t>
            </w:r>
          </w:p>
        </w:tc>
        <w:tc>
          <w:tcPr>
            <w:tcW w:w="12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1"/>
                <w:szCs w:val="21"/>
              </w:rPr>
            </w:pPr>
            <w:r>
              <w:rPr>
                <w:rFonts w:hint="eastAsia" w:ascii="宋体" w:hAnsi="宋体" w:cs="宋体"/>
                <w:sz w:val="21"/>
                <w:szCs w:val="21"/>
              </w:rPr>
              <w:t>业绩</w:t>
            </w:r>
            <w:r>
              <w:rPr>
                <w:rFonts w:hint="eastAsia" w:ascii="宋体" w:hAnsi="宋体" w:cs="宋体"/>
                <w:sz w:val="21"/>
                <w:szCs w:val="21"/>
                <w:lang w:val="en-US" w:eastAsia="zh-CN"/>
              </w:rPr>
              <w:t>4</w:t>
            </w:r>
            <w:r>
              <w:rPr>
                <w:rFonts w:hint="eastAsia" w:ascii="宋体" w:hAnsi="宋体" w:cs="宋体"/>
                <w:sz w:val="21"/>
                <w:szCs w:val="21"/>
              </w:rPr>
              <w:t>%</w:t>
            </w:r>
          </w:p>
        </w:tc>
        <w:tc>
          <w:tcPr>
            <w:tcW w:w="62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539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投标人提供的2019年1月1日至今所投</w:t>
            </w:r>
            <w:r>
              <w:rPr>
                <w:rFonts w:hint="eastAsia" w:ascii="宋体" w:hAnsi="宋体" w:cs="Times New Roman"/>
                <w:color w:val="auto"/>
                <w:sz w:val="21"/>
                <w:szCs w:val="21"/>
                <w:lang w:val="en-US" w:eastAsia="zh-CN"/>
              </w:rPr>
              <w:t>类似实训室建设</w:t>
            </w:r>
            <w:r>
              <w:rPr>
                <w:rFonts w:hint="eastAsia" w:ascii="宋体" w:hAnsi="宋体" w:eastAsia="宋体" w:cs="Times New Roman"/>
                <w:color w:val="auto"/>
                <w:sz w:val="21"/>
                <w:szCs w:val="21"/>
              </w:rPr>
              <w:t>业绩（以合同签订日期为准，到达最终用户，仅限投标人本身，提供完整合同复印件</w:t>
            </w:r>
            <w:r>
              <w:rPr>
                <w:rFonts w:hint="eastAsia" w:ascii="宋体" w:hAnsi="宋体" w:eastAsia="宋体" w:cs="Times New Roman"/>
                <w:color w:val="auto"/>
                <w:sz w:val="21"/>
                <w:szCs w:val="21"/>
                <w:lang w:eastAsia="zh-CN"/>
              </w:rPr>
              <w:t>、中标通知书和中标公告截图同时具备为一份有效业绩</w:t>
            </w:r>
            <w:r>
              <w:rPr>
                <w:rFonts w:hint="eastAsia" w:ascii="宋体" w:hAnsi="宋体" w:eastAsia="宋体" w:cs="Times New Roman"/>
                <w:color w:val="auto"/>
                <w:sz w:val="21"/>
                <w:szCs w:val="21"/>
              </w:rPr>
              <w:t>）进行评定，每份计1分，最高计</w:t>
            </w:r>
            <w:r>
              <w:rPr>
                <w:rFonts w:hint="eastAsia" w:ascii="宋体" w:hAnsi="宋体" w:cs="Times New Roman"/>
                <w:color w:val="auto"/>
                <w:sz w:val="21"/>
                <w:szCs w:val="21"/>
                <w:lang w:val="en-US" w:eastAsia="zh-CN"/>
              </w:rPr>
              <w:t>4</w:t>
            </w:r>
            <w:r>
              <w:rPr>
                <w:rFonts w:hint="eastAsia" w:ascii="宋体" w:hAnsi="宋体" w:eastAsia="宋体" w:cs="Times New Roman"/>
                <w:color w:val="auto"/>
                <w:sz w:val="21"/>
                <w:szCs w:val="21"/>
              </w:rPr>
              <w:t>分。</w:t>
            </w:r>
          </w:p>
        </w:tc>
        <w:tc>
          <w:tcPr>
            <w:tcW w:w="1375" w:type="dxa"/>
            <w:tcBorders>
              <w:top w:val="single" w:color="auto" w:sz="4" w:space="0"/>
              <w:left w:val="single" w:color="auto" w:sz="4" w:space="0"/>
              <w:bottom w:val="single" w:color="auto" w:sz="4" w:space="0"/>
              <w:right w:val="single" w:color="auto" w:sz="4" w:space="0"/>
            </w:tcBorders>
            <w:vAlign w:val="center"/>
          </w:tcPr>
          <w:p>
            <w:pPr>
              <w:spacing w:line="360" w:lineRule="auto"/>
              <w:ind w:left="-38" w:leftChars="0"/>
              <w:rPr>
                <w:rFonts w:ascii="宋体" w:hAnsi="宋体" w:cs="宋体"/>
                <w:sz w:val="21"/>
                <w:szCs w:val="21"/>
              </w:rPr>
            </w:pPr>
            <w:r>
              <w:rPr>
                <w:rFonts w:hint="eastAsia" w:ascii="宋体" w:hAnsi="宋体" w:cs="宋体"/>
                <w:sz w:val="21"/>
                <w:szCs w:val="21"/>
              </w:rPr>
              <w:t>（原件开标现场携带备查）</w:t>
            </w:r>
          </w:p>
        </w:tc>
      </w:tr>
    </w:tbl>
    <w:p>
      <w:pPr>
        <w:spacing w:line="500" w:lineRule="exact"/>
        <w:ind w:firstLine="560" w:firstLineChars="200"/>
        <w:outlineLvl w:val="3"/>
        <w:rPr>
          <w:rFonts w:hint="eastAsia"/>
          <w:sz w:val="28"/>
          <w:szCs w:val="28"/>
          <w:lang w:eastAsia="zh-CN"/>
        </w:rPr>
        <w:sectPr>
          <w:pgSz w:w="11906" w:h="16838"/>
          <w:pgMar w:top="1440" w:right="1803" w:bottom="1440" w:left="1803" w:header="851" w:footer="992" w:gutter="0"/>
          <w:pgNumType w:fmt="decimal"/>
          <w:cols w:space="720" w:num="1"/>
          <w:docGrid w:type="lines" w:linePitch="319" w:charSpace="0"/>
        </w:sectPr>
      </w:pPr>
    </w:p>
    <w:p>
      <w:pPr>
        <w:spacing w:line="500" w:lineRule="exact"/>
        <w:ind w:firstLine="560" w:firstLineChars="200"/>
        <w:outlineLvl w:val="3"/>
        <w:rPr>
          <w:rFonts w:ascii="宋体" w:hAnsi="宋体" w:cs="宋体"/>
          <w:sz w:val="24"/>
          <w:szCs w:val="24"/>
        </w:rPr>
      </w:pPr>
      <w:r>
        <w:rPr>
          <w:rFonts w:hint="eastAsia"/>
          <w:sz w:val="28"/>
          <w:szCs w:val="28"/>
          <w:lang w:eastAsia="zh-CN"/>
        </w:rPr>
        <w:t>合同包</w:t>
      </w:r>
      <w:r>
        <w:rPr>
          <w:rFonts w:hint="eastAsia"/>
          <w:sz w:val="28"/>
          <w:szCs w:val="28"/>
          <w:lang w:val="en-US" w:eastAsia="zh-CN"/>
        </w:rPr>
        <w:t>6</w:t>
      </w:r>
    </w:p>
    <w:tbl>
      <w:tblPr>
        <w:tblStyle w:val="29"/>
        <w:tblW w:w="9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223"/>
        <w:gridCol w:w="620"/>
        <w:gridCol w:w="5399"/>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460" w:type="dxa"/>
            <w:vAlign w:val="center"/>
          </w:tcPr>
          <w:p>
            <w:pPr>
              <w:spacing w:line="360" w:lineRule="auto"/>
              <w:rPr>
                <w:rFonts w:ascii="宋体" w:hAnsi="宋体" w:cs="宋体"/>
                <w:b/>
                <w:bCs/>
                <w:sz w:val="21"/>
                <w:szCs w:val="21"/>
              </w:rPr>
            </w:pPr>
            <w:r>
              <w:rPr>
                <w:rFonts w:hint="eastAsia" w:ascii="宋体" w:hAnsi="宋体" w:cs="宋体"/>
                <w:b/>
                <w:bCs/>
                <w:sz w:val="21"/>
                <w:szCs w:val="21"/>
              </w:rPr>
              <w:t>序号</w:t>
            </w:r>
          </w:p>
        </w:tc>
        <w:tc>
          <w:tcPr>
            <w:tcW w:w="1223" w:type="dxa"/>
            <w:vAlign w:val="center"/>
          </w:tcPr>
          <w:p>
            <w:pPr>
              <w:spacing w:line="360" w:lineRule="auto"/>
              <w:ind w:firstLine="28"/>
              <w:rPr>
                <w:rFonts w:ascii="宋体" w:hAnsi="宋体" w:cs="宋体"/>
                <w:b/>
                <w:bCs/>
                <w:sz w:val="21"/>
                <w:szCs w:val="21"/>
              </w:rPr>
            </w:pPr>
            <w:r>
              <w:rPr>
                <w:rFonts w:hint="eastAsia" w:ascii="宋体" w:hAnsi="宋体" w:cs="宋体"/>
                <w:b/>
                <w:bCs/>
                <w:sz w:val="21"/>
                <w:szCs w:val="21"/>
              </w:rPr>
              <w:t>评分因素及权重</w:t>
            </w:r>
          </w:p>
        </w:tc>
        <w:tc>
          <w:tcPr>
            <w:tcW w:w="620" w:type="dxa"/>
            <w:vAlign w:val="center"/>
          </w:tcPr>
          <w:p>
            <w:pPr>
              <w:spacing w:line="360" w:lineRule="auto"/>
              <w:ind w:firstLine="28"/>
              <w:jc w:val="center"/>
              <w:rPr>
                <w:rFonts w:ascii="宋体" w:hAnsi="宋体" w:cs="宋体"/>
                <w:b/>
                <w:bCs/>
                <w:sz w:val="21"/>
                <w:szCs w:val="21"/>
              </w:rPr>
            </w:pPr>
            <w:r>
              <w:rPr>
                <w:rFonts w:hint="eastAsia" w:ascii="宋体" w:hAnsi="宋体" w:cs="宋体"/>
                <w:b/>
                <w:bCs/>
                <w:sz w:val="21"/>
                <w:szCs w:val="21"/>
              </w:rPr>
              <w:t>分值</w:t>
            </w:r>
          </w:p>
        </w:tc>
        <w:tc>
          <w:tcPr>
            <w:tcW w:w="5399" w:type="dxa"/>
            <w:vAlign w:val="center"/>
          </w:tcPr>
          <w:p>
            <w:pPr>
              <w:spacing w:line="360" w:lineRule="auto"/>
              <w:ind w:firstLine="28"/>
              <w:jc w:val="center"/>
              <w:rPr>
                <w:rFonts w:ascii="宋体" w:hAnsi="宋体" w:cs="宋体"/>
                <w:b/>
                <w:bCs/>
                <w:sz w:val="21"/>
                <w:szCs w:val="21"/>
              </w:rPr>
            </w:pPr>
            <w:r>
              <w:rPr>
                <w:rFonts w:hint="eastAsia" w:ascii="宋体" w:hAnsi="宋体" w:cs="宋体"/>
                <w:b/>
                <w:bCs/>
                <w:sz w:val="21"/>
                <w:szCs w:val="21"/>
              </w:rPr>
              <w:t>评分标准</w:t>
            </w:r>
          </w:p>
        </w:tc>
        <w:tc>
          <w:tcPr>
            <w:tcW w:w="1375" w:type="dxa"/>
            <w:vAlign w:val="center"/>
          </w:tcPr>
          <w:p>
            <w:pPr>
              <w:spacing w:line="360" w:lineRule="auto"/>
              <w:jc w:val="center"/>
              <w:rPr>
                <w:rFonts w:ascii="宋体" w:hAnsi="宋体" w:cs="宋体"/>
                <w:b/>
                <w:bCs/>
                <w:sz w:val="21"/>
                <w:szCs w:val="21"/>
              </w:rPr>
            </w:pPr>
            <w:r>
              <w:rPr>
                <w:rFonts w:hint="eastAsia" w:ascii="宋体" w:hAnsi="宋体" w:cs="宋体"/>
                <w:b/>
                <w:bCs/>
                <w:sz w:val="21"/>
                <w:szCs w:val="21"/>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9" w:hRule="atLeast"/>
        </w:trPr>
        <w:tc>
          <w:tcPr>
            <w:tcW w:w="460" w:type="dxa"/>
            <w:vAlign w:val="center"/>
          </w:tcPr>
          <w:p>
            <w:pPr>
              <w:spacing w:line="360" w:lineRule="auto"/>
              <w:ind w:firstLine="28"/>
              <w:jc w:val="center"/>
              <w:rPr>
                <w:rFonts w:ascii="宋体" w:hAnsi="宋体" w:cs="宋体"/>
                <w:sz w:val="21"/>
                <w:szCs w:val="21"/>
              </w:rPr>
            </w:pPr>
            <w:r>
              <w:rPr>
                <w:rFonts w:hint="eastAsia" w:ascii="宋体" w:hAnsi="宋体" w:cs="宋体"/>
                <w:sz w:val="21"/>
                <w:szCs w:val="21"/>
              </w:rPr>
              <w:t>1</w:t>
            </w:r>
          </w:p>
        </w:tc>
        <w:tc>
          <w:tcPr>
            <w:tcW w:w="1223" w:type="dxa"/>
            <w:vAlign w:val="center"/>
          </w:tcPr>
          <w:p>
            <w:pPr>
              <w:spacing w:line="360" w:lineRule="auto"/>
              <w:ind w:firstLine="28"/>
              <w:jc w:val="center"/>
              <w:rPr>
                <w:rFonts w:ascii="宋体" w:hAnsi="宋体" w:cs="宋体"/>
                <w:color w:val="auto"/>
                <w:sz w:val="21"/>
                <w:szCs w:val="21"/>
              </w:rPr>
            </w:pPr>
            <w:r>
              <w:rPr>
                <w:rFonts w:hint="eastAsia" w:ascii="宋体" w:hAnsi="宋体" w:cs="宋体"/>
                <w:color w:val="auto"/>
                <w:sz w:val="21"/>
                <w:szCs w:val="21"/>
              </w:rPr>
              <w:t>报价</w:t>
            </w:r>
            <w:r>
              <w:rPr>
                <w:rFonts w:hint="eastAsia" w:ascii="宋体" w:hAnsi="宋体" w:cs="宋体"/>
                <w:color w:val="auto"/>
                <w:sz w:val="21"/>
                <w:szCs w:val="21"/>
                <w:lang w:val="en-US" w:eastAsia="zh-CN"/>
              </w:rPr>
              <w:t>30</w:t>
            </w:r>
            <w:r>
              <w:rPr>
                <w:rFonts w:hint="eastAsia" w:ascii="宋体" w:hAnsi="宋体" w:cs="宋体"/>
                <w:color w:val="auto"/>
                <w:sz w:val="21"/>
                <w:szCs w:val="21"/>
              </w:rPr>
              <w:t>%</w:t>
            </w:r>
          </w:p>
        </w:tc>
        <w:tc>
          <w:tcPr>
            <w:tcW w:w="620" w:type="dxa"/>
            <w:vAlign w:val="center"/>
          </w:tcPr>
          <w:p>
            <w:pPr>
              <w:spacing w:line="360" w:lineRule="auto"/>
              <w:ind w:firstLine="28"/>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30</w:t>
            </w:r>
          </w:p>
        </w:tc>
        <w:tc>
          <w:tcPr>
            <w:tcW w:w="5399" w:type="dxa"/>
            <w:vAlign w:val="center"/>
          </w:tcPr>
          <w:p>
            <w:pPr>
              <w:spacing w:line="360" w:lineRule="auto"/>
              <w:rPr>
                <w:rFonts w:ascii="宋体" w:hAnsi="宋体"/>
                <w:color w:val="auto"/>
                <w:sz w:val="21"/>
                <w:szCs w:val="21"/>
              </w:rPr>
            </w:pPr>
            <w:r>
              <w:rPr>
                <w:rFonts w:hint="eastAsia" w:ascii="宋体" w:hAnsi="宋体"/>
                <w:color w:val="auto"/>
                <w:sz w:val="21"/>
                <w:szCs w:val="21"/>
              </w:rPr>
              <w:t>价格分应当采用低价优先法计算，即满足招标文件要求且投标价格最低的投标报价为评标基准价，其价格分为满分。其他供应商的价格分统一按照下列公式计算：</w:t>
            </w:r>
          </w:p>
          <w:p>
            <w:pPr>
              <w:spacing w:line="360" w:lineRule="auto"/>
              <w:rPr>
                <w:rFonts w:ascii="宋体" w:hAnsi="宋体"/>
                <w:color w:val="auto"/>
                <w:sz w:val="21"/>
                <w:szCs w:val="21"/>
              </w:rPr>
            </w:pPr>
            <w:r>
              <w:rPr>
                <w:rFonts w:hint="eastAsia" w:ascii="宋体" w:hAnsi="宋体"/>
                <w:color w:val="auto"/>
                <w:sz w:val="21"/>
                <w:szCs w:val="21"/>
              </w:rPr>
              <w:t>报价得分＝（评标基准价/投标报价）×</w:t>
            </w:r>
            <w:r>
              <w:rPr>
                <w:rFonts w:hint="eastAsia" w:ascii="宋体" w:hAnsi="宋体"/>
                <w:color w:val="auto"/>
                <w:sz w:val="21"/>
                <w:szCs w:val="21"/>
                <w:lang w:val="en-US" w:eastAsia="zh-CN"/>
              </w:rPr>
              <w:t>30</w:t>
            </w:r>
            <w:r>
              <w:rPr>
                <w:rFonts w:hint="eastAsia" w:ascii="宋体" w:hAnsi="宋体"/>
                <w:color w:val="auto"/>
                <w:sz w:val="21"/>
                <w:szCs w:val="21"/>
              </w:rPr>
              <w:t>。</w:t>
            </w:r>
          </w:p>
          <w:p>
            <w:pPr>
              <w:spacing w:line="360" w:lineRule="auto"/>
              <w:rPr>
                <w:rFonts w:ascii="宋体" w:hAnsi="宋体" w:cs="宋体"/>
                <w:color w:val="auto"/>
                <w:sz w:val="21"/>
                <w:szCs w:val="21"/>
              </w:rPr>
            </w:pPr>
            <w:r>
              <w:rPr>
                <w:rFonts w:hint="eastAsia" w:ascii="宋体" w:hAnsi="宋体"/>
                <w:color w:val="auto"/>
                <w:sz w:val="21"/>
                <w:szCs w:val="21"/>
              </w:rPr>
              <w:t>注：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tc>
        <w:tc>
          <w:tcPr>
            <w:tcW w:w="1375" w:type="dxa"/>
            <w:vAlign w:val="center"/>
          </w:tcPr>
          <w:p>
            <w:pPr>
              <w:spacing w:line="360" w:lineRule="auto"/>
              <w:ind w:left="-38"/>
              <w:rPr>
                <w:rFonts w:ascii="宋体" w:hAnsi="宋体" w:cs="宋体"/>
                <w:sz w:val="21"/>
                <w:szCs w:val="21"/>
              </w:rPr>
            </w:pPr>
          </w:p>
          <w:p>
            <w:pPr>
              <w:spacing w:line="360" w:lineRule="auto"/>
              <w:jc w:val="center"/>
              <w:rPr>
                <w:rFonts w:ascii="宋体" w:hAnsi="宋体" w:cs="宋体"/>
                <w:sz w:val="21"/>
                <w:szCs w:val="21"/>
              </w:rPr>
            </w:pPr>
            <w:r>
              <w:rPr>
                <w:rFonts w:hint="eastAsia" w:ascii="宋体" w:hAnsi="宋体" w:cs="宋体"/>
                <w:sz w:val="21"/>
                <w:szCs w:val="21"/>
              </w:rPr>
              <w:t>政策性优惠详见下列评审标准备注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460" w:type="dxa"/>
            <w:vAlign w:val="center"/>
          </w:tcPr>
          <w:p>
            <w:pPr>
              <w:spacing w:line="360" w:lineRule="auto"/>
              <w:ind w:firstLine="28"/>
              <w:jc w:val="center"/>
              <w:rPr>
                <w:rFonts w:ascii="宋体" w:hAnsi="宋体" w:cs="宋体"/>
                <w:sz w:val="21"/>
                <w:szCs w:val="21"/>
              </w:rPr>
            </w:pPr>
            <w:r>
              <w:rPr>
                <w:rFonts w:hint="eastAsia" w:ascii="宋体" w:hAnsi="宋体" w:cs="宋体"/>
                <w:sz w:val="21"/>
                <w:szCs w:val="21"/>
              </w:rPr>
              <w:t>2</w:t>
            </w:r>
          </w:p>
        </w:tc>
        <w:tc>
          <w:tcPr>
            <w:tcW w:w="1223" w:type="dxa"/>
            <w:vAlign w:val="center"/>
          </w:tcPr>
          <w:p>
            <w:pPr>
              <w:spacing w:line="360" w:lineRule="auto"/>
              <w:jc w:val="center"/>
              <w:rPr>
                <w:rFonts w:ascii="宋体" w:hAnsi="宋体" w:cs="宋体"/>
                <w:color w:val="auto"/>
                <w:sz w:val="21"/>
                <w:szCs w:val="21"/>
              </w:rPr>
            </w:pPr>
            <w:r>
              <w:rPr>
                <w:rFonts w:hint="eastAsia" w:ascii="宋体" w:hAnsi="宋体" w:cs="宋体"/>
                <w:color w:val="auto"/>
                <w:sz w:val="21"/>
                <w:szCs w:val="21"/>
              </w:rPr>
              <w:t>技术</w:t>
            </w:r>
            <w:r>
              <w:rPr>
                <w:rFonts w:hint="eastAsia" w:ascii="宋体" w:hAnsi="宋体" w:cs="宋体"/>
                <w:color w:val="auto"/>
                <w:sz w:val="21"/>
                <w:szCs w:val="21"/>
                <w:lang w:eastAsia="zh-CN"/>
              </w:rPr>
              <w:t>指标</w:t>
            </w:r>
            <w:r>
              <w:rPr>
                <w:rFonts w:hint="eastAsia" w:ascii="宋体" w:hAnsi="宋体" w:cs="宋体"/>
                <w:color w:val="auto"/>
                <w:sz w:val="21"/>
                <w:szCs w:val="21"/>
                <w:lang w:val="en-US" w:eastAsia="zh-CN"/>
              </w:rPr>
              <w:t>30</w:t>
            </w:r>
            <w:r>
              <w:rPr>
                <w:rFonts w:hint="eastAsia" w:ascii="宋体" w:hAnsi="宋体" w:cs="宋体"/>
                <w:color w:val="auto"/>
                <w:sz w:val="21"/>
                <w:szCs w:val="21"/>
              </w:rPr>
              <w:t>%</w:t>
            </w:r>
          </w:p>
        </w:tc>
        <w:tc>
          <w:tcPr>
            <w:tcW w:w="620" w:type="dxa"/>
            <w:vAlign w:val="center"/>
          </w:tcPr>
          <w:p>
            <w:pPr>
              <w:spacing w:line="360" w:lineRule="auto"/>
              <w:ind w:firstLine="28"/>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30</w:t>
            </w:r>
          </w:p>
        </w:tc>
        <w:tc>
          <w:tcPr>
            <w:tcW w:w="5399" w:type="dxa"/>
          </w:tcPr>
          <w:p>
            <w:pPr>
              <w:spacing w:line="360" w:lineRule="auto"/>
              <w:rPr>
                <w:rFonts w:hint="eastAsia" w:ascii="宋体" w:hAnsi="宋体" w:eastAsia="宋体"/>
                <w:b/>
                <w:bCs/>
                <w:color w:val="auto"/>
                <w:sz w:val="21"/>
                <w:szCs w:val="21"/>
              </w:rPr>
            </w:pPr>
            <w:r>
              <w:rPr>
                <w:rFonts w:hint="eastAsia" w:ascii="宋体" w:hAnsi="宋体" w:eastAsia="宋体"/>
                <w:b/>
                <w:bCs/>
                <w:color w:val="auto"/>
                <w:sz w:val="21"/>
                <w:szCs w:val="21"/>
              </w:rPr>
              <w:t>根据投标人提供所投产品的主要技术指标（参数）的相应的证明材料（包括但不限于产品彩页、测试报告、官网和功能截图等技术支持性文件（资料），经评审专家审定得分。</w:t>
            </w:r>
          </w:p>
          <w:p>
            <w:pPr>
              <w:spacing w:line="360" w:lineRule="auto"/>
              <w:rPr>
                <w:rFonts w:ascii="宋体" w:hAnsi="宋体" w:cs="宋体"/>
                <w:color w:val="auto"/>
                <w:sz w:val="21"/>
                <w:szCs w:val="21"/>
              </w:rPr>
            </w:pPr>
            <w:r>
              <w:rPr>
                <w:rFonts w:hint="eastAsia" w:ascii="宋体" w:hAnsi="宋体" w:eastAsia="宋体"/>
                <w:color w:val="auto"/>
                <w:sz w:val="21"/>
                <w:szCs w:val="21"/>
              </w:rPr>
              <w:t>基本分（</w:t>
            </w:r>
            <w:r>
              <w:rPr>
                <w:rFonts w:hint="eastAsia" w:ascii="宋体" w:hAnsi="宋体"/>
                <w:color w:val="auto"/>
                <w:sz w:val="21"/>
                <w:szCs w:val="21"/>
                <w:lang w:val="en-US" w:eastAsia="zh-CN"/>
              </w:rPr>
              <w:t>30</w:t>
            </w:r>
            <w:r>
              <w:rPr>
                <w:rFonts w:hint="eastAsia" w:ascii="宋体" w:hAnsi="宋体" w:eastAsia="宋体"/>
                <w:color w:val="auto"/>
                <w:sz w:val="21"/>
                <w:szCs w:val="21"/>
              </w:rPr>
              <w:t>分）：完全符合</w:t>
            </w:r>
            <w:r>
              <w:rPr>
                <w:rFonts w:hint="eastAsia" w:ascii="宋体" w:hAnsi="宋体" w:eastAsia="宋体"/>
                <w:color w:val="auto"/>
                <w:sz w:val="21"/>
                <w:szCs w:val="21"/>
                <w:lang w:eastAsia="zh-CN"/>
              </w:rPr>
              <w:t>公开招标</w:t>
            </w:r>
            <w:r>
              <w:rPr>
                <w:rFonts w:hint="eastAsia" w:ascii="宋体" w:hAnsi="宋体" w:eastAsia="宋体"/>
                <w:color w:val="auto"/>
                <w:sz w:val="21"/>
                <w:szCs w:val="21"/>
              </w:rPr>
              <w:t>文件要求，没有负偏离的得</w:t>
            </w:r>
            <w:r>
              <w:rPr>
                <w:rFonts w:hint="eastAsia" w:ascii="宋体" w:hAnsi="宋体"/>
                <w:color w:val="auto"/>
                <w:sz w:val="21"/>
                <w:szCs w:val="21"/>
                <w:lang w:val="en-US" w:eastAsia="zh-CN"/>
              </w:rPr>
              <w:t>30</w:t>
            </w:r>
            <w:r>
              <w:rPr>
                <w:rFonts w:hint="eastAsia" w:ascii="宋体" w:hAnsi="宋体" w:eastAsia="宋体"/>
                <w:color w:val="auto"/>
                <w:sz w:val="21"/>
                <w:szCs w:val="21"/>
              </w:rPr>
              <w:t>分；技术参数负偏离每项扣1分，扣完为止。</w:t>
            </w:r>
          </w:p>
        </w:tc>
        <w:tc>
          <w:tcPr>
            <w:tcW w:w="1375" w:type="dxa"/>
            <w:vAlign w:val="center"/>
          </w:tcPr>
          <w:p>
            <w:pPr>
              <w:spacing w:line="360" w:lineRule="auto"/>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2" w:hRule="atLeast"/>
        </w:trPr>
        <w:tc>
          <w:tcPr>
            <w:tcW w:w="460" w:type="dxa"/>
            <w:vAlign w:val="center"/>
          </w:tcPr>
          <w:p>
            <w:pPr>
              <w:spacing w:line="360" w:lineRule="auto"/>
              <w:ind w:firstLine="28"/>
              <w:jc w:val="center"/>
              <w:rPr>
                <w:rFonts w:ascii="宋体" w:hAnsi="宋体" w:cs="宋体"/>
                <w:sz w:val="21"/>
                <w:szCs w:val="21"/>
              </w:rPr>
            </w:pPr>
            <w:r>
              <w:rPr>
                <w:rFonts w:hint="eastAsia" w:ascii="宋体" w:hAnsi="宋体" w:cs="宋体"/>
                <w:sz w:val="21"/>
                <w:szCs w:val="21"/>
              </w:rPr>
              <w:t>3</w:t>
            </w:r>
          </w:p>
        </w:tc>
        <w:tc>
          <w:tcPr>
            <w:tcW w:w="1223" w:type="dxa"/>
            <w:vAlign w:val="center"/>
          </w:tcPr>
          <w:p>
            <w:pPr>
              <w:spacing w:line="360" w:lineRule="auto"/>
              <w:jc w:val="center"/>
              <w:rPr>
                <w:rFonts w:ascii="宋体" w:hAnsi="宋体" w:cs="宋体"/>
                <w:sz w:val="21"/>
                <w:szCs w:val="21"/>
              </w:rPr>
            </w:pPr>
            <w:r>
              <w:rPr>
                <w:rFonts w:hint="eastAsia" w:ascii="宋体" w:hAnsi="宋体" w:cs="宋体"/>
                <w:sz w:val="21"/>
                <w:szCs w:val="21"/>
                <w:lang w:eastAsia="zh-CN"/>
              </w:rPr>
              <w:t>演示</w:t>
            </w:r>
            <w:r>
              <w:rPr>
                <w:rFonts w:hint="eastAsia" w:ascii="宋体" w:hAnsi="宋体" w:cs="宋体"/>
                <w:sz w:val="21"/>
                <w:szCs w:val="21"/>
                <w:lang w:val="en-US" w:eastAsia="zh-CN"/>
              </w:rPr>
              <w:t>16</w:t>
            </w:r>
            <w:r>
              <w:rPr>
                <w:rFonts w:hint="eastAsia" w:ascii="宋体" w:hAnsi="宋体" w:cs="宋体"/>
                <w:sz w:val="21"/>
                <w:szCs w:val="21"/>
              </w:rPr>
              <w:t>%</w:t>
            </w:r>
          </w:p>
        </w:tc>
        <w:tc>
          <w:tcPr>
            <w:tcW w:w="620" w:type="dxa"/>
            <w:vAlign w:val="center"/>
          </w:tcPr>
          <w:p>
            <w:pPr>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16</w:t>
            </w:r>
          </w:p>
        </w:tc>
        <w:tc>
          <w:tcPr>
            <w:tcW w:w="5399" w:type="dxa"/>
            <w:vAlign w:val="top"/>
          </w:tcPr>
          <w:p>
            <w:pPr>
              <w:spacing w:line="360" w:lineRule="auto"/>
              <w:rPr>
                <w:rFonts w:hint="eastAsia" w:ascii="宋体" w:hAnsi="宋体" w:eastAsia="宋体" w:cs="Times New Roman"/>
                <w:color w:val="auto"/>
                <w:sz w:val="21"/>
                <w:szCs w:val="21"/>
              </w:rPr>
            </w:pPr>
            <w:r>
              <w:rPr>
                <w:rFonts w:hint="eastAsia" w:ascii="宋体" w:hAnsi="宋体" w:cs="Times New Roman"/>
                <w:color w:val="auto"/>
                <w:sz w:val="21"/>
                <w:szCs w:val="21"/>
                <w:lang w:val="en-US" w:eastAsia="zh-CN"/>
              </w:rPr>
              <w:t>对</w:t>
            </w:r>
            <w:r>
              <w:rPr>
                <w:rFonts w:hint="eastAsia" w:ascii="宋体" w:hAnsi="宋体" w:eastAsia="宋体" w:cs="Times New Roman"/>
                <w:color w:val="auto"/>
                <w:sz w:val="21"/>
                <w:szCs w:val="21"/>
              </w:rPr>
              <w:t>技术参数表</w:t>
            </w:r>
            <w:r>
              <w:rPr>
                <w:rFonts w:hint="eastAsia" w:ascii="宋体" w:hAnsi="宋体" w:cs="Times New Roman"/>
                <w:color w:val="auto"/>
                <w:sz w:val="21"/>
                <w:szCs w:val="21"/>
                <w:lang w:eastAsia="zh-CN"/>
              </w:rPr>
              <w:t>要求演示项</w:t>
            </w:r>
            <w:r>
              <w:rPr>
                <w:rFonts w:hint="eastAsia" w:ascii="宋体" w:hAnsi="宋体" w:eastAsia="宋体" w:cs="Times New Roman"/>
                <w:color w:val="auto"/>
                <w:sz w:val="21"/>
                <w:szCs w:val="21"/>
              </w:rPr>
              <w:t>进行现场演示，每成功演示一项功能得</w:t>
            </w:r>
            <w:r>
              <w:rPr>
                <w:rFonts w:hint="eastAsia" w:ascii="宋体" w:hAnsi="宋体" w:cs="Times New Roman"/>
                <w:color w:val="auto"/>
                <w:sz w:val="21"/>
                <w:szCs w:val="21"/>
                <w:lang w:val="en-US" w:eastAsia="zh-CN"/>
              </w:rPr>
              <w:t>2</w:t>
            </w:r>
            <w:r>
              <w:rPr>
                <w:rFonts w:hint="eastAsia" w:ascii="宋体" w:hAnsi="宋体" w:eastAsia="宋体" w:cs="Times New Roman"/>
                <w:color w:val="auto"/>
                <w:sz w:val="21"/>
                <w:szCs w:val="21"/>
              </w:rPr>
              <w:t>分，最多</w:t>
            </w:r>
            <w:r>
              <w:rPr>
                <w:rFonts w:hint="eastAsia" w:ascii="宋体" w:hAnsi="宋体" w:eastAsia="宋体" w:cs="Times New Roman"/>
                <w:color w:val="auto"/>
                <w:sz w:val="21"/>
                <w:szCs w:val="21"/>
                <w:lang w:val="en-US" w:eastAsia="zh-CN"/>
              </w:rPr>
              <w:t>得</w:t>
            </w:r>
            <w:r>
              <w:rPr>
                <w:rFonts w:hint="eastAsia" w:ascii="宋体" w:hAnsi="宋体" w:cs="Times New Roman"/>
                <w:color w:val="auto"/>
                <w:sz w:val="21"/>
                <w:szCs w:val="21"/>
                <w:lang w:val="en-US" w:eastAsia="zh-CN"/>
              </w:rPr>
              <w:t>16</w:t>
            </w:r>
            <w:r>
              <w:rPr>
                <w:rFonts w:hint="eastAsia" w:ascii="宋体" w:hAnsi="宋体" w:eastAsia="宋体" w:cs="Times New Roman"/>
                <w:color w:val="auto"/>
                <w:sz w:val="21"/>
                <w:szCs w:val="21"/>
              </w:rPr>
              <w:t>分。</w:t>
            </w:r>
            <w:r>
              <w:rPr>
                <w:rFonts w:hint="eastAsia" w:ascii="宋体" w:hAnsi="宋体" w:cs="Times New Roman"/>
                <w:color w:val="auto"/>
                <w:sz w:val="21"/>
                <w:szCs w:val="21"/>
                <w:lang w:eastAsia="zh-CN"/>
              </w:rPr>
              <w:t>（</w:t>
            </w:r>
            <w:r>
              <w:rPr>
                <w:rFonts w:hint="eastAsia" w:ascii="宋体" w:hAnsi="宋体" w:cs="Times New Roman"/>
                <w:color w:val="auto"/>
                <w:sz w:val="21"/>
                <w:szCs w:val="21"/>
                <w:lang w:val="en-US" w:eastAsia="zh-CN"/>
              </w:rPr>
              <w:t>不限于实体环境、视频、PPT，如采用视频、PPT等非实体环境演示，每项扣1分</w:t>
            </w:r>
            <w:r>
              <w:rPr>
                <w:rFonts w:hint="eastAsia" w:ascii="宋体" w:hAnsi="宋体" w:cs="Times New Roman"/>
                <w:color w:val="auto"/>
                <w:sz w:val="21"/>
                <w:szCs w:val="21"/>
                <w:lang w:eastAsia="zh-CN"/>
              </w:rPr>
              <w:t>），</w:t>
            </w:r>
            <w:r>
              <w:rPr>
                <w:rFonts w:hint="eastAsia" w:ascii="宋体" w:hAnsi="宋体" w:cs="Times New Roman"/>
                <w:color w:val="auto"/>
                <w:sz w:val="21"/>
                <w:szCs w:val="21"/>
                <w:lang w:val="en-US" w:eastAsia="zh-CN"/>
              </w:rPr>
              <w:t>不演示为无效响应。演示项如下</w:t>
            </w:r>
            <w:r>
              <w:rPr>
                <w:rFonts w:hint="eastAsia" w:ascii="宋体" w:hAnsi="宋体" w:eastAsia="宋体" w:cs="Times New Roman"/>
                <w:color w:val="auto"/>
                <w:sz w:val="21"/>
                <w:szCs w:val="21"/>
              </w:rPr>
              <w:t>。</w:t>
            </w:r>
          </w:p>
          <w:p>
            <w:pPr>
              <w:numPr>
                <w:ilvl w:val="0"/>
                <w:numId w:val="0"/>
              </w:numPr>
              <w:spacing w:line="360" w:lineRule="auto"/>
              <w:jc w:val="left"/>
              <w:rPr>
                <w:rFonts w:hint="eastAsia" w:asciiTheme="minorEastAsia" w:hAnsiTheme="minorEastAsia" w:cstheme="minorEastAsia"/>
                <w:kern w:val="0"/>
                <w:szCs w:val="21"/>
                <w:highlight w:val="none"/>
              </w:rPr>
            </w:pPr>
            <w:r>
              <w:rPr>
                <w:rFonts w:hint="eastAsia" w:asciiTheme="minorEastAsia" w:hAnsiTheme="minorEastAsia" w:cstheme="minorEastAsia"/>
                <w:kern w:val="0"/>
                <w:szCs w:val="21"/>
                <w:highlight w:val="none"/>
                <w:lang w:val="en-US" w:eastAsia="zh-CN"/>
              </w:rPr>
              <w:t>1、</w:t>
            </w:r>
            <w:r>
              <w:rPr>
                <w:rFonts w:hint="eastAsia" w:ascii="宋体" w:hAnsi="宋体" w:cs="宋体"/>
                <w:szCs w:val="21"/>
                <w:lang w:eastAsia="zh-Hans"/>
              </w:rPr>
              <w:t>平台</w:t>
            </w:r>
            <w:r>
              <w:rPr>
                <w:rFonts w:hint="eastAsia" w:ascii="宋体" w:hAnsi="宋体" w:cs="宋体"/>
                <w:szCs w:val="21"/>
              </w:rPr>
              <w:t>支持将全部内容安装到每一台PC机中供学生模拟创业使用</w:t>
            </w:r>
            <w:r>
              <w:rPr>
                <w:rFonts w:hint="eastAsia" w:ascii="宋体" w:hAnsi="宋体" w:cs="宋体"/>
                <w:szCs w:val="21"/>
                <w:lang w:eastAsia="zh-Hans"/>
              </w:rPr>
              <w:t>，</w:t>
            </w:r>
            <w:r>
              <w:rPr>
                <w:rFonts w:hint="eastAsia" w:ascii="宋体" w:hAnsi="宋体" w:cs="宋体"/>
                <w:szCs w:val="21"/>
              </w:rPr>
              <w:t>安装完成后支持本机注册功能</w:t>
            </w:r>
            <w:r>
              <w:rPr>
                <w:rFonts w:hint="eastAsia" w:ascii="宋体" w:hAnsi="宋体" w:cs="宋体"/>
                <w:szCs w:val="21"/>
                <w:lang w:eastAsia="zh-Hans"/>
              </w:rPr>
              <w:t>，支持</w:t>
            </w:r>
            <w:r>
              <w:rPr>
                <w:rFonts w:hint="eastAsia" w:ascii="宋体" w:hAnsi="宋体" w:cs="宋体"/>
                <w:szCs w:val="21"/>
              </w:rPr>
              <w:t>中英双语版情境呈现，有助于提高使用者的英文水平，帮助院校提升国际化水准</w:t>
            </w:r>
            <w:r>
              <w:rPr>
                <w:rFonts w:hint="eastAsia" w:asciiTheme="minorEastAsia" w:hAnsiTheme="minorEastAsia" w:cstheme="minorEastAsia"/>
                <w:kern w:val="0"/>
                <w:szCs w:val="21"/>
                <w:highlight w:val="none"/>
              </w:rPr>
              <w:t>；</w:t>
            </w:r>
          </w:p>
          <w:p>
            <w:pPr>
              <w:numPr>
                <w:ilvl w:val="0"/>
                <w:numId w:val="0"/>
              </w:numPr>
              <w:spacing w:line="360" w:lineRule="auto"/>
              <w:ind w:leftChars="0"/>
              <w:jc w:val="left"/>
              <w:rPr>
                <w:rFonts w:hint="eastAsia" w:asciiTheme="minorEastAsia" w:hAnsiTheme="minorEastAsia" w:cstheme="minorEastAsia"/>
                <w:kern w:val="0"/>
                <w:szCs w:val="21"/>
                <w:highlight w:val="none"/>
              </w:rPr>
            </w:pPr>
            <w:r>
              <w:rPr>
                <w:rFonts w:hint="eastAsia" w:asciiTheme="minorEastAsia" w:hAnsiTheme="minorEastAsia" w:cstheme="minorEastAsia"/>
                <w:kern w:val="0"/>
                <w:szCs w:val="21"/>
                <w:highlight w:val="none"/>
                <w:lang w:val="en-US" w:eastAsia="zh-CN"/>
              </w:rPr>
              <w:t>2、</w:t>
            </w:r>
            <w:r>
              <w:rPr>
                <w:rFonts w:hint="eastAsia" w:ascii="宋体" w:hAnsi="宋体" w:cs="宋体"/>
                <w:szCs w:val="21"/>
                <w:lang w:eastAsia="zh-Hans"/>
              </w:rPr>
              <w:t>平台</w:t>
            </w:r>
            <w:r>
              <w:rPr>
                <w:rFonts w:hint="eastAsia" w:ascii="宋体" w:hAnsi="宋体" w:cs="宋体"/>
                <w:szCs w:val="21"/>
              </w:rPr>
              <w:t>的主要功能需要满足以下几点（1）营销管理：市场方面（市场调研、竞争调研、客户调研等方面的分享及报告）；营销策略方面（目标细分市场、产品卖点、促销方式等）；销售策略方面（产品定价、市场促销途径、售后服务等） （2）营运管理：产品设计；采购（原材料采购）；生产（生产量及订单）；品质（产品质量设定）等； （3）组织管理：营业场所（营业场地、资源、其他成本和工作等）； 人力资源(公司老板、培训、招聘、管理等)；法律咨询； （4）财务管理：融资（银行贷款、朋友或家人借款、透支、销售股权、赠款）；同银行打交道；预报（销售目标、预算、利润预测、现金流预测等）；账目（簿记、收益与损失、现金周转、资产负债表、其他测量）；信贷管理等</w:t>
            </w:r>
            <w:r>
              <w:rPr>
                <w:rFonts w:hint="eastAsia" w:asciiTheme="minorEastAsia" w:hAnsiTheme="minorEastAsia" w:cstheme="minorEastAsia"/>
                <w:kern w:val="0"/>
                <w:szCs w:val="21"/>
                <w:highlight w:val="none"/>
              </w:rPr>
              <w:t>；</w:t>
            </w:r>
          </w:p>
          <w:p>
            <w:pPr>
              <w:numPr>
                <w:ilvl w:val="0"/>
                <w:numId w:val="0"/>
              </w:numPr>
              <w:spacing w:line="360" w:lineRule="auto"/>
              <w:ind w:leftChars="0"/>
              <w:jc w:val="left"/>
              <w:rPr>
                <w:rFonts w:hint="eastAsia" w:asciiTheme="minorEastAsia" w:hAnsiTheme="minorEastAsia" w:cstheme="minorEastAsia"/>
                <w:kern w:val="0"/>
                <w:szCs w:val="21"/>
                <w:highlight w:val="none"/>
              </w:rPr>
            </w:pPr>
            <w:r>
              <w:rPr>
                <w:rFonts w:hint="eastAsia" w:asciiTheme="minorEastAsia" w:hAnsiTheme="minorEastAsia" w:cstheme="minorEastAsia"/>
                <w:kern w:val="0"/>
                <w:szCs w:val="21"/>
                <w:highlight w:val="none"/>
                <w:lang w:val="en-US" w:eastAsia="zh-CN"/>
              </w:rPr>
              <w:t>3、</w:t>
            </w:r>
            <w:r>
              <w:rPr>
                <w:rFonts w:hint="eastAsia" w:ascii="宋体" w:hAnsi="宋体" w:cs="宋体"/>
                <w:szCs w:val="21"/>
                <w:lang w:eastAsia="zh-Hans"/>
              </w:rPr>
              <w:t>系统应具备建立新模拟时支持多维度参数设置功能，设置的功能参数不少于10种，能够支持学生全方位体验不同环境中的创业模拟数据。如：</w:t>
            </w:r>
            <w:r>
              <w:rPr>
                <w:rFonts w:hint="eastAsia" w:ascii="宋体" w:hAnsi="宋体" w:cs="宋体"/>
                <w:szCs w:val="21"/>
              </w:rPr>
              <w:t>（1）经营时间</w:t>
            </w:r>
            <w:r>
              <w:rPr>
                <w:rFonts w:hint="eastAsia" w:ascii="宋体" w:hAnsi="宋体" w:cs="宋体"/>
                <w:szCs w:val="21"/>
                <w:lang w:eastAsia="zh-Hans"/>
              </w:rPr>
              <w:t>设置为</w:t>
            </w:r>
            <w:r>
              <w:rPr>
                <w:rFonts w:hint="eastAsia" w:ascii="宋体" w:hAnsi="宋体" w:cs="宋体"/>
                <w:szCs w:val="21"/>
              </w:rPr>
              <w:t>36 个月； （2）币种</w:t>
            </w:r>
            <w:r>
              <w:rPr>
                <w:rFonts w:hint="eastAsia" w:ascii="宋体" w:hAnsi="宋体" w:cs="宋体"/>
                <w:szCs w:val="21"/>
                <w:lang w:eastAsia="zh-Hans"/>
              </w:rPr>
              <w:t>选择</w:t>
            </w:r>
            <w:r>
              <w:rPr>
                <w:rFonts w:hint="eastAsia" w:ascii="宋体" w:hAnsi="宋体" w:cs="宋体"/>
                <w:szCs w:val="21"/>
              </w:rPr>
              <w:t>：人民币、英镑、美</w:t>
            </w:r>
            <w:r>
              <w:rPr>
                <w:rFonts w:hint="eastAsia" w:ascii="宋体" w:hAnsi="宋体" w:cs="宋体"/>
                <w:szCs w:val="21"/>
                <w:lang w:eastAsia="zh-Hans"/>
              </w:rPr>
              <w:t>元；</w:t>
            </w:r>
            <w:r>
              <w:rPr>
                <w:rFonts w:hint="eastAsia" w:ascii="宋体" w:hAnsi="宋体" w:cs="宋体"/>
                <w:szCs w:val="21"/>
              </w:rPr>
              <w:t>（3）产品设计参数：品质、个性、外形、造型参数均（0—100%），并随之生成产品成本</w:t>
            </w:r>
            <w:r>
              <w:rPr>
                <w:rFonts w:hint="eastAsia" w:ascii="宋体" w:hAnsi="宋体" w:cs="宋体"/>
                <w:szCs w:val="21"/>
                <w:lang w:eastAsia="zh-Hans"/>
              </w:rPr>
              <w:t>；</w:t>
            </w:r>
            <w:r>
              <w:rPr>
                <w:rFonts w:hint="eastAsia" w:ascii="宋体" w:hAnsi="宋体" w:cs="宋体"/>
                <w:szCs w:val="21"/>
              </w:rPr>
              <w:t>（4）生产方式：自己生产、部分委托加工、全部委托加工</w:t>
            </w:r>
            <w:r>
              <w:rPr>
                <w:rFonts w:hint="eastAsia" w:ascii="宋体" w:hAnsi="宋体" w:cs="宋体"/>
                <w:szCs w:val="21"/>
                <w:lang w:eastAsia="zh-Hans"/>
              </w:rPr>
              <w:t>；</w:t>
            </w:r>
            <w:r>
              <w:rPr>
                <w:rFonts w:hint="eastAsia" w:ascii="宋体" w:hAnsi="宋体" w:cs="宋体"/>
                <w:szCs w:val="21"/>
              </w:rPr>
              <w:t>（5）人力招聘参数：人数设计≧1 人；人员培训方式含网络、现场课程、自学、光盘资料等</w:t>
            </w:r>
            <w:r>
              <w:rPr>
                <w:rFonts w:hint="eastAsia" w:ascii="宋体" w:hAnsi="宋体" w:cs="宋体"/>
                <w:szCs w:val="21"/>
                <w:lang w:eastAsia="zh-Hans"/>
              </w:rPr>
              <w:t>；</w:t>
            </w:r>
            <w:r>
              <w:rPr>
                <w:rFonts w:hint="eastAsia" w:ascii="宋体" w:hAnsi="宋体" w:cs="宋体"/>
                <w:szCs w:val="21"/>
              </w:rPr>
              <w:t>（6）人员技能参数：生产、设计、销售、写作、沟通等参数均（0—100%），并随着培训、工作时长增长；（7）公司运营场所参数：家庭、写字楼、偏远地区、经济繁华区等选择；（8）产品销售方式参数：产品卖点选项、目标市场选项、广告方式及所耗资金、代理等；（9）产品定价参数设计：价格设计可以≧0 元，折扣及时间选项；（10）市场调研、竞争调研、客户调研参数可选。</w:t>
            </w:r>
            <w:r>
              <w:rPr>
                <w:rFonts w:hint="eastAsia" w:ascii="宋体" w:hAnsi="宋体" w:cs="宋体"/>
                <w:szCs w:val="21"/>
                <w:lang w:eastAsia="zh-Hans"/>
              </w:rPr>
              <w:t>（11）学生可选择是否有随机事件和随机市场</w:t>
            </w:r>
            <w:r>
              <w:rPr>
                <w:rFonts w:hint="eastAsia" w:asciiTheme="minorEastAsia" w:hAnsiTheme="minorEastAsia" w:cstheme="minorEastAsia"/>
                <w:kern w:val="0"/>
                <w:szCs w:val="21"/>
                <w:highlight w:val="none"/>
              </w:rPr>
              <w:t>；</w:t>
            </w:r>
          </w:p>
          <w:p>
            <w:pPr>
              <w:numPr>
                <w:ilvl w:val="0"/>
                <w:numId w:val="0"/>
              </w:numPr>
              <w:spacing w:line="360" w:lineRule="auto"/>
              <w:ind w:leftChars="0"/>
              <w:jc w:val="left"/>
              <w:rPr>
                <w:rFonts w:asciiTheme="minorEastAsia" w:hAnsiTheme="minorEastAsia" w:cstheme="minorEastAsia"/>
                <w:kern w:val="0"/>
                <w:szCs w:val="21"/>
                <w:highlight w:val="none"/>
              </w:rPr>
            </w:pPr>
            <w:r>
              <w:rPr>
                <w:rFonts w:hint="eastAsia" w:asciiTheme="minorEastAsia" w:hAnsiTheme="minorEastAsia" w:cstheme="minorEastAsia"/>
                <w:kern w:val="0"/>
                <w:szCs w:val="21"/>
                <w:highlight w:val="none"/>
                <w:lang w:val="en-US" w:eastAsia="zh-CN"/>
              </w:rPr>
              <w:t>4、</w:t>
            </w:r>
            <w:r>
              <w:rPr>
                <w:rFonts w:hint="eastAsia" w:ascii="宋体" w:hAnsi="宋体" w:cs="宋体"/>
                <w:szCs w:val="21"/>
                <w:lang w:eastAsia="zh-Hans"/>
              </w:rPr>
              <w:t>符合创业公司要求，能够支持公司老板自主招聘员工功能，招聘时可选择应聘人应具备的技能、薪酬范围、职位宣传方法不少于3种、如何审核应聘人选择不少三种、可以设置面试应聘人人数、可以选择招聘全职还是全职。系统可自动计算招聘总成本及总工作量时间；支持浏览应聘人选资料，其中包含应聘人姓名、年龄、工资待遇等。支持公司裁员选择，并提供不少于8种任务分配设置等级</w:t>
            </w:r>
            <w:r>
              <w:rPr>
                <w:rFonts w:hint="eastAsia" w:asciiTheme="minorEastAsia" w:hAnsiTheme="minorEastAsia" w:cstheme="minorEastAsia"/>
                <w:kern w:val="0"/>
                <w:szCs w:val="21"/>
                <w:highlight w:val="none"/>
              </w:rPr>
              <w:t>；</w:t>
            </w:r>
          </w:p>
          <w:p>
            <w:pPr>
              <w:spacing w:line="360" w:lineRule="auto"/>
              <w:jc w:val="left"/>
              <w:rPr>
                <w:rFonts w:hint="eastAsia" w:asciiTheme="minorEastAsia" w:hAnsiTheme="minorEastAsia" w:cstheme="minorEastAsia"/>
                <w:kern w:val="0"/>
                <w:szCs w:val="21"/>
                <w:highlight w:val="none"/>
              </w:rPr>
            </w:pPr>
            <w:r>
              <w:rPr>
                <w:rFonts w:hint="eastAsia" w:asciiTheme="minorEastAsia" w:hAnsiTheme="minorEastAsia" w:cstheme="minorEastAsia"/>
                <w:kern w:val="0"/>
                <w:szCs w:val="21"/>
                <w:highlight w:val="none"/>
                <w:lang w:val="en-US" w:eastAsia="zh-CN"/>
              </w:rPr>
              <w:t>5、</w:t>
            </w:r>
            <w:r>
              <w:rPr>
                <w:rFonts w:hint="eastAsia" w:ascii="宋体" w:hAnsi="宋体" w:cs="宋体"/>
                <w:szCs w:val="21"/>
                <w:lang w:eastAsia="zh-Hans"/>
              </w:rPr>
              <w:t>执行本月后能够显示创业顾问针对本月的顾问报告，报告中应包含销售情况和本月财务变化情况。执行本月功能应具备不少于三种颜色标识的本月信息，针对异常数据进行提示及解析，能够显示银行存款每月变化的曲线图</w:t>
            </w:r>
            <w:r>
              <w:rPr>
                <w:rFonts w:hint="eastAsia" w:asciiTheme="minorEastAsia" w:hAnsiTheme="minorEastAsia" w:cstheme="minorEastAsia"/>
                <w:kern w:val="0"/>
                <w:szCs w:val="21"/>
                <w:highlight w:val="none"/>
              </w:rPr>
              <w:t>；</w:t>
            </w:r>
          </w:p>
          <w:p>
            <w:pPr>
              <w:spacing w:line="360" w:lineRule="auto"/>
              <w:jc w:val="left"/>
              <w:rPr>
                <w:rFonts w:hint="eastAsia" w:eastAsia="宋体" w:asciiTheme="minorEastAsia" w:hAnsiTheme="minorEastAsia" w:cstheme="minorEastAsia"/>
                <w:kern w:val="0"/>
                <w:szCs w:val="21"/>
                <w:highlight w:val="none"/>
              </w:rPr>
            </w:pPr>
            <w:r>
              <w:rPr>
                <w:rFonts w:hint="eastAsia" w:asciiTheme="minorEastAsia" w:hAnsiTheme="minorEastAsia" w:cstheme="minorEastAsia"/>
                <w:kern w:val="0"/>
                <w:szCs w:val="21"/>
                <w:highlight w:val="none"/>
                <w:lang w:val="en-US" w:eastAsia="zh-CN"/>
              </w:rPr>
              <w:t>6、</w:t>
            </w:r>
            <w:r>
              <w:rPr>
                <w:rFonts w:hint="eastAsia" w:ascii="宋体" w:hAnsi="宋体" w:cs="宋体"/>
                <w:szCs w:val="21"/>
                <w:lang w:eastAsia="zh-Hans"/>
              </w:rPr>
              <w:t>支持倒带功能，在未“执行本月”操作之前，能够将当前功能模块的操作任务进行撤销；支持场景保存、另存及数据场景导入功能，方便学生进行数据保存及还原分析</w:t>
            </w:r>
            <w:r>
              <w:rPr>
                <w:rFonts w:hint="eastAsia" w:eastAsia="宋体" w:asciiTheme="minorEastAsia" w:hAnsiTheme="minorEastAsia" w:cstheme="minorEastAsia"/>
                <w:kern w:val="0"/>
                <w:szCs w:val="21"/>
                <w:highlight w:val="none"/>
              </w:rPr>
              <w:t>；</w:t>
            </w:r>
          </w:p>
          <w:p>
            <w:pPr>
              <w:spacing w:line="360" w:lineRule="auto"/>
              <w:jc w:val="left"/>
              <w:rPr>
                <w:rFonts w:hint="eastAsia" w:eastAsia="宋体" w:asciiTheme="minorEastAsia" w:hAnsiTheme="minorEastAsia" w:cstheme="minorEastAsia"/>
                <w:kern w:val="0"/>
                <w:szCs w:val="21"/>
                <w:highlight w:val="none"/>
              </w:rPr>
            </w:pPr>
            <w:r>
              <w:rPr>
                <w:rFonts w:hint="eastAsia" w:asciiTheme="minorEastAsia" w:hAnsiTheme="minorEastAsia" w:cstheme="minorEastAsia"/>
                <w:kern w:val="0"/>
                <w:szCs w:val="21"/>
                <w:highlight w:val="none"/>
                <w:lang w:val="en-US" w:eastAsia="zh-CN"/>
              </w:rPr>
              <w:t>7、</w:t>
            </w:r>
            <w:r>
              <w:rPr>
                <w:rFonts w:hint="eastAsia" w:ascii="宋体" w:hAnsi="宋体" w:cs="宋体"/>
                <w:szCs w:val="21"/>
                <w:lang w:eastAsia="zh-Hans"/>
              </w:rPr>
              <w:t>每月完成决策后都可以查询系统自动出具的业绩报告。业绩报告中应包含用户名字、公司名称、参数状态、银行存款数据、总利润、资产负债表、公司估值、持股价值、利润平均值、效率平均值、压力平均值。并能够用折线图形式表现企业利润及公司估值的每月数据变化情况</w:t>
            </w:r>
            <w:r>
              <w:rPr>
                <w:rFonts w:hint="eastAsia" w:eastAsia="宋体" w:asciiTheme="minorEastAsia" w:hAnsiTheme="minorEastAsia" w:cstheme="minorEastAsia"/>
                <w:kern w:val="0"/>
                <w:szCs w:val="21"/>
                <w:highlight w:val="none"/>
              </w:rPr>
              <w:t>；</w:t>
            </w:r>
          </w:p>
          <w:p>
            <w:pPr>
              <w:spacing w:line="360" w:lineRule="auto"/>
              <w:jc w:val="left"/>
              <w:rPr>
                <w:rFonts w:hint="eastAsia" w:hAnsi="宋体" w:eastAsia="宋体" w:cs="宋体"/>
                <w:sz w:val="21"/>
                <w:szCs w:val="21"/>
                <w:lang w:eastAsia="zh-CN"/>
              </w:rPr>
            </w:pPr>
            <w:r>
              <w:rPr>
                <w:rFonts w:hint="eastAsia" w:eastAsia="宋体" w:asciiTheme="minorEastAsia" w:hAnsiTheme="minorEastAsia" w:cstheme="minorEastAsia"/>
                <w:kern w:val="0"/>
                <w:szCs w:val="21"/>
                <w:highlight w:val="none"/>
                <w:lang w:val="en-US" w:eastAsia="zh-CN"/>
              </w:rPr>
              <w:t>8、</w:t>
            </w:r>
            <w:r>
              <w:rPr>
                <w:rFonts w:hint="eastAsia" w:ascii="宋体" w:hAnsi="宋体" w:cs="宋体"/>
                <w:szCs w:val="21"/>
                <w:lang w:eastAsia="zh-Hans"/>
              </w:rPr>
              <w:t>应具备市场状态的设置，提供不少于5种市场状态的选择；具备市场差价的设置，提供不少于5种的市场差价选择；具备利率参数设置，提供不少于5种利率参数设置的选择；具备金融信贷级别参数设置，选择中应包含创业新秀、随机、知名商家等参数。具备货币参数，提供不少于15种币种的选择。支持学生自由设置创业初始资金</w:t>
            </w:r>
            <w:r>
              <w:rPr>
                <w:rFonts w:hint="eastAsia" w:eastAsia="宋体" w:asciiTheme="minorEastAsia" w:hAnsiTheme="minorEastAsia" w:cstheme="minorEastAsia"/>
                <w:kern w:val="0"/>
                <w:szCs w:val="21"/>
                <w:highlight w:val="none"/>
                <w:lang w:eastAsia="zh-CN"/>
              </w:rPr>
              <w:t>。</w:t>
            </w:r>
          </w:p>
        </w:tc>
        <w:tc>
          <w:tcPr>
            <w:tcW w:w="1375" w:type="dxa"/>
            <w:vAlign w:val="center"/>
          </w:tcPr>
          <w:p>
            <w:pPr>
              <w:spacing w:line="360" w:lineRule="auto"/>
              <w:ind w:left="-38"/>
              <w:rPr>
                <w:rFonts w:ascii="宋体" w:hAnsi="宋体" w:cs="宋体"/>
                <w:sz w:val="21"/>
                <w:szCs w:val="21"/>
              </w:rPr>
            </w:pPr>
            <w:r>
              <w:rPr>
                <w:rFonts w:hint="eastAsia" w:ascii="宋体" w:hAnsi="宋体" w:eastAsia="宋体" w:cs="Times New Roman"/>
                <w:color w:val="auto"/>
                <w:sz w:val="21"/>
                <w:szCs w:val="21"/>
                <w:lang w:val="en-US" w:eastAsia="zh-CN"/>
              </w:rPr>
              <w:t>供应商提供演示时间不超过15分钟，演示现场只提供电源，演示所需的其它如：网络环境搭建、各类信号转换、显示设备、线材等自行解决)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7" w:hRule="atLeast"/>
        </w:trPr>
        <w:tc>
          <w:tcPr>
            <w:tcW w:w="460" w:type="dxa"/>
            <w:vAlign w:val="center"/>
          </w:tcPr>
          <w:p>
            <w:pPr>
              <w:spacing w:line="360" w:lineRule="auto"/>
              <w:ind w:firstLine="28" w:firstLineChars="0"/>
              <w:jc w:val="center"/>
              <w:rPr>
                <w:rFonts w:hint="eastAsia" w:ascii="宋体" w:hAnsi="宋体" w:cs="宋体"/>
                <w:sz w:val="21"/>
                <w:szCs w:val="21"/>
              </w:rPr>
            </w:pPr>
            <w:r>
              <w:rPr>
                <w:rFonts w:hint="eastAsia" w:ascii="宋体" w:hAnsi="宋体" w:cs="宋体"/>
                <w:sz w:val="21"/>
                <w:szCs w:val="21"/>
              </w:rPr>
              <w:t>4</w:t>
            </w:r>
          </w:p>
        </w:tc>
        <w:tc>
          <w:tcPr>
            <w:tcW w:w="1223" w:type="dxa"/>
            <w:vAlign w:val="center"/>
          </w:tcPr>
          <w:p>
            <w:pPr>
              <w:spacing w:line="360" w:lineRule="auto"/>
              <w:ind w:left="-118" w:leftChars="-56" w:right="-94" w:rightChars="-45"/>
              <w:jc w:val="center"/>
              <w:rPr>
                <w:rFonts w:hint="default" w:ascii="宋体" w:hAnsi="宋体" w:eastAsia="宋体" w:cs="宋体"/>
                <w:sz w:val="21"/>
                <w:szCs w:val="21"/>
                <w:lang w:val="en-US" w:eastAsia="zh-CN"/>
              </w:rPr>
            </w:pPr>
            <w:r>
              <w:rPr>
                <w:rFonts w:hint="eastAsia" w:ascii="宋体" w:hAnsi="宋体" w:cs="宋体"/>
                <w:color w:val="000000"/>
                <w:sz w:val="21"/>
                <w:szCs w:val="21"/>
                <w:lang w:eastAsia="zh-CN"/>
              </w:rPr>
              <w:t>售后服务</w:t>
            </w:r>
            <w:r>
              <w:rPr>
                <w:rFonts w:hint="eastAsia" w:ascii="宋体" w:hAnsi="宋体" w:cs="宋体"/>
                <w:color w:val="000000"/>
                <w:sz w:val="21"/>
                <w:szCs w:val="21"/>
                <w:lang w:val="en-US" w:eastAsia="zh-CN"/>
              </w:rPr>
              <w:t>8%</w:t>
            </w:r>
          </w:p>
        </w:tc>
        <w:tc>
          <w:tcPr>
            <w:tcW w:w="620" w:type="dxa"/>
            <w:vAlign w:val="center"/>
          </w:tcPr>
          <w:p>
            <w:pPr>
              <w:spacing w:line="360" w:lineRule="auto"/>
              <w:ind w:left="-118" w:leftChars="-56" w:right="-94" w:rightChars="-45"/>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8</w:t>
            </w:r>
          </w:p>
        </w:tc>
        <w:tc>
          <w:tcPr>
            <w:tcW w:w="5399" w:type="dxa"/>
            <w:vAlign w:val="center"/>
          </w:tcPr>
          <w:p>
            <w:pPr>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针对本项目有完整的售后服务方案及质保期外的质量保证和供应措施，制订了本地化服务的承诺和应急方案（提供有效的办公场所证明），明确了售后服务人员，有售后服务的优惠条件，有相应的物力、人力保障，能够保证产、供、销、售后服务正常运转，有详细的在设备发生不同类型故障后的到达现场时间、解决故障时间、补救措施等方面的措施或方案，同时具有明确的承诺且符合实际需求，提供详细的售后服务方案及售后服务承诺等，方案充实详细、有质量保证承诺，计</w:t>
            </w:r>
            <w:r>
              <w:rPr>
                <w:rFonts w:hint="eastAsia" w:ascii="宋体" w:hAnsi="宋体" w:cs="Times New Roman"/>
                <w:color w:val="auto"/>
                <w:sz w:val="21"/>
                <w:szCs w:val="21"/>
                <w:lang w:val="en-US" w:eastAsia="zh-CN"/>
              </w:rPr>
              <w:t>6.1-8</w:t>
            </w:r>
            <w:r>
              <w:rPr>
                <w:rFonts w:hint="eastAsia" w:ascii="宋体" w:hAnsi="宋体" w:eastAsia="宋体" w:cs="Times New Roman"/>
                <w:color w:val="auto"/>
                <w:sz w:val="21"/>
                <w:szCs w:val="21"/>
              </w:rPr>
              <w:t>分。有售后服务方案及完整的售后服务承诺，满足质保期内的服务要求，有售后服务的措施，计</w:t>
            </w:r>
            <w:r>
              <w:rPr>
                <w:rFonts w:hint="eastAsia" w:ascii="宋体" w:hAnsi="宋体" w:cs="Times New Roman"/>
                <w:color w:val="auto"/>
                <w:sz w:val="21"/>
                <w:szCs w:val="21"/>
                <w:lang w:val="en-US" w:eastAsia="zh-CN"/>
              </w:rPr>
              <w:t>3.1-6</w:t>
            </w:r>
            <w:r>
              <w:rPr>
                <w:rFonts w:hint="eastAsia" w:ascii="宋体" w:hAnsi="宋体" w:eastAsia="宋体" w:cs="Times New Roman"/>
                <w:color w:val="auto"/>
                <w:sz w:val="21"/>
                <w:szCs w:val="21"/>
              </w:rPr>
              <w:t>分；售后服务方案不完整，没有针对本项目的售后服务承诺和具体措施，计</w:t>
            </w:r>
            <w:r>
              <w:rPr>
                <w:rFonts w:hint="eastAsia" w:ascii="宋体" w:hAnsi="宋体" w:eastAsia="宋体" w:cs="Times New Roman"/>
                <w:color w:val="auto"/>
                <w:sz w:val="21"/>
                <w:szCs w:val="21"/>
                <w:lang w:val="en-US" w:eastAsia="zh-CN"/>
              </w:rPr>
              <w:t>1-</w:t>
            </w:r>
            <w:r>
              <w:rPr>
                <w:rFonts w:hint="eastAsia" w:ascii="宋体" w:hAnsi="宋体" w:cs="Times New Roman"/>
                <w:color w:val="auto"/>
                <w:sz w:val="21"/>
                <w:szCs w:val="21"/>
                <w:lang w:val="en-US" w:eastAsia="zh-CN"/>
              </w:rPr>
              <w:t>3</w:t>
            </w:r>
            <w:r>
              <w:rPr>
                <w:rFonts w:hint="eastAsia" w:ascii="宋体" w:hAnsi="宋体" w:eastAsia="宋体" w:cs="Times New Roman"/>
                <w:color w:val="auto"/>
                <w:sz w:val="21"/>
                <w:szCs w:val="21"/>
              </w:rPr>
              <w:t>分；没有售后服务方案不得分。</w:t>
            </w:r>
          </w:p>
        </w:tc>
        <w:tc>
          <w:tcPr>
            <w:tcW w:w="1375" w:type="dxa"/>
            <w:vAlign w:val="center"/>
          </w:tcPr>
          <w:p>
            <w:pPr>
              <w:spacing w:line="360" w:lineRule="auto"/>
              <w:ind w:left="-38"/>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4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 w:firstLineChars="0"/>
              <w:jc w:val="center"/>
              <w:rPr>
                <w:rFonts w:ascii="宋体" w:hAnsi="宋体" w:cs="宋体"/>
                <w:sz w:val="21"/>
                <w:szCs w:val="21"/>
              </w:rPr>
            </w:pPr>
            <w:r>
              <w:rPr>
                <w:rFonts w:hint="eastAsia" w:ascii="宋体" w:hAnsi="宋体" w:cs="宋体"/>
                <w:sz w:val="21"/>
                <w:szCs w:val="21"/>
              </w:rPr>
              <w:t>5</w:t>
            </w:r>
          </w:p>
        </w:tc>
        <w:tc>
          <w:tcPr>
            <w:tcW w:w="12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1"/>
                <w:szCs w:val="21"/>
              </w:rPr>
            </w:pPr>
            <w:r>
              <w:rPr>
                <w:rFonts w:hint="eastAsia" w:ascii="宋体" w:hAnsi="宋体" w:cs="宋体"/>
                <w:sz w:val="21"/>
                <w:szCs w:val="21"/>
              </w:rPr>
              <w:t>培训方案</w:t>
            </w:r>
            <w:r>
              <w:rPr>
                <w:rFonts w:hint="eastAsia" w:ascii="宋体" w:hAnsi="宋体" w:cs="宋体"/>
                <w:sz w:val="21"/>
                <w:szCs w:val="21"/>
                <w:lang w:val="en-US" w:eastAsia="zh-CN"/>
              </w:rPr>
              <w:t>8</w:t>
            </w:r>
            <w:r>
              <w:rPr>
                <w:rFonts w:hint="eastAsia" w:ascii="宋体" w:hAnsi="宋体" w:cs="宋体"/>
                <w:sz w:val="21"/>
                <w:szCs w:val="21"/>
              </w:rPr>
              <w:t>%</w:t>
            </w:r>
          </w:p>
        </w:tc>
        <w:tc>
          <w:tcPr>
            <w:tcW w:w="6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8</w:t>
            </w:r>
          </w:p>
        </w:tc>
        <w:tc>
          <w:tcPr>
            <w:tcW w:w="539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根据供应商提供的培训方案及培训效果保证措施等进行综合评分，培训采购人指定的技术人员和管理人员，制定培训课程计划表，列出每种培训的地点和时间、培训的内容、方式、次数等，培训内容应包括所提供产品的原理和技术性能、操作维护方法、安装调试、排除故障等各个方面，培训的具体日期及人数由使用单位确定。培训方案明确，方案完善、科学合理，针对性强、服务承诺明确，计</w:t>
            </w:r>
            <w:r>
              <w:rPr>
                <w:rFonts w:hint="eastAsia" w:ascii="宋体" w:hAnsi="宋体" w:cs="Times New Roman"/>
                <w:color w:val="auto"/>
                <w:sz w:val="21"/>
                <w:szCs w:val="21"/>
                <w:lang w:val="en-US" w:eastAsia="zh-CN"/>
              </w:rPr>
              <w:t>6.1-8</w:t>
            </w:r>
            <w:r>
              <w:rPr>
                <w:rFonts w:hint="eastAsia" w:ascii="宋体" w:hAnsi="宋体" w:eastAsia="宋体" w:cs="Times New Roman"/>
                <w:color w:val="auto"/>
                <w:sz w:val="21"/>
                <w:szCs w:val="21"/>
              </w:rPr>
              <w:t>分，方案较完整、合理可行、特点和承诺不明确，计</w:t>
            </w:r>
            <w:r>
              <w:rPr>
                <w:rFonts w:hint="eastAsia" w:ascii="宋体" w:hAnsi="宋体" w:cs="Times New Roman"/>
                <w:color w:val="auto"/>
                <w:sz w:val="21"/>
                <w:szCs w:val="21"/>
                <w:lang w:val="en-US" w:eastAsia="zh-CN"/>
              </w:rPr>
              <w:t>3.1-6</w:t>
            </w:r>
            <w:r>
              <w:rPr>
                <w:rFonts w:hint="eastAsia" w:ascii="宋体" w:hAnsi="宋体" w:eastAsia="宋体" w:cs="Times New Roman"/>
                <w:color w:val="auto"/>
                <w:sz w:val="21"/>
                <w:szCs w:val="21"/>
              </w:rPr>
              <w:t>分，方案内容不完整，响应有缺项，与实际需求不符，计</w:t>
            </w:r>
            <w:r>
              <w:rPr>
                <w:rFonts w:hint="eastAsia" w:ascii="宋体" w:hAnsi="宋体" w:eastAsia="宋体" w:cs="Times New Roman"/>
                <w:color w:val="auto"/>
                <w:sz w:val="21"/>
                <w:szCs w:val="21"/>
                <w:lang w:val="en-US" w:eastAsia="zh-CN"/>
              </w:rPr>
              <w:t>1-</w:t>
            </w:r>
            <w:r>
              <w:rPr>
                <w:rFonts w:hint="eastAsia" w:ascii="宋体" w:hAnsi="宋体" w:cs="Times New Roman"/>
                <w:color w:val="auto"/>
                <w:sz w:val="21"/>
                <w:szCs w:val="21"/>
                <w:lang w:val="en-US" w:eastAsia="zh-CN"/>
              </w:rPr>
              <w:t>3</w:t>
            </w:r>
            <w:r>
              <w:rPr>
                <w:rFonts w:hint="eastAsia" w:ascii="宋体" w:hAnsi="宋体" w:eastAsia="宋体" w:cs="Times New Roman"/>
                <w:color w:val="auto"/>
                <w:sz w:val="21"/>
                <w:szCs w:val="21"/>
              </w:rPr>
              <w:t>分，未提供不计分。</w:t>
            </w:r>
          </w:p>
        </w:tc>
        <w:tc>
          <w:tcPr>
            <w:tcW w:w="1375" w:type="dxa"/>
            <w:tcBorders>
              <w:top w:val="single" w:color="auto" w:sz="4" w:space="0"/>
              <w:left w:val="single" w:color="auto" w:sz="4" w:space="0"/>
              <w:bottom w:val="single" w:color="auto" w:sz="4" w:space="0"/>
              <w:right w:val="single" w:color="auto" w:sz="4" w:space="0"/>
            </w:tcBorders>
            <w:vAlign w:val="center"/>
          </w:tcPr>
          <w:p>
            <w:pPr>
              <w:spacing w:line="360" w:lineRule="auto"/>
              <w:ind w:left="-38"/>
              <w:rPr>
                <w:rFonts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4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6</w:t>
            </w:r>
          </w:p>
        </w:tc>
        <w:tc>
          <w:tcPr>
            <w:tcW w:w="12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1"/>
                <w:szCs w:val="21"/>
              </w:rPr>
            </w:pPr>
            <w:r>
              <w:rPr>
                <w:rFonts w:hint="eastAsia" w:ascii="宋体" w:hAnsi="宋体" w:cs="宋体"/>
                <w:sz w:val="21"/>
                <w:szCs w:val="21"/>
              </w:rPr>
              <w:t>业绩</w:t>
            </w:r>
            <w:r>
              <w:rPr>
                <w:rFonts w:hint="eastAsia" w:ascii="宋体" w:hAnsi="宋体" w:cs="宋体"/>
                <w:sz w:val="21"/>
                <w:szCs w:val="21"/>
                <w:lang w:val="en-US" w:eastAsia="zh-CN"/>
              </w:rPr>
              <w:t>8</w:t>
            </w:r>
            <w:r>
              <w:rPr>
                <w:rFonts w:hint="eastAsia" w:ascii="宋体" w:hAnsi="宋体" w:cs="宋体"/>
                <w:sz w:val="21"/>
                <w:szCs w:val="21"/>
              </w:rPr>
              <w:t>%</w:t>
            </w:r>
          </w:p>
        </w:tc>
        <w:tc>
          <w:tcPr>
            <w:tcW w:w="62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8</w:t>
            </w:r>
          </w:p>
        </w:tc>
        <w:tc>
          <w:tcPr>
            <w:tcW w:w="539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Times New Roman"/>
                <w:color w:val="auto"/>
                <w:sz w:val="21"/>
                <w:szCs w:val="21"/>
              </w:rPr>
            </w:pPr>
            <w:r>
              <w:rPr>
                <w:rFonts w:hint="eastAsia" w:ascii="宋体" w:hAnsi="宋体" w:eastAsia="宋体" w:cs="Times New Roman"/>
                <w:color w:val="auto"/>
                <w:sz w:val="21"/>
                <w:szCs w:val="21"/>
              </w:rPr>
              <w:t>投标人提供的2019年1月1日至今所投同类业绩（以合同签订日期为准，到达最终用户，仅限投标人本身，提供完整合同复印件</w:t>
            </w:r>
            <w:r>
              <w:rPr>
                <w:rFonts w:hint="eastAsia" w:ascii="宋体" w:hAnsi="宋体" w:eastAsia="宋体" w:cs="Times New Roman"/>
                <w:color w:val="auto"/>
                <w:sz w:val="21"/>
                <w:szCs w:val="21"/>
                <w:lang w:eastAsia="zh-CN"/>
              </w:rPr>
              <w:t>、中标通知书和中标公告截图同时具备为一份有效业绩</w:t>
            </w:r>
            <w:r>
              <w:rPr>
                <w:rFonts w:hint="eastAsia" w:ascii="宋体" w:hAnsi="宋体" w:eastAsia="宋体" w:cs="Times New Roman"/>
                <w:color w:val="auto"/>
                <w:sz w:val="21"/>
                <w:szCs w:val="21"/>
              </w:rPr>
              <w:t>）进行评定，每份计</w:t>
            </w:r>
            <w:r>
              <w:rPr>
                <w:rFonts w:hint="eastAsia" w:ascii="宋体" w:hAnsi="宋体" w:cs="Times New Roman"/>
                <w:color w:val="auto"/>
                <w:sz w:val="21"/>
                <w:szCs w:val="21"/>
                <w:lang w:val="en-US" w:eastAsia="zh-CN"/>
              </w:rPr>
              <w:t>2</w:t>
            </w:r>
            <w:r>
              <w:rPr>
                <w:rFonts w:hint="eastAsia" w:ascii="宋体" w:hAnsi="宋体" w:eastAsia="宋体" w:cs="Times New Roman"/>
                <w:color w:val="auto"/>
                <w:sz w:val="21"/>
                <w:szCs w:val="21"/>
              </w:rPr>
              <w:t>分，最高计</w:t>
            </w:r>
            <w:r>
              <w:rPr>
                <w:rFonts w:hint="eastAsia" w:ascii="宋体" w:hAnsi="宋体" w:cs="Times New Roman"/>
                <w:color w:val="auto"/>
                <w:sz w:val="21"/>
                <w:szCs w:val="21"/>
                <w:lang w:val="en-US" w:eastAsia="zh-CN"/>
              </w:rPr>
              <w:t>8</w:t>
            </w:r>
            <w:r>
              <w:rPr>
                <w:rFonts w:hint="eastAsia" w:ascii="宋体" w:hAnsi="宋体" w:eastAsia="宋体" w:cs="Times New Roman"/>
                <w:color w:val="auto"/>
                <w:sz w:val="21"/>
                <w:szCs w:val="21"/>
              </w:rPr>
              <w:t>分。</w:t>
            </w:r>
          </w:p>
        </w:tc>
        <w:tc>
          <w:tcPr>
            <w:tcW w:w="1375" w:type="dxa"/>
            <w:tcBorders>
              <w:top w:val="single" w:color="auto" w:sz="4" w:space="0"/>
              <w:left w:val="single" w:color="auto" w:sz="4" w:space="0"/>
              <w:bottom w:val="single" w:color="auto" w:sz="4" w:space="0"/>
              <w:right w:val="single" w:color="auto" w:sz="4" w:space="0"/>
            </w:tcBorders>
            <w:vAlign w:val="center"/>
          </w:tcPr>
          <w:p>
            <w:pPr>
              <w:spacing w:line="360" w:lineRule="auto"/>
              <w:ind w:left="-38" w:leftChars="0"/>
              <w:rPr>
                <w:rFonts w:ascii="宋体" w:hAnsi="宋体" w:cs="宋体"/>
                <w:sz w:val="21"/>
                <w:szCs w:val="21"/>
              </w:rPr>
            </w:pPr>
            <w:r>
              <w:rPr>
                <w:rFonts w:hint="eastAsia" w:ascii="宋体" w:hAnsi="宋体" w:cs="宋体"/>
                <w:sz w:val="21"/>
                <w:szCs w:val="21"/>
              </w:rPr>
              <w:t>（原件开标现场携带备查）</w:t>
            </w:r>
          </w:p>
        </w:tc>
      </w:tr>
    </w:tbl>
    <w:p>
      <w:pPr>
        <w:spacing w:line="360" w:lineRule="auto"/>
        <w:rPr>
          <w:rFonts w:ascii="宋体" w:hAnsi="宋体" w:cs="宋体"/>
          <w:b/>
          <w:bCs/>
          <w:sz w:val="24"/>
        </w:rPr>
      </w:pPr>
      <w:r>
        <w:rPr>
          <w:rFonts w:hint="eastAsia" w:ascii="宋体" w:hAnsi="宋体" w:cs="宋体"/>
          <w:b/>
          <w:bCs/>
          <w:sz w:val="24"/>
        </w:rPr>
        <w:t xml:space="preserve">评审标准备注： </w:t>
      </w:r>
    </w:p>
    <w:p>
      <w:pPr>
        <w:numPr>
          <w:ilvl w:val="0"/>
          <w:numId w:val="25"/>
        </w:numPr>
        <w:spacing w:line="360" w:lineRule="auto"/>
        <w:ind w:firstLine="482" w:firstLineChars="200"/>
        <w:rPr>
          <w:rFonts w:hint="eastAsia" w:ascii="宋体" w:hAnsi="宋体" w:cs="宋体"/>
          <w:b/>
          <w:bCs/>
          <w:sz w:val="24"/>
        </w:rPr>
      </w:pPr>
      <w:r>
        <w:rPr>
          <w:rFonts w:hint="eastAsia" w:ascii="宋体" w:hAnsi="宋体" w:cs="宋体"/>
          <w:b/>
          <w:bCs/>
          <w:sz w:val="24"/>
        </w:rPr>
        <w:t>对于非专门面向中小企业的项目、残疾人福利性单位的项目，对小型和微型企业、残疾人福利性单位产品的价格给予6%的扣除，用扣除后的价格参与评审，残疾人福利性单位属于小型、微型企业的，不重复享受政策；</w:t>
      </w:r>
    </w:p>
    <w:p>
      <w:pPr>
        <w:numPr>
          <w:ilvl w:val="-1"/>
          <w:numId w:val="0"/>
        </w:numPr>
        <w:spacing w:line="360" w:lineRule="auto"/>
        <w:ind w:firstLine="723" w:firstLineChars="300"/>
        <w:rPr>
          <w:rFonts w:hint="eastAsia" w:ascii="宋体" w:hAnsi="宋体" w:eastAsia="宋体" w:cs="宋体"/>
          <w:b/>
          <w:bCs/>
          <w:sz w:val="24"/>
          <w:lang w:eastAsia="zh-CN"/>
        </w:rPr>
      </w:pPr>
      <w:r>
        <w:rPr>
          <w:rFonts w:hint="eastAsia" w:ascii="宋体" w:hAnsi="宋体" w:cs="宋体"/>
          <w:b/>
          <w:bCs/>
          <w:sz w:val="24"/>
          <w:lang w:eastAsia="zh-CN"/>
        </w:rPr>
        <w:t>对于</w:t>
      </w:r>
      <w:r>
        <w:rPr>
          <w:rFonts w:hint="eastAsia" w:ascii="宋体" w:hAnsi="宋体" w:cs="宋体"/>
          <w:b/>
          <w:bCs/>
          <w:sz w:val="24"/>
        </w:rPr>
        <w:t>专门面向中小企业采购。中小企业参加政府采购活动，必须出具《政府采购促进中小企业发展管理办法》（财库〔2020〕46号）规定的《中小企业声明函》，否则按无效响应处理</w:t>
      </w:r>
      <w:r>
        <w:rPr>
          <w:rFonts w:hint="eastAsia" w:ascii="宋体" w:hAnsi="宋体" w:cs="宋体"/>
          <w:b/>
          <w:bCs/>
          <w:sz w:val="24"/>
          <w:lang w:eastAsia="zh-CN"/>
        </w:rPr>
        <w:t>。</w:t>
      </w:r>
    </w:p>
    <w:p>
      <w:pPr>
        <w:spacing w:line="360" w:lineRule="auto"/>
        <w:ind w:firstLine="482" w:firstLineChars="200"/>
        <w:rPr>
          <w:rFonts w:ascii="宋体" w:hAnsi="宋体" w:cs="宋体"/>
          <w:b/>
          <w:bCs/>
          <w:sz w:val="24"/>
        </w:rPr>
      </w:pPr>
      <w:r>
        <w:rPr>
          <w:rFonts w:hint="eastAsia" w:ascii="宋体" w:hAnsi="宋体" w:cs="宋体"/>
          <w:b/>
          <w:bCs/>
          <w:sz w:val="24"/>
        </w:rPr>
        <w:t>2.《关于政府采购支持监狱企业发展有关问题的通知》（财库[2014]68号）的规定，对监狱企业给予6%的价格扣除，用扣除后的价格参与评审（提供由省级以上监狱管理局、戒毒管理局（含新疆生产建设兵团）出具的属于监狱企业的证明文件）；</w:t>
      </w:r>
    </w:p>
    <w:p>
      <w:pPr>
        <w:spacing w:line="360" w:lineRule="auto"/>
        <w:ind w:firstLine="482" w:firstLineChars="200"/>
        <w:rPr>
          <w:rFonts w:ascii="宋体" w:hAnsi="宋体" w:cs="宋体"/>
          <w:b/>
          <w:bCs/>
          <w:sz w:val="24"/>
        </w:rPr>
      </w:pPr>
      <w:r>
        <w:rPr>
          <w:rFonts w:hint="eastAsia" w:ascii="宋体" w:hAnsi="宋体" w:cs="宋体"/>
          <w:b/>
          <w:bCs/>
          <w:sz w:val="24"/>
        </w:rPr>
        <w:t>3.节能环保产品以节能产品、环境标志产品认证证书为准；</w:t>
      </w:r>
    </w:p>
    <w:p>
      <w:pPr>
        <w:spacing w:line="360" w:lineRule="auto"/>
        <w:ind w:firstLine="482" w:firstLineChars="200"/>
        <w:rPr>
          <w:rFonts w:ascii="宋体" w:hAnsi="宋体" w:cs="宋体"/>
          <w:b/>
          <w:bCs/>
          <w:sz w:val="24"/>
        </w:rPr>
      </w:pPr>
      <w:r>
        <w:rPr>
          <w:rFonts w:hint="eastAsia" w:ascii="宋体" w:hAnsi="宋体" w:cs="宋体"/>
          <w:b/>
          <w:bCs/>
          <w:sz w:val="24"/>
        </w:rPr>
        <w:t>4.技术参数正偏离须在技术响应表中注明正偏离的理由和佐证材料的页码；</w:t>
      </w:r>
    </w:p>
    <w:p>
      <w:pPr>
        <w:spacing w:line="360" w:lineRule="auto"/>
        <w:ind w:firstLine="482" w:firstLineChars="200"/>
        <w:rPr>
          <w:rFonts w:hint="eastAsia" w:ascii="宋体" w:hAnsi="宋体" w:cs="宋体"/>
          <w:b/>
          <w:bCs/>
          <w:sz w:val="24"/>
        </w:rPr>
        <w:sectPr>
          <w:pgSz w:w="11906" w:h="16838"/>
          <w:pgMar w:top="1440" w:right="1803" w:bottom="1440" w:left="1803" w:header="851" w:footer="992" w:gutter="0"/>
          <w:pgNumType w:fmt="decimal"/>
          <w:cols w:space="720" w:num="1"/>
          <w:docGrid w:type="lines" w:linePitch="319" w:charSpace="0"/>
        </w:sectPr>
      </w:pPr>
      <w:r>
        <w:rPr>
          <w:rFonts w:hint="eastAsia" w:ascii="宋体" w:hAnsi="宋体" w:cs="宋体"/>
          <w:b/>
          <w:bCs/>
          <w:sz w:val="24"/>
        </w:rPr>
        <w:t>5.评审指标出现漏项的最低得分为零分。</w:t>
      </w:r>
      <w:bookmarkStart w:id="174" w:name="_Toc262"/>
    </w:p>
    <w:bookmarkEnd w:id="174"/>
    <w:p>
      <w:pPr>
        <w:pStyle w:val="3"/>
        <w:pageBreakBefore/>
        <w:numPr>
          <w:ilvl w:val="0"/>
          <w:numId w:val="23"/>
        </w:numPr>
        <w:spacing w:before="319" w:beforeLines="100" w:after="319" w:afterLines="100" w:line="500" w:lineRule="exact"/>
        <w:rPr>
          <w:rFonts w:ascii="宋体" w:hAnsi="宋体" w:cs="宋体"/>
          <w:color w:val="000000"/>
          <w:sz w:val="36"/>
          <w:szCs w:val="36"/>
        </w:rPr>
      </w:pPr>
      <w:bookmarkStart w:id="175" w:name="_Toc2536"/>
      <w:bookmarkStart w:id="176" w:name="_Toc6835"/>
      <w:bookmarkStart w:id="177" w:name="_Toc15647"/>
      <w:r>
        <w:rPr>
          <w:rFonts w:hint="eastAsia" w:ascii="宋体" w:hAnsi="宋体" w:cs="宋体"/>
          <w:color w:val="000000"/>
          <w:sz w:val="36"/>
          <w:szCs w:val="36"/>
        </w:rPr>
        <w:t xml:space="preserve"> </w:t>
      </w:r>
      <w:bookmarkStart w:id="178" w:name="_Toc29655"/>
      <w:bookmarkStart w:id="179" w:name="_Toc24448"/>
      <w:r>
        <w:rPr>
          <w:rFonts w:hint="eastAsia" w:ascii="宋体" w:hAnsi="宋体" w:cs="宋体"/>
          <w:color w:val="000000"/>
          <w:sz w:val="36"/>
          <w:szCs w:val="36"/>
        </w:rPr>
        <w:t>采购要求</w:t>
      </w:r>
      <w:bookmarkEnd w:id="178"/>
      <w:bookmarkEnd w:id="179"/>
    </w:p>
    <w:p>
      <w:pPr>
        <w:pStyle w:val="6"/>
        <w:rPr>
          <w:rFonts w:hint="eastAsia"/>
          <w:sz w:val="28"/>
          <w:szCs w:val="28"/>
          <w:lang w:val="en-US" w:eastAsia="zh-CN"/>
        </w:rPr>
      </w:pPr>
      <w:r>
        <w:rPr>
          <w:rFonts w:hint="eastAsia"/>
          <w:sz w:val="28"/>
          <w:szCs w:val="28"/>
          <w:lang w:eastAsia="zh-CN"/>
        </w:rPr>
        <w:t>合同包</w:t>
      </w:r>
      <w:r>
        <w:rPr>
          <w:rFonts w:hint="eastAsia"/>
          <w:sz w:val="28"/>
          <w:szCs w:val="28"/>
          <w:lang w:val="en-US" w:eastAsia="zh-CN"/>
        </w:rPr>
        <w:t>1：大数据智能财税实训室（软件）</w:t>
      </w:r>
    </w:p>
    <w:tbl>
      <w:tblPr>
        <w:tblStyle w:val="29"/>
        <w:tblW w:w="95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688"/>
        <w:gridCol w:w="6562"/>
        <w:gridCol w:w="613"/>
        <w:gridCol w:w="562"/>
        <w:gridCol w:w="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jc w:val="center"/>
        </w:trPr>
        <w:tc>
          <w:tcPr>
            <w:tcW w:w="554" w:type="dxa"/>
            <w:vAlign w:val="center"/>
          </w:tcPr>
          <w:p>
            <w:pPr>
              <w:jc w:val="center"/>
              <w:rPr>
                <w:rFonts w:asciiTheme="minorEastAsia" w:hAnsiTheme="minorEastAsia" w:cstheme="minorEastAsia"/>
                <w:szCs w:val="21"/>
              </w:rPr>
            </w:pPr>
            <w:r>
              <w:rPr>
                <w:rFonts w:hint="eastAsia" w:asciiTheme="minorEastAsia" w:hAnsiTheme="minorEastAsia" w:cstheme="minorEastAsia"/>
                <w:szCs w:val="21"/>
              </w:rPr>
              <w:t>序号</w:t>
            </w:r>
          </w:p>
        </w:tc>
        <w:tc>
          <w:tcPr>
            <w:tcW w:w="688" w:type="dxa"/>
            <w:vAlign w:val="center"/>
          </w:tcPr>
          <w:p>
            <w:pPr>
              <w:jc w:val="center"/>
              <w:rPr>
                <w:rFonts w:asciiTheme="minorEastAsia" w:hAnsiTheme="minorEastAsia" w:cstheme="minorEastAsia"/>
                <w:szCs w:val="21"/>
              </w:rPr>
            </w:pPr>
            <w:r>
              <w:rPr>
                <w:rFonts w:hint="eastAsia" w:asciiTheme="minorEastAsia" w:hAnsiTheme="minorEastAsia" w:cstheme="minorEastAsia"/>
                <w:szCs w:val="21"/>
              </w:rPr>
              <w:t>设备名称</w:t>
            </w:r>
          </w:p>
        </w:tc>
        <w:tc>
          <w:tcPr>
            <w:tcW w:w="6562" w:type="dxa"/>
            <w:vAlign w:val="center"/>
          </w:tcPr>
          <w:p>
            <w:pPr>
              <w:jc w:val="center"/>
              <w:rPr>
                <w:rFonts w:asciiTheme="minorEastAsia" w:hAnsiTheme="minorEastAsia" w:cstheme="minorEastAsia"/>
                <w:szCs w:val="21"/>
              </w:rPr>
            </w:pPr>
            <w:r>
              <w:rPr>
                <w:rFonts w:hint="eastAsia" w:asciiTheme="minorEastAsia" w:hAnsiTheme="minorEastAsia" w:cstheme="minorEastAsia"/>
                <w:szCs w:val="21"/>
              </w:rPr>
              <w:t>配置规格及主要技术参数</w:t>
            </w:r>
          </w:p>
        </w:tc>
        <w:tc>
          <w:tcPr>
            <w:tcW w:w="613" w:type="dxa"/>
            <w:vAlign w:val="center"/>
          </w:tcPr>
          <w:p>
            <w:pPr>
              <w:jc w:val="center"/>
              <w:rPr>
                <w:rFonts w:asciiTheme="minorEastAsia" w:hAnsiTheme="minorEastAsia" w:cstheme="minorEastAsia"/>
                <w:szCs w:val="21"/>
              </w:rPr>
            </w:pPr>
            <w:r>
              <w:rPr>
                <w:rFonts w:hint="eastAsia" w:asciiTheme="minorEastAsia" w:hAnsiTheme="minorEastAsia" w:cstheme="minorEastAsia"/>
                <w:szCs w:val="21"/>
              </w:rPr>
              <w:t>单位</w:t>
            </w:r>
          </w:p>
        </w:tc>
        <w:tc>
          <w:tcPr>
            <w:tcW w:w="562" w:type="dxa"/>
            <w:vAlign w:val="center"/>
          </w:tcPr>
          <w:p>
            <w:pPr>
              <w:jc w:val="center"/>
              <w:rPr>
                <w:rFonts w:asciiTheme="minorEastAsia" w:hAnsiTheme="minorEastAsia" w:cstheme="minorEastAsia"/>
                <w:szCs w:val="21"/>
              </w:rPr>
            </w:pPr>
            <w:r>
              <w:rPr>
                <w:rFonts w:hint="eastAsia" w:asciiTheme="minorEastAsia" w:hAnsiTheme="minorEastAsia" w:cstheme="minorEastAsia"/>
                <w:szCs w:val="21"/>
              </w:rPr>
              <w:t>数量</w:t>
            </w:r>
          </w:p>
        </w:tc>
        <w:tc>
          <w:tcPr>
            <w:tcW w:w="575" w:type="dxa"/>
            <w:vAlign w:val="center"/>
          </w:tcPr>
          <w:p>
            <w:pPr>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554"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w:t>
            </w:r>
          </w:p>
        </w:tc>
        <w:tc>
          <w:tcPr>
            <w:tcW w:w="688"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财经大数据分析云平台软件</w:t>
            </w:r>
          </w:p>
        </w:tc>
        <w:tc>
          <w:tcPr>
            <w:tcW w:w="656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（一）技术参数</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1.软件采用互联网技术，基于云模式，在线提供云服务，打造智慧财务云生态；</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1.1软件基于公有云模式，随时获取更高的计算能力，有效地降低实施及使用成本；</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1.2提供五年内的免费云服务技术支持，包含云平台运维服务及云平台内容服务；</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1.2.1云平台运维服务：提供五年内的免费云服务技术支持，包含云服务器的硬件、软件、流量带宽及使用过程中发生的任何费用以及售后运维服务。</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1.2.2云平台内容服务：提供五年内平台内容方面的免费升级，包括因相关政策法规等相关因素引起的平台内容升级服务、平台供应商主动的内容升级服务、平台使用培训等服务。</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2.包含财经大数据基础和财经大数据案例应用两个模块，以夯实财经大数据分析为基础、案例实战演练为进阶路径，坚持从洞察需求、大数据分析思维、函数工具运用、动手操作等方面的能力出发，以学生为中心、任务为导向，能力发展为培养目标，培养出具有大数据框架思维与熟练应用大数据工具的人才；</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2.1财经大数据分析基础模块涵盖了Python基础、爬虫数据获取、Pandas数据处理、Matplotlib与Pyecharts数据可视化、实战演练五个项目，注重Python语言的实践与应用，在课程中穿插了财务案例与编程练习，通过将Python数据分析工具与具体的财务场景相融合，培养学生应用Python进行财务数据分析的能力，同时为后续案例应用打下坚实基础；</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2.2财经大数据案例应用模块融合新技术、大数据函数工具、海量真实企业数据，以实务工作需求为前提，让学生体验通过大数据分析工具自主完成 《中小企业经营大数据分析》、《上市公司财务大数据分析》、《上市公司投资大数据分析》等案例的分析决策过程演练，旨在提升学生的大数据分析框架思维、大数据工具应用综合能力，同时为企业培养未来所需的复合型专业人才；</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2.3旨在帮助学生掌握财经大数据分析流程和知识能力应用，具体能力目标为：爬虫数据采集能力、数据清洗能力、数据建模能力、数据加工能力、数据分析能力、数据可视化能力、大屏部署设计能力、大数据分析报告能力；</w:t>
            </w:r>
          </w:p>
          <w:p>
            <w:pPr>
              <w:jc w:val="left"/>
              <w:rPr>
                <w:rFonts w:asciiTheme="minorEastAsia" w:hAnsiTheme="minorEastAsia" w:cstheme="minorEastAsia"/>
                <w:b/>
                <w:bCs/>
                <w:kern w:val="0"/>
                <w:szCs w:val="21"/>
              </w:rPr>
            </w:pPr>
            <w:r>
              <w:rPr>
                <w:b/>
              </w:rPr>
              <w:t>3</w:t>
            </w:r>
            <w:r>
              <w:rPr>
                <w:rFonts w:hint="eastAsia"/>
                <w:b/>
              </w:rPr>
              <w:t>.提供Python编</w:t>
            </w:r>
            <w:r>
              <w:rPr>
                <w:rFonts w:hint="eastAsia" w:asciiTheme="minorEastAsia" w:hAnsiTheme="minorEastAsia" w:cstheme="minorEastAsia"/>
                <w:b/>
                <w:bCs/>
                <w:kern w:val="0"/>
                <w:szCs w:val="21"/>
              </w:rPr>
              <w:t>程</w:t>
            </w:r>
            <w:r>
              <w:rPr>
                <w:rFonts w:hint="eastAsia"/>
                <w:b/>
              </w:rPr>
              <w:t>环境Jupyter Notebook或Python原生环境，</w:t>
            </w:r>
            <w:r>
              <w:rPr>
                <w:rFonts w:hint="eastAsia" w:asciiTheme="minorEastAsia" w:hAnsiTheme="minorEastAsia" w:cstheme="minorEastAsia"/>
                <w:b/>
                <w:bCs/>
                <w:kern w:val="0"/>
                <w:szCs w:val="21"/>
              </w:rPr>
              <w:t>与系统平台进行深度融合，</w:t>
            </w:r>
            <w:r>
              <w:rPr>
                <w:rFonts w:hint="eastAsia"/>
                <w:b/>
              </w:rPr>
              <w:t>用户无需本地安装，可直接通过浏览器使用平台内的Python编</w:t>
            </w:r>
            <w:r>
              <w:rPr>
                <w:rFonts w:hint="eastAsia" w:asciiTheme="minorEastAsia" w:hAnsiTheme="minorEastAsia" w:cstheme="minorEastAsia"/>
                <w:b/>
                <w:bCs/>
                <w:kern w:val="0"/>
                <w:szCs w:val="21"/>
              </w:rPr>
              <w:t>程</w:t>
            </w:r>
            <w:r>
              <w:rPr>
                <w:rFonts w:hint="eastAsia"/>
                <w:b/>
              </w:rPr>
              <w:t>环境，进行Python代码的编写、调试与运行。并且内置Request，Pymysql，Json、Openpyxl、Numpy、Pandas、Matplotlib、Pyecharts、Scrapy，Scikit-learn，Jieba等常用第三方模块及财务工作常用工具库，通过虚拟仿真财务工作场景，满足用户对财务大数据的采集、处理、可视化的使用需求，以及各类财务场景的应用，实现Python开发与财务应用无缝衔接。（提供现场演示）</w:t>
            </w:r>
          </w:p>
          <w:p>
            <w:pPr>
              <w:jc w:val="left"/>
              <w:rPr>
                <w:rFonts w:asciiTheme="minorEastAsia" w:hAnsiTheme="minorEastAsia" w:cstheme="minorEastAsia"/>
                <w:b/>
                <w:bCs/>
                <w:kern w:val="0"/>
                <w:szCs w:val="21"/>
              </w:rPr>
            </w:pPr>
            <w:r>
              <w:rPr>
                <w:rFonts w:hint="eastAsia" w:asciiTheme="minorEastAsia" w:hAnsiTheme="minorEastAsia" w:cstheme="minorEastAsia"/>
                <w:b/>
                <w:bCs/>
                <w:kern w:val="0"/>
                <w:szCs w:val="21"/>
              </w:rPr>
              <w:t>4.提供大数据中心，须满足以下要求：</w:t>
            </w:r>
            <w:r>
              <w:rPr>
                <w:rFonts w:asciiTheme="minorEastAsia" w:hAnsiTheme="minorEastAsia" w:cstheme="minorEastAsia"/>
                <w:b/>
                <w:bCs/>
                <w:kern w:val="0"/>
                <w:szCs w:val="21"/>
              </w:rPr>
              <w:t xml:space="preserve"> </w:t>
            </w:r>
          </w:p>
          <w:p>
            <w:pPr>
              <w:jc w:val="left"/>
              <w:rPr>
                <w:rFonts w:asciiTheme="minorEastAsia" w:hAnsiTheme="minorEastAsia" w:cstheme="minorEastAsia"/>
                <w:b/>
                <w:bCs/>
                <w:kern w:val="0"/>
                <w:szCs w:val="21"/>
              </w:rPr>
            </w:pPr>
            <w:r>
              <w:rPr>
                <w:rFonts w:hint="eastAsia" w:asciiTheme="minorEastAsia" w:hAnsiTheme="minorEastAsia" w:cstheme="minorEastAsia"/>
                <w:b/>
                <w:bCs/>
                <w:kern w:val="0"/>
                <w:szCs w:val="21"/>
              </w:rPr>
              <w:t>4.</w:t>
            </w:r>
            <w:r>
              <w:rPr>
                <w:rFonts w:asciiTheme="minorEastAsia" w:hAnsiTheme="minorEastAsia" w:cstheme="minorEastAsia"/>
                <w:b/>
                <w:bCs/>
                <w:kern w:val="0"/>
                <w:szCs w:val="21"/>
              </w:rPr>
              <w:t>1</w:t>
            </w:r>
            <w:r>
              <w:rPr>
                <w:rFonts w:hint="eastAsia" w:asciiTheme="minorEastAsia" w:hAnsiTheme="minorEastAsia" w:cstheme="minorEastAsia"/>
                <w:b/>
                <w:bCs/>
                <w:kern w:val="0"/>
                <w:szCs w:val="21"/>
              </w:rPr>
              <w:t>提供</w:t>
            </w:r>
            <w:r>
              <w:rPr>
                <w:rFonts w:hint="eastAsia" w:asciiTheme="minorEastAsia" w:hAnsiTheme="minorEastAsia" w:cstheme="minorEastAsia"/>
                <w:b/>
                <w:bCs/>
                <w:kern w:val="0"/>
                <w:szCs w:val="21"/>
                <w:lang w:val="en-US" w:eastAsia="zh-CN"/>
              </w:rPr>
              <w:t>不少于</w:t>
            </w:r>
            <w:r>
              <w:rPr>
                <w:rFonts w:hint="eastAsia" w:asciiTheme="minorEastAsia" w:hAnsiTheme="minorEastAsia" w:cstheme="minorEastAsia"/>
                <w:b/>
                <w:bCs/>
                <w:kern w:val="0"/>
                <w:szCs w:val="21"/>
              </w:rPr>
              <w:t>4</w:t>
            </w:r>
            <w:r>
              <w:rPr>
                <w:rFonts w:hint="eastAsia" w:asciiTheme="minorEastAsia" w:hAnsiTheme="minorEastAsia" w:cstheme="minorEastAsia"/>
                <w:b/>
                <w:bCs/>
                <w:kern w:val="0"/>
                <w:szCs w:val="21"/>
                <w:lang w:val="en-US" w:eastAsia="zh-CN"/>
              </w:rPr>
              <w:t>4</w:t>
            </w:r>
            <w:r>
              <w:rPr>
                <w:rFonts w:asciiTheme="minorEastAsia" w:hAnsiTheme="minorEastAsia" w:cstheme="minorEastAsia"/>
                <w:b/>
                <w:bCs/>
                <w:kern w:val="0"/>
                <w:szCs w:val="21"/>
              </w:rPr>
              <w:t>00</w:t>
            </w:r>
            <w:r>
              <w:rPr>
                <w:rFonts w:hint="eastAsia" w:asciiTheme="minorEastAsia" w:hAnsiTheme="minorEastAsia" w:cstheme="minorEastAsia"/>
                <w:b/>
                <w:bCs/>
                <w:kern w:val="0"/>
                <w:szCs w:val="21"/>
              </w:rPr>
              <w:t>家上市公司数据，涵盖公司简介、财务报表摘要、资产负债表、利润表、现金流量表、附注明细等财务数据。系统能够按照公司名称或者股票代码（上市公司）进行检索，并且提供板块模式，按照行业板块对上市公司进行分类，方便进行财务大数据分析，以上数据每年至少更新一次。</w:t>
            </w:r>
            <w:r>
              <w:rPr>
                <w:rFonts w:hint="eastAsia"/>
                <w:b/>
              </w:rPr>
              <w:t>（提供现场演示）</w:t>
            </w:r>
          </w:p>
          <w:p>
            <w:pPr>
              <w:jc w:val="left"/>
              <w:rPr>
                <w:rFonts w:asciiTheme="minorEastAsia" w:hAnsiTheme="minorEastAsia" w:cstheme="minorEastAsia"/>
                <w:b/>
                <w:bCs/>
                <w:kern w:val="0"/>
                <w:szCs w:val="21"/>
                <w:highlight w:val="yellow"/>
              </w:rPr>
            </w:pPr>
            <w:r>
              <w:rPr>
                <w:rFonts w:hint="eastAsia" w:asciiTheme="minorEastAsia" w:hAnsiTheme="minorEastAsia" w:cstheme="minorEastAsia"/>
                <w:b/>
                <w:bCs/>
                <w:kern w:val="0"/>
                <w:szCs w:val="21"/>
              </w:rPr>
              <w:t>4.</w:t>
            </w:r>
            <w:r>
              <w:rPr>
                <w:rFonts w:asciiTheme="minorEastAsia" w:hAnsiTheme="minorEastAsia" w:cstheme="minorEastAsia"/>
                <w:b/>
                <w:bCs/>
                <w:kern w:val="0"/>
                <w:szCs w:val="21"/>
              </w:rPr>
              <w:t>2</w:t>
            </w:r>
            <w:r>
              <w:rPr>
                <w:rFonts w:hint="eastAsia" w:asciiTheme="minorEastAsia" w:hAnsiTheme="minorEastAsia" w:cstheme="minorEastAsia"/>
                <w:b/>
                <w:bCs/>
                <w:kern w:val="0"/>
                <w:szCs w:val="21"/>
              </w:rPr>
              <w:t>提供宏观经济数据库，数据内容涵盖国民经济核算、人口、对外经济贸易、GDP和CPI等价格指数、采购经理指数共计5个数据模块。</w:t>
            </w:r>
            <w:r>
              <w:rPr>
                <w:rFonts w:hint="eastAsia"/>
                <w:b/>
              </w:rPr>
              <w:t>（提供现场演示）</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4.</w:t>
            </w:r>
            <w:r>
              <w:rPr>
                <w:rFonts w:asciiTheme="minorEastAsia" w:hAnsiTheme="minorEastAsia" w:cstheme="minorEastAsia"/>
                <w:kern w:val="0"/>
                <w:szCs w:val="21"/>
              </w:rPr>
              <w:t>3</w:t>
            </w:r>
            <w:r>
              <w:rPr>
                <w:rFonts w:hint="eastAsia" w:asciiTheme="minorEastAsia" w:hAnsiTheme="minorEastAsia" w:cstheme="minorEastAsia"/>
                <w:kern w:val="0"/>
                <w:szCs w:val="21"/>
              </w:rPr>
              <w:t>提供公共数据资源，数据内容涵盖上市公司XBRL数据、建设银行数据、农业银行数据、工商银行数据共计4个数据模块。</w:t>
            </w:r>
          </w:p>
          <w:p>
            <w:pPr>
              <w:jc w:val="left"/>
              <w:rPr>
                <w:rFonts w:asciiTheme="minorEastAsia" w:hAnsiTheme="minorEastAsia" w:cstheme="minorEastAsia"/>
                <w:b/>
                <w:bCs/>
                <w:kern w:val="0"/>
                <w:szCs w:val="21"/>
                <w:highlight w:val="yellow"/>
              </w:rPr>
            </w:pPr>
            <w:r>
              <w:rPr>
                <w:rFonts w:hint="eastAsia" w:asciiTheme="minorEastAsia" w:hAnsiTheme="minorEastAsia" w:cstheme="minorEastAsia"/>
                <w:b/>
                <w:bCs/>
                <w:kern w:val="0"/>
                <w:szCs w:val="21"/>
              </w:rPr>
              <w:t>5.python编程题目支持机器自动判分功能。上传做题结果后自动根据做题情况给出题目得分；</w:t>
            </w:r>
            <w:r>
              <w:rPr>
                <w:rFonts w:hint="eastAsia"/>
                <w:b/>
                <w:bCs/>
              </w:rPr>
              <w:t>（提供现场演示）</w:t>
            </w:r>
          </w:p>
          <w:p>
            <w:pPr>
              <w:jc w:val="left"/>
              <w:rPr>
                <w:rFonts w:asciiTheme="minorEastAsia" w:hAnsiTheme="minorEastAsia" w:cstheme="minorEastAsia"/>
                <w:b/>
                <w:bCs/>
                <w:kern w:val="0"/>
                <w:szCs w:val="21"/>
                <w:highlight w:val="yellow"/>
              </w:rPr>
            </w:pPr>
            <w:r>
              <w:rPr>
                <w:rFonts w:hint="eastAsia" w:asciiTheme="minorEastAsia" w:hAnsiTheme="minorEastAsia" w:cstheme="minorEastAsia"/>
                <w:b/>
                <w:bCs/>
                <w:kern w:val="0"/>
                <w:szCs w:val="21"/>
              </w:rPr>
              <w:t>6.学习报告：根据学生的学习情况生成对应的学习报告，报告中包含所学习的各类型题目的正确数量、错误数量、已做题目数量、未做题目数量和题目总数量，可以查看到学生具体答题信息以及正确答案，并支持将学习报告导出为PDF文档；</w:t>
            </w:r>
            <w:r>
              <w:rPr>
                <w:rFonts w:hint="eastAsia"/>
                <w:b/>
                <w:bCs/>
              </w:rPr>
              <w:t>（提供现场演示）</w:t>
            </w:r>
          </w:p>
          <w:p>
            <w:pPr>
              <w:jc w:val="left"/>
              <w:rPr>
                <w:rFonts w:asciiTheme="minorEastAsia" w:hAnsiTheme="minorEastAsia" w:cstheme="minorEastAsia"/>
                <w:b/>
                <w:bCs/>
                <w:kern w:val="0"/>
                <w:szCs w:val="21"/>
                <w:highlight w:val="yellow"/>
              </w:rPr>
            </w:pPr>
            <w:r>
              <w:rPr>
                <w:rFonts w:hint="eastAsia" w:asciiTheme="minorEastAsia" w:hAnsiTheme="minorEastAsia" w:cstheme="minorEastAsia"/>
                <w:b/>
                <w:bCs/>
                <w:kern w:val="0"/>
                <w:szCs w:val="21"/>
              </w:rPr>
              <w:t>7.统计分析功能：可以按课程章节目录统计出学生在各个章节中的得分以及正确率等相关数据；</w:t>
            </w:r>
            <w:r>
              <w:rPr>
                <w:rFonts w:hint="eastAsia"/>
                <w:b/>
                <w:bCs/>
              </w:rPr>
              <w:t>（提供现场演示）</w:t>
            </w:r>
          </w:p>
          <w:p>
            <w:pPr>
              <w:jc w:val="left"/>
              <w:rPr>
                <w:rFonts w:asciiTheme="minorEastAsia" w:hAnsiTheme="minorEastAsia" w:cstheme="minorEastAsia"/>
                <w:b w:val="0"/>
                <w:bCs w:val="0"/>
                <w:kern w:val="0"/>
                <w:szCs w:val="21"/>
              </w:rPr>
            </w:pPr>
            <w:r>
              <w:rPr>
                <w:rFonts w:hint="eastAsia" w:asciiTheme="minorEastAsia" w:hAnsiTheme="minorEastAsia" w:cstheme="minorEastAsia"/>
                <w:b w:val="0"/>
                <w:bCs w:val="0"/>
                <w:kern w:val="0"/>
                <w:szCs w:val="21"/>
              </w:rPr>
              <w:t>8.教学功能：</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8.1教师端：</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8.1.1提供教师账号、创建行政班、添加行政班学生功能等教务组织功能；</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8.1.2提供教学班的创建、添加行政班学生并选择账套库或指定账套等教学组织功能；</w:t>
            </w:r>
          </w:p>
          <w:p>
            <w:pPr>
              <w:jc w:val="left"/>
              <w:rPr>
                <w:rFonts w:asciiTheme="minorEastAsia" w:hAnsiTheme="minorEastAsia" w:cstheme="minorEastAsia"/>
                <w:b/>
                <w:bCs/>
                <w:kern w:val="0"/>
                <w:szCs w:val="21"/>
              </w:rPr>
            </w:pPr>
            <w:r>
              <w:rPr>
                <w:rFonts w:hint="eastAsia" w:asciiTheme="minorEastAsia" w:hAnsiTheme="minorEastAsia" w:cstheme="minorEastAsia"/>
                <w:b/>
                <w:bCs/>
                <w:kern w:val="0"/>
                <w:szCs w:val="21"/>
              </w:rPr>
              <w:t>8.1.</w:t>
            </w:r>
            <w:r>
              <w:rPr>
                <w:rFonts w:asciiTheme="minorEastAsia" w:hAnsiTheme="minorEastAsia" w:cstheme="minorEastAsia"/>
                <w:b/>
                <w:bCs/>
                <w:kern w:val="0"/>
                <w:szCs w:val="21"/>
              </w:rPr>
              <w:t>3</w:t>
            </w:r>
            <w:r>
              <w:rPr>
                <w:rFonts w:hint="eastAsia" w:asciiTheme="minorEastAsia" w:hAnsiTheme="minorEastAsia" w:cstheme="minorEastAsia"/>
                <w:b/>
                <w:bCs/>
                <w:kern w:val="0"/>
                <w:szCs w:val="21"/>
              </w:rPr>
              <w:t>教师端提供BI系统，支持自主进行数据获取、数据清洗、数据加工、数据可视化等智能化操作，以及支持采用拖拽的操作方式自定义数字化驾驶舱，用于展示学生学情或教学成果。</w:t>
            </w:r>
            <w:r>
              <w:rPr>
                <w:rFonts w:hint="eastAsia"/>
                <w:b/>
              </w:rPr>
              <w:t>（提供现场演示）</w:t>
            </w:r>
          </w:p>
          <w:p>
            <w:pPr>
              <w:jc w:val="left"/>
              <w:rPr>
                <w:rFonts w:asciiTheme="minorEastAsia" w:hAnsiTheme="minorEastAsia" w:cstheme="minorEastAsia"/>
                <w:bCs/>
                <w:kern w:val="0"/>
                <w:szCs w:val="21"/>
              </w:rPr>
            </w:pPr>
            <w:r>
              <w:rPr>
                <w:rFonts w:hint="eastAsia" w:asciiTheme="minorEastAsia" w:hAnsiTheme="minorEastAsia" w:cstheme="minorEastAsia"/>
                <w:bCs/>
                <w:kern w:val="0"/>
                <w:szCs w:val="21"/>
              </w:rPr>
              <w:t>8.2学生端：</w:t>
            </w:r>
          </w:p>
          <w:p>
            <w:pPr>
              <w:jc w:val="left"/>
              <w:rPr>
                <w:rFonts w:asciiTheme="minorEastAsia" w:hAnsiTheme="minorEastAsia" w:cstheme="minorEastAsia"/>
                <w:bCs/>
                <w:kern w:val="0"/>
                <w:szCs w:val="21"/>
              </w:rPr>
            </w:pPr>
            <w:r>
              <w:rPr>
                <w:rFonts w:hint="eastAsia" w:asciiTheme="minorEastAsia" w:hAnsiTheme="minorEastAsia" w:cstheme="minorEastAsia"/>
                <w:bCs/>
                <w:kern w:val="0"/>
                <w:szCs w:val="21"/>
              </w:rPr>
              <w:t>8.2.1题库以任务列表形式展示，题型包括单选、多选、判断、python题；</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8.2.2提供收藏题目、做题解析、生成做题报告等功能；</w:t>
            </w:r>
          </w:p>
          <w:p>
            <w:pPr>
              <w:jc w:val="left"/>
              <w:rPr>
                <w:rFonts w:asciiTheme="minorEastAsia" w:hAnsiTheme="minorEastAsia" w:cstheme="minorEastAsia"/>
                <w:b w:val="0"/>
                <w:bCs/>
                <w:kern w:val="0"/>
                <w:szCs w:val="21"/>
                <w:highlight w:val="yellow"/>
              </w:rPr>
            </w:pPr>
            <w:r>
              <w:rPr>
                <w:rFonts w:hint="eastAsia" w:asciiTheme="minorEastAsia" w:hAnsiTheme="minorEastAsia" w:cstheme="minorEastAsia"/>
                <w:b w:val="0"/>
                <w:bCs/>
                <w:kern w:val="0"/>
                <w:szCs w:val="21"/>
              </w:rPr>
              <w:t>9.互动小游戏主要功能：</w:t>
            </w:r>
          </w:p>
          <w:p>
            <w:pPr>
              <w:jc w:val="left"/>
              <w:rPr>
                <w:rFonts w:asciiTheme="minorEastAsia" w:hAnsiTheme="minorEastAsia" w:cstheme="minorEastAsia"/>
                <w:b w:val="0"/>
                <w:bCs/>
                <w:kern w:val="0"/>
                <w:szCs w:val="21"/>
              </w:rPr>
            </w:pPr>
            <w:r>
              <w:rPr>
                <w:rFonts w:hint="eastAsia" w:asciiTheme="minorEastAsia" w:hAnsiTheme="minorEastAsia" w:cstheme="minorEastAsia"/>
                <w:b w:val="0"/>
                <w:bCs/>
                <w:kern w:val="0"/>
                <w:szCs w:val="21"/>
              </w:rPr>
              <w:t>9.1提供多个终端使用功能：游戏支持电脑、手机等终端使用；</w:t>
            </w:r>
          </w:p>
          <w:p>
            <w:pPr>
              <w:jc w:val="left"/>
              <w:rPr>
                <w:rFonts w:asciiTheme="minorEastAsia" w:hAnsiTheme="minorEastAsia" w:cstheme="minorEastAsia"/>
                <w:b w:val="0"/>
                <w:bCs/>
                <w:kern w:val="0"/>
                <w:szCs w:val="21"/>
              </w:rPr>
            </w:pPr>
            <w:r>
              <w:rPr>
                <w:rFonts w:hint="eastAsia" w:asciiTheme="minorEastAsia" w:hAnsiTheme="minorEastAsia" w:cstheme="minorEastAsia"/>
                <w:b w:val="0"/>
                <w:bCs/>
                <w:kern w:val="0"/>
                <w:szCs w:val="21"/>
              </w:rPr>
              <w:t>9.2在线游戏互动功能：学生可通过手机扫描系统的中会计游戏二维码，实现在手机上进行随堂游戏的互动体验；</w:t>
            </w:r>
          </w:p>
          <w:p>
            <w:pPr>
              <w:jc w:val="left"/>
              <w:rPr>
                <w:rFonts w:asciiTheme="minorEastAsia" w:hAnsiTheme="minorEastAsia" w:cstheme="minorEastAsia"/>
                <w:b w:val="0"/>
                <w:bCs/>
                <w:kern w:val="0"/>
                <w:szCs w:val="21"/>
              </w:rPr>
            </w:pPr>
            <w:r>
              <w:rPr>
                <w:rFonts w:hint="eastAsia" w:asciiTheme="minorEastAsia" w:hAnsiTheme="minorEastAsia" w:cstheme="minorEastAsia"/>
                <w:b w:val="0"/>
                <w:bCs/>
                <w:kern w:val="0"/>
                <w:szCs w:val="21"/>
              </w:rPr>
              <w:t>9.3竞赛排行功能：支持竞赛比拼并提供排行，增加课堂趣味性，可重复进行游戏；</w:t>
            </w:r>
          </w:p>
          <w:p>
            <w:pPr>
              <w:jc w:val="left"/>
              <w:rPr>
                <w:rFonts w:asciiTheme="minorEastAsia" w:hAnsiTheme="minorEastAsia" w:cstheme="minorEastAsia"/>
                <w:b w:val="0"/>
                <w:bCs/>
                <w:kern w:val="0"/>
                <w:szCs w:val="21"/>
              </w:rPr>
            </w:pPr>
            <w:r>
              <w:rPr>
                <w:rFonts w:hint="eastAsia" w:asciiTheme="minorEastAsia" w:hAnsiTheme="minorEastAsia" w:cstheme="minorEastAsia"/>
                <w:b w:val="0"/>
                <w:bCs/>
                <w:kern w:val="0"/>
                <w:szCs w:val="21"/>
              </w:rPr>
              <w:t>10.终端载体单机版内置微课制作功能：</w:t>
            </w:r>
            <w:r>
              <w:rPr>
                <w:rFonts w:asciiTheme="minorEastAsia" w:hAnsiTheme="minorEastAsia" w:cstheme="minorEastAsia"/>
                <w:b w:val="0"/>
                <w:bCs/>
                <w:kern w:val="0"/>
                <w:szCs w:val="21"/>
              </w:rPr>
              <w:t xml:space="preserve"> </w:t>
            </w:r>
          </w:p>
          <w:p>
            <w:pPr>
              <w:jc w:val="left"/>
              <w:rPr>
                <w:rFonts w:asciiTheme="minorEastAsia" w:hAnsiTheme="minorEastAsia" w:cstheme="minorEastAsia"/>
                <w:b w:val="0"/>
                <w:bCs/>
                <w:kern w:val="0"/>
                <w:szCs w:val="21"/>
              </w:rPr>
            </w:pPr>
            <w:r>
              <w:rPr>
                <w:rFonts w:hint="eastAsia" w:asciiTheme="minorEastAsia" w:hAnsiTheme="minorEastAsia" w:cstheme="minorEastAsia"/>
                <w:b w:val="0"/>
                <w:bCs/>
                <w:kern w:val="0"/>
                <w:szCs w:val="21"/>
              </w:rPr>
              <w:t>10.1可直接导入PPT并保留PPT所有动画效果，生成视频微课；</w:t>
            </w:r>
          </w:p>
          <w:p>
            <w:pPr>
              <w:jc w:val="left"/>
              <w:rPr>
                <w:rFonts w:asciiTheme="minorEastAsia" w:hAnsiTheme="minorEastAsia" w:cstheme="minorEastAsia"/>
                <w:b w:val="0"/>
                <w:bCs/>
                <w:kern w:val="0"/>
                <w:szCs w:val="21"/>
              </w:rPr>
            </w:pPr>
            <w:r>
              <w:rPr>
                <w:rFonts w:hint="eastAsia" w:asciiTheme="minorEastAsia" w:hAnsiTheme="minorEastAsia" w:cstheme="minorEastAsia"/>
                <w:b w:val="0"/>
                <w:bCs/>
                <w:kern w:val="0"/>
                <w:szCs w:val="21"/>
              </w:rPr>
              <w:t>10.2制作过程可自动录音，可合成至生成的视频微课中；</w:t>
            </w:r>
          </w:p>
          <w:p>
            <w:pPr>
              <w:jc w:val="left"/>
              <w:rPr>
                <w:rFonts w:asciiTheme="minorEastAsia" w:hAnsiTheme="minorEastAsia" w:cstheme="minorEastAsia"/>
                <w:bCs/>
                <w:kern w:val="0"/>
                <w:szCs w:val="21"/>
              </w:rPr>
            </w:pPr>
            <w:r>
              <w:rPr>
                <w:rFonts w:hint="eastAsia" w:asciiTheme="minorEastAsia" w:hAnsiTheme="minorEastAsia" w:cstheme="minorEastAsia"/>
                <w:bCs/>
                <w:kern w:val="0"/>
                <w:szCs w:val="21"/>
              </w:rPr>
              <w:t>10.3微课制作时支持两个摄像头切换录制，第一摄像头和第二摄像头可随时切换录制现场人像或现场展示资料，录制内容可合成至生成的视频微课中；</w:t>
            </w:r>
          </w:p>
          <w:p>
            <w:pPr>
              <w:jc w:val="left"/>
              <w:rPr>
                <w:rFonts w:asciiTheme="minorEastAsia" w:hAnsiTheme="minorEastAsia" w:cstheme="minorEastAsia"/>
                <w:bCs/>
                <w:kern w:val="0"/>
                <w:szCs w:val="21"/>
              </w:rPr>
            </w:pPr>
            <w:r>
              <w:rPr>
                <w:rFonts w:hint="eastAsia" w:asciiTheme="minorEastAsia" w:hAnsiTheme="minorEastAsia" w:cstheme="minorEastAsia"/>
                <w:bCs/>
                <w:kern w:val="0"/>
                <w:szCs w:val="21"/>
              </w:rPr>
              <w:t>10.4微课制作过程中可随时板书，录制板书操作，并合成到生成的视频微课；</w:t>
            </w:r>
          </w:p>
          <w:p>
            <w:pPr>
              <w:jc w:val="left"/>
              <w:rPr>
                <w:rFonts w:asciiTheme="minorEastAsia" w:hAnsiTheme="minorEastAsia" w:cstheme="minorEastAsia"/>
                <w:bCs/>
                <w:kern w:val="0"/>
                <w:szCs w:val="21"/>
              </w:rPr>
            </w:pPr>
            <w:r>
              <w:rPr>
                <w:rFonts w:hint="eastAsia" w:asciiTheme="minorEastAsia" w:hAnsiTheme="minorEastAsia" w:cstheme="minorEastAsia"/>
                <w:bCs/>
                <w:kern w:val="0"/>
                <w:szCs w:val="21"/>
              </w:rPr>
              <w:t>10.5微课保存为视频时，可选择添加背景音乐，使制作的微课全程具有背景音乐效果，背景音乐提供多种选择。</w:t>
            </w:r>
          </w:p>
          <w:p>
            <w:pPr>
              <w:jc w:val="left"/>
              <w:rPr>
                <w:rFonts w:asciiTheme="minorEastAsia" w:hAnsiTheme="minorEastAsia" w:cstheme="minorEastAsia"/>
                <w:b/>
                <w:bCs/>
                <w:kern w:val="0"/>
                <w:szCs w:val="21"/>
              </w:rPr>
            </w:pPr>
            <w:r>
              <w:rPr>
                <w:rFonts w:hint="eastAsia" w:asciiTheme="minorEastAsia" w:hAnsiTheme="minorEastAsia" w:cstheme="minorEastAsia"/>
                <w:b/>
                <w:bCs/>
                <w:kern w:val="0"/>
                <w:szCs w:val="21"/>
              </w:rPr>
              <w:t>1</w:t>
            </w:r>
            <w:r>
              <w:rPr>
                <w:rFonts w:asciiTheme="minorEastAsia" w:hAnsiTheme="minorEastAsia" w:cstheme="minorEastAsia"/>
                <w:b/>
                <w:bCs/>
                <w:kern w:val="0"/>
                <w:szCs w:val="21"/>
              </w:rPr>
              <w:t>1</w:t>
            </w:r>
            <w:r>
              <w:rPr>
                <w:rFonts w:hint="eastAsia" w:asciiTheme="minorEastAsia" w:hAnsiTheme="minorEastAsia" w:cstheme="minorEastAsia"/>
                <w:b/>
                <w:bCs/>
                <w:kern w:val="0"/>
                <w:szCs w:val="21"/>
              </w:rPr>
              <w:t>.要求平台支持自建数据源，允许用户从外部导入需要的数据，并及时预览导入的外部数据。</w:t>
            </w:r>
            <w:r>
              <w:rPr>
                <w:rFonts w:hint="eastAsia"/>
                <w:b/>
              </w:rPr>
              <w:t>（提供现场演示）</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（二）内容参数</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1.财经大数据分析基础：</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1.1主要章节内容：</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1.1.1前言 课程导入：财经大数据时代的通行证-Python（大数据分析简介）；</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1.1.2项目一 财经大数据分析-Python基础：任务1 财会大数据分析环境准备（在线平台演示说明、Python语言简介、jupyter使用方法介绍）；任务2 第一个Python程序（print、input、变量、注释）；任务3 数据类型-数值（整型、浮点型、布尔值、算术运算符、赋值运算符、比较运算符、逻辑运算符、成员运算符、身份运算符、运算优先级）；任务4 数据类型-字符串（字符串定义、转义字符、字符串操作、字符串格式化）；任务5 高级数据类型（列表、元组、字典、集合、数据类型转换）；任务6 流程控制-条件语句（if-else语句、if-elif-else语句、if嵌套）；任务7 流程控制-循环语句（while循环、for循环、列表推导式、嵌套循环、break语句、continue语句）；任务8 功能不够用？函数来帮忙（内置函数、自定义函数、匿名函数）；任务9 函数参数和变量作用域（位置参数、默认参数、可变参数、命名关键字参数、变量作用域、global语句）；任务10 了解高阶函数（filter、map、reduce）；</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1.1.3项目二 财经大数据分析-数据获取(爬虫)：任务1 了解爬虫（什么是爬虫、爬虫原理、爬虫基本流程）；任务2 运用爬虫工具获取数据（requests简介、requests.get()方法、数据保存、自定义爬虫函数）；</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1.1.4项目三 财经大数据分析-数据处理(Pandas)：任务1 Pandas 财会界的功夫熊猫（NumPy数组创建、NumPy随机数函数、NumPy简单统计函数、Series创建、DataFrame创建、DataFrame运算及基本函数、Pandas读写Excel、csv、json文件、修改Pandas默认参数值）；任务2 Pandas 数据筛选查询（直接筛选、条件筛选、索引器筛选）；任务3 Pandas 数据处理三剑客（map函数、apply函数、applymap函数）；任务4 Pandas 数据清洗（重复值处理、缺失值处理、其他异常处理、清洗函数dataClean）；任务5 Pandas 数据特征分析（描述性统计函数、累计统计函数、数据排序）；任务6 Pandas 连接你我 互通有无（merge、concat、join、append）；任务7 Pandas 数据分组聚合（groupby-数据分组、agg-数据聚合）；任务8 Pandas 熊猫透视 移行换位（数据透视pivot_table、轴向转换stack、unstack）；</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1.1.5项目四 财经大数据分析-数据可视化(Matplotlib &amp; Pyecharts)：任务1 财经数据可视化：Matplotlib（Matplotlib简介、Matplotlib初级应用，包括折线图、柱状图、饼图、组合图形绘制、pandas作图函数-plot）；任务2 财经数据可视化：Pyecharts（Pyecharts简介、Pyecharts初级应用、Pyecharts高级应用，包括配置项、柱状图、饼图、面积图、并行多图、顺序多图、选项卡多图、时间线轮播多图）；</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1.1.6项目五 财经大数据分析-实战演练：任务1 财经大数据分析-实战演练1（数据采集、数据分析、数据可视化）；任务2 财经大数据分析-实战演练2（数据采集、数据清洗、数据分析、数据可视化）；任务3 财经大数据分析-实战演练3（数据采集、数据清洗、数据分析、数据可视化）；任务4 财经大数据分析-实战演练4（数据采集、数据分析、数据可视化）；</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1.2教学资源：融合灵活多样的学习方法，包含课堂学习和课后练习，其中课堂学习包含PPT课件、慕课视频、微课视频、课堂训练题等，课后习题包含单选、多选、判断和python题等题库训练；</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1.2.1微课（不少于8个）：了解大数据及发展趋势；大数据分析的应用领域；大数据分析的通用流程；如何选择大数据分析工具；财经大数据分析-Python基础；数据哪里来，爬虫帮你爬；功夫熊猫 Pandas；数据美颜宝藏库：让数据也养眼；</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1.2.2 PPT（不少于22个）：财经大数据分析环境准备；第一个Python程序；数据类型-数值；数据类型-字符串；高级数据类型；流程控制-条件语句；流程控制-循环语句；函数；函数参数和变量作用域；了解高阶函数；了解爬虫；运用爬虫工具获取数据；Pandas 财会界的功夫熊猫；Pandas 数据筛选查询；Pandas 数据处理三剑客；Pandas 数据清洗；Pandas 数据特征分析；Pandas 连接你我 互通有无；Pandas 数据分组聚合；Pandas 熊猫透视 移行换位；财经数据可视化：Matplotlib；财经数据可视化：Pyecharts；</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1.2.3慕课（不少于38个）：财经大数据分析环境准备；第一个Python程序；数据类型-数值；数据类型-字符串1；数据类型-字符串2；高级数据类型1；高级数据类型2；流程控制-条件语句；流程控制-循环语句1；流程控制-循环语句2；流程控制-循环语句3；函数；函数参数和变量作用域；了解高阶函数；了解爬虫；运用爬虫工具获取数据；Pandas起源-NumPy；Pandas数据结构；Pandas数据读取；Pandas 数据筛选查询；Pandas 数据处理三剑客；Pandas 数据清洗1；Pandas 数据清洗2；Pandas 数据特征分析；Pandas 连接你我 互通有无；Pandas 数据分组聚合；Pandas 熊猫透视 移行换位；财经数据可视化：Matplotlib1；财经数据可视化：Matplotlib2；财经数据可视化：Matplotlib3；财经数据可视化：Pyecharts1；财经数据可视化：Pyecharts2；财经数据可视化：Pyecharts3；财经数据可视化：Pyecharts4；实战演练1；实战演练2；实战演练3；实战演练4；</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1.2.4课堂示例（不少于98题）；</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1.2.5课后习题：单选题（不少于176题）；多选题（不少于42题）；判断题（不少于102题）；Python题（不少于51题）；</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2.财经大数据案例应用：</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2.1包含三个案例进行应用实践，以夯实财经大数据基础知识和能力养成；</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2.1.1案例I 中小企业经营大数据分析：</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涵盖数据采集准备、数据清洗与重塑、销售商品排行分析、销售区域概览分析、销售毛利分析、销售收入预测、盈利结构分析、利润贡献分析、预算执行分析、财务能力分析、经营雷达监控分析、大屏布局设计、项目实验报告等；</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2.1.2案例II 上市公司财务大数据分析：</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以上市公司目标企业和所在行业10年期的数据进行动态对比分析，内容涵盖数据爬取、数据清洗、数据建模、数据加工、综合财务能力分析,盈利能力行业对比分析,盈利质量行业对比分析,营运能力行业对比分析,偿债能力行业对比分析,发展能力行业对比分析,资产项目及明细项目结构分析,负债和所有者权益项目及明细项目结构分析,利润表收入项目及成本利润项目结构分析,现金流量概况,现金流量明细项目结构分析、数据可视化、大屏部署设计等；</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2.1.3案例III 上市公司投资大数据分析：</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以上市公司行业近5年期的数据进行评估综合排行并筛选出最具投资价值的企业，内容涵盖数据爬取、数据清洗、数据建模、数据加工、盈利能力排行分析、盈利质量排行分析、营运能力排行分析、偿债能力排行分析、发展能力排行分析、综合能力排行分析、综合财务能力动态关联排行分析、数据可视化、大屏部署设计等。</w:t>
            </w:r>
          </w:p>
          <w:p>
            <w:pPr>
              <w:jc w:val="left"/>
              <w:rPr>
                <w:rFonts w:hint="eastAsia" w:asciiTheme="minorEastAsia" w:hAnsiTheme="minorEastAsia" w:cstheme="minorEastAsia"/>
                <w:kern w:val="0"/>
                <w:szCs w:val="21"/>
              </w:rPr>
            </w:pPr>
            <w:r>
              <w:rPr>
                <w:rFonts w:hint="eastAsia" w:asciiTheme="minorEastAsia" w:hAnsiTheme="minorEastAsia" w:cstheme="minorEastAsia"/>
                <w:kern w:val="0"/>
                <w:szCs w:val="21"/>
              </w:rPr>
              <w:t>2.2采用开放式的项目实验环境，学生可以自主选择企业和行业数据进行分析，可以避免学生互抄等弊端，学生可以展示财经大数据分析大屏，根据大屏内容撰写大数据分析报告或PPT演讲稿并上台展示财经大数据分析结果，这样整个实验过程中，不仅调动学生的积极性，而且起到良好的实验效果。</w:t>
            </w:r>
          </w:p>
        </w:tc>
        <w:tc>
          <w:tcPr>
            <w:tcW w:w="61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套</w:t>
            </w:r>
          </w:p>
        </w:tc>
        <w:tc>
          <w:tcPr>
            <w:tcW w:w="56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w:t>
            </w:r>
          </w:p>
        </w:tc>
        <w:tc>
          <w:tcPr>
            <w:tcW w:w="575" w:type="dxa"/>
            <w:vAlign w:val="center"/>
          </w:tcPr>
          <w:p>
            <w:pPr>
              <w:jc w:val="left"/>
              <w:rPr>
                <w:rFonts w:asciiTheme="minorEastAsia" w:hAnsiTheme="minorEastAsia" w:cstheme="minorEastAsia"/>
                <w:kern w:val="0"/>
                <w:szCs w:val="21"/>
              </w:rPr>
            </w:pPr>
          </w:p>
        </w:tc>
      </w:tr>
    </w:tbl>
    <w:p>
      <w:pPr>
        <w:pStyle w:val="6"/>
        <w:rPr>
          <w:rFonts w:hint="eastAsia"/>
          <w:sz w:val="28"/>
          <w:szCs w:val="28"/>
          <w:lang w:eastAsia="zh-CN"/>
        </w:rPr>
        <w:sectPr>
          <w:pgSz w:w="11906" w:h="16838"/>
          <w:pgMar w:top="1440" w:right="1803" w:bottom="1440" w:left="1803" w:header="851" w:footer="992" w:gutter="0"/>
          <w:pgNumType w:fmt="decimal"/>
          <w:cols w:space="720" w:num="1"/>
          <w:docGrid w:type="lines" w:linePitch="319" w:charSpace="0"/>
        </w:sectPr>
      </w:pPr>
    </w:p>
    <w:p>
      <w:pPr>
        <w:pStyle w:val="6"/>
        <w:rPr>
          <w:rFonts w:hint="eastAsia"/>
          <w:sz w:val="28"/>
          <w:szCs w:val="28"/>
          <w:lang w:val="en-US" w:eastAsia="zh-CN"/>
        </w:rPr>
      </w:pPr>
      <w:r>
        <w:rPr>
          <w:rFonts w:hint="eastAsia"/>
          <w:sz w:val="28"/>
          <w:szCs w:val="28"/>
          <w:lang w:eastAsia="zh-CN"/>
        </w:rPr>
        <w:t>合同包</w:t>
      </w:r>
      <w:r>
        <w:rPr>
          <w:rFonts w:hint="eastAsia"/>
          <w:sz w:val="28"/>
          <w:szCs w:val="28"/>
          <w:lang w:val="en-US" w:eastAsia="zh-CN"/>
        </w:rPr>
        <w:t>2：大数据智能财税实训室（硬件）</w:t>
      </w:r>
    </w:p>
    <w:tbl>
      <w:tblPr>
        <w:tblStyle w:val="29"/>
        <w:tblW w:w="9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713"/>
        <w:gridCol w:w="6742"/>
        <w:gridCol w:w="433"/>
        <w:gridCol w:w="562"/>
        <w:gridCol w:w="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jc w:val="center"/>
        </w:trPr>
        <w:tc>
          <w:tcPr>
            <w:tcW w:w="611" w:type="dxa"/>
            <w:vAlign w:val="center"/>
          </w:tcPr>
          <w:p>
            <w:pPr>
              <w:jc w:val="center"/>
              <w:rPr>
                <w:rFonts w:asciiTheme="minorEastAsia" w:hAnsiTheme="minorEastAsia" w:cstheme="minorEastAsia"/>
                <w:szCs w:val="21"/>
              </w:rPr>
            </w:pPr>
            <w:r>
              <w:rPr>
                <w:rFonts w:hint="eastAsia" w:asciiTheme="minorEastAsia" w:hAnsiTheme="minorEastAsia" w:cstheme="minorEastAsia"/>
                <w:szCs w:val="21"/>
              </w:rPr>
              <w:t>序号</w:t>
            </w:r>
          </w:p>
        </w:tc>
        <w:tc>
          <w:tcPr>
            <w:tcW w:w="713" w:type="dxa"/>
            <w:vAlign w:val="center"/>
          </w:tcPr>
          <w:p>
            <w:pPr>
              <w:jc w:val="center"/>
              <w:rPr>
                <w:rFonts w:asciiTheme="minorEastAsia" w:hAnsiTheme="minorEastAsia" w:cstheme="minorEastAsia"/>
                <w:szCs w:val="21"/>
              </w:rPr>
            </w:pPr>
            <w:r>
              <w:rPr>
                <w:rFonts w:hint="eastAsia" w:asciiTheme="minorEastAsia" w:hAnsiTheme="minorEastAsia" w:cstheme="minorEastAsia"/>
                <w:szCs w:val="21"/>
              </w:rPr>
              <w:t>设备名称</w:t>
            </w:r>
          </w:p>
        </w:tc>
        <w:tc>
          <w:tcPr>
            <w:tcW w:w="6742" w:type="dxa"/>
            <w:vAlign w:val="center"/>
          </w:tcPr>
          <w:p>
            <w:pPr>
              <w:jc w:val="center"/>
              <w:rPr>
                <w:rFonts w:asciiTheme="minorEastAsia" w:hAnsiTheme="minorEastAsia" w:cstheme="minorEastAsia"/>
                <w:szCs w:val="21"/>
              </w:rPr>
            </w:pPr>
            <w:r>
              <w:rPr>
                <w:rFonts w:hint="eastAsia" w:asciiTheme="minorEastAsia" w:hAnsiTheme="minorEastAsia" w:cstheme="minorEastAsia"/>
                <w:szCs w:val="21"/>
              </w:rPr>
              <w:t>配置规格及主要技术参数</w:t>
            </w:r>
          </w:p>
        </w:tc>
        <w:tc>
          <w:tcPr>
            <w:tcW w:w="433" w:type="dxa"/>
            <w:vAlign w:val="center"/>
          </w:tcPr>
          <w:p>
            <w:pPr>
              <w:jc w:val="center"/>
              <w:rPr>
                <w:rFonts w:asciiTheme="minorEastAsia" w:hAnsiTheme="minorEastAsia" w:cstheme="minorEastAsia"/>
                <w:szCs w:val="21"/>
              </w:rPr>
            </w:pPr>
            <w:r>
              <w:rPr>
                <w:rFonts w:hint="eastAsia" w:asciiTheme="minorEastAsia" w:hAnsiTheme="minorEastAsia" w:cstheme="minorEastAsia"/>
                <w:szCs w:val="21"/>
              </w:rPr>
              <w:t>单位</w:t>
            </w:r>
          </w:p>
        </w:tc>
        <w:tc>
          <w:tcPr>
            <w:tcW w:w="562" w:type="dxa"/>
            <w:vAlign w:val="center"/>
          </w:tcPr>
          <w:p>
            <w:pPr>
              <w:jc w:val="center"/>
              <w:rPr>
                <w:rFonts w:asciiTheme="minorEastAsia" w:hAnsiTheme="minorEastAsia" w:cstheme="minorEastAsia"/>
                <w:szCs w:val="21"/>
              </w:rPr>
            </w:pPr>
            <w:r>
              <w:rPr>
                <w:rFonts w:hint="eastAsia" w:asciiTheme="minorEastAsia" w:hAnsiTheme="minorEastAsia" w:cstheme="minorEastAsia"/>
                <w:szCs w:val="21"/>
              </w:rPr>
              <w:t>数量</w:t>
            </w:r>
          </w:p>
        </w:tc>
        <w:tc>
          <w:tcPr>
            <w:tcW w:w="588" w:type="dxa"/>
            <w:vAlign w:val="center"/>
          </w:tcPr>
          <w:p>
            <w:pPr>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3</w:t>
            </w:r>
          </w:p>
        </w:tc>
        <w:tc>
          <w:tcPr>
            <w:tcW w:w="71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教师云终端</w:t>
            </w:r>
          </w:p>
        </w:tc>
        <w:tc>
          <w:tcPr>
            <w:tcW w:w="6742" w:type="dxa"/>
            <w:vAlign w:val="center"/>
          </w:tcPr>
          <w:p>
            <w:pPr>
              <w:jc w:val="left"/>
              <w:rPr>
                <w:rFonts w:hint="eastAsia" w:eastAsia="宋体" w:asciiTheme="minorEastAsia" w:hAnsiTheme="minorEastAsia" w:cstheme="minorEastAsia"/>
                <w:kern w:val="0"/>
                <w:szCs w:val="21"/>
                <w:highlight w:val="red"/>
              </w:rPr>
            </w:pPr>
            <w:r>
              <w:rPr>
                <w:rFonts w:hint="eastAsia" w:eastAsia="宋体" w:asciiTheme="minorEastAsia" w:hAnsiTheme="minorEastAsia" w:cstheme="minorEastAsia"/>
                <w:kern w:val="0"/>
                <w:szCs w:val="21"/>
                <w:lang w:val="en-US" w:eastAsia="zh-CN"/>
              </w:rPr>
              <w:t>1</w:t>
            </w:r>
            <w:r>
              <w:rPr>
                <w:rFonts w:hint="eastAsia" w:eastAsia="宋体" w:asciiTheme="minorEastAsia" w:hAnsiTheme="minorEastAsia" w:cstheme="minorEastAsia"/>
                <w:kern w:val="0"/>
                <w:szCs w:val="21"/>
                <w:highlight w:val="none"/>
                <w:lang w:val="en-US" w:eastAsia="zh-CN"/>
              </w:rPr>
              <w:t>.★</w:t>
            </w:r>
            <w:r>
              <w:rPr>
                <w:rFonts w:hint="eastAsia" w:eastAsia="宋体" w:asciiTheme="minorEastAsia" w:hAnsiTheme="minorEastAsia" w:cstheme="minorEastAsia"/>
                <w:kern w:val="0"/>
                <w:szCs w:val="21"/>
                <w:highlight w:val="none"/>
              </w:rPr>
              <w:t>Intel Core ≥I7- 10700 处理器；主频 2.9-4.8GHZ 6核12线程；云终端要求标压设备；主板采用H410芯片以上</w:t>
            </w:r>
          </w:p>
          <w:p>
            <w:pPr>
              <w:jc w:val="left"/>
              <w:rPr>
                <w:rFonts w:hint="eastAsia" w:eastAsia="宋体" w:asciiTheme="minorEastAsia" w:hAnsiTheme="minorEastAsia" w:cstheme="minorEastAsia"/>
                <w:kern w:val="0"/>
                <w:szCs w:val="21"/>
              </w:rPr>
            </w:pPr>
            <w:r>
              <w:rPr>
                <w:rFonts w:hint="eastAsia" w:eastAsia="宋体" w:asciiTheme="minorEastAsia" w:hAnsiTheme="minorEastAsia" w:cstheme="minorEastAsia"/>
                <w:kern w:val="0"/>
                <w:szCs w:val="21"/>
              </w:rPr>
              <w:t xml:space="preserve">2.内存≥16G(≥2个插槽，内存插槽冗余1个)DDR4 2400；支持最大容量32G  </w:t>
            </w:r>
          </w:p>
          <w:p>
            <w:pPr>
              <w:jc w:val="left"/>
              <w:rPr>
                <w:rFonts w:hint="eastAsia" w:eastAsia="宋体" w:asciiTheme="minorEastAsia" w:hAnsiTheme="minorEastAsia" w:cstheme="minorEastAsia"/>
                <w:kern w:val="0"/>
                <w:szCs w:val="21"/>
              </w:rPr>
            </w:pPr>
            <w:r>
              <w:rPr>
                <w:rFonts w:hint="eastAsia" w:eastAsia="宋体" w:asciiTheme="minorEastAsia" w:hAnsiTheme="minorEastAsia" w:cstheme="minorEastAsia"/>
                <w:kern w:val="0"/>
                <w:szCs w:val="21"/>
              </w:rPr>
              <w:t xml:space="preserve">3.硬盘≥存储1*M.2 2280 512 G SSD；   </w:t>
            </w:r>
          </w:p>
          <w:p>
            <w:pPr>
              <w:jc w:val="left"/>
              <w:rPr>
                <w:rFonts w:hint="eastAsia" w:eastAsia="宋体" w:asciiTheme="minorEastAsia" w:hAnsiTheme="minorEastAsia" w:cstheme="minorEastAsia"/>
                <w:kern w:val="0"/>
                <w:szCs w:val="21"/>
              </w:rPr>
            </w:pPr>
            <w:r>
              <w:rPr>
                <w:rFonts w:hint="eastAsia" w:eastAsia="宋体" w:asciiTheme="minorEastAsia" w:hAnsiTheme="minorEastAsia" w:cstheme="minorEastAsia"/>
                <w:kern w:val="0"/>
                <w:szCs w:val="21"/>
              </w:rPr>
              <w:t>4.背挂架；USB接口不少于8个（包含前置2个USB 3.0接口），1个千兆网口，显示接口不少于1* HDMI.4 (MAX: 3840 x 2160@30HZ)，1*DP；，1对音频输入输出接口；</w:t>
            </w:r>
          </w:p>
          <w:p>
            <w:pPr>
              <w:jc w:val="left"/>
              <w:rPr>
                <w:rFonts w:hint="eastAsia" w:eastAsia="宋体" w:asciiTheme="minorEastAsia" w:hAnsiTheme="minorEastAsia" w:cstheme="minorEastAsia"/>
                <w:kern w:val="0"/>
                <w:szCs w:val="21"/>
              </w:rPr>
            </w:pPr>
            <w:r>
              <w:rPr>
                <w:rFonts w:hint="eastAsia" w:eastAsia="宋体" w:asciiTheme="minorEastAsia" w:hAnsiTheme="minorEastAsia" w:cstheme="minorEastAsia"/>
                <w:kern w:val="0"/>
                <w:szCs w:val="21"/>
              </w:rPr>
              <w:t>5.尺寸≤200mmⅩ200mmⅩ40mm；</w:t>
            </w:r>
          </w:p>
          <w:p>
            <w:pPr>
              <w:jc w:val="left"/>
              <w:rPr>
                <w:rFonts w:hint="eastAsia" w:eastAsia="宋体" w:asciiTheme="minorEastAsia" w:hAnsiTheme="minorEastAsia" w:cstheme="minorEastAsia"/>
                <w:kern w:val="0"/>
                <w:szCs w:val="21"/>
              </w:rPr>
            </w:pPr>
            <w:r>
              <w:rPr>
                <w:rFonts w:hint="eastAsia" w:eastAsia="宋体" w:asciiTheme="minorEastAsia" w:hAnsiTheme="minorEastAsia" w:cstheme="minorEastAsia"/>
                <w:kern w:val="0"/>
                <w:szCs w:val="21"/>
              </w:rPr>
              <w:t>6.提供云终端相应安装支架；</w:t>
            </w:r>
          </w:p>
          <w:p>
            <w:pPr>
              <w:jc w:val="left"/>
              <w:rPr>
                <w:rFonts w:hint="eastAsia" w:eastAsia="宋体" w:asciiTheme="minorEastAsia" w:hAnsiTheme="minorEastAsia" w:cstheme="minorEastAsia"/>
                <w:kern w:val="0"/>
                <w:szCs w:val="21"/>
              </w:rPr>
            </w:pPr>
            <w:r>
              <w:rPr>
                <w:rFonts w:hint="eastAsia" w:eastAsia="宋体" w:asciiTheme="minorEastAsia" w:hAnsiTheme="minorEastAsia" w:cstheme="minorEastAsia"/>
                <w:kern w:val="0"/>
                <w:szCs w:val="21"/>
              </w:rPr>
              <w:t>7.提供3C认证及节能认证；</w:t>
            </w:r>
          </w:p>
          <w:p>
            <w:pPr>
              <w:jc w:val="left"/>
            </w:pPr>
            <w:r>
              <w:rPr>
                <w:rFonts w:hint="eastAsia"/>
                <w:lang w:val="en-US" w:eastAsia="zh-CN"/>
              </w:rPr>
              <w:t>8</w:t>
            </w:r>
            <w:r>
              <w:rPr>
                <w:rFonts w:hint="eastAsia"/>
              </w:rPr>
              <w:t>.显示器≥23.8寸；ISP蓝光;</w:t>
            </w:r>
          </w:p>
          <w:p>
            <w:pPr>
              <w:jc w:val="left"/>
              <w:rPr>
                <w:rFonts w:hint="eastAsia" w:eastAsia="宋体" w:asciiTheme="minorEastAsia" w:hAnsiTheme="minorEastAsia" w:cstheme="minorEastAsia"/>
                <w:kern w:val="0"/>
                <w:szCs w:val="21"/>
              </w:rPr>
            </w:pPr>
            <w:r>
              <w:rPr>
                <w:rFonts w:hint="eastAsia" w:asciiTheme="minorEastAsia" w:hAnsiTheme="minorEastAsia" w:cstheme="minorEastAsia"/>
                <w:kern w:val="0"/>
                <w:szCs w:val="21"/>
                <w:lang w:val="en-US" w:eastAsia="zh-CN"/>
              </w:rPr>
              <w:t>9</w:t>
            </w:r>
            <w:r>
              <w:rPr>
                <w:rFonts w:hint="eastAsia" w:eastAsia="宋体" w:asciiTheme="minorEastAsia" w:hAnsiTheme="minorEastAsia" w:cstheme="minorEastAsia"/>
                <w:kern w:val="0"/>
                <w:szCs w:val="21"/>
              </w:rPr>
              <w:t>.光电键鼠套装</w:t>
            </w:r>
          </w:p>
          <w:p>
            <w:pPr>
              <w:jc w:val="left"/>
              <w:rPr>
                <w:rFonts w:hint="default" w:eastAsia="宋体"/>
                <w:lang w:val="en-US" w:eastAsia="zh-CN"/>
              </w:rPr>
            </w:pPr>
            <w:r>
              <w:rPr>
                <w:rFonts w:hint="eastAsia" w:eastAsia="宋体" w:asciiTheme="minorEastAsia" w:hAnsiTheme="minorEastAsia" w:cstheme="minorEastAsia"/>
                <w:kern w:val="0"/>
                <w:szCs w:val="21"/>
                <w:lang w:val="en-US" w:eastAsia="zh-CN"/>
              </w:rPr>
              <w:t>1</w:t>
            </w:r>
            <w:r>
              <w:rPr>
                <w:rFonts w:hint="eastAsia" w:asciiTheme="minorEastAsia" w:hAnsiTheme="minorEastAsia" w:cstheme="minorEastAsia"/>
                <w:kern w:val="0"/>
                <w:szCs w:val="21"/>
                <w:lang w:val="en-US" w:eastAsia="zh-CN"/>
              </w:rPr>
              <w:t>0</w:t>
            </w:r>
            <w:r>
              <w:rPr>
                <w:rFonts w:hint="eastAsia" w:eastAsia="宋体" w:asciiTheme="minorEastAsia" w:hAnsiTheme="minorEastAsia" w:cstheme="minorEastAsia"/>
                <w:kern w:val="0"/>
                <w:szCs w:val="21"/>
                <w:lang w:val="en-US" w:eastAsia="zh-CN"/>
              </w:rPr>
              <w:t>.</w:t>
            </w:r>
            <w:r>
              <w:rPr>
                <w:rFonts w:hint="eastAsia" w:eastAsia="宋体" w:asciiTheme="minorEastAsia" w:hAnsiTheme="minorEastAsia" w:cstheme="minorEastAsia"/>
                <w:kern w:val="0"/>
                <w:szCs w:val="21"/>
              </w:rPr>
              <w:t>提供原厂商针对本项目售后服务承诺函。</w:t>
            </w:r>
          </w:p>
        </w:tc>
        <w:tc>
          <w:tcPr>
            <w:tcW w:w="43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台</w:t>
            </w:r>
          </w:p>
        </w:tc>
        <w:tc>
          <w:tcPr>
            <w:tcW w:w="56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2</w:t>
            </w:r>
          </w:p>
        </w:tc>
        <w:tc>
          <w:tcPr>
            <w:tcW w:w="588" w:type="dxa"/>
            <w:vAlign w:val="center"/>
          </w:tcPr>
          <w:p>
            <w:pPr>
              <w:jc w:val="left"/>
              <w:rPr>
                <w:rFonts w:asciiTheme="minorEastAsia" w:hAnsi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4</w:t>
            </w:r>
          </w:p>
        </w:tc>
        <w:tc>
          <w:tcPr>
            <w:tcW w:w="71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接入交换机</w:t>
            </w:r>
          </w:p>
        </w:tc>
        <w:tc>
          <w:tcPr>
            <w:tcW w:w="6742" w:type="dxa"/>
            <w:vAlign w:val="center"/>
          </w:tcPr>
          <w:p>
            <w:pPr>
              <w:jc w:val="left"/>
              <w:rPr>
                <w:rFonts w:hint="eastAsia" w:eastAsia="宋体" w:asciiTheme="minorEastAsia" w:hAnsiTheme="minorEastAsia" w:cstheme="minorEastAsia"/>
                <w:kern w:val="0"/>
                <w:szCs w:val="21"/>
              </w:rPr>
            </w:pPr>
            <w:r>
              <w:rPr>
                <w:rFonts w:hint="eastAsia" w:eastAsia="宋体" w:asciiTheme="minorEastAsia" w:hAnsiTheme="minorEastAsia" w:cstheme="minorEastAsia"/>
                <w:kern w:val="0"/>
                <w:szCs w:val="21"/>
                <w:lang w:val="en-US" w:eastAsia="zh-CN"/>
              </w:rPr>
              <w:t>不少于</w:t>
            </w:r>
            <w:r>
              <w:rPr>
                <w:rFonts w:hint="eastAsia" w:eastAsia="宋体" w:asciiTheme="minorEastAsia" w:hAnsiTheme="minorEastAsia" w:cstheme="minorEastAsia"/>
                <w:kern w:val="0"/>
                <w:szCs w:val="21"/>
              </w:rPr>
              <w:t>48个10/100/1000Base-T,4个 SFP；1个CONSOLE端口；支持AC110/220V，交换容量336Gbps/3.36Tbps，包转发87Mpps/144Mpps；支持GE端口聚合，支持静态聚合、支持动态聚合、支持跨设备聚合、支持802.3x流控及半双工背压流控，支持基于端口的VLAN，支持ARP Detection功能，支持IPv4/IPv6静态路由，支持RIP/RIPng，OSPFV1/V2/V3，支持STP/RSTP/MSTP协议，支持RMON（Remote Monitoring）告警、事件、历史记录；支持iMC网管系统，支持WEB网管。</w:t>
            </w:r>
          </w:p>
        </w:tc>
        <w:tc>
          <w:tcPr>
            <w:tcW w:w="43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台</w:t>
            </w:r>
          </w:p>
        </w:tc>
        <w:tc>
          <w:tcPr>
            <w:tcW w:w="56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2</w:t>
            </w:r>
          </w:p>
        </w:tc>
        <w:tc>
          <w:tcPr>
            <w:tcW w:w="588" w:type="dxa"/>
            <w:vAlign w:val="center"/>
          </w:tcPr>
          <w:p>
            <w:pPr>
              <w:jc w:val="left"/>
              <w:rPr>
                <w:rFonts w:asciiTheme="minorEastAsia" w:hAnsi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5</w:t>
            </w:r>
          </w:p>
        </w:tc>
        <w:tc>
          <w:tcPr>
            <w:tcW w:w="71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接入交换机</w:t>
            </w:r>
          </w:p>
        </w:tc>
        <w:tc>
          <w:tcPr>
            <w:tcW w:w="6742" w:type="dxa"/>
            <w:vAlign w:val="center"/>
          </w:tcPr>
          <w:p>
            <w:pPr>
              <w:jc w:val="left"/>
              <w:rPr>
                <w:rFonts w:hint="eastAsia" w:eastAsia="宋体" w:asciiTheme="minorEastAsia" w:hAnsiTheme="minorEastAsia" w:cstheme="minorEastAsia"/>
                <w:kern w:val="0"/>
                <w:szCs w:val="21"/>
              </w:rPr>
            </w:pPr>
            <w:r>
              <w:rPr>
                <w:rFonts w:hint="eastAsia" w:eastAsia="宋体" w:asciiTheme="minorEastAsia" w:hAnsiTheme="minorEastAsia" w:cstheme="minorEastAsia"/>
                <w:kern w:val="0"/>
                <w:szCs w:val="21"/>
                <w:lang w:val="en-US" w:eastAsia="zh-CN"/>
              </w:rPr>
              <w:t>不少于</w:t>
            </w:r>
            <w:r>
              <w:rPr>
                <w:rFonts w:hint="eastAsia" w:eastAsia="宋体" w:asciiTheme="minorEastAsia" w:hAnsiTheme="minorEastAsia" w:cstheme="minorEastAsia"/>
                <w:kern w:val="0"/>
                <w:szCs w:val="21"/>
              </w:rPr>
              <w:t>24个10/100/1000Base-T,4个 SFP；1个CONSOLE端口；支持AC110/220V，交换容量336Gbps/3.36Tbps，包转发51Mpps/108Mpps；；支持GE端口聚合，支持静态聚合、支持动态聚合、支持跨设备聚合、支持802.3x流控及半双工背压流控，支持基于端口的VLAN，支持ARP Detection功能，支持IPv4/IPv6静态路由，支持RIP/RIPng，OSPFV1/V2/V3，支持STP/RSTP/MSTP协议，支持RMON（Remote Monitoring）告警、事件、历史记录；支持iMC网管系统，支持WEB网管。</w:t>
            </w:r>
          </w:p>
        </w:tc>
        <w:tc>
          <w:tcPr>
            <w:tcW w:w="43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台</w:t>
            </w:r>
          </w:p>
        </w:tc>
        <w:tc>
          <w:tcPr>
            <w:tcW w:w="56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w:t>
            </w:r>
          </w:p>
        </w:tc>
        <w:tc>
          <w:tcPr>
            <w:tcW w:w="588" w:type="dxa"/>
            <w:vAlign w:val="center"/>
          </w:tcPr>
          <w:p>
            <w:pPr>
              <w:jc w:val="left"/>
              <w:rPr>
                <w:rFonts w:asciiTheme="minorEastAsia" w:hAnsi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6</w:t>
            </w:r>
          </w:p>
        </w:tc>
        <w:tc>
          <w:tcPr>
            <w:tcW w:w="71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云桌面系统授权扩展</w:t>
            </w:r>
          </w:p>
        </w:tc>
        <w:tc>
          <w:tcPr>
            <w:tcW w:w="6742" w:type="dxa"/>
            <w:vAlign w:val="center"/>
          </w:tcPr>
          <w:p>
            <w:pPr>
              <w:jc w:val="left"/>
              <w:rPr>
                <w:rFonts w:asciiTheme="minorEastAsia" w:hAnsiTheme="minorEastAsia" w:cstheme="minorEastAsia"/>
                <w:b/>
                <w:bCs/>
                <w:kern w:val="0"/>
                <w:szCs w:val="21"/>
              </w:rPr>
            </w:pPr>
            <w:r>
              <w:rPr>
                <w:rFonts w:hint="eastAsia" w:asciiTheme="minorEastAsia" w:hAnsiTheme="minorEastAsia" w:cstheme="minorEastAsia"/>
                <w:b/>
                <w:bCs/>
                <w:kern w:val="0"/>
                <w:szCs w:val="21"/>
              </w:rPr>
              <w:t>1、管理架构要求：为便于不同教师管理操作需求，需提供C/S主控端管理模式和B/S架构web管理模式（提供现场演示）；</w:t>
            </w:r>
          </w:p>
          <w:p>
            <w:pPr>
              <w:jc w:val="left"/>
              <w:rPr>
                <w:rFonts w:asciiTheme="minorEastAsia" w:hAnsiTheme="minorEastAsia" w:cstheme="minorEastAsia"/>
                <w:b w:val="0"/>
                <w:bCs w:val="0"/>
                <w:kern w:val="0"/>
                <w:szCs w:val="21"/>
              </w:rPr>
            </w:pPr>
            <w:r>
              <w:rPr>
                <w:rFonts w:hint="eastAsia" w:asciiTheme="minorEastAsia" w:hAnsiTheme="minorEastAsia" w:cstheme="minorEastAsia"/>
                <w:b w:val="0"/>
                <w:bCs w:val="0"/>
                <w:kern w:val="0"/>
                <w:szCs w:val="21"/>
              </w:rPr>
              <w:t>2、系统支持要求：防止系统镜像感染病毒，镜像格式采用加密的文件格式，非通用的4KD和VHD格式，需支持客户端UEFI启动模式，硬盘支持MBR和GPT分区格式，支持WindowsXP、win7、LINUX、unix、国产系统、最新Win10等操作系统桌面。学生电脑支持网络和本地模式（离线模式）双模启动方式运行。</w:t>
            </w:r>
            <w:r>
              <w:rPr>
                <w:rFonts w:hint="eastAsia" w:asciiTheme="minorEastAsia" w:hAnsiTheme="minorEastAsia" w:cstheme="minorEastAsia"/>
                <w:b/>
                <w:bCs/>
                <w:kern w:val="0"/>
                <w:szCs w:val="21"/>
              </w:rPr>
              <w:t>(提供佐证材料）</w:t>
            </w:r>
          </w:p>
          <w:p>
            <w:pPr>
              <w:jc w:val="left"/>
              <w:rPr>
                <w:rFonts w:hint="eastAsia" w:asciiTheme="minorEastAsia" w:hAnsiTheme="minorEastAsia" w:cstheme="minorEastAsia"/>
                <w:b/>
                <w:bCs/>
                <w:kern w:val="0"/>
                <w:szCs w:val="21"/>
              </w:rPr>
            </w:pPr>
            <w:r>
              <w:rPr>
                <w:rFonts w:hint="eastAsia" w:asciiTheme="minorEastAsia" w:hAnsiTheme="minorEastAsia" w:cstheme="minorEastAsia"/>
                <w:b/>
                <w:bCs/>
                <w:kern w:val="0"/>
                <w:szCs w:val="21"/>
              </w:rPr>
              <w:t>3、镜像映射与扩容要求：服务器端镜像支持映射模式，支持镜像在服务器端直接映射成系统盘符操作；在镜像空间不足状态下，服务管理端支持镜像一键扩容至实际镜像需求大小，避免重复制作做镜像(提供</w:t>
            </w:r>
            <w:r>
              <w:rPr>
                <w:rFonts w:hint="eastAsia" w:asciiTheme="minorEastAsia" w:hAnsiTheme="minorEastAsia" w:cstheme="minorEastAsia"/>
                <w:b/>
                <w:bCs/>
                <w:kern w:val="0"/>
                <w:szCs w:val="21"/>
                <w:lang w:val="en-US" w:eastAsia="zh-CN"/>
              </w:rPr>
              <w:t>现场演示</w:t>
            </w:r>
            <w:r>
              <w:rPr>
                <w:rFonts w:hint="eastAsia" w:asciiTheme="minorEastAsia" w:hAnsiTheme="minorEastAsia" w:cstheme="minorEastAsia"/>
                <w:b/>
                <w:bCs/>
                <w:kern w:val="0"/>
                <w:szCs w:val="21"/>
              </w:rPr>
              <w:t>）。</w:t>
            </w:r>
          </w:p>
          <w:p>
            <w:pPr>
              <w:jc w:val="left"/>
              <w:rPr>
                <w:rFonts w:asciiTheme="minorEastAsia" w:hAnsiTheme="minorEastAsia" w:cstheme="minorEastAsia"/>
                <w:b/>
                <w:bCs/>
                <w:kern w:val="0"/>
                <w:szCs w:val="21"/>
              </w:rPr>
            </w:pPr>
            <w:r>
              <w:rPr>
                <w:rFonts w:hint="eastAsia" w:asciiTheme="minorEastAsia" w:hAnsiTheme="minorEastAsia" w:cstheme="minorEastAsia"/>
                <w:b w:val="0"/>
                <w:bCs w:val="0"/>
                <w:kern w:val="0"/>
                <w:szCs w:val="21"/>
              </w:rPr>
              <w:t>4、跨网段要求：为考虑现有网络稳定性以及云桌面系统部署后的稳定性，要求云桌面系统支持在现有网络交换机参数配置不允许再做调整情况下无条件跨VLAN；通过网络引导客户端电脑启动操作系统 ，禁止使用通过调整现有网络交换机设置及DHCP代理机制模式实现跨网段</w:t>
            </w:r>
            <w:r>
              <w:rPr>
                <w:rFonts w:hint="eastAsia" w:asciiTheme="minorEastAsia" w:hAnsiTheme="minorEastAsia" w:cstheme="minorEastAsia"/>
                <w:b/>
                <w:bCs/>
                <w:kern w:val="0"/>
                <w:szCs w:val="21"/>
              </w:rPr>
              <w:t>(提供佐证材料）。</w:t>
            </w:r>
          </w:p>
          <w:p>
            <w:pPr>
              <w:jc w:val="left"/>
              <w:rPr>
                <w:rFonts w:asciiTheme="minorEastAsia" w:hAnsiTheme="minorEastAsia" w:cstheme="minorEastAsia"/>
                <w:b/>
                <w:bCs/>
                <w:kern w:val="0"/>
                <w:szCs w:val="21"/>
              </w:rPr>
            </w:pPr>
            <w:r>
              <w:rPr>
                <w:rFonts w:hint="eastAsia" w:asciiTheme="minorEastAsia" w:hAnsiTheme="minorEastAsia" w:cstheme="minorEastAsia"/>
                <w:b w:val="0"/>
                <w:bCs w:val="0"/>
                <w:kern w:val="0"/>
                <w:szCs w:val="21"/>
              </w:rPr>
              <w:t>5、缓存模式要求：云桌面管理系统支持本地缓存技术；具有服务端高速缓存、客户端离线模式，将操作系统流高速缓存于终端本地存储介质中,支持快照节点1:1比例独立缓存，支持快照节点缓存选择性回收，以便节约硬盘使用空间。</w:t>
            </w:r>
            <w:r>
              <w:rPr>
                <w:rFonts w:hint="eastAsia" w:asciiTheme="minorEastAsia" w:hAnsiTheme="minorEastAsia" w:cstheme="minorEastAsia"/>
                <w:b/>
                <w:bCs/>
                <w:kern w:val="0"/>
                <w:szCs w:val="21"/>
              </w:rPr>
              <w:t>(提供佐证材料）</w:t>
            </w:r>
          </w:p>
          <w:p>
            <w:pPr>
              <w:jc w:val="left"/>
              <w:rPr>
                <w:rFonts w:asciiTheme="minorEastAsia" w:hAnsiTheme="minorEastAsia" w:cstheme="minorEastAsia"/>
                <w:b/>
                <w:bCs/>
                <w:kern w:val="0"/>
                <w:szCs w:val="21"/>
                <w:highlight w:val="none"/>
              </w:rPr>
            </w:pPr>
            <w:r>
              <w:rPr>
                <w:rFonts w:hint="eastAsia" w:asciiTheme="minorEastAsia" w:hAnsiTheme="minorEastAsia" w:cstheme="minorEastAsia"/>
                <w:b/>
                <w:bCs/>
                <w:kern w:val="0"/>
                <w:szCs w:val="21"/>
              </w:rPr>
              <w:t>6、私有数据维护功能要求：支持客户终端上的节点在还原状态下都能保留个性化数据，为无法破解的应用软件使用提供便利；</w:t>
            </w:r>
            <w:r>
              <w:rPr>
                <w:rFonts w:hint="eastAsia" w:asciiTheme="minorEastAsia" w:hAnsiTheme="minorEastAsia" w:cstheme="minorEastAsia"/>
                <w:b/>
                <w:bCs/>
                <w:kern w:val="0"/>
                <w:szCs w:val="21"/>
                <w:highlight w:val="none"/>
                <w:lang w:val="en-US" w:eastAsia="zh-CN"/>
              </w:rPr>
              <w:t>(提供现场演示）</w:t>
            </w:r>
            <w:r>
              <w:rPr>
                <w:rFonts w:hint="eastAsia" w:asciiTheme="minorEastAsia" w:hAnsiTheme="minorEastAsia" w:cstheme="minorEastAsia"/>
                <w:b/>
                <w:bCs/>
                <w:kern w:val="0"/>
                <w:szCs w:val="21"/>
                <w:highlight w:val="none"/>
              </w:rPr>
              <w:t xml:space="preserve">。 </w:t>
            </w:r>
          </w:p>
          <w:p>
            <w:pPr>
              <w:jc w:val="left"/>
              <w:rPr>
                <w:rFonts w:asciiTheme="minorEastAsia" w:hAnsiTheme="minorEastAsia" w:cstheme="minorEastAsia"/>
                <w:b/>
                <w:bCs/>
                <w:kern w:val="0"/>
                <w:szCs w:val="21"/>
              </w:rPr>
            </w:pPr>
            <w:r>
              <w:rPr>
                <w:rFonts w:hint="eastAsia" w:asciiTheme="minorEastAsia" w:hAnsiTheme="minorEastAsia" w:cstheme="minorEastAsia"/>
                <w:b/>
                <w:bCs/>
                <w:kern w:val="0"/>
                <w:szCs w:val="21"/>
              </w:rPr>
              <w:t>7、集成管理要求：主管理界面应支持镜像管理、方案管理、任务计划、网络拓扑、群组管理、客户端管理、温度监控报警、资产盘点等基本管理功能；以便于高效管理运维（提供现场演示）。</w:t>
            </w:r>
          </w:p>
          <w:p>
            <w:pPr>
              <w:jc w:val="left"/>
              <w:rPr>
                <w:rFonts w:asciiTheme="minorEastAsia" w:hAnsiTheme="minorEastAsia" w:cstheme="minorEastAsia"/>
                <w:b/>
                <w:bCs/>
                <w:kern w:val="0"/>
                <w:szCs w:val="21"/>
              </w:rPr>
            </w:pPr>
            <w:r>
              <w:rPr>
                <w:rFonts w:hint="eastAsia" w:asciiTheme="minorEastAsia" w:hAnsiTheme="minorEastAsia" w:cstheme="minorEastAsia"/>
                <w:b/>
                <w:bCs/>
                <w:kern w:val="0"/>
                <w:szCs w:val="21"/>
              </w:rPr>
              <w:t>8、授权码管理要求：需支持批量设置Windows正版授权码，支持批量激活应用软件系统，简化管理人员的操作配置工作(提供</w:t>
            </w:r>
            <w:r>
              <w:rPr>
                <w:rFonts w:hint="eastAsia" w:asciiTheme="minorEastAsia" w:hAnsiTheme="minorEastAsia" w:cstheme="minorEastAsia"/>
                <w:b/>
                <w:bCs/>
                <w:kern w:val="0"/>
                <w:szCs w:val="21"/>
                <w:lang w:val="en-US" w:eastAsia="zh-CN"/>
              </w:rPr>
              <w:t>现场演示</w:t>
            </w:r>
            <w:r>
              <w:rPr>
                <w:rFonts w:hint="eastAsia" w:asciiTheme="minorEastAsia" w:hAnsiTheme="minorEastAsia" w:cstheme="minorEastAsia"/>
                <w:b/>
                <w:bCs/>
                <w:kern w:val="0"/>
                <w:szCs w:val="21"/>
              </w:rPr>
              <w:t>）。</w:t>
            </w:r>
          </w:p>
          <w:p>
            <w:pPr>
              <w:jc w:val="left"/>
              <w:rPr>
                <w:rFonts w:asciiTheme="minorEastAsia" w:hAnsiTheme="minorEastAsia" w:cstheme="minorEastAsia"/>
                <w:b w:val="0"/>
                <w:bCs w:val="0"/>
                <w:kern w:val="0"/>
                <w:szCs w:val="21"/>
              </w:rPr>
            </w:pPr>
            <w:r>
              <w:rPr>
                <w:rFonts w:hint="eastAsia" w:asciiTheme="minorEastAsia" w:hAnsiTheme="minorEastAsia" w:cstheme="minorEastAsia"/>
                <w:b w:val="0"/>
                <w:bCs w:val="0"/>
                <w:kern w:val="0"/>
                <w:szCs w:val="21"/>
              </w:rPr>
              <w:t>9、方案管理要求：支持设置课程表和教学桌面系统、考试桌面系统关联等功能，系统将根据排程设定的时间自动切换教学及考试教学方案桌面</w:t>
            </w:r>
            <w:r>
              <w:rPr>
                <w:rFonts w:hint="eastAsia" w:asciiTheme="minorEastAsia" w:hAnsiTheme="minorEastAsia" w:cstheme="minorEastAsia"/>
                <w:b/>
                <w:bCs/>
                <w:kern w:val="0"/>
                <w:szCs w:val="21"/>
              </w:rPr>
              <w:t>(提供佐证材料）</w:t>
            </w:r>
            <w:r>
              <w:rPr>
                <w:rFonts w:hint="eastAsia" w:asciiTheme="minorEastAsia" w:hAnsiTheme="minorEastAsia" w:cstheme="minorEastAsia"/>
                <w:b w:val="0"/>
                <w:bCs w:val="0"/>
                <w:kern w:val="0"/>
                <w:szCs w:val="21"/>
              </w:rPr>
              <w:t>。</w:t>
            </w:r>
          </w:p>
          <w:p>
            <w:pPr>
              <w:jc w:val="left"/>
              <w:rPr>
                <w:rFonts w:asciiTheme="minorEastAsia" w:hAnsiTheme="minorEastAsia" w:cstheme="minorEastAsia"/>
                <w:b w:val="0"/>
                <w:bCs w:val="0"/>
                <w:kern w:val="0"/>
                <w:szCs w:val="21"/>
              </w:rPr>
            </w:pPr>
            <w:r>
              <w:rPr>
                <w:rFonts w:hint="eastAsia" w:asciiTheme="minorEastAsia" w:hAnsiTheme="minorEastAsia" w:cstheme="minorEastAsia"/>
                <w:b w:val="0"/>
                <w:bCs w:val="0"/>
                <w:kern w:val="0"/>
                <w:szCs w:val="21"/>
              </w:rPr>
              <w:t>10.客户端设置功能要求：支持客户端划分不同的群组进行管理；以便和各个部门一一对应；支持统一设置客户端电脑的机器名、批量IP地址模板设置属性、所需要启动的桌面镜像参数等</w:t>
            </w:r>
            <w:r>
              <w:rPr>
                <w:rFonts w:hint="eastAsia" w:asciiTheme="minorEastAsia" w:hAnsiTheme="minorEastAsia" w:cstheme="minorEastAsia"/>
                <w:b/>
                <w:bCs/>
                <w:kern w:val="0"/>
                <w:szCs w:val="21"/>
              </w:rPr>
              <w:t>(提供佐证材料）</w:t>
            </w:r>
            <w:r>
              <w:rPr>
                <w:rFonts w:hint="eastAsia" w:asciiTheme="minorEastAsia" w:hAnsiTheme="minorEastAsia" w:cstheme="minorEastAsia"/>
                <w:b w:val="0"/>
                <w:bCs w:val="0"/>
                <w:kern w:val="0"/>
                <w:szCs w:val="21"/>
              </w:rPr>
              <w:t>。</w:t>
            </w:r>
          </w:p>
          <w:p>
            <w:pPr>
              <w:jc w:val="left"/>
              <w:rPr>
                <w:rFonts w:asciiTheme="minorEastAsia" w:hAnsiTheme="minorEastAsia" w:cstheme="minorEastAsia"/>
                <w:b/>
                <w:bCs/>
                <w:kern w:val="0"/>
                <w:szCs w:val="21"/>
              </w:rPr>
            </w:pPr>
            <w:r>
              <w:rPr>
                <w:rFonts w:hint="eastAsia" w:asciiTheme="minorEastAsia" w:hAnsiTheme="minorEastAsia" w:cstheme="minorEastAsia"/>
                <w:b/>
                <w:bCs/>
                <w:kern w:val="0"/>
                <w:szCs w:val="21"/>
              </w:rPr>
              <w:t>11.网络拓扑要求：为提高客户机镜像缓存速率，管理端通过网络拓扑功能，对进行网络分组客户端只在本虚拟交换机内进行数据交换，提升离线速度，降低P2P种子机的压力（提供现场演示）。</w:t>
            </w:r>
          </w:p>
          <w:p>
            <w:pPr>
              <w:jc w:val="left"/>
              <w:rPr>
                <w:rFonts w:asciiTheme="minorEastAsia" w:hAnsiTheme="minorEastAsia" w:cstheme="minorEastAsia"/>
                <w:b w:val="0"/>
                <w:bCs w:val="0"/>
                <w:kern w:val="0"/>
                <w:szCs w:val="21"/>
              </w:rPr>
            </w:pPr>
            <w:r>
              <w:rPr>
                <w:rFonts w:hint="eastAsia" w:asciiTheme="minorEastAsia" w:hAnsiTheme="minorEastAsia" w:cstheme="minorEastAsia"/>
                <w:b w:val="0"/>
                <w:bCs w:val="0"/>
                <w:kern w:val="0"/>
                <w:szCs w:val="21"/>
              </w:rPr>
              <w:t>12.WEB管理要求：支持多账户管理功能模块；支持创建任意多个管理员帐号，自定义管理权限，实现机房多人分级安全管理功能；支持IOS设备、Android手机对实验室的方案管理，实现使用环境的实时切换，系统开机及关机。</w:t>
            </w:r>
            <w:r>
              <w:rPr>
                <w:rFonts w:hint="eastAsia" w:asciiTheme="minorEastAsia" w:hAnsiTheme="minorEastAsia" w:cstheme="minorEastAsia"/>
                <w:b/>
                <w:bCs/>
                <w:kern w:val="0"/>
                <w:szCs w:val="21"/>
              </w:rPr>
              <w:t>(提供佐证材料）</w:t>
            </w:r>
          </w:p>
          <w:p>
            <w:pPr>
              <w:jc w:val="left"/>
              <w:rPr>
                <w:rFonts w:asciiTheme="minorEastAsia" w:hAnsiTheme="minorEastAsia" w:cstheme="minorEastAsia"/>
                <w:b/>
                <w:bCs/>
                <w:kern w:val="0"/>
                <w:szCs w:val="21"/>
              </w:rPr>
            </w:pPr>
            <w:r>
              <w:rPr>
                <w:rFonts w:hint="eastAsia" w:asciiTheme="minorEastAsia" w:hAnsiTheme="minorEastAsia" w:cstheme="minorEastAsia"/>
                <w:b/>
                <w:bCs/>
                <w:kern w:val="0"/>
                <w:szCs w:val="21"/>
              </w:rPr>
              <w:t>13.资产盘点要求：支持手动配置资产盘点表功能，支持资产添加终端类型、品牌、质保期限等相关数据，支持每台电脑添加图片数据并展示出来，展示方式分为列表展示和图标展示两种（提供现场演示）；</w:t>
            </w:r>
          </w:p>
          <w:p>
            <w:pPr>
              <w:jc w:val="left"/>
              <w:rPr>
                <w:rFonts w:asciiTheme="minorEastAsia" w:hAnsiTheme="minorEastAsia" w:cstheme="minorEastAsia"/>
                <w:b/>
                <w:bCs/>
                <w:kern w:val="0"/>
                <w:szCs w:val="21"/>
              </w:rPr>
            </w:pPr>
            <w:r>
              <w:rPr>
                <w:rFonts w:hint="eastAsia" w:eastAsia="宋体" w:asciiTheme="minorEastAsia" w:hAnsiTheme="minorEastAsia" w:cstheme="minorEastAsia"/>
                <w:b/>
                <w:bCs/>
                <w:kern w:val="0"/>
                <w:szCs w:val="21"/>
              </w:rPr>
              <w:t>14</w:t>
            </w:r>
            <w:r>
              <w:rPr>
                <w:rFonts w:hint="eastAsia" w:asciiTheme="minorEastAsia" w:hAnsiTheme="minorEastAsia" w:cstheme="minorEastAsia"/>
                <w:b/>
                <w:bCs/>
                <w:kern w:val="0"/>
                <w:szCs w:val="21"/>
              </w:rPr>
              <w:t>.监控报警要求：WEB管理端对全部客户端或单独客户端的CPU\硬盘设置温度临界点。达到温度最高值，管理端会自动提供客户端硬件温度预警(提供</w:t>
            </w:r>
            <w:r>
              <w:rPr>
                <w:rFonts w:hint="eastAsia" w:asciiTheme="minorEastAsia" w:hAnsiTheme="minorEastAsia" w:cstheme="minorEastAsia"/>
                <w:b/>
                <w:bCs/>
                <w:kern w:val="0"/>
                <w:szCs w:val="21"/>
                <w:lang w:val="en-US" w:eastAsia="zh-CN"/>
              </w:rPr>
              <w:t>现场演示</w:t>
            </w:r>
            <w:r>
              <w:rPr>
                <w:rFonts w:hint="eastAsia" w:asciiTheme="minorEastAsia" w:hAnsiTheme="minorEastAsia" w:cstheme="minorEastAsia"/>
                <w:b/>
                <w:bCs/>
                <w:kern w:val="0"/>
                <w:szCs w:val="21"/>
              </w:rPr>
              <w:t>）。</w:t>
            </w:r>
          </w:p>
          <w:p>
            <w:pPr>
              <w:jc w:val="left"/>
              <w:rPr>
                <w:rFonts w:asciiTheme="minorEastAsia" w:hAnsiTheme="minorEastAsia" w:cstheme="minorEastAsia"/>
                <w:b w:val="0"/>
                <w:bCs w:val="0"/>
                <w:kern w:val="0"/>
                <w:szCs w:val="21"/>
              </w:rPr>
            </w:pPr>
            <w:r>
              <w:rPr>
                <w:rFonts w:hint="eastAsia" w:asciiTheme="minorEastAsia" w:hAnsiTheme="minorEastAsia" w:cstheme="minorEastAsia"/>
                <w:b w:val="0"/>
                <w:bCs w:val="0"/>
                <w:kern w:val="0"/>
                <w:szCs w:val="21"/>
              </w:rPr>
              <w:t>15.公网部署要求：支持公网部署，上传客户端缓存生成快照，将写数据文件读取并发送到服务器，服务器端经过整合后形成新的快照。支持在web上直接进行生成快照的操作；</w:t>
            </w:r>
            <w:r>
              <w:rPr>
                <w:rFonts w:hint="eastAsia" w:asciiTheme="minorEastAsia" w:hAnsiTheme="minorEastAsia" w:cstheme="minorEastAsia"/>
                <w:b/>
                <w:bCs/>
                <w:kern w:val="0"/>
                <w:szCs w:val="21"/>
              </w:rPr>
              <w:t>(提供佐证材料）</w:t>
            </w:r>
            <w:r>
              <w:rPr>
                <w:rFonts w:hint="eastAsia" w:asciiTheme="minorEastAsia" w:hAnsiTheme="minorEastAsia" w:cstheme="minorEastAsia"/>
                <w:b w:val="0"/>
                <w:bCs w:val="0"/>
                <w:kern w:val="0"/>
                <w:szCs w:val="21"/>
              </w:rPr>
              <w:t xml:space="preserve">。 </w:t>
            </w:r>
          </w:p>
          <w:p>
            <w:pPr>
              <w:jc w:val="left"/>
              <w:rPr>
                <w:rFonts w:hint="eastAsia" w:asciiTheme="minorEastAsia" w:hAnsiTheme="minorEastAsia" w:cstheme="minorEastAsia"/>
                <w:b/>
                <w:bCs/>
                <w:kern w:val="0"/>
                <w:szCs w:val="21"/>
              </w:rPr>
            </w:pPr>
            <w:r>
              <w:rPr>
                <w:rFonts w:hint="eastAsia" w:asciiTheme="minorEastAsia" w:hAnsiTheme="minorEastAsia" w:cstheme="minorEastAsia"/>
                <w:b/>
                <w:bCs/>
                <w:kern w:val="0"/>
                <w:szCs w:val="21"/>
              </w:rPr>
              <w:t>16.快照管理要求：支持镜像手动快照和自动快照两个功能模式，便于管理人员和操作员根据自动向导提示逐步完成软件安装操作（提供现场演示）。</w:t>
            </w:r>
          </w:p>
          <w:p>
            <w:pPr>
              <w:jc w:val="left"/>
              <w:rPr>
                <w:b w:val="0"/>
                <w:bCs w:val="0"/>
                <w:highlight w:val="none"/>
              </w:rPr>
            </w:pPr>
            <w:r>
              <w:rPr>
                <w:rFonts w:hint="eastAsia" w:asciiTheme="minorEastAsia" w:hAnsiTheme="minorEastAsia" w:cstheme="minorEastAsia"/>
                <w:b w:val="0"/>
                <w:bCs w:val="0"/>
                <w:kern w:val="0"/>
                <w:szCs w:val="21"/>
                <w:highlight w:val="none"/>
                <w:lang w:val="en-US" w:eastAsia="zh-CN"/>
              </w:rPr>
              <w:t>17</w:t>
            </w:r>
            <w:r>
              <w:rPr>
                <w:rFonts w:hint="eastAsia" w:eastAsia="宋体" w:asciiTheme="minorEastAsia" w:hAnsiTheme="minorEastAsia" w:cstheme="minorEastAsia"/>
                <w:b w:val="0"/>
                <w:bCs w:val="0"/>
                <w:kern w:val="0"/>
                <w:szCs w:val="21"/>
                <w:highlight w:val="none"/>
                <w:lang w:val="en-US" w:eastAsia="zh-CN"/>
              </w:rPr>
              <w:t>.★与学校现有云桌面系统（PNS）</w:t>
            </w:r>
            <w:r>
              <w:rPr>
                <w:rFonts w:hint="eastAsia" w:asciiTheme="minorEastAsia" w:hAnsiTheme="minorEastAsia" w:cstheme="minorEastAsia"/>
                <w:b w:val="0"/>
                <w:bCs w:val="0"/>
                <w:kern w:val="0"/>
                <w:szCs w:val="21"/>
                <w:highlight w:val="none"/>
                <w:lang w:val="en-US" w:eastAsia="zh-CN"/>
              </w:rPr>
              <w:t>平台相</w:t>
            </w:r>
            <w:r>
              <w:rPr>
                <w:rFonts w:hint="eastAsia" w:eastAsia="宋体" w:asciiTheme="minorEastAsia" w:hAnsiTheme="minorEastAsia" w:cstheme="minorEastAsia"/>
                <w:b w:val="0"/>
                <w:bCs w:val="0"/>
                <w:kern w:val="0"/>
                <w:szCs w:val="21"/>
                <w:highlight w:val="none"/>
                <w:lang w:val="en-US" w:eastAsia="zh-CN"/>
              </w:rPr>
              <w:t>兼容，须提供云桌面</w:t>
            </w:r>
            <w:r>
              <w:rPr>
                <w:rFonts w:hint="eastAsia" w:asciiTheme="minorEastAsia" w:hAnsiTheme="minorEastAsia" w:cstheme="minorEastAsia"/>
                <w:b w:val="0"/>
                <w:bCs w:val="0"/>
                <w:kern w:val="0"/>
                <w:szCs w:val="21"/>
                <w:highlight w:val="none"/>
                <w:lang w:val="en-US" w:eastAsia="zh-CN"/>
              </w:rPr>
              <w:t>产品</w:t>
            </w:r>
            <w:r>
              <w:rPr>
                <w:rFonts w:hint="eastAsia" w:eastAsia="宋体" w:asciiTheme="minorEastAsia" w:hAnsiTheme="minorEastAsia" w:cstheme="minorEastAsia"/>
                <w:b w:val="0"/>
                <w:bCs w:val="0"/>
                <w:kern w:val="0"/>
                <w:szCs w:val="21"/>
                <w:highlight w:val="none"/>
                <w:lang w:val="en-US" w:eastAsia="zh-CN"/>
              </w:rPr>
              <w:t>厂商</w:t>
            </w:r>
            <w:r>
              <w:rPr>
                <w:rFonts w:hint="eastAsia" w:asciiTheme="minorEastAsia" w:hAnsiTheme="minorEastAsia" w:cstheme="minorEastAsia"/>
                <w:b w:val="0"/>
                <w:bCs w:val="0"/>
                <w:kern w:val="0"/>
                <w:szCs w:val="21"/>
                <w:highlight w:val="none"/>
                <w:lang w:val="en-US" w:eastAsia="zh-CN"/>
              </w:rPr>
              <w:t>出具的</w:t>
            </w:r>
            <w:r>
              <w:rPr>
                <w:rFonts w:hint="eastAsia" w:eastAsia="宋体" w:asciiTheme="minorEastAsia" w:hAnsiTheme="minorEastAsia" w:cstheme="minorEastAsia"/>
                <w:b w:val="0"/>
                <w:bCs w:val="0"/>
                <w:kern w:val="0"/>
                <w:szCs w:val="21"/>
                <w:highlight w:val="none"/>
                <w:lang w:val="en-US" w:eastAsia="zh-CN"/>
              </w:rPr>
              <w:t>兼容性证明文件</w:t>
            </w:r>
            <w:r>
              <w:rPr>
                <w:rFonts w:hint="eastAsia" w:asciiTheme="minorEastAsia" w:hAnsiTheme="minorEastAsia" w:cstheme="minorEastAsia"/>
                <w:b w:val="0"/>
                <w:bCs w:val="0"/>
                <w:kern w:val="0"/>
                <w:szCs w:val="21"/>
                <w:highlight w:val="none"/>
                <w:lang w:val="en-US" w:eastAsia="zh-CN"/>
              </w:rPr>
              <w:t>或兼容性</w:t>
            </w:r>
            <w:r>
              <w:rPr>
                <w:rFonts w:hint="eastAsia" w:eastAsia="宋体" w:asciiTheme="minorEastAsia" w:hAnsiTheme="minorEastAsia" w:cstheme="minorEastAsia"/>
                <w:b w:val="0"/>
                <w:bCs w:val="0"/>
                <w:kern w:val="0"/>
                <w:szCs w:val="21"/>
                <w:highlight w:val="none"/>
                <w:lang w:val="en-US" w:eastAsia="zh-CN"/>
              </w:rPr>
              <w:t>方案。</w:t>
            </w:r>
          </w:p>
          <w:p>
            <w:pPr>
              <w:jc w:val="left"/>
              <w:rPr>
                <w:rFonts w:asciiTheme="minorEastAsia" w:hAnsiTheme="minorEastAsia" w:cstheme="minorEastAsia"/>
                <w:b/>
                <w:bCs/>
                <w:kern w:val="0"/>
                <w:szCs w:val="21"/>
                <w:highlight w:val="red"/>
              </w:rPr>
            </w:pPr>
            <w:r>
              <w:rPr>
                <w:rFonts w:hint="eastAsia" w:asciiTheme="minorEastAsia" w:hAnsiTheme="minorEastAsia" w:cstheme="minorEastAsia"/>
                <w:b/>
                <w:bCs/>
                <w:kern w:val="0"/>
                <w:szCs w:val="21"/>
              </w:rPr>
              <w:t>1</w:t>
            </w:r>
            <w:r>
              <w:rPr>
                <w:rFonts w:hint="eastAsia" w:asciiTheme="minorEastAsia" w:hAnsiTheme="minorEastAsia" w:cstheme="minorEastAsia"/>
                <w:b/>
                <w:bCs/>
                <w:kern w:val="0"/>
                <w:szCs w:val="21"/>
                <w:lang w:val="en-US" w:eastAsia="zh-CN"/>
              </w:rPr>
              <w:t>8</w:t>
            </w:r>
            <w:r>
              <w:rPr>
                <w:rFonts w:hint="eastAsia" w:asciiTheme="minorEastAsia" w:hAnsiTheme="minorEastAsia" w:cstheme="minorEastAsia"/>
                <w:b/>
                <w:bCs/>
                <w:kern w:val="0"/>
                <w:szCs w:val="21"/>
              </w:rPr>
              <w:t>.多镜像多节点缓存，每个镜像支持最少8个快照节点，并通过树状结构展示。支持同一镜像下多快照同时都加入启动菜单，同时离线缓存，可以由终端用户在启动时直接选择不同快照节点切换启动，在断网情况下，多快照节点可以随意切换启</w:t>
            </w:r>
            <w:r>
              <w:rPr>
                <w:rFonts w:hint="eastAsia" w:asciiTheme="minorEastAsia" w:hAnsiTheme="minorEastAsia" w:cstheme="minorEastAsia"/>
                <w:b/>
                <w:bCs/>
                <w:kern w:val="0"/>
                <w:szCs w:val="21"/>
                <w:highlight w:val="none"/>
              </w:rPr>
              <w:t>动</w:t>
            </w:r>
            <w:r>
              <w:rPr>
                <w:rFonts w:hint="eastAsia" w:asciiTheme="minorEastAsia" w:hAnsiTheme="minorEastAsia" w:cstheme="minorEastAsia"/>
                <w:b/>
                <w:bCs/>
                <w:kern w:val="0"/>
                <w:szCs w:val="21"/>
                <w:highlight w:val="none"/>
                <w:lang w:eastAsia="zh-CN"/>
              </w:rPr>
              <w:t>（</w:t>
            </w:r>
            <w:r>
              <w:rPr>
                <w:rFonts w:hint="eastAsia" w:asciiTheme="minorEastAsia" w:hAnsiTheme="minorEastAsia" w:cstheme="minorEastAsia"/>
                <w:b/>
                <w:bCs/>
                <w:kern w:val="0"/>
                <w:szCs w:val="21"/>
                <w:highlight w:val="none"/>
                <w:lang w:val="en-US" w:eastAsia="zh-CN"/>
              </w:rPr>
              <w:t>提供现场演示</w:t>
            </w:r>
            <w:r>
              <w:rPr>
                <w:rFonts w:hint="eastAsia" w:asciiTheme="minorEastAsia" w:hAnsiTheme="minorEastAsia" w:cstheme="minorEastAsia"/>
                <w:b/>
                <w:bCs/>
                <w:kern w:val="0"/>
                <w:szCs w:val="21"/>
                <w:highlight w:val="none"/>
                <w:lang w:eastAsia="zh-CN"/>
              </w:rPr>
              <w:t>）</w:t>
            </w:r>
            <w:r>
              <w:rPr>
                <w:rFonts w:hint="eastAsia" w:asciiTheme="minorEastAsia" w:hAnsiTheme="minorEastAsia" w:cstheme="minorEastAsia"/>
                <w:b/>
                <w:bCs/>
                <w:kern w:val="0"/>
                <w:szCs w:val="21"/>
                <w:highlight w:val="none"/>
              </w:rPr>
              <w:t>。</w:t>
            </w:r>
          </w:p>
          <w:p>
            <w:pPr>
              <w:jc w:val="left"/>
              <w:rPr>
                <w:rFonts w:hint="eastAsia" w:asciiTheme="minorEastAsia" w:hAnsiTheme="minorEastAsia" w:cstheme="minorEastAsia"/>
                <w:b/>
                <w:bCs/>
                <w:kern w:val="0"/>
                <w:szCs w:val="21"/>
              </w:rPr>
            </w:pPr>
            <w:r>
              <w:rPr>
                <w:rFonts w:hint="eastAsia" w:asciiTheme="minorEastAsia" w:hAnsiTheme="minorEastAsia" w:cstheme="minorEastAsia"/>
                <w:b/>
                <w:bCs/>
                <w:kern w:val="0"/>
                <w:szCs w:val="21"/>
              </w:rPr>
              <w:t>1</w:t>
            </w:r>
            <w:r>
              <w:rPr>
                <w:rFonts w:hint="eastAsia" w:asciiTheme="minorEastAsia" w:hAnsiTheme="minorEastAsia" w:cstheme="minorEastAsia"/>
                <w:b/>
                <w:bCs/>
                <w:kern w:val="0"/>
                <w:szCs w:val="21"/>
                <w:lang w:val="en-US" w:eastAsia="zh-CN"/>
              </w:rPr>
              <w:t>9</w:t>
            </w:r>
            <w:r>
              <w:rPr>
                <w:rFonts w:hint="eastAsia" w:asciiTheme="minorEastAsia" w:hAnsiTheme="minorEastAsia" w:cstheme="minorEastAsia"/>
                <w:b/>
                <w:bCs/>
                <w:kern w:val="0"/>
                <w:szCs w:val="21"/>
              </w:rPr>
              <w:t>.回收菜单项缓存数据：支持对客户端启动菜单节点外缓存数据进行回收，支持监测客户端硬盘真实缓存数据占用空间比例变化；提高硬盘缓存空间（提供现场演示）。</w:t>
            </w:r>
          </w:p>
          <w:p>
            <w:pPr>
              <w:jc w:val="left"/>
              <w:rPr>
                <w:b/>
                <w:bCs/>
                <w:highlight w:val="none"/>
              </w:rPr>
            </w:pPr>
            <w:r>
              <w:rPr>
                <w:rFonts w:hint="eastAsia" w:asciiTheme="minorEastAsia" w:hAnsiTheme="minorEastAsia" w:cstheme="minorEastAsia"/>
                <w:b w:val="0"/>
                <w:bCs w:val="0"/>
                <w:kern w:val="0"/>
                <w:szCs w:val="21"/>
                <w:highlight w:val="none"/>
              </w:rPr>
              <w:t>2</w:t>
            </w:r>
            <w:r>
              <w:rPr>
                <w:rFonts w:hint="eastAsia" w:asciiTheme="minorEastAsia" w:hAnsiTheme="minorEastAsia" w:cstheme="minorEastAsia"/>
                <w:b w:val="0"/>
                <w:bCs w:val="0"/>
                <w:kern w:val="0"/>
                <w:szCs w:val="21"/>
                <w:highlight w:val="none"/>
                <w:lang w:val="en-US" w:eastAsia="zh-CN"/>
              </w:rPr>
              <w:t>0</w:t>
            </w:r>
            <w:r>
              <w:rPr>
                <w:rFonts w:hint="eastAsia" w:asciiTheme="minorEastAsia" w:hAnsiTheme="minorEastAsia" w:cstheme="minorEastAsia"/>
                <w:b/>
                <w:bCs/>
                <w:kern w:val="0"/>
                <w:szCs w:val="21"/>
                <w:highlight w:val="none"/>
              </w:rPr>
              <w:t>、</w:t>
            </w:r>
            <w:r>
              <w:rPr>
                <w:rFonts w:hint="eastAsia" w:eastAsia="宋体" w:asciiTheme="minorEastAsia" w:hAnsiTheme="minorEastAsia" w:cstheme="minorEastAsia"/>
                <w:b/>
                <w:bCs/>
                <w:kern w:val="0"/>
                <w:szCs w:val="21"/>
                <w:highlight w:val="none"/>
                <w:lang w:val="en-US" w:eastAsia="zh-CN"/>
              </w:rPr>
              <w:t>★</w:t>
            </w:r>
            <w:r>
              <w:rPr>
                <w:rFonts w:hint="eastAsia" w:eastAsia="宋体" w:asciiTheme="minorEastAsia" w:hAnsiTheme="minorEastAsia" w:cstheme="minorEastAsia"/>
                <w:b w:val="0"/>
                <w:bCs w:val="0"/>
                <w:kern w:val="0"/>
                <w:szCs w:val="21"/>
                <w:highlight w:val="none"/>
              </w:rPr>
              <w:t>支持桌面地图，云服务器在地图中有准确的定位，管理员可查看各个服务器所在的位置，以及管理云终端的情况，提供给用户三种远程到服务器的功能，Web远程管理、VNC远程控制和远程桌面连接</w:t>
            </w:r>
            <w:r>
              <w:rPr>
                <w:rFonts w:hint="eastAsia" w:eastAsia="宋体" w:asciiTheme="minorEastAsia" w:hAnsiTheme="minorEastAsia" w:cstheme="minorEastAsia"/>
                <w:b/>
                <w:bCs/>
                <w:kern w:val="0"/>
                <w:szCs w:val="21"/>
                <w:highlight w:val="none"/>
              </w:rPr>
              <w:t>(提供佐证材料）。</w:t>
            </w:r>
          </w:p>
          <w:p>
            <w:pPr>
              <w:jc w:val="left"/>
              <w:rPr>
                <w:rFonts w:hint="eastAsia" w:eastAsia="宋体" w:asciiTheme="minorEastAsia" w:hAnsiTheme="minorEastAsia" w:cstheme="minorEastAsia"/>
                <w:b/>
                <w:bCs/>
                <w:kern w:val="0"/>
                <w:szCs w:val="21"/>
                <w:lang w:val="en-US" w:eastAsia="zh-CN"/>
              </w:rPr>
            </w:pPr>
            <w:r>
              <w:rPr>
                <w:rFonts w:hint="eastAsia" w:asciiTheme="minorEastAsia" w:hAnsiTheme="minorEastAsia" w:cstheme="minorEastAsia"/>
                <w:b w:val="0"/>
                <w:bCs w:val="0"/>
                <w:kern w:val="0"/>
                <w:szCs w:val="21"/>
                <w:lang w:val="en-US" w:eastAsia="zh-CN"/>
              </w:rPr>
              <w:t>21</w:t>
            </w:r>
            <w:r>
              <w:rPr>
                <w:rFonts w:hint="eastAsia" w:asciiTheme="minorEastAsia" w:hAnsiTheme="minorEastAsia" w:cstheme="minorEastAsia"/>
                <w:b w:val="0"/>
                <w:bCs w:val="0"/>
                <w:kern w:val="0"/>
                <w:szCs w:val="21"/>
              </w:rPr>
              <w:t>.客户端设置：支持客户端离线启动时开机画面提示用户剩余启动天数或次数；支持系统部署完毕后可锁定云终端；为保障电子考试支持云服务</w:t>
            </w:r>
            <w:r>
              <w:rPr>
                <w:rFonts w:hint="eastAsia" w:eastAsia="宋体" w:asciiTheme="minorEastAsia" w:hAnsiTheme="minorEastAsia" w:cstheme="minorEastAsia"/>
                <w:b w:val="0"/>
                <w:bCs w:val="0"/>
                <w:kern w:val="0"/>
                <w:szCs w:val="21"/>
                <w:lang w:val="en-US" w:eastAsia="zh-CN"/>
              </w:rPr>
              <w:t>器端设置客户机禁止共享，禁止连接互联网，禁止设置IP，网关，DNS等。</w:t>
            </w:r>
            <w:r>
              <w:rPr>
                <w:rFonts w:hint="eastAsia" w:eastAsia="宋体" w:asciiTheme="minorEastAsia" w:hAnsiTheme="minorEastAsia" w:cstheme="minorEastAsia"/>
                <w:b/>
                <w:bCs/>
                <w:kern w:val="0"/>
                <w:szCs w:val="21"/>
                <w:lang w:val="en-US" w:eastAsia="zh-CN"/>
              </w:rPr>
              <w:t>(提供佐证材料）</w:t>
            </w:r>
          </w:p>
          <w:p>
            <w:pPr>
              <w:jc w:val="left"/>
              <w:rPr>
                <w:rFonts w:hint="eastAsia" w:eastAsia="宋体" w:asciiTheme="minorEastAsia" w:hAnsiTheme="minorEastAsia" w:cstheme="minorEastAsia"/>
                <w:b/>
                <w:bCs/>
                <w:kern w:val="0"/>
                <w:szCs w:val="21"/>
                <w:lang w:val="en-US" w:eastAsia="zh-CN"/>
              </w:rPr>
            </w:pPr>
            <w:r>
              <w:rPr>
                <w:rFonts w:hint="eastAsia" w:eastAsia="宋体" w:asciiTheme="minorEastAsia" w:hAnsiTheme="minorEastAsia" w:cstheme="minorEastAsia"/>
                <w:b/>
                <w:bCs/>
                <w:kern w:val="0"/>
                <w:szCs w:val="21"/>
                <w:lang w:val="en-US" w:eastAsia="zh-CN"/>
              </w:rPr>
              <w:t>22.提供故障报修功能:用户可以自主申报故障报修，选择故障类型，故障处理等级并可备注。管理员可以直接查看故障申报电脑，故障事件和备注进行处理。（提供现场演示）</w:t>
            </w:r>
          </w:p>
          <w:p>
            <w:pPr>
              <w:widowControl/>
              <w:spacing w:line="360" w:lineRule="auto"/>
              <w:jc w:val="both"/>
              <w:textAlignment w:val="center"/>
              <w:rPr>
                <w:rFonts w:hint="eastAsia" w:ascii="宋体" w:hAnsi="宋体" w:eastAsia="宋体" w:cs="宋体"/>
                <w:b/>
                <w:bCs/>
                <w:sz w:val="20"/>
                <w:highlight w:val="none"/>
                <w:lang w:val="en-US" w:eastAsia="zh-CN"/>
              </w:rPr>
            </w:pPr>
            <w:r>
              <w:rPr>
                <w:rFonts w:hint="eastAsia" w:ascii="宋体" w:hAnsi="宋体" w:cs="宋体"/>
                <w:b/>
                <w:bCs/>
                <w:sz w:val="20"/>
                <w:highlight w:val="none"/>
                <w:lang w:val="en-US" w:eastAsia="zh-CN"/>
              </w:rPr>
              <w:t>23</w:t>
            </w:r>
            <w:r>
              <w:rPr>
                <w:rFonts w:hint="eastAsia" w:ascii="宋体" w:hAnsi="宋体" w:eastAsia="宋体" w:cs="宋体"/>
                <w:b/>
                <w:bCs/>
                <w:sz w:val="20"/>
                <w:highlight w:val="none"/>
                <w:lang w:val="en-US" w:eastAsia="zh-CN"/>
              </w:rPr>
              <w:t>、方案管理要求：支持设置课程表和教学桌面系统、考试桌面系统关联等功能，系统将根据排程设定的时间自动切换教学及考试教学方案桌面（提供现场演示）</w:t>
            </w:r>
          </w:p>
          <w:p>
            <w:pPr>
              <w:widowControl/>
              <w:spacing w:line="360" w:lineRule="auto"/>
              <w:jc w:val="both"/>
              <w:textAlignment w:val="center"/>
              <w:rPr>
                <w:rFonts w:hint="eastAsia" w:ascii="宋体" w:hAnsi="宋体" w:eastAsia="宋体" w:cs="宋体"/>
                <w:b/>
                <w:bCs/>
                <w:sz w:val="20"/>
                <w:highlight w:val="none"/>
                <w:lang w:val="en-US" w:eastAsia="zh-CN"/>
              </w:rPr>
            </w:pPr>
            <w:r>
              <w:rPr>
                <w:rFonts w:hint="eastAsia" w:ascii="宋体" w:hAnsi="宋体" w:eastAsia="宋体" w:cs="宋体"/>
                <w:b/>
                <w:bCs/>
                <w:sz w:val="20"/>
                <w:highlight w:val="none"/>
                <w:lang w:val="en-US" w:eastAsia="zh-CN"/>
              </w:rPr>
              <w:t>24、教学镜像隐藏功能：在云终端控制器后台对教学镜像设置后，可实现部分教学镜像任课老师和学生可见，部分镜像（如考试镜像）任课老师和学生不可见，当需要使用的时候，只需一键设置任课老师和学生均可看到镜像，保证重要镜像的安全性（提供现场演示）。</w:t>
            </w:r>
          </w:p>
          <w:p>
            <w:pPr>
              <w:widowControl/>
              <w:spacing w:line="360" w:lineRule="auto"/>
              <w:jc w:val="both"/>
              <w:textAlignment w:val="center"/>
              <w:rPr>
                <w:rFonts w:hint="eastAsia" w:ascii="宋体" w:hAnsi="宋体" w:eastAsia="宋体" w:cs="宋体"/>
                <w:b/>
                <w:bCs/>
                <w:sz w:val="20"/>
                <w:highlight w:val="none"/>
                <w:lang w:val="en-US" w:eastAsia="zh-CN"/>
              </w:rPr>
            </w:pPr>
            <w:r>
              <w:rPr>
                <w:rFonts w:hint="eastAsia" w:ascii="宋体" w:hAnsi="宋体" w:eastAsia="宋体" w:cs="宋体"/>
                <w:b/>
                <w:bCs/>
                <w:sz w:val="20"/>
                <w:highlight w:val="none"/>
                <w:lang w:val="en-US" w:eastAsia="zh-CN"/>
              </w:rPr>
              <w:t>25、远程协助模块:远程协助便于远程协助教师处理软件方面问题操作，远程开关机、快速开关机、重启，格式化硬盘分区，重新缓存，清除缓存，学生机自动时间校对、文件分发等功能；（提供现场演示）</w:t>
            </w:r>
          </w:p>
          <w:p>
            <w:pPr>
              <w:jc w:val="left"/>
              <w:rPr>
                <w:rFonts w:hint="default" w:eastAsia="宋体" w:asciiTheme="minorEastAsia" w:hAnsiTheme="minorEastAsia" w:cstheme="minorEastAsia"/>
                <w:b w:val="0"/>
                <w:bCs w:val="0"/>
                <w:kern w:val="0"/>
                <w:szCs w:val="21"/>
                <w:lang w:val="en-US" w:eastAsia="zh-CN"/>
              </w:rPr>
            </w:pPr>
            <w:r>
              <w:rPr>
                <w:rFonts w:hint="eastAsia" w:eastAsia="宋体" w:asciiTheme="minorEastAsia" w:hAnsiTheme="minorEastAsia" w:cstheme="minorEastAsia"/>
                <w:b w:val="0"/>
                <w:bCs w:val="0"/>
                <w:kern w:val="0"/>
                <w:szCs w:val="21"/>
                <w:lang w:val="en-US" w:eastAsia="zh-CN"/>
              </w:rPr>
              <w:t>2</w:t>
            </w:r>
            <w:r>
              <w:rPr>
                <w:rFonts w:hint="eastAsia" w:asciiTheme="minorEastAsia" w:hAnsiTheme="minorEastAsia" w:cstheme="minorEastAsia"/>
                <w:b w:val="0"/>
                <w:bCs w:val="0"/>
                <w:kern w:val="0"/>
                <w:szCs w:val="21"/>
                <w:lang w:val="en-US" w:eastAsia="zh-CN"/>
              </w:rPr>
              <w:t>6、</w:t>
            </w:r>
            <w:r>
              <w:rPr>
                <w:rFonts w:hint="eastAsia" w:eastAsia="宋体" w:asciiTheme="minorEastAsia" w:hAnsiTheme="minorEastAsia" w:cstheme="minorEastAsia"/>
                <w:b w:val="0"/>
                <w:bCs w:val="0"/>
                <w:kern w:val="0"/>
                <w:szCs w:val="21"/>
                <w:lang w:val="en-US" w:eastAsia="zh-CN"/>
              </w:rPr>
              <w:t>数量不少于119点授权</w:t>
            </w:r>
          </w:p>
          <w:p>
            <w:pPr>
              <w:jc w:val="left"/>
              <w:rPr>
                <w:rFonts w:asciiTheme="minorEastAsia" w:hAnsiTheme="minorEastAsia" w:cstheme="minorEastAsia"/>
                <w:kern w:val="0"/>
                <w:szCs w:val="21"/>
              </w:rPr>
            </w:pPr>
            <w:r>
              <w:rPr>
                <w:rFonts w:hint="eastAsia" w:asciiTheme="minorEastAsia" w:hAnsiTheme="minorEastAsia" w:cstheme="minorEastAsia"/>
                <w:b w:val="0"/>
                <w:bCs w:val="0"/>
                <w:kern w:val="0"/>
                <w:szCs w:val="21"/>
              </w:rPr>
              <w:t>2</w:t>
            </w:r>
            <w:r>
              <w:rPr>
                <w:rFonts w:hint="eastAsia" w:asciiTheme="minorEastAsia" w:hAnsiTheme="minorEastAsia" w:cstheme="minorEastAsia"/>
                <w:b w:val="0"/>
                <w:bCs w:val="0"/>
                <w:kern w:val="0"/>
                <w:szCs w:val="21"/>
                <w:lang w:val="en-US" w:eastAsia="zh-CN"/>
              </w:rPr>
              <w:t>7、</w:t>
            </w:r>
            <w:r>
              <w:rPr>
                <w:rFonts w:hint="eastAsia" w:asciiTheme="minorEastAsia" w:hAnsiTheme="minorEastAsia" w:cstheme="minorEastAsia"/>
                <w:b w:val="0"/>
                <w:bCs w:val="0"/>
                <w:kern w:val="0"/>
                <w:szCs w:val="21"/>
              </w:rPr>
              <w:t>提供原厂商针对本项目售后服务承诺函。</w:t>
            </w:r>
          </w:p>
        </w:tc>
        <w:tc>
          <w:tcPr>
            <w:tcW w:w="43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点</w:t>
            </w:r>
          </w:p>
        </w:tc>
        <w:tc>
          <w:tcPr>
            <w:tcW w:w="56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119</w:t>
            </w:r>
          </w:p>
        </w:tc>
        <w:tc>
          <w:tcPr>
            <w:tcW w:w="588" w:type="dxa"/>
            <w:vAlign w:val="center"/>
          </w:tcPr>
          <w:p>
            <w:pPr>
              <w:jc w:val="left"/>
              <w:rPr>
                <w:rFonts w:asciiTheme="minorEastAsia" w:hAnsi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7</w:t>
            </w:r>
          </w:p>
        </w:tc>
        <w:tc>
          <w:tcPr>
            <w:tcW w:w="713" w:type="dxa"/>
            <w:vAlign w:val="center"/>
          </w:tcPr>
          <w:p>
            <w:pPr>
              <w:jc w:val="left"/>
              <w:rPr>
                <w:rFonts w:hint="eastAsia" w:eastAsia="宋体" w:asciiTheme="minorEastAsia" w:hAnsiTheme="minorEastAsia" w:cstheme="minorEastAsia"/>
                <w:kern w:val="0"/>
                <w:szCs w:val="21"/>
                <w:lang w:eastAsia="zh-CN"/>
              </w:rPr>
            </w:pPr>
            <w:r>
              <w:rPr>
                <w:rFonts w:hint="eastAsia" w:asciiTheme="minorEastAsia" w:hAnsiTheme="minorEastAsia" w:cstheme="minorEastAsia"/>
                <w:b/>
                <w:bCs/>
                <w:kern w:val="0"/>
                <w:szCs w:val="21"/>
              </w:rPr>
              <w:t>学生云终端</w:t>
            </w:r>
            <w:r>
              <w:rPr>
                <w:rFonts w:hint="eastAsia" w:asciiTheme="minorEastAsia" w:hAnsiTheme="minorEastAsia" w:cstheme="minorEastAsia"/>
                <w:b/>
                <w:bCs/>
                <w:kern w:val="0"/>
                <w:szCs w:val="21"/>
                <w:lang w:eastAsia="zh-CN"/>
              </w:rPr>
              <w:t>（</w:t>
            </w:r>
            <w:r>
              <w:rPr>
                <w:rFonts w:hint="eastAsia" w:asciiTheme="minorEastAsia" w:hAnsiTheme="minorEastAsia" w:cstheme="minorEastAsia"/>
                <w:b/>
                <w:bCs/>
                <w:kern w:val="0"/>
                <w:szCs w:val="21"/>
                <w:lang w:val="en-US" w:eastAsia="zh-CN"/>
              </w:rPr>
              <w:t>核心产品</w:t>
            </w:r>
            <w:r>
              <w:rPr>
                <w:rFonts w:hint="eastAsia" w:asciiTheme="minorEastAsia" w:hAnsiTheme="minorEastAsia" w:cstheme="minorEastAsia"/>
                <w:b/>
                <w:bCs/>
                <w:kern w:val="0"/>
                <w:szCs w:val="21"/>
                <w:lang w:eastAsia="zh-CN"/>
              </w:rPr>
              <w:t>）</w:t>
            </w:r>
          </w:p>
        </w:tc>
        <w:tc>
          <w:tcPr>
            <w:tcW w:w="6742" w:type="dxa"/>
            <w:vAlign w:val="center"/>
          </w:tcPr>
          <w:p>
            <w:pPr>
              <w:jc w:val="left"/>
            </w:pPr>
            <w:r>
              <w:rPr>
                <w:rFonts w:hint="eastAsia"/>
              </w:rPr>
              <w:t>1、</w:t>
            </w:r>
            <w:r>
              <w:rPr>
                <w:rFonts w:hint="eastAsia"/>
                <w:lang w:val="en-US" w:eastAsia="zh-CN"/>
              </w:rPr>
              <w:t>★</w:t>
            </w:r>
            <w:r>
              <w:rPr>
                <w:rFonts w:hint="eastAsia"/>
              </w:rPr>
              <w:t>Intel Core ≥I5- 10400 处理器；主频 2.9-4.3GHZ 6核12线程 ；云终端要求标压设备；主板采用H410芯片以上</w:t>
            </w:r>
          </w:p>
          <w:p>
            <w:pPr>
              <w:jc w:val="left"/>
            </w:pPr>
            <w:r>
              <w:rPr>
                <w:rFonts w:hint="eastAsia"/>
              </w:rPr>
              <w:t xml:space="preserve">2.内存≥8G(≥2个插槽，内存插槽冗余1个)DDR4 2400；支持最大容量32G  </w:t>
            </w:r>
          </w:p>
          <w:p>
            <w:pPr>
              <w:jc w:val="left"/>
            </w:pPr>
            <w:r>
              <w:rPr>
                <w:rFonts w:hint="eastAsia"/>
              </w:rPr>
              <w:t xml:space="preserve">3.硬盘≥存储1*M.2 2280 512 G SSD；   </w:t>
            </w:r>
          </w:p>
          <w:p>
            <w:pPr>
              <w:jc w:val="left"/>
            </w:pPr>
            <w:r>
              <w:rPr>
                <w:rFonts w:hint="eastAsia"/>
              </w:rPr>
              <w:t>4.背挂架；USB接口不少于8个（包含前置2个USB 3.0接口），1个千兆网口，显示接口不少于1* HDMI.4 (MAX: 3840 x 2160@30HZ)，1*DP；，1对音频输入输出接口；</w:t>
            </w:r>
          </w:p>
          <w:p>
            <w:pPr>
              <w:jc w:val="left"/>
            </w:pPr>
            <w:r>
              <w:rPr>
                <w:rFonts w:hint="eastAsia"/>
              </w:rPr>
              <w:t>5.尺寸≤200mmⅩ200mmⅩ40mm；</w:t>
            </w:r>
          </w:p>
          <w:p>
            <w:pPr>
              <w:jc w:val="left"/>
              <w:rPr>
                <w:rFonts w:hint="eastAsia"/>
              </w:rPr>
            </w:pPr>
            <w:r>
              <w:rPr>
                <w:rFonts w:hint="eastAsia"/>
              </w:rPr>
              <w:t>6.提供云终端相应安装支架。</w:t>
            </w:r>
          </w:p>
          <w:p>
            <w:pPr>
              <w:jc w:val="left"/>
              <w:rPr>
                <w:rFonts w:hint="eastAsia"/>
                <w:lang w:eastAsia="zh-CN"/>
              </w:rPr>
            </w:pPr>
            <w:r>
              <w:rPr>
                <w:rFonts w:hint="eastAsia"/>
              </w:rPr>
              <w:t>7.提供3C认证及节能认证</w:t>
            </w:r>
            <w:r>
              <w:rPr>
                <w:rFonts w:hint="eastAsia"/>
                <w:lang w:eastAsia="zh-CN"/>
              </w:rPr>
              <w:t>。</w:t>
            </w:r>
          </w:p>
          <w:p>
            <w:pPr>
              <w:jc w:val="left"/>
            </w:pPr>
            <w:r>
              <w:rPr>
                <w:rFonts w:hint="eastAsia"/>
                <w:lang w:val="en-US" w:eastAsia="zh-CN"/>
              </w:rPr>
              <w:t>8.★现有学生终端（PNS终端）的教学软件镜像桌面能够在新购终端上及时推送运行，实现学生终端教学软件桌面的统一性、兼容性、及时调用性。（提供现有教学软件镜像桌面兼容新购终端的证明材料）</w:t>
            </w:r>
          </w:p>
          <w:p>
            <w:pPr>
              <w:jc w:val="left"/>
              <w:rPr>
                <w:rFonts w:hint="eastAsia" w:eastAsia="宋体"/>
              </w:rPr>
            </w:pPr>
            <w:r>
              <w:rPr>
                <w:rFonts w:hint="eastAsia"/>
              </w:rPr>
              <w:t>9</w:t>
            </w:r>
            <w:r>
              <w:rPr>
                <w:rFonts w:hint="eastAsia" w:eastAsia="宋体"/>
              </w:rPr>
              <w:t>.显示器≥21.5寸；ISP蓝光;</w:t>
            </w:r>
          </w:p>
          <w:p>
            <w:pPr>
              <w:jc w:val="left"/>
              <w:rPr>
                <w:rFonts w:hint="eastAsia" w:eastAsia="宋体"/>
              </w:rPr>
            </w:pPr>
            <w:r>
              <w:rPr>
                <w:rFonts w:hint="eastAsia" w:eastAsia="宋体"/>
              </w:rPr>
              <w:t>10.光电键鼠套装</w:t>
            </w:r>
          </w:p>
          <w:p>
            <w:pPr>
              <w:jc w:val="left"/>
              <w:rPr>
                <w:rFonts w:hint="default" w:eastAsia="宋体"/>
                <w:lang w:val="en-US" w:eastAsia="zh-CN"/>
              </w:rPr>
            </w:pPr>
            <w:r>
              <w:rPr>
                <w:rFonts w:hint="eastAsia" w:eastAsia="宋体"/>
                <w:lang w:val="en-US" w:eastAsia="zh-CN"/>
              </w:rPr>
              <w:t>11.</w:t>
            </w:r>
            <w:r>
              <w:rPr>
                <w:rFonts w:hint="eastAsia" w:eastAsia="宋体"/>
              </w:rPr>
              <w:t>提供原厂商针对本项目售后服务承诺函。</w:t>
            </w:r>
          </w:p>
        </w:tc>
        <w:tc>
          <w:tcPr>
            <w:tcW w:w="43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台</w:t>
            </w:r>
          </w:p>
        </w:tc>
        <w:tc>
          <w:tcPr>
            <w:tcW w:w="56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118</w:t>
            </w:r>
          </w:p>
        </w:tc>
        <w:tc>
          <w:tcPr>
            <w:tcW w:w="588" w:type="dxa"/>
            <w:vAlign w:val="center"/>
          </w:tcPr>
          <w:p>
            <w:pPr>
              <w:jc w:val="left"/>
              <w:rPr>
                <w:rFonts w:asciiTheme="minorEastAsia" w:hAnsi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8</w:t>
            </w:r>
          </w:p>
        </w:tc>
        <w:tc>
          <w:tcPr>
            <w:tcW w:w="71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多媒体教学管理系统</w:t>
            </w:r>
          </w:p>
        </w:tc>
        <w:tc>
          <w:tcPr>
            <w:tcW w:w="674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1.支持Win7及以上系统：全面支持Windows 7及以上操作系统。</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2.无线网络教学：在无线网络环境下，利用教师端能流畅的进行教学操作。</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3.主界面具有缩放功能：支持对教师主界面进行灵活的放大和缩小操作。</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4.</w:t>
            </w:r>
            <w:r>
              <w:rPr>
                <w:rFonts w:hint="eastAsia" w:eastAsia="宋体" w:asciiTheme="minorEastAsia" w:hAnsiTheme="minorEastAsia" w:cstheme="minorEastAsia"/>
                <w:b/>
                <w:bCs/>
                <w:kern w:val="0"/>
                <w:szCs w:val="21"/>
                <w:lang w:val="en-US" w:eastAsia="zh-CN"/>
              </w:rPr>
              <w:t>★</w:t>
            </w:r>
            <w:r>
              <w:rPr>
                <w:rFonts w:hint="eastAsia" w:asciiTheme="minorEastAsia" w:hAnsiTheme="minorEastAsia" w:cstheme="minorEastAsia"/>
                <w:kern w:val="0"/>
                <w:szCs w:val="21"/>
              </w:rPr>
              <w:t>屏幕广播：完美支持DirectDraw、Direct3D、等课件，广播无延时。</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5.画中画功能：老师和学生可以在上课的同时看到彼此，方便老师随时了解学生的信息</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6.全媒体网络影院：支持市面上几乎所有常见媒体音视频格式，不用安装任何插件。</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7.自动锁屏（断线保护）：通过网卡是否激活锁定屏幕，避免学生拔掉网线违反纪律。</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8.图标监看模式：班机模型缩图标显示学生桌面，可以更方便的看到学生端一举一动。</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9.黑屏和解除黑屏：对某个或多个学生进行警告。将其计算机屏幕黑屏，声音静音。</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10.电子点名：教师上课前，进行点名操作，对学生进行签到。</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11.屏幕录制与电子教鞭：屏幕一键录制，结合电子教鞭实现电子备课，老师上课的好帮手。</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12.考试：全面结束纸质考试时代。使用编辑好的试卷分发到学生端进行考试，客观题能自动评分。</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13.随堂小考：老师可随时在课堂进行小测验，考核学生的课堂掌握情况。</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14.程序限制：教师可以控制学生对各种应用程序的使用和限制，如学生乱装软件、玩游戏等。</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15.Web限制：教师可以控制学生使用IE浏览器，对访问网站做限制（非黑名单模式，采用从网络根部断绝上网）</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16.</w:t>
            </w:r>
            <w:r>
              <w:rPr>
                <w:rFonts w:hint="eastAsia" w:eastAsia="宋体" w:asciiTheme="minorEastAsia" w:hAnsiTheme="minorEastAsia" w:cstheme="minorEastAsia"/>
                <w:b/>
                <w:bCs/>
                <w:kern w:val="0"/>
                <w:szCs w:val="21"/>
                <w:lang w:val="en-US" w:eastAsia="zh-CN"/>
              </w:rPr>
              <w:t>★</w:t>
            </w:r>
            <w:r>
              <w:rPr>
                <w:rFonts w:hint="eastAsia" w:asciiTheme="minorEastAsia" w:hAnsiTheme="minorEastAsia" w:cstheme="minorEastAsia"/>
                <w:kern w:val="0"/>
                <w:szCs w:val="21"/>
              </w:rPr>
              <w:t>点播教学：学生可以访问老师机设定好目录下存放的任何视频文件 学生端屏幕录制回放：学生端可以执行屏幕录制和回放，方便学生反复学习</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17.USB限制：通过对U盘访问权限设定，有效控制学生使用U盘，防止资料的流失和病毒的引入。</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18.文件收发：方便快捷高效的向学生端发送文件，收集学生端的文件。</w:t>
            </w:r>
          </w:p>
        </w:tc>
        <w:tc>
          <w:tcPr>
            <w:tcW w:w="43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套</w:t>
            </w:r>
          </w:p>
        </w:tc>
        <w:tc>
          <w:tcPr>
            <w:tcW w:w="56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w:t>
            </w:r>
          </w:p>
        </w:tc>
        <w:tc>
          <w:tcPr>
            <w:tcW w:w="588" w:type="dxa"/>
            <w:vAlign w:val="center"/>
          </w:tcPr>
          <w:p>
            <w:pPr>
              <w:jc w:val="left"/>
              <w:rPr>
                <w:rFonts w:asciiTheme="minorEastAsia" w:hAnsi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9</w:t>
            </w:r>
          </w:p>
        </w:tc>
        <w:tc>
          <w:tcPr>
            <w:tcW w:w="71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打印机</w:t>
            </w:r>
          </w:p>
        </w:tc>
        <w:tc>
          <w:tcPr>
            <w:tcW w:w="674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黑白激光打印机，含复印、打印、扫描功能；支持无线打印</w:t>
            </w:r>
          </w:p>
        </w:tc>
        <w:tc>
          <w:tcPr>
            <w:tcW w:w="43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台</w:t>
            </w:r>
          </w:p>
        </w:tc>
        <w:tc>
          <w:tcPr>
            <w:tcW w:w="56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3</w:t>
            </w:r>
          </w:p>
        </w:tc>
        <w:tc>
          <w:tcPr>
            <w:tcW w:w="588" w:type="dxa"/>
            <w:vAlign w:val="center"/>
          </w:tcPr>
          <w:p>
            <w:pPr>
              <w:jc w:val="left"/>
              <w:rPr>
                <w:rFonts w:asciiTheme="minorEastAsia" w:hAnsi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10</w:t>
            </w:r>
          </w:p>
        </w:tc>
        <w:tc>
          <w:tcPr>
            <w:tcW w:w="71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资料柜</w:t>
            </w:r>
          </w:p>
        </w:tc>
        <w:tc>
          <w:tcPr>
            <w:tcW w:w="674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存放教学相关资料的柜子</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金属材质厚度≥0.6mm</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材质：钢</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柜门：平开门</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尺寸≥180*85*39cm；具体可根据实际调整</w:t>
            </w:r>
          </w:p>
        </w:tc>
        <w:tc>
          <w:tcPr>
            <w:tcW w:w="43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台</w:t>
            </w:r>
          </w:p>
        </w:tc>
        <w:tc>
          <w:tcPr>
            <w:tcW w:w="56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2</w:t>
            </w:r>
          </w:p>
        </w:tc>
        <w:tc>
          <w:tcPr>
            <w:tcW w:w="588" w:type="dxa"/>
            <w:vAlign w:val="center"/>
          </w:tcPr>
          <w:p>
            <w:pPr>
              <w:jc w:val="left"/>
              <w:rPr>
                <w:rFonts w:asciiTheme="minorEastAsia" w:hAnsi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611" w:type="dxa"/>
            <w:vMerge w:val="restart"/>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11</w:t>
            </w:r>
          </w:p>
        </w:tc>
        <w:tc>
          <w:tcPr>
            <w:tcW w:w="713" w:type="dxa"/>
            <w:vMerge w:val="restart"/>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音响系统</w:t>
            </w:r>
          </w:p>
        </w:tc>
        <w:tc>
          <w:tcPr>
            <w:tcW w:w="674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音箱:</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1、</w:t>
            </w:r>
            <w:r>
              <w:rPr>
                <w:rFonts w:hint="eastAsia" w:eastAsia="宋体" w:asciiTheme="minorEastAsia" w:hAnsiTheme="minorEastAsia" w:cstheme="minorEastAsia"/>
                <w:b/>
                <w:bCs/>
                <w:kern w:val="0"/>
                <w:szCs w:val="21"/>
                <w:lang w:val="en-US" w:eastAsia="zh-CN"/>
              </w:rPr>
              <w:t>★</w:t>
            </w:r>
            <w:r>
              <w:rPr>
                <w:rFonts w:hint="eastAsia" w:asciiTheme="minorEastAsia" w:hAnsiTheme="minorEastAsia" w:cstheme="minorEastAsia"/>
                <w:kern w:val="0"/>
                <w:szCs w:val="21"/>
              </w:rPr>
              <w:t>采用 8"×1(BASS) 3"×2(TREBLE)两分频音箱，音质适合教学应用；</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2、音箱采用木质箱体，钢质护罩，便于清洁，适合教室环境；</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3、频率响应: 45Hz—18KHz；</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4、灵敏度: 88dB 1W1M；</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5、阻抗: 8Ω；</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6、功率: 60W；</w:t>
            </w:r>
          </w:p>
        </w:tc>
        <w:tc>
          <w:tcPr>
            <w:tcW w:w="43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只</w:t>
            </w:r>
          </w:p>
        </w:tc>
        <w:tc>
          <w:tcPr>
            <w:tcW w:w="56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4</w:t>
            </w:r>
          </w:p>
        </w:tc>
        <w:tc>
          <w:tcPr>
            <w:tcW w:w="588" w:type="dxa"/>
            <w:vAlign w:val="center"/>
          </w:tcPr>
          <w:p>
            <w:pPr>
              <w:jc w:val="left"/>
              <w:rPr>
                <w:rFonts w:asciiTheme="minorEastAsia" w:hAnsi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dxa"/>
            <w:vMerge w:val="continue"/>
            <w:vAlign w:val="center"/>
          </w:tcPr>
          <w:p>
            <w:pPr>
              <w:jc w:val="left"/>
              <w:rPr>
                <w:rFonts w:asciiTheme="minorEastAsia" w:hAnsiTheme="minorEastAsia" w:cstheme="minorEastAsia"/>
                <w:kern w:val="0"/>
                <w:szCs w:val="21"/>
              </w:rPr>
            </w:pPr>
          </w:p>
        </w:tc>
        <w:tc>
          <w:tcPr>
            <w:tcW w:w="713" w:type="dxa"/>
            <w:vMerge w:val="continue"/>
            <w:vAlign w:val="center"/>
          </w:tcPr>
          <w:p>
            <w:pPr>
              <w:jc w:val="left"/>
              <w:rPr>
                <w:rFonts w:asciiTheme="minorEastAsia" w:hAnsiTheme="minorEastAsia" w:cstheme="minorEastAsia"/>
                <w:kern w:val="0"/>
                <w:szCs w:val="21"/>
              </w:rPr>
            </w:pPr>
          </w:p>
        </w:tc>
        <w:tc>
          <w:tcPr>
            <w:tcW w:w="6742" w:type="dxa"/>
            <w:vAlign w:val="center"/>
          </w:tcPr>
          <w:p>
            <w:pPr>
              <w:jc w:val="left"/>
            </w:pPr>
            <w:r>
              <w:rPr>
                <w:rFonts w:hint="eastAsia"/>
              </w:rPr>
              <w:t>蓝牙功放:</w:t>
            </w:r>
          </w:p>
          <w:p>
            <w:pPr>
              <w:numPr>
                <w:ilvl w:val="0"/>
                <w:numId w:val="26"/>
              </w:numPr>
              <w:jc w:val="left"/>
              <w:rPr>
                <w:rFonts w:hint="eastAsia"/>
              </w:rPr>
            </w:pPr>
            <w:r>
              <w:rPr>
                <w:rFonts w:hint="eastAsia" w:eastAsia="宋体" w:asciiTheme="minorEastAsia" w:hAnsiTheme="minorEastAsia" w:cstheme="minorEastAsia"/>
                <w:b/>
                <w:bCs/>
                <w:kern w:val="0"/>
                <w:szCs w:val="21"/>
                <w:lang w:val="en-US" w:eastAsia="zh-CN"/>
              </w:rPr>
              <w:t>★</w:t>
            </w:r>
            <w:r>
              <w:rPr>
                <w:rFonts w:hint="eastAsia"/>
              </w:rPr>
              <w:t>针对教学扩声需求设计，人声处理更加清晰，适合教学环境；具有不低于3路麦克风输入，音量独立控制，方便接入不同类型的麦克风。支持幻象电源供电；</w:t>
            </w:r>
          </w:p>
          <w:p>
            <w:pPr>
              <w:numPr>
                <w:ilvl w:val="0"/>
                <w:numId w:val="0"/>
              </w:numPr>
              <w:jc w:val="left"/>
              <w:rPr>
                <w:rFonts w:hint="eastAsia"/>
              </w:rPr>
            </w:pPr>
            <w:r>
              <w:rPr>
                <w:rFonts w:hint="eastAsia"/>
              </w:rPr>
              <w:t>2、具有不低于4路音频输入，同步输出，无需切换；</w:t>
            </w:r>
          </w:p>
          <w:p>
            <w:pPr>
              <w:numPr>
                <w:ilvl w:val="0"/>
                <w:numId w:val="0"/>
              </w:numPr>
              <w:jc w:val="left"/>
              <w:rPr>
                <w:rFonts w:hint="eastAsia"/>
              </w:rPr>
            </w:pPr>
            <w:r>
              <w:rPr>
                <w:rFonts w:hint="eastAsia"/>
              </w:rPr>
              <w:t>3、具有不低于2路音频输出，支持录播等设备接入；具有完善的自身保护功能，如过载、短路等；</w:t>
            </w:r>
          </w:p>
          <w:p>
            <w:pPr>
              <w:numPr>
                <w:ilvl w:val="0"/>
                <w:numId w:val="0"/>
              </w:numPr>
              <w:jc w:val="left"/>
              <w:rPr>
                <w:rFonts w:hint="eastAsia"/>
              </w:rPr>
            </w:pPr>
            <w:r>
              <w:rPr>
                <w:rFonts w:hint="eastAsia"/>
              </w:rPr>
              <w:t>4、设备采用低功耗设计，无风扇、无噪音，适合长时间工作，免维护；数字调节方式，可根据实际需要设置，每次开机可自动恢复音乐和麦克风音量的预设音量，并可限制最大音量，方便管理；</w:t>
            </w:r>
          </w:p>
          <w:p>
            <w:pPr>
              <w:numPr>
                <w:ilvl w:val="0"/>
                <w:numId w:val="0"/>
              </w:numPr>
              <w:jc w:val="left"/>
              <w:rPr>
                <w:rFonts w:hint="eastAsia"/>
              </w:rPr>
            </w:pPr>
            <w:r>
              <w:rPr>
                <w:rFonts w:hint="eastAsia"/>
              </w:rPr>
              <w:t>5、中文LCD菜单显示，清晰直观；内置蓝牙麦克接收功能，支持蓝牙麦克风直接配对使用，通过蓝牙麦克风实现电脑翻页功能；</w:t>
            </w:r>
          </w:p>
          <w:p>
            <w:pPr>
              <w:numPr>
                <w:ilvl w:val="0"/>
                <w:numId w:val="0"/>
              </w:numPr>
              <w:jc w:val="left"/>
              <w:rPr>
                <w:rFonts w:hint="eastAsia" w:ascii="Times New Roman" w:hAnsi="Times New Roman" w:eastAsia="宋体" w:cs="Times New Roman"/>
              </w:rPr>
            </w:pPr>
            <w:r>
              <w:rPr>
                <w:rFonts w:hint="eastAsia"/>
              </w:rPr>
              <w:t>6、支</w:t>
            </w:r>
            <w:r>
              <w:rPr>
                <w:rFonts w:hint="eastAsia" w:ascii="Times New Roman" w:hAnsi="Times New Roman" w:eastAsia="宋体" w:cs="Times New Roman"/>
              </w:rPr>
              <w:t>持串口控制功能，提供串口控制协议；支持中控等设备直接调节音量。</w:t>
            </w:r>
          </w:p>
          <w:p>
            <w:pPr>
              <w:numPr>
                <w:ilvl w:val="0"/>
                <w:numId w:val="0"/>
              </w:numPr>
              <w:jc w:val="left"/>
              <w:rPr>
                <w:rFonts w:hint="eastAsia" w:ascii="Times New Roman" w:hAnsi="Times New Roman" w:eastAsia="宋体" w:cs="Times New Roman"/>
              </w:rPr>
            </w:pPr>
            <w:r>
              <w:rPr>
                <w:rFonts w:hint="eastAsia" w:ascii="Times New Roman" w:hAnsi="Times New Roman" w:eastAsia="宋体" w:cs="Times New Roman"/>
              </w:rPr>
              <w:t>7、多功能蓝牙麦克风是要求具有麦克风、翻页器、激光教鞭多种功能的一体化设备；</w:t>
            </w:r>
          </w:p>
          <w:p>
            <w:pPr>
              <w:numPr>
                <w:ilvl w:val="0"/>
                <w:numId w:val="0"/>
              </w:numPr>
              <w:jc w:val="left"/>
              <w:rPr>
                <w:rFonts w:hint="eastAsia" w:ascii="Times New Roman" w:hAnsi="Times New Roman" w:eastAsia="宋体" w:cs="Times New Roman"/>
              </w:rPr>
            </w:pPr>
            <w:r>
              <w:rPr>
                <w:rFonts w:hint="eastAsia" w:ascii="Times New Roman" w:hAnsi="Times New Roman" w:eastAsia="宋体" w:cs="Times New Roman"/>
              </w:rPr>
              <w:t>8、采用蓝牙技术，发射器与接收设备自动对频任意匹配，全部通用；</w:t>
            </w:r>
          </w:p>
          <w:p>
            <w:pPr>
              <w:numPr>
                <w:ilvl w:val="0"/>
                <w:numId w:val="0"/>
              </w:numPr>
              <w:jc w:val="left"/>
            </w:pPr>
            <w:r>
              <w:rPr>
                <w:rFonts w:hint="eastAsia" w:ascii="Times New Roman" w:hAnsi="Times New Roman" w:eastAsia="宋体" w:cs="Times New Roman"/>
                <w:lang w:val="en-US" w:eastAsia="zh-CN"/>
              </w:rPr>
              <w:t>9</w:t>
            </w:r>
            <w:r>
              <w:rPr>
                <w:rFonts w:hint="eastAsia" w:ascii="Times New Roman" w:hAnsi="Times New Roman" w:eastAsia="宋体" w:cs="Times New Roman"/>
              </w:rPr>
              <w:t>、</w:t>
            </w:r>
            <w:r>
              <w:rPr>
                <w:rFonts w:hint="eastAsia" w:ascii="Times New Roman" w:hAnsi="Times New Roman" w:eastAsia="宋体" w:cs="Times New Roman"/>
                <w:lang w:val="en-US" w:eastAsia="zh-CN"/>
              </w:rPr>
              <w:t>支持蓝牙麦克风</w:t>
            </w:r>
            <w:r>
              <w:rPr>
                <w:rFonts w:hint="eastAsia" w:ascii="Times New Roman" w:hAnsi="Times New Roman" w:eastAsia="宋体" w:cs="Times New Roman"/>
              </w:rPr>
              <w:t>技术指标：发射使用频率：2402 – 2480 MHz；调制方法：GFSK，BT = 0.5 Gaussian；发射功率：2.5 mW；有效接收距离：15 米以内；拾音范围：60 度夹角，心型指向</w:t>
            </w:r>
          </w:p>
        </w:tc>
        <w:tc>
          <w:tcPr>
            <w:tcW w:w="43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台</w:t>
            </w:r>
          </w:p>
        </w:tc>
        <w:tc>
          <w:tcPr>
            <w:tcW w:w="56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w:t>
            </w:r>
          </w:p>
        </w:tc>
        <w:tc>
          <w:tcPr>
            <w:tcW w:w="588" w:type="dxa"/>
            <w:vAlign w:val="center"/>
          </w:tcPr>
          <w:p>
            <w:pPr>
              <w:jc w:val="left"/>
              <w:rPr>
                <w:rFonts w:asciiTheme="minorEastAsia" w:hAnsi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9" w:hRule="atLeast"/>
          <w:jc w:val="center"/>
        </w:trPr>
        <w:tc>
          <w:tcPr>
            <w:tcW w:w="611" w:type="dxa"/>
            <w:vMerge w:val="continue"/>
            <w:vAlign w:val="center"/>
          </w:tcPr>
          <w:p>
            <w:pPr>
              <w:jc w:val="left"/>
              <w:rPr>
                <w:rFonts w:asciiTheme="minorEastAsia" w:hAnsiTheme="minorEastAsia" w:cstheme="minorEastAsia"/>
                <w:kern w:val="0"/>
                <w:szCs w:val="21"/>
              </w:rPr>
            </w:pPr>
          </w:p>
        </w:tc>
        <w:tc>
          <w:tcPr>
            <w:tcW w:w="713" w:type="dxa"/>
            <w:vMerge w:val="continue"/>
            <w:vAlign w:val="center"/>
          </w:tcPr>
          <w:p>
            <w:pPr>
              <w:jc w:val="left"/>
              <w:rPr>
                <w:rFonts w:asciiTheme="minorEastAsia" w:hAnsiTheme="minorEastAsia" w:cstheme="minorEastAsia"/>
                <w:kern w:val="0"/>
                <w:szCs w:val="21"/>
              </w:rPr>
            </w:pPr>
          </w:p>
        </w:tc>
        <w:tc>
          <w:tcPr>
            <w:tcW w:w="674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w:t>
            </w:r>
            <w:r>
              <w:rPr>
                <w:rFonts w:hint="eastAsia" w:eastAsia="宋体" w:asciiTheme="minorEastAsia" w:hAnsiTheme="minorEastAsia" w:cstheme="minorEastAsia"/>
                <w:b/>
                <w:bCs/>
                <w:kern w:val="0"/>
                <w:szCs w:val="21"/>
                <w:lang w:val="en-US" w:eastAsia="zh-CN"/>
              </w:rPr>
              <w:t>★</w:t>
            </w:r>
            <w:r>
              <w:rPr>
                <w:rFonts w:hint="eastAsia" w:asciiTheme="minorEastAsia" w:hAnsiTheme="minorEastAsia" w:cstheme="minorEastAsia"/>
                <w:kern w:val="0"/>
                <w:szCs w:val="21"/>
              </w:rPr>
              <w:t>多功能蓝牙麦克风是要求具有麦克风、翻页器、激光教鞭多种功能的一体化设备；</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2、采用蓝牙技术，发射器与接收设备自动对频任意匹配，全部通用；</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3、发射器采用充电式锂电池，满电状态下连续使用时间在 20 小时以上；</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5、可外接咪头，便于使用激光教鞭，具有内置咪头；支持多种使用方式，如领夹、手持、颈挂等。</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6、麦克风灵敏度高，具有自动增益功能，拾音范围不小于 25CM，60 度夹角，心型指向；</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7、剩余电量显示功能，发射器具有低电提示功能，提示使用者及时充电；在出现低电提示后仍可使用 2 小时以上；</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8、闲置静音功能，发射器可识别设备状态，不使用且不关机的情况下平放，发射器即静音。</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9、使用翻页器功能时，只需麦克风与接收设备成功对频即可使用，无需另外安装翻页接收器；</w:t>
            </w:r>
          </w:p>
          <w:p>
            <w:pPr>
              <w:jc w:val="left"/>
              <w:rPr>
                <w:rFonts w:hint="eastAsia" w:asciiTheme="minorEastAsia" w:hAnsiTheme="minorEastAsia" w:cstheme="minorEastAsia"/>
                <w:kern w:val="0"/>
                <w:szCs w:val="21"/>
              </w:rPr>
            </w:pPr>
            <w:r>
              <w:rPr>
                <w:rFonts w:hint="eastAsia" w:asciiTheme="minorEastAsia" w:hAnsiTheme="minorEastAsia" w:cstheme="minorEastAsia"/>
                <w:kern w:val="0"/>
                <w:szCs w:val="21"/>
              </w:rPr>
              <w:t>1</w:t>
            </w:r>
            <w:r>
              <w:rPr>
                <w:rFonts w:hint="eastAsia" w:asciiTheme="minorEastAsia" w:hAnsiTheme="minorEastAsia" w:cstheme="minorEastAsia"/>
                <w:kern w:val="0"/>
                <w:szCs w:val="21"/>
                <w:lang w:val="en-US" w:eastAsia="zh-CN"/>
              </w:rPr>
              <w:t>0</w:t>
            </w:r>
            <w:r>
              <w:rPr>
                <w:rFonts w:hint="eastAsia" w:asciiTheme="minorEastAsia" w:hAnsiTheme="minorEastAsia" w:cstheme="minorEastAsia"/>
                <w:kern w:val="0"/>
                <w:szCs w:val="21"/>
              </w:rPr>
              <w:t>、技术指标：发射使用频率：2402 – 2480 MHz；调制方法：GFSK，BT = 0.5 Gaussian；发射功率：2.5 mW；有效接收距离：15 米以内；拾音范围：60 度夹角，心型指向</w:t>
            </w:r>
          </w:p>
          <w:p>
            <w:pPr>
              <w:jc w:val="left"/>
              <w:rPr>
                <w:rFonts w:asciiTheme="minorEastAsia" w:hAnsiTheme="minorEastAsia" w:cstheme="minorEastAsia"/>
                <w:kern w:val="0"/>
                <w:szCs w:val="21"/>
              </w:rPr>
            </w:pPr>
            <w:r>
              <w:rPr>
                <w:rFonts w:hint="eastAsia" w:eastAsia="宋体" w:asciiTheme="minorEastAsia" w:hAnsiTheme="minorEastAsia" w:cstheme="minorEastAsia"/>
                <w:kern w:val="0"/>
                <w:szCs w:val="21"/>
              </w:rPr>
              <w:t>1</w:t>
            </w:r>
            <w:r>
              <w:rPr>
                <w:rFonts w:hint="eastAsia" w:eastAsia="宋体" w:asciiTheme="minorEastAsia" w:hAnsiTheme="minorEastAsia" w:cstheme="minorEastAsia"/>
                <w:kern w:val="0"/>
                <w:szCs w:val="21"/>
                <w:lang w:val="en-US" w:eastAsia="zh-CN"/>
              </w:rPr>
              <w:t>1</w:t>
            </w:r>
            <w:r>
              <w:rPr>
                <w:rFonts w:hint="eastAsia" w:eastAsia="宋体" w:asciiTheme="minorEastAsia" w:hAnsiTheme="minorEastAsia" w:cstheme="minorEastAsia"/>
                <w:kern w:val="0"/>
                <w:szCs w:val="21"/>
              </w:rPr>
              <w:t>、提供厂家针对本项目的产品来源合法证明（不限于售后服务承诺函；产品彩页）</w:t>
            </w:r>
          </w:p>
        </w:tc>
        <w:tc>
          <w:tcPr>
            <w:tcW w:w="43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支</w:t>
            </w:r>
          </w:p>
        </w:tc>
        <w:tc>
          <w:tcPr>
            <w:tcW w:w="56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w:t>
            </w:r>
          </w:p>
        </w:tc>
        <w:tc>
          <w:tcPr>
            <w:tcW w:w="588" w:type="dxa"/>
            <w:vAlign w:val="center"/>
          </w:tcPr>
          <w:p>
            <w:pPr>
              <w:jc w:val="left"/>
              <w:rPr>
                <w:rFonts w:asciiTheme="minorEastAsia" w:hAnsi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12</w:t>
            </w:r>
          </w:p>
        </w:tc>
        <w:tc>
          <w:tcPr>
            <w:tcW w:w="71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中央控制器</w:t>
            </w:r>
          </w:p>
        </w:tc>
        <w:tc>
          <w:tcPr>
            <w:tcW w:w="674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1.控制面板与主机一体，PVC覆膜，轻触式机械按键；不少于6个信号切换键，具备“上课”和“下课”键，可实现一键系统启动和系统关闭。</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2.不少于3路VGA输入，不少于2路VGA输出，不少于3路视频输入，不少于2路视频输出；不少于5路音频输入，不少于1路音频输出，不少于1路MIC输入，输出与线形音量混音输出。</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3.至少提供1路投影机电源管理，1路屏幕控制，1路智能探测，1路电控门锁控制；1路RS232/IR可编程投影机控制端口；1路报警通讯口，可外接声光报警器。</w:t>
            </w:r>
          </w:p>
          <w:p>
            <w:pPr>
              <w:jc w:val="left"/>
              <w:rPr>
                <w:rFonts w:asciiTheme="minorEastAsia" w:hAnsiTheme="minorEastAsia" w:cstheme="minorEastAsia"/>
                <w:kern w:val="0"/>
                <w:szCs w:val="21"/>
              </w:rPr>
            </w:pPr>
            <w:r>
              <w:rPr>
                <w:rFonts w:hint="eastAsia" w:asciiTheme="minorEastAsia" w:hAnsiTheme="minorEastAsia" w:cstheme="minorEastAsia"/>
                <w:kern w:val="0"/>
                <w:szCs w:val="21"/>
                <w:lang w:val="en-US" w:eastAsia="zh-CN"/>
              </w:rPr>
              <w:t>4、</w:t>
            </w:r>
            <w:r>
              <w:rPr>
                <w:rFonts w:hint="eastAsia" w:asciiTheme="minorEastAsia" w:hAnsiTheme="minorEastAsia" w:cstheme="minorEastAsia"/>
                <w:kern w:val="0"/>
                <w:szCs w:val="21"/>
              </w:rPr>
              <w:t>面板具备1路USB接口、1路RJ45网络接口、视音频莲花接口，具备笔记本电源插孔、笔记本VGA、笔记本音频接口。</w:t>
            </w:r>
          </w:p>
        </w:tc>
        <w:tc>
          <w:tcPr>
            <w:tcW w:w="43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台</w:t>
            </w:r>
          </w:p>
        </w:tc>
        <w:tc>
          <w:tcPr>
            <w:tcW w:w="56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w:t>
            </w:r>
          </w:p>
        </w:tc>
        <w:tc>
          <w:tcPr>
            <w:tcW w:w="588" w:type="dxa"/>
            <w:vAlign w:val="center"/>
          </w:tcPr>
          <w:p>
            <w:pPr>
              <w:jc w:val="left"/>
              <w:rPr>
                <w:rFonts w:asciiTheme="minorEastAsia" w:hAnsi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13</w:t>
            </w:r>
          </w:p>
        </w:tc>
        <w:tc>
          <w:tcPr>
            <w:tcW w:w="71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教师控制桌椅</w:t>
            </w:r>
          </w:p>
        </w:tc>
        <w:tc>
          <w:tcPr>
            <w:tcW w:w="674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定制钢架红木，尺寸1000mm*750mm*900mm,靠背教师椅，具体根据实际需求调整</w:t>
            </w:r>
          </w:p>
        </w:tc>
        <w:tc>
          <w:tcPr>
            <w:tcW w:w="43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套</w:t>
            </w:r>
          </w:p>
        </w:tc>
        <w:tc>
          <w:tcPr>
            <w:tcW w:w="56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w:t>
            </w:r>
          </w:p>
        </w:tc>
        <w:tc>
          <w:tcPr>
            <w:tcW w:w="588" w:type="dxa"/>
            <w:vAlign w:val="center"/>
          </w:tcPr>
          <w:p>
            <w:pPr>
              <w:jc w:val="left"/>
              <w:rPr>
                <w:rFonts w:asciiTheme="minorEastAsia" w:hAnsi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14</w:t>
            </w:r>
          </w:p>
        </w:tc>
        <w:tc>
          <w:tcPr>
            <w:tcW w:w="71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网络机柜</w:t>
            </w:r>
          </w:p>
        </w:tc>
        <w:tc>
          <w:tcPr>
            <w:tcW w:w="674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尺寸：1000mm*600mm*600mm 标准网络机柜，使用优质冷轧钢板，层板可调节</w:t>
            </w:r>
          </w:p>
        </w:tc>
        <w:tc>
          <w:tcPr>
            <w:tcW w:w="43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台</w:t>
            </w:r>
          </w:p>
        </w:tc>
        <w:tc>
          <w:tcPr>
            <w:tcW w:w="56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w:t>
            </w:r>
          </w:p>
        </w:tc>
        <w:tc>
          <w:tcPr>
            <w:tcW w:w="588" w:type="dxa"/>
            <w:vAlign w:val="center"/>
          </w:tcPr>
          <w:p>
            <w:pPr>
              <w:jc w:val="left"/>
              <w:rPr>
                <w:rFonts w:asciiTheme="minorEastAsia" w:hAnsi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1"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15</w:t>
            </w:r>
          </w:p>
        </w:tc>
        <w:tc>
          <w:tcPr>
            <w:tcW w:w="71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网络辅材/技术服务</w:t>
            </w:r>
          </w:p>
        </w:tc>
        <w:tc>
          <w:tcPr>
            <w:tcW w:w="674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1、网线、电源线、视频、数据线、理线架、水晶头、pvc管、胶布、PDU、线标插线板等相关辅助材料</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2、设备安装调试、综合布线、软件部署、售后服务</w:t>
            </w:r>
          </w:p>
        </w:tc>
        <w:tc>
          <w:tcPr>
            <w:tcW w:w="43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项</w:t>
            </w:r>
          </w:p>
        </w:tc>
        <w:tc>
          <w:tcPr>
            <w:tcW w:w="56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w:t>
            </w:r>
          </w:p>
        </w:tc>
        <w:tc>
          <w:tcPr>
            <w:tcW w:w="588" w:type="dxa"/>
            <w:vAlign w:val="center"/>
          </w:tcPr>
          <w:p>
            <w:pPr>
              <w:jc w:val="left"/>
              <w:rPr>
                <w:rFonts w:asciiTheme="minorEastAsia" w:hAnsi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1" w:type="dxa"/>
            <w:vAlign w:val="center"/>
          </w:tcPr>
          <w:p>
            <w:pPr>
              <w:jc w:val="left"/>
              <w:rPr>
                <w:rFonts w:hint="eastAsia" w:eastAsia="宋体" w:asciiTheme="minorEastAsia" w:hAnsiTheme="minorEastAsia" w:cstheme="minorEastAsia"/>
                <w:kern w:val="0"/>
                <w:szCs w:val="21"/>
              </w:rPr>
            </w:pPr>
            <w:r>
              <w:rPr>
                <w:rFonts w:hint="eastAsia" w:eastAsia="宋体" w:asciiTheme="minorEastAsia" w:hAnsiTheme="minorEastAsia" w:cstheme="minorEastAsia"/>
                <w:kern w:val="0"/>
                <w:szCs w:val="21"/>
              </w:rPr>
              <w:t>16</w:t>
            </w:r>
          </w:p>
        </w:tc>
        <w:tc>
          <w:tcPr>
            <w:tcW w:w="713" w:type="dxa"/>
            <w:vAlign w:val="center"/>
          </w:tcPr>
          <w:p>
            <w:pPr>
              <w:jc w:val="left"/>
              <w:rPr>
                <w:rFonts w:hint="eastAsia"/>
                <w:lang w:val="en-US" w:eastAsia="zh-CN"/>
              </w:rPr>
            </w:pPr>
            <w:r>
              <w:rPr>
                <w:rFonts w:hint="eastAsia"/>
                <w:lang w:val="en-US" w:eastAsia="zh-CN"/>
              </w:rPr>
              <w:t>基础装修设计</w:t>
            </w:r>
          </w:p>
        </w:tc>
        <w:tc>
          <w:tcPr>
            <w:tcW w:w="6742" w:type="dxa"/>
            <w:vAlign w:val="center"/>
          </w:tcPr>
          <w:p>
            <w:pPr>
              <w:spacing w:line="240" w:lineRule="auto"/>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1、旧设备拆除</w:t>
            </w:r>
          </w:p>
          <w:p>
            <w:pPr>
              <w:spacing w:line="240" w:lineRule="auto"/>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(1）96套教室旧桌椅拆除</w:t>
            </w:r>
          </w:p>
          <w:p>
            <w:pPr>
              <w:numPr>
                <w:ilvl w:val="-1"/>
                <w:numId w:val="0"/>
              </w:numPr>
              <w:spacing w:line="240" w:lineRule="auto"/>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96套旧电脑拆除</w:t>
            </w:r>
          </w:p>
          <w:p>
            <w:pPr>
              <w:numPr>
                <w:ilvl w:val="-1"/>
                <w:numId w:val="0"/>
              </w:numPr>
              <w:spacing w:line="240" w:lineRule="auto"/>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辅助线材拆除、灯光拆除、风扇拆除、黑板拆除窗帘及内部相关物件拆除1批。</w:t>
            </w:r>
          </w:p>
          <w:p>
            <w:pPr>
              <w:numPr>
                <w:ilvl w:val="-1"/>
                <w:numId w:val="0"/>
              </w:numPr>
              <w:spacing w:line="240" w:lineRule="auto"/>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空调迁移</w:t>
            </w:r>
          </w:p>
          <w:p>
            <w:pPr>
              <w:spacing w:line="240" w:lineRule="auto"/>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2、地面装修及拆除</w:t>
            </w:r>
          </w:p>
          <w:p>
            <w:pPr>
              <w:spacing w:line="240" w:lineRule="auto"/>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（1）130㎡旧地面地砖拆除，讲台拆除。</w:t>
            </w:r>
          </w:p>
          <w:p>
            <w:pPr>
              <w:spacing w:line="240" w:lineRule="auto"/>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（2）地面开槽埋线80Φ-45米；20Φ-45米双排线槽。</w:t>
            </w:r>
          </w:p>
          <w:p>
            <w:pPr>
              <w:spacing w:line="240" w:lineRule="auto"/>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（3）130㎡地面砂浆混合凿平、厚度不小于3cm</w:t>
            </w:r>
          </w:p>
          <w:p>
            <w:pPr>
              <w:spacing w:line="240" w:lineRule="auto"/>
              <w:ind w:left="0" w:firstLine="0" w:firstLineChars="0"/>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（4）宝石蓝环氧地坪：性能指标要求： 干燥时间 表干 ≤6 ；实干 ≤24； 拉伸强度 MPa ≥2.0 ；弯曲硬度MPa ≥7； 抗压强度 MPa ≥40； 邵氏强度 MPa ≥40 ；流平性 ≥5min 耐磨性（750g/500R，失重 g） ≤0.03 ；耐 60%硫酸 ；3允许轻微变色 ；耐 25%氢氧化钠； 无异常30%盐水；天无异常 耐汽油 120# 耐   Resistant ；粘接强度 MPa≥2 细度≤30 硬度≥B</w:t>
            </w:r>
          </w:p>
          <w:p>
            <w:pPr>
              <w:spacing w:line="240" w:lineRule="auto"/>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3、墙面处理</w:t>
            </w:r>
          </w:p>
          <w:p>
            <w:pPr>
              <w:spacing w:line="240" w:lineRule="auto"/>
              <w:ind w:left="0" w:leftChars="0" w:firstLine="0" w:firstLineChars="0"/>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(1)基层 330㎡墙面底层面清理；将墙面等基层上起皮、松动及鼓包等部位清除，1：0.5：3水泥石灰膏砂浆分遍抹平砂浆凿平</w:t>
            </w:r>
          </w:p>
          <w:p>
            <w:pPr>
              <w:spacing w:line="240" w:lineRule="auto"/>
              <w:ind w:left="0" w:leftChars="0" w:firstLine="0" w:firstLineChars="0"/>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2）墙面330㎡;第一遍1-1.5cm腻子用胶皮刮板横向满刮,干燥后用1号砂纸打磨平整，将浮腻子及斑迹磨平磨光;第二遍腻子用胶皮刮板竖向满刮;腻子干燥后，用1号砂纸磨将浮腻子及斑迹磨平磨光，再将墙面扫干净;第三遍满刮腻子,用细砂纸磨平磨光，注意不要漏磨或将腻子磨穿，阴角要直，阳角要方，墙面、顶棚要刮平刮光.</w:t>
            </w:r>
          </w:p>
          <w:p>
            <w:pPr>
              <w:spacing w:line="240" w:lineRule="auto"/>
              <w:ind w:left="0" w:leftChars="0" w:firstLine="0" w:firstLineChars="0"/>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（3）墙面遍210㎡品牌乳胶漆乳胶漆3遍：游离甲醛含量为≤0.1g/kg。挥发性有机化合物（VOC）≤200g/L；耐冻融性的测定244KB；耐洗刷性合格品：≥ 200次</w:t>
            </w:r>
          </w:p>
          <w:p>
            <w:pPr>
              <w:spacing w:line="240" w:lineRule="auto"/>
              <w:ind w:left="0" w:leftChars="0" w:firstLine="0" w:firstLineChars="0"/>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（4）墙面210㎡品牌面漆2遍；固含量≥40%；细度≤20%;附着力1级；柔韧性≤2；耐水性72H.</w:t>
            </w:r>
          </w:p>
          <w:p>
            <w:pPr>
              <w:spacing w:line="240" w:lineRule="auto"/>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4、窗帘</w:t>
            </w:r>
          </w:p>
          <w:p>
            <w:pPr>
              <w:spacing w:line="240" w:lineRule="auto"/>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（1）窗帘与其它实验室保持一致</w:t>
            </w:r>
          </w:p>
          <w:p>
            <w:pPr>
              <w:spacing w:line="240" w:lineRule="auto"/>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（2）防光、防嗮、遮光布窗帘、骡马杆、配件</w:t>
            </w:r>
          </w:p>
          <w:p>
            <w:pPr>
              <w:spacing w:line="240" w:lineRule="auto"/>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（3）宽度尺寸不小于1600mm；具体要求参照实际需求调整。</w:t>
            </w:r>
          </w:p>
          <w:p>
            <w:pPr>
              <w:spacing w:line="240" w:lineRule="auto"/>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5、吊顶</w:t>
            </w:r>
          </w:p>
          <w:p>
            <w:pPr>
              <w:spacing w:line="240" w:lineRule="auto"/>
              <w:ind w:firstLine="0" w:firstLineChars="0"/>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(1)38Φ主骨；钢制T型暗装龙骨厚度不小于0.6mm。</w:t>
            </w:r>
          </w:p>
          <w:p>
            <w:pPr>
              <w:spacing w:line="240" w:lineRule="auto"/>
              <w:ind w:firstLine="0" w:firstLineChars="0"/>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（2）亚克力吸音矿棉板、60.5*60.5*14平板型;</w:t>
            </w:r>
          </w:p>
          <w:p>
            <w:pPr>
              <w:spacing w:line="240" w:lineRule="auto"/>
              <w:ind w:firstLine="0" w:firstLineChars="0"/>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(3)防潮性≥95%</w:t>
            </w:r>
          </w:p>
          <w:p>
            <w:pPr>
              <w:spacing w:line="240" w:lineRule="auto"/>
              <w:ind w:firstLine="0" w:firstLineChars="0"/>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（4）阻燃性A级</w:t>
            </w:r>
          </w:p>
          <w:p>
            <w:pPr>
              <w:spacing w:line="240" w:lineRule="auto"/>
              <w:ind w:firstLine="0" w:firstLineChars="0"/>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（5）吊杆五件套轻钢烤漆</w:t>
            </w:r>
          </w:p>
          <w:p>
            <w:pPr>
              <w:spacing w:line="240" w:lineRule="auto"/>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（6)数量130㎡</w:t>
            </w:r>
          </w:p>
          <w:p>
            <w:pPr>
              <w:spacing w:line="240" w:lineRule="auto"/>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6、踢脚线:九厘板打底，8公分左右钛黑不锈钢踢脚线;数量60米</w:t>
            </w:r>
          </w:p>
          <w:p>
            <w:pPr>
              <w:spacing w:line="240" w:lineRule="auto"/>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7、LED灯</w:t>
            </w:r>
          </w:p>
          <w:p>
            <w:pPr>
              <w:spacing w:line="240" w:lineRule="auto"/>
              <w:ind w:firstLine="0" w:firstLineChars="0"/>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(1)矿棉板吸顶面板、嵌入式天花铝扣板格栅灯38W；600*600mm，LED灯：灯盘及配套开关，数量不少于16组；根据具体实际可调整</w:t>
            </w:r>
          </w:p>
          <w:p>
            <w:pPr>
              <w:spacing w:line="240" w:lineRule="auto"/>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8、学生操作台</w:t>
            </w:r>
          </w:p>
          <w:p>
            <w:pPr>
              <w:spacing w:line="240" w:lineRule="auto"/>
              <w:ind w:firstLine="0" w:firstLineChars="0"/>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(1)材料：板材采用E1级（含E1级）以上</w:t>
            </w:r>
          </w:p>
          <w:p>
            <w:pPr>
              <w:spacing w:line="240" w:lineRule="auto"/>
              <w:ind w:left="0" w:leftChars="0" w:firstLine="0" w:firstLineChars="0"/>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三聚氢胺板密度环保饰,防火耐磨板饰面,其余板材厚度16mm，厚度≥25m；档板为0.8mm；冲压成型，桌架厚度≥1.2mm；美观大方；尺寸实际调整；厚度≥1.2mm；具体根据实际可调整；数量不少于84位</w:t>
            </w:r>
          </w:p>
          <w:p>
            <w:pPr>
              <w:numPr>
                <w:ilvl w:val="-1"/>
                <w:numId w:val="0"/>
              </w:numPr>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清运费：拆除垃圾、施工垃圾、线材垃圾清运；旧设备搬迁</w:t>
            </w:r>
          </w:p>
          <w:p>
            <w:pPr>
              <w:spacing w:line="240" w:lineRule="auto"/>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10、学生准备室隔墙</w:t>
            </w:r>
          </w:p>
          <w:p>
            <w:pPr>
              <w:spacing w:line="240" w:lineRule="auto"/>
              <w:ind w:left="0" w:leftChars="0" w:firstLine="0" w:firstLineChars="0"/>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（1）单侧面积30平方</w:t>
            </w:r>
          </w:p>
          <w:p>
            <w:pPr>
              <w:spacing w:line="240" w:lineRule="auto"/>
              <w:ind w:left="0" w:leftChars="0" w:firstLine="0" w:firstLineChars="0"/>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（2）框架龙骨30平方</w:t>
            </w:r>
          </w:p>
          <w:p>
            <w:pPr>
              <w:spacing w:line="240" w:lineRule="auto"/>
              <w:ind w:left="0" w:leftChars="0" w:firstLine="0" w:firstLineChars="0"/>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（3）石膏板双侧60平方</w:t>
            </w:r>
          </w:p>
          <w:p>
            <w:pPr>
              <w:spacing w:line="240" w:lineRule="auto"/>
              <w:ind w:left="0" w:leftChars="0" w:firstLine="0" w:firstLineChars="0"/>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（4）粉刷60平方</w:t>
            </w:r>
          </w:p>
          <w:p>
            <w:pPr>
              <w:spacing w:line="240" w:lineRule="auto"/>
              <w:ind w:left="0" w:leftChars="0" w:firstLine="0" w:firstLineChars="0"/>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5）第一遍1-1.5cm腻子用胶皮刮板横向满刮,干燥后用1号砂纸打磨平整，将浮腻子及斑迹磨平磨光;第二遍腻子用胶皮刮板竖向满刮;腻子干燥后，用1号砂纸磨将浮腻子及斑迹磨平磨光，再将墙面扫干净;第三遍满刮腻子,用细砂纸磨平磨光，注意不要漏磨或将腻子磨穿，阴角要直，阳角要方，墙面、顶棚要刮平刮  光.</w:t>
            </w:r>
          </w:p>
          <w:p>
            <w:pPr>
              <w:spacing w:line="240" w:lineRule="auto"/>
              <w:ind w:left="0" w:leftChars="0" w:firstLine="0" w:firstLineChars="0"/>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（6）品牌乳胶漆乳胶漆3遍：游离甲醛含量为≤0.1g/kg。挥发性有机化合物（VOC）≤200g/L；耐冻融性的测定244KB；耐洗刷性合格品：≥ 200次</w:t>
            </w:r>
          </w:p>
          <w:p>
            <w:pPr>
              <w:spacing w:line="240" w:lineRule="auto"/>
              <w:ind w:left="0" w:leftChars="0" w:firstLine="0" w:firstLineChars="0"/>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(7）品牌面漆2遍；固含量≥40%；细度≤20%;附着力1级；柔韧性≤2；耐水性72H.</w:t>
            </w:r>
          </w:p>
          <w:p>
            <w:pPr>
              <w:spacing w:line="240" w:lineRule="auto"/>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11、学生讨论桌凳</w:t>
            </w:r>
          </w:p>
          <w:p>
            <w:pPr>
              <w:spacing w:line="240" w:lineRule="auto"/>
              <w:ind w:left="0" w:leftChars="0" w:firstLine="0" w:firstLineChars="0"/>
              <w:jc w:val="left"/>
              <w:rPr>
                <w:rFonts w:hint="eastAsia" w:eastAsia="宋体" w:asciiTheme="minorEastAsia" w:hAnsiTheme="minorEastAsia" w:cstheme="minorEastAsia"/>
                <w:kern w:val="0"/>
                <w:sz w:val="21"/>
                <w:szCs w:val="21"/>
                <w:lang w:val="en-US" w:eastAsia="zh-CN"/>
              </w:rPr>
            </w:pPr>
            <w:r>
              <w:rPr>
                <w:rFonts w:hint="eastAsia" w:eastAsia="宋体" w:asciiTheme="minorEastAsia" w:hAnsiTheme="minorEastAsia" w:cstheme="minorEastAsia"/>
                <w:kern w:val="0"/>
                <w:sz w:val="21"/>
                <w:szCs w:val="21"/>
                <w:lang w:val="en-US" w:eastAsia="zh-CN"/>
              </w:rPr>
              <w:t>(1)材料：板材采用E1级（含E1级）以上</w:t>
            </w:r>
          </w:p>
          <w:p>
            <w:pPr>
              <w:spacing w:line="360" w:lineRule="exact"/>
              <w:ind w:left="239" w:leftChars="114"/>
              <w:jc w:val="left"/>
              <w:rPr>
                <w:rFonts w:hint="eastAsia" w:asciiTheme="minorEastAsia" w:hAnsiTheme="minorEastAsia" w:cstheme="minorEastAsia"/>
                <w:kern w:val="0"/>
                <w:szCs w:val="21"/>
                <w:lang w:val="en-US" w:eastAsia="zh-CN"/>
              </w:rPr>
            </w:pPr>
            <w:r>
              <w:rPr>
                <w:rFonts w:hint="eastAsia" w:eastAsia="宋体" w:asciiTheme="minorEastAsia" w:hAnsiTheme="minorEastAsia" w:cstheme="minorEastAsia"/>
                <w:kern w:val="0"/>
                <w:sz w:val="21"/>
                <w:szCs w:val="21"/>
                <w:lang w:val="en-US" w:eastAsia="zh-CN"/>
              </w:rPr>
              <w:t>三聚氢胺板密度环保饰,防火耐磨板饰面,其余板材厚度16mm，厚度≥25m；档板为0.8mm；冲压成型，桌架厚度≥1.2mm；美观大方；尺寸实际调整；厚度≥1.2mm；具体根据实际可调整；尺寸2400*1200*750mm</w:t>
            </w:r>
          </w:p>
        </w:tc>
        <w:tc>
          <w:tcPr>
            <w:tcW w:w="433" w:type="dxa"/>
            <w:vAlign w:val="center"/>
          </w:tcPr>
          <w:p>
            <w:pPr>
              <w:jc w:val="left"/>
              <w:rPr>
                <w:rFonts w:hint="eastAsia" w:asciiTheme="minorEastAsia" w:hAnsiTheme="minorEastAsia" w:cstheme="minorEastAsia"/>
                <w:kern w:val="0"/>
                <w:szCs w:val="21"/>
              </w:rPr>
            </w:pPr>
            <w:r>
              <w:rPr>
                <w:rFonts w:hint="eastAsia" w:asciiTheme="minorEastAsia" w:hAnsiTheme="minorEastAsia" w:cstheme="minorEastAsia"/>
                <w:kern w:val="0"/>
                <w:szCs w:val="21"/>
              </w:rPr>
              <w:t>项</w:t>
            </w:r>
          </w:p>
        </w:tc>
        <w:tc>
          <w:tcPr>
            <w:tcW w:w="562" w:type="dxa"/>
            <w:vAlign w:val="center"/>
          </w:tcPr>
          <w:p>
            <w:pPr>
              <w:jc w:val="left"/>
              <w:rPr>
                <w:rFonts w:hint="eastAsia" w:asciiTheme="minorEastAsia" w:hAnsiTheme="minorEastAsia" w:cstheme="minorEastAsia"/>
                <w:kern w:val="0"/>
                <w:szCs w:val="21"/>
              </w:rPr>
            </w:pPr>
            <w:r>
              <w:rPr>
                <w:rFonts w:hint="eastAsia" w:asciiTheme="minorEastAsia" w:hAnsiTheme="minorEastAsia" w:cstheme="minorEastAsia"/>
                <w:kern w:val="0"/>
                <w:szCs w:val="21"/>
              </w:rPr>
              <w:t>1</w:t>
            </w:r>
          </w:p>
        </w:tc>
        <w:tc>
          <w:tcPr>
            <w:tcW w:w="588" w:type="dxa"/>
            <w:vAlign w:val="center"/>
          </w:tcPr>
          <w:p>
            <w:pPr>
              <w:jc w:val="left"/>
              <w:rPr>
                <w:rFonts w:asciiTheme="minorEastAsia" w:hAnsi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dxa"/>
            <w:vAlign w:val="center"/>
          </w:tcPr>
          <w:p>
            <w:pPr>
              <w:jc w:val="left"/>
              <w:rPr>
                <w:rFonts w:hint="eastAsia" w:eastAsia="宋体" w:asciiTheme="minorEastAsia" w:hAnsiTheme="minorEastAsia" w:cstheme="minorEastAsia"/>
                <w:kern w:val="0"/>
                <w:szCs w:val="21"/>
              </w:rPr>
            </w:pPr>
            <w:r>
              <w:rPr>
                <w:rFonts w:hint="eastAsia" w:eastAsia="宋体" w:asciiTheme="minorEastAsia" w:hAnsiTheme="minorEastAsia" w:cstheme="minorEastAsia"/>
                <w:kern w:val="0"/>
                <w:szCs w:val="21"/>
              </w:rPr>
              <w:t>17</w:t>
            </w:r>
          </w:p>
        </w:tc>
        <w:tc>
          <w:tcPr>
            <w:tcW w:w="713" w:type="dxa"/>
            <w:vAlign w:val="center"/>
          </w:tcPr>
          <w:p>
            <w:pPr>
              <w:jc w:val="left"/>
              <w:rPr>
                <w:rFonts w:hint="eastAsia" w:eastAsia="宋体" w:asciiTheme="minorEastAsia" w:hAnsiTheme="minorEastAsia" w:cstheme="minorEastAsia"/>
                <w:kern w:val="0"/>
                <w:szCs w:val="21"/>
              </w:rPr>
            </w:pPr>
            <w:r>
              <w:rPr>
                <w:rFonts w:hint="eastAsia" w:eastAsia="宋体" w:asciiTheme="minorEastAsia" w:hAnsiTheme="minorEastAsia" w:cstheme="minorEastAsia"/>
                <w:kern w:val="0"/>
                <w:szCs w:val="21"/>
              </w:rPr>
              <w:t>文化建设</w:t>
            </w:r>
          </w:p>
        </w:tc>
        <w:tc>
          <w:tcPr>
            <w:tcW w:w="6742" w:type="dxa"/>
            <w:vAlign w:val="center"/>
          </w:tcPr>
          <w:p>
            <w:pPr>
              <w:jc w:val="left"/>
              <w:rPr>
                <w:rFonts w:hint="eastAsia" w:eastAsia="宋体" w:asciiTheme="minorEastAsia" w:hAnsiTheme="minorEastAsia" w:cstheme="minorEastAsia"/>
                <w:kern w:val="0"/>
                <w:szCs w:val="21"/>
                <w:lang w:val="en-US" w:eastAsia="zh-CN"/>
              </w:rPr>
            </w:pPr>
            <w:r>
              <w:rPr>
                <w:rFonts w:hint="eastAsia" w:eastAsia="宋体" w:asciiTheme="minorEastAsia" w:hAnsiTheme="minorEastAsia" w:cstheme="minorEastAsia"/>
                <w:kern w:val="0"/>
                <w:szCs w:val="21"/>
                <w:lang w:val="en-US" w:eastAsia="zh-CN"/>
              </w:rPr>
              <w:t>1、墙面文化标语设计</w:t>
            </w:r>
          </w:p>
          <w:p>
            <w:pPr>
              <w:jc w:val="left"/>
              <w:rPr>
                <w:rFonts w:hint="eastAsia" w:eastAsia="宋体" w:asciiTheme="minorEastAsia" w:hAnsiTheme="minorEastAsia" w:cstheme="minorEastAsia"/>
                <w:kern w:val="0"/>
                <w:szCs w:val="21"/>
                <w:lang w:val="en-US" w:eastAsia="zh-CN"/>
              </w:rPr>
            </w:pPr>
            <w:r>
              <w:rPr>
                <w:rFonts w:hint="eastAsia" w:eastAsia="宋体" w:asciiTheme="minorEastAsia" w:hAnsiTheme="minorEastAsia" w:cstheme="minorEastAsia"/>
                <w:kern w:val="0"/>
                <w:szCs w:val="21"/>
                <w:lang w:val="en-US" w:eastAsia="zh-CN"/>
              </w:rPr>
              <w:t>2、专业介绍挂图</w:t>
            </w:r>
          </w:p>
          <w:p>
            <w:pPr>
              <w:jc w:val="left"/>
              <w:rPr>
                <w:rFonts w:hint="eastAsia" w:eastAsia="宋体" w:asciiTheme="minorEastAsia" w:hAnsiTheme="minorEastAsia" w:cstheme="minorEastAsia"/>
                <w:kern w:val="0"/>
                <w:szCs w:val="21"/>
                <w:lang w:eastAsia="zh-CN"/>
              </w:rPr>
            </w:pPr>
            <w:r>
              <w:rPr>
                <w:rFonts w:hint="eastAsia" w:eastAsia="宋体" w:asciiTheme="minorEastAsia" w:hAnsiTheme="minorEastAsia" w:cstheme="minorEastAsia"/>
                <w:kern w:val="0"/>
                <w:szCs w:val="21"/>
                <w:lang w:val="en-US" w:eastAsia="zh-CN"/>
              </w:rPr>
              <w:t>3、</w:t>
            </w:r>
            <w:r>
              <w:rPr>
                <w:rFonts w:hint="eastAsia" w:eastAsia="宋体" w:asciiTheme="minorEastAsia" w:hAnsiTheme="minorEastAsia" w:cstheme="minorEastAsia"/>
                <w:kern w:val="0"/>
                <w:szCs w:val="21"/>
              </w:rPr>
              <w:t>实验室基本规章制度</w:t>
            </w:r>
          </w:p>
          <w:p>
            <w:pPr>
              <w:jc w:val="left"/>
              <w:rPr>
                <w:rFonts w:hint="eastAsia" w:eastAsia="宋体" w:asciiTheme="minorEastAsia" w:hAnsiTheme="minorEastAsia" w:cstheme="minorEastAsia"/>
                <w:kern w:val="0"/>
                <w:szCs w:val="21"/>
              </w:rPr>
            </w:pPr>
            <w:r>
              <w:rPr>
                <w:rFonts w:hint="eastAsia" w:eastAsia="宋体" w:asciiTheme="minorEastAsia" w:hAnsiTheme="minorEastAsia" w:cstheme="minorEastAsia"/>
                <w:kern w:val="0"/>
                <w:szCs w:val="21"/>
                <w:lang w:val="en-US" w:eastAsia="zh-CN"/>
              </w:rPr>
              <w:t>4</w:t>
            </w:r>
            <w:r>
              <w:rPr>
                <w:rFonts w:hint="eastAsia" w:eastAsia="宋体" w:asciiTheme="minorEastAsia" w:hAnsiTheme="minorEastAsia" w:cstheme="minorEastAsia"/>
                <w:kern w:val="0"/>
                <w:szCs w:val="21"/>
              </w:rPr>
              <w:t>一般实验注意事项</w:t>
            </w:r>
          </w:p>
          <w:p>
            <w:pPr>
              <w:jc w:val="left"/>
              <w:rPr>
                <w:rFonts w:hint="eastAsia" w:eastAsia="宋体" w:asciiTheme="minorEastAsia" w:hAnsiTheme="minorEastAsia" w:cstheme="minorEastAsia"/>
                <w:kern w:val="0"/>
                <w:szCs w:val="21"/>
              </w:rPr>
            </w:pPr>
            <w:r>
              <w:rPr>
                <w:rFonts w:hint="eastAsia" w:eastAsia="宋体" w:asciiTheme="minorEastAsia" w:hAnsiTheme="minorEastAsia" w:cstheme="minorEastAsia"/>
                <w:kern w:val="0"/>
                <w:szCs w:val="21"/>
                <w:lang w:val="en-US" w:eastAsia="zh-CN"/>
              </w:rPr>
              <w:t>5、根据现场实际情况调整</w:t>
            </w:r>
          </w:p>
        </w:tc>
        <w:tc>
          <w:tcPr>
            <w:tcW w:w="43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项</w:t>
            </w:r>
          </w:p>
        </w:tc>
        <w:tc>
          <w:tcPr>
            <w:tcW w:w="56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w:t>
            </w:r>
          </w:p>
        </w:tc>
        <w:tc>
          <w:tcPr>
            <w:tcW w:w="588" w:type="dxa"/>
            <w:vAlign w:val="center"/>
          </w:tcPr>
          <w:p>
            <w:pPr>
              <w:jc w:val="left"/>
              <w:rPr>
                <w:rFonts w:asciiTheme="minorEastAsia" w:hAnsi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1"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18</w:t>
            </w:r>
          </w:p>
        </w:tc>
        <w:tc>
          <w:tcPr>
            <w:tcW w:w="71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空调</w:t>
            </w:r>
          </w:p>
        </w:tc>
        <w:tc>
          <w:tcPr>
            <w:tcW w:w="674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1、3P空调</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2、制冷量不低于7200W</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3、制冷功率不低于2350W</w:t>
            </w:r>
          </w:p>
          <w:p>
            <w:pPr>
              <w:jc w:val="left"/>
              <w:rPr>
                <w:rFonts w:asciiTheme="minorEastAsia" w:hAnsiTheme="minorEastAsia" w:cstheme="minorEastAsia"/>
                <w:kern w:val="0"/>
                <w:szCs w:val="21"/>
              </w:rPr>
            </w:pPr>
            <w:r>
              <w:rPr>
                <w:rFonts w:hint="eastAsia" w:asciiTheme="minorEastAsia" w:hAnsiTheme="minorEastAsia" w:cstheme="minorEastAsia"/>
                <w:kern w:val="0"/>
                <w:szCs w:val="21"/>
              </w:rPr>
              <w:t>4、循环风量不低于1200立方米/小时</w:t>
            </w:r>
          </w:p>
        </w:tc>
        <w:tc>
          <w:tcPr>
            <w:tcW w:w="43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台</w:t>
            </w:r>
          </w:p>
        </w:tc>
        <w:tc>
          <w:tcPr>
            <w:tcW w:w="56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2</w:t>
            </w:r>
          </w:p>
        </w:tc>
        <w:tc>
          <w:tcPr>
            <w:tcW w:w="588" w:type="dxa"/>
            <w:vAlign w:val="center"/>
          </w:tcPr>
          <w:p>
            <w:pPr>
              <w:jc w:val="left"/>
              <w:rPr>
                <w:rFonts w:asciiTheme="minorEastAsia" w:hAnsi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11"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19</w:t>
            </w:r>
          </w:p>
        </w:tc>
        <w:tc>
          <w:tcPr>
            <w:tcW w:w="71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智慧黑板</w:t>
            </w:r>
          </w:p>
        </w:tc>
        <w:tc>
          <w:tcPr>
            <w:tcW w:w="6742" w:type="dxa"/>
            <w:vAlign w:val="center"/>
          </w:tcPr>
          <w:p>
            <w:pPr>
              <w:jc w:val="left"/>
            </w:pPr>
            <w:r>
              <w:rPr>
                <w:rFonts w:hint="eastAsia"/>
              </w:rPr>
              <w:t>一、整机设计</w:t>
            </w:r>
          </w:p>
          <w:p>
            <w:pPr>
              <w:jc w:val="left"/>
              <w:rPr>
                <w:rFonts w:hint="eastAsia"/>
                <w:lang w:val="en-US" w:eastAsia="zh-CN"/>
              </w:rPr>
            </w:pPr>
            <w:r>
              <w:rPr>
                <w:rFonts w:hint="eastAsia"/>
                <w:lang w:val="en-US" w:eastAsia="zh-CN"/>
              </w:rPr>
              <w:t>1、</w:t>
            </w:r>
            <w:r>
              <w:rPr>
                <w:rFonts w:hint="eastAsia"/>
              </w:rPr>
              <w:t>外观整体：</w:t>
            </w:r>
            <w:r>
              <w:rPr>
                <w:rFonts w:hint="eastAsia"/>
                <w:lang w:val="en-US" w:eastAsia="zh-CN"/>
              </w:rPr>
              <w:t>智慧黑板采用三拼接平面一体化设计，整机屏幕采用86英寸 UHD超高清LED 液晶屛，显示比例16:9，外观简洁，无推拉式结构及外露连接线。</w:t>
            </w:r>
          </w:p>
          <w:p>
            <w:pPr>
              <w:jc w:val="left"/>
              <w:rPr>
                <w:rFonts w:hint="eastAsia"/>
                <w:lang w:val="en-US" w:eastAsia="zh-CN"/>
              </w:rPr>
            </w:pPr>
            <w:r>
              <w:rPr>
                <w:rFonts w:hint="eastAsia"/>
                <w:lang w:val="en-US" w:eastAsia="zh-CN"/>
              </w:rPr>
              <w:t>2、整体外观尺寸：宽≥4000mm ，高≥1200mm ，厚≤90mm。智为了更好的显示效果和使用体验，智慧黑板屏幕图像分辨率3840*2160，亮度≥500cd/㎡，可视角度≥178°，对比度≥5500:1，色域值≥sRGB130%。（提供具有CMA或CNAS标识的第三方权威机构出具的检测报告复印件并加盖厂商公章）</w:t>
            </w:r>
          </w:p>
          <w:p>
            <w:pPr>
              <w:jc w:val="left"/>
              <w:rPr>
                <w:rFonts w:hint="eastAsia"/>
                <w:lang w:val="en-US" w:eastAsia="zh-CN"/>
              </w:rPr>
            </w:pPr>
            <w:r>
              <w:rPr>
                <w:rFonts w:hint="eastAsia"/>
                <w:lang w:val="en-US" w:eastAsia="zh-CN"/>
              </w:rPr>
              <w:t>3、全域书写，智慧黑板全域均支持普通粉笔、液体粉笔、水溶性粉笔等直接书写。为便于放置粉笔、触控笔及整体美观度，智慧黑板下边缘设置全包围同种金属材质笔槽；侧边书写板表面硬度≥9H，光泽度≤8.0。侧边书写板采用复合微晶石板，不反光、不掉色，坚硬耐磨，具有磁吸功能，可以吸附触控笔、板擦等，方便用户使用。考虑教学应用中书写打滑、反光、安全性等问题，拒绝采用纯玻璃材质。（提供具有CMA或CNAS标识的第三方权威机构出具的检测报告复印件并加盖厂商公章）</w:t>
            </w:r>
          </w:p>
          <w:p>
            <w:pPr>
              <w:jc w:val="left"/>
              <w:rPr>
                <w:rFonts w:hint="eastAsia"/>
                <w:lang w:val="en-US" w:eastAsia="zh-CN"/>
              </w:rPr>
            </w:pPr>
            <w:r>
              <w:rPr>
                <w:rFonts w:hint="eastAsia"/>
                <w:lang w:val="en-US" w:eastAsia="zh-CN"/>
              </w:rPr>
              <w:t>4、</w:t>
            </w:r>
            <w:r>
              <w:rPr>
                <w:rFonts w:hint="eastAsia" w:eastAsia="宋体" w:asciiTheme="minorEastAsia" w:hAnsiTheme="minorEastAsia" w:cstheme="minorEastAsia"/>
                <w:b/>
                <w:bCs/>
                <w:kern w:val="0"/>
                <w:szCs w:val="21"/>
                <w:lang w:val="en-US" w:eastAsia="zh-CN"/>
              </w:rPr>
              <w:t>★</w:t>
            </w:r>
            <w:r>
              <w:rPr>
                <w:rFonts w:hint="eastAsia"/>
                <w:lang w:val="en-US" w:eastAsia="zh-CN"/>
              </w:rPr>
              <w:t>要求智慧黑板采用全贴合电容触控技术，玻璃与液晶显示屏之间无间隙，避免灰尘与水汽聚集到屏幕与玻璃之间，表面有灰尘和水迹时，不会影响触控效果。Windows系统下触控点数≥20点，安卓系统下触控点数≥10点。（提供具有CMA或CNAS标识的第三方权威机构出具的检测报告复印件并加盖厂商公章）</w:t>
            </w:r>
          </w:p>
          <w:p>
            <w:pPr>
              <w:jc w:val="left"/>
              <w:rPr>
                <w:rFonts w:hint="eastAsia"/>
                <w:lang w:val="en-US" w:eastAsia="zh-CN"/>
              </w:rPr>
            </w:pPr>
            <w:r>
              <w:rPr>
                <w:rFonts w:hint="eastAsia"/>
                <w:lang w:val="en-US" w:eastAsia="zh-CN"/>
              </w:rPr>
              <w:t>5、 整机要求前置物理按键不少于6个，包含返回主页、电源、音量加减、信号源切换、节能功能，并支持将除电源键外任意物理按键功能自定义设置成屏幕下移、锁屏、一键录屏、图像比例、护眼模式。（提供具有CMA或CNAS标识的第三方权威机构出具的检测报告复印件并加盖厂商公章）</w:t>
            </w:r>
          </w:p>
          <w:p>
            <w:pPr>
              <w:jc w:val="left"/>
              <w:rPr>
                <w:rFonts w:hint="eastAsia"/>
                <w:lang w:val="en-US" w:eastAsia="zh-CN"/>
              </w:rPr>
            </w:pPr>
            <w:r>
              <w:rPr>
                <w:rFonts w:hint="eastAsia"/>
                <w:lang w:val="en-US" w:eastAsia="zh-CN"/>
              </w:rPr>
              <w:t>6、要求整机电磁干扰ITE达到国标GB/T9254-2008 Class B等级，以降低电磁干扰、电磁辐射对人体带来的危害（非Class B等级产品在产品CCC证书上会专门标识ClassA警示）。（提供产品CCC认证证书复印件并加盖厂商公章）</w:t>
            </w:r>
          </w:p>
          <w:p>
            <w:pPr>
              <w:jc w:val="left"/>
              <w:rPr>
                <w:rFonts w:hint="eastAsia"/>
                <w:lang w:val="en-US" w:eastAsia="zh-CN"/>
              </w:rPr>
            </w:pPr>
            <w:r>
              <w:rPr>
                <w:rFonts w:hint="eastAsia"/>
                <w:lang w:val="en-US" w:eastAsia="zh-CN"/>
              </w:rPr>
              <w:t>7、智慧黑板内置无线网络模块，支持双频2.4G和5G WiFi无线上网连接和AP无线热点发射，支持IEEE 802.11a/b/g/n/ac。安卓主板带有ops电脑专用WiFi模块，无需跟随系统切换。（提供具有CMA或CNAS标识的第三方权威机构出具的检测报告复印件并加盖厂商公章）</w:t>
            </w:r>
          </w:p>
          <w:p>
            <w:pPr>
              <w:jc w:val="left"/>
              <w:rPr>
                <w:rFonts w:hint="default"/>
                <w:lang w:val="en-US" w:eastAsia="zh-CN"/>
              </w:rPr>
            </w:pPr>
            <w:r>
              <w:rPr>
                <w:rFonts w:hint="eastAsia"/>
                <w:lang w:val="en-US" w:eastAsia="zh-CN"/>
              </w:rPr>
              <w:t>8、</w:t>
            </w:r>
            <w:r>
              <w:rPr>
                <w:rFonts w:hint="eastAsia" w:eastAsia="宋体" w:asciiTheme="minorEastAsia" w:hAnsiTheme="minorEastAsia" w:cstheme="minorEastAsia"/>
                <w:b/>
                <w:bCs/>
                <w:kern w:val="0"/>
                <w:szCs w:val="21"/>
                <w:lang w:val="en-US" w:eastAsia="zh-CN"/>
              </w:rPr>
              <w:t>★</w:t>
            </w:r>
            <w:r>
              <w:rPr>
                <w:rFonts w:hint="eastAsia"/>
                <w:lang w:val="en-US" w:eastAsia="zh-CN"/>
              </w:rPr>
              <w:t>内置ops电脑：智慧黑板采用插拔式模块电脑架构，插入结构稳固具有防震功能，接口严格遵循Intel®的OPS-C相关规范,针脚数为80Pin,智慧黑板与插拔式电脑无单独接线；处理器不低于Intel Core i5 8600，内存:≥4G DDR4 ;硬盘:≥128G SSD固态硬盘；有线网络：RJ45≥1（10/100/1000M）；无线网络：WIFI≥1，支持802.11a/b/g/n/ac。</w:t>
            </w:r>
          </w:p>
          <w:p>
            <w:pPr>
              <w:jc w:val="left"/>
              <w:rPr>
                <w:rFonts w:hint="eastAsia"/>
                <w:lang w:val="en-US" w:eastAsia="zh-CN"/>
              </w:rPr>
            </w:pPr>
            <w:r>
              <w:rPr>
                <w:rFonts w:hint="eastAsia"/>
              </w:rPr>
              <w:t>二</w:t>
            </w:r>
            <w:r>
              <w:rPr>
                <w:rFonts w:hint="eastAsia"/>
                <w:lang w:val="en-US" w:eastAsia="zh-CN"/>
              </w:rPr>
              <w:t>、白板软件</w:t>
            </w:r>
          </w:p>
          <w:p>
            <w:pPr>
              <w:jc w:val="left"/>
              <w:rPr>
                <w:rFonts w:hint="eastAsia"/>
                <w:lang w:val="en-US" w:eastAsia="zh-CN"/>
              </w:rPr>
            </w:pPr>
            <w:r>
              <w:rPr>
                <w:rFonts w:hint="eastAsia"/>
                <w:lang w:val="en-US" w:eastAsia="zh-CN"/>
              </w:rPr>
              <w:t>1、主工具条：显示常用的选择、画笔、板擦、漫游、撤销、录屏、翻页和新建页等功能，并具有调出软件菜单和最小化功能。</w:t>
            </w:r>
          </w:p>
          <w:p>
            <w:pPr>
              <w:jc w:val="left"/>
              <w:rPr>
                <w:rFonts w:hint="eastAsia"/>
                <w:lang w:val="en-US" w:eastAsia="zh-CN"/>
              </w:rPr>
            </w:pPr>
            <w:r>
              <w:rPr>
                <w:rFonts w:hint="eastAsia"/>
                <w:lang w:val="en-US" w:eastAsia="zh-CN"/>
              </w:rPr>
              <w:t>2、书写工具:至少提供铅笔、毛笔、马克笔、印章笔、纹理笔、粉笔等多种书写工具;可自由调节书写粗细、颜色、线型，方便板书及批注。</w:t>
            </w:r>
          </w:p>
          <w:p>
            <w:pPr>
              <w:jc w:val="left"/>
              <w:rPr>
                <w:rFonts w:hint="eastAsia"/>
                <w:lang w:val="en-US" w:eastAsia="zh-CN"/>
              </w:rPr>
            </w:pPr>
            <w:r>
              <w:rPr>
                <w:rFonts w:hint="eastAsia"/>
                <w:lang w:val="en-US" w:eastAsia="zh-CN"/>
              </w:rPr>
              <w:t>3、擦除功能：手势擦除功能，可通过手掌或手背直接调出板擦工具；五指擦除功能，在白板软件内通过五指手势调出板擦工具。</w:t>
            </w:r>
          </w:p>
          <w:p>
            <w:pPr>
              <w:jc w:val="left"/>
              <w:rPr>
                <w:rFonts w:hint="eastAsia"/>
                <w:lang w:val="en-US" w:eastAsia="zh-CN"/>
              </w:rPr>
            </w:pPr>
            <w:r>
              <w:rPr>
                <w:rFonts w:hint="eastAsia"/>
                <w:lang w:val="en-US" w:eastAsia="zh-CN"/>
              </w:rPr>
              <w:t>4、录屏：通过软件主页快速启动录屏，可将屏幕中的课件、音频内容与老师人声同时录制。</w:t>
            </w:r>
          </w:p>
          <w:p>
            <w:pPr>
              <w:jc w:val="left"/>
              <w:rPr>
                <w:rFonts w:hint="eastAsia"/>
                <w:lang w:val="en-US" w:eastAsia="zh-CN"/>
              </w:rPr>
            </w:pPr>
            <w:r>
              <w:rPr>
                <w:rFonts w:hint="eastAsia"/>
                <w:lang w:val="en-US" w:eastAsia="zh-CN"/>
              </w:rPr>
              <w:t>5、页面管理：支持新建页面，页面切换、页面预览；支持在预览模式下选择页面进行二分屏、四分屏对比讲解；支持在对比模式下批注、擦除，并可将对比页面以图片的形式保存。</w:t>
            </w:r>
          </w:p>
          <w:p>
            <w:pPr>
              <w:jc w:val="left"/>
              <w:rPr>
                <w:rFonts w:hint="eastAsia"/>
                <w:lang w:val="en-US" w:eastAsia="zh-CN"/>
              </w:rPr>
            </w:pPr>
            <w:r>
              <w:rPr>
                <w:rFonts w:hint="eastAsia"/>
                <w:lang w:val="en-US" w:eastAsia="zh-CN"/>
              </w:rPr>
              <w:t>6、视频展台：支持软件内直接调用视频展台进行教学，支持对拍摄画面进行缩放、移动、旋转、批注、擦除、拍照、对比、冻结画面等功能。</w:t>
            </w:r>
          </w:p>
          <w:p>
            <w:pPr>
              <w:jc w:val="left"/>
              <w:rPr>
                <w:rFonts w:hint="eastAsia"/>
                <w:lang w:val="en-US" w:eastAsia="zh-CN"/>
              </w:rPr>
            </w:pPr>
            <w:r>
              <w:rPr>
                <w:rFonts w:hint="eastAsia"/>
                <w:lang w:val="en-US" w:eastAsia="zh-CN"/>
              </w:rPr>
              <w:t>文本输入：软件具有智能书写功能，包含汉字、数字、英文在内的多种文字，在书写过程中系统会进行智能评判并给出标准文字建议。</w:t>
            </w:r>
          </w:p>
          <w:p>
            <w:pPr>
              <w:jc w:val="left"/>
              <w:rPr>
                <w:rFonts w:hint="eastAsia"/>
                <w:lang w:val="en-US" w:eastAsia="zh-CN"/>
              </w:rPr>
            </w:pPr>
            <w:r>
              <w:rPr>
                <w:rFonts w:hint="eastAsia"/>
                <w:lang w:val="en-US" w:eastAsia="zh-CN"/>
              </w:rPr>
              <w:t>三、教学助手要求</w:t>
            </w:r>
          </w:p>
          <w:p>
            <w:pPr>
              <w:jc w:val="left"/>
              <w:rPr>
                <w:rFonts w:hint="eastAsia"/>
                <w:lang w:val="en-US" w:eastAsia="zh-CN"/>
              </w:rPr>
            </w:pPr>
            <w:r>
              <w:rPr>
                <w:rFonts w:hint="eastAsia"/>
                <w:lang w:val="en-US" w:eastAsia="zh-CN"/>
              </w:rPr>
              <w:t>1、移动助手采用C/S构架，支持win7 sp1 x64及以上操做系统，支持安卓6.0及以上操作系统，支持iOS10.4及以上操作系统。</w:t>
            </w:r>
          </w:p>
          <w:p>
            <w:pPr>
              <w:jc w:val="left"/>
              <w:rPr>
                <w:rFonts w:hint="eastAsia"/>
                <w:lang w:val="en-US" w:eastAsia="zh-CN"/>
              </w:rPr>
            </w:pPr>
            <w:r>
              <w:rPr>
                <w:rFonts w:hint="eastAsia"/>
                <w:lang w:val="en-US" w:eastAsia="zh-CN"/>
              </w:rPr>
              <w:t>2、移动助手支持局域网设备搜索。支持扫码连接。支持手机投屏，可以将手机的桌面发送到整机端，并支持批注与擦除。支持手机摄像头麦克风直播，支持直播时拍照编辑发送，可对图片进行裁剪旋转等操作。支持课件控制，支持在手机端对服务端PPT进行播放，退出，翻页，批注，擦除等多种操作，手机端可以对PPT进行缩略图预览。</w:t>
            </w:r>
          </w:p>
          <w:p>
            <w:pPr>
              <w:jc w:val="left"/>
              <w:rPr>
                <w:rFonts w:hint="eastAsia"/>
                <w:lang w:val="en-US" w:eastAsia="zh-CN"/>
              </w:rPr>
            </w:pPr>
            <w:r>
              <w:rPr>
                <w:rFonts w:hint="eastAsia"/>
                <w:lang w:val="en-US" w:eastAsia="zh-CN"/>
              </w:rPr>
              <w:t>支持客户端文件上传，手机端可以将文件传输至服务端。支持手机端音视频文件串流播放，手机端可以将手机内的音视频文件边传输，边在服务端播放，减少不必要的等待，并支持对播放进行暂停，继续，快进等操作。</w:t>
            </w:r>
          </w:p>
          <w:p>
            <w:pPr>
              <w:jc w:val="left"/>
              <w:rPr>
                <w:rFonts w:hint="eastAsia"/>
                <w:lang w:val="en-US" w:eastAsia="zh-CN"/>
              </w:rPr>
            </w:pPr>
            <w:r>
              <w:rPr>
                <w:rFonts w:hint="eastAsia"/>
                <w:lang w:val="en-US" w:eastAsia="zh-CN"/>
              </w:rPr>
              <w:t>3、Windows 端、移动端均支持一键分享投屏，无需扫描二维码或者账号登录。（提供具有CMA</w:t>
            </w:r>
            <w:r>
              <w:rPr>
                <w:rFonts w:hint="default"/>
                <w:lang w:val="en-US" w:eastAsia="zh-CN"/>
              </w:rPr>
              <w:t>或</w:t>
            </w:r>
            <w:r>
              <w:rPr>
                <w:rFonts w:hint="eastAsia"/>
                <w:lang w:val="en-US" w:eastAsia="zh-CN"/>
              </w:rPr>
              <w:t>CNAS标识的第三方权威机构出具的检测报告复印件并加盖厂商公章）</w:t>
            </w:r>
          </w:p>
          <w:p>
            <w:pPr>
              <w:jc w:val="left"/>
              <w:rPr>
                <w:rFonts w:hint="eastAsia"/>
                <w:lang w:val="en-US" w:eastAsia="zh-CN"/>
              </w:rPr>
            </w:pPr>
            <w:r>
              <w:rPr>
                <w:rFonts w:hint="eastAsia"/>
                <w:lang w:val="en-US" w:eastAsia="zh-CN"/>
              </w:rPr>
              <w:t>4、支持系统桌面同步传输至移动端，支持移动端远程控制系统桌面，实现打开白板功能。支持手机端控制服务端进行屏幕录制。支持服务端对图片进行对比，批注，截图保存。</w:t>
            </w:r>
          </w:p>
          <w:p>
            <w:pPr>
              <w:jc w:val="left"/>
              <w:rPr>
                <w:rFonts w:hint="default"/>
                <w:lang w:val="en-US"/>
              </w:rPr>
            </w:pPr>
            <w:r>
              <w:rPr>
                <w:rFonts w:hint="eastAsia"/>
                <w:lang w:val="en-US" w:eastAsia="zh-CN"/>
              </w:rPr>
              <w:t>5、提供厂家针对本项目的产品来源合法证明（不限于售后服务承诺函；产品彩页）</w:t>
            </w:r>
          </w:p>
        </w:tc>
        <w:tc>
          <w:tcPr>
            <w:tcW w:w="433"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套</w:t>
            </w:r>
          </w:p>
        </w:tc>
        <w:tc>
          <w:tcPr>
            <w:tcW w:w="562" w:type="dxa"/>
            <w:vAlign w:val="center"/>
          </w:tcPr>
          <w:p>
            <w:pPr>
              <w:jc w:val="left"/>
              <w:rPr>
                <w:rFonts w:asciiTheme="minorEastAsia" w:hAnsiTheme="minorEastAsia" w:cstheme="minorEastAsia"/>
                <w:kern w:val="0"/>
                <w:szCs w:val="21"/>
              </w:rPr>
            </w:pPr>
            <w:r>
              <w:rPr>
                <w:rFonts w:hint="eastAsia" w:asciiTheme="minorEastAsia" w:hAnsiTheme="minorEastAsia" w:cstheme="minorEastAsia"/>
                <w:kern w:val="0"/>
                <w:szCs w:val="21"/>
              </w:rPr>
              <w:t>1</w:t>
            </w:r>
          </w:p>
        </w:tc>
        <w:tc>
          <w:tcPr>
            <w:tcW w:w="588" w:type="dxa"/>
            <w:vAlign w:val="center"/>
          </w:tcPr>
          <w:p>
            <w:pPr>
              <w:jc w:val="left"/>
              <w:rPr>
                <w:rFonts w:asciiTheme="minorEastAsia" w:hAnsiTheme="minorEastAsia" w:cstheme="minorEastAsia"/>
                <w:kern w:val="0"/>
                <w:szCs w:val="21"/>
              </w:rPr>
            </w:pPr>
          </w:p>
        </w:tc>
      </w:tr>
    </w:tbl>
    <w:p>
      <w:pPr>
        <w:pStyle w:val="6"/>
        <w:rPr>
          <w:rFonts w:hint="eastAsia"/>
          <w:sz w:val="28"/>
          <w:szCs w:val="28"/>
          <w:lang w:eastAsia="zh-CN"/>
        </w:rPr>
        <w:sectPr>
          <w:pgSz w:w="11906" w:h="16838"/>
          <w:pgMar w:top="1440" w:right="1803" w:bottom="1440" w:left="1803" w:header="851" w:footer="992" w:gutter="0"/>
          <w:pgNumType w:fmt="decimal"/>
          <w:cols w:space="720" w:num="1"/>
          <w:docGrid w:type="lines" w:linePitch="319" w:charSpace="0"/>
        </w:sectPr>
      </w:pPr>
    </w:p>
    <w:p>
      <w:pPr>
        <w:pStyle w:val="6"/>
        <w:rPr>
          <w:rFonts w:hint="eastAsia"/>
          <w:sz w:val="28"/>
          <w:szCs w:val="28"/>
          <w:lang w:val="en-US" w:eastAsia="zh-CN"/>
        </w:rPr>
      </w:pPr>
      <w:r>
        <w:rPr>
          <w:rFonts w:hint="eastAsia"/>
          <w:sz w:val="28"/>
          <w:szCs w:val="28"/>
          <w:lang w:eastAsia="zh-CN"/>
        </w:rPr>
        <w:t>合同包</w:t>
      </w:r>
      <w:r>
        <w:rPr>
          <w:rFonts w:hint="eastAsia"/>
          <w:sz w:val="28"/>
          <w:szCs w:val="28"/>
          <w:lang w:val="en-US" w:eastAsia="zh-CN"/>
        </w:rPr>
        <w:t>3：电子商务师技能竞赛及实践教学软件</w:t>
      </w:r>
    </w:p>
    <w:tbl>
      <w:tblPr>
        <w:tblStyle w:val="29"/>
        <w:tblpPr w:leftFromText="180" w:rightFromText="180" w:vertAnchor="text" w:horzAnchor="margin" w:tblpX="-503" w:tblpY="287"/>
        <w:tblW w:w="95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017"/>
        <w:gridCol w:w="6287"/>
        <w:gridCol w:w="569"/>
        <w:gridCol w:w="593"/>
        <w:gridCol w:w="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trPr>
        <w:tc>
          <w:tcPr>
            <w:tcW w:w="508"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017"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设备名称</w:t>
            </w:r>
          </w:p>
        </w:tc>
        <w:tc>
          <w:tcPr>
            <w:tcW w:w="6287"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配置规格及主要技术参数</w:t>
            </w:r>
          </w:p>
        </w:tc>
        <w:tc>
          <w:tcPr>
            <w:tcW w:w="569"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单位</w:t>
            </w:r>
          </w:p>
        </w:tc>
        <w:tc>
          <w:tcPr>
            <w:tcW w:w="59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数量</w:t>
            </w:r>
          </w:p>
        </w:tc>
        <w:tc>
          <w:tcPr>
            <w:tcW w:w="588"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8"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017" w:type="dxa"/>
            <w:vAlign w:val="center"/>
          </w:tcPr>
          <w:p>
            <w:pPr>
              <w:jc w:val="both"/>
              <w:rPr>
                <w:rFonts w:hint="eastAsia" w:ascii="宋体" w:hAnsi="宋体" w:eastAsia="宋体" w:cs="宋体"/>
                <w:kern w:val="0"/>
                <w:sz w:val="21"/>
                <w:szCs w:val="21"/>
                <w:lang w:eastAsia="zh-CN"/>
              </w:rPr>
            </w:pPr>
            <w:r>
              <w:rPr>
                <w:rFonts w:hint="eastAsia" w:ascii="宋体" w:hAnsi="宋体" w:eastAsia="宋体" w:cs="宋体"/>
                <w:b/>
                <w:bCs/>
                <w:sz w:val="21"/>
                <w:szCs w:val="21"/>
              </w:rPr>
              <w:t>直播营销理实一体化实训系统</w:t>
            </w:r>
            <w:r>
              <w:rPr>
                <w:rFonts w:hint="eastAsia" w:ascii="宋体" w:hAnsi="宋体" w:cs="宋体"/>
                <w:b/>
                <w:bCs/>
                <w:sz w:val="21"/>
                <w:szCs w:val="21"/>
                <w:lang w:eastAsia="zh-CN"/>
              </w:rPr>
              <w:t>（</w:t>
            </w:r>
            <w:r>
              <w:rPr>
                <w:rFonts w:hint="eastAsia" w:ascii="宋体" w:hAnsi="宋体" w:cs="宋体"/>
                <w:b/>
                <w:bCs/>
                <w:sz w:val="21"/>
                <w:szCs w:val="21"/>
                <w:lang w:val="en-US" w:eastAsia="zh-CN"/>
              </w:rPr>
              <w:t>核心产品</w:t>
            </w:r>
            <w:r>
              <w:rPr>
                <w:rFonts w:hint="eastAsia" w:ascii="宋体" w:hAnsi="宋体" w:cs="宋体"/>
                <w:b/>
                <w:bCs/>
                <w:sz w:val="21"/>
                <w:szCs w:val="21"/>
                <w:lang w:eastAsia="zh-CN"/>
              </w:rPr>
              <w:t>）</w:t>
            </w:r>
          </w:p>
        </w:tc>
        <w:tc>
          <w:tcPr>
            <w:tcW w:w="6287" w:type="dxa"/>
          </w:tcPr>
          <w:p>
            <w:p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直播营销理实一体化实训系统</w:t>
            </w:r>
            <w:r>
              <w:rPr>
                <w:rFonts w:hint="eastAsia" w:ascii="宋体" w:hAnsi="宋体" w:eastAsia="宋体" w:cs="宋体"/>
                <w:color w:val="auto"/>
                <w:sz w:val="24"/>
                <w:szCs w:val="24"/>
              </w:rPr>
              <w:t>以直播活动的策划、推广、实施、复盘为核心，可对学生进行直播营销全过程的教学与实训。系统兼具仿真平台实训和教师在线教学双重功能，以直播营销策划、直播营销推广、直播营销实施、直播营销效果分析与优化等模块指导学生直播营销的技能实训。系统设计了直播效果标准评分表，辅助教师完成学生直播效果的评价。</w:t>
            </w:r>
          </w:p>
          <w:p>
            <w:p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rPr>
              <w:t>技术及功能要求</w:t>
            </w:r>
          </w:p>
          <w:p>
            <w:p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系统采用B/S架构设计，不需要安装客户端，通过浏览器访问，可支持基于校园网的应用。</w:t>
            </w:r>
          </w:p>
          <w:p>
            <w:p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系统首页支持学生、教师、系统管理员使用不同的身份登录软件，不同的身份具有不同的操作权限。</w:t>
            </w:r>
          </w:p>
          <w:p>
            <w:p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提供系统管理功能，教师用户采用实名制管理，教师账号保留与使用权限分开管理，允许多教师同时使用，分班管理。</w:t>
            </w:r>
          </w:p>
          <w:p>
            <w:pP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系统具有良好的数据分析功能，能通过监测学生的实训数据，以图表的形式直观的反应出学生的活跃度与实训任务的活跃度。</w:t>
            </w:r>
            <w:r>
              <w:rPr>
                <w:rFonts w:hint="eastAsia" w:ascii="宋体" w:hAnsi="宋体" w:cs="宋体"/>
                <w:b/>
                <w:bCs/>
                <w:color w:val="auto"/>
                <w:sz w:val="24"/>
                <w:szCs w:val="24"/>
                <w:lang w:eastAsia="zh-CN"/>
              </w:rPr>
              <w:t>（提供现场演示）</w:t>
            </w:r>
          </w:p>
          <w:p>
            <w:p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系统支持查看多种数据分析结果，按任务可以查看每个任务的学习次数、所有学生的整体成绩分布图，满足诊断性评价的要求。教师用户可以查看每个教师的学生总数、任务总数、学生完成度、学生成绩、每个任务的完成情况等。</w:t>
            </w:r>
          </w:p>
          <w:p>
            <w:p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支持完整的教学过程管理功能，包括个人信息管理、学生用户管理、教学任务管理、学生作业评价、实训结果分析等。</w:t>
            </w:r>
          </w:p>
          <w:p>
            <w:p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教师用户的个人中心界面，要以图表或者排行的形式展现学生的实训成绩与完成数的分布，各任务完成的进度、不同任务成绩分析等。有明确的批阅指引，方便老师对学生提交的任务及时进行查看批阅。</w:t>
            </w:r>
          </w:p>
          <w:p>
            <w:p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任务批阅界面支持分数、评语两种评价方式，支持重点查阅和详细查阅两种阅读形式，支持自定义评语，跳过步骤进行快捷批阅。</w:t>
            </w:r>
          </w:p>
          <w:p>
            <w:pPr>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9、</w:t>
            </w:r>
            <w:r>
              <w:rPr>
                <w:rFonts w:hint="eastAsia" w:ascii="宋体" w:hAnsi="宋体" w:eastAsia="宋体" w:cs="宋体"/>
                <w:b/>
                <w:bCs/>
                <w:color w:val="auto"/>
                <w:sz w:val="24"/>
                <w:szCs w:val="24"/>
              </w:rPr>
              <w:t>教师端的学情分析提供按任务、学生两种形式的分析结果，采用图形和列表两种形式呈现。任务分析结果以进度和成绩的分析图为主，进度的主要分析要素是不同任务的完成率，成绩的分析图要体现出不同任务的成绩分布（最高分、最低分、平均分）。按学生进行分析的结果，以学生为变量，完成率和实训成绩为因变量，用图表或列表的形式展现出变量与因变量之间的关系。</w:t>
            </w:r>
            <w:r>
              <w:rPr>
                <w:rFonts w:hint="eastAsia" w:ascii="宋体" w:hAnsi="宋体" w:cs="宋体"/>
                <w:b/>
                <w:bCs/>
                <w:color w:val="auto"/>
                <w:sz w:val="24"/>
                <w:szCs w:val="24"/>
                <w:lang w:eastAsia="zh-CN"/>
              </w:rPr>
              <w:t>（提供现场演示）</w:t>
            </w:r>
          </w:p>
          <w:p>
            <w:p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支持完整的实训学习管理以及模拟训练功能，包括个人信息管理、实训任务查看、提交、系统消息的接收等。</w:t>
            </w:r>
          </w:p>
          <w:p>
            <w:p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学生端个人中心界面，要直观体现任务完成的进度、个人成绩、待完成的任务、同班同学的任务进度排行、成绩排行等信息。</w:t>
            </w:r>
          </w:p>
          <w:p>
            <w:p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学生端对于不同的任务状态要明确标识出不同的标签，区分出已完成、未完成、已批阅，方便学生了解自己的实训完成情况。</w:t>
            </w:r>
          </w:p>
          <w:p>
            <w:p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13、</w:t>
            </w:r>
            <w:r>
              <w:rPr>
                <w:rFonts w:hint="eastAsia" w:ascii="宋体" w:hAnsi="宋体" w:eastAsia="宋体" w:cs="宋体"/>
                <w:color w:val="auto"/>
                <w:sz w:val="24"/>
                <w:szCs w:val="24"/>
              </w:rPr>
              <w:t>对于已完成未批阅的任务支持多次修改、重新上传，以最后一次上传内容为最终结果。对于已批阅的任务只允许查看，不支持修改后再上传。</w:t>
            </w:r>
          </w:p>
          <w:p>
            <w:p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14、</w:t>
            </w:r>
            <w:r>
              <w:rPr>
                <w:rFonts w:hint="eastAsia" w:ascii="宋体" w:hAnsi="宋体" w:eastAsia="宋体" w:cs="宋体"/>
                <w:color w:val="auto"/>
                <w:sz w:val="24"/>
                <w:szCs w:val="24"/>
              </w:rPr>
              <w:t>学生端与实训任务配套的教学资源与实训任务之间可在同一界面自由切换，随时查看。</w:t>
            </w:r>
          </w:p>
          <w:p>
            <w:p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15、</w:t>
            </w:r>
            <w:r>
              <w:rPr>
                <w:rFonts w:hint="eastAsia" w:ascii="宋体" w:hAnsi="宋体" w:eastAsia="宋体" w:cs="宋体"/>
                <w:color w:val="auto"/>
                <w:sz w:val="24"/>
                <w:szCs w:val="24"/>
              </w:rPr>
              <w:t>学生端接收到的系统信息，可进行删除、搜索以及标签化管理。</w:t>
            </w:r>
          </w:p>
          <w:p>
            <w:p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rPr>
              <w:t>内容要求</w:t>
            </w:r>
          </w:p>
          <w:p>
            <w:pPr>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系统内实训的类型要涉及直播营销策划、直播推广与引流、直播营销实施、直播营销复盘、粉丝运营5大模块内容，实训不少于10个大任务。</w:t>
            </w:r>
            <w:r>
              <w:rPr>
                <w:rFonts w:hint="eastAsia" w:ascii="宋体" w:hAnsi="宋体" w:cs="宋体"/>
                <w:b/>
                <w:bCs/>
                <w:color w:val="auto"/>
                <w:sz w:val="24"/>
                <w:szCs w:val="24"/>
                <w:lang w:eastAsia="zh-CN"/>
              </w:rPr>
              <w:t>（提供现场演示）</w:t>
            </w:r>
          </w:p>
          <w:p>
            <w:p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实训系统关联配套课程资源，每个实训任务都设置对应教学资源，一对一针对性引导实训，方便教师授课。</w:t>
            </w:r>
          </w:p>
          <w:p>
            <w:pPr>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系统内置的实训任务有明确的引导。包括任务目标、任务背景、任务分析、任务操作等内容，将整体任务颗粒化，引导学生一步步克服困难，完成任务。</w:t>
            </w:r>
            <w:r>
              <w:rPr>
                <w:rFonts w:hint="eastAsia" w:ascii="宋体" w:hAnsi="宋体" w:cs="宋体"/>
                <w:b/>
                <w:bCs/>
                <w:color w:val="auto"/>
                <w:sz w:val="24"/>
                <w:szCs w:val="24"/>
                <w:lang w:eastAsia="zh-CN"/>
              </w:rPr>
              <w:t>（提供现场演示）</w:t>
            </w:r>
          </w:p>
          <w:p>
            <w:p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提供Andriod端APP支持，可利用Andriod手机APP端进行直播任务，并支持直播实时录制、网页端同步播放。</w:t>
            </w:r>
          </w:p>
          <w:p>
            <w:pPr>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直播实施的实训任务中根据不同的商品自动推送不同的问题、干扰弹幕，支持弹幕互动、发红包、直播礼物特效等功能。</w:t>
            </w:r>
            <w:r>
              <w:rPr>
                <w:rFonts w:hint="eastAsia" w:ascii="宋体" w:hAnsi="宋体" w:cs="宋体"/>
                <w:b/>
                <w:bCs/>
                <w:color w:val="auto"/>
                <w:sz w:val="24"/>
                <w:szCs w:val="24"/>
                <w:lang w:eastAsia="zh-CN"/>
              </w:rPr>
              <w:t>（提供现场演示）</w:t>
            </w:r>
          </w:p>
          <w:p>
            <w:p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系统模拟直播开始时间、封面图、直播标题、直播简介、直播栏目设置等功能。</w:t>
            </w:r>
          </w:p>
          <w:p>
            <w:pPr>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7、</w:t>
            </w:r>
            <w:r>
              <w:rPr>
                <w:rFonts w:hint="eastAsia" w:ascii="宋体" w:hAnsi="宋体" w:eastAsia="宋体" w:cs="宋体"/>
                <w:b/>
                <w:bCs/>
                <w:color w:val="auto"/>
                <w:sz w:val="24"/>
                <w:szCs w:val="24"/>
              </w:rPr>
              <w:t>系统模拟智能主播助理功能、新人券、优惠券等功能，能够发布直播并查看实时直播视频，直播过程中具备宝贝上架、标记讲解、权益投放、抽奖、投票、店铺小卡、关注卡片、公告、粉丝推送、跨店减免券、裂变优惠券等功能。</w:t>
            </w:r>
            <w:r>
              <w:rPr>
                <w:rFonts w:hint="eastAsia" w:ascii="宋体" w:hAnsi="宋体" w:cs="宋体"/>
                <w:b/>
                <w:bCs/>
                <w:color w:val="auto"/>
                <w:sz w:val="24"/>
                <w:szCs w:val="24"/>
                <w:lang w:eastAsia="zh-CN"/>
              </w:rPr>
              <w:t>（提供现场演示）</w:t>
            </w:r>
          </w:p>
          <w:p>
            <w:pPr>
              <w:rPr>
                <w:rFonts w:hint="eastAsia" w:ascii="宋体" w:hAnsi="宋体" w:eastAsia="宋体" w:cs="宋体"/>
                <w:kern w:val="0"/>
                <w:sz w:val="21"/>
                <w:szCs w:val="21"/>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系统支持由老师从系统商品库中自行选择商品进行组合，让学生训练，同时也支持老师自行出题，导入系统，用于学生实训。</w:t>
            </w:r>
          </w:p>
        </w:tc>
        <w:tc>
          <w:tcPr>
            <w:tcW w:w="569"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套</w:t>
            </w:r>
          </w:p>
        </w:tc>
        <w:tc>
          <w:tcPr>
            <w:tcW w:w="59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588" w:type="dxa"/>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508"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2</w:t>
            </w:r>
          </w:p>
        </w:tc>
        <w:tc>
          <w:tcPr>
            <w:tcW w:w="1017" w:type="dxa"/>
            <w:vAlign w:val="center"/>
          </w:tcPr>
          <w:p>
            <w:pPr>
              <w:jc w:val="center"/>
              <w:rPr>
                <w:rFonts w:hint="eastAsia" w:ascii="宋体" w:hAnsi="宋体" w:eastAsia="宋体" w:cs="宋体"/>
                <w:sz w:val="21"/>
                <w:szCs w:val="21"/>
              </w:rPr>
            </w:pPr>
          </w:p>
          <w:p>
            <w:pPr>
              <w:jc w:val="center"/>
              <w:rPr>
                <w:rFonts w:hint="eastAsia" w:ascii="宋体" w:hAnsi="宋体" w:eastAsia="宋体" w:cs="宋体"/>
                <w:sz w:val="21"/>
                <w:szCs w:val="21"/>
              </w:rPr>
            </w:pPr>
            <w:r>
              <w:rPr>
                <w:rFonts w:hint="eastAsia" w:ascii="宋体" w:hAnsi="宋体" w:eastAsia="宋体" w:cs="宋体"/>
                <w:sz w:val="24"/>
                <w:szCs w:val="24"/>
              </w:rPr>
              <w:t>电子商务师三级实训系统</w:t>
            </w:r>
          </w:p>
        </w:tc>
        <w:tc>
          <w:tcPr>
            <w:tcW w:w="6287" w:type="dxa"/>
          </w:tcPr>
          <w:p>
            <w:pPr>
              <w:spacing w:line="360" w:lineRule="auto"/>
              <w:ind w:firstLine="0" w:firstLineChars="0"/>
              <w:rPr>
                <w:rFonts w:hint="eastAsia" w:ascii="宋体" w:hAnsi="宋体" w:eastAsia="宋体" w:cs="宋体"/>
                <w:sz w:val="24"/>
                <w:szCs w:val="24"/>
              </w:rPr>
            </w:pPr>
            <w:r>
              <w:rPr>
                <w:rFonts w:hint="eastAsia" w:ascii="宋体" w:hAnsi="宋体" w:eastAsia="宋体" w:cs="宋体"/>
                <w:sz w:val="24"/>
                <w:szCs w:val="24"/>
              </w:rPr>
              <w:t>电子商务师三级实训系统以典型工作任务驱动的形式，模拟电子商务平台的业务流程，学生作为卖家完成店铺视觉营销设计、网络推广、网上交易管理、网络客户服务以及电子商务数据分析与应用等工作任务。该实训系统是一个兼具仿真平台实训和教师在线教学双重功能的综合性实训系统。学生通过仿真实训，逐步找到分析问题、解决问题的思路，掌握电子商务职业技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一、内容要求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1、平台可支持B/S架构设计，不需要安装客户端，通过浏览器访问，可支持基于校园网的应用，兼容火狐、谷歌等主流浏览器。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b/>
                <w:bCs/>
                <w:sz w:val="24"/>
                <w:szCs w:val="24"/>
              </w:rPr>
              <w:t>系统需包含视觉营销设计、网络推广、网上交易管理、网络客户服务以及电子商务数据分析与应用</w:t>
            </w:r>
            <w:r>
              <w:rPr>
                <w:rFonts w:hint="eastAsia" w:ascii="宋体" w:hAnsi="宋体" w:eastAsia="宋体" w:cs="宋体"/>
                <w:b/>
                <w:bCs/>
                <w:sz w:val="24"/>
                <w:szCs w:val="24"/>
                <w:lang w:val="en-US" w:eastAsia="zh-CN"/>
              </w:rPr>
              <w:t>五大工作领域，不少于10类工作任务，每个工作任务包含一到多个子任务</w:t>
            </w:r>
            <w:r>
              <w:rPr>
                <w:rFonts w:hint="eastAsia" w:ascii="宋体" w:hAnsi="宋体" w:eastAsia="宋体" w:cs="宋体"/>
                <w:b/>
                <w:bCs/>
                <w:sz w:val="24"/>
                <w:szCs w:val="24"/>
              </w:rPr>
              <w:t>。</w:t>
            </w:r>
            <w:r>
              <w:rPr>
                <w:rFonts w:hint="eastAsia" w:ascii="宋体" w:hAnsi="宋体" w:cs="宋体"/>
                <w:b/>
                <w:bCs/>
                <w:color w:val="auto"/>
                <w:sz w:val="24"/>
                <w:szCs w:val="24"/>
                <w:lang w:eastAsia="zh-CN"/>
              </w:rPr>
              <w:t>（提供现场演示）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3、系统内置公司信息，教师能够在后台为学生分配</w:t>
            </w:r>
            <w:r>
              <w:rPr>
                <w:rFonts w:hint="eastAsia" w:ascii="宋体" w:hAnsi="宋体" w:eastAsia="宋体" w:cs="宋体"/>
                <w:sz w:val="24"/>
                <w:szCs w:val="24"/>
                <w:lang w:val="en-US" w:eastAsia="zh-CN"/>
              </w:rPr>
              <w:t>不同</w:t>
            </w:r>
            <w:r>
              <w:rPr>
                <w:rFonts w:hint="eastAsia" w:ascii="宋体" w:hAnsi="宋体" w:eastAsia="宋体" w:cs="宋体"/>
                <w:sz w:val="24"/>
                <w:szCs w:val="24"/>
              </w:rPr>
              <w:t>公司</w:t>
            </w:r>
            <w:r>
              <w:rPr>
                <w:rFonts w:hint="eastAsia" w:ascii="宋体" w:hAnsi="宋体" w:eastAsia="宋体" w:cs="宋体"/>
                <w:sz w:val="24"/>
                <w:szCs w:val="24"/>
                <w:lang w:val="en-US" w:eastAsia="zh-CN"/>
              </w:rPr>
              <w:t>进行实操</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b/>
                <w:bCs/>
                <w:sz w:val="24"/>
                <w:szCs w:val="24"/>
              </w:rPr>
              <w:t>系统</w:t>
            </w:r>
            <w:r>
              <w:rPr>
                <w:rFonts w:hint="eastAsia" w:ascii="宋体" w:hAnsi="宋体" w:eastAsia="宋体" w:cs="宋体"/>
                <w:b/>
                <w:bCs/>
                <w:sz w:val="24"/>
                <w:szCs w:val="24"/>
                <w:lang w:val="en-US" w:eastAsia="zh-CN"/>
              </w:rPr>
              <w:t>需</w:t>
            </w:r>
            <w:r>
              <w:rPr>
                <w:rFonts w:hint="eastAsia" w:ascii="宋体" w:hAnsi="宋体" w:eastAsia="宋体" w:cs="宋体"/>
                <w:b/>
                <w:bCs/>
                <w:sz w:val="24"/>
                <w:szCs w:val="24"/>
              </w:rPr>
              <w:t>以真实数据、类似引擎、接近算法</w:t>
            </w:r>
            <w:r>
              <w:rPr>
                <w:rFonts w:hint="eastAsia" w:ascii="宋体" w:hAnsi="宋体" w:eastAsia="宋体" w:cs="宋体"/>
                <w:b/>
                <w:bCs/>
                <w:sz w:val="24"/>
                <w:szCs w:val="24"/>
                <w:lang w:val="en-US" w:eastAsia="zh-CN"/>
              </w:rPr>
              <w:t>等</w:t>
            </w:r>
            <w:r>
              <w:rPr>
                <w:rFonts w:hint="eastAsia" w:ascii="宋体" w:hAnsi="宋体" w:eastAsia="宋体" w:cs="宋体"/>
                <w:b/>
                <w:bCs/>
                <w:sz w:val="24"/>
                <w:szCs w:val="24"/>
              </w:rPr>
              <w:t>方式模拟了电子商务平台</w:t>
            </w:r>
            <w:r>
              <w:rPr>
                <w:rFonts w:hint="eastAsia" w:ascii="宋体" w:hAnsi="宋体" w:eastAsia="宋体" w:cs="宋体"/>
                <w:b/>
                <w:bCs/>
                <w:sz w:val="24"/>
                <w:szCs w:val="24"/>
                <w:lang w:eastAsia="zh-CN"/>
              </w:rPr>
              <w:t>，通过虚拟资金解决创业资金短缺问题，通过直观营销效果解决结果模糊的问题</w:t>
            </w:r>
            <w:r>
              <w:rPr>
                <w:rFonts w:hint="eastAsia" w:ascii="宋体" w:hAnsi="宋体" w:eastAsia="宋体" w:cs="宋体"/>
                <w:b/>
                <w:bCs/>
                <w:sz w:val="24"/>
                <w:szCs w:val="24"/>
              </w:rPr>
              <w:t>。</w:t>
            </w:r>
            <w:r>
              <w:rPr>
                <w:rFonts w:hint="eastAsia" w:ascii="宋体" w:hAnsi="宋体" w:cs="宋体"/>
                <w:b/>
                <w:bCs/>
                <w:color w:val="auto"/>
                <w:sz w:val="24"/>
                <w:szCs w:val="24"/>
                <w:lang w:eastAsia="zh-CN"/>
              </w:rPr>
              <w:t>（提供现场演示）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b/>
                <w:bCs/>
                <w:sz w:val="24"/>
                <w:szCs w:val="24"/>
              </w:rPr>
              <w:t>系统</w:t>
            </w:r>
            <w:r>
              <w:rPr>
                <w:rFonts w:hint="eastAsia" w:ascii="宋体" w:hAnsi="宋体" w:eastAsia="宋体" w:cs="宋体"/>
                <w:b/>
                <w:bCs/>
                <w:sz w:val="24"/>
                <w:szCs w:val="24"/>
                <w:lang w:val="en-US" w:eastAsia="zh-CN"/>
              </w:rPr>
              <w:t>需</w:t>
            </w:r>
            <w:r>
              <w:rPr>
                <w:rFonts w:hint="eastAsia" w:ascii="宋体" w:hAnsi="宋体" w:eastAsia="宋体" w:cs="宋体"/>
                <w:b/>
                <w:bCs/>
                <w:sz w:val="24"/>
                <w:szCs w:val="24"/>
              </w:rPr>
              <w:t>实现虚拟仿真考核，打造动态的市场环境，推广模块采用人工智能技术模拟买家来产生点击、购买等行为。</w:t>
            </w:r>
            <w:r>
              <w:rPr>
                <w:rFonts w:hint="eastAsia" w:ascii="宋体" w:hAnsi="宋体" w:cs="宋体"/>
                <w:b/>
                <w:bCs/>
                <w:color w:val="auto"/>
                <w:sz w:val="24"/>
                <w:szCs w:val="24"/>
                <w:lang w:eastAsia="zh-CN"/>
              </w:rPr>
              <w:t>（提供现场演示）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二、功能要求</w:t>
            </w:r>
          </w:p>
          <w:p>
            <w:pPr>
              <w:spacing w:line="360" w:lineRule="auto"/>
              <w:ind w:firstLine="241" w:firstLineChars="100"/>
              <w:rPr>
                <w:rFonts w:hint="eastAsia" w:ascii="宋体" w:hAnsi="宋体" w:eastAsia="宋体" w:cs="宋体"/>
                <w:b/>
                <w:sz w:val="24"/>
                <w:szCs w:val="24"/>
              </w:rPr>
            </w:pPr>
            <w:r>
              <w:rPr>
                <w:rFonts w:hint="eastAsia" w:ascii="宋体" w:hAnsi="宋体" w:eastAsia="宋体" w:cs="宋体"/>
                <w:b/>
                <w:sz w:val="24"/>
                <w:szCs w:val="24"/>
              </w:rPr>
              <w:t>（一）学生端</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b/>
                <w:bCs/>
                <w:sz w:val="24"/>
                <w:szCs w:val="24"/>
              </w:rPr>
              <w:t>视觉营销设计</w:t>
            </w:r>
            <w:r>
              <w:rPr>
                <w:rFonts w:hint="eastAsia" w:ascii="宋体" w:hAnsi="宋体" w:eastAsia="宋体" w:cs="宋体"/>
                <w:b/>
                <w:bCs/>
                <w:sz w:val="24"/>
                <w:szCs w:val="24"/>
                <w:lang w:val="en-US" w:eastAsia="zh-CN"/>
              </w:rPr>
              <w:t>工作领域，</w:t>
            </w:r>
            <w:r>
              <w:rPr>
                <w:rFonts w:hint="eastAsia" w:ascii="宋体" w:hAnsi="宋体" w:eastAsia="宋体" w:cs="宋体"/>
                <w:b/>
                <w:bCs/>
                <w:sz w:val="24"/>
                <w:szCs w:val="24"/>
              </w:rPr>
              <w:t>提供PC端、移动端各两套装修模板。</w:t>
            </w:r>
            <w:r>
              <w:rPr>
                <w:rFonts w:hint="eastAsia" w:ascii="宋体" w:hAnsi="宋体" w:eastAsia="宋体" w:cs="宋体"/>
                <w:b/>
                <w:bCs/>
                <w:sz w:val="24"/>
                <w:szCs w:val="24"/>
                <w:lang w:val="en-US" w:eastAsia="zh-CN"/>
              </w:rPr>
              <w:t>包含PC端店铺首页排版与布局、PC端商品详情页排版与布局、移动端店铺首页排版与布局、移动端商品详情页排版与布局等不少于6个子任务</w:t>
            </w:r>
            <w:r>
              <w:rPr>
                <w:rFonts w:hint="eastAsia" w:ascii="宋体" w:hAnsi="宋体" w:eastAsia="宋体" w:cs="宋体"/>
                <w:b/>
                <w:bCs/>
                <w:sz w:val="24"/>
                <w:szCs w:val="24"/>
              </w:rPr>
              <w:t>。</w:t>
            </w:r>
            <w:r>
              <w:rPr>
                <w:rFonts w:hint="eastAsia" w:ascii="宋体" w:hAnsi="宋体" w:cs="宋体"/>
                <w:b/>
                <w:bCs/>
                <w:color w:val="auto"/>
                <w:sz w:val="24"/>
                <w:szCs w:val="24"/>
                <w:lang w:eastAsia="zh-CN"/>
              </w:rPr>
              <w:t>（提供现场演示）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b/>
                <w:bCs/>
                <w:sz w:val="24"/>
                <w:szCs w:val="24"/>
              </w:rPr>
              <w:t>网络推广</w:t>
            </w:r>
            <w:r>
              <w:rPr>
                <w:rFonts w:hint="eastAsia" w:ascii="宋体" w:hAnsi="宋体" w:eastAsia="宋体" w:cs="宋体"/>
                <w:b/>
                <w:bCs/>
                <w:sz w:val="24"/>
                <w:szCs w:val="24"/>
                <w:lang w:val="en-US" w:eastAsia="zh-CN"/>
              </w:rPr>
              <w:t>工作领域</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包含SEO优化、SEM推广、信息流推广3类工作任务，</w:t>
            </w:r>
            <w:r>
              <w:rPr>
                <w:rFonts w:hint="eastAsia" w:ascii="宋体" w:hAnsi="宋体" w:eastAsia="宋体" w:cs="宋体"/>
                <w:b/>
                <w:bCs/>
                <w:sz w:val="24"/>
                <w:szCs w:val="24"/>
              </w:rPr>
              <w:t>能够模拟网店推广职业岗位基本工作内容与业务流程，模拟电子商务网店站内推广活动。</w:t>
            </w:r>
            <w:r>
              <w:rPr>
                <w:rFonts w:hint="eastAsia" w:ascii="宋体" w:hAnsi="宋体" w:cs="宋体"/>
                <w:b/>
                <w:bCs/>
                <w:color w:val="auto"/>
                <w:sz w:val="24"/>
                <w:szCs w:val="24"/>
                <w:lang w:eastAsia="zh-CN"/>
              </w:rPr>
              <w:t>（提供现场演示）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能够</w:t>
            </w:r>
            <w:r>
              <w:rPr>
                <w:rFonts w:hint="eastAsia" w:ascii="宋体" w:hAnsi="宋体" w:eastAsia="宋体" w:cs="宋体"/>
                <w:sz w:val="24"/>
                <w:szCs w:val="24"/>
              </w:rPr>
              <w:t>根据推广目标、推广资金与店铺经营现状，制定推广方案，包括SEM推广、信息流推广和标题优化等，能够进行推广效果数据分析，优化推广方案。</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数据分析功能：分析数据包括店铺宝贝、关键词分析、流量解析、钻展出价分析等。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店铺商品：商品的标题、属性、类目、描述、推广前展现量、推广前点击量、推广前点击率、推广前的成交量、推广前转化率。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关键词分析：行业关键词的搜索人气、点击率、转化率、竞争指数；以搜索关键词的形式查看此关键词或此关键词的相关关键词的搜索人气、点击率、转化率、竞争指数。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流量解析：通过类目搜索查看各类目的地区流量展现指数，包括地图样式与文字样式两种；显示往期店铺广告展位平均展现量。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钻展出价分析：提供店铺展位和宝贝展位按CPC或CPM出价的最低出价与平均出价、建议出价查询功能。</w:t>
            </w:r>
          </w:p>
          <w:p>
            <w:pPr>
              <w:numPr>
                <w:ilvl w:val="0"/>
                <w:numId w:val="27"/>
              </w:numPr>
              <w:spacing w:line="360" w:lineRule="auto"/>
              <w:ind w:firstLine="482" w:firstLineChars="200"/>
              <w:rPr>
                <w:rFonts w:hint="eastAsia" w:ascii="宋体" w:hAnsi="宋体" w:eastAsia="宋体" w:cs="宋体"/>
                <w:sz w:val="24"/>
                <w:szCs w:val="24"/>
                <w:lang w:val="en-US"/>
              </w:rPr>
            </w:pPr>
            <w:r>
              <w:rPr>
                <w:rFonts w:hint="eastAsia" w:ascii="宋体" w:hAnsi="宋体" w:eastAsia="宋体" w:cs="宋体"/>
                <w:b/>
                <w:bCs/>
                <w:sz w:val="24"/>
                <w:szCs w:val="24"/>
              </w:rPr>
              <w:t>网上交易管理</w:t>
            </w:r>
            <w:r>
              <w:rPr>
                <w:rFonts w:hint="eastAsia" w:ascii="宋体" w:hAnsi="宋体" w:eastAsia="宋体" w:cs="宋体"/>
                <w:b/>
                <w:bCs/>
                <w:sz w:val="24"/>
                <w:szCs w:val="24"/>
                <w:lang w:val="en-US" w:eastAsia="zh-CN"/>
              </w:rPr>
              <w:t>工作领域</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包含</w:t>
            </w:r>
            <w:r>
              <w:rPr>
                <w:rFonts w:hint="eastAsia" w:ascii="宋体" w:hAnsi="宋体" w:eastAsia="宋体" w:cs="宋体"/>
                <w:b/>
                <w:bCs/>
                <w:sz w:val="24"/>
                <w:szCs w:val="24"/>
              </w:rPr>
              <w:t>客户画像分析</w:t>
            </w:r>
            <w:r>
              <w:rPr>
                <w:rFonts w:hint="eastAsia" w:ascii="宋体" w:hAnsi="宋体" w:eastAsia="宋体" w:cs="宋体"/>
                <w:b/>
                <w:bCs/>
                <w:sz w:val="24"/>
                <w:szCs w:val="24"/>
                <w:lang w:eastAsia="zh-CN"/>
              </w:rPr>
              <w:t>、</w:t>
            </w:r>
            <w:r>
              <w:rPr>
                <w:rFonts w:hint="eastAsia" w:ascii="宋体" w:hAnsi="宋体" w:eastAsia="宋体" w:cs="宋体"/>
                <w:b/>
                <w:bCs/>
                <w:sz w:val="24"/>
                <w:szCs w:val="24"/>
              </w:rPr>
              <w:t>交易评价分析</w:t>
            </w:r>
            <w:r>
              <w:rPr>
                <w:rFonts w:hint="eastAsia" w:ascii="宋体" w:hAnsi="宋体" w:eastAsia="宋体" w:cs="宋体"/>
                <w:b/>
                <w:bCs/>
                <w:sz w:val="24"/>
                <w:szCs w:val="24"/>
                <w:lang w:eastAsia="zh-CN"/>
              </w:rPr>
              <w:t>、</w:t>
            </w:r>
            <w:r>
              <w:rPr>
                <w:rFonts w:hint="eastAsia" w:ascii="宋体" w:hAnsi="宋体" w:eastAsia="宋体" w:cs="宋体"/>
                <w:b/>
                <w:bCs/>
                <w:sz w:val="24"/>
                <w:szCs w:val="24"/>
              </w:rPr>
              <w:t>销售报表制作</w:t>
            </w:r>
            <w:r>
              <w:rPr>
                <w:rFonts w:hint="eastAsia" w:ascii="宋体" w:hAnsi="宋体" w:eastAsia="宋体" w:cs="宋体"/>
                <w:b/>
                <w:bCs/>
                <w:sz w:val="24"/>
                <w:szCs w:val="24"/>
                <w:lang w:eastAsia="zh-CN"/>
              </w:rPr>
              <w:t>、</w:t>
            </w:r>
            <w:r>
              <w:rPr>
                <w:rFonts w:hint="eastAsia" w:ascii="宋体" w:hAnsi="宋体" w:eastAsia="宋体" w:cs="宋体"/>
                <w:b/>
                <w:bCs/>
                <w:sz w:val="24"/>
                <w:szCs w:val="24"/>
              </w:rPr>
              <w:t>采购计划制定</w:t>
            </w:r>
            <w:r>
              <w:rPr>
                <w:rFonts w:hint="eastAsia" w:ascii="宋体" w:hAnsi="宋体" w:eastAsia="宋体" w:cs="宋体"/>
                <w:b/>
                <w:bCs/>
                <w:sz w:val="24"/>
                <w:szCs w:val="24"/>
                <w:lang w:val="en-US" w:eastAsia="zh-CN"/>
              </w:rPr>
              <w:t>4类工作任务</w:t>
            </w:r>
            <w:r>
              <w:rPr>
                <w:rFonts w:hint="eastAsia" w:ascii="宋体" w:hAnsi="宋体" w:eastAsia="宋体" w:cs="宋体"/>
                <w:b/>
                <w:bCs/>
                <w:sz w:val="24"/>
                <w:szCs w:val="24"/>
              </w:rPr>
              <w:t>。</w:t>
            </w:r>
            <w:r>
              <w:rPr>
                <w:rFonts w:hint="eastAsia" w:ascii="宋体" w:hAnsi="宋体" w:cs="宋体"/>
                <w:b/>
                <w:bCs/>
                <w:color w:val="auto"/>
                <w:sz w:val="24"/>
                <w:szCs w:val="24"/>
                <w:lang w:eastAsia="zh-CN"/>
              </w:rPr>
              <w:t>（提供现场演示）</w:t>
            </w:r>
          </w:p>
          <w:p>
            <w:pPr>
              <w:spacing w:line="360" w:lineRule="auto"/>
              <w:ind w:firstLine="480" w:firstLineChars="200"/>
              <w:rPr>
                <w:rFonts w:hint="eastAsia" w:ascii="宋体" w:hAnsi="宋体" w:eastAsia="宋体" w:cs="宋体"/>
                <w:sz w:val="24"/>
                <w:szCs w:val="24"/>
                <w:lang w:val="en-US"/>
              </w:rPr>
            </w:pPr>
            <w:r>
              <w:rPr>
                <w:rFonts w:hint="eastAsia" w:ascii="宋体" w:hAnsi="宋体" w:eastAsia="宋体" w:cs="宋体"/>
                <w:sz w:val="24"/>
                <w:szCs w:val="24"/>
                <w:lang w:val="en-US" w:eastAsia="zh-CN"/>
              </w:rPr>
              <w:t>系统提供客户特征数据、评价数据、销售数据、库存数据等大量真实数据。</w:t>
            </w:r>
          </w:p>
          <w:p>
            <w:pPr>
              <w:numPr>
                <w:ilvl w:val="0"/>
                <w:numId w:val="27"/>
              </w:num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网络客户服务</w:t>
            </w:r>
            <w:r>
              <w:rPr>
                <w:rFonts w:hint="eastAsia" w:ascii="宋体" w:hAnsi="宋体" w:eastAsia="宋体" w:cs="宋体"/>
                <w:b/>
                <w:bCs/>
                <w:sz w:val="24"/>
                <w:szCs w:val="24"/>
                <w:lang w:val="en-US" w:eastAsia="zh-CN"/>
              </w:rPr>
              <w:t>工作领域</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包含</w:t>
            </w:r>
            <w:r>
              <w:rPr>
                <w:rFonts w:hint="eastAsia" w:ascii="宋体" w:hAnsi="宋体" w:eastAsia="宋体" w:cs="宋体"/>
                <w:b/>
                <w:bCs/>
                <w:sz w:val="24"/>
                <w:szCs w:val="24"/>
              </w:rPr>
              <w:t>社群建立</w:t>
            </w:r>
            <w:r>
              <w:rPr>
                <w:rFonts w:hint="eastAsia" w:ascii="宋体" w:hAnsi="宋体" w:eastAsia="宋体" w:cs="宋体"/>
                <w:b/>
                <w:bCs/>
                <w:sz w:val="24"/>
                <w:szCs w:val="24"/>
                <w:lang w:eastAsia="zh-CN"/>
              </w:rPr>
              <w:t>、</w:t>
            </w:r>
            <w:r>
              <w:rPr>
                <w:rFonts w:hint="eastAsia" w:ascii="宋体" w:hAnsi="宋体" w:eastAsia="宋体" w:cs="宋体"/>
                <w:b/>
                <w:bCs/>
                <w:sz w:val="24"/>
                <w:szCs w:val="24"/>
              </w:rPr>
              <w:t>社群邀新</w:t>
            </w:r>
            <w:r>
              <w:rPr>
                <w:rFonts w:hint="eastAsia" w:ascii="宋体" w:hAnsi="宋体" w:eastAsia="宋体" w:cs="宋体"/>
                <w:b/>
                <w:bCs/>
                <w:sz w:val="24"/>
                <w:szCs w:val="24"/>
                <w:lang w:eastAsia="zh-CN"/>
              </w:rPr>
              <w:t>、</w:t>
            </w:r>
            <w:r>
              <w:rPr>
                <w:rFonts w:hint="eastAsia" w:ascii="宋体" w:hAnsi="宋体" w:eastAsia="宋体" w:cs="宋体"/>
                <w:b/>
                <w:bCs/>
                <w:sz w:val="24"/>
                <w:szCs w:val="24"/>
              </w:rPr>
              <w:t>社群运营</w:t>
            </w:r>
            <w:r>
              <w:rPr>
                <w:rFonts w:hint="eastAsia" w:ascii="宋体" w:hAnsi="宋体" w:eastAsia="宋体" w:cs="宋体"/>
                <w:b/>
                <w:bCs/>
                <w:sz w:val="24"/>
                <w:szCs w:val="24"/>
                <w:lang w:eastAsia="zh-CN"/>
              </w:rPr>
              <w:t>、</w:t>
            </w:r>
            <w:r>
              <w:rPr>
                <w:rFonts w:hint="eastAsia" w:ascii="宋体" w:hAnsi="宋体" w:eastAsia="宋体" w:cs="宋体"/>
                <w:b/>
                <w:bCs/>
                <w:sz w:val="24"/>
                <w:szCs w:val="24"/>
              </w:rPr>
              <w:t>客户活动运营</w:t>
            </w:r>
            <w:r>
              <w:rPr>
                <w:rFonts w:hint="eastAsia" w:ascii="宋体" w:hAnsi="宋体" w:eastAsia="宋体" w:cs="宋体"/>
                <w:b/>
                <w:bCs/>
                <w:sz w:val="24"/>
                <w:szCs w:val="24"/>
                <w:lang w:val="en-US" w:eastAsia="zh-CN"/>
              </w:rPr>
              <w:t>4类工作任务，系统采用相同UI界面设计及逆行仿真模拟</w:t>
            </w:r>
            <w:r>
              <w:rPr>
                <w:rFonts w:hint="eastAsia" w:ascii="宋体" w:hAnsi="宋体" w:eastAsia="宋体" w:cs="宋体"/>
                <w:b/>
                <w:bCs/>
                <w:sz w:val="24"/>
                <w:szCs w:val="24"/>
              </w:rPr>
              <w:t>。</w:t>
            </w:r>
            <w:r>
              <w:rPr>
                <w:rFonts w:hint="eastAsia" w:ascii="宋体" w:hAnsi="宋体" w:cs="宋体"/>
                <w:b/>
                <w:bCs/>
                <w:color w:val="auto"/>
                <w:sz w:val="24"/>
                <w:szCs w:val="24"/>
                <w:lang w:eastAsia="zh-CN"/>
              </w:rPr>
              <w:t>（提供现场演示）</w:t>
            </w:r>
          </w:p>
          <w:p>
            <w:pPr>
              <w:numPr>
                <w:ilvl w:val="0"/>
                <w:numId w:val="27"/>
              </w:num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电子商务数据分析与应用</w:t>
            </w:r>
            <w:r>
              <w:rPr>
                <w:rFonts w:hint="eastAsia" w:ascii="宋体" w:hAnsi="宋体" w:eastAsia="宋体" w:cs="宋体"/>
                <w:b/>
                <w:bCs/>
                <w:sz w:val="24"/>
                <w:szCs w:val="24"/>
                <w:lang w:val="en-US" w:eastAsia="zh-CN"/>
              </w:rPr>
              <w:t>工作领域</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包含</w:t>
            </w:r>
            <w:r>
              <w:rPr>
                <w:rFonts w:hint="eastAsia" w:ascii="宋体" w:hAnsi="宋体" w:eastAsia="宋体" w:cs="宋体"/>
                <w:b/>
                <w:bCs/>
                <w:sz w:val="24"/>
                <w:szCs w:val="24"/>
              </w:rPr>
              <w:t>商务数据统计与分析</w:t>
            </w:r>
            <w:r>
              <w:rPr>
                <w:rFonts w:hint="eastAsia" w:ascii="宋体" w:hAnsi="宋体" w:eastAsia="宋体" w:cs="宋体"/>
                <w:b/>
                <w:bCs/>
                <w:sz w:val="24"/>
                <w:szCs w:val="24"/>
                <w:lang w:eastAsia="zh-CN"/>
              </w:rPr>
              <w:t>、</w:t>
            </w:r>
            <w:r>
              <w:rPr>
                <w:rFonts w:hint="eastAsia" w:ascii="宋体" w:hAnsi="宋体" w:eastAsia="宋体" w:cs="宋体"/>
                <w:b/>
                <w:bCs/>
                <w:sz w:val="24"/>
                <w:szCs w:val="24"/>
              </w:rPr>
              <w:t>数据报表设计与制作</w:t>
            </w:r>
            <w:r>
              <w:rPr>
                <w:rFonts w:hint="eastAsia" w:ascii="宋体" w:hAnsi="宋体" w:eastAsia="宋体" w:cs="宋体"/>
                <w:b/>
                <w:bCs/>
                <w:sz w:val="24"/>
                <w:szCs w:val="24"/>
                <w:lang w:val="en-US" w:eastAsia="zh-CN"/>
              </w:rPr>
              <w:t>2类工作任务</w:t>
            </w:r>
            <w:r>
              <w:rPr>
                <w:rFonts w:hint="eastAsia" w:ascii="宋体" w:hAnsi="宋体" w:eastAsia="宋体" w:cs="宋体"/>
                <w:b/>
                <w:bCs/>
                <w:sz w:val="24"/>
                <w:szCs w:val="24"/>
              </w:rPr>
              <w:t>。</w:t>
            </w:r>
            <w:r>
              <w:rPr>
                <w:rFonts w:hint="eastAsia" w:ascii="宋体" w:hAnsi="宋体" w:cs="宋体"/>
                <w:b/>
                <w:bCs/>
                <w:color w:val="auto"/>
                <w:sz w:val="24"/>
                <w:szCs w:val="24"/>
                <w:lang w:eastAsia="zh-CN"/>
              </w:rPr>
              <w:t>（提供现场演示）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内置地理分布图、雷达图、饼状图、环形图等多种图标模式。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内置包含流量来源数据、转化率数据、复购率数据、客单价数据、营销活动数据在内的大量真实数据。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6、客观部分任务完成后，学生端提供任务成绩展示和任务操作内容系统判断的对比结果。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7、学生端的每个实训任务都可通过重置任务进行反复训练。。</w:t>
            </w:r>
          </w:p>
          <w:p>
            <w:pPr>
              <w:spacing w:line="360" w:lineRule="auto"/>
              <w:ind w:firstLine="241" w:firstLineChars="100"/>
              <w:rPr>
                <w:rFonts w:hint="eastAsia" w:ascii="宋体" w:hAnsi="宋体" w:eastAsia="宋体" w:cs="宋体"/>
                <w:sz w:val="24"/>
                <w:szCs w:val="24"/>
              </w:rPr>
            </w:pPr>
            <w:r>
              <w:rPr>
                <w:rFonts w:hint="eastAsia" w:ascii="宋体" w:hAnsi="宋体" w:eastAsia="宋体" w:cs="宋体"/>
                <w:b/>
                <w:sz w:val="24"/>
                <w:szCs w:val="24"/>
              </w:rPr>
              <w:t>（二）教师端</w:t>
            </w:r>
          </w:p>
          <w:p>
            <w:pPr>
              <w:spacing w:line="360" w:lineRule="auto"/>
              <w:ind w:firstLine="211"/>
              <w:rPr>
                <w:rFonts w:hint="eastAsia" w:ascii="宋体" w:hAnsi="宋体" w:eastAsia="宋体" w:cs="宋体"/>
                <w:sz w:val="24"/>
                <w:szCs w:val="24"/>
              </w:rPr>
            </w:pPr>
            <w:r>
              <w:rPr>
                <w:rFonts w:hint="eastAsia" w:ascii="宋体" w:hAnsi="宋体" w:eastAsia="宋体" w:cs="宋体"/>
                <w:sz w:val="24"/>
                <w:szCs w:val="24"/>
              </w:rPr>
              <w:t>1、经营控制。</w:t>
            </w:r>
          </w:p>
          <w:p>
            <w:pPr>
              <w:spacing w:line="360" w:lineRule="auto"/>
              <w:ind w:firstLine="211"/>
              <w:rPr>
                <w:rFonts w:hint="eastAsia" w:ascii="宋体" w:hAnsi="宋体" w:eastAsia="宋体" w:cs="宋体"/>
                <w:sz w:val="24"/>
                <w:szCs w:val="24"/>
              </w:rPr>
            </w:pPr>
            <w:r>
              <w:rPr>
                <w:rFonts w:hint="eastAsia" w:ascii="宋体" w:hAnsi="宋体" w:eastAsia="宋体" w:cs="宋体"/>
                <w:sz w:val="24"/>
                <w:szCs w:val="24"/>
              </w:rPr>
              <w:t>（1）对学生账号进行管理，开放与关闭学生账号，初始化数据，设置</w:t>
            </w:r>
            <w:r>
              <w:rPr>
                <w:rFonts w:hint="eastAsia" w:ascii="宋体" w:hAnsi="宋体" w:eastAsia="宋体" w:cs="宋体"/>
                <w:sz w:val="24"/>
                <w:szCs w:val="24"/>
                <w:lang w:val="en-US" w:eastAsia="zh-CN"/>
              </w:rPr>
              <w:t>推广时间</w:t>
            </w:r>
            <w:r>
              <w:rPr>
                <w:rFonts w:hint="eastAsia" w:ascii="宋体" w:hAnsi="宋体" w:eastAsia="宋体" w:cs="宋体"/>
                <w:sz w:val="24"/>
                <w:szCs w:val="24"/>
              </w:rPr>
              <w:t>，设置学生延时。</w:t>
            </w:r>
          </w:p>
          <w:p>
            <w:pPr>
              <w:spacing w:line="360" w:lineRule="auto"/>
              <w:ind w:firstLine="211"/>
              <w:rPr>
                <w:rFonts w:hint="eastAsia" w:ascii="宋体" w:hAnsi="宋体" w:eastAsia="宋体" w:cs="宋体"/>
                <w:sz w:val="24"/>
                <w:szCs w:val="24"/>
              </w:rPr>
            </w:pPr>
            <w:r>
              <w:rPr>
                <w:rFonts w:hint="eastAsia" w:ascii="宋体" w:hAnsi="宋体" w:eastAsia="宋体" w:cs="宋体"/>
                <w:sz w:val="24"/>
                <w:szCs w:val="24"/>
              </w:rPr>
              <w:t>（2）可以修改推广现金、推广时间以及系统随机值</w:t>
            </w:r>
          </w:p>
          <w:p>
            <w:pPr>
              <w:spacing w:line="360" w:lineRule="auto"/>
              <w:ind w:firstLine="211"/>
              <w:rPr>
                <w:rFonts w:hint="eastAsia" w:ascii="宋体" w:hAnsi="宋体" w:eastAsia="宋体" w:cs="宋体"/>
                <w:sz w:val="24"/>
                <w:szCs w:val="24"/>
              </w:rPr>
            </w:pPr>
            <w:r>
              <w:rPr>
                <w:rFonts w:hint="eastAsia" w:ascii="宋体" w:hAnsi="宋体" w:eastAsia="宋体" w:cs="宋体"/>
                <w:sz w:val="24"/>
                <w:szCs w:val="24"/>
              </w:rPr>
              <w:t>（3）可以为学生分配推广公司</w:t>
            </w:r>
          </w:p>
          <w:p>
            <w:pPr>
              <w:spacing w:line="360" w:lineRule="auto"/>
              <w:ind w:firstLine="211"/>
              <w:rPr>
                <w:rFonts w:hint="eastAsia" w:ascii="宋体" w:hAnsi="宋体" w:eastAsia="宋体" w:cs="宋体"/>
                <w:sz w:val="24"/>
                <w:szCs w:val="24"/>
              </w:rPr>
            </w:pPr>
            <w:r>
              <w:rPr>
                <w:rFonts w:hint="eastAsia" w:ascii="宋体" w:hAnsi="宋体" w:eastAsia="宋体" w:cs="宋体"/>
                <w:sz w:val="24"/>
                <w:szCs w:val="24"/>
              </w:rPr>
              <w:t>（4）可以清除在线学生的缓存，或者踢出该帐户</w:t>
            </w:r>
          </w:p>
          <w:p>
            <w:pPr>
              <w:spacing w:line="360" w:lineRule="auto"/>
              <w:ind w:firstLine="211"/>
              <w:rPr>
                <w:rFonts w:hint="eastAsia" w:ascii="宋体" w:hAnsi="宋体" w:eastAsia="宋体" w:cs="宋体"/>
                <w:sz w:val="24"/>
                <w:szCs w:val="24"/>
              </w:rPr>
            </w:pPr>
            <w:r>
              <w:rPr>
                <w:rFonts w:hint="eastAsia" w:ascii="宋体" w:hAnsi="宋体" w:eastAsia="宋体" w:cs="宋体"/>
                <w:sz w:val="24"/>
                <w:szCs w:val="24"/>
              </w:rPr>
              <w:t>（5）可以清除经营数据，初始化数据。</w:t>
            </w:r>
          </w:p>
          <w:p>
            <w:pPr>
              <w:spacing w:line="360" w:lineRule="auto"/>
              <w:ind w:firstLine="211"/>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b/>
                <w:bCs/>
                <w:sz w:val="24"/>
                <w:szCs w:val="24"/>
              </w:rPr>
              <w:t>具备主观评分、客观评分两种评分方式，除视觉营销设计</w:t>
            </w:r>
            <w:r>
              <w:rPr>
                <w:rFonts w:hint="eastAsia" w:ascii="宋体" w:hAnsi="宋体" w:eastAsia="宋体" w:cs="宋体"/>
                <w:b/>
                <w:bCs/>
                <w:sz w:val="24"/>
                <w:szCs w:val="24"/>
                <w:lang w:val="en-US" w:eastAsia="zh-CN"/>
              </w:rPr>
              <w:t>工作领域</w:t>
            </w:r>
            <w:r>
              <w:rPr>
                <w:rFonts w:hint="eastAsia" w:ascii="宋体" w:hAnsi="宋体" w:eastAsia="宋体" w:cs="宋体"/>
                <w:b/>
                <w:bCs/>
                <w:sz w:val="24"/>
                <w:szCs w:val="24"/>
              </w:rPr>
              <w:t>之外的所有任务均采用客观评分方式。客观评分任务，学生提交后，在教师端直接可以查看到学生每个实训任务对应的得分情况，主观评分任务提供详细的评分标准，通过分档的形式进行评分。</w:t>
            </w:r>
            <w:r>
              <w:rPr>
                <w:rFonts w:hint="eastAsia" w:ascii="宋体" w:hAnsi="宋体" w:cs="宋体"/>
                <w:b/>
                <w:bCs/>
                <w:color w:val="auto"/>
                <w:sz w:val="24"/>
                <w:szCs w:val="24"/>
                <w:lang w:eastAsia="zh-CN"/>
              </w:rPr>
              <w:t>（提供现场演示）</w:t>
            </w:r>
          </w:p>
          <w:p>
            <w:pPr>
              <w:spacing w:line="360" w:lineRule="auto"/>
              <w:ind w:firstLine="211"/>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、教师端能够进行题库管理，可以按照实训需求，分配实训任务店。</w:t>
            </w:r>
          </w:p>
          <w:p>
            <w:pPr>
              <w:spacing w:line="360" w:lineRule="auto"/>
              <w:ind w:firstLine="211"/>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经营设置</w:t>
            </w:r>
          </w:p>
          <w:p>
            <w:pPr>
              <w:spacing w:line="360" w:lineRule="auto"/>
              <w:ind w:firstLine="211"/>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（1）学生管理。可以添加或者批量添加学生帐号，删除学生帐号，以及初始化密码。</w:t>
            </w:r>
          </w:p>
          <w:p>
            <w:pPr>
              <w:spacing w:line="360" w:lineRule="auto"/>
              <w:ind w:firstLine="211"/>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（2）</w:t>
            </w:r>
            <w:r>
              <w:rPr>
                <w:rFonts w:hint="eastAsia" w:ascii="宋体" w:hAnsi="宋体" w:eastAsia="宋体" w:cs="宋体"/>
                <w:sz w:val="24"/>
                <w:szCs w:val="24"/>
                <w:lang w:val="en-US" w:eastAsia="zh-CN"/>
              </w:rPr>
              <w:t>学生端配置</w:t>
            </w:r>
            <w:r>
              <w:rPr>
                <w:rFonts w:hint="eastAsia" w:ascii="宋体" w:hAnsi="宋体" w:eastAsia="宋体" w:cs="宋体"/>
                <w:sz w:val="24"/>
                <w:szCs w:val="24"/>
              </w:rPr>
              <w:t>。</w:t>
            </w:r>
            <w:r>
              <w:rPr>
                <w:rFonts w:hint="eastAsia" w:ascii="宋体" w:hAnsi="宋体" w:eastAsia="宋体" w:cs="宋体"/>
                <w:sz w:val="24"/>
                <w:szCs w:val="24"/>
                <w:lang w:val="en-US" w:eastAsia="zh-CN"/>
              </w:rPr>
              <w:t>可以设置“学生端可自行初始化”权限</w:t>
            </w:r>
            <w:r>
              <w:rPr>
                <w:rFonts w:hint="eastAsia" w:ascii="宋体" w:hAnsi="宋体" w:eastAsia="宋体" w:cs="宋体"/>
                <w:sz w:val="24"/>
                <w:szCs w:val="24"/>
              </w:rPr>
              <w:t>。</w:t>
            </w:r>
          </w:p>
          <w:p>
            <w:pPr>
              <w:spacing w:line="360" w:lineRule="auto"/>
              <w:ind w:firstLine="211"/>
              <w:rPr>
                <w:rFonts w:hint="eastAsia" w:ascii="宋体" w:hAnsi="宋体" w:eastAsia="宋体" w:cs="宋体"/>
                <w:sz w:val="21"/>
                <w:szCs w:val="21"/>
              </w:rPr>
            </w:pPr>
            <w:r>
              <w:rPr>
                <w:rFonts w:hint="eastAsia" w:ascii="宋体" w:hAnsi="宋体" w:eastAsia="宋体" w:cs="宋体"/>
                <w:sz w:val="24"/>
                <w:szCs w:val="24"/>
              </w:rPr>
              <w:t>5、教师端能够管理登录信息，查看登录用户的帐号、昵称、登录IP等。</w:t>
            </w:r>
          </w:p>
        </w:tc>
        <w:tc>
          <w:tcPr>
            <w:tcW w:w="569"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套</w:t>
            </w:r>
          </w:p>
        </w:tc>
        <w:tc>
          <w:tcPr>
            <w:tcW w:w="59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588" w:type="dxa"/>
            <w:vAlign w:val="center"/>
          </w:tcPr>
          <w:p>
            <w:pPr>
              <w:jc w:val="center"/>
              <w:rPr>
                <w:rFonts w:hint="eastAsia" w:ascii="宋体" w:hAnsi="宋体" w:eastAsia="宋体" w:cs="宋体"/>
                <w:sz w:val="21"/>
                <w:szCs w:val="21"/>
              </w:rPr>
            </w:pPr>
          </w:p>
        </w:tc>
      </w:tr>
    </w:tbl>
    <w:p>
      <w:pPr>
        <w:pStyle w:val="6"/>
        <w:rPr>
          <w:rFonts w:hint="eastAsia"/>
          <w:sz w:val="28"/>
          <w:szCs w:val="28"/>
          <w:lang w:eastAsia="zh-CN"/>
        </w:rPr>
        <w:sectPr>
          <w:pgSz w:w="11906" w:h="16838"/>
          <w:pgMar w:top="1440" w:right="1803" w:bottom="1440" w:left="1803" w:header="851" w:footer="992" w:gutter="0"/>
          <w:pgNumType w:fmt="decimal"/>
          <w:cols w:space="720" w:num="1"/>
          <w:docGrid w:type="lines" w:linePitch="319" w:charSpace="0"/>
        </w:sectPr>
      </w:pPr>
    </w:p>
    <w:p>
      <w:pPr>
        <w:pStyle w:val="6"/>
        <w:rPr>
          <w:rFonts w:hint="eastAsia"/>
          <w:sz w:val="28"/>
          <w:szCs w:val="28"/>
          <w:lang w:val="en-US" w:eastAsia="zh-CN"/>
        </w:rPr>
      </w:pPr>
      <w:r>
        <w:rPr>
          <w:rFonts w:hint="eastAsia"/>
          <w:sz w:val="28"/>
          <w:szCs w:val="28"/>
          <w:lang w:eastAsia="zh-CN"/>
        </w:rPr>
        <w:t>合同包</w:t>
      </w:r>
      <w:r>
        <w:rPr>
          <w:rFonts w:hint="eastAsia"/>
          <w:sz w:val="28"/>
          <w:szCs w:val="28"/>
          <w:lang w:val="en-US" w:eastAsia="zh-CN"/>
        </w:rPr>
        <w:t>4：智能财税技能测评平台</w:t>
      </w:r>
    </w:p>
    <w:tbl>
      <w:tblPr>
        <w:tblStyle w:val="29"/>
        <w:tblpPr w:leftFromText="180" w:rightFromText="180" w:vertAnchor="text" w:horzAnchor="margin" w:tblpX="-601" w:tblpY="287"/>
        <w:tblW w:w="98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681"/>
        <w:gridCol w:w="6963"/>
        <w:gridCol w:w="587"/>
        <w:gridCol w:w="563"/>
        <w:gridCol w:w="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trPr>
        <w:tc>
          <w:tcPr>
            <w:tcW w:w="479"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681"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设备名称</w:t>
            </w:r>
          </w:p>
        </w:tc>
        <w:tc>
          <w:tcPr>
            <w:tcW w:w="696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配置规格及主要技术参数</w:t>
            </w:r>
          </w:p>
        </w:tc>
        <w:tc>
          <w:tcPr>
            <w:tcW w:w="587"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单位</w:t>
            </w:r>
          </w:p>
        </w:tc>
        <w:tc>
          <w:tcPr>
            <w:tcW w:w="56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数量</w:t>
            </w:r>
          </w:p>
        </w:tc>
        <w:tc>
          <w:tcPr>
            <w:tcW w:w="537"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9"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681" w:type="dxa"/>
            <w:vAlign w:val="center"/>
          </w:tcPr>
          <w:p>
            <w:pPr>
              <w:rPr>
                <w:rFonts w:hint="eastAsia" w:ascii="宋体" w:hAnsi="宋体" w:eastAsia="宋体" w:cs="宋体"/>
                <w:kern w:val="0"/>
                <w:sz w:val="21"/>
                <w:szCs w:val="21"/>
              </w:rPr>
            </w:pPr>
            <w:r>
              <w:rPr>
                <w:rFonts w:hint="eastAsia" w:ascii="宋体" w:hAnsi="宋体" w:eastAsia="宋体" w:cs="宋体"/>
                <w:sz w:val="21"/>
                <w:szCs w:val="21"/>
              </w:rPr>
              <w:t>智能财税技能测评平台</w:t>
            </w:r>
          </w:p>
        </w:tc>
        <w:tc>
          <w:tcPr>
            <w:tcW w:w="6963" w:type="dxa"/>
            <w:vAlign w:val="center"/>
          </w:tcPr>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业票财税技能训练系统是财务会计类和财政税务类专业学生开发的一款集教学、训练、测评等功能为一体的业务、票据、财务、报税综合训练系统。通过完成业票财税训练，考察学生大数据与人工智能等新一代信息技术在财税中的应用能力。业票财税技能训练采用团队方式，分为四个岗位，分别为业务财务岗、财务会计岗、财税主管岗、税务会计岗。</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财务管理技能训练系统是财务会计类和财政税务类专业学生开发的一款集教学、训练、测评等功能为一体的预算管理、成本管理、公司金融、大数据财务分析综合训练系统。通过完成财务管理训练，考察学生在企业内控制度约束下的人人协同和人机协同处理财税综合业务的能力。财务管理技能训练采用团队方式，分为四个岗位，分别为预算管理岗、成本管理岗、投资融资岗、财务分析岗。</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税务服务技能训练系统是财务会计类和财政税务类专业学生开发的一款集教学、训练、测评等功能为一体的汇算清缴、税务预警、税务自查、税务规划综合训练系统。通过完成税务服务训练，考察学生在新技术新业态环境下的财税职业判断能力。</w:t>
            </w:r>
          </w:p>
          <w:p>
            <w:pPr>
              <w:adjustRightInd w:val="0"/>
              <w:snapToGrid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本项目提供“业票财税技能训练系统、财务管理技能训练系统、税务服务技能训练系统”3个系统测试题目各5套，共计15套。</w:t>
            </w:r>
          </w:p>
          <w:p>
            <w:pPr>
              <w:adjustRightInd w:val="0"/>
              <w:snapToGrid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本项目提供“业票财税技能训练系统、财务管理技能训练系统、税务服务技能训练系统”3个</w:t>
            </w:r>
            <w:bookmarkStart w:id="180" w:name="_Hlk71197745"/>
            <w:r>
              <w:rPr>
                <w:rFonts w:hint="eastAsia" w:ascii="宋体" w:hAnsi="宋体" w:eastAsia="宋体" w:cs="宋体"/>
                <w:sz w:val="21"/>
                <w:szCs w:val="21"/>
                <w:highlight w:val="none"/>
              </w:rPr>
              <w:t>系统3年免费云服务</w:t>
            </w:r>
            <w:bookmarkEnd w:id="180"/>
            <w:r>
              <w:rPr>
                <w:rFonts w:hint="eastAsia" w:ascii="宋体" w:hAnsi="宋体" w:eastAsia="宋体" w:cs="宋体"/>
                <w:sz w:val="21"/>
                <w:szCs w:val="21"/>
                <w:highlight w:val="none"/>
              </w:rPr>
              <w:t>。</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本项目不限注册用户数，同时在线用户数100个。</w:t>
            </w:r>
          </w:p>
          <w:p>
            <w:pPr>
              <w:rPr>
                <w:rFonts w:hint="eastAsia" w:ascii="宋体" w:hAnsi="宋体" w:eastAsia="宋体" w:cs="宋体"/>
                <w:b/>
                <w:sz w:val="21"/>
                <w:szCs w:val="21"/>
              </w:rPr>
            </w:pPr>
            <w:r>
              <w:rPr>
                <w:rFonts w:hint="eastAsia" w:ascii="宋体" w:hAnsi="宋体" w:eastAsia="宋体" w:cs="宋体"/>
                <w:b/>
                <w:sz w:val="21"/>
                <w:szCs w:val="21"/>
              </w:rPr>
              <w:t>平台总体技术要求：</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1、要求系统采用B/S架构，无需安装客户端，可支持的第三方插件及版本Adobe Flash Player，可支持的浏览器及版本Chrome61/Safari 9/Firefox40以上 32位/64位，使用时只要打开chrome等浏览器即可轻松实现所有操作。</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2、要求使用mysql开源数据库，可通过水平扩展来达到高可用性和高性能。</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要求采用当前流行的SpringBoot,SpringCloud,Mybatis技术框架，展现层需要通过vue和相关标签实现，实现前后端分离；模型层通过Java接口及实现类来实现；与数据库的接口采用轻量级封装Mybatis提供的接口；系统所有操作都具备系统日志与业务日志级别。</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4、要求系统可以抵御常用攻击手段，如sql注入，CSRF、XSS等。</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5、要求使用redis缓存数据库来进行用户数据的缓存，增加系统响应速度并优化用户的体验。</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6、要求使用多用户的统一登录口，系统管理员、教师、学生统一登陆口，只需输入各自的用户名及密码即可登录。</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7、系统可在线升级，在联网情况下支持系统功能远程升级。</w:t>
            </w:r>
          </w:p>
          <w:p>
            <w:pPr>
              <w:rPr>
                <w:rFonts w:hint="eastAsia" w:ascii="宋体" w:hAnsi="宋体" w:eastAsia="宋体" w:cs="宋体"/>
                <w:b/>
                <w:sz w:val="21"/>
                <w:szCs w:val="21"/>
              </w:rPr>
            </w:pPr>
            <w:r>
              <w:rPr>
                <w:rFonts w:hint="eastAsia" w:ascii="宋体" w:hAnsi="宋体" w:eastAsia="宋体" w:cs="宋体"/>
                <w:b/>
                <w:sz w:val="21"/>
                <w:szCs w:val="21"/>
              </w:rPr>
              <w:t>一、业票财税技能训练系统</w:t>
            </w:r>
          </w:p>
          <w:p>
            <w:pPr>
              <w:adjustRightInd w:val="0"/>
              <w:snapToGrid w:val="0"/>
              <w:spacing w:line="360" w:lineRule="auto"/>
              <w:outlineLvl w:val="1"/>
              <w:rPr>
                <w:rFonts w:hint="eastAsia" w:ascii="宋体" w:hAnsi="宋体" w:eastAsia="宋体" w:cs="宋体"/>
                <w:b/>
                <w:sz w:val="21"/>
                <w:szCs w:val="21"/>
                <w:highlight w:val="yellow"/>
              </w:rPr>
            </w:pPr>
            <w:r>
              <w:rPr>
                <w:rFonts w:hint="eastAsia" w:ascii="宋体" w:hAnsi="宋体" w:eastAsia="宋体" w:cs="宋体"/>
                <w:b/>
                <w:sz w:val="21"/>
                <w:szCs w:val="21"/>
              </w:rPr>
              <w:t>平台</w:t>
            </w:r>
            <w:r>
              <w:rPr>
                <w:rFonts w:hint="eastAsia" w:ascii="宋体" w:hAnsi="宋体" w:eastAsia="宋体" w:cs="宋体"/>
                <w:b/>
                <w:bCs/>
                <w:sz w:val="21"/>
                <w:szCs w:val="21"/>
              </w:rPr>
              <w:t>功能要求</w:t>
            </w:r>
          </w:p>
          <w:p>
            <w:pPr>
              <w:pStyle w:val="5"/>
              <w:adjustRightInd w:val="0"/>
              <w:snapToGrid w:val="0"/>
              <w:spacing w:before="0" w:after="0" w:line="360" w:lineRule="auto"/>
              <w:ind w:firstLine="422" w:firstLineChars="200"/>
              <w:rPr>
                <w:rFonts w:hint="eastAsia" w:ascii="宋体" w:hAnsi="宋体" w:eastAsia="宋体" w:cs="宋体"/>
                <w:sz w:val="21"/>
                <w:szCs w:val="21"/>
              </w:rPr>
            </w:pPr>
            <w:r>
              <w:rPr>
                <w:rFonts w:hint="eastAsia" w:ascii="宋体" w:hAnsi="宋体" w:eastAsia="宋体" w:cs="宋体"/>
                <w:sz w:val="21"/>
                <w:szCs w:val="21"/>
              </w:rPr>
              <w:t>1.技能训练管理</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1.1报名管理</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录入学生的报名信息，支持批量导入学生，或从教学教务管理中导入已有学生。</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1.2学生分组</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对报名的学生进行分组、设置队长，由队长来设置每位队员的岗位，并且由队长负责测评训练过程中的换岗操作。</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1.3训练管理</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系统中已经存在的训练分为新建、开通、进行、结束四种状态。</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新建训练时，可以设置开始时间、结束时间、训练时长、训练模式、选择试卷、选择考生、最少答题时间、是否显示成绩等信息。</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可根据实际使用场景修改学生岗位。岗位决定了考生只能操作哪一类试题。</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训练模式分为单次练习模式和循环练习模式。单次练习模式支持限定训练时长，登录时间不限，即在一定时间段内考生可以随时登录系统参与训练，训练时长固定，时间到训练结束，不能重复答题；循环练习模式下不限制训练操作次数，只要是在训练时间内，考生任何时候都可以登录练习，系统不保留练习成绩。</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1.4选取训练包。</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支持教师选取一套训练包，进行训练。</w:t>
            </w:r>
          </w:p>
          <w:p>
            <w:pPr>
              <w:pStyle w:val="5"/>
              <w:adjustRightInd w:val="0"/>
              <w:snapToGrid w:val="0"/>
              <w:spacing w:before="0" w:after="0" w:line="360" w:lineRule="auto"/>
              <w:ind w:firstLine="422" w:firstLineChars="200"/>
              <w:rPr>
                <w:rFonts w:hint="eastAsia" w:ascii="宋体" w:hAnsi="宋体" w:eastAsia="宋体" w:cs="宋体"/>
                <w:sz w:val="21"/>
                <w:szCs w:val="21"/>
              </w:rPr>
            </w:pPr>
            <w:r>
              <w:rPr>
                <w:rFonts w:hint="eastAsia" w:ascii="宋体" w:hAnsi="宋体" w:eastAsia="宋体" w:cs="宋体"/>
                <w:sz w:val="21"/>
                <w:szCs w:val="21"/>
              </w:rPr>
              <w:t>2.实操练习</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2.1学生登录系统后选择存在的训练项目，学生根据创建训练时分配的不同岗位或全岗位进入系统答题。</w:t>
            </w:r>
          </w:p>
          <w:p>
            <w:pPr>
              <w:adjustRightInd w:val="0"/>
              <w:snapToGrid w:val="0"/>
              <w:spacing w:line="360" w:lineRule="auto"/>
              <w:ind w:firstLine="211" w:firstLineChars="100"/>
              <w:rPr>
                <w:rFonts w:hint="eastAsia" w:ascii="宋体" w:hAnsi="宋体" w:eastAsia="宋体" w:cs="宋体"/>
                <w:sz w:val="21"/>
                <w:szCs w:val="21"/>
                <w:highlight w:val="none"/>
                <w:lang w:eastAsia="zh-CN"/>
              </w:rPr>
            </w:pPr>
            <w:r>
              <w:rPr>
                <w:rFonts w:hint="eastAsia" w:ascii="宋体" w:hAnsi="宋体" w:eastAsia="宋体" w:cs="宋体"/>
                <w:b/>
                <w:bCs/>
                <w:sz w:val="21"/>
                <w:szCs w:val="21"/>
                <w:highlight w:val="none"/>
              </w:rPr>
              <w:t>2.2如果学生角色为全角色，可以操作训练中的所有试题。如果为某一岗位，只能操作自己所属角色对应的试题，不能操作其他角色对应的试题。</w:t>
            </w:r>
            <w:r>
              <w:rPr>
                <w:rFonts w:hint="eastAsia" w:ascii="宋体" w:hAnsi="宋体" w:cs="宋体"/>
                <w:b/>
                <w:bCs/>
                <w:sz w:val="21"/>
                <w:szCs w:val="21"/>
                <w:highlight w:val="none"/>
                <w:lang w:eastAsia="zh-CN"/>
              </w:rPr>
              <w:t>（提供现场演示）</w:t>
            </w:r>
          </w:p>
          <w:p>
            <w:pPr>
              <w:adjustRightInd w:val="0"/>
              <w:snapToGrid w:val="0"/>
              <w:spacing w:line="360" w:lineRule="auto"/>
              <w:ind w:firstLine="420" w:firstLineChars="200"/>
              <w:contextualSpacing/>
              <w:rPr>
                <w:rFonts w:hint="eastAsia" w:ascii="宋体" w:hAnsi="宋体" w:eastAsia="宋体" w:cs="宋体"/>
                <w:sz w:val="21"/>
                <w:szCs w:val="21"/>
              </w:rPr>
            </w:pPr>
            <w:r>
              <w:rPr>
                <w:rFonts w:hint="eastAsia" w:ascii="宋体" w:hAnsi="宋体" w:eastAsia="宋体" w:cs="宋体"/>
                <w:sz w:val="21"/>
                <w:szCs w:val="21"/>
              </w:rPr>
              <w:t>2.3训练过程中如果遇到突然断电关机、误操作关闭浏览器等非正常结束训练，考生可以重新登录系统进入答题，答题记录自动恢复到关闭前的最后一道已保存的试题。</w:t>
            </w:r>
          </w:p>
          <w:p>
            <w:pPr>
              <w:pStyle w:val="5"/>
              <w:adjustRightInd w:val="0"/>
              <w:snapToGrid w:val="0"/>
              <w:spacing w:before="0" w:after="0" w:line="360" w:lineRule="auto"/>
              <w:contextualSpacing/>
              <w:rPr>
                <w:rFonts w:hint="eastAsia" w:ascii="宋体" w:hAnsi="宋体" w:eastAsia="宋体" w:cs="宋体"/>
                <w:sz w:val="21"/>
                <w:szCs w:val="21"/>
              </w:rPr>
            </w:pPr>
            <w:r>
              <w:rPr>
                <w:rFonts w:hint="eastAsia" w:ascii="宋体" w:hAnsi="宋体" w:eastAsia="宋体" w:cs="宋体"/>
                <w:b w:val="0"/>
                <w:sz w:val="21"/>
                <w:szCs w:val="21"/>
              </w:rPr>
              <w:t xml:space="preserve">    3.</w:t>
            </w:r>
            <w:r>
              <w:rPr>
                <w:rFonts w:hint="eastAsia" w:ascii="宋体" w:hAnsi="宋体" w:eastAsia="宋体" w:cs="宋体"/>
                <w:sz w:val="21"/>
                <w:szCs w:val="21"/>
              </w:rPr>
              <w:t>统计分析</w:t>
            </w:r>
          </w:p>
          <w:p>
            <w:pPr>
              <w:adjustRightInd w:val="0"/>
              <w:snapToGrid w:val="0"/>
              <w:spacing w:line="360" w:lineRule="auto"/>
              <w:ind w:firstLine="420" w:firstLineChars="200"/>
              <w:contextualSpacing/>
              <w:rPr>
                <w:rFonts w:hint="eastAsia" w:ascii="宋体" w:hAnsi="宋体" w:eastAsia="宋体" w:cs="宋体"/>
                <w:sz w:val="21"/>
                <w:szCs w:val="21"/>
              </w:rPr>
            </w:pPr>
            <w:r>
              <w:rPr>
                <w:rFonts w:hint="eastAsia" w:ascii="宋体" w:hAnsi="宋体" w:eastAsia="宋体" w:cs="宋体"/>
                <w:sz w:val="21"/>
                <w:szCs w:val="21"/>
              </w:rPr>
              <w:t>3.1统计分析主要对系统中完成状态的训练信息进行统计。</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3.2统计分析中可以查看某场训练的应训人数、实训人数、平均分等信息。</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3.3对于某个考生，可以查看包含训练时间、总成绩、单题成绩等详细的训练信息。</w:t>
            </w:r>
          </w:p>
          <w:p>
            <w:pPr>
              <w:adjustRightInd w:val="0"/>
              <w:snapToGrid w:val="0"/>
              <w:spacing w:line="360" w:lineRule="auto"/>
              <w:outlineLvl w:val="1"/>
              <w:rPr>
                <w:rFonts w:hint="eastAsia" w:ascii="宋体" w:hAnsi="宋体" w:eastAsia="宋体" w:cs="宋体"/>
                <w:b/>
                <w:sz w:val="21"/>
                <w:szCs w:val="21"/>
              </w:rPr>
            </w:pPr>
            <w:r>
              <w:rPr>
                <w:rFonts w:hint="eastAsia" w:ascii="宋体" w:hAnsi="宋体" w:eastAsia="宋体" w:cs="宋体"/>
                <w:b/>
                <w:sz w:val="21"/>
                <w:szCs w:val="21"/>
              </w:rPr>
              <w:t>（三）业务模块要求</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业务操作模块应能支持测评训练要求，系统应具有智能票据模块、财务核算模块、纳税申报模块、进销存模块、商旅费控模块。</w:t>
            </w:r>
          </w:p>
          <w:p>
            <w:pPr>
              <w:pStyle w:val="10"/>
              <w:adjustRightInd w:val="0"/>
              <w:snapToGrid w:val="0"/>
              <w:spacing w:after="0" w:line="360" w:lineRule="auto"/>
              <w:ind w:left="0" w:leftChars="0" w:firstLine="360"/>
              <w:outlineLvl w:val="2"/>
              <w:rPr>
                <w:rFonts w:hint="eastAsia" w:ascii="宋体" w:hAnsi="宋体" w:eastAsia="宋体" w:cs="宋体"/>
                <w:sz w:val="21"/>
                <w:szCs w:val="21"/>
              </w:rPr>
            </w:pPr>
            <w:r>
              <w:rPr>
                <w:rFonts w:hint="eastAsia" w:ascii="宋体" w:hAnsi="宋体" w:eastAsia="宋体" w:cs="宋体"/>
                <w:sz w:val="21"/>
                <w:szCs w:val="21"/>
              </w:rPr>
              <w:t>1.智能票据模块</w:t>
            </w:r>
          </w:p>
          <w:p>
            <w:pPr>
              <w:pStyle w:val="10"/>
              <w:adjustRightInd w:val="0"/>
              <w:snapToGrid w:val="0"/>
              <w:spacing w:after="0" w:line="360" w:lineRule="auto"/>
              <w:ind w:left="0" w:leftChars="0" w:firstLine="360"/>
              <w:rPr>
                <w:rFonts w:hint="eastAsia" w:ascii="宋体" w:hAnsi="宋体" w:eastAsia="宋体" w:cs="宋体"/>
                <w:sz w:val="21"/>
                <w:szCs w:val="21"/>
              </w:rPr>
            </w:pPr>
            <w:r>
              <w:rPr>
                <w:rFonts w:hint="eastAsia" w:ascii="宋体" w:hAnsi="宋体" w:eastAsia="宋体" w:cs="宋体"/>
                <w:sz w:val="21"/>
                <w:szCs w:val="21"/>
              </w:rPr>
              <w:t>1.1智能票据系统，能将税控设备集中托管到云服务器上，实现云开票的功能，开票人员通过系统实现云端远程开票，并自动记账到财务共享核算系统。</w:t>
            </w:r>
          </w:p>
          <w:p>
            <w:pPr>
              <w:pStyle w:val="10"/>
              <w:adjustRightInd w:val="0"/>
              <w:snapToGrid w:val="0"/>
              <w:spacing w:after="0" w:line="360" w:lineRule="auto"/>
              <w:ind w:left="0" w:leftChars="0" w:firstLine="360"/>
              <w:rPr>
                <w:rFonts w:hint="eastAsia" w:ascii="宋体" w:hAnsi="宋体" w:eastAsia="宋体" w:cs="宋体"/>
                <w:sz w:val="21"/>
                <w:szCs w:val="21"/>
              </w:rPr>
            </w:pPr>
            <w:r>
              <w:rPr>
                <w:rFonts w:hint="eastAsia" w:ascii="宋体" w:hAnsi="宋体" w:eastAsia="宋体" w:cs="宋体"/>
                <w:sz w:val="21"/>
                <w:szCs w:val="21"/>
              </w:rPr>
              <w:t>1.2智能票据系统同时支持增值税电子发票、普通发票、专用发票统一开具功能，并支持多企业批量管理，实现财务共享生态下的多企业发票申领、发票限额调整、红字发票开具、自动化操作税收分类升级、税率调整等，大幅提高发票处理效率。</w:t>
            </w:r>
          </w:p>
          <w:p>
            <w:pPr>
              <w:pStyle w:val="10"/>
              <w:adjustRightInd w:val="0"/>
              <w:snapToGrid w:val="0"/>
              <w:spacing w:after="0" w:line="360" w:lineRule="auto"/>
              <w:ind w:left="0" w:leftChars="0" w:firstLine="210" w:firstLineChars="100"/>
              <w:rPr>
                <w:rFonts w:hint="eastAsia" w:ascii="宋体" w:hAnsi="宋体" w:eastAsia="宋体" w:cs="宋体"/>
                <w:sz w:val="21"/>
                <w:szCs w:val="21"/>
              </w:rPr>
            </w:pPr>
            <w:r>
              <w:rPr>
                <w:rFonts w:hint="eastAsia" w:ascii="宋体" w:hAnsi="宋体" w:eastAsia="宋体" w:cs="宋体"/>
                <w:sz w:val="21"/>
                <w:szCs w:val="21"/>
              </w:rPr>
              <w:t>1.3智能票据系统实现多公司发票信息同时统计查询，共享管理多公司发票，同时也可查看单公司发票销项、进项汇总情况。</w:t>
            </w:r>
          </w:p>
          <w:p>
            <w:pPr>
              <w:pStyle w:val="10"/>
              <w:adjustRightInd w:val="0"/>
              <w:snapToGrid w:val="0"/>
              <w:spacing w:after="0" w:line="360" w:lineRule="auto"/>
              <w:ind w:left="0" w:leftChars="0" w:firstLine="211" w:firstLineChars="1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1.4智能票据系统可实现增值税进项发票OCR识别自动查验、自动记账，员工费用报销OCR识别分类并记账。</w:t>
            </w:r>
            <w:r>
              <w:rPr>
                <w:rFonts w:hint="eastAsia" w:ascii="宋体" w:hAnsi="宋体" w:cs="宋体"/>
                <w:b/>
                <w:bCs/>
                <w:sz w:val="21"/>
                <w:szCs w:val="21"/>
                <w:highlight w:val="none"/>
                <w:lang w:eastAsia="zh-CN"/>
              </w:rPr>
              <w:t>（提供现场演示）</w:t>
            </w:r>
          </w:p>
          <w:p>
            <w:pPr>
              <w:pStyle w:val="10"/>
              <w:adjustRightInd w:val="0"/>
              <w:snapToGrid w:val="0"/>
              <w:spacing w:after="0" w:line="360" w:lineRule="auto"/>
              <w:ind w:left="0" w:leftChars="0" w:firstLine="211" w:firstLineChars="1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1.5进行RPA开票流程设计并运用RPA开票机器人开具电子发票。</w:t>
            </w:r>
            <w:r>
              <w:rPr>
                <w:rFonts w:hint="eastAsia" w:ascii="宋体" w:hAnsi="宋体" w:cs="宋体"/>
                <w:b/>
                <w:bCs/>
                <w:sz w:val="21"/>
                <w:szCs w:val="21"/>
                <w:highlight w:val="none"/>
                <w:lang w:eastAsia="zh-CN"/>
              </w:rPr>
              <w:t>（提供现场演示）</w:t>
            </w:r>
          </w:p>
          <w:p>
            <w:pPr>
              <w:pStyle w:val="10"/>
              <w:adjustRightInd w:val="0"/>
              <w:snapToGrid w:val="0"/>
              <w:spacing w:after="0" w:line="360" w:lineRule="auto"/>
              <w:ind w:left="0" w:leftChars="0" w:firstLine="360"/>
              <w:outlineLvl w:val="2"/>
              <w:rPr>
                <w:rFonts w:hint="eastAsia" w:ascii="宋体" w:hAnsi="宋体" w:eastAsia="宋体" w:cs="宋体"/>
                <w:sz w:val="21"/>
                <w:szCs w:val="21"/>
              </w:rPr>
            </w:pPr>
            <w:r>
              <w:rPr>
                <w:rFonts w:hint="eastAsia" w:ascii="宋体" w:hAnsi="宋体" w:eastAsia="宋体" w:cs="宋体"/>
                <w:sz w:val="21"/>
                <w:szCs w:val="21"/>
              </w:rPr>
              <w:t>2.财务核算系统</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2.1可与智能票据模块、纳税申报模块、进销存模块、商旅费控模块连通，实现业票财税一体化。</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2.2账套设置</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账套列表、切换账套和个人中心。</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2.3基础设置</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会计科目、科目期初、现金流量期初、辅助核算、币种、业务类型、账户、结算方式、费用报销单以及其他功能。</w:t>
            </w:r>
          </w:p>
          <w:p>
            <w:pPr>
              <w:adjustRightInd w:val="0"/>
              <w:snapToGrid w:val="0"/>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2.4票据</w:t>
            </w:r>
          </w:p>
          <w:p>
            <w:pPr>
              <w:pStyle w:val="10"/>
              <w:adjustRightInd w:val="0"/>
              <w:snapToGrid w:val="0"/>
              <w:spacing w:after="0" w:line="360" w:lineRule="auto"/>
              <w:ind w:left="0" w:leftChars="0" w:firstLine="211" w:firstLineChars="10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rPr>
              <w:t>票据管理，实现票据自动归集，既可以接收智能票据系统传入的发票数据自动记账，也可以通过OCR等方式将图像形式的票据识别为数字信息，并按不同公司自动归集分类、智能记账生成凭证。</w:t>
            </w:r>
            <w:r>
              <w:rPr>
                <w:rFonts w:hint="eastAsia" w:ascii="宋体" w:hAnsi="宋体" w:eastAsia="宋体" w:cs="宋体"/>
                <w:b/>
                <w:bCs/>
                <w:color w:val="auto"/>
                <w:sz w:val="21"/>
                <w:szCs w:val="21"/>
                <w:lang w:eastAsia="zh-CN"/>
              </w:rPr>
              <w:t>（提供现场演示）</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2.5凭证</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新增凭证、凭证管理、科目汇总表、票据制单。</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2.6出纳</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银行账户管理、出纳签字、现金日记账、银行存款日记账、银行对账单及凭证生成。</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2.7账簿</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科目总账、科目明细账、发生额及余额表、辅助明细账、辅助余额表、序时账、余额账龄分析、明细账龄分析、数量金额总账、数量金额明细账。</w:t>
            </w:r>
          </w:p>
          <w:p>
            <w:pPr>
              <w:adjustRightInd w:val="0"/>
              <w:snapToGrid w:val="0"/>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2.8报表</w:t>
            </w:r>
          </w:p>
          <w:p>
            <w:pPr>
              <w:adjustRightInd w:val="0"/>
              <w:snapToGrid w:val="0"/>
              <w:spacing w:line="360" w:lineRule="auto"/>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资产负债表（月报及季报）、利润表（月报及季报）、现金流量表、现金流量表季报、财务概要信息、所得税纳税调整表。</w:t>
            </w:r>
            <w:r>
              <w:rPr>
                <w:rFonts w:hint="eastAsia" w:ascii="宋体" w:hAnsi="宋体" w:eastAsia="宋体" w:cs="宋体"/>
                <w:b/>
                <w:bCs/>
                <w:color w:val="auto"/>
                <w:sz w:val="21"/>
                <w:szCs w:val="21"/>
                <w:lang w:eastAsia="zh-CN"/>
              </w:rPr>
              <w:t>（提供现场演示）</w:t>
            </w:r>
          </w:p>
          <w:p>
            <w:pPr>
              <w:adjustRightInd w:val="0"/>
              <w:snapToGrid w:val="0"/>
              <w:spacing w:line="360" w:lineRule="auto"/>
              <w:ind w:firstLine="211" w:firstLineChars="1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2.9智能工资</w:t>
            </w:r>
          </w:p>
          <w:p>
            <w:pPr>
              <w:adjustRightInd w:val="0"/>
              <w:snapToGrid w:val="0"/>
              <w:spacing w:line="360" w:lineRule="auto"/>
              <w:ind w:firstLine="422" w:firstLineChars="200"/>
              <w:rPr>
                <w:rFonts w:hint="eastAsia" w:ascii="宋体" w:hAnsi="宋体" w:eastAsia="宋体" w:cs="宋体"/>
                <w:b/>
                <w:bCs/>
                <w:sz w:val="21"/>
                <w:szCs w:val="21"/>
                <w:highlight w:val="yellow"/>
              </w:rPr>
            </w:pPr>
            <w:r>
              <w:rPr>
                <w:rFonts w:hint="eastAsia" w:ascii="宋体" w:hAnsi="宋体" w:eastAsia="宋体" w:cs="宋体"/>
                <w:b/>
                <w:bCs/>
                <w:sz w:val="21"/>
                <w:szCs w:val="21"/>
                <w:highlight w:val="none"/>
              </w:rPr>
              <w:t>自动计算工资表，个人所得税附加扣除、专项附加扣除的自动计算，自动计算个人所得税、个税查询、工资的计提、社保公积金的计提、代扣个税、代扣社保公积金、工资发放等功能。</w:t>
            </w:r>
            <w:r>
              <w:rPr>
                <w:rFonts w:hint="eastAsia" w:ascii="宋体" w:hAnsi="宋体" w:cs="宋体"/>
                <w:b/>
                <w:bCs/>
                <w:sz w:val="21"/>
                <w:szCs w:val="21"/>
                <w:highlight w:val="none"/>
                <w:lang w:eastAsia="zh-CN"/>
              </w:rPr>
              <w:t>（提供现场演示）</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2.10资产管理</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资产卡片、原值变更、计提折旧结转、资产清理、模板设置。</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2.11资产报表</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资产总账、资产明细账、折旧汇总表及明细表。</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2.12库存管理</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采购入库、销售出库及凭证生成等管理。</w:t>
            </w:r>
          </w:p>
          <w:p>
            <w:pPr>
              <w:pStyle w:val="10"/>
              <w:adjustRightInd w:val="0"/>
              <w:snapToGrid w:val="0"/>
              <w:spacing w:after="0" w:line="360" w:lineRule="auto"/>
              <w:ind w:left="0" w:leftChars="0" w:firstLine="360"/>
              <w:rPr>
                <w:rFonts w:hint="eastAsia" w:ascii="宋体" w:hAnsi="宋体" w:eastAsia="宋体" w:cs="宋体"/>
                <w:sz w:val="21"/>
                <w:szCs w:val="21"/>
              </w:rPr>
            </w:pPr>
            <w:r>
              <w:rPr>
                <w:rFonts w:hint="eastAsia" w:ascii="宋体" w:hAnsi="宋体" w:eastAsia="宋体" w:cs="宋体"/>
                <w:sz w:val="21"/>
                <w:szCs w:val="21"/>
              </w:rPr>
              <w:t>2.13月末结账功能</w:t>
            </w:r>
          </w:p>
          <w:p>
            <w:pPr>
              <w:pStyle w:val="10"/>
              <w:adjustRightInd w:val="0"/>
              <w:snapToGrid w:val="0"/>
              <w:spacing w:after="0" w:line="360" w:lineRule="auto"/>
              <w:ind w:left="0" w:leftChars="0" w:firstLine="360"/>
              <w:rPr>
                <w:rFonts w:hint="eastAsia" w:ascii="宋体" w:hAnsi="宋体" w:eastAsia="宋体" w:cs="宋体"/>
                <w:sz w:val="21"/>
                <w:szCs w:val="21"/>
              </w:rPr>
            </w:pPr>
            <w:r>
              <w:rPr>
                <w:rFonts w:hint="eastAsia" w:ascii="宋体" w:hAnsi="宋体" w:eastAsia="宋体" w:cs="宋体"/>
                <w:sz w:val="21"/>
                <w:szCs w:val="21"/>
              </w:rPr>
              <w:t>可手动结转也可自动结转，系统预制结账方案：结账未交增值税、计提税金、减免两费、结转销售成本（按比例/按明细）、损益结转等。</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2.14月末结账</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期初余额检查（基于系统启用期间的检查，包含期初余额试算是否平衡、年初余额试算是否平衡、损益类科目是否存在期初/年初余额）、暂估凭证检查、本月的凭证数及审核情况检查、凭证断号及序时检查、损益结转检查、现金流量表检查、报表（资产负债表和利润表）检查、出纳签字检查。年底结账时，会自动对科目本年利润进行结转。月末结账时以前年度损益调整也会自动结转。</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2.15系统管理</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权限设置、全局科目管理、税目管理、业务类型管理以及后台管理功能。</w:t>
            </w:r>
          </w:p>
          <w:p>
            <w:pPr>
              <w:adjustRightInd w:val="0"/>
              <w:snapToGrid w:val="0"/>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2.16进行RPA记账流程设计并运用RPA记账机器人生成记账凭证。</w:t>
            </w:r>
          </w:p>
          <w:p>
            <w:pPr>
              <w:pStyle w:val="10"/>
              <w:adjustRightInd w:val="0"/>
              <w:snapToGrid w:val="0"/>
              <w:spacing w:after="0" w:line="360" w:lineRule="auto"/>
              <w:ind w:left="0" w:leftChars="0" w:firstLine="360"/>
              <w:outlineLvl w:val="2"/>
              <w:rPr>
                <w:rFonts w:hint="eastAsia" w:ascii="宋体" w:hAnsi="宋体" w:eastAsia="宋体" w:cs="宋体"/>
                <w:sz w:val="21"/>
                <w:szCs w:val="21"/>
              </w:rPr>
            </w:pPr>
            <w:r>
              <w:rPr>
                <w:rFonts w:hint="eastAsia" w:ascii="宋体" w:hAnsi="宋体" w:eastAsia="宋体" w:cs="宋体"/>
                <w:sz w:val="21"/>
                <w:szCs w:val="21"/>
              </w:rPr>
              <w:t>3.纳税申报模块</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3.1与财务共享核算系统数据连通，可直接根据企业账套自动获取财务数据并转换生成相关纳税申报表，也可从外部获得财报数据并自动匹配生成相关税表。</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3.2 与税务局纳税申报表一致，完全模拟纳税申报过程，可一键申报。</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3.3 一般纳税人增值税月度申报表。</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3.4 小规模纳税人增值税月、季度申报表。</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3.5 企业所得税季度申报。</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3.6 附加费月度申报表。</w:t>
            </w:r>
          </w:p>
          <w:p>
            <w:pPr>
              <w:adjustRightInd w:val="0"/>
              <w:snapToGrid w:val="0"/>
              <w:spacing w:line="36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3.7进行RPA报税流程设计并运用RPA报税机器人自动完成纳税申报。</w:t>
            </w:r>
          </w:p>
          <w:p>
            <w:pPr>
              <w:pStyle w:val="10"/>
              <w:adjustRightInd w:val="0"/>
              <w:snapToGrid w:val="0"/>
              <w:spacing w:after="0" w:line="360" w:lineRule="auto"/>
              <w:ind w:left="0" w:leftChars="0" w:firstLine="360"/>
              <w:outlineLvl w:val="2"/>
              <w:rPr>
                <w:rFonts w:hint="eastAsia" w:ascii="宋体" w:hAnsi="宋体" w:eastAsia="宋体" w:cs="宋体"/>
                <w:sz w:val="21"/>
                <w:szCs w:val="21"/>
              </w:rPr>
            </w:pPr>
            <w:r>
              <w:rPr>
                <w:rFonts w:hint="eastAsia" w:ascii="宋体" w:hAnsi="宋体" w:eastAsia="宋体" w:cs="宋体"/>
                <w:sz w:val="21"/>
                <w:szCs w:val="21"/>
              </w:rPr>
              <w:t>4.进销存模块</w:t>
            </w:r>
          </w:p>
          <w:p>
            <w:pPr>
              <w:pStyle w:val="10"/>
              <w:adjustRightInd w:val="0"/>
              <w:snapToGrid w:val="0"/>
              <w:spacing w:after="0" w:line="360" w:lineRule="auto"/>
              <w:ind w:left="0" w:leftChars="0" w:firstLine="360"/>
              <w:rPr>
                <w:rFonts w:hint="eastAsia" w:ascii="宋体" w:hAnsi="宋体" w:eastAsia="宋体" w:cs="宋体"/>
                <w:sz w:val="21"/>
                <w:szCs w:val="21"/>
              </w:rPr>
            </w:pPr>
            <w:r>
              <w:rPr>
                <w:rFonts w:hint="eastAsia" w:ascii="宋体" w:hAnsi="宋体" w:eastAsia="宋体" w:cs="宋体"/>
                <w:sz w:val="21"/>
                <w:szCs w:val="21"/>
              </w:rPr>
              <w:t>4.1 采购管理</w:t>
            </w:r>
          </w:p>
          <w:p>
            <w:pPr>
              <w:pStyle w:val="10"/>
              <w:adjustRightInd w:val="0"/>
              <w:snapToGrid w:val="0"/>
              <w:spacing w:after="0" w:line="360" w:lineRule="auto"/>
              <w:ind w:left="0" w:leftChars="0" w:firstLine="360"/>
              <w:rPr>
                <w:rFonts w:hint="eastAsia" w:ascii="宋体" w:hAnsi="宋体" w:eastAsia="宋体" w:cs="宋体"/>
                <w:sz w:val="21"/>
                <w:szCs w:val="21"/>
              </w:rPr>
            </w:pPr>
            <w:r>
              <w:rPr>
                <w:rFonts w:hint="eastAsia" w:ascii="宋体" w:hAnsi="宋体" w:eastAsia="宋体" w:cs="宋体"/>
                <w:sz w:val="21"/>
                <w:szCs w:val="21"/>
              </w:rPr>
              <w:t>包含采购订单、采购验收、采购结算、采购发票、采购付款、预付核销功能。</w:t>
            </w:r>
          </w:p>
          <w:p>
            <w:pPr>
              <w:pStyle w:val="10"/>
              <w:adjustRightInd w:val="0"/>
              <w:snapToGrid w:val="0"/>
              <w:spacing w:after="0" w:line="360" w:lineRule="auto"/>
              <w:ind w:left="0" w:leftChars="0" w:firstLine="360"/>
              <w:rPr>
                <w:rFonts w:hint="eastAsia" w:ascii="宋体" w:hAnsi="宋体" w:eastAsia="宋体" w:cs="宋体"/>
                <w:sz w:val="21"/>
                <w:szCs w:val="21"/>
              </w:rPr>
            </w:pPr>
            <w:r>
              <w:rPr>
                <w:rFonts w:hint="eastAsia" w:ascii="宋体" w:hAnsi="宋体" w:eastAsia="宋体" w:cs="宋体"/>
                <w:sz w:val="21"/>
                <w:szCs w:val="21"/>
              </w:rPr>
              <w:t>4.2 库存管理</w:t>
            </w:r>
          </w:p>
          <w:p>
            <w:pPr>
              <w:pStyle w:val="10"/>
              <w:adjustRightInd w:val="0"/>
              <w:snapToGrid w:val="0"/>
              <w:spacing w:after="0" w:line="360" w:lineRule="auto"/>
              <w:ind w:left="0" w:leftChars="0" w:firstLine="360"/>
              <w:rPr>
                <w:rFonts w:hint="eastAsia" w:ascii="宋体" w:hAnsi="宋体" w:eastAsia="宋体" w:cs="宋体"/>
                <w:sz w:val="21"/>
                <w:szCs w:val="21"/>
              </w:rPr>
            </w:pPr>
            <w:r>
              <w:rPr>
                <w:rFonts w:hint="eastAsia" w:ascii="宋体" w:hAnsi="宋体" w:eastAsia="宋体" w:cs="宋体"/>
                <w:sz w:val="21"/>
                <w:szCs w:val="21"/>
              </w:rPr>
              <w:t>包含入库管理、出库管理、库存查询、库存期初、库存调整、月末结账功能。</w:t>
            </w:r>
          </w:p>
          <w:p>
            <w:pPr>
              <w:pStyle w:val="10"/>
              <w:adjustRightInd w:val="0"/>
              <w:snapToGrid w:val="0"/>
              <w:spacing w:after="0" w:line="360" w:lineRule="auto"/>
              <w:ind w:left="0" w:leftChars="0" w:firstLine="360"/>
              <w:rPr>
                <w:rFonts w:hint="eastAsia" w:ascii="宋体" w:hAnsi="宋体" w:eastAsia="宋体" w:cs="宋体"/>
                <w:sz w:val="21"/>
                <w:szCs w:val="21"/>
              </w:rPr>
            </w:pPr>
            <w:r>
              <w:rPr>
                <w:rFonts w:hint="eastAsia" w:ascii="宋体" w:hAnsi="宋体" w:eastAsia="宋体" w:cs="宋体"/>
                <w:sz w:val="21"/>
                <w:szCs w:val="21"/>
              </w:rPr>
              <w:t>4.3 销售管理</w:t>
            </w:r>
          </w:p>
          <w:p>
            <w:pPr>
              <w:pStyle w:val="10"/>
              <w:adjustRightInd w:val="0"/>
              <w:snapToGrid w:val="0"/>
              <w:spacing w:after="0" w:line="360" w:lineRule="auto"/>
              <w:ind w:left="0" w:leftChars="0" w:firstLine="360"/>
              <w:rPr>
                <w:rFonts w:hint="eastAsia" w:ascii="宋体" w:hAnsi="宋体" w:eastAsia="宋体" w:cs="宋体"/>
                <w:sz w:val="21"/>
                <w:szCs w:val="21"/>
              </w:rPr>
            </w:pPr>
            <w:r>
              <w:rPr>
                <w:rFonts w:hint="eastAsia" w:ascii="宋体" w:hAnsi="宋体" w:eastAsia="宋体" w:cs="宋体"/>
                <w:sz w:val="21"/>
                <w:szCs w:val="21"/>
              </w:rPr>
              <w:t>包含销售订单、发货申请、发票申请、销售收款、预收核销功能。</w:t>
            </w:r>
          </w:p>
          <w:p>
            <w:pPr>
              <w:pStyle w:val="10"/>
              <w:adjustRightInd w:val="0"/>
              <w:snapToGrid w:val="0"/>
              <w:spacing w:after="0" w:line="360" w:lineRule="auto"/>
              <w:ind w:left="0" w:leftChars="0"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4.4 成本核算</w:t>
            </w:r>
            <w:r>
              <w:rPr>
                <w:rFonts w:hint="eastAsia" w:ascii="宋体" w:hAnsi="宋体" w:cs="宋体"/>
                <w:b/>
                <w:bCs/>
                <w:sz w:val="21"/>
                <w:szCs w:val="21"/>
                <w:highlight w:val="none"/>
                <w:lang w:eastAsia="zh-CN"/>
              </w:rPr>
              <w:t>（提供现场演示）</w:t>
            </w:r>
          </w:p>
          <w:p>
            <w:pPr>
              <w:pStyle w:val="10"/>
              <w:adjustRightInd w:val="0"/>
              <w:snapToGrid w:val="0"/>
              <w:spacing w:after="0" w:line="360" w:lineRule="auto"/>
              <w:ind w:left="0" w:leftChars="0" w:firstLine="36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可对产成品和中间产品设置成本分配定额。</w:t>
            </w:r>
          </w:p>
          <w:p>
            <w:pPr>
              <w:pStyle w:val="10"/>
              <w:adjustRightInd w:val="0"/>
              <w:snapToGrid w:val="0"/>
              <w:spacing w:after="0" w:line="360" w:lineRule="auto"/>
              <w:ind w:left="0" w:leftChars="0" w:firstLine="36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可维护库存的月初在产品、月末在产品、工费清单信息。</w:t>
            </w:r>
          </w:p>
          <w:p>
            <w:pPr>
              <w:pStyle w:val="10"/>
              <w:adjustRightInd w:val="0"/>
              <w:snapToGrid w:val="0"/>
              <w:spacing w:after="0" w:line="360" w:lineRule="auto"/>
              <w:ind w:left="0" w:leftChars="0" w:firstLine="36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可自动获取当月期初库存、入库、出库信息、月初月末在产品等信息。</w:t>
            </w:r>
          </w:p>
          <w:p>
            <w:pPr>
              <w:pStyle w:val="10"/>
              <w:adjustRightInd w:val="0"/>
              <w:snapToGrid w:val="0"/>
              <w:spacing w:after="0" w:line="360" w:lineRule="auto"/>
              <w:ind w:left="0" w:leftChars="0" w:firstLine="36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可按品种法等方法自动计算半成品单位成本，并计算完工产品及在产品成本。</w:t>
            </w:r>
          </w:p>
          <w:p>
            <w:pPr>
              <w:pStyle w:val="10"/>
              <w:adjustRightInd w:val="0"/>
              <w:snapToGrid w:val="0"/>
              <w:spacing w:after="0" w:line="360" w:lineRule="auto"/>
              <w:ind w:left="0" w:leftChars="0" w:firstLine="36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可按品种法等方法自动计算产成品单位成本，并计算完工产品及在产品成本。</w:t>
            </w:r>
          </w:p>
          <w:p>
            <w:pPr>
              <w:pStyle w:val="10"/>
              <w:adjustRightInd w:val="0"/>
              <w:snapToGrid w:val="0"/>
              <w:spacing w:after="0" w:line="360" w:lineRule="auto"/>
              <w:ind w:left="0" w:leftChars="0" w:firstLine="36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可将产品成自动回写到产成品入库单、销售出库单等库存单据上。</w:t>
            </w:r>
          </w:p>
          <w:p>
            <w:pPr>
              <w:pStyle w:val="10"/>
              <w:adjustRightInd w:val="0"/>
              <w:snapToGrid w:val="0"/>
              <w:spacing w:after="0" w:line="360" w:lineRule="auto"/>
              <w:ind w:left="0" w:leftChars="0" w:firstLine="36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可在财务核算系统自动生成成本的相关凭证。</w:t>
            </w:r>
          </w:p>
          <w:p>
            <w:pPr>
              <w:pStyle w:val="10"/>
              <w:adjustRightInd w:val="0"/>
              <w:snapToGrid w:val="0"/>
              <w:spacing w:after="0" w:line="360" w:lineRule="auto"/>
              <w:ind w:left="0" w:leftChars="0" w:firstLine="36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可查看成本计算过程中的材料清单信息。</w:t>
            </w:r>
          </w:p>
          <w:p>
            <w:pPr>
              <w:pStyle w:val="10"/>
              <w:adjustRightInd w:val="0"/>
              <w:snapToGrid w:val="0"/>
              <w:spacing w:after="0" w:line="360" w:lineRule="auto"/>
              <w:ind w:left="0" w:leftChars="0" w:firstLine="36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可查看成本计算过程中的成本分配信息。</w:t>
            </w:r>
          </w:p>
          <w:p>
            <w:pPr>
              <w:adjustRightInd w:val="0"/>
              <w:snapToGrid w:val="0"/>
              <w:spacing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可查看成本计算过程中的单位成本计算信息。</w:t>
            </w:r>
          </w:p>
          <w:p>
            <w:pPr>
              <w:pStyle w:val="10"/>
              <w:adjustRightInd w:val="0"/>
              <w:snapToGrid w:val="0"/>
              <w:spacing w:after="0" w:line="360" w:lineRule="auto"/>
              <w:ind w:left="0" w:leftChars="0" w:firstLine="360"/>
              <w:outlineLvl w:val="2"/>
              <w:rPr>
                <w:rFonts w:hint="eastAsia" w:ascii="宋体" w:hAnsi="宋体" w:eastAsia="宋体" w:cs="宋体"/>
                <w:sz w:val="21"/>
                <w:szCs w:val="21"/>
              </w:rPr>
            </w:pPr>
            <w:r>
              <w:rPr>
                <w:rFonts w:hint="eastAsia" w:ascii="宋体" w:hAnsi="宋体" w:eastAsia="宋体" w:cs="宋体"/>
                <w:sz w:val="21"/>
                <w:szCs w:val="21"/>
              </w:rPr>
              <w:t>5.商旅费控模块</w:t>
            </w:r>
          </w:p>
          <w:p>
            <w:pPr>
              <w:pStyle w:val="10"/>
              <w:adjustRightInd w:val="0"/>
              <w:snapToGrid w:val="0"/>
              <w:spacing w:after="0" w:line="360" w:lineRule="auto"/>
              <w:ind w:left="0" w:leftChars="0" w:firstLine="360"/>
              <w:rPr>
                <w:rFonts w:hint="eastAsia" w:ascii="宋体" w:hAnsi="宋体" w:eastAsia="宋体" w:cs="宋体"/>
                <w:sz w:val="21"/>
                <w:szCs w:val="21"/>
              </w:rPr>
            </w:pPr>
            <w:r>
              <w:rPr>
                <w:rFonts w:hint="eastAsia" w:ascii="宋体" w:hAnsi="宋体" w:eastAsia="宋体" w:cs="宋体"/>
                <w:sz w:val="21"/>
                <w:szCs w:val="21"/>
              </w:rPr>
              <w:t>5.1. 预订系统</w:t>
            </w:r>
          </w:p>
          <w:p>
            <w:pPr>
              <w:pStyle w:val="10"/>
              <w:adjustRightInd w:val="0"/>
              <w:snapToGrid w:val="0"/>
              <w:spacing w:after="0" w:line="360" w:lineRule="auto"/>
              <w:ind w:left="0" w:leftChars="0" w:firstLine="360"/>
              <w:rPr>
                <w:rFonts w:hint="eastAsia" w:ascii="宋体" w:hAnsi="宋体" w:eastAsia="宋体" w:cs="宋体"/>
                <w:sz w:val="21"/>
                <w:szCs w:val="21"/>
              </w:rPr>
            </w:pPr>
            <w:r>
              <w:rPr>
                <w:rFonts w:hint="eastAsia" w:ascii="宋体" w:hAnsi="宋体" w:eastAsia="宋体" w:cs="宋体"/>
                <w:sz w:val="21"/>
                <w:szCs w:val="21"/>
              </w:rPr>
              <w:t>包含机票预订、酒店预订、火车票预订功能。</w:t>
            </w:r>
          </w:p>
          <w:p>
            <w:pPr>
              <w:pStyle w:val="10"/>
              <w:adjustRightInd w:val="0"/>
              <w:snapToGrid w:val="0"/>
              <w:spacing w:after="0" w:line="360" w:lineRule="auto"/>
              <w:ind w:left="0" w:leftChars="0" w:firstLine="360"/>
              <w:rPr>
                <w:rFonts w:hint="eastAsia" w:ascii="宋体" w:hAnsi="宋体" w:eastAsia="宋体" w:cs="宋体"/>
                <w:sz w:val="21"/>
                <w:szCs w:val="21"/>
              </w:rPr>
            </w:pPr>
            <w:r>
              <w:rPr>
                <w:rFonts w:hint="eastAsia" w:ascii="宋体" w:hAnsi="宋体" w:eastAsia="宋体" w:cs="宋体"/>
                <w:sz w:val="21"/>
                <w:szCs w:val="21"/>
              </w:rPr>
              <w:t>5.2. 订单管理</w:t>
            </w:r>
          </w:p>
          <w:p>
            <w:pPr>
              <w:pStyle w:val="10"/>
              <w:adjustRightInd w:val="0"/>
              <w:snapToGrid w:val="0"/>
              <w:spacing w:after="0" w:line="360" w:lineRule="auto"/>
              <w:ind w:left="0" w:leftChars="0" w:firstLine="360"/>
              <w:rPr>
                <w:rFonts w:hint="eastAsia" w:ascii="宋体" w:hAnsi="宋体" w:eastAsia="宋体" w:cs="宋体"/>
                <w:sz w:val="21"/>
                <w:szCs w:val="21"/>
              </w:rPr>
            </w:pPr>
            <w:r>
              <w:rPr>
                <w:rFonts w:hint="eastAsia" w:ascii="宋体" w:hAnsi="宋体" w:eastAsia="宋体" w:cs="宋体"/>
                <w:sz w:val="21"/>
                <w:szCs w:val="21"/>
              </w:rPr>
              <w:t>包含机票订单、 酒店订单、火车票订单功能。</w:t>
            </w:r>
          </w:p>
          <w:p>
            <w:pPr>
              <w:pStyle w:val="10"/>
              <w:adjustRightInd w:val="0"/>
              <w:snapToGrid w:val="0"/>
              <w:spacing w:after="0" w:line="360" w:lineRule="auto"/>
              <w:ind w:left="0" w:leftChars="0" w:firstLine="360"/>
              <w:rPr>
                <w:rFonts w:hint="eastAsia" w:ascii="宋体" w:hAnsi="宋体" w:eastAsia="宋体" w:cs="宋体"/>
                <w:sz w:val="21"/>
                <w:szCs w:val="21"/>
              </w:rPr>
            </w:pPr>
            <w:r>
              <w:rPr>
                <w:rFonts w:hint="eastAsia" w:ascii="宋体" w:hAnsi="宋体" w:eastAsia="宋体" w:cs="宋体"/>
                <w:sz w:val="21"/>
                <w:szCs w:val="21"/>
              </w:rPr>
              <w:t>5.3. 单据管理</w:t>
            </w:r>
          </w:p>
          <w:p>
            <w:pPr>
              <w:pStyle w:val="10"/>
              <w:adjustRightInd w:val="0"/>
              <w:snapToGrid w:val="0"/>
              <w:spacing w:after="0" w:line="360" w:lineRule="auto"/>
              <w:ind w:left="0" w:leftChars="0" w:firstLine="360"/>
              <w:rPr>
                <w:rFonts w:hint="eastAsia" w:ascii="宋体" w:hAnsi="宋体" w:eastAsia="宋体" w:cs="宋体"/>
                <w:sz w:val="21"/>
                <w:szCs w:val="21"/>
              </w:rPr>
            </w:pPr>
            <w:r>
              <w:rPr>
                <w:rFonts w:hint="eastAsia" w:ascii="宋体" w:hAnsi="宋体" w:eastAsia="宋体" w:cs="宋体"/>
                <w:sz w:val="21"/>
                <w:szCs w:val="21"/>
              </w:rPr>
              <w:t>包含出差申请单、差旅报销单、借款单功能。</w:t>
            </w:r>
          </w:p>
          <w:p>
            <w:pPr>
              <w:pStyle w:val="10"/>
              <w:adjustRightInd w:val="0"/>
              <w:snapToGrid w:val="0"/>
              <w:spacing w:after="0" w:line="360" w:lineRule="auto"/>
              <w:ind w:left="0" w:leftChars="0" w:firstLine="360"/>
              <w:rPr>
                <w:rFonts w:hint="eastAsia" w:ascii="宋体" w:hAnsi="宋体" w:eastAsia="宋体" w:cs="宋体"/>
                <w:sz w:val="21"/>
                <w:szCs w:val="21"/>
              </w:rPr>
            </w:pPr>
            <w:r>
              <w:rPr>
                <w:rFonts w:hint="eastAsia" w:ascii="宋体" w:hAnsi="宋体" w:eastAsia="宋体" w:cs="宋体"/>
                <w:sz w:val="21"/>
                <w:szCs w:val="21"/>
              </w:rPr>
              <w:t>5.4. 审批管理</w:t>
            </w:r>
          </w:p>
          <w:p>
            <w:pPr>
              <w:pStyle w:val="10"/>
              <w:adjustRightInd w:val="0"/>
              <w:snapToGrid w:val="0"/>
              <w:spacing w:after="0" w:line="360" w:lineRule="auto"/>
              <w:ind w:left="0" w:leftChars="0" w:firstLine="360"/>
              <w:rPr>
                <w:rFonts w:hint="eastAsia" w:ascii="宋体" w:hAnsi="宋体" w:eastAsia="宋体" w:cs="宋体"/>
                <w:sz w:val="21"/>
                <w:szCs w:val="21"/>
              </w:rPr>
            </w:pPr>
            <w:r>
              <w:rPr>
                <w:rFonts w:hint="eastAsia" w:ascii="宋体" w:hAnsi="宋体" w:eastAsia="宋体" w:cs="宋体"/>
                <w:sz w:val="21"/>
                <w:szCs w:val="21"/>
              </w:rPr>
              <w:t>包含出差审批、报销审批、借款审批功能。</w:t>
            </w:r>
          </w:p>
          <w:p>
            <w:pPr>
              <w:pStyle w:val="10"/>
              <w:adjustRightInd w:val="0"/>
              <w:snapToGrid w:val="0"/>
              <w:spacing w:after="0" w:line="360" w:lineRule="auto"/>
              <w:ind w:left="0" w:leftChars="0" w:firstLine="360"/>
              <w:rPr>
                <w:rFonts w:hint="eastAsia" w:ascii="宋体" w:hAnsi="宋体" w:eastAsia="宋体" w:cs="宋体"/>
                <w:sz w:val="21"/>
                <w:szCs w:val="21"/>
              </w:rPr>
            </w:pPr>
            <w:r>
              <w:rPr>
                <w:rFonts w:hint="eastAsia" w:ascii="宋体" w:hAnsi="宋体" w:eastAsia="宋体" w:cs="宋体"/>
                <w:sz w:val="21"/>
                <w:szCs w:val="21"/>
              </w:rPr>
              <w:t>5.5. 基础设置</w:t>
            </w:r>
          </w:p>
          <w:p>
            <w:pPr>
              <w:pStyle w:val="10"/>
              <w:adjustRightInd w:val="0"/>
              <w:snapToGrid w:val="0"/>
              <w:spacing w:after="0" w:line="360" w:lineRule="auto"/>
              <w:ind w:left="0" w:leftChars="0" w:firstLine="360"/>
              <w:rPr>
                <w:rFonts w:hint="eastAsia" w:ascii="宋体" w:hAnsi="宋体" w:eastAsia="宋体" w:cs="宋体"/>
                <w:sz w:val="21"/>
                <w:szCs w:val="21"/>
              </w:rPr>
            </w:pPr>
            <w:r>
              <w:rPr>
                <w:rFonts w:hint="eastAsia" w:ascii="宋体" w:hAnsi="宋体" w:eastAsia="宋体" w:cs="宋体"/>
                <w:sz w:val="21"/>
                <w:szCs w:val="21"/>
              </w:rPr>
              <w:t>包含部门管理、职级管理、员工管理功能。</w:t>
            </w:r>
          </w:p>
          <w:p>
            <w:pPr>
              <w:pStyle w:val="10"/>
              <w:adjustRightInd w:val="0"/>
              <w:snapToGrid w:val="0"/>
              <w:spacing w:after="0" w:line="360" w:lineRule="auto"/>
              <w:ind w:left="0" w:leftChars="0" w:firstLine="211" w:firstLineChars="1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5.4 差旅标准设置</w:t>
            </w:r>
          </w:p>
          <w:p>
            <w:pPr>
              <w:pStyle w:val="10"/>
              <w:adjustRightInd w:val="0"/>
              <w:snapToGrid w:val="0"/>
              <w:spacing w:after="0" w:line="360" w:lineRule="auto"/>
              <w:ind w:left="0" w:leftChars="0" w:firstLine="360"/>
              <w:rPr>
                <w:rFonts w:hint="eastAsia" w:ascii="宋体" w:hAnsi="宋体" w:eastAsia="宋体" w:cs="宋体"/>
                <w:b/>
                <w:bCs/>
                <w:sz w:val="21"/>
                <w:szCs w:val="21"/>
                <w:highlight w:val="yellow"/>
              </w:rPr>
            </w:pPr>
            <w:r>
              <w:rPr>
                <w:rFonts w:hint="eastAsia" w:ascii="宋体" w:hAnsi="宋体" w:eastAsia="宋体" w:cs="宋体"/>
                <w:b/>
                <w:bCs/>
                <w:sz w:val="21"/>
                <w:szCs w:val="21"/>
                <w:highlight w:val="none"/>
              </w:rPr>
              <w:t>包含机票标准、酒店标准、火车票标准、差旅标准功能。</w:t>
            </w:r>
            <w:r>
              <w:rPr>
                <w:rFonts w:hint="eastAsia" w:ascii="宋体" w:hAnsi="宋体" w:cs="宋体"/>
                <w:b/>
                <w:bCs/>
                <w:sz w:val="21"/>
                <w:szCs w:val="21"/>
                <w:highlight w:val="none"/>
                <w:lang w:eastAsia="zh-CN"/>
              </w:rPr>
              <w:t>（提供现场演示）</w:t>
            </w:r>
          </w:p>
          <w:p>
            <w:pPr>
              <w:rPr>
                <w:rFonts w:hint="eastAsia" w:ascii="宋体" w:hAnsi="宋体" w:eastAsia="宋体" w:cs="宋体"/>
                <w:b/>
                <w:sz w:val="21"/>
                <w:szCs w:val="21"/>
              </w:rPr>
            </w:pPr>
            <w:r>
              <w:rPr>
                <w:rFonts w:hint="eastAsia" w:ascii="宋体" w:hAnsi="宋体" w:eastAsia="宋体" w:cs="宋体"/>
                <w:b/>
                <w:sz w:val="21"/>
                <w:szCs w:val="21"/>
              </w:rPr>
              <w:t>二、财务管理技能训练系统</w:t>
            </w:r>
          </w:p>
          <w:p>
            <w:pPr>
              <w:adjustRightInd w:val="0"/>
              <w:snapToGrid w:val="0"/>
              <w:spacing w:line="360" w:lineRule="auto"/>
              <w:outlineLvl w:val="1"/>
              <w:rPr>
                <w:rFonts w:hint="eastAsia" w:ascii="宋体" w:hAnsi="宋体" w:eastAsia="宋体" w:cs="宋体"/>
                <w:b/>
                <w:sz w:val="21"/>
                <w:szCs w:val="21"/>
                <w:highlight w:val="yellow"/>
              </w:rPr>
            </w:pPr>
            <w:r>
              <w:rPr>
                <w:rFonts w:hint="eastAsia" w:ascii="宋体" w:hAnsi="宋体" w:eastAsia="宋体" w:cs="宋体"/>
                <w:b/>
                <w:sz w:val="21"/>
                <w:szCs w:val="21"/>
              </w:rPr>
              <w:t>平台</w:t>
            </w:r>
            <w:r>
              <w:rPr>
                <w:rFonts w:hint="eastAsia" w:ascii="宋体" w:hAnsi="宋体" w:eastAsia="宋体" w:cs="宋体"/>
                <w:b/>
                <w:bCs/>
                <w:sz w:val="21"/>
                <w:szCs w:val="21"/>
              </w:rPr>
              <w:t>功能要求</w:t>
            </w:r>
          </w:p>
          <w:p>
            <w:pPr>
              <w:pStyle w:val="5"/>
              <w:adjustRightInd w:val="0"/>
              <w:snapToGrid w:val="0"/>
              <w:spacing w:before="0" w:after="0" w:line="360" w:lineRule="auto"/>
              <w:ind w:firstLine="422" w:firstLineChars="200"/>
              <w:rPr>
                <w:rFonts w:hint="eastAsia" w:ascii="宋体" w:hAnsi="宋体" w:eastAsia="宋体" w:cs="宋体"/>
                <w:sz w:val="21"/>
                <w:szCs w:val="21"/>
              </w:rPr>
            </w:pPr>
            <w:r>
              <w:rPr>
                <w:rFonts w:hint="eastAsia" w:ascii="宋体" w:hAnsi="宋体" w:eastAsia="宋体" w:cs="宋体"/>
                <w:sz w:val="21"/>
                <w:szCs w:val="21"/>
              </w:rPr>
              <w:t>1.技能训练管理</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1.1报名管理</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录入学生的报名信息，支持批量导入学生，或从教学教务管理中导入已有学生。</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1.2学生分组</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对报名的学生进行分组、设置队长，由队长来设置每位队员的岗位，并且由队长负责测评训练过程中的换岗操作。</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1.3训练管理</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系统中已经存在的训练分为新建、开通、进行、结束四种状态。</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新建训练时，可以设置开始时间、结束时间、训练时长、训练模式、选择试卷、选择考生、最少答题时间、是否显示成绩等信息。</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可根据实际使用场景修改学生岗位。岗位决定了考生只能操作哪一类试题。</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训练模式分为单次练习模式和循环练习模式。单次练习模式支持限定训练时长，登录时间不限，即在一定时间段内考生可以随时登录系统参与训练，训练时长固定，时间到训练结束，不能重复答题；循环练习模式下不限制训练操作次数，只要是在训练时间内，考生任何时候都可以登录练习，系统不保留练习成绩。</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1.4选取训练包。</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支持教师选取一套训练包，进行训练。</w:t>
            </w:r>
          </w:p>
          <w:p>
            <w:pPr>
              <w:pStyle w:val="5"/>
              <w:adjustRightInd w:val="0"/>
              <w:snapToGrid w:val="0"/>
              <w:spacing w:before="0" w:after="0" w:line="360" w:lineRule="auto"/>
              <w:rPr>
                <w:rFonts w:hint="eastAsia" w:ascii="宋体" w:hAnsi="宋体" w:eastAsia="宋体" w:cs="宋体"/>
                <w:sz w:val="21"/>
                <w:szCs w:val="21"/>
              </w:rPr>
            </w:pPr>
            <w:r>
              <w:rPr>
                <w:rFonts w:hint="eastAsia" w:ascii="宋体" w:hAnsi="宋体" w:eastAsia="宋体" w:cs="宋体"/>
                <w:sz w:val="21"/>
                <w:szCs w:val="21"/>
              </w:rPr>
              <w:t xml:space="preserve">    2.实操练习</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2.1学生登录系统后选择存在的训练项目，学生根据创建训练时分配的不同岗位或全岗位进入系统答题。</w:t>
            </w:r>
          </w:p>
          <w:p>
            <w:pPr>
              <w:adjustRightInd w:val="0"/>
              <w:snapToGrid w:val="0"/>
              <w:spacing w:line="360" w:lineRule="auto"/>
              <w:ind w:firstLine="210" w:firstLineChars="10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none"/>
              </w:rPr>
              <w:t>2.2如果学生角色为全角色，可以操作训练中的所有试题。如果为某一岗位，只能操作自己所属角色对应的试题，不能操作其他角色对应的试题。</w:t>
            </w:r>
          </w:p>
          <w:p>
            <w:pPr>
              <w:adjustRightInd w:val="0"/>
              <w:snapToGrid w:val="0"/>
              <w:spacing w:line="360" w:lineRule="auto"/>
              <w:ind w:firstLine="420" w:firstLineChars="200"/>
              <w:contextualSpacing/>
              <w:rPr>
                <w:rFonts w:hint="eastAsia" w:ascii="宋体" w:hAnsi="宋体" w:eastAsia="宋体" w:cs="宋体"/>
                <w:sz w:val="21"/>
                <w:szCs w:val="21"/>
              </w:rPr>
            </w:pPr>
            <w:r>
              <w:rPr>
                <w:rFonts w:hint="eastAsia" w:ascii="宋体" w:hAnsi="宋体" w:eastAsia="宋体" w:cs="宋体"/>
                <w:sz w:val="21"/>
                <w:szCs w:val="21"/>
              </w:rPr>
              <w:t>2.3训练过程中如果遇到突然断电关机、误操作关闭浏览器等非正常结束训练，考生可以重新登录系统进入答题，答题记录自动恢复到关闭前的最后一道已保存的试题。</w:t>
            </w:r>
          </w:p>
          <w:p>
            <w:pPr>
              <w:pStyle w:val="5"/>
              <w:adjustRightInd w:val="0"/>
              <w:snapToGrid w:val="0"/>
              <w:spacing w:before="0" w:after="0" w:line="360" w:lineRule="auto"/>
              <w:contextualSpacing/>
              <w:rPr>
                <w:rFonts w:hint="eastAsia" w:ascii="宋体" w:hAnsi="宋体" w:eastAsia="宋体" w:cs="宋体"/>
                <w:sz w:val="21"/>
                <w:szCs w:val="21"/>
              </w:rPr>
            </w:pPr>
            <w:r>
              <w:rPr>
                <w:rFonts w:hint="eastAsia" w:ascii="宋体" w:hAnsi="宋体" w:eastAsia="宋体" w:cs="宋体"/>
                <w:b w:val="0"/>
                <w:sz w:val="21"/>
                <w:szCs w:val="21"/>
              </w:rPr>
              <w:t xml:space="preserve">    3.</w:t>
            </w:r>
            <w:r>
              <w:rPr>
                <w:rFonts w:hint="eastAsia" w:ascii="宋体" w:hAnsi="宋体" w:eastAsia="宋体" w:cs="宋体"/>
                <w:sz w:val="21"/>
                <w:szCs w:val="21"/>
              </w:rPr>
              <w:t>统计分析</w:t>
            </w:r>
          </w:p>
          <w:p>
            <w:pPr>
              <w:adjustRightInd w:val="0"/>
              <w:snapToGrid w:val="0"/>
              <w:spacing w:line="360" w:lineRule="auto"/>
              <w:ind w:firstLine="420" w:firstLineChars="200"/>
              <w:contextualSpacing/>
              <w:rPr>
                <w:rFonts w:hint="eastAsia" w:ascii="宋体" w:hAnsi="宋体" w:eastAsia="宋体" w:cs="宋体"/>
                <w:sz w:val="21"/>
                <w:szCs w:val="21"/>
              </w:rPr>
            </w:pPr>
            <w:r>
              <w:rPr>
                <w:rFonts w:hint="eastAsia" w:ascii="宋体" w:hAnsi="宋体" w:eastAsia="宋体" w:cs="宋体"/>
                <w:sz w:val="21"/>
                <w:szCs w:val="21"/>
              </w:rPr>
              <w:t>3.1统计分析主要对系统中完成状态的训练信息进行统计。</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3.2统计分析中可以查看某场训练的应训人数、实训人数、平均分等信息。</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3.3对于某个考生，可以查看包含训练时间、总成绩、单题成绩等详细的训练信息。</w:t>
            </w:r>
          </w:p>
          <w:p>
            <w:pPr>
              <w:adjustRightInd w:val="0"/>
              <w:snapToGrid w:val="0"/>
              <w:spacing w:line="360" w:lineRule="auto"/>
              <w:outlineLvl w:val="1"/>
              <w:rPr>
                <w:rFonts w:hint="eastAsia" w:ascii="宋体" w:hAnsi="宋体" w:eastAsia="宋体" w:cs="宋体"/>
                <w:b/>
                <w:sz w:val="21"/>
                <w:szCs w:val="21"/>
              </w:rPr>
            </w:pPr>
            <w:r>
              <w:rPr>
                <w:rFonts w:hint="eastAsia" w:ascii="宋体" w:hAnsi="宋体" w:eastAsia="宋体" w:cs="宋体"/>
                <w:b/>
                <w:sz w:val="21"/>
                <w:szCs w:val="21"/>
              </w:rPr>
              <w:t>（三）业务模块要求</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业务操作模块应能支持测评训练要求，系统应具有预算管理模块、成本管理模块、公司金融模块、大数据财务分析模块。</w:t>
            </w:r>
          </w:p>
          <w:p>
            <w:pPr>
              <w:pStyle w:val="5"/>
              <w:adjustRightInd w:val="0"/>
              <w:snapToGrid w:val="0"/>
              <w:spacing w:before="0" w:after="0" w:line="360" w:lineRule="auto"/>
              <w:rPr>
                <w:rFonts w:hint="eastAsia" w:ascii="宋体" w:hAnsi="宋体" w:eastAsia="宋体" w:cs="宋体"/>
                <w:sz w:val="21"/>
                <w:szCs w:val="21"/>
              </w:rPr>
            </w:pPr>
            <w:r>
              <w:rPr>
                <w:rFonts w:hint="eastAsia" w:ascii="宋体" w:hAnsi="宋体" w:eastAsia="宋体" w:cs="宋体"/>
                <w:sz w:val="21"/>
                <w:szCs w:val="21"/>
              </w:rPr>
              <w:t xml:space="preserve">   1.预算管理模块</w:t>
            </w:r>
          </w:p>
          <w:p>
            <w:pPr>
              <w:adjustRightInd w:val="0"/>
              <w:snapToGrid w:val="0"/>
              <w:spacing w:line="360" w:lineRule="auto"/>
              <w:ind w:firstLine="420"/>
              <w:rPr>
                <w:rFonts w:hint="eastAsia" w:ascii="宋体" w:hAnsi="宋体" w:eastAsia="宋体" w:cs="宋体"/>
                <w:sz w:val="21"/>
                <w:szCs w:val="21"/>
              </w:rPr>
            </w:pPr>
            <w:r>
              <w:rPr>
                <w:rFonts w:hint="eastAsia" w:ascii="宋体" w:hAnsi="宋体" w:eastAsia="宋体" w:cs="宋体"/>
                <w:sz w:val="21"/>
                <w:szCs w:val="21"/>
              </w:rPr>
              <w:t>1.1业务计划</w:t>
            </w:r>
          </w:p>
          <w:p>
            <w:pPr>
              <w:adjustRightInd w:val="0"/>
              <w:snapToGrid w:val="0"/>
              <w:spacing w:line="360" w:lineRule="auto"/>
              <w:ind w:firstLine="420"/>
              <w:rPr>
                <w:rFonts w:hint="eastAsia" w:ascii="宋体" w:hAnsi="宋体" w:eastAsia="宋体" w:cs="宋体"/>
                <w:sz w:val="21"/>
                <w:szCs w:val="21"/>
              </w:rPr>
            </w:pPr>
            <w:r>
              <w:rPr>
                <w:rFonts w:hint="eastAsia" w:ascii="宋体" w:hAnsi="宋体" w:eastAsia="宋体" w:cs="宋体"/>
                <w:sz w:val="21"/>
                <w:szCs w:val="21"/>
              </w:rPr>
              <w:t>根据企业预算目标和经营预期，修订或设计相应的预算计划。</w:t>
            </w:r>
          </w:p>
          <w:p>
            <w:pPr>
              <w:adjustRightInd w:val="0"/>
              <w:snapToGrid w:val="0"/>
              <w:spacing w:line="360" w:lineRule="auto"/>
              <w:ind w:firstLine="420"/>
              <w:rPr>
                <w:rFonts w:hint="eastAsia" w:ascii="宋体" w:hAnsi="宋体" w:eastAsia="宋体" w:cs="宋体"/>
                <w:sz w:val="21"/>
                <w:szCs w:val="21"/>
              </w:rPr>
            </w:pPr>
            <w:r>
              <w:rPr>
                <w:rFonts w:hint="eastAsia" w:ascii="宋体" w:hAnsi="宋体" w:eastAsia="宋体" w:cs="宋体"/>
                <w:sz w:val="21"/>
                <w:szCs w:val="21"/>
              </w:rPr>
              <w:t>1.2预算编制</w:t>
            </w:r>
          </w:p>
          <w:p>
            <w:pPr>
              <w:adjustRightInd w:val="0"/>
              <w:snapToGrid w:val="0"/>
              <w:spacing w:line="360" w:lineRule="auto"/>
              <w:ind w:firstLine="420"/>
              <w:rPr>
                <w:rFonts w:hint="eastAsia" w:ascii="宋体" w:hAnsi="宋体" w:eastAsia="宋体" w:cs="宋体"/>
                <w:sz w:val="21"/>
                <w:szCs w:val="21"/>
              </w:rPr>
            </w:pPr>
            <w:r>
              <w:rPr>
                <w:rFonts w:hint="eastAsia" w:ascii="宋体" w:hAnsi="宋体" w:eastAsia="宋体" w:cs="宋体"/>
                <w:sz w:val="21"/>
                <w:szCs w:val="21"/>
              </w:rPr>
              <w:t>根据市场需求、销售情况、款项回收情况、生产能力等数据编制全面预算。</w:t>
            </w:r>
          </w:p>
          <w:p>
            <w:pPr>
              <w:adjustRightInd w:val="0"/>
              <w:snapToGrid w:val="0"/>
              <w:spacing w:line="360" w:lineRule="auto"/>
              <w:ind w:firstLine="420"/>
              <w:rPr>
                <w:rFonts w:hint="eastAsia" w:ascii="宋体" w:hAnsi="宋体" w:eastAsia="宋体" w:cs="宋体"/>
                <w:sz w:val="21"/>
                <w:szCs w:val="21"/>
              </w:rPr>
            </w:pPr>
            <w:r>
              <w:rPr>
                <w:rFonts w:hint="eastAsia" w:ascii="宋体" w:hAnsi="宋体" w:eastAsia="宋体" w:cs="宋体"/>
                <w:sz w:val="21"/>
                <w:szCs w:val="21"/>
              </w:rPr>
              <w:t>1.3预算控制</w:t>
            </w:r>
          </w:p>
          <w:p>
            <w:pPr>
              <w:adjustRightInd w:val="0"/>
              <w:snapToGrid w:val="0"/>
              <w:spacing w:line="360" w:lineRule="auto"/>
              <w:ind w:firstLine="420"/>
              <w:rPr>
                <w:rFonts w:hint="eastAsia" w:ascii="宋体" w:hAnsi="宋体" w:eastAsia="宋体" w:cs="宋体"/>
                <w:sz w:val="21"/>
                <w:szCs w:val="21"/>
              </w:rPr>
            </w:pPr>
            <w:r>
              <w:rPr>
                <w:rFonts w:hint="eastAsia" w:ascii="宋体" w:hAnsi="宋体" w:eastAsia="宋体" w:cs="宋体"/>
                <w:sz w:val="21"/>
                <w:szCs w:val="21"/>
              </w:rPr>
              <w:t>通过跟踪预算使用情况，采取适当的方法控制预算使用，对出现的异常情况及时予以建议和调整。</w:t>
            </w:r>
          </w:p>
          <w:p>
            <w:pPr>
              <w:adjustRightInd w:val="0"/>
              <w:snapToGrid w:val="0"/>
              <w:spacing w:line="360" w:lineRule="auto"/>
              <w:ind w:firstLine="420"/>
              <w:rPr>
                <w:rFonts w:hint="eastAsia" w:ascii="宋体" w:hAnsi="宋体" w:eastAsia="宋体" w:cs="宋体"/>
                <w:sz w:val="21"/>
                <w:szCs w:val="21"/>
              </w:rPr>
            </w:pPr>
            <w:r>
              <w:rPr>
                <w:rFonts w:hint="eastAsia" w:ascii="宋体" w:hAnsi="宋体" w:eastAsia="宋体" w:cs="宋体"/>
                <w:sz w:val="21"/>
                <w:szCs w:val="21"/>
              </w:rPr>
              <w:t>1.4预算分析</w:t>
            </w:r>
          </w:p>
          <w:p>
            <w:pPr>
              <w:adjustRightInd w:val="0"/>
              <w:snapToGrid w:val="0"/>
              <w:spacing w:line="360" w:lineRule="auto"/>
              <w:ind w:firstLine="420"/>
              <w:rPr>
                <w:rFonts w:hint="eastAsia" w:ascii="宋体" w:hAnsi="宋体" w:eastAsia="宋体" w:cs="宋体"/>
                <w:sz w:val="21"/>
                <w:szCs w:val="21"/>
              </w:rPr>
            </w:pPr>
            <w:r>
              <w:rPr>
                <w:rFonts w:hint="eastAsia" w:ascii="宋体" w:hAnsi="宋体" w:eastAsia="宋体" w:cs="宋体"/>
                <w:sz w:val="21"/>
                <w:szCs w:val="21"/>
              </w:rPr>
              <w:t>对预算执行实际数与预算数之间的差异进行分析。</w:t>
            </w:r>
          </w:p>
          <w:p>
            <w:pPr>
              <w:pStyle w:val="5"/>
              <w:adjustRightInd w:val="0"/>
              <w:snapToGrid w:val="0"/>
              <w:spacing w:before="0" w:after="0" w:line="360" w:lineRule="auto"/>
              <w:rPr>
                <w:rFonts w:hint="eastAsia" w:ascii="宋体" w:hAnsi="宋体" w:eastAsia="宋体" w:cs="宋体"/>
                <w:sz w:val="21"/>
                <w:szCs w:val="21"/>
              </w:rPr>
            </w:pPr>
            <w:r>
              <w:rPr>
                <w:rFonts w:hint="eastAsia" w:ascii="宋体" w:hAnsi="宋体" w:eastAsia="宋体" w:cs="宋体"/>
                <w:sz w:val="21"/>
                <w:szCs w:val="21"/>
              </w:rPr>
              <w:t xml:space="preserve">    2.成本管理模块</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2.1成本计划</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根据企业成本控制目标和经营预期，确定产品标准成本。</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2.2成本核算</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根据产品的材料购入与耗用、人工、制造费用等成本的支出情况计算产品成本。</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2.3成本控制</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通过跟踪材料购入与耗用、人工、制造费用等成本的支出情况，将标准成本应用到产品生产过程的成本控制中，并采取适当的方法控制生产制造成本，对出现的异常差异情况及时予以建议和纠正。</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2.4成本分析</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定期将实际成本与标准成本进行比较，分析差异数据的性质及形成原因；定期对产品成本构成情况进行分析，确定影响产品成本的主要因素；将成本数据与往年、同业数据比较，分析存在差异的原因。</w:t>
            </w:r>
          </w:p>
          <w:p>
            <w:pPr>
              <w:pStyle w:val="5"/>
              <w:spacing w:before="0" w:after="0" w:line="360" w:lineRule="auto"/>
              <w:rPr>
                <w:rFonts w:hint="eastAsia" w:ascii="宋体" w:hAnsi="宋体" w:eastAsia="宋体" w:cs="宋体"/>
                <w:sz w:val="21"/>
                <w:szCs w:val="21"/>
              </w:rPr>
            </w:pPr>
            <w:r>
              <w:rPr>
                <w:rFonts w:hint="eastAsia" w:ascii="宋体" w:hAnsi="宋体" w:eastAsia="宋体" w:cs="宋体"/>
                <w:sz w:val="21"/>
                <w:szCs w:val="21"/>
              </w:rPr>
              <w:t xml:space="preserve">    3.公司金融模块</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3.1银行贷款管理</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进行银行贷款管理分析，选择抵押品，制定还款计划，编制银行贷款申请报告。</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3.2应收账款保理</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掌握应收账款保理业务流程，确定筹集资金的数量，选择应收账款保理方案，制定对应的偿还计划，对保理业务进行监控。</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3.3融资租赁</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分析固定资产融资租赁的现金流量，计算融资租赁设备折旧及相关费率，对购买方案或租赁方案进行决策，对融资租赁进行会计核算。</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3.4股权融资</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掌握股权融资方式，分析企业资本结构，选择合适的融资方式。</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3.5股权投资</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掌握股权投资方式，计算股权投资账面价值，掌握对股权投资的会计核算。</w:t>
            </w:r>
          </w:p>
          <w:p>
            <w:pPr>
              <w:pStyle w:val="5"/>
              <w:spacing w:before="0" w:after="0" w:line="360" w:lineRule="auto"/>
              <w:rPr>
                <w:rFonts w:hint="eastAsia" w:ascii="宋体" w:hAnsi="宋体" w:eastAsia="宋体" w:cs="宋体"/>
                <w:sz w:val="21"/>
                <w:szCs w:val="21"/>
              </w:rPr>
            </w:pPr>
            <w:r>
              <w:rPr>
                <w:rFonts w:hint="eastAsia" w:ascii="宋体" w:hAnsi="宋体" w:eastAsia="宋体" w:cs="宋体"/>
                <w:sz w:val="21"/>
                <w:szCs w:val="21"/>
              </w:rPr>
              <w:t xml:space="preserve">    4.大数据财务分析模块</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4.1财务报表分析</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依据企业的资产负债表、利润表、现金流量表，运用数据分析工具进行绝对值和相对值的比较分析，并与行业大数据进行比较。</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4.2财务指标分析</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依据获取的财务数据，运用数据分析工具，完成偿债能力、营运能力、盈利能力和发展能力分析，并完成可视化呈现。</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运用大数据工具，从互联网获取同行业可比数据，进行行业比较分析，并进行可视化呈现。</w:t>
            </w:r>
          </w:p>
          <w:p>
            <w:pPr>
              <w:rPr>
                <w:rFonts w:hint="eastAsia" w:ascii="宋体" w:hAnsi="宋体" w:eastAsia="宋体" w:cs="宋体"/>
                <w:b/>
                <w:sz w:val="21"/>
                <w:szCs w:val="21"/>
              </w:rPr>
            </w:pPr>
            <w:r>
              <w:rPr>
                <w:rFonts w:hint="eastAsia" w:ascii="宋体" w:hAnsi="宋体" w:eastAsia="宋体" w:cs="宋体"/>
                <w:b/>
                <w:sz w:val="21"/>
                <w:szCs w:val="21"/>
              </w:rPr>
              <w:t>三、税务服务技能训练系统</w:t>
            </w:r>
          </w:p>
          <w:p>
            <w:pPr>
              <w:adjustRightInd w:val="0"/>
              <w:snapToGrid w:val="0"/>
              <w:spacing w:line="360" w:lineRule="auto"/>
              <w:outlineLvl w:val="1"/>
              <w:rPr>
                <w:rFonts w:hint="eastAsia" w:ascii="宋体" w:hAnsi="宋体" w:eastAsia="宋体" w:cs="宋体"/>
                <w:b/>
                <w:sz w:val="21"/>
                <w:szCs w:val="21"/>
                <w:highlight w:val="yellow"/>
              </w:rPr>
            </w:pPr>
            <w:r>
              <w:rPr>
                <w:rFonts w:hint="eastAsia" w:ascii="宋体" w:hAnsi="宋体" w:eastAsia="宋体" w:cs="宋体"/>
                <w:b/>
                <w:sz w:val="21"/>
                <w:szCs w:val="21"/>
              </w:rPr>
              <w:t>平台</w:t>
            </w:r>
            <w:r>
              <w:rPr>
                <w:rFonts w:hint="eastAsia" w:ascii="宋体" w:hAnsi="宋体" w:eastAsia="宋体" w:cs="宋体"/>
                <w:b/>
                <w:bCs/>
                <w:sz w:val="21"/>
                <w:szCs w:val="21"/>
              </w:rPr>
              <w:t>功能要求</w:t>
            </w:r>
          </w:p>
          <w:p>
            <w:pPr>
              <w:pStyle w:val="63"/>
              <w:adjustRightInd w:val="0"/>
              <w:snapToGrid w:val="0"/>
              <w:spacing w:line="360" w:lineRule="auto"/>
              <w:ind w:left="360" w:firstLine="0" w:firstLineChars="0"/>
              <w:outlineLvl w:val="2"/>
              <w:rPr>
                <w:rFonts w:hint="eastAsia" w:ascii="宋体" w:hAnsi="宋体" w:eastAsia="宋体" w:cs="宋体"/>
                <w:sz w:val="21"/>
                <w:szCs w:val="21"/>
              </w:rPr>
            </w:pPr>
            <w:r>
              <w:rPr>
                <w:rFonts w:hint="eastAsia" w:ascii="宋体" w:hAnsi="宋体" w:eastAsia="宋体" w:cs="宋体"/>
                <w:sz w:val="21"/>
                <w:szCs w:val="21"/>
              </w:rPr>
              <w:t>1.技能训练管理</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1.1报名管理</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录入学生的报名信息，支持批量导入学生，或从教学教务管理中导入已有学生。</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1.2学生分组</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对报名的学生进行分组、设置队长，由队长来设置每位队员的岗位，并且由队长负责测评训练过程中的换岗操作。</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1.3训练管理</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系统中已经存在的训练分为新建、开通、进行、结束四种状态。</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新建训练时，可以设置开始时间、结束时间、训练时长、训练模式、选择试卷、选择考生、最少答题时间、是否显示成绩等信息。</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可根据实际使用场景修改学生岗位。岗位决定了考生只能操作哪一类试题。</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训练模式分为单次练习模式和循环练习模式。单次练习模式支持限定训练时长，登录时间不限，即在一定时间段内考生可以随时登录系统参与训练，训练时长固定，时间到训练结束，不能重复答题；循环练习模式下不限制训练操作次数，只要是在训练时间内，考生任何时候都可以登录练习，系统不保留练习成绩。</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1.4选取训练包。</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支持教师选取一套训练包，进行训练。</w:t>
            </w:r>
          </w:p>
          <w:p>
            <w:pPr>
              <w:pStyle w:val="5"/>
              <w:adjustRightInd w:val="0"/>
              <w:snapToGrid w:val="0"/>
              <w:spacing w:before="0" w:after="0" w:line="360" w:lineRule="auto"/>
              <w:rPr>
                <w:rFonts w:hint="eastAsia" w:ascii="宋体" w:hAnsi="宋体" w:eastAsia="宋体" w:cs="宋体"/>
                <w:sz w:val="21"/>
                <w:szCs w:val="21"/>
              </w:rPr>
            </w:pPr>
            <w:r>
              <w:rPr>
                <w:rFonts w:hint="eastAsia" w:ascii="宋体" w:hAnsi="宋体" w:eastAsia="宋体" w:cs="宋体"/>
                <w:sz w:val="21"/>
                <w:szCs w:val="21"/>
              </w:rPr>
              <w:t>2.实操练习</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2.1学生登录系统后选择存在的训练项目，学生根据创建训练时分配的不同岗位或全岗位进入系统答题。</w:t>
            </w:r>
          </w:p>
          <w:p>
            <w:pPr>
              <w:adjustRightInd w:val="0"/>
              <w:snapToGrid w:val="0"/>
              <w:spacing w:line="360" w:lineRule="auto"/>
              <w:ind w:firstLine="420" w:firstLineChars="200"/>
              <w:rPr>
                <w:rFonts w:hint="eastAsia"/>
                <w:b w:val="0"/>
                <w:bCs w:val="0"/>
                <w:highlight w:val="none"/>
              </w:rPr>
            </w:pPr>
            <w:r>
              <w:rPr>
                <w:rFonts w:hint="eastAsia" w:ascii="宋体" w:hAnsi="宋体" w:eastAsia="宋体" w:cs="宋体"/>
                <w:b w:val="0"/>
                <w:bCs w:val="0"/>
                <w:sz w:val="21"/>
                <w:szCs w:val="21"/>
                <w:highlight w:val="none"/>
              </w:rPr>
              <w:t>2.2如果学生角色为全角色，可以操作训练中的所有试题。如果为某一岗位，只能操作自己所属角色对应的试题，不能操作其他角色对应的试题。</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2.3训练过程中如果遇到突然断电关机、误操作关闭浏览器等非正常结束训练，考生可以重新登录系统进入答题，答题记录自动恢复到关闭前的最后一道已保存的试题。</w:t>
            </w:r>
          </w:p>
          <w:p>
            <w:pPr>
              <w:pStyle w:val="5"/>
              <w:adjustRightInd w:val="0"/>
              <w:snapToGrid w:val="0"/>
              <w:spacing w:before="0" w:after="0" w:line="360" w:lineRule="auto"/>
              <w:contextualSpacing/>
              <w:rPr>
                <w:rFonts w:hint="eastAsia" w:ascii="宋体" w:hAnsi="宋体" w:eastAsia="宋体" w:cs="宋体"/>
                <w:sz w:val="21"/>
                <w:szCs w:val="21"/>
              </w:rPr>
            </w:pPr>
            <w:r>
              <w:rPr>
                <w:rFonts w:hint="eastAsia" w:ascii="宋体" w:hAnsi="宋体" w:eastAsia="宋体" w:cs="宋体"/>
                <w:b w:val="0"/>
                <w:sz w:val="21"/>
                <w:szCs w:val="21"/>
              </w:rPr>
              <w:t xml:space="preserve">    3.</w:t>
            </w:r>
            <w:r>
              <w:rPr>
                <w:rFonts w:hint="eastAsia" w:ascii="宋体" w:hAnsi="宋体" w:eastAsia="宋体" w:cs="宋体"/>
                <w:sz w:val="21"/>
                <w:szCs w:val="21"/>
              </w:rPr>
              <w:t>统计分析</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3.1统计分析主要对系统中完成状态的训练信息进行统计。</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3.2统计分析中可以查看某场训练的应训人数、实训人数、平均分等信息。</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3.3对于某个考生，可以查看包含训练时间、总成绩、单题成绩等详细的训练信息。</w:t>
            </w:r>
          </w:p>
          <w:p>
            <w:pPr>
              <w:adjustRightInd w:val="0"/>
              <w:snapToGrid w:val="0"/>
              <w:spacing w:line="360" w:lineRule="auto"/>
              <w:outlineLvl w:val="1"/>
              <w:rPr>
                <w:rFonts w:hint="eastAsia" w:ascii="宋体" w:hAnsi="宋体" w:eastAsia="宋体" w:cs="宋体"/>
                <w:b/>
                <w:sz w:val="21"/>
                <w:szCs w:val="21"/>
              </w:rPr>
            </w:pPr>
            <w:r>
              <w:rPr>
                <w:rFonts w:hint="eastAsia" w:ascii="宋体" w:hAnsi="宋体" w:eastAsia="宋体" w:cs="宋体"/>
                <w:b/>
                <w:sz w:val="21"/>
                <w:szCs w:val="21"/>
              </w:rPr>
              <w:t>（三）业务模块要求</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业务操作模块应能支持测评训练要求，系统应具有企业所得税汇算清缴模块、税务预警模块、税务自查模块、税务规划模块。</w:t>
            </w:r>
          </w:p>
          <w:p>
            <w:pPr>
              <w:pStyle w:val="10"/>
              <w:adjustRightInd w:val="0"/>
              <w:snapToGrid w:val="0"/>
              <w:spacing w:after="0" w:line="360" w:lineRule="auto"/>
              <w:ind w:left="0" w:leftChars="0" w:firstLine="360"/>
              <w:outlineLvl w:val="2"/>
              <w:rPr>
                <w:rFonts w:hint="eastAsia" w:ascii="宋体" w:hAnsi="宋体" w:eastAsia="宋体" w:cs="宋体"/>
                <w:sz w:val="21"/>
                <w:szCs w:val="21"/>
              </w:rPr>
            </w:pPr>
            <w:r>
              <w:rPr>
                <w:rFonts w:hint="eastAsia" w:ascii="宋体" w:hAnsi="宋体" w:eastAsia="宋体" w:cs="宋体"/>
                <w:sz w:val="21"/>
                <w:szCs w:val="21"/>
              </w:rPr>
              <w:t>1.企业所得税汇算清缴模块</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1.1与财务共享核算系统数据连通，可直接根据企业账套自动获取财务数据并转换生成相关纳税申报表，也可从外部获得财报数据并自动匹配生成相关税表。</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1.2 与税务局纳税申报表一致，完全模拟纳税申报过程，可一键申报。</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1.3 年度企业所得税汇算清缴申报表。</w:t>
            </w:r>
          </w:p>
          <w:p>
            <w:pPr>
              <w:pStyle w:val="10"/>
              <w:adjustRightInd w:val="0"/>
              <w:snapToGrid w:val="0"/>
              <w:spacing w:after="0" w:line="360" w:lineRule="auto"/>
              <w:ind w:left="0" w:leftChars="0" w:firstLine="360"/>
              <w:rPr>
                <w:rFonts w:hint="eastAsia" w:ascii="宋体" w:hAnsi="宋体" w:eastAsia="宋体" w:cs="宋体"/>
                <w:sz w:val="21"/>
                <w:szCs w:val="21"/>
              </w:rPr>
            </w:pPr>
            <w:r>
              <w:rPr>
                <w:rFonts w:hint="eastAsia" w:ascii="宋体" w:hAnsi="宋体" w:eastAsia="宋体" w:cs="宋体"/>
                <w:sz w:val="21"/>
                <w:szCs w:val="21"/>
              </w:rPr>
              <w:t>1.4 在汇算清缴纳税申报系统中，进行企业基础信息填写、数据导入、数据校验、科目匹配。</w:t>
            </w:r>
          </w:p>
          <w:p>
            <w:pPr>
              <w:pStyle w:val="10"/>
              <w:adjustRightInd w:val="0"/>
              <w:snapToGrid w:val="0"/>
              <w:spacing w:after="0" w:line="360" w:lineRule="auto"/>
              <w:ind w:left="0" w:leftChars="0" w:firstLine="360"/>
              <w:outlineLvl w:val="2"/>
              <w:rPr>
                <w:rFonts w:hint="eastAsia" w:ascii="宋体" w:hAnsi="宋体" w:eastAsia="宋体" w:cs="宋体"/>
                <w:sz w:val="21"/>
                <w:szCs w:val="21"/>
              </w:rPr>
            </w:pPr>
            <w:r>
              <w:rPr>
                <w:rFonts w:hint="eastAsia" w:ascii="宋体" w:hAnsi="宋体" w:eastAsia="宋体" w:cs="宋体"/>
                <w:sz w:val="21"/>
                <w:szCs w:val="21"/>
              </w:rPr>
              <w:t>2.税务预警模块</w:t>
            </w:r>
          </w:p>
          <w:p>
            <w:pPr>
              <w:adjustRightInd w:val="0"/>
              <w:snapToGrid w:val="0"/>
              <w:spacing w:line="360" w:lineRule="auto"/>
              <w:ind w:right="114" w:firstLine="420" w:firstLineChars="200"/>
              <w:rPr>
                <w:rFonts w:hint="eastAsia" w:ascii="宋体" w:hAnsi="宋体" w:eastAsia="宋体" w:cs="宋体"/>
                <w:sz w:val="21"/>
                <w:szCs w:val="21"/>
              </w:rPr>
            </w:pPr>
            <w:r>
              <w:rPr>
                <w:rFonts w:hint="eastAsia" w:ascii="宋体" w:hAnsi="宋体" w:eastAsia="宋体" w:cs="宋体"/>
                <w:sz w:val="21"/>
                <w:szCs w:val="21"/>
              </w:rPr>
              <w:t>2.1利用大数据技术筛查企业税务风险点，对涉税风险进行评估，区分税务风险等级</w:t>
            </w:r>
            <w:r>
              <w:rPr>
                <w:rFonts w:hint="eastAsia" w:ascii="宋体" w:hAnsi="宋体" w:eastAsia="宋体" w:cs="宋体"/>
                <w:color w:val="0D0D0D"/>
                <w:spacing w:val="-2"/>
                <w:sz w:val="21"/>
                <w:szCs w:val="21"/>
              </w:rPr>
              <w:t>。</w:t>
            </w:r>
          </w:p>
          <w:p>
            <w:pPr>
              <w:adjustRightInd w:val="0"/>
              <w:snapToGrid w:val="0"/>
              <w:spacing w:line="360" w:lineRule="auto"/>
              <w:ind w:right="114" w:firstLine="420" w:firstLineChars="200"/>
              <w:rPr>
                <w:rFonts w:hint="eastAsia" w:ascii="宋体" w:hAnsi="宋体" w:eastAsia="宋体" w:cs="宋体"/>
                <w:sz w:val="21"/>
                <w:szCs w:val="21"/>
              </w:rPr>
            </w:pPr>
            <w:r>
              <w:rPr>
                <w:rFonts w:hint="eastAsia" w:ascii="宋体" w:hAnsi="宋体" w:eastAsia="宋体" w:cs="宋体"/>
                <w:sz w:val="21"/>
                <w:szCs w:val="21"/>
              </w:rPr>
              <w:t>2.2综合利用各种分析方法和手段，全面、系统统计企业未来内外部环境及财务数据变化，合理设计税负率及财务数据预警指标。</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2.3根据税务风险评估与预警指标，对涉税风险进行评估，对税务风险的应对进行建议。</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2.4识别增值税发票使用风险，对发票全要素的合规性、合法性进行记录和审核，根据相关规定对虚开增值税发票行为作出判断。</w:t>
            </w:r>
          </w:p>
          <w:p>
            <w:pPr>
              <w:pStyle w:val="10"/>
              <w:adjustRightInd w:val="0"/>
              <w:snapToGrid w:val="0"/>
              <w:spacing w:after="0" w:line="360" w:lineRule="auto"/>
              <w:ind w:left="0" w:leftChars="0" w:firstLine="360"/>
              <w:outlineLvl w:val="2"/>
              <w:rPr>
                <w:rFonts w:hint="eastAsia" w:ascii="宋体" w:hAnsi="宋体" w:eastAsia="宋体" w:cs="宋体"/>
                <w:sz w:val="21"/>
                <w:szCs w:val="21"/>
              </w:rPr>
            </w:pPr>
            <w:r>
              <w:rPr>
                <w:rFonts w:hint="eastAsia" w:ascii="宋体" w:hAnsi="宋体" w:eastAsia="宋体" w:cs="宋体"/>
                <w:sz w:val="21"/>
                <w:szCs w:val="21"/>
              </w:rPr>
              <w:t>3.税务自查模块</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3.1开展税务自查工作，检查税务登记，发票领购、使用、保存情况，核实纳税申报、税款缴纳等事项，梳理财务会计资料及其他相关情况。</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3.2对税务自查情况进行账项调整。</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3.3在税务稽查检查中，协助企业进行纳税事项调整、涉税争议处理方案的解释说明。</w:t>
            </w:r>
          </w:p>
          <w:p>
            <w:pPr>
              <w:pStyle w:val="10"/>
              <w:adjustRightInd w:val="0"/>
              <w:snapToGrid w:val="0"/>
              <w:spacing w:after="0" w:line="360" w:lineRule="auto"/>
              <w:ind w:left="0" w:leftChars="0" w:firstLine="360"/>
              <w:outlineLvl w:val="2"/>
              <w:rPr>
                <w:rFonts w:hint="eastAsia" w:ascii="宋体" w:hAnsi="宋体" w:eastAsia="宋体" w:cs="宋体"/>
                <w:sz w:val="21"/>
                <w:szCs w:val="21"/>
              </w:rPr>
            </w:pPr>
            <w:r>
              <w:rPr>
                <w:rFonts w:hint="eastAsia" w:ascii="宋体" w:hAnsi="宋体" w:eastAsia="宋体" w:cs="宋体"/>
                <w:sz w:val="21"/>
                <w:szCs w:val="21"/>
              </w:rPr>
              <w:t>4.税务规划模块</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4.1企业税务规划分析企业的纳税种类、适用税率、经济业务流程、所在地区市场情况、行业特点等，结合税收政策制定企业整体税收规划方案。</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4.2针对投资、筹资、经营、股利分配等涉税事项，在法律、法规、允许的范围之内通过合理的事先规划，实现税负最优化。</w:t>
            </w:r>
          </w:p>
          <w:p>
            <w:pPr>
              <w:adjustRightInd w:val="0"/>
              <w:snapToGrid w:val="0"/>
              <w:spacing w:line="360" w:lineRule="auto"/>
              <w:ind w:firstLine="420" w:firstLineChars="200"/>
              <w:rPr>
                <w:rFonts w:hint="eastAsia" w:ascii="宋体" w:hAnsi="宋体" w:eastAsia="宋体" w:cs="宋体"/>
                <w:kern w:val="0"/>
                <w:sz w:val="21"/>
                <w:szCs w:val="21"/>
              </w:rPr>
            </w:pPr>
            <w:r>
              <w:rPr>
                <w:rFonts w:hint="eastAsia" w:ascii="宋体" w:hAnsi="宋体" w:eastAsia="宋体" w:cs="宋体"/>
                <w:sz w:val="21"/>
                <w:szCs w:val="21"/>
              </w:rPr>
              <w:t>4.3充分利用国家减税降费优惠政策，灵活选择适用税率、纳税人身份，合理调整企业组织形式、纳税地点及业务组合，使利润更多的合法留归企业。</w:t>
            </w:r>
          </w:p>
        </w:tc>
        <w:tc>
          <w:tcPr>
            <w:tcW w:w="587"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套</w:t>
            </w:r>
          </w:p>
        </w:tc>
        <w:tc>
          <w:tcPr>
            <w:tcW w:w="563"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537" w:type="dxa"/>
            <w:vAlign w:val="center"/>
          </w:tcPr>
          <w:p>
            <w:pPr>
              <w:jc w:val="center"/>
              <w:rPr>
                <w:rFonts w:hint="eastAsia" w:ascii="宋体" w:hAnsi="宋体" w:eastAsia="宋体" w:cs="宋体"/>
                <w:sz w:val="21"/>
                <w:szCs w:val="21"/>
              </w:rPr>
            </w:pPr>
          </w:p>
        </w:tc>
      </w:tr>
    </w:tbl>
    <w:p>
      <w:pPr>
        <w:rPr>
          <w:rFonts w:hint="eastAsia"/>
          <w:lang w:val="en-US" w:eastAsia="zh-CN"/>
        </w:rPr>
      </w:pPr>
    </w:p>
    <w:p>
      <w:pPr>
        <w:pStyle w:val="6"/>
        <w:rPr>
          <w:rFonts w:hint="eastAsia"/>
          <w:sz w:val="28"/>
          <w:szCs w:val="28"/>
          <w:lang w:eastAsia="zh-CN"/>
        </w:rPr>
        <w:sectPr>
          <w:pgSz w:w="11906" w:h="16838"/>
          <w:pgMar w:top="1440" w:right="1803" w:bottom="1440" w:left="1803" w:header="851" w:footer="992" w:gutter="0"/>
          <w:pgNumType w:fmt="decimal"/>
          <w:cols w:space="720" w:num="1"/>
          <w:docGrid w:type="lines" w:linePitch="319" w:charSpace="0"/>
        </w:sectPr>
      </w:pPr>
    </w:p>
    <w:p>
      <w:pPr>
        <w:pStyle w:val="6"/>
        <w:rPr>
          <w:rFonts w:hint="eastAsia"/>
          <w:sz w:val="28"/>
          <w:szCs w:val="28"/>
          <w:lang w:val="en-US" w:eastAsia="zh-CN"/>
        </w:rPr>
      </w:pPr>
      <w:r>
        <w:rPr>
          <w:rFonts w:hint="eastAsia"/>
          <w:sz w:val="28"/>
          <w:szCs w:val="28"/>
          <w:lang w:eastAsia="zh-CN"/>
        </w:rPr>
        <w:t>合同包</w:t>
      </w:r>
      <w:r>
        <w:rPr>
          <w:rFonts w:hint="eastAsia"/>
          <w:sz w:val="28"/>
          <w:szCs w:val="28"/>
          <w:lang w:val="en-US" w:eastAsia="zh-CN"/>
        </w:rPr>
        <w:t>5：电子商务直播综合实训室</w:t>
      </w:r>
    </w:p>
    <w:tbl>
      <w:tblPr>
        <w:tblStyle w:val="29"/>
        <w:tblpPr w:leftFromText="180" w:rightFromText="180" w:vertAnchor="text" w:horzAnchor="page" w:tblpX="1487" w:tblpY="353"/>
        <w:tblOverlap w:val="never"/>
        <w:tblW w:w="8950" w:type="dxa"/>
        <w:tblInd w:w="0" w:type="dxa"/>
        <w:tblLayout w:type="fixed"/>
        <w:tblCellMar>
          <w:top w:w="0" w:type="dxa"/>
          <w:left w:w="108" w:type="dxa"/>
          <w:bottom w:w="0" w:type="dxa"/>
          <w:right w:w="108" w:type="dxa"/>
        </w:tblCellMar>
      </w:tblPr>
      <w:tblGrid>
        <w:gridCol w:w="563"/>
        <w:gridCol w:w="562"/>
        <w:gridCol w:w="1163"/>
        <w:gridCol w:w="4825"/>
        <w:gridCol w:w="637"/>
        <w:gridCol w:w="635"/>
        <w:gridCol w:w="565"/>
      </w:tblGrid>
      <w:tr>
        <w:tblPrEx>
          <w:tblCellMar>
            <w:top w:w="0" w:type="dxa"/>
            <w:left w:w="108" w:type="dxa"/>
            <w:bottom w:w="0" w:type="dxa"/>
            <w:right w:w="108" w:type="dxa"/>
          </w:tblCellMar>
        </w:tblPrEx>
        <w:trPr>
          <w:trHeight w:val="474"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序号</w:t>
            </w:r>
          </w:p>
        </w:tc>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分类</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设备名称</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配置规格及主要技术参数</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数量</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单位</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bidi="ar"/>
              </w:rPr>
              <w:t>备注</w:t>
            </w:r>
          </w:p>
        </w:tc>
      </w:tr>
      <w:tr>
        <w:tblPrEx>
          <w:tblCellMar>
            <w:top w:w="0" w:type="dxa"/>
            <w:left w:w="108" w:type="dxa"/>
            <w:bottom w:w="0" w:type="dxa"/>
            <w:right w:w="108" w:type="dxa"/>
          </w:tblCellMar>
        </w:tblPrEx>
        <w:trPr>
          <w:trHeight w:val="934"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设备</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台式电脑</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CPU英特尔酷睿i7、16G内存、千兆网卡、512gssd硬盘、2G独显WD0)配备</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bidi="ar"/>
              </w:rPr>
              <w:t>21.5英寸显示器</w:t>
            </w:r>
          </w:p>
          <w:p>
            <w:pPr>
              <w:widowControl/>
              <w:jc w:val="left"/>
              <w:textAlignment w:val="center"/>
              <w:rPr>
                <w:rFonts w:hint="default" w:ascii="宋体" w:hAnsi="宋体" w:eastAsia="宋体" w:cs="宋体"/>
                <w:color w:val="000000"/>
                <w:sz w:val="21"/>
                <w:szCs w:val="21"/>
                <w:lang w:val="en-US" w:eastAsia="zh-CN"/>
              </w:rPr>
            </w:pPr>
            <w:r>
              <w:rPr>
                <w:rFonts w:hint="eastAsia" w:ascii="宋体" w:hAnsi="宋体" w:cs="宋体"/>
                <w:color w:val="000000"/>
                <w:kern w:val="0"/>
                <w:sz w:val="21"/>
                <w:szCs w:val="21"/>
                <w:lang w:val="en-US" w:eastAsia="zh-CN" w:bidi="ar"/>
              </w:rPr>
              <w:t>操作系统win10</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934"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直播笔记本</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14英寸全面屏轻薄笔记本电脑，cpu：i5十一代；16G内存；512固态硬盘；2.2K屏；MX450独显</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934"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高清摄像头</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电脑直播专业摄像头，全高清1080P画面，自动对焦、适用于</w:t>
            </w:r>
            <w:r>
              <w:rPr>
                <w:rFonts w:hint="eastAsia" w:ascii="宋体" w:hAnsi="宋体" w:cs="宋体"/>
                <w:color w:val="000000"/>
                <w:kern w:val="0"/>
                <w:sz w:val="21"/>
                <w:szCs w:val="21"/>
                <w:lang w:val="en-US" w:eastAsia="zh-CN" w:bidi="ar"/>
              </w:rPr>
              <w:t>w</w:t>
            </w:r>
            <w:r>
              <w:rPr>
                <w:rFonts w:hint="eastAsia" w:ascii="宋体" w:hAnsi="宋体" w:eastAsia="宋体" w:cs="宋体"/>
                <w:color w:val="000000"/>
                <w:kern w:val="0"/>
                <w:sz w:val="21"/>
                <w:szCs w:val="21"/>
                <w:lang w:bidi="ar"/>
              </w:rPr>
              <w:t>in10或更高版本。</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2782"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直播声卡</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声卡类别数字声卡</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音效芯片DSP降噪芯片</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安装方式外置</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音频接口3.5mm音频接口</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其它参数频率响应：20Hz-20KHz</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供电方式：聚合物锂电池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电池容量：</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bidi="ar"/>
              </w:rPr>
              <w:t>5000mAh</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充电时间：约5小时</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支持音频数据传输：Micro usb</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1623"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麦克风</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USB外置声卡，为您的电脑或智能手机提供了一个具有USB连接的音频输入和输出设备。</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即插即用，无需安装驱动程序</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具有智能手机数字（Type C）和模拟（TRRS）接口</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具有iOS和Android数字I/O插孔（Type C）和模拟I/O插孔（3.5mm 立体声TRRS），可直接连接智能手机（部分手机需转接头），自带苹果（iOS）或安卓智能手机接口标准切换开关</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2"话筒输入/1*吉他输入（16位48KHz），iCON录音棚级话筒前置放大器，增益独立控制，支持+48V大振膜电容话筒</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2*耳机监听输出，1*6.35mm TRS插孔，1*3.5mm立体声插孔，具有单独的音量控制</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2*6.35mm TRS的模拟输出插孔（接监听音箱）具有3.5mm立体声TRS输入插孔，连接手机播放伴奏内置iCON高端数字信号效果处理芯片</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自带液晶显示屏，用于控制数字效果信号和相应功能</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2x2模拟I/O全双工录音和回放衰减器（闪避）功能按钮</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用于控制PC/智能手机的麦克风信号（干/湿）录制的按钮监听信号（干/湿）控制按钮</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兼容Windows 7 （32-bit/64-bit），Windows 8（32-bit/64-bit）和Windows 10 （32-bit/64-bit）的USB2.0和USB供电</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2474"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柔光箱</w:t>
            </w:r>
          </w:p>
        </w:tc>
        <w:tc>
          <w:tcPr>
            <w:tcW w:w="4825" w:type="dxa"/>
            <w:tcBorders>
              <w:top w:val="nil"/>
              <w:left w:val="nil"/>
              <w:bottom w:val="nil"/>
              <w:right w:val="nil"/>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灯箱尺寸：</w:t>
            </w:r>
            <w:r>
              <w:rPr>
                <w:rFonts w:hint="eastAsia" w:ascii="宋体" w:hAnsi="宋体" w:cs="宋体"/>
                <w:color w:val="000000"/>
                <w:kern w:val="0"/>
                <w:sz w:val="21"/>
                <w:szCs w:val="21"/>
                <w:lang w:val="en-US" w:eastAsia="zh-CN" w:bidi="ar"/>
              </w:rPr>
              <w:t>参考尺寸</w:t>
            </w:r>
            <w:r>
              <w:rPr>
                <w:rFonts w:hint="eastAsia" w:ascii="宋体" w:hAnsi="宋体" w:eastAsia="宋体" w:cs="宋体"/>
                <w:color w:val="000000"/>
                <w:kern w:val="0"/>
                <w:sz w:val="21"/>
                <w:szCs w:val="21"/>
                <w:lang w:bidi="ar"/>
              </w:rPr>
              <w:t>500*700mm</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LED灯功率：48W</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灯架尺：700-1930 mm</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输入：12V-24V</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色温：3200±5600K</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柔光罩*2、LED灯*2、脚架*2、柔光罩支撑杆*8、柔光布*2、电源适配器*2、收纳袋*2</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5246"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lang w:eastAsia="zh-CN"/>
              </w:rPr>
            </w:pPr>
            <w:r>
              <w:rPr>
                <w:rFonts w:hint="eastAsia" w:ascii="宋体" w:hAnsi="宋体" w:eastAsia="宋体" w:cs="宋体"/>
                <w:b/>
                <w:bCs/>
                <w:color w:val="000000"/>
                <w:kern w:val="0"/>
                <w:sz w:val="21"/>
                <w:szCs w:val="21"/>
                <w:lang w:bidi="ar"/>
              </w:rPr>
              <w:t>直播手机</w:t>
            </w:r>
            <w:r>
              <w:rPr>
                <w:rFonts w:hint="eastAsia" w:ascii="宋体" w:hAnsi="宋体" w:cs="宋体"/>
                <w:b/>
                <w:bCs/>
                <w:color w:val="000000"/>
                <w:kern w:val="0"/>
                <w:sz w:val="21"/>
                <w:szCs w:val="21"/>
                <w:lang w:eastAsia="zh-CN" w:bidi="ar"/>
              </w:rPr>
              <w:t>（</w:t>
            </w:r>
            <w:r>
              <w:rPr>
                <w:rFonts w:hint="eastAsia" w:ascii="宋体" w:hAnsi="宋体" w:cs="宋体"/>
                <w:b/>
                <w:bCs/>
                <w:color w:val="000000"/>
                <w:kern w:val="0"/>
                <w:sz w:val="21"/>
                <w:szCs w:val="21"/>
                <w:lang w:val="en-US" w:eastAsia="zh-CN" w:bidi="ar"/>
              </w:rPr>
              <w:t>核心产品</w:t>
            </w:r>
            <w:r>
              <w:rPr>
                <w:rFonts w:hint="eastAsia" w:ascii="宋体" w:hAnsi="宋体" w:cs="宋体"/>
                <w:b/>
                <w:bCs/>
                <w:color w:val="000000"/>
                <w:kern w:val="0"/>
                <w:sz w:val="21"/>
                <w:szCs w:val="21"/>
                <w:lang w:eastAsia="zh-CN" w:bidi="ar"/>
              </w:rPr>
              <w:t>）</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骁龙870 移动平台</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WiFi 6 + LPDDR5 + UFS 3.1</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2600mm² 超大 VC 液冷散热+超大石墨+白色石墨烯</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4500mAh 大电量</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67W 有线秒充</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5000万 疾速影像</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3200万 前置高清镜头</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6.28″超视感屏 / 120Hz高刷 / 419PPI</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哈曼卡顿联合调教 对称式立体声</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运行内存8+128G</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屏幕尺寸</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6.28″ 超视感屏</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分辨率：2400 x 1080 FHD+ 419PPI</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显示帧率：最高 120Hz</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触控采样率：最高 480Hz</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18"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美颜灯</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环形LED美颜灯</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626"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直播附件套装</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大号悬臂支架、防震架、卡农线、USB连接线、监听耳机、手机转换器</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626"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绿幕</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背景布：涤纶混纺3*6m</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含移动背景架</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2782"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11</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wifi套装</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类型：AP+AC+服务套装</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母路由器1个，子路由器9个</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LAN输出口：千兆网口</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WAN接入口：千兆网口</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内存容量：128MB</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无线协议：Wi-Fi 6</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无线速率：3000M</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5G MIMO技术：2x2 MIMO</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2.4G MIMO技术：2x2 MIMO</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AC+AP</w:t>
            </w:r>
          </w:p>
        </w:tc>
      </w:tr>
      <w:tr>
        <w:tblPrEx>
          <w:tblCellMar>
            <w:top w:w="0" w:type="dxa"/>
            <w:left w:w="108" w:type="dxa"/>
            <w:bottom w:w="0" w:type="dxa"/>
            <w:right w:w="108" w:type="dxa"/>
          </w:tblCellMar>
        </w:tblPrEx>
        <w:trPr>
          <w:trHeight w:val="2166"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12</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空调1</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冷暖类型：冷暖</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变频/定频：变频</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类型：多联机</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操控方式：线控式，遥控器控制</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匹数：8匹</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制冷剂：R410a</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电压/频率：380V/50Hz</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风管机一拖八</w:t>
            </w:r>
          </w:p>
        </w:tc>
      </w:tr>
      <w:tr>
        <w:tblPrEx>
          <w:tblCellMar>
            <w:top w:w="0" w:type="dxa"/>
            <w:left w:w="108" w:type="dxa"/>
            <w:bottom w:w="0" w:type="dxa"/>
            <w:right w:w="108" w:type="dxa"/>
          </w:tblCellMar>
        </w:tblPrEx>
        <w:trPr>
          <w:trHeight w:val="5554"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13</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空调2</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类型：天花机</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匹数：3匹</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冷暖类型：冷暖</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变频/定频：定频</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能效等级：三级能效</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外机尺寸：</w:t>
            </w:r>
            <w:r>
              <w:rPr>
                <w:rFonts w:hint="eastAsia" w:ascii="宋体" w:hAnsi="宋体" w:cs="宋体"/>
                <w:color w:val="000000"/>
                <w:kern w:val="0"/>
                <w:sz w:val="21"/>
                <w:szCs w:val="21"/>
                <w:lang w:val="en-US" w:eastAsia="zh-CN" w:bidi="ar"/>
              </w:rPr>
              <w:t>参考尺寸</w:t>
            </w:r>
            <w:r>
              <w:rPr>
                <w:rFonts w:hint="eastAsia" w:ascii="宋体" w:hAnsi="宋体" w:eastAsia="宋体" w:cs="宋体"/>
                <w:color w:val="000000"/>
                <w:kern w:val="0"/>
                <w:sz w:val="21"/>
                <w:szCs w:val="21"/>
                <w:lang w:bidi="ar"/>
              </w:rPr>
              <w:t>宽900mm；高700mm；深350mm</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内机尺寸：</w:t>
            </w:r>
            <w:r>
              <w:rPr>
                <w:rFonts w:hint="eastAsia" w:ascii="宋体" w:hAnsi="宋体" w:cs="宋体"/>
                <w:color w:val="000000"/>
                <w:kern w:val="0"/>
                <w:sz w:val="21"/>
                <w:szCs w:val="21"/>
                <w:lang w:val="en-US" w:eastAsia="zh-CN" w:bidi="ar"/>
              </w:rPr>
              <w:t>参考尺寸</w:t>
            </w:r>
            <w:r>
              <w:rPr>
                <w:rFonts w:hint="eastAsia" w:ascii="宋体" w:hAnsi="宋体" w:eastAsia="宋体" w:cs="宋体"/>
                <w:color w:val="000000"/>
                <w:kern w:val="0"/>
                <w:sz w:val="21"/>
                <w:szCs w:val="21"/>
                <w:lang w:bidi="ar"/>
              </w:rPr>
              <w:t>宽840mm；高246mm；深840mm</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外机重量：</w:t>
            </w:r>
            <w:r>
              <w:rPr>
                <w:rFonts w:hint="eastAsia" w:ascii="宋体" w:hAnsi="宋体" w:cs="宋体"/>
                <w:color w:val="000000"/>
                <w:kern w:val="0"/>
                <w:sz w:val="21"/>
                <w:szCs w:val="21"/>
                <w:lang w:val="en-US" w:eastAsia="zh-CN" w:bidi="ar"/>
              </w:rPr>
              <w:t>参考尺寸</w:t>
            </w:r>
            <w:r>
              <w:rPr>
                <w:rFonts w:hint="eastAsia" w:ascii="宋体" w:hAnsi="宋体" w:eastAsia="宋体" w:cs="宋体"/>
                <w:color w:val="000000"/>
                <w:kern w:val="0"/>
                <w:sz w:val="21"/>
                <w:szCs w:val="21"/>
                <w:lang w:bidi="ar"/>
              </w:rPr>
              <w:t>57kg</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制冷剂：R32</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内机重量：</w:t>
            </w:r>
            <w:r>
              <w:rPr>
                <w:rFonts w:hint="eastAsia" w:ascii="宋体" w:hAnsi="宋体" w:cs="宋体"/>
                <w:color w:val="000000"/>
                <w:kern w:val="0"/>
                <w:sz w:val="21"/>
                <w:szCs w:val="21"/>
                <w:lang w:val="en-US" w:eastAsia="zh-CN" w:bidi="ar"/>
              </w:rPr>
              <w:t>参考尺寸</w:t>
            </w:r>
            <w:r>
              <w:rPr>
                <w:rFonts w:hint="eastAsia" w:ascii="宋体" w:hAnsi="宋体" w:eastAsia="宋体" w:cs="宋体"/>
                <w:color w:val="000000"/>
                <w:kern w:val="0"/>
                <w:sz w:val="21"/>
                <w:szCs w:val="21"/>
                <w:lang w:bidi="ar"/>
              </w:rPr>
              <w:t>30kg</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电压/频率：220V/50Hz</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制冷量：7200W</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最大制热功率：2380W</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制热量：8000W</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外机噪音：55dB(A)</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内机噪音：46dB(A)</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电辅加热功率：2100W</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循环风量：1360m³/h</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天花机3P</w:t>
            </w:r>
          </w:p>
        </w:tc>
      </w:tr>
      <w:tr>
        <w:tblPrEx>
          <w:tblCellMar>
            <w:top w:w="0" w:type="dxa"/>
            <w:left w:w="108" w:type="dxa"/>
            <w:bottom w:w="0" w:type="dxa"/>
            <w:right w:w="108" w:type="dxa"/>
          </w:tblCellMar>
        </w:tblPrEx>
        <w:trPr>
          <w:trHeight w:val="934"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14</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网络机柜</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cs="宋体"/>
                <w:color w:val="000000"/>
                <w:kern w:val="0"/>
                <w:sz w:val="21"/>
                <w:szCs w:val="21"/>
                <w:lang w:val="en-US" w:eastAsia="zh-CN" w:bidi="ar"/>
              </w:rPr>
              <w:t>参考尺寸</w:t>
            </w:r>
            <w:r>
              <w:rPr>
                <w:rFonts w:hint="eastAsia" w:ascii="宋体" w:hAnsi="宋体" w:eastAsia="宋体" w:cs="宋体"/>
                <w:color w:val="000000"/>
                <w:kern w:val="0"/>
                <w:sz w:val="21"/>
                <w:szCs w:val="21"/>
                <w:lang w:bidi="ar"/>
              </w:rPr>
              <w:t>：500mm*450mm*550m</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高度：9U</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类型：网络机柜</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1858"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15</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交换机</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 支持固化千兆电口≥24个，固化千兆光口≥4个，标准1U设备;</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 交换缓存≥4.1Mbit</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 内存≥256MB，交换容量≥192Gbps，包转发率≥42Mpps</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 支持 MAC地址容量≥8K；支持ACL条目≥1200</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 支持生成树 STP / RSTP ; 提高容错能力，保证网络的稳定运行和链路的负载均衡，合理使用网络通道，提供冗余链路利用率。</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 支持防环路检测，自动解决环路问题</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7. 支持静态链路聚合</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8. 支持端口镜像，一对一镜像，多对一镜像</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9. 支持DHCP Snooping；很好的避免了上网终端从非法DHCP服务器分配的IP地址，引起的网络异常或安全隐患</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10. 支持VLAN划分，最大支持4094个VLAN</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11. 支持高效节能以太网（EEE），端口如果在连续一段时间之内空闲，系统会将该端口设置为节能模式，当有报文收发时再通过定时发送的监听码流唤醒端口恢复业务，达到节能的效果</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12. 支持防雷等级≥6KV</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13. 支持QOS，支持端口流量限速；</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14. 支持和云管理，远程管理和维护设备,支持极速智能配置</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15. 支持多种管理方式，中文WEB界面；</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16. 支持标准的ACL、支持基于IP/MAC扩展的ACL；</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 xml:space="preserve">17. 支持CPU安全保护策略(硬件CPP) </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2474"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照相机</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18-55标准变焦镜头套装</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像素：2410万</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传感器尺寸：APS画幅</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液晶屏尺寸：3.0英寸</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取景器类型：光学取景器</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机身内存：无</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存储介质：SD卡；SDHC卡；SDXC卡</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含128G高速内存相机包</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626"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17</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单反相机手持稳定器</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lang w:val="en-US" w:eastAsia="zh-CN"/>
              </w:rPr>
            </w:pPr>
            <w:r>
              <w:rPr>
                <w:rFonts w:hint="eastAsia" w:ascii="宋体" w:hAnsi="宋体" w:eastAsia="宋体" w:cs="宋体"/>
                <w:color w:val="000000"/>
                <w:kern w:val="0"/>
                <w:sz w:val="21"/>
                <w:szCs w:val="21"/>
                <w:lang w:bidi="ar"/>
              </w:rPr>
              <w:t>相机单手持微单稳定器，专业防抖，</w:t>
            </w:r>
            <w:r>
              <w:rPr>
                <w:rFonts w:hint="eastAsia" w:ascii="宋体" w:hAnsi="宋体" w:cs="宋体"/>
                <w:color w:val="000000"/>
                <w:kern w:val="0"/>
                <w:sz w:val="21"/>
                <w:szCs w:val="21"/>
                <w:lang w:val="en-US" w:eastAsia="zh-CN" w:bidi="ar"/>
              </w:rPr>
              <w:t>补充技术参数</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18"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18</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highlight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手机云台</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rPr>
                <w:rFonts w:hint="eastAsia" w:ascii="宋体" w:hAnsi="宋体" w:eastAsia="宋体" w:cs="宋体"/>
                <w:color w:val="000000"/>
                <w:sz w:val="21"/>
                <w:szCs w:val="21"/>
                <w:highlight w:val="none"/>
                <w:lang w:eastAsia="zh-CN"/>
              </w:rPr>
            </w:pPr>
            <w:r>
              <w:rPr>
                <w:rFonts w:hint="eastAsia" w:ascii="宋体" w:hAnsi="宋体" w:eastAsia="宋体" w:cs="宋体"/>
                <w:color w:val="000000"/>
                <w:kern w:val="0"/>
                <w:sz w:val="21"/>
                <w:szCs w:val="21"/>
                <w:highlight w:val="none"/>
                <w:lang w:bidi="ar"/>
              </w:rPr>
              <w:t>18650锂离子电池</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2450mAh</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低功耗蓝牙5.0</w:t>
            </w:r>
            <w:r>
              <w:rPr>
                <w:rFonts w:hint="eastAsia" w:ascii="宋体" w:hAnsi="宋体" w:eastAsia="宋体" w:cs="宋体"/>
                <w:color w:val="000000"/>
                <w:kern w:val="0"/>
                <w:sz w:val="21"/>
                <w:szCs w:val="21"/>
                <w:highlight w:val="none"/>
                <w:lang w:eastAsia="zh-CN" w:bidi="ar"/>
              </w:rPr>
              <w:t>，</w:t>
            </w:r>
            <w:r>
              <w:rPr>
                <w:rFonts w:hint="eastAsia" w:ascii="宋体" w:hAnsi="宋体" w:eastAsia="宋体" w:cs="宋体"/>
                <w:color w:val="000000"/>
                <w:kern w:val="0"/>
                <w:sz w:val="21"/>
                <w:szCs w:val="21"/>
                <w:highlight w:val="none"/>
                <w:lang w:bidi="ar"/>
              </w:rPr>
              <w:t>云台：390 g</w:t>
            </w:r>
            <w:r>
              <w:rPr>
                <w:rFonts w:hint="eastAsia" w:ascii="宋体" w:hAnsi="宋体" w:eastAsia="宋体" w:cs="宋体"/>
                <w:color w:val="000000"/>
                <w:kern w:val="0"/>
                <w:sz w:val="21"/>
                <w:szCs w:val="21"/>
                <w:highlight w:val="none"/>
                <w:lang w:eastAsia="zh-CN" w:bidi="ar"/>
              </w:rPr>
              <w:t>，</w:t>
            </w:r>
            <w:r>
              <w:rPr>
                <w:rFonts w:hint="default" w:ascii="宋体" w:hAnsi="宋体" w:eastAsia="宋体" w:cs="宋体"/>
                <w:color w:val="000000"/>
                <w:kern w:val="0"/>
                <w:sz w:val="21"/>
                <w:szCs w:val="21"/>
                <w:highlight w:val="none"/>
                <w:lang w:bidi="ar"/>
              </w:rPr>
              <w:t>磁吸手机夹</w:t>
            </w:r>
            <w:r>
              <w:rPr>
                <w:rFonts w:hint="eastAsia" w:ascii="宋体" w:hAnsi="宋体" w:eastAsia="宋体" w:cs="宋体"/>
                <w:color w:val="000000"/>
                <w:kern w:val="0"/>
                <w:sz w:val="21"/>
                <w:szCs w:val="21"/>
                <w:highlight w:val="none"/>
                <w:lang w:eastAsia="zh-CN" w:bidi="ar"/>
              </w:rPr>
              <w:t>，</w:t>
            </w:r>
            <w:r>
              <w:rPr>
                <w:rFonts w:hint="default" w:ascii="宋体" w:hAnsi="宋体" w:eastAsia="宋体" w:cs="宋体"/>
                <w:color w:val="000000"/>
                <w:kern w:val="0"/>
                <w:sz w:val="21"/>
                <w:szCs w:val="21"/>
                <w:highlight w:val="none"/>
                <w:lang w:bidi="ar"/>
              </w:rPr>
              <w:t>功耗</w:t>
            </w:r>
            <w:r>
              <w:rPr>
                <w:rFonts w:hint="default" w:ascii="宋体" w:hAnsi="宋体" w:eastAsia="宋体" w:cs="宋体"/>
                <w:color w:val="000000"/>
                <w:kern w:val="0"/>
                <w:sz w:val="21"/>
                <w:szCs w:val="21"/>
                <w:highlight w:val="none"/>
                <w:lang w:val="en-US" w:eastAsia="zh-CN" w:bidi="ar"/>
              </w:rPr>
              <w:t>1.2 W</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706"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19</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相机三脚架</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材质；铝合金</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适用机型；专业摄像机，大型DV，单反照相机</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脚管节数；3节</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折合高度；830mm</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最低工作高度；860mm</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最高工作高度；1890mm</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脚管锁类型；旋钮式</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云台类型；摄像机云台</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螺丝尺寸；4分之1+8分之3螺丝</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承重；8kg以上</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自重；4KG</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1858"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无人机</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主摄CMOS尺寸：1/2.0英寸</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视频拍摄能力：4K 60P</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适用场景：旅行</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最大信号有效距离：5-7km</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感知系统类型：多方向避障</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主体类型：航拍无人机</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台</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626"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21</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直播桌</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免漆板饰面、金属支架，尺寸约：120cm*60cm*75cm</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张</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2474"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22</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直播椅</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1、类别：直播转椅</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2、面料材质：网布</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3、靠背最大角度：120-155度(含)</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4、扶手类型：固定扶手</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5、五星脚材质：锦纶/尼龙(聚酰胺纤维)</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6、升降方式：气压升降</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7、附加组件：固定头枕，带滚轮</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16</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把</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626"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23</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助理桌</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免漆板饰面、金属支架，尺寸约：100cm*60cm*75cm</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张</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1063"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24</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助理椅</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1、材料：聚丙烯塑料靠背、钢制环氧腿框</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2、商品尺寸：宽度：46 cm；深度：54 cm；高度：80 cm；座宽：40 cm；座深：37 cm；座高：45 cm</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把</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626"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25</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产品展示柜</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铁制框架，木质免漆板制作。180cm*200cm*45cm</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318"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26</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highlight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座谈区桌椅</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lang w:val="en-US" w:eastAsia="zh-CN"/>
              </w:rPr>
            </w:pPr>
            <w:r>
              <w:rPr>
                <w:rFonts w:hint="eastAsia"/>
                <w:lang w:eastAsia="zh-CN"/>
              </w:rPr>
              <w:t>圆桌一个，参考尺寸直径</w:t>
            </w:r>
            <w:r>
              <w:rPr>
                <w:rFonts w:hint="eastAsia"/>
                <w:lang w:val="en-US" w:eastAsia="zh-CN"/>
              </w:rPr>
              <w:t>80cm以上，高≥74cm；</w:t>
            </w:r>
          </w:p>
          <w:p>
            <w:pPr>
              <w:widowControl/>
              <w:jc w:val="left"/>
              <w:textAlignment w:val="center"/>
              <w:rPr>
                <w:rFonts w:hint="eastAsia"/>
                <w:lang w:val="en-US" w:eastAsia="zh-CN"/>
              </w:rPr>
            </w:pPr>
            <w:r>
              <w:rPr>
                <w:rFonts w:hint="eastAsia"/>
                <w:lang w:val="en-US" w:eastAsia="zh-CN"/>
              </w:rPr>
              <w:t>椅子5把，参考尺寸长*高*宽53cm*70cm*42cm</w:t>
            </w:r>
          </w:p>
          <w:p>
            <w:pPr>
              <w:pStyle w:val="14"/>
              <w:rPr>
                <w:rFonts w:hint="eastAsia"/>
                <w:lang w:val="en-US" w:eastAsia="zh-CN"/>
              </w:rPr>
            </w:pPr>
            <w:r>
              <w:rPr>
                <w:rFonts w:hint="eastAsia"/>
                <w:lang w:val="en-US" w:eastAsia="zh-CN"/>
              </w:rPr>
              <w:t>参考图样</w:t>
            </w:r>
          </w:p>
          <w:p>
            <w:pPr>
              <w:rPr>
                <w:rFonts w:hint="default"/>
                <w:lang w:val="en-US" w:eastAsia="zh-CN"/>
              </w:rPr>
            </w:pPr>
            <w:r>
              <w:drawing>
                <wp:inline distT="0" distB="0" distL="114300" distR="114300">
                  <wp:extent cx="2021840" cy="1645920"/>
                  <wp:effectExtent l="0" t="0" r="1651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a:srcRect l="30552" t="28204" r="31059" b="16245"/>
                          <a:stretch>
                            <a:fillRect/>
                          </a:stretch>
                        </pic:blipFill>
                        <pic:spPr>
                          <a:xfrm>
                            <a:off x="0" y="0"/>
                            <a:ext cx="2021840" cy="1645920"/>
                          </a:xfrm>
                          <a:prstGeom prst="rect">
                            <a:avLst/>
                          </a:prstGeom>
                          <a:noFill/>
                          <a:ln>
                            <a:noFill/>
                          </a:ln>
                        </pic:spPr>
                      </pic:pic>
                    </a:graphicData>
                  </a:graphic>
                </wp:inline>
              </w:drawing>
            </w:r>
            <w:r>
              <w:drawing>
                <wp:inline distT="0" distB="0" distL="114300" distR="114300">
                  <wp:extent cx="2268220" cy="2187575"/>
                  <wp:effectExtent l="0" t="0" r="1778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srcRect l="32216" t="16245" r="24717" b="9923"/>
                          <a:stretch>
                            <a:fillRect/>
                          </a:stretch>
                        </pic:blipFill>
                        <pic:spPr>
                          <a:xfrm>
                            <a:off x="0" y="0"/>
                            <a:ext cx="2268220" cy="2187575"/>
                          </a:xfrm>
                          <a:prstGeom prst="rect">
                            <a:avLst/>
                          </a:prstGeom>
                          <a:noFill/>
                          <a:ln>
                            <a:noFill/>
                          </a:ln>
                        </pic:spPr>
                      </pic:pic>
                    </a:graphicData>
                  </a:graphic>
                </wp:inline>
              </w:drawing>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626"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27</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文件柜</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钢制，二节上开玻下开门，900x400x1808nm</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626"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28</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highlight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highlight w:val="none"/>
                <w:lang w:eastAsia="zh-CN"/>
              </w:rPr>
            </w:pPr>
            <w:r>
              <w:rPr>
                <w:rFonts w:hint="eastAsia" w:ascii="宋体" w:hAnsi="宋体" w:cs="宋体"/>
                <w:color w:val="000000"/>
                <w:kern w:val="0"/>
                <w:sz w:val="21"/>
                <w:szCs w:val="21"/>
                <w:highlight w:val="none"/>
                <w:lang w:val="en-US" w:eastAsia="zh-CN" w:bidi="ar"/>
              </w:rPr>
              <w:t>触控一体机</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w:t>
            </w:r>
            <w:r>
              <w:rPr>
                <w:rFonts w:hint="default" w:ascii="宋体" w:hAnsi="宋体" w:eastAsia="宋体" w:cs="宋体"/>
                <w:color w:val="000000"/>
                <w:sz w:val="21"/>
                <w:szCs w:val="21"/>
                <w:highlight w:val="none"/>
                <w:lang w:val="en-US" w:eastAsia="zh-CN"/>
              </w:rPr>
              <w:t>外观要求：整机外壳无塑胶部件，采用金属结构一体化设计，外部无可见内部功能模块的连接线，表面无尖锐边缘或突起，整体设计安全，牢固，美观。</w:t>
            </w:r>
          </w:p>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2、</w:t>
            </w:r>
            <w:r>
              <w:rPr>
                <w:rFonts w:hint="default" w:ascii="宋体" w:hAnsi="宋体" w:eastAsia="宋体" w:cs="宋体"/>
                <w:color w:val="000000"/>
                <w:sz w:val="21"/>
                <w:szCs w:val="21"/>
                <w:highlight w:val="none"/>
                <w:lang w:val="en-US" w:eastAsia="zh-CN"/>
              </w:rPr>
              <w:t>整机表面采用≤3.5mm全钢化玻璃，防眩光玻璃，表面莫氏硬度≥9H，雾度≤8%，使用1.5kg的钢珠2.5米高度进行自由落体撞击测试，防护玻璃无损伤，功能无异常。</w:t>
            </w:r>
          </w:p>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3、</w:t>
            </w:r>
            <w:r>
              <w:rPr>
                <w:rFonts w:hint="default" w:ascii="宋体" w:hAnsi="宋体" w:eastAsia="宋体" w:cs="宋体"/>
                <w:color w:val="000000"/>
                <w:sz w:val="21"/>
                <w:szCs w:val="21"/>
                <w:highlight w:val="none"/>
                <w:lang w:val="en-US" w:eastAsia="zh-CN"/>
              </w:rPr>
              <w:t>产品整体尺寸：宽≥1950mm，高≥1154mm，厚度≤100mm。</w:t>
            </w:r>
          </w:p>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4、</w:t>
            </w:r>
            <w:r>
              <w:rPr>
                <w:rFonts w:hint="default" w:ascii="宋体" w:hAnsi="宋体" w:eastAsia="宋体" w:cs="宋体"/>
                <w:color w:val="000000"/>
                <w:sz w:val="21"/>
                <w:szCs w:val="21"/>
                <w:highlight w:val="none"/>
                <w:lang w:val="en-US" w:eastAsia="zh-CN"/>
              </w:rPr>
              <w:t>显示尺寸：≥86寸；显示分辨率：3840(H)×2160(V)；显示比例：16:9。</w:t>
            </w:r>
          </w:p>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5、</w:t>
            </w:r>
            <w:r>
              <w:rPr>
                <w:rFonts w:hint="default" w:ascii="宋体" w:hAnsi="宋体" w:eastAsia="宋体" w:cs="宋体"/>
                <w:color w:val="000000"/>
                <w:sz w:val="21"/>
                <w:szCs w:val="21"/>
                <w:highlight w:val="none"/>
                <w:lang w:val="en-US" w:eastAsia="zh-CN"/>
              </w:rPr>
              <w:t>亮度：≥500 cd/㎡；对比度：≥6500：1；可视角度：≥178°。</w:t>
            </w:r>
          </w:p>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6、</w:t>
            </w:r>
            <w:r>
              <w:rPr>
                <w:rFonts w:hint="default" w:ascii="宋体" w:hAnsi="宋体" w:eastAsia="宋体" w:cs="宋体"/>
                <w:color w:val="000000"/>
                <w:sz w:val="21"/>
                <w:szCs w:val="21"/>
                <w:highlight w:val="none"/>
                <w:lang w:val="en-US" w:eastAsia="zh-CN"/>
              </w:rPr>
              <w:t>采用红外触摸技术，在WINDOWS与安卓系统可同时支持二十点触摸。</w:t>
            </w:r>
          </w:p>
          <w:p>
            <w:pPr>
              <w:jc w:val="left"/>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7、</w:t>
            </w:r>
            <w:r>
              <w:rPr>
                <w:rFonts w:hint="default" w:ascii="宋体" w:hAnsi="宋体" w:eastAsia="宋体" w:cs="宋体"/>
                <w:color w:val="000000"/>
                <w:sz w:val="21"/>
                <w:szCs w:val="21"/>
                <w:highlight w:val="none"/>
                <w:lang w:val="en-US" w:eastAsia="zh-CN"/>
              </w:rPr>
              <w:t>触摸分辨率：32769*32769；触摸精准度：≤0.1mm；光标速度：≥300点/秒</w:t>
            </w:r>
            <w:r>
              <w:rPr>
                <w:rFonts w:hint="eastAsia" w:ascii="宋体" w:hAnsi="宋体" w:cs="宋体"/>
                <w:color w:val="000000"/>
                <w:sz w:val="21"/>
                <w:szCs w:val="21"/>
                <w:highlight w:val="none"/>
                <w:lang w:val="en-US" w:eastAsia="zh-CN"/>
              </w:rPr>
              <w:t>。</w:t>
            </w:r>
          </w:p>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8、</w:t>
            </w:r>
            <w:r>
              <w:rPr>
                <w:rFonts w:hint="default" w:ascii="宋体" w:hAnsi="宋体" w:eastAsia="宋体" w:cs="宋体"/>
                <w:color w:val="000000"/>
                <w:sz w:val="21"/>
                <w:szCs w:val="21"/>
                <w:highlight w:val="none"/>
                <w:lang w:val="en-US" w:eastAsia="zh-CN"/>
              </w:rPr>
              <w:t>前置扬声器：≥2×15W。</w:t>
            </w:r>
          </w:p>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9、</w:t>
            </w:r>
            <w:r>
              <w:rPr>
                <w:rFonts w:hint="default" w:ascii="宋体" w:hAnsi="宋体" w:eastAsia="宋体" w:cs="宋体"/>
                <w:color w:val="000000"/>
                <w:sz w:val="21"/>
                <w:szCs w:val="21"/>
                <w:highlight w:val="none"/>
                <w:lang w:val="en-US" w:eastAsia="zh-CN"/>
              </w:rPr>
              <w:t>显示颜色：10bit，16. 7M Colors；色域：≥95% NTSC高色域；透光率＞95%；色彩覆盖率：≥130%。</w:t>
            </w:r>
          </w:p>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10、</w:t>
            </w:r>
            <w:r>
              <w:rPr>
                <w:rFonts w:hint="default" w:ascii="宋体" w:hAnsi="宋体" w:eastAsia="宋体" w:cs="宋体"/>
                <w:color w:val="000000"/>
                <w:sz w:val="21"/>
                <w:szCs w:val="21"/>
                <w:highlight w:val="none"/>
                <w:lang w:val="en-US" w:eastAsia="zh-CN"/>
              </w:rPr>
              <w:t>安卓系统配置：安卓系统≥9.0，内存≥1G，存储内存≥8G非外扩。</w:t>
            </w:r>
          </w:p>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11、</w:t>
            </w:r>
            <w:r>
              <w:rPr>
                <w:rFonts w:hint="default" w:ascii="宋体" w:hAnsi="宋体" w:eastAsia="宋体" w:cs="宋体"/>
                <w:color w:val="000000"/>
                <w:sz w:val="21"/>
                <w:szCs w:val="21"/>
                <w:highlight w:val="none"/>
                <w:lang w:val="en-US" w:eastAsia="zh-CN"/>
              </w:rPr>
              <w:t>整机前置一个实体按键，三合一电源按键，同一电源物理按键完成Android系统和Windows系统的开机、节能熄屏、关机操作；关机状态下轻按按键开机；开机状态下轻按按键实现节能熄屏/唤醒，长按按键实现关机。</w:t>
            </w:r>
          </w:p>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12、</w:t>
            </w:r>
            <w:r>
              <w:rPr>
                <w:rFonts w:hint="default" w:ascii="宋体" w:hAnsi="宋体" w:eastAsia="宋体" w:cs="宋体"/>
                <w:color w:val="000000"/>
                <w:sz w:val="21"/>
                <w:szCs w:val="21"/>
                <w:highlight w:val="none"/>
                <w:lang w:val="en-US" w:eastAsia="zh-CN"/>
              </w:rPr>
              <w:t>前置接口：USB2.0≥1、USB3.0≥1、HDMI≥1。</w:t>
            </w:r>
          </w:p>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13、</w:t>
            </w:r>
            <w:r>
              <w:rPr>
                <w:rFonts w:hint="default" w:ascii="宋体" w:hAnsi="宋体" w:eastAsia="宋体" w:cs="宋体"/>
                <w:color w:val="000000"/>
                <w:sz w:val="21"/>
                <w:szCs w:val="21"/>
                <w:highlight w:val="none"/>
                <w:lang w:val="en-US" w:eastAsia="zh-CN"/>
              </w:rPr>
              <w:t>灰度：屏幕显示灰度分辨等级达到256灰阶以上。</w:t>
            </w:r>
          </w:p>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14、</w:t>
            </w:r>
            <w:r>
              <w:rPr>
                <w:rFonts w:hint="default" w:ascii="宋体" w:hAnsi="宋体" w:eastAsia="宋体" w:cs="宋体"/>
                <w:color w:val="000000"/>
                <w:sz w:val="21"/>
                <w:szCs w:val="21"/>
                <w:highlight w:val="none"/>
                <w:lang w:val="en-US" w:eastAsia="zh-CN"/>
              </w:rPr>
              <w:t>熄屏方式：≥3种方式熄屏方式，通过前置按钮、五指熄屏、遥控器等方式，均可实现显示区熄屏、亮屏，熄屏同时断开触摸操作功能，以防发生误操作方便触控。</w:t>
            </w:r>
          </w:p>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15、</w:t>
            </w:r>
            <w:r>
              <w:rPr>
                <w:rFonts w:hint="default" w:ascii="宋体" w:hAnsi="宋体" w:eastAsia="宋体" w:cs="宋体"/>
                <w:color w:val="000000"/>
                <w:sz w:val="21"/>
                <w:szCs w:val="21"/>
                <w:highlight w:val="none"/>
                <w:lang w:val="en-US" w:eastAsia="zh-CN"/>
              </w:rPr>
              <w:t>高温工作状态，（85℃±3℃）工作 8H，低温（-20℃±3℃），湿度 85%PH，各工作 8H，高温结束后，常温 2H 后进行低温测试。高低温工作结束后立即进行检查外观。常温恢复 2H 后再次进行外观、功能检查，需无异常。</w:t>
            </w:r>
          </w:p>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16、</w:t>
            </w:r>
            <w:r>
              <w:rPr>
                <w:rFonts w:hint="default" w:ascii="宋体" w:hAnsi="宋体" w:eastAsia="宋体" w:cs="宋体"/>
                <w:color w:val="000000"/>
                <w:sz w:val="21"/>
                <w:szCs w:val="21"/>
                <w:highlight w:val="none"/>
                <w:lang w:val="en-US" w:eastAsia="zh-CN"/>
              </w:rPr>
              <w:t>防尘功能：直径 1.0mm 的试验金属线不得进入外壳， 并与带电部分保持足够的间隙。</w:t>
            </w:r>
          </w:p>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17、</w:t>
            </w:r>
            <w:r>
              <w:rPr>
                <w:rFonts w:hint="default" w:ascii="宋体" w:hAnsi="宋体" w:eastAsia="宋体" w:cs="宋体"/>
                <w:color w:val="000000"/>
                <w:sz w:val="21"/>
                <w:szCs w:val="21"/>
                <w:highlight w:val="none"/>
                <w:lang w:val="en-US" w:eastAsia="zh-CN"/>
              </w:rPr>
              <w:t>整机在振动台上频率 5-50Hz, 振动方向X、Y、Z 三个方向的上下（6 度测试）≥60 分钟的振动试验， 外观无损伤、破裂、部件松动，整机可正常运行。</w:t>
            </w:r>
          </w:p>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18、</w:t>
            </w:r>
            <w:r>
              <w:rPr>
                <w:rFonts w:hint="default" w:ascii="宋体" w:hAnsi="宋体" w:eastAsia="宋体" w:cs="宋体"/>
                <w:color w:val="000000"/>
                <w:sz w:val="21"/>
                <w:szCs w:val="21"/>
                <w:highlight w:val="none"/>
                <w:lang w:val="en-US" w:eastAsia="zh-CN"/>
              </w:rPr>
              <w:t>侧置接口至少包含1路RJ45、1路EAPHHONE、1路VGA AUDIO IN、1路TF卡座等接口。</w:t>
            </w:r>
          </w:p>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19、</w:t>
            </w:r>
            <w:r>
              <w:rPr>
                <w:rFonts w:hint="default" w:ascii="宋体" w:hAnsi="宋体" w:eastAsia="宋体" w:cs="宋体"/>
                <w:color w:val="000000"/>
                <w:sz w:val="21"/>
                <w:szCs w:val="21"/>
                <w:highlight w:val="none"/>
                <w:lang w:val="en-US" w:eastAsia="zh-CN"/>
              </w:rPr>
              <w:t>抗强光测试：极端环境-10°~45°连续工作 12 小时，触摸屏在强光（≥500K LUX）照射下，触摸、书写功能正常操作。</w:t>
            </w:r>
          </w:p>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20、</w:t>
            </w:r>
            <w:r>
              <w:rPr>
                <w:rFonts w:hint="default" w:ascii="宋体" w:hAnsi="宋体" w:eastAsia="宋体" w:cs="宋体"/>
                <w:color w:val="000000"/>
                <w:sz w:val="21"/>
                <w:szCs w:val="21"/>
                <w:highlight w:val="none"/>
                <w:lang w:val="en-US" w:eastAsia="zh-CN"/>
              </w:rPr>
              <w:t>整机在任意通道下，可通过手势在整机下方任意位置迅速调出中控便捷菜单，且菜单调取及操作各功能触摸速度小于 1s，响应无延迟，具有返回操作、一键主页、任务预览、菜单设置、音量加减、亮度调整、一键白板、全通道屏幕批注、截图，具有一个自定义键；并且可以轻敲隐藏，不用时不占用显示面积。</w:t>
            </w:r>
          </w:p>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21、</w:t>
            </w:r>
            <w:r>
              <w:rPr>
                <w:rFonts w:hint="default" w:ascii="宋体" w:hAnsi="宋体" w:eastAsia="宋体" w:cs="宋体"/>
                <w:color w:val="000000"/>
                <w:sz w:val="21"/>
                <w:szCs w:val="21"/>
                <w:highlight w:val="none"/>
                <w:lang w:val="en-US" w:eastAsia="zh-CN"/>
              </w:rPr>
              <w:t>整机屏幕触摸有效识别高度不超过 3.5mm，即触摸物体距离玻璃外表面高度不超过 3.5mm 时，触摸屏识别为点击操作。</w:t>
            </w:r>
          </w:p>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22、</w:t>
            </w:r>
            <w:r>
              <w:rPr>
                <w:rFonts w:hint="default" w:ascii="宋体" w:hAnsi="宋体" w:eastAsia="宋体" w:cs="宋体"/>
                <w:color w:val="000000"/>
                <w:sz w:val="21"/>
                <w:szCs w:val="21"/>
                <w:highlight w:val="none"/>
                <w:lang w:val="en-US" w:eastAsia="zh-CN"/>
              </w:rPr>
              <w:t>设备可设置开机默认通道，在任意通道关机时可实现设置的默认通道开机，也可设置关机信号源记忆为开机信号源功能。</w:t>
            </w:r>
          </w:p>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23、</w:t>
            </w:r>
            <w:r>
              <w:rPr>
                <w:rFonts w:hint="default" w:ascii="宋体" w:hAnsi="宋体" w:eastAsia="宋体" w:cs="宋体"/>
                <w:color w:val="000000"/>
                <w:sz w:val="21"/>
                <w:szCs w:val="21"/>
                <w:highlight w:val="none"/>
                <w:lang w:val="en-US" w:eastAsia="zh-CN"/>
              </w:rPr>
              <w:t>整机待机功率＜0.5W，进入节能模式，整机可降低功耗 95%以上。</w:t>
            </w:r>
          </w:p>
          <w:p>
            <w:pPr>
              <w:jc w:val="left"/>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24、</w:t>
            </w:r>
            <w:r>
              <w:rPr>
                <w:rFonts w:hint="default" w:ascii="宋体" w:hAnsi="宋体" w:eastAsia="宋体" w:cs="宋体"/>
                <w:color w:val="000000"/>
                <w:sz w:val="21"/>
                <w:szCs w:val="21"/>
                <w:highlight w:val="none"/>
                <w:lang w:val="en-US" w:eastAsia="zh-CN"/>
              </w:rPr>
              <w:t>前置接口及按键须具备中文标识，方便用户识别，避免误操作。</w:t>
            </w:r>
          </w:p>
          <w:p>
            <w:pPr>
              <w:jc w:val="left"/>
              <w:rPr>
                <w:rFonts w:hint="default" w:ascii="宋体" w:hAnsi="宋体" w:eastAsia="宋体" w:cs="宋体"/>
                <w:color w:val="000000"/>
                <w:sz w:val="21"/>
                <w:szCs w:val="21"/>
                <w:highlight w:val="red"/>
                <w:lang w:val="en-US" w:eastAsia="zh-CN"/>
              </w:rPr>
            </w:pPr>
            <w:r>
              <w:rPr>
                <w:rFonts w:hint="eastAsia" w:ascii="宋体" w:hAnsi="宋体" w:cs="宋体"/>
                <w:color w:val="000000"/>
                <w:sz w:val="21"/>
                <w:szCs w:val="21"/>
                <w:highlight w:val="none"/>
                <w:lang w:val="en-US" w:eastAsia="zh-CN"/>
              </w:rPr>
              <w:t>25、</w:t>
            </w:r>
            <w:r>
              <w:rPr>
                <w:rFonts w:hint="default" w:ascii="宋体" w:hAnsi="宋体" w:eastAsia="宋体" w:cs="宋体"/>
                <w:color w:val="000000"/>
                <w:sz w:val="21"/>
                <w:szCs w:val="21"/>
                <w:highlight w:val="none"/>
                <w:lang w:val="en-US" w:eastAsia="zh-CN"/>
              </w:rPr>
              <w:t>无故障平均小时测试：＞35万小时，使用无故障。</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626"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29</w:t>
            </w:r>
          </w:p>
        </w:tc>
        <w:tc>
          <w:tcPr>
            <w:tcW w:w="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装修</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地面处理</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2.0厚密实底塑胶地板、焊条、胶粘剂、自流平；含人工及辅材。</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98</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626"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30</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墙面处理</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铲除原墙面，重新粉刷。3遍腻子，1遍底漆，2遍面漆。</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项</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1858"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31</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顶面处理</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工程内容：1.石膏板吊顶；</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项目特征：1.放线定位，安装热镀锌吊杆；2.安装主副龙骨及横撑；3.安装石膏板并预留灯具、设备孔位；4.刮抹腻子3遍并打磨3遍；5.喷/滚涂乳胶漆3遍。</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98</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2474"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32</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玻璃隔断</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隔断类型：双玻+百叶</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玻璃厚度：5+5mm两层钢化玻璃</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框架：铝合金框架</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隔断总厚：约85mm</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百叶：内置</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百叶帘片：宽度：16㎜</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百叶旋扭模式：手动</w:t>
            </w:r>
            <w:r>
              <w:rPr>
                <w:rFonts w:hint="eastAsia" w:ascii="宋体" w:hAnsi="宋体" w:eastAsia="宋体" w:cs="宋体"/>
                <w:color w:val="000000"/>
                <w:kern w:val="0"/>
                <w:sz w:val="21"/>
                <w:szCs w:val="21"/>
                <w:lang w:bidi="ar"/>
              </w:rPr>
              <w:br w:type="textWrapping"/>
            </w:r>
            <w:r>
              <w:rPr>
                <w:rFonts w:hint="eastAsia" w:ascii="宋体" w:hAnsi="宋体" w:eastAsia="宋体" w:cs="宋体"/>
                <w:color w:val="000000"/>
                <w:kern w:val="0"/>
                <w:sz w:val="21"/>
                <w:szCs w:val="21"/>
                <w:lang w:bidi="ar"/>
              </w:rPr>
              <w:t>百叶旋扭材质：优质铝合金</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112</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1111"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33</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钢化玻璃门</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单开玻璃门；门板材质: 钢化玻璃；钢化玻璃厚度：10mm；边框材质: 铝合金；五金配件：优质五金配件，含机械锁</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套</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934"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34</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不锈钢踢脚线</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确定尺寸----折板---送工地安装----木工做基础----木条上打玻璃胶----贴不锈钢固定（含人工）。</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45</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m</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626"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35</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窗帘</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拆除原有旧窗帘，更换为高遮光窗帘，根据现场尺寸定制，褶皱不低于1.8</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项</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626"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36</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照明工程</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定制造型灯具/吸顶灯/筒灯、触摸开关等</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项</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626"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37</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综合布线</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地面刻槽、所有线路隐藏铺设、预留冗余，含线材、辅材、施工等</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项</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r>
        <w:tblPrEx>
          <w:tblCellMar>
            <w:top w:w="0" w:type="dxa"/>
            <w:left w:w="108" w:type="dxa"/>
            <w:bottom w:w="0" w:type="dxa"/>
            <w:right w:w="108" w:type="dxa"/>
          </w:tblCellMar>
        </w:tblPrEx>
        <w:trPr>
          <w:trHeight w:val="934" w:hRule="atLeast"/>
        </w:trPr>
        <w:tc>
          <w:tcPr>
            <w:tcW w:w="5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38</w:t>
            </w:r>
          </w:p>
        </w:tc>
        <w:tc>
          <w:tcPr>
            <w:tcW w:w="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文化建设</w:t>
            </w:r>
          </w:p>
        </w:tc>
        <w:tc>
          <w:tcPr>
            <w:tcW w:w="48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rPr>
            </w:pPr>
            <w:r>
              <w:rPr>
                <w:rFonts w:hint="eastAsia"/>
              </w:rPr>
              <w:t>PVC/亚克力材质、玻璃腰线、门牌、制度牌、过道星空顶等文化墙装修，含设计制作及安装</w:t>
            </w:r>
          </w:p>
          <w:p>
            <w:pPr>
              <w:pStyle w:val="10"/>
              <w:ind w:left="0" w:leftChars="0" w:firstLine="0" w:firstLineChars="0"/>
              <w:rPr>
                <w:rFonts w:hint="default" w:eastAsia="宋体"/>
                <w:lang w:val="en-US" w:eastAsia="zh-CN"/>
              </w:rPr>
            </w:pPr>
            <w:r>
              <w:rPr>
                <w:rFonts w:hint="eastAsia" w:ascii="宋体" w:hAnsi="宋体" w:cs="宋体"/>
                <w:color w:val="000000"/>
                <w:kern w:val="0"/>
                <w:sz w:val="21"/>
                <w:szCs w:val="21"/>
                <w:lang w:val="en-US" w:eastAsia="zh-CN" w:bidi="ar"/>
              </w:rPr>
              <w:t>提供实物照片（非宣传册图片）</w:t>
            </w:r>
          </w:p>
        </w:tc>
        <w:tc>
          <w:tcPr>
            <w:tcW w:w="6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项</w:t>
            </w:r>
          </w:p>
        </w:tc>
        <w:tc>
          <w:tcPr>
            <w:tcW w:w="5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1"/>
                <w:szCs w:val="21"/>
              </w:rPr>
            </w:pPr>
          </w:p>
        </w:tc>
      </w:tr>
    </w:tbl>
    <w:p>
      <w:pPr>
        <w:pStyle w:val="6"/>
        <w:rPr>
          <w:rFonts w:hint="default"/>
          <w:sz w:val="28"/>
          <w:szCs w:val="28"/>
          <w:lang w:val="en-US" w:eastAsia="zh-CN"/>
        </w:rPr>
      </w:pPr>
      <w:r>
        <w:rPr>
          <w:rFonts w:hint="eastAsia"/>
          <w:sz w:val="28"/>
          <w:szCs w:val="28"/>
          <w:lang w:val="en-US" w:eastAsia="zh-CN"/>
        </w:rPr>
        <w:t xml:space="preserve">平面图： </w:t>
      </w:r>
      <w:r>
        <w:rPr>
          <w:rFonts w:hint="default"/>
          <w:sz w:val="28"/>
          <w:szCs w:val="28"/>
          <w:lang w:val="en-US" w:eastAsia="zh-CN"/>
        </w:rPr>
        <w:drawing>
          <wp:inline distT="0" distB="0" distL="114300" distR="114300">
            <wp:extent cx="5265420" cy="2961640"/>
            <wp:effectExtent l="0" t="0" r="11430" b="10160"/>
            <wp:docPr id="4" name="图片 4" descr="edbd8ea654d2cc071716b059e5add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dbd8ea654d2cc071716b059e5adda7"/>
                    <pic:cNvPicPr>
                      <a:picLocks noChangeAspect="1"/>
                    </pic:cNvPicPr>
                  </pic:nvPicPr>
                  <pic:blipFill>
                    <a:blip r:embed="rId33"/>
                    <a:stretch>
                      <a:fillRect/>
                    </a:stretch>
                  </pic:blipFill>
                  <pic:spPr>
                    <a:xfrm>
                      <a:off x="0" y="0"/>
                      <a:ext cx="5265420" cy="2961640"/>
                    </a:xfrm>
                    <a:prstGeom prst="rect">
                      <a:avLst/>
                    </a:prstGeom>
                  </pic:spPr>
                </pic:pic>
              </a:graphicData>
            </a:graphic>
          </wp:inline>
        </w:drawing>
      </w:r>
    </w:p>
    <w:p>
      <w:pPr>
        <w:rPr>
          <w:rFonts w:hint="default"/>
          <w:sz w:val="28"/>
          <w:szCs w:val="28"/>
          <w:lang w:val="en-US" w:eastAsia="zh-CN"/>
        </w:rPr>
      </w:pPr>
    </w:p>
    <w:p>
      <w:pPr>
        <w:pStyle w:val="14"/>
        <w:rPr>
          <w:rFonts w:hint="eastAsia"/>
          <w:lang w:val="en-US" w:eastAsia="zh-CN"/>
        </w:rPr>
        <w:sectPr>
          <w:pgSz w:w="11906" w:h="16838"/>
          <w:pgMar w:top="1440" w:right="1803" w:bottom="1440" w:left="1803" w:header="851" w:footer="992" w:gutter="0"/>
          <w:pgNumType w:fmt="decimal"/>
          <w:cols w:space="720" w:num="1"/>
          <w:docGrid w:type="lines" w:linePitch="319" w:charSpace="0"/>
        </w:sectPr>
      </w:pPr>
    </w:p>
    <w:p>
      <w:pPr>
        <w:pStyle w:val="6"/>
        <w:rPr>
          <w:rFonts w:hint="eastAsia" w:eastAsia="宋体" w:cs="Times New Roman"/>
          <w:sz w:val="28"/>
          <w:szCs w:val="28"/>
          <w:lang w:val="en-US" w:eastAsia="zh-CN"/>
        </w:rPr>
      </w:pPr>
      <w:r>
        <w:rPr>
          <w:rFonts w:hint="eastAsia" w:eastAsia="宋体" w:cs="Times New Roman"/>
          <w:sz w:val="28"/>
          <w:szCs w:val="28"/>
          <w:lang w:val="en-US" w:eastAsia="zh-CN"/>
        </w:rPr>
        <w:t>效果图：</w:t>
      </w:r>
    </w:p>
    <w:p>
      <w:pPr>
        <w:rPr>
          <w:rFonts w:hint="eastAsia"/>
          <w:lang w:val="en-US" w:eastAsia="zh-CN"/>
        </w:rPr>
      </w:pPr>
      <w:r>
        <w:drawing>
          <wp:inline distT="0" distB="0" distL="114300" distR="114300">
            <wp:extent cx="5264150" cy="2586990"/>
            <wp:effectExtent l="0" t="0" r="12700" b="381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4"/>
                    <a:stretch>
                      <a:fillRect/>
                    </a:stretch>
                  </pic:blipFill>
                  <pic:spPr>
                    <a:xfrm>
                      <a:off x="0" y="0"/>
                      <a:ext cx="5264150" cy="2586990"/>
                    </a:xfrm>
                    <a:prstGeom prst="rect">
                      <a:avLst/>
                    </a:prstGeom>
                    <a:noFill/>
                    <a:ln>
                      <a:noFill/>
                    </a:ln>
                  </pic:spPr>
                </pic:pic>
              </a:graphicData>
            </a:graphic>
          </wp:inline>
        </w:drawing>
      </w:r>
      <w:r>
        <w:drawing>
          <wp:inline distT="0" distB="0" distL="114300" distR="114300">
            <wp:extent cx="5264785" cy="2889885"/>
            <wp:effectExtent l="0" t="0" r="12065" b="57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5"/>
                    <a:stretch>
                      <a:fillRect/>
                    </a:stretch>
                  </pic:blipFill>
                  <pic:spPr>
                    <a:xfrm>
                      <a:off x="0" y="0"/>
                      <a:ext cx="5264785" cy="2889885"/>
                    </a:xfrm>
                    <a:prstGeom prst="rect">
                      <a:avLst/>
                    </a:prstGeom>
                    <a:noFill/>
                    <a:ln>
                      <a:noFill/>
                    </a:ln>
                  </pic:spPr>
                </pic:pic>
              </a:graphicData>
            </a:graphic>
          </wp:inline>
        </w:drawing>
      </w:r>
      <w:r>
        <w:drawing>
          <wp:inline distT="0" distB="0" distL="114300" distR="114300">
            <wp:extent cx="5267325" cy="5624830"/>
            <wp:effectExtent l="0" t="0" r="9525" b="1397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6"/>
                    <a:stretch>
                      <a:fillRect/>
                    </a:stretch>
                  </pic:blipFill>
                  <pic:spPr>
                    <a:xfrm>
                      <a:off x="0" y="0"/>
                      <a:ext cx="5267325" cy="5624830"/>
                    </a:xfrm>
                    <a:prstGeom prst="rect">
                      <a:avLst/>
                    </a:prstGeom>
                    <a:noFill/>
                    <a:ln>
                      <a:noFill/>
                    </a:ln>
                  </pic:spPr>
                </pic:pic>
              </a:graphicData>
            </a:graphic>
          </wp:inline>
        </w:drawing>
      </w:r>
      <w:r>
        <w:drawing>
          <wp:inline distT="0" distB="0" distL="114300" distR="114300">
            <wp:extent cx="5267325" cy="5568315"/>
            <wp:effectExtent l="0" t="0" r="9525" b="1333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7"/>
                    <a:stretch>
                      <a:fillRect/>
                    </a:stretch>
                  </pic:blipFill>
                  <pic:spPr>
                    <a:xfrm>
                      <a:off x="0" y="0"/>
                      <a:ext cx="5267325" cy="5568315"/>
                    </a:xfrm>
                    <a:prstGeom prst="rect">
                      <a:avLst/>
                    </a:prstGeom>
                    <a:noFill/>
                    <a:ln>
                      <a:noFill/>
                    </a:ln>
                  </pic:spPr>
                </pic:pic>
              </a:graphicData>
            </a:graphic>
          </wp:inline>
        </w:drawing>
      </w:r>
      <w:r>
        <w:drawing>
          <wp:inline distT="0" distB="0" distL="114300" distR="114300">
            <wp:extent cx="5267325" cy="5632450"/>
            <wp:effectExtent l="0" t="0" r="9525" b="635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8"/>
                    <a:stretch>
                      <a:fillRect/>
                    </a:stretch>
                  </pic:blipFill>
                  <pic:spPr>
                    <a:xfrm>
                      <a:off x="0" y="0"/>
                      <a:ext cx="5267325" cy="5632450"/>
                    </a:xfrm>
                    <a:prstGeom prst="rect">
                      <a:avLst/>
                    </a:prstGeom>
                    <a:noFill/>
                    <a:ln>
                      <a:noFill/>
                    </a:ln>
                  </pic:spPr>
                </pic:pic>
              </a:graphicData>
            </a:graphic>
          </wp:inline>
        </w:drawing>
      </w:r>
      <w:r>
        <w:drawing>
          <wp:inline distT="0" distB="0" distL="114300" distR="114300">
            <wp:extent cx="5267960" cy="5566410"/>
            <wp:effectExtent l="0" t="0" r="8890" b="1524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39"/>
                    <a:stretch>
                      <a:fillRect/>
                    </a:stretch>
                  </pic:blipFill>
                  <pic:spPr>
                    <a:xfrm>
                      <a:off x="0" y="0"/>
                      <a:ext cx="5267960" cy="5566410"/>
                    </a:xfrm>
                    <a:prstGeom prst="rect">
                      <a:avLst/>
                    </a:prstGeom>
                    <a:noFill/>
                    <a:ln>
                      <a:noFill/>
                    </a:ln>
                  </pic:spPr>
                </pic:pic>
              </a:graphicData>
            </a:graphic>
          </wp:inline>
        </w:drawing>
      </w:r>
      <w:r>
        <w:drawing>
          <wp:inline distT="0" distB="0" distL="114300" distR="114300">
            <wp:extent cx="5266690" cy="5650230"/>
            <wp:effectExtent l="0" t="0" r="10160" b="762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40"/>
                    <a:stretch>
                      <a:fillRect/>
                    </a:stretch>
                  </pic:blipFill>
                  <pic:spPr>
                    <a:xfrm>
                      <a:off x="0" y="0"/>
                      <a:ext cx="5266690" cy="5650230"/>
                    </a:xfrm>
                    <a:prstGeom prst="rect">
                      <a:avLst/>
                    </a:prstGeom>
                    <a:noFill/>
                    <a:ln>
                      <a:noFill/>
                    </a:ln>
                  </pic:spPr>
                </pic:pic>
              </a:graphicData>
            </a:graphic>
          </wp:inline>
        </w:drawing>
      </w:r>
      <w:r>
        <w:drawing>
          <wp:inline distT="0" distB="0" distL="114300" distR="114300">
            <wp:extent cx="5268595" cy="5621020"/>
            <wp:effectExtent l="0" t="0" r="8255" b="1778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41"/>
                    <a:stretch>
                      <a:fillRect/>
                    </a:stretch>
                  </pic:blipFill>
                  <pic:spPr>
                    <a:xfrm>
                      <a:off x="0" y="0"/>
                      <a:ext cx="5268595" cy="5621020"/>
                    </a:xfrm>
                    <a:prstGeom prst="rect">
                      <a:avLst/>
                    </a:prstGeom>
                    <a:noFill/>
                    <a:ln>
                      <a:noFill/>
                    </a:ln>
                  </pic:spPr>
                </pic:pic>
              </a:graphicData>
            </a:graphic>
          </wp:inline>
        </w:drawing>
      </w:r>
      <w:r>
        <w:drawing>
          <wp:inline distT="0" distB="0" distL="114300" distR="114300">
            <wp:extent cx="5266690" cy="5634990"/>
            <wp:effectExtent l="0" t="0" r="10160" b="381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42"/>
                    <a:stretch>
                      <a:fillRect/>
                    </a:stretch>
                  </pic:blipFill>
                  <pic:spPr>
                    <a:xfrm>
                      <a:off x="0" y="0"/>
                      <a:ext cx="5266690" cy="5634990"/>
                    </a:xfrm>
                    <a:prstGeom prst="rect">
                      <a:avLst/>
                    </a:prstGeom>
                    <a:noFill/>
                    <a:ln>
                      <a:noFill/>
                    </a:ln>
                  </pic:spPr>
                </pic:pic>
              </a:graphicData>
            </a:graphic>
          </wp:inline>
        </w:drawing>
      </w:r>
      <w:r>
        <w:drawing>
          <wp:inline distT="0" distB="0" distL="114300" distR="114300">
            <wp:extent cx="5269230" cy="5670550"/>
            <wp:effectExtent l="0" t="0" r="7620" b="635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43"/>
                    <a:stretch>
                      <a:fillRect/>
                    </a:stretch>
                  </pic:blipFill>
                  <pic:spPr>
                    <a:xfrm>
                      <a:off x="0" y="0"/>
                      <a:ext cx="5269230" cy="5670550"/>
                    </a:xfrm>
                    <a:prstGeom prst="rect">
                      <a:avLst/>
                    </a:prstGeom>
                    <a:noFill/>
                    <a:ln>
                      <a:noFill/>
                    </a:ln>
                  </pic:spPr>
                </pic:pic>
              </a:graphicData>
            </a:graphic>
          </wp:inline>
        </w:drawing>
      </w:r>
    </w:p>
    <w:p>
      <w:pPr>
        <w:pStyle w:val="14"/>
        <w:rPr>
          <w:rFonts w:hint="default"/>
          <w:lang w:val="en-US" w:eastAsia="zh-CN"/>
        </w:rPr>
        <w:sectPr>
          <w:pgSz w:w="11906" w:h="16838"/>
          <w:pgMar w:top="1440" w:right="1803" w:bottom="1440" w:left="1803" w:header="851" w:footer="992" w:gutter="0"/>
          <w:pgNumType w:fmt="decimal"/>
          <w:cols w:space="720" w:num="1"/>
          <w:docGrid w:type="lines" w:linePitch="319" w:charSpace="0"/>
        </w:sectPr>
      </w:pPr>
    </w:p>
    <w:p>
      <w:pPr>
        <w:pStyle w:val="6"/>
        <w:rPr>
          <w:rFonts w:hint="eastAsia"/>
          <w:sz w:val="28"/>
          <w:szCs w:val="28"/>
          <w:lang w:val="en-US" w:eastAsia="zh-CN"/>
        </w:rPr>
      </w:pPr>
      <w:r>
        <w:rPr>
          <w:rFonts w:hint="eastAsia"/>
          <w:sz w:val="28"/>
          <w:szCs w:val="28"/>
          <w:lang w:eastAsia="zh-CN"/>
        </w:rPr>
        <w:t>合同包</w:t>
      </w:r>
      <w:r>
        <w:rPr>
          <w:rFonts w:hint="eastAsia"/>
          <w:sz w:val="28"/>
          <w:szCs w:val="28"/>
          <w:lang w:val="en-US" w:eastAsia="zh-CN"/>
        </w:rPr>
        <w:t>6：模拟经营沙盘技能大赛软件</w:t>
      </w:r>
    </w:p>
    <w:tbl>
      <w:tblPr>
        <w:tblStyle w:val="29"/>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808"/>
        <w:gridCol w:w="6406"/>
        <w:gridCol w:w="550"/>
        <w:gridCol w:w="450"/>
        <w:gridCol w:w="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56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808"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仪器设备名称</w:t>
            </w:r>
          </w:p>
        </w:tc>
        <w:tc>
          <w:tcPr>
            <w:tcW w:w="6406"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配置规格及主要技术参数</w:t>
            </w:r>
          </w:p>
        </w:tc>
        <w:tc>
          <w:tcPr>
            <w:tcW w:w="55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单位</w:t>
            </w:r>
          </w:p>
        </w:tc>
        <w:tc>
          <w:tcPr>
            <w:tcW w:w="45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数量</w:t>
            </w:r>
          </w:p>
        </w:tc>
        <w:tc>
          <w:tcPr>
            <w:tcW w:w="574"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jc w:val="center"/>
        </w:trPr>
        <w:tc>
          <w:tcPr>
            <w:tcW w:w="560"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808" w:type="dxa"/>
            <w:vAlign w:val="center"/>
          </w:tcPr>
          <w:p>
            <w:pPr>
              <w:jc w:val="center"/>
              <w:rPr>
                <w:rFonts w:hint="eastAsia" w:ascii="宋体" w:hAnsi="宋体" w:eastAsia="宋体" w:cs="宋体"/>
                <w:sz w:val="21"/>
                <w:szCs w:val="21"/>
                <w:shd w:val="clear" w:color="auto" w:fill="FFFFFF"/>
              </w:rPr>
            </w:pPr>
            <w:r>
              <w:rPr>
                <w:rFonts w:hint="eastAsia" w:ascii="宋体" w:hAnsi="宋体" w:eastAsia="宋体" w:cs="宋体"/>
                <w:sz w:val="21"/>
                <w:szCs w:val="21"/>
              </w:rPr>
              <w:t>模拟经营沙盘软件</w:t>
            </w:r>
          </w:p>
        </w:tc>
        <w:tc>
          <w:tcPr>
            <w:tcW w:w="6406" w:type="dxa"/>
          </w:tcPr>
          <w:p>
            <w:pPr>
              <w:shd w:val="clear" w:color="auto" w:fill="FFFFFF"/>
              <w:rPr>
                <w:rFonts w:hint="eastAsia" w:ascii="宋体" w:hAnsi="宋体" w:eastAsia="宋体" w:cs="宋体"/>
                <w:sz w:val="21"/>
                <w:szCs w:val="21"/>
              </w:rPr>
            </w:pPr>
            <w:r>
              <w:rPr>
                <w:rFonts w:hint="eastAsia" w:ascii="宋体" w:hAnsi="宋体" w:eastAsia="宋体" w:cs="宋体"/>
                <w:b/>
                <w:bCs/>
                <w:sz w:val="21"/>
                <w:szCs w:val="21"/>
              </w:rPr>
              <w:t>一、功能</w:t>
            </w:r>
            <w:r>
              <w:rPr>
                <w:rFonts w:hint="eastAsia" w:ascii="宋体" w:hAnsi="宋体" w:eastAsia="宋体" w:cs="宋体"/>
                <w:b/>
                <w:bCs/>
                <w:sz w:val="21"/>
                <w:szCs w:val="21"/>
                <w:lang w:eastAsia="zh-Hans"/>
              </w:rPr>
              <w:t>参数</w:t>
            </w:r>
            <w:r>
              <w:rPr>
                <w:rFonts w:hint="eastAsia" w:ascii="宋体" w:hAnsi="宋体" w:eastAsia="宋体" w:cs="宋体"/>
                <w:b/>
                <w:bCs/>
                <w:sz w:val="21"/>
                <w:szCs w:val="21"/>
              </w:rPr>
              <w:t>：</w:t>
            </w:r>
            <w:r>
              <w:rPr>
                <w:rFonts w:hint="eastAsia" w:ascii="宋体" w:hAnsi="宋体" w:eastAsia="宋体" w:cs="宋体"/>
                <w:sz w:val="21"/>
                <w:szCs w:val="21"/>
              </w:rPr>
              <w:t xml:space="preserve"> </w:t>
            </w:r>
          </w:p>
          <w:p>
            <w:pPr>
              <w:shd w:val="clear" w:color="auto" w:fill="FFFFFF"/>
              <w:ind w:firstLine="420" w:firstLineChars="200"/>
              <w:rPr>
                <w:rFonts w:hint="eastAsia" w:ascii="宋体" w:hAnsi="宋体" w:eastAsia="宋体" w:cs="宋体"/>
                <w:sz w:val="21"/>
                <w:szCs w:val="21"/>
              </w:rPr>
            </w:pPr>
            <w:r>
              <w:rPr>
                <w:rFonts w:hint="eastAsia" w:ascii="宋体" w:hAnsi="宋体" w:eastAsia="宋体" w:cs="宋体"/>
                <w:sz w:val="21"/>
                <w:szCs w:val="21"/>
              </w:rPr>
              <w:t>模拟实战平台需适用于各学科专业的创业全过程大数据商业对战实训软件，学生可以从中持续地通过分析信息、做出决策并应对相应的后果来解决创业模拟运营中所出现的问题</w:t>
            </w:r>
            <w:r>
              <w:rPr>
                <w:rFonts w:hint="eastAsia" w:ascii="宋体" w:hAnsi="宋体" w:eastAsia="宋体" w:cs="宋体"/>
                <w:sz w:val="21"/>
                <w:szCs w:val="21"/>
                <w:lang w:eastAsia="zh-Hans"/>
              </w:rPr>
              <w:t>。</w:t>
            </w:r>
            <w:r>
              <w:rPr>
                <w:rFonts w:hint="eastAsia" w:ascii="宋体" w:hAnsi="宋体" w:eastAsia="宋体" w:cs="宋体"/>
                <w:sz w:val="21"/>
                <w:szCs w:val="21"/>
              </w:rPr>
              <w:t>涉及组织运维，人资管理、营销管理、财务管理、生产管理五个方面，全面涵盖经济、管理、法律，金融等实际商业世界中方方面面的知识</w:t>
            </w:r>
            <w:r>
              <w:rPr>
                <w:rFonts w:hint="eastAsia" w:ascii="宋体" w:hAnsi="宋体" w:eastAsia="宋体" w:cs="宋体"/>
                <w:sz w:val="21"/>
                <w:szCs w:val="21"/>
                <w:lang w:eastAsia="zh-Hans"/>
              </w:rPr>
              <w:t>。</w:t>
            </w:r>
          </w:p>
          <w:p>
            <w:pPr>
              <w:shd w:val="clear" w:color="auto" w:fill="FFFFFF"/>
              <w:ind w:firstLine="420" w:firstLineChars="200"/>
              <w:rPr>
                <w:rFonts w:hint="eastAsia" w:ascii="宋体" w:hAnsi="宋体" w:eastAsia="宋体" w:cs="宋体"/>
                <w:sz w:val="21"/>
                <w:szCs w:val="21"/>
              </w:rPr>
            </w:pPr>
            <w:r>
              <w:rPr>
                <w:rFonts w:hint="eastAsia" w:ascii="宋体" w:hAnsi="宋体" w:eastAsia="宋体" w:cs="宋体"/>
                <w:sz w:val="21"/>
                <w:szCs w:val="21"/>
              </w:rPr>
              <w:t>1.平台应基于蒙特卡洛模拟设计，决策中的每个不同决定产生不同结果，软件应涉及几十个功能板块的参数，以便让使用者的模拟结果绝无雷同，极大区别于普通模拟软件以给定决定即得单一结果的简单模拟</w:t>
            </w:r>
            <w:r>
              <w:rPr>
                <w:rFonts w:hint="eastAsia" w:ascii="宋体" w:hAnsi="宋体" w:eastAsia="宋体" w:cs="宋体"/>
                <w:sz w:val="21"/>
                <w:szCs w:val="21"/>
                <w:lang w:eastAsia="zh-Hans"/>
              </w:rPr>
              <w:t>，</w:t>
            </w:r>
            <w:r>
              <w:rPr>
                <w:rFonts w:hint="eastAsia" w:ascii="宋体" w:hAnsi="宋体" w:eastAsia="宋体" w:cs="宋体"/>
                <w:sz w:val="21"/>
                <w:szCs w:val="21"/>
              </w:rPr>
              <w:t>可针对不同基础的使用者给出由易到难的模拟情境，满足从初级使用者到高级使用者不同层次的个性化使用需求</w:t>
            </w:r>
            <w:r>
              <w:rPr>
                <w:rFonts w:hint="eastAsia" w:ascii="宋体" w:hAnsi="宋体" w:eastAsia="宋体" w:cs="宋体"/>
                <w:sz w:val="21"/>
                <w:szCs w:val="21"/>
                <w:lang w:eastAsia="zh-Hans"/>
              </w:rPr>
              <w:t>。</w:t>
            </w:r>
          </w:p>
          <w:p>
            <w:pPr>
              <w:shd w:val="clear" w:color="auto" w:fill="FFFFFF"/>
              <w:ind w:firstLine="420" w:firstLineChars="200"/>
              <w:rPr>
                <w:rFonts w:hint="eastAsia" w:ascii="宋体" w:hAnsi="宋体" w:eastAsia="宋体" w:cs="宋体"/>
                <w:sz w:val="21"/>
                <w:szCs w:val="21"/>
              </w:rPr>
            </w:pPr>
            <w:r>
              <w:rPr>
                <w:rFonts w:hint="eastAsia" w:ascii="宋体" w:hAnsi="宋体" w:eastAsia="宋体" w:cs="宋体"/>
                <w:sz w:val="21"/>
                <w:szCs w:val="21"/>
                <w:lang w:eastAsia="zh-Hans"/>
              </w:rPr>
              <w:t>2.学生</w:t>
            </w:r>
            <w:r>
              <w:rPr>
                <w:rFonts w:hint="eastAsia" w:ascii="宋体" w:hAnsi="宋体" w:eastAsia="宋体" w:cs="宋体"/>
                <w:sz w:val="21"/>
                <w:szCs w:val="21"/>
              </w:rPr>
              <w:t>通过团队协作，对所运行的虚拟公司做出决策。实训平台应预设模拟真实商业环境的脚本，甚至可以用来模拟运作“真实”案例，让学员们共同面对他们做出的商业决策所带来的后果。</w:t>
            </w:r>
          </w:p>
          <w:p>
            <w:pPr>
              <w:shd w:val="clear" w:color="auto" w:fill="FFFFFF"/>
              <w:ind w:firstLine="420" w:firstLineChars="200"/>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Hans"/>
              </w:rPr>
              <w:t>平台可</w:t>
            </w:r>
            <w:r>
              <w:rPr>
                <w:rFonts w:hint="eastAsia" w:ascii="宋体" w:hAnsi="宋体" w:eastAsia="宋体" w:cs="宋体"/>
                <w:sz w:val="21"/>
                <w:szCs w:val="21"/>
              </w:rPr>
              <w:t>自动记录模拟运行中做出的决策和行动，学员们可以将他们的成果提交并分享，从而得到评估和反馈。教师对不同团队的经营成果</w:t>
            </w:r>
            <w:r>
              <w:rPr>
                <w:rFonts w:hint="eastAsia" w:ascii="宋体" w:hAnsi="宋体" w:eastAsia="宋体" w:cs="宋体"/>
                <w:sz w:val="21"/>
                <w:szCs w:val="21"/>
                <w:lang w:eastAsia="zh-Hans"/>
              </w:rPr>
              <w:t>做</w:t>
            </w:r>
            <w:r>
              <w:rPr>
                <w:rFonts w:hint="eastAsia" w:ascii="宋体" w:hAnsi="宋体" w:eastAsia="宋体" w:cs="宋体"/>
                <w:sz w:val="21"/>
                <w:szCs w:val="21"/>
              </w:rPr>
              <w:t>有针对性的进行点评、分析。</w:t>
            </w:r>
          </w:p>
          <w:p>
            <w:pPr>
              <w:shd w:val="clear" w:color="auto" w:fill="FFFFFF"/>
              <w:ind w:firstLine="422" w:firstLineChars="200"/>
              <w:rPr>
                <w:rFonts w:hint="eastAsia" w:ascii="宋体" w:hAnsi="宋体" w:eastAsia="宋体" w:cs="宋体"/>
                <w:b/>
                <w:bCs/>
                <w:color w:val="auto"/>
                <w:sz w:val="21"/>
                <w:szCs w:val="21"/>
              </w:rPr>
            </w:pPr>
            <w:r>
              <w:rPr>
                <w:rFonts w:hint="eastAsia" w:ascii="宋体" w:hAnsi="宋体" w:eastAsia="宋体" w:cs="宋体"/>
                <w:b/>
                <w:bCs/>
                <w:sz w:val="21"/>
                <w:szCs w:val="21"/>
              </w:rPr>
              <w:t>4.</w:t>
            </w:r>
            <w:r>
              <w:rPr>
                <w:rFonts w:hint="eastAsia" w:ascii="宋体" w:hAnsi="宋体" w:eastAsia="宋体" w:cs="宋体"/>
                <w:b/>
                <w:bCs/>
                <w:sz w:val="21"/>
                <w:szCs w:val="21"/>
                <w:lang w:eastAsia="zh-Hans"/>
              </w:rPr>
              <w:t>平台</w:t>
            </w:r>
            <w:r>
              <w:rPr>
                <w:rFonts w:hint="eastAsia" w:ascii="宋体" w:hAnsi="宋体" w:eastAsia="宋体" w:cs="宋体"/>
                <w:b/>
                <w:bCs/>
                <w:sz w:val="21"/>
                <w:szCs w:val="21"/>
              </w:rPr>
              <w:t>支持将全部内容安装到每一台PC机中供学生模拟创业使用</w:t>
            </w:r>
            <w:r>
              <w:rPr>
                <w:rFonts w:hint="eastAsia" w:ascii="宋体" w:hAnsi="宋体" w:eastAsia="宋体" w:cs="宋体"/>
                <w:b/>
                <w:bCs/>
                <w:sz w:val="21"/>
                <w:szCs w:val="21"/>
                <w:lang w:eastAsia="zh-Hans"/>
              </w:rPr>
              <w:t>，</w:t>
            </w:r>
            <w:r>
              <w:rPr>
                <w:rFonts w:hint="eastAsia" w:ascii="宋体" w:hAnsi="宋体" w:eastAsia="宋体" w:cs="宋体"/>
                <w:b/>
                <w:bCs/>
                <w:sz w:val="21"/>
                <w:szCs w:val="21"/>
              </w:rPr>
              <w:t>安装完成后支持本机注册功能</w:t>
            </w:r>
            <w:r>
              <w:rPr>
                <w:rFonts w:hint="eastAsia" w:ascii="宋体" w:hAnsi="宋体" w:eastAsia="宋体" w:cs="宋体"/>
                <w:b/>
                <w:bCs/>
                <w:sz w:val="21"/>
                <w:szCs w:val="21"/>
                <w:lang w:eastAsia="zh-Hans"/>
              </w:rPr>
              <w:t>，支持</w:t>
            </w:r>
            <w:r>
              <w:rPr>
                <w:rFonts w:hint="eastAsia" w:ascii="宋体" w:hAnsi="宋体" w:eastAsia="宋体" w:cs="宋体"/>
                <w:b/>
                <w:bCs/>
                <w:sz w:val="21"/>
                <w:szCs w:val="21"/>
              </w:rPr>
              <w:t>中英双语版情境呈现，有助于提高使用者的英文水平，帮助院校提升国际化水准</w:t>
            </w:r>
            <w:r>
              <w:rPr>
                <w:rFonts w:hint="eastAsia" w:ascii="宋体" w:hAnsi="宋体" w:eastAsia="宋体" w:cs="宋体"/>
                <w:b/>
                <w:bCs/>
                <w:color w:val="auto"/>
                <w:sz w:val="21"/>
                <w:szCs w:val="21"/>
              </w:rPr>
              <w:t>（</w:t>
            </w:r>
            <w:r>
              <w:rPr>
                <w:rFonts w:hint="eastAsia" w:ascii="宋体" w:hAnsi="宋体" w:cs="宋体"/>
                <w:b/>
                <w:bCs/>
                <w:color w:val="auto"/>
                <w:sz w:val="21"/>
                <w:szCs w:val="21"/>
                <w:lang w:eastAsia="zh-CN"/>
              </w:rPr>
              <w:t>提供</w:t>
            </w:r>
            <w:r>
              <w:rPr>
                <w:rFonts w:hint="eastAsia" w:ascii="宋体" w:hAnsi="宋体" w:eastAsia="宋体" w:cs="宋体"/>
                <w:b/>
                <w:bCs/>
                <w:color w:val="auto"/>
                <w:sz w:val="21"/>
                <w:szCs w:val="21"/>
              </w:rPr>
              <w:t>现场演示）。</w:t>
            </w:r>
          </w:p>
          <w:p>
            <w:pPr>
              <w:shd w:val="clear" w:color="auto" w:fill="FFFFFF"/>
              <w:ind w:firstLine="422" w:firstLineChars="200"/>
              <w:rPr>
                <w:rFonts w:hint="eastAsia" w:ascii="宋体" w:hAnsi="宋体" w:eastAsia="宋体" w:cs="宋体"/>
                <w:b/>
                <w:bCs/>
                <w:sz w:val="21"/>
                <w:szCs w:val="21"/>
              </w:rPr>
            </w:pPr>
            <w:r>
              <w:rPr>
                <w:rFonts w:hint="eastAsia" w:ascii="宋体" w:hAnsi="宋体" w:eastAsia="宋体" w:cs="宋体"/>
                <w:b/>
                <w:bCs/>
                <w:sz w:val="21"/>
                <w:szCs w:val="21"/>
              </w:rPr>
              <w:t>5.</w:t>
            </w:r>
            <w:r>
              <w:rPr>
                <w:rFonts w:hint="eastAsia" w:ascii="宋体" w:hAnsi="宋体" w:eastAsia="宋体" w:cs="宋体"/>
                <w:b/>
                <w:bCs/>
                <w:sz w:val="21"/>
                <w:szCs w:val="21"/>
                <w:lang w:eastAsia="zh-Hans"/>
              </w:rPr>
              <w:t>平台</w:t>
            </w:r>
            <w:r>
              <w:rPr>
                <w:rFonts w:hint="eastAsia" w:ascii="宋体" w:hAnsi="宋体" w:eastAsia="宋体" w:cs="宋体"/>
                <w:b/>
                <w:bCs/>
                <w:sz w:val="21"/>
                <w:szCs w:val="21"/>
              </w:rPr>
              <w:t>的主要功能需要满足以下几点（1）营销管理：市场方面（市场调研、竞争调研、客户调研等方面的分享及报告）；营销策略方面（目标细分市场、产品卖点、促销方式等）；销售策略方面（产品定价、市场促销途径、售后服务等） （2）营运管理：产品设计；采购（原材料采购）；生产（生产量及订单）；品质（产品质量设定）等； （3）组织管理：营业场所（营业场地、资源、其他成本和工作等）； 人力资源(公司老板、培训、招聘、管理等)；法律咨询； （4）财务管理：融资（银行贷款、朋友或家人借款、透支、销售股权、赠款）；同银行打交道；预报（销售目标、预算、利润预测、现金流预测等）；账目（簿记、收益与损失、现金周转、资产负债表、其他测量）；信贷管理等</w:t>
            </w:r>
            <w:r>
              <w:rPr>
                <w:rFonts w:hint="eastAsia" w:ascii="宋体" w:hAnsi="宋体" w:eastAsia="宋体" w:cs="宋体"/>
                <w:b/>
                <w:bCs/>
                <w:color w:val="auto"/>
                <w:sz w:val="21"/>
                <w:szCs w:val="21"/>
              </w:rPr>
              <w:t>。（</w:t>
            </w:r>
            <w:r>
              <w:rPr>
                <w:rFonts w:hint="eastAsia" w:ascii="宋体" w:hAnsi="宋体" w:cs="宋体"/>
                <w:b/>
                <w:bCs/>
                <w:color w:val="auto"/>
                <w:sz w:val="21"/>
                <w:szCs w:val="21"/>
                <w:lang w:eastAsia="zh-CN"/>
              </w:rPr>
              <w:t>提供</w:t>
            </w:r>
            <w:r>
              <w:rPr>
                <w:rFonts w:hint="eastAsia" w:ascii="宋体" w:hAnsi="宋体" w:eastAsia="宋体" w:cs="宋体"/>
                <w:b/>
                <w:bCs/>
                <w:color w:val="auto"/>
                <w:sz w:val="21"/>
                <w:szCs w:val="21"/>
              </w:rPr>
              <w:t>现场演示）</w:t>
            </w:r>
          </w:p>
          <w:p>
            <w:pPr>
              <w:shd w:val="clear" w:color="auto" w:fill="FFFFFF"/>
              <w:ind w:firstLine="422" w:firstLineChars="200"/>
              <w:rPr>
                <w:rFonts w:hint="eastAsia" w:ascii="宋体" w:hAnsi="宋体" w:eastAsia="宋体" w:cs="宋体"/>
                <w:b/>
                <w:bCs/>
                <w:sz w:val="21"/>
                <w:szCs w:val="21"/>
              </w:rPr>
            </w:pPr>
            <w:r>
              <w:rPr>
                <w:rFonts w:hint="eastAsia" w:ascii="宋体" w:hAnsi="宋体" w:eastAsia="宋体" w:cs="宋体"/>
                <w:b/>
                <w:bCs/>
                <w:sz w:val="21"/>
                <w:szCs w:val="21"/>
                <w:lang w:eastAsia="zh-Hans"/>
              </w:rPr>
              <w:t>6.系统应具备建立新模拟时支持多维度参数设置功能，设置的功能参数不少于10种，能够支持学生全方位体验不同环境中的创业模拟数据。如：</w:t>
            </w:r>
            <w:r>
              <w:rPr>
                <w:rFonts w:hint="eastAsia" w:ascii="宋体" w:hAnsi="宋体" w:eastAsia="宋体" w:cs="宋体"/>
                <w:b/>
                <w:bCs/>
                <w:sz w:val="21"/>
                <w:szCs w:val="21"/>
              </w:rPr>
              <w:t>（1）经营时间</w:t>
            </w:r>
            <w:r>
              <w:rPr>
                <w:rFonts w:hint="eastAsia" w:ascii="宋体" w:hAnsi="宋体" w:eastAsia="宋体" w:cs="宋体"/>
                <w:b/>
                <w:bCs/>
                <w:sz w:val="21"/>
                <w:szCs w:val="21"/>
                <w:lang w:eastAsia="zh-Hans"/>
              </w:rPr>
              <w:t>设置为</w:t>
            </w:r>
            <w:r>
              <w:rPr>
                <w:rFonts w:hint="eastAsia" w:ascii="宋体" w:hAnsi="宋体" w:eastAsia="宋体" w:cs="宋体"/>
                <w:b/>
                <w:bCs/>
                <w:sz w:val="21"/>
                <w:szCs w:val="21"/>
              </w:rPr>
              <w:t>36 个月； （2）币种</w:t>
            </w:r>
            <w:r>
              <w:rPr>
                <w:rFonts w:hint="eastAsia" w:ascii="宋体" w:hAnsi="宋体" w:eastAsia="宋体" w:cs="宋体"/>
                <w:b/>
                <w:bCs/>
                <w:sz w:val="21"/>
                <w:szCs w:val="21"/>
                <w:lang w:eastAsia="zh-Hans"/>
              </w:rPr>
              <w:t>选择</w:t>
            </w:r>
            <w:r>
              <w:rPr>
                <w:rFonts w:hint="eastAsia" w:ascii="宋体" w:hAnsi="宋体" w:eastAsia="宋体" w:cs="宋体"/>
                <w:b/>
                <w:bCs/>
                <w:sz w:val="21"/>
                <w:szCs w:val="21"/>
              </w:rPr>
              <w:t>：人民币、英镑、美</w:t>
            </w:r>
            <w:r>
              <w:rPr>
                <w:rFonts w:hint="eastAsia" w:ascii="宋体" w:hAnsi="宋体" w:eastAsia="宋体" w:cs="宋体"/>
                <w:b/>
                <w:bCs/>
                <w:sz w:val="21"/>
                <w:szCs w:val="21"/>
                <w:lang w:eastAsia="zh-Hans"/>
              </w:rPr>
              <w:t>元；</w:t>
            </w:r>
            <w:r>
              <w:rPr>
                <w:rFonts w:hint="eastAsia" w:ascii="宋体" w:hAnsi="宋体" w:eastAsia="宋体" w:cs="宋体"/>
                <w:b/>
                <w:bCs/>
                <w:sz w:val="21"/>
                <w:szCs w:val="21"/>
              </w:rPr>
              <w:t>（3）产品设计参数：品质、个性、外形、造型参数均（0—100%），并随之生成产品成本</w:t>
            </w:r>
            <w:r>
              <w:rPr>
                <w:rFonts w:hint="eastAsia" w:ascii="宋体" w:hAnsi="宋体" w:eastAsia="宋体" w:cs="宋体"/>
                <w:b/>
                <w:bCs/>
                <w:sz w:val="21"/>
                <w:szCs w:val="21"/>
                <w:lang w:eastAsia="zh-Hans"/>
              </w:rPr>
              <w:t>；</w:t>
            </w:r>
            <w:r>
              <w:rPr>
                <w:rFonts w:hint="eastAsia" w:ascii="宋体" w:hAnsi="宋体" w:eastAsia="宋体" w:cs="宋体"/>
                <w:b/>
                <w:bCs/>
                <w:sz w:val="21"/>
                <w:szCs w:val="21"/>
              </w:rPr>
              <w:t>（4）生产方式：自己生产、部分委托加工、全部委托加工</w:t>
            </w:r>
            <w:r>
              <w:rPr>
                <w:rFonts w:hint="eastAsia" w:ascii="宋体" w:hAnsi="宋体" w:eastAsia="宋体" w:cs="宋体"/>
                <w:b/>
                <w:bCs/>
                <w:sz w:val="21"/>
                <w:szCs w:val="21"/>
                <w:lang w:eastAsia="zh-Hans"/>
              </w:rPr>
              <w:t>；</w:t>
            </w:r>
            <w:r>
              <w:rPr>
                <w:rFonts w:hint="eastAsia" w:ascii="宋体" w:hAnsi="宋体" w:eastAsia="宋体" w:cs="宋体"/>
                <w:b/>
                <w:bCs/>
                <w:sz w:val="21"/>
                <w:szCs w:val="21"/>
              </w:rPr>
              <w:t>（5）人力招聘参数：人数设计≧1 人；人员培训方式含网络、现场课程、自学、光盘资料等</w:t>
            </w:r>
            <w:r>
              <w:rPr>
                <w:rFonts w:hint="eastAsia" w:ascii="宋体" w:hAnsi="宋体" w:eastAsia="宋体" w:cs="宋体"/>
                <w:b/>
                <w:bCs/>
                <w:sz w:val="21"/>
                <w:szCs w:val="21"/>
                <w:lang w:eastAsia="zh-Hans"/>
              </w:rPr>
              <w:t>；</w:t>
            </w:r>
            <w:r>
              <w:rPr>
                <w:rFonts w:hint="eastAsia" w:ascii="宋体" w:hAnsi="宋体" w:eastAsia="宋体" w:cs="宋体"/>
                <w:b/>
                <w:bCs/>
                <w:sz w:val="21"/>
                <w:szCs w:val="21"/>
              </w:rPr>
              <w:t>（6）人员技能参数：生产、设计、销售、写作、沟通等参数均（0—100%），并随着培训、工作时长增长；（7）公司运营场所参数：家庭、写字楼、偏远地区、经济繁华区等选择；（8）产品销售方式参数：产品卖点选项、目标市场选项、广告方式及所耗资金、代理等；（9）产品定价参数设计：价格设计可以≧0 元，折扣及时间选项；（10）市场调研、竞争调研、客户调研参数可选。</w:t>
            </w:r>
            <w:r>
              <w:rPr>
                <w:rFonts w:hint="eastAsia" w:ascii="宋体" w:hAnsi="宋体" w:eastAsia="宋体" w:cs="宋体"/>
                <w:b/>
                <w:bCs/>
                <w:sz w:val="21"/>
                <w:szCs w:val="21"/>
                <w:lang w:eastAsia="zh-Hans"/>
              </w:rPr>
              <w:t>（11）学生可选择是否有随机事件和随机市场</w:t>
            </w:r>
            <w:r>
              <w:rPr>
                <w:rFonts w:hint="eastAsia" w:ascii="宋体" w:hAnsi="宋体" w:eastAsia="宋体" w:cs="宋体"/>
                <w:b/>
                <w:bCs/>
                <w:color w:val="auto"/>
                <w:sz w:val="21"/>
                <w:szCs w:val="21"/>
              </w:rPr>
              <w:t>（</w:t>
            </w:r>
            <w:r>
              <w:rPr>
                <w:rFonts w:hint="eastAsia" w:ascii="宋体" w:hAnsi="宋体" w:cs="宋体"/>
                <w:b/>
                <w:bCs/>
                <w:color w:val="auto"/>
                <w:sz w:val="21"/>
                <w:szCs w:val="21"/>
                <w:lang w:eastAsia="zh-CN"/>
              </w:rPr>
              <w:t>提供</w:t>
            </w:r>
            <w:r>
              <w:rPr>
                <w:rFonts w:hint="eastAsia" w:ascii="宋体" w:hAnsi="宋体" w:eastAsia="宋体" w:cs="宋体"/>
                <w:b/>
                <w:bCs/>
                <w:color w:val="auto"/>
                <w:sz w:val="21"/>
                <w:szCs w:val="21"/>
              </w:rPr>
              <w:t>现场演示）</w:t>
            </w:r>
          </w:p>
          <w:p>
            <w:pPr>
              <w:shd w:val="clear" w:color="auto" w:fill="FFFFFF"/>
              <w:ind w:firstLine="420" w:firstLineChars="200"/>
              <w:rPr>
                <w:rFonts w:hint="eastAsia" w:ascii="宋体" w:hAnsi="宋体" w:eastAsia="宋体" w:cs="宋体"/>
                <w:sz w:val="21"/>
                <w:szCs w:val="21"/>
              </w:rPr>
            </w:pPr>
            <w:r>
              <w:rPr>
                <w:rFonts w:hint="eastAsia" w:ascii="宋体" w:hAnsi="宋体" w:eastAsia="宋体" w:cs="宋体"/>
                <w:sz w:val="21"/>
                <w:szCs w:val="21"/>
              </w:rPr>
              <w:t>7.实训平台应具备下列教学场景：</w:t>
            </w:r>
          </w:p>
          <w:p>
            <w:pPr>
              <w:shd w:val="clear" w:color="auto" w:fill="FFFFFF"/>
              <w:rPr>
                <w:rFonts w:hint="eastAsia" w:ascii="宋体" w:hAnsi="宋体" w:eastAsia="宋体" w:cs="宋体"/>
                <w:sz w:val="21"/>
                <w:szCs w:val="21"/>
              </w:rPr>
            </w:pPr>
            <w:r>
              <w:rPr>
                <w:rFonts w:hint="eastAsia" w:ascii="宋体" w:hAnsi="宋体" w:eastAsia="宋体" w:cs="宋体"/>
                <w:sz w:val="21"/>
                <w:szCs w:val="21"/>
              </w:rPr>
              <w:t>（1） 场景一：市场调研</w:t>
            </w:r>
          </w:p>
          <w:p>
            <w:pPr>
              <w:shd w:val="clear" w:color="auto" w:fill="FFFFFF"/>
              <w:ind w:firstLine="420" w:firstLineChars="200"/>
              <w:rPr>
                <w:rFonts w:hint="eastAsia" w:ascii="宋体" w:hAnsi="宋体" w:eastAsia="宋体" w:cs="宋体"/>
                <w:sz w:val="21"/>
                <w:szCs w:val="21"/>
              </w:rPr>
            </w:pPr>
            <w:r>
              <w:rPr>
                <w:rFonts w:hint="eastAsia" w:ascii="宋体" w:hAnsi="宋体" w:eastAsia="宋体" w:cs="宋体"/>
                <w:sz w:val="21"/>
                <w:szCs w:val="21"/>
              </w:rPr>
              <w:t>主要操作：市场调研、竞争调查、目标市场细分</w:t>
            </w:r>
          </w:p>
          <w:p>
            <w:pPr>
              <w:shd w:val="clear" w:color="auto" w:fill="FFFFFF"/>
              <w:ind w:firstLine="420" w:firstLineChars="200"/>
              <w:rPr>
                <w:rFonts w:hint="eastAsia" w:ascii="宋体" w:hAnsi="宋体" w:eastAsia="宋体" w:cs="宋体"/>
                <w:sz w:val="21"/>
                <w:szCs w:val="21"/>
              </w:rPr>
            </w:pPr>
            <w:r>
              <w:rPr>
                <w:rFonts w:hint="eastAsia" w:ascii="宋体" w:hAnsi="宋体" w:eastAsia="宋体" w:cs="宋体"/>
                <w:sz w:val="21"/>
                <w:szCs w:val="21"/>
              </w:rPr>
              <w:t>场景任务：1）开展市场调研及竞争调查；2）运行该月以便留出收集信息的时间；3）通过市场调研及竞争调查的结果确立一个适合你的企业的市场机遇；4）选择你打算推广产品的细分市场。</w:t>
            </w:r>
          </w:p>
          <w:p>
            <w:pPr>
              <w:shd w:val="clear" w:color="auto" w:fill="FFFFFF"/>
              <w:rPr>
                <w:rFonts w:hint="eastAsia" w:ascii="宋体" w:hAnsi="宋体" w:eastAsia="宋体" w:cs="宋体"/>
                <w:sz w:val="21"/>
                <w:szCs w:val="21"/>
              </w:rPr>
            </w:pPr>
            <w:r>
              <w:rPr>
                <w:rFonts w:hint="eastAsia" w:ascii="宋体" w:hAnsi="宋体" w:eastAsia="宋体" w:cs="宋体"/>
                <w:sz w:val="21"/>
                <w:szCs w:val="21"/>
              </w:rPr>
              <w:t>（2） 场景二：产品设计</w:t>
            </w:r>
          </w:p>
          <w:p>
            <w:pPr>
              <w:shd w:val="clear" w:color="auto" w:fill="FFFFFF"/>
              <w:ind w:firstLine="420" w:firstLineChars="200"/>
              <w:rPr>
                <w:rFonts w:hint="eastAsia" w:ascii="宋体" w:hAnsi="宋体" w:eastAsia="宋体" w:cs="宋体"/>
                <w:sz w:val="21"/>
                <w:szCs w:val="21"/>
              </w:rPr>
            </w:pPr>
            <w:r>
              <w:rPr>
                <w:rFonts w:hint="eastAsia" w:ascii="宋体" w:hAnsi="宋体" w:eastAsia="宋体" w:cs="宋体"/>
                <w:sz w:val="21"/>
                <w:szCs w:val="21"/>
              </w:rPr>
              <w:t>主要操作：市场调研、竞争调查、产品设计、顾客反馈</w:t>
            </w:r>
          </w:p>
          <w:p>
            <w:pPr>
              <w:shd w:val="clear" w:color="auto" w:fill="FFFFFF"/>
              <w:ind w:firstLine="420" w:firstLineChars="200"/>
              <w:rPr>
                <w:rFonts w:hint="eastAsia" w:ascii="宋体" w:hAnsi="宋体" w:eastAsia="宋体" w:cs="宋体"/>
                <w:sz w:val="21"/>
                <w:szCs w:val="21"/>
              </w:rPr>
            </w:pPr>
            <w:r>
              <w:rPr>
                <w:rFonts w:hint="eastAsia" w:ascii="宋体" w:hAnsi="宋体" w:eastAsia="宋体" w:cs="宋体"/>
                <w:sz w:val="21"/>
                <w:szCs w:val="21"/>
              </w:rPr>
              <w:t>场景任务：1）调整产品设计，选择恰当的工时以便尽早完成产品设计。一旦新的设计完成，便可以观察到市场对新产品的反应和反馈；2）在之后的每个月，你都可以更改产品设计，但每次新设计都将耗费至少一个月才能完成——而你的时间是有限的；3）通过开展客户反馈调查以了解客户对产品的看法。</w:t>
            </w:r>
          </w:p>
          <w:p>
            <w:pPr>
              <w:shd w:val="clear" w:color="auto" w:fill="FFFFFF"/>
              <w:rPr>
                <w:rFonts w:hint="eastAsia" w:ascii="宋体" w:hAnsi="宋体" w:eastAsia="宋体" w:cs="宋体"/>
                <w:sz w:val="21"/>
                <w:szCs w:val="21"/>
              </w:rPr>
            </w:pPr>
            <w:r>
              <w:rPr>
                <w:rFonts w:hint="eastAsia" w:ascii="宋体" w:hAnsi="宋体" w:eastAsia="宋体" w:cs="宋体"/>
                <w:sz w:val="21"/>
                <w:szCs w:val="21"/>
              </w:rPr>
              <w:t>（3） 场景三：产品定价</w:t>
            </w:r>
          </w:p>
          <w:p>
            <w:pPr>
              <w:shd w:val="clear" w:color="auto" w:fill="FFFFFF"/>
              <w:ind w:firstLine="420" w:firstLineChars="200"/>
              <w:rPr>
                <w:rFonts w:hint="eastAsia" w:ascii="宋体" w:hAnsi="宋体" w:eastAsia="宋体" w:cs="宋体"/>
                <w:sz w:val="21"/>
                <w:szCs w:val="21"/>
              </w:rPr>
            </w:pPr>
            <w:r>
              <w:rPr>
                <w:rFonts w:hint="eastAsia" w:ascii="宋体" w:hAnsi="宋体" w:eastAsia="宋体" w:cs="宋体"/>
                <w:sz w:val="21"/>
                <w:szCs w:val="21"/>
              </w:rPr>
              <w:t>主要操作：产品定价</w:t>
            </w:r>
          </w:p>
          <w:p>
            <w:pPr>
              <w:shd w:val="clear" w:color="auto" w:fill="FFFFFF"/>
              <w:ind w:firstLine="420" w:firstLineChars="200"/>
              <w:rPr>
                <w:rFonts w:hint="eastAsia" w:ascii="宋体" w:hAnsi="宋体" w:eastAsia="宋体" w:cs="宋体"/>
                <w:sz w:val="21"/>
                <w:szCs w:val="21"/>
              </w:rPr>
            </w:pPr>
            <w:r>
              <w:rPr>
                <w:rFonts w:hint="eastAsia" w:ascii="宋体" w:hAnsi="宋体" w:eastAsia="宋体" w:cs="宋体"/>
                <w:sz w:val="21"/>
                <w:szCs w:val="21"/>
              </w:rPr>
              <w:t>场景任务：1）考虑市场调研和竞争调查搜集到的信息，切记只关注工程细分市场及 Compuland 公司（该细分市场的领头企业）的信息；2）选择一个既对细分市场具有吸引力又能保证合理利润的价格；3）运行每月决策并观察其对订单量和损益值的影响，必要时修改定价。</w:t>
            </w:r>
          </w:p>
          <w:p>
            <w:pPr>
              <w:shd w:val="clear" w:color="auto" w:fill="FFFFFF"/>
              <w:rPr>
                <w:rFonts w:hint="eastAsia" w:ascii="宋体" w:hAnsi="宋体" w:eastAsia="宋体" w:cs="宋体"/>
                <w:sz w:val="21"/>
                <w:szCs w:val="21"/>
              </w:rPr>
            </w:pPr>
            <w:r>
              <w:rPr>
                <w:rFonts w:hint="eastAsia" w:ascii="宋体" w:hAnsi="宋体" w:eastAsia="宋体" w:cs="宋体"/>
                <w:sz w:val="21"/>
                <w:szCs w:val="21"/>
              </w:rPr>
              <w:t>（4）场景四：市场推广</w:t>
            </w:r>
          </w:p>
          <w:p>
            <w:pPr>
              <w:shd w:val="clear" w:color="auto" w:fill="FFFFFF"/>
              <w:ind w:firstLine="420" w:firstLineChars="200"/>
              <w:rPr>
                <w:rFonts w:hint="eastAsia" w:ascii="宋体" w:hAnsi="宋体" w:eastAsia="宋体" w:cs="宋体"/>
                <w:sz w:val="21"/>
                <w:szCs w:val="21"/>
              </w:rPr>
            </w:pPr>
            <w:r>
              <w:rPr>
                <w:rFonts w:hint="eastAsia" w:ascii="宋体" w:hAnsi="宋体" w:eastAsia="宋体" w:cs="宋体"/>
                <w:sz w:val="21"/>
                <w:szCs w:val="21"/>
              </w:rPr>
              <w:t>主要操作：产品卖点、市场推广、客户反馈</w:t>
            </w:r>
          </w:p>
          <w:p>
            <w:pPr>
              <w:shd w:val="clear" w:color="auto" w:fill="FFFFFF"/>
              <w:ind w:firstLine="420" w:firstLineChars="200"/>
              <w:rPr>
                <w:rFonts w:hint="eastAsia" w:ascii="宋体" w:hAnsi="宋体" w:eastAsia="宋体" w:cs="宋体"/>
                <w:sz w:val="21"/>
                <w:szCs w:val="21"/>
              </w:rPr>
            </w:pPr>
            <w:r>
              <w:rPr>
                <w:rFonts w:hint="eastAsia" w:ascii="宋体" w:hAnsi="宋体" w:eastAsia="宋体" w:cs="宋体"/>
                <w:sz w:val="21"/>
                <w:szCs w:val="21"/>
              </w:rPr>
              <w:t>场景任务：1）选择与你的产品设计匹配、且对细分市场具有吸引力的卖点；2）每个月在点击运行决策前选择市场推广，查看你先前的市场推广是否为你带来了更多的产品需求。可以通过订单数来了解你的运行情况；3）不时地开展顾客反馈调查以判断你的市场推广的有效性。</w:t>
            </w:r>
          </w:p>
          <w:p>
            <w:pPr>
              <w:shd w:val="clear" w:color="auto" w:fill="FFFFFF"/>
              <w:ind w:firstLine="420" w:firstLineChars="200"/>
              <w:rPr>
                <w:rFonts w:hint="eastAsia" w:ascii="宋体" w:hAnsi="宋体" w:eastAsia="宋体" w:cs="宋体"/>
                <w:sz w:val="21"/>
                <w:szCs w:val="21"/>
                <w:lang w:eastAsia="zh-Hans"/>
              </w:rPr>
            </w:pPr>
            <w:r>
              <w:rPr>
                <w:rFonts w:hint="eastAsia" w:ascii="宋体" w:hAnsi="宋体" w:eastAsia="宋体" w:cs="宋体"/>
                <w:sz w:val="21"/>
                <w:szCs w:val="21"/>
                <w:lang w:eastAsia="zh-Hans"/>
              </w:rPr>
              <w:t>8.平台应具备主页面无需点击任何按键，实时显示电话询单数量、签订订单数量、产品销量、盈利/亏损情况、银行存款数据、本月收入与费用数据、本月员工工作时间数据池及已投入工时数据池，并能够显示企业员工工作效率，可以用不同的表情表示目前状态。</w:t>
            </w:r>
          </w:p>
          <w:p>
            <w:pPr>
              <w:shd w:val="clear" w:color="auto" w:fill="FFFFFF"/>
              <w:ind w:firstLine="420" w:firstLineChars="200"/>
              <w:rPr>
                <w:rFonts w:hint="eastAsia" w:ascii="宋体" w:hAnsi="宋体" w:eastAsia="宋体" w:cs="宋体"/>
                <w:sz w:val="21"/>
                <w:szCs w:val="21"/>
                <w:lang w:eastAsia="zh-Hans"/>
              </w:rPr>
            </w:pPr>
            <w:r>
              <w:rPr>
                <w:rFonts w:hint="eastAsia" w:ascii="宋体" w:hAnsi="宋体" w:eastAsia="宋体" w:cs="宋体"/>
                <w:sz w:val="21"/>
                <w:szCs w:val="21"/>
                <w:lang w:eastAsia="zh-Hans"/>
              </w:rPr>
              <w:t>9.平台应具备历史功能，可以支持学生自主选择还原的月份时间；总览功能中应具备创业企业的销售与市场营销情况，能够查看企业调研工作进度、市场营销策略的选择情况、市场促销途径数据、产品定价价格等；财务管理情况中可以看到目前创业企业的融资、收入总额、销售成本、经常费用、利润、信贷管理逾期月数、转入下期的资金数据、固定资产及流动资产、长期负债等数据；营运情况中可看到产品设计相关数据。</w:t>
            </w:r>
          </w:p>
          <w:p>
            <w:pPr>
              <w:shd w:val="clear" w:color="auto" w:fill="FFFFFF"/>
              <w:ind w:firstLine="420" w:firstLineChars="200"/>
              <w:rPr>
                <w:rFonts w:hint="eastAsia" w:ascii="宋体" w:hAnsi="宋体" w:eastAsia="宋体" w:cs="宋体"/>
                <w:sz w:val="21"/>
                <w:szCs w:val="21"/>
                <w:lang w:eastAsia="zh-Hans"/>
              </w:rPr>
            </w:pPr>
            <w:r>
              <w:rPr>
                <w:rFonts w:hint="eastAsia" w:ascii="宋体" w:hAnsi="宋体" w:eastAsia="宋体" w:cs="宋体"/>
                <w:sz w:val="21"/>
                <w:szCs w:val="21"/>
                <w:lang w:eastAsia="zh-Hans"/>
              </w:rPr>
              <w:t>10.系统中包含记事本功能，可以支持新增便笺、修改、删除、存档、复制到剪贴板，同时可以选择所有月份、月份范围、单一月份三种模式；支持选择类别、业务领域，可以一键全选及清除所有功能，方便创业者记录相关文档内容。系统内包含计算器，可帮助创业者进行数据计算。</w:t>
            </w:r>
          </w:p>
          <w:p>
            <w:pPr>
              <w:shd w:val="clear" w:color="auto" w:fill="FFFFFF"/>
              <w:ind w:firstLine="420" w:firstLineChars="200"/>
              <w:rPr>
                <w:rFonts w:hint="eastAsia" w:ascii="宋体" w:hAnsi="宋体" w:eastAsia="宋体" w:cs="宋体"/>
                <w:sz w:val="21"/>
                <w:szCs w:val="21"/>
                <w:lang w:eastAsia="zh-Hans"/>
              </w:rPr>
            </w:pPr>
            <w:r>
              <w:rPr>
                <w:rFonts w:hint="eastAsia" w:ascii="宋体" w:hAnsi="宋体" w:eastAsia="宋体" w:cs="宋体"/>
                <w:sz w:val="21"/>
                <w:szCs w:val="21"/>
                <w:lang w:eastAsia="zh-Hans"/>
              </w:rPr>
              <w:t>11.系统具备导师笔记功能，导师笔记中应包含入门、评估、比赛、学习资源等不少于8种学习资料；包含创业操作指导内容，指导内容中应明确指导学生如何开展业务、改善现金流、如何增加销售收入等不少于10种学习指导资料。</w:t>
            </w:r>
          </w:p>
          <w:p>
            <w:pPr>
              <w:shd w:val="clear" w:color="auto" w:fill="FFFFFF"/>
              <w:ind w:firstLine="420" w:firstLineChars="200"/>
              <w:rPr>
                <w:rFonts w:hint="eastAsia" w:ascii="宋体" w:hAnsi="宋体" w:eastAsia="宋体" w:cs="宋体"/>
                <w:sz w:val="21"/>
                <w:szCs w:val="21"/>
                <w:lang w:eastAsia="zh-Hans"/>
              </w:rPr>
            </w:pPr>
            <w:r>
              <w:rPr>
                <w:rFonts w:hint="eastAsia" w:ascii="宋体" w:hAnsi="宋体" w:eastAsia="宋体" w:cs="宋体"/>
                <w:sz w:val="21"/>
                <w:szCs w:val="21"/>
                <w:lang w:eastAsia="zh-Hans"/>
              </w:rPr>
              <w:t>12.组织管理模块应具备营业场所、人力资源、法律咨询子模块，其中营业场所不少5种选择，固定资产选择不少3类，并支持有不少三种等级的租用或购买选择。支持设置公司老板状态，能够设定员工每周工作时间及薪资，支持设定公司老板是否全职经营公司。</w:t>
            </w:r>
          </w:p>
          <w:p>
            <w:pPr>
              <w:shd w:val="clear" w:color="auto" w:fill="FFFFFF"/>
              <w:ind w:firstLine="422" w:firstLineChars="200"/>
              <w:rPr>
                <w:rFonts w:hint="eastAsia" w:ascii="宋体" w:hAnsi="宋体" w:eastAsia="宋体" w:cs="宋体"/>
                <w:b/>
                <w:bCs/>
                <w:sz w:val="21"/>
                <w:szCs w:val="21"/>
                <w:lang w:eastAsia="zh-Hans"/>
              </w:rPr>
            </w:pPr>
            <w:r>
              <w:rPr>
                <w:rFonts w:hint="eastAsia" w:ascii="宋体" w:hAnsi="宋体" w:eastAsia="宋体" w:cs="宋体"/>
                <w:b/>
                <w:bCs/>
                <w:sz w:val="21"/>
                <w:szCs w:val="21"/>
                <w:lang w:eastAsia="zh-Hans"/>
              </w:rPr>
              <w:t>13.符合创业公司要求，能够支持公司老板自主招聘员工功能，招聘时可选择应聘人应具备的技能、薪酬范围、职位宣传方法不少于3种、如何审核应聘人选择不少三种、可以设置面试应聘人人数、可以选择招聘全职还是全职。系统可自动计算招聘总成本及总工作量时间；支持浏览应聘人选资料，其中包含应聘人姓名、年龄、工资待遇等。支持公司裁员选择，并提供不少于8种任务分配设置等级</w:t>
            </w:r>
            <w:r>
              <w:rPr>
                <w:rFonts w:hint="eastAsia" w:ascii="宋体" w:hAnsi="宋体" w:eastAsia="宋体" w:cs="宋体"/>
                <w:b/>
                <w:bCs/>
                <w:color w:val="auto"/>
                <w:sz w:val="21"/>
                <w:szCs w:val="21"/>
                <w:lang w:eastAsia="zh-Hans"/>
              </w:rPr>
              <w:t>。</w:t>
            </w:r>
            <w:r>
              <w:rPr>
                <w:rFonts w:hint="eastAsia" w:ascii="宋体" w:hAnsi="宋体" w:eastAsia="宋体" w:cs="宋体"/>
                <w:b/>
                <w:bCs/>
                <w:color w:val="auto"/>
                <w:sz w:val="21"/>
                <w:szCs w:val="21"/>
              </w:rPr>
              <w:t>（</w:t>
            </w:r>
            <w:r>
              <w:rPr>
                <w:rFonts w:hint="eastAsia" w:ascii="宋体" w:hAnsi="宋体" w:cs="宋体"/>
                <w:b/>
                <w:bCs/>
                <w:color w:val="auto"/>
                <w:sz w:val="21"/>
                <w:szCs w:val="21"/>
                <w:lang w:eastAsia="zh-CN"/>
              </w:rPr>
              <w:t>提供</w:t>
            </w:r>
            <w:r>
              <w:rPr>
                <w:rFonts w:hint="eastAsia" w:ascii="宋体" w:hAnsi="宋体" w:eastAsia="宋体" w:cs="宋体"/>
                <w:b/>
                <w:bCs/>
                <w:color w:val="auto"/>
                <w:sz w:val="21"/>
                <w:szCs w:val="21"/>
              </w:rPr>
              <w:t>现场演示）</w:t>
            </w:r>
          </w:p>
          <w:p>
            <w:pPr>
              <w:shd w:val="clear" w:color="auto" w:fill="FFFFFF"/>
              <w:ind w:firstLine="420" w:firstLineChars="200"/>
              <w:rPr>
                <w:rFonts w:hint="eastAsia" w:ascii="宋体" w:hAnsi="宋体" w:eastAsia="宋体" w:cs="宋体"/>
                <w:sz w:val="21"/>
                <w:szCs w:val="21"/>
                <w:lang w:eastAsia="zh-Hans"/>
              </w:rPr>
            </w:pPr>
            <w:r>
              <w:rPr>
                <w:rFonts w:hint="eastAsia" w:ascii="宋体" w:hAnsi="宋体" w:eastAsia="宋体" w:cs="宋体"/>
                <w:sz w:val="21"/>
                <w:szCs w:val="21"/>
                <w:lang w:eastAsia="zh-Hans"/>
              </w:rPr>
              <w:t>14.支持浏览创业公司员工技能水平情况，具体情况应用柱状图表示清楚，公司老板可根据员工技能水平选择创业公司培训内容，应包含不少于10种培训课程的选择，同时应提供不少于6种培训方式的选择，支持指定某位员工或全员参与培训。</w:t>
            </w:r>
          </w:p>
          <w:p>
            <w:pPr>
              <w:shd w:val="clear" w:color="auto" w:fill="FFFFFF"/>
              <w:ind w:firstLine="420" w:firstLineChars="200"/>
              <w:rPr>
                <w:rFonts w:hint="eastAsia" w:ascii="宋体" w:hAnsi="宋体" w:eastAsia="宋体" w:cs="宋体"/>
                <w:sz w:val="21"/>
                <w:szCs w:val="21"/>
                <w:lang w:eastAsia="zh-Hans"/>
              </w:rPr>
            </w:pPr>
            <w:r>
              <w:rPr>
                <w:rFonts w:hint="eastAsia" w:ascii="宋体" w:hAnsi="宋体" w:eastAsia="宋体" w:cs="宋体"/>
                <w:sz w:val="21"/>
                <w:szCs w:val="21"/>
                <w:lang w:eastAsia="zh-Hans"/>
              </w:rPr>
              <w:t>15.支持创业企业将维修工作、打扫工作、信息技术支援工作有偿外包给专业公司完成，以便专心投入创业工作中；包含不少于四种创业过程中的法律事务，并能够支持制定销售合同，制定聘用合同等。</w:t>
            </w:r>
          </w:p>
          <w:p>
            <w:pPr>
              <w:shd w:val="clear" w:color="auto" w:fill="FFFFFF"/>
              <w:ind w:firstLine="420" w:firstLineChars="200"/>
              <w:rPr>
                <w:rFonts w:hint="eastAsia" w:ascii="宋体" w:hAnsi="宋体" w:eastAsia="宋体" w:cs="宋体"/>
                <w:sz w:val="21"/>
                <w:szCs w:val="21"/>
                <w:lang w:eastAsia="zh-Hans"/>
              </w:rPr>
            </w:pPr>
            <w:r>
              <w:rPr>
                <w:rFonts w:hint="eastAsia" w:ascii="宋体" w:hAnsi="宋体" w:eastAsia="宋体" w:cs="宋体"/>
                <w:sz w:val="21"/>
                <w:szCs w:val="21"/>
                <w:lang w:eastAsia="zh-Hans"/>
              </w:rPr>
              <w:t>16.支持搬迁营业场所，支持自定义设置经营场所面积大小，系统自动计算营业场所租赁每月成本。</w:t>
            </w:r>
          </w:p>
          <w:p>
            <w:pPr>
              <w:shd w:val="clear" w:color="auto" w:fill="FFFFFF"/>
              <w:ind w:firstLine="420" w:firstLineChars="200"/>
              <w:rPr>
                <w:rFonts w:hint="eastAsia" w:ascii="宋体" w:hAnsi="宋体" w:eastAsia="宋体" w:cs="宋体"/>
                <w:sz w:val="21"/>
                <w:szCs w:val="21"/>
                <w:lang w:eastAsia="zh-Hans"/>
              </w:rPr>
            </w:pPr>
            <w:r>
              <w:rPr>
                <w:rFonts w:hint="eastAsia" w:ascii="宋体" w:hAnsi="宋体" w:eastAsia="宋体" w:cs="宋体"/>
                <w:sz w:val="21"/>
                <w:szCs w:val="21"/>
                <w:lang w:eastAsia="zh-Hans"/>
              </w:rPr>
              <w:t>17.财务管理模块包含不少于15个任务，支持创业企业融资服务、与银行交易服务、财务预测服务、账目查询服务、信贷管理服务。其中融资方式应包含补贴申请、销售股份等不少于5种方式；财务预测中包含销售目标，预算等不少于4种财务预测表；</w:t>
            </w:r>
          </w:p>
          <w:p>
            <w:pPr>
              <w:shd w:val="clear" w:color="auto" w:fill="FFFFFF"/>
              <w:ind w:firstLine="420" w:firstLineChars="200"/>
              <w:rPr>
                <w:rFonts w:hint="eastAsia" w:ascii="宋体" w:hAnsi="宋体" w:eastAsia="宋体" w:cs="宋体"/>
                <w:sz w:val="21"/>
                <w:szCs w:val="21"/>
                <w:lang w:eastAsia="zh-Hans"/>
              </w:rPr>
            </w:pPr>
            <w:r>
              <w:rPr>
                <w:rFonts w:hint="eastAsia" w:ascii="宋体" w:hAnsi="宋体" w:eastAsia="宋体" w:cs="宋体"/>
                <w:sz w:val="21"/>
                <w:szCs w:val="21"/>
                <w:lang w:eastAsia="zh-Hans"/>
              </w:rPr>
              <w:t>18.支持查询创业企业财务账目，包含收益与损失、现金周转、资产负债表、其他财务指标等。支持不少于3种记账方式的选择。其他财务指标中可以自动计算企业资本回报率、流动利率、杠杆比例、资产周转率等数据帮助创业者分析创业企业经营状况。</w:t>
            </w:r>
          </w:p>
          <w:p>
            <w:pPr>
              <w:shd w:val="clear" w:color="auto" w:fill="FFFFFF"/>
              <w:ind w:firstLine="420" w:firstLineChars="200"/>
              <w:rPr>
                <w:rFonts w:hint="eastAsia" w:ascii="宋体" w:hAnsi="宋体" w:eastAsia="宋体" w:cs="宋体"/>
                <w:sz w:val="21"/>
                <w:szCs w:val="21"/>
                <w:lang w:eastAsia="zh-Hans"/>
              </w:rPr>
            </w:pPr>
            <w:r>
              <w:rPr>
                <w:rFonts w:hint="eastAsia" w:ascii="宋体" w:hAnsi="宋体" w:eastAsia="宋体" w:cs="宋体"/>
                <w:sz w:val="21"/>
                <w:szCs w:val="21"/>
                <w:lang w:eastAsia="zh-Hans"/>
              </w:rPr>
              <w:t>19.营销管理应具备调研、市场营销策略、销售策略等决策内容。调研任务中包含市场调研、竞争调研、客户调研三种，每种调研支持聘请顾问调研或自己完成，调研工作每月都可以进行；市场调研中包含6类目标细分市场的调研数据，竞争调研中提供每个竞争对手产品设计情况及价格数据，客户调研报告中包含客户对于企业产品评估情况，并用柱状图形式展现，可以通过颜色区分客户对我公司设计的产品满意程度。</w:t>
            </w:r>
          </w:p>
          <w:p>
            <w:pPr>
              <w:shd w:val="clear" w:color="auto" w:fill="FFFFFF"/>
              <w:ind w:firstLine="420" w:firstLineChars="200"/>
              <w:rPr>
                <w:rFonts w:hint="eastAsia" w:ascii="宋体" w:hAnsi="宋体" w:eastAsia="宋体" w:cs="宋体"/>
                <w:sz w:val="21"/>
                <w:szCs w:val="21"/>
                <w:lang w:eastAsia="zh-Hans"/>
              </w:rPr>
            </w:pPr>
            <w:r>
              <w:rPr>
                <w:rFonts w:hint="eastAsia" w:ascii="宋体" w:hAnsi="宋体" w:eastAsia="宋体" w:cs="宋体"/>
                <w:sz w:val="21"/>
                <w:szCs w:val="21"/>
                <w:lang w:eastAsia="zh-Hans"/>
              </w:rPr>
              <w:t>20.支持创业公司进行目标市场的选择，提供不少于5种目标市场区间，其中应包含大型公司，工程技术公司等。支持产品卖点设置，提供不少10种产品卖点选项；支持创业企业促销方案制定，系统内提供建立宣传网站、拓展人脉、展销会与活动等6种促销方案。</w:t>
            </w:r>
          </w:p>
          <w:p>
            <w:pPr>
              <w:shd w:val="clear" w:color="auto" w:fill="FFFFFF"/>
              <w:ind w:firstLine="420" w:firstLineChars="200"/>
              <w:rPr>
                <w:rFonts w:hint="eastAsia" w:ascii="宋体" w:hAnsi="宋体" w:eastAsia="宋体" w:cs="宋体"/>
                <w:sz w:val="21"/>
                <w:szCs w:val="21"/>
                <w:lang w:eastAsia="zh-Hans"/>
              </w:rPr>
            </w:pPr>
            <w:r>
              <w:rPr>
                <w:rFonts w:hint="eastAsia" w:ascii="宋体" w:hAnsi="宋体" w:eastAsia="宋体" w:cs="宋体"/>
                <w:sz w:val="21"/>
                <w:szCs w:val="21"/>
                <w:lang w:eastAsia="zh-Hans"/>
              </w:rPr>
              <w:t>21.支持学生自定义产品售价。支持设置销售方式，销售方式应包含交易型销售、个人销售、分销商销售三种方式。</w:t>
            </w:r>
          </w:p>
          <w:p>
            <w:pPr>
              <w:shd w:val="clear" w:color="auto" w:fill="FFFFFF"/>
              <w:ind w:firstLine="420" w:firstLineChars="200"/>
              <w:rPr>
                <w:rFonts w:hint="eastAsia" w:ascii="宋体" w:hAnsi="宋体" w:eastAsia="宋体" w:cs="宋体"/>
                <w:sz w:val="21"/>
                <w:szCs w:val="21"/>
                <w:lang w:eastAsia="zh-Hans"/>
              </w:rPr>
            </w:pPr>
            <w:r>
              <w:rPr>
                <w:rFonts w:hint="eastAsia" w:ascii="宋体" w:hAnsi="宋体" w:eastAsia="宋体" w:cs="宋体"/>
                <w:sz w:val="21"/>
                <w:szCs w:val="21"/>
                <w:lang w:eastAsia="zh-Hans"/>
              </w:rPr>
              <w:t>22.生产管理应具备产品设计、采购、生产调研、品质的决策分析任务。产品设计中应包含不少于3个产品属性设置决策点，每个参数属性可以通过滑动坐标轴实现数据的增减功能，支持根据产品设计特点自动计算产品成本，支持产品设计由内部进行或外包给设计咨询。支持创业者自行设置最大设计工时。</w:t>
            </w:r>
          </w:p>
          <w:p>
            <w:pPr>
              <w:shd w:val="clear" w:color="auto" w:fill="FFFFFF"/>
              <w:ind w:firstLine="420" w:firstLineChars="200"/>
              <w:rPr>
                <w:rFonts w:hint="eastAsia" w:ascii="宋体" w:hAnsi="宋体" w:eastAsia="宋体" w:cs="宋体"/>
                <w:sz w:val="21"/>
                <w:szCs w:val="21"/>
                <w:lang w:eastAsia="zh-Hans"/>
              </w:rPr>
            </w:pPr>
            <w:r>
              <w:rPr>
                <w:rFonts w:hint="eastAsia" w:ascii="宋体" w:hAnsi="宋体" w:eastAsia="宋体" w:cs="宋体"/>
                <w:sz w:val="21"/>
                <w:szCs w:val="21"/>
                <w:lang w:eastAsia="zh-Hans"/>
              </w:rPr>
              <w:t>23.采购功能支持不少于3种类型的供应商选择，支持采购赊销功能。</w:t>
            </w:r>
          </w:p>
          <w:p>
            <w:pPr>
              <w:shd w:val="clear" w:color="auto" w:fill="FFFFFF"/>
              <w:ind w:firstLine="420" w:firstLineChars="200"/>
              <w:rPr>
                <w:rFonts w:hint="eastAsia" w:ascii="宋体" w:hAnsi="宋体" w:eastAsia="宋体" w:cs="宋体"/>
                <w:sz w:val="21"/>
                <w:szCs w:val="21"/>
                <w:lang w:eastAsia="zh-Hans"/>
              </w:rPr>
            </w:pPr>
            <w:r>
              <w:rPr>
                <w:rFonts w:hint="eastAsia" w:ascii="宋体" w:hAnsi="宋体" w:eastAsia="宋体" w:cs="宋体"/>
                <w:sz w:val="21"/>
                <w:szCs w:val="21"/>
                <w:lang w:eastAsia="zh-Hans"/>
              </w:rPr>
              <w:t>24.支持进行生产调整，可以自行设置本月制造产品件数。支持选择内部全部生产所有产品、全部外包生产、外包一部分产品的三种生产方式。支持自动计算外包产品数量。支持根据生产数量自动计算每件产品成本及本月度生产投入工时。</w:t>
            </w:r>
          </w:p>
          <w:p>
            <w:pPr>
              <w:shd w:val="clear" w:color="auto" w:fill="FFFFFF"/>
              <w:ind w:firstLine="420" w:firstLineChars="200"/>
              <w:rPr>
                <w:rFonts w:hint="eastAsia" w:ascii="宋体" w:hAnsi="宋体" w:eastAsia="宋体" w:cs="宋体"/>
                <w:sz w:val="21"/>
                <w:szCs w:val="21"/>
                <w:lang w:eastAsia="zh-Hans"/>
              </w:rPr>
            </w:pPr>
            <w:r>
              <w:rPr>
                <w:rFonts w:hint="eastAsia" w:ascii="宋体" w:hAnsi="宋体" w:eastAsia="宋体" w:cs="宋体"/>
                <w:sz w:val="21"/>
                <w:szCs w:val="21"/>
                <w:lang w:eastAsia="zh-Hans"/>
              </w:rPr>
              <w:t>25.支持产品品质模块中不少于 4 种产品质检时间的选择。</w:t>
            </w:r>
          </w:p>
          <w:p>
            <w:pPr>
              <w:shd w:val="clear" w:color="auto" w:fill="FFFFFF"/>
              <w:ind w:firstLine="420" w:firstLineChars="200"/>
              <w:rPr>
                <w:rFonts w:hint="eastAsia" w:ascii="宋体" w:hAnsi="宋体" w:eastAsia="宋体" w:cs="宋体"/>
                <w:sz w:val="21"/>
                <w:szCs w:val="21"/>
                <w:lang w:eastAsia="zh-Hans"/>
              </w:rPr>
            </w:pPr>
            <w:r>
              <w:rPr>
                <w:rFonts w:hint="eastAsia" w:ascii="宋体" w:hAnsi="宋体" w:eastAsia="宋体" w:cs="宋体"/>
                <w:sz w:val="21"/>
                <w:szCs w:val="21"/>
                <w:lang w:eastAsia="zh-Hans"/>
              </w:rPr>
              <w:t>26.执行本月功能是显示进度条，能够显示本月询单数量、订单数量、销量、客服电话数量、本月采购元件数量、生产数量、库存数量、银行存款余额、利润；能够查询本月所有任务所用工时数统计表。</w:t>
            </w:r>
          </w:p>
          <w:p>
            <w:pPr>
              <w:shd w:val="clear" w:color="auto" w:fill="FFFFFF"/>
              <w:ind w:firstLine="422" w:firstLineChars="200"/>
              <w:rPr>
                <w:rFonts w:hint="eastAsia" w:ascii="宋体" w:hAnsi="宋体" w:eastAsia="宋体" w:cs="宋体"/>
                <w:b/>
                <w:bCs/>
                <w:color w:val="auto"/>
                <w:sz w:val="21"/>
                <w:szCs w:val="21"/>
                <w:lang w:eastAsia="zh-Hans"/>
              </w:rPr>
            </w:pPr>
            <w:r>
              <w:rPr>
                <w:rFonts w:hint="eastAsia" w:ascii="宋体" w:hAnsi="宋体" w:eastAsia="宋体" w:cs="宋体"/>
                <w:b/>
                <w:bCs/>
                <w:sz w:val="21"/>
                <w:szCs w:val="21"/>
                <w:lang w:eastAsia="zh-Hans"/>
              </w:rPr>
              <w:t>27.执行本月后能够显示创业顾问针对本月的顾问报告，报告中应包含销售情况和本月财务变化情况。执行本月功能应具备不少于三种颜色标识的本月信息，针对异常数据进行提示及解析，能够显示银行存款每月变化的曲线图</w:t>
            </w:r>
            <w:r>
              <w:rPr>
                <w:rFonts w:hint="eastAsia" w:ascii="宋体" w:hAnsi="宋体" w:eastAsia="宋体" w:cs="宋体"/>
                <w:b/>
                <w:bCs/>
                <w:color w:val="auto"/>
                <w:sz w:val="21"/>
                <w:szCs w:val="21"/>
                <w:lang w:eastAsia="zh-Hans"/>
              </w:rPr>
              <w:t>。</w:t>
            </w:r>
            <w:r>
              <w:rPr>
                <w:rFonts w:hint="eastAsia" w:ascii="宋体" w:hAnsi="宋体" w:eastAsia="宋体" w:cs="宋体"/>
                <w:b/>
                <w:bCs/>
                <w:color w:val="auto"/>
                <w:sz w:val="21"/>
                <w:szCs w:val="21"/>
              </w:rPr>
              <w:t>（</w:t>
            </w:r>
            <w:r>
              <w:rPr>
                <w:rFonts w:hint="eastAsia" w:ascii="宋体" w:hAnsi="宋体" w:cs="宋体"/>
                <w:b/>
                <w:bCs/>
                <w:color w:val="auto"/>
                <w:sz w:val="21"/>
                <w:szCs w:val="21"/>
                <w:lang w:eastAsia="zh-CN"/>
              </w:rPr>
              <w:t>提供</w:t>
            </w:r>
            <w:r>
              <w:rPr>
                <w:rFonts w:hint="eastAsia" w:ascii="宋体" w:hAnsi="宋体" w:eastAsia="宋体" w:cs="宋体"/>
                <w:b/>
                <w:bCs/>
                <w:color w:val="auto"/>
                <w:sz w:val="21"/>
                <w:szCs w:val="21"/>
              </w:rPr>
              <w:t>现场演示）</w:t>
            </w:r>
          </w:p>
          <w:p>
            <w:pPr>
              <w:shd w:val="clear" w:color="auto" w:fill="FFFFFF"/>
              <w:ind w:firstLine="422" w:firstLineChars="200"/>
              <w:rPr>
                <w:rFonts w:hint="eastAsia" w:ascii="宋体" w:hAnsi="宋体" w:eastAsia="宋体" w:cs="宋体"/>
                <w:b/>
                <w:bCs/>
                <w:color w:val="auto"/>
                <w:sz w:val="21"/>
                <w:szCs w:val="21"/>
                <w:lang w:eastAsia="zh-Hans"/>
              </w:rPr>
            </w:pPr>
            <w:r>
              <w:rPr>
                <w:rFonts w:hint="eastAsia" w:ascii="宋体" w:hAnsi="宋体" w:eastAsia="宋体" w:cs="宋体"/>
                <w:b/>
                <w:bCs/>
                <w:color w:val="auto"/>
                <w:sz w:val="21"/>
                <w:szCs w:val="21"/>
                <w:lang w:eastAsia="zh-Hans"/>
              </w:rPr>
              <w:t>28.支持倒带功能，在未“执行本月”操作之前，能够将当前功能模块的操作任务进行撤销；支持场景保存、另存及数据场景导入功能，方便学生进行数据保存及还原分析。</w:t>
            </w:r>
            <w:r>
              <w:rPr>
                <w:rFonts w:hint="eastAsia" w:ascii="宋体" w:hAnsi="宋体" w:eastAsia="宋体" w:cs="宋体"/>
                <w:b/>
                <w:bCs/>
                <w:color w:val="auto"/>
                <w:sz w:val="21"/>
                <w:szCs w:val="21"/>
              </w:rPr>
              <w:t>（</w:t>
            </w:r>
            <w:r>
              <w:rPr>
                <w:rFonts w:hint="eastAsia" w:ascii="宋体" w:hAnsi="宋体" w:cs="宋体"/>
                <w:b/>
                <w:bCs/>
                <w:color w:val="auto"/>
                <w:sz w:val="21"/>
                <w:szCs w:val="21"/>
                <w:lang w:eastAsia="zh-CN"/>
              </w:rPr>
              <w:t>提供</w:t>
            </w:r>
            <w:r>
              <w:rPr>
                <w:rFonts w:hint="eastAsia" w:ascii="宋体" w:hAnsi="宋体" w:eastAsia="宋体" w:cs="宋体"/>
                <w:b/>
                <w:bCs/>
                <w:color w:val="auto"/>
                <w:sz w:val="21"/>
                <w:szCs w:val="21"/>
              </w:rPr>
              <w:t>现场演示）</w:t>
            </w:r>
          </w:p>
          <w:p>
            <w:pPr>
              <w:ind w:firstLine="422" w:firstLineChars="200"/>
              <w:rPr>
                <w:rFonts w:hint="eastAsia" w:ascii="宋体" w:hAnsi="宋体" w:eastAsia="宋体" w:cs="宋体"/>
                <w:b/>
                <w:bCs/>
                <w:color w:val="auto"/>
                <w:sz w:val="21"/>
                <w:szCs w:val="21"/>
                <w:lang w:eastAsia="zh-Hans"/>
              </w:rPr>
            </w:pPr>
            <w:r>
              <w:rPr>
                <w:rFonts w:hint="eastAsia" w:ascii="宋体" w:hAnsi="宋体" w:eastAsia="宋体" w:cs="宋体"/>
                <w:b/>
                <w:bCs/>
                <w:color w:val="auto"/>
                <w:sz w:val="21"/>
                <w:szCs w:val="21"/>
                <w:lang w:eastAsia="zh-Hans"/>
              </w:rPr>
              <w:t>29.每月完成决策后都可以查询系统自动出具的业绩报告。业绩报告中应包含用户名字、公司名称、参数状态、银行存款数据、总利润、资产负债表、公司估值、持股价值、利润平均值、效率平均值、压力平均值。并能够用折线图形式表现企业利润及公司估值的每月数据变化情况。</w:t>
            </w:r>
            <w:r>
              <w:rPr>
                <w:rFonts w:hint="eastAsia" w:ascii="宋体" w:hAnsi="宋体" w:eastAsia="宋体" w:cs="宋体"/>
                <w:b/>
                <w:bCs/>
                <w:color w:val="auto"/>
                <w:sz w:val="21"/>
                <w:szCs w:val="21"/>
              </w:rPr>
              <w:t>（</w:t>
            </w:r>
            <w:r>
              <w:rPr>
                <w:rFonts w:hint="eastAsia" w:ascii="宋体" w:hAnsi="宋体" w:cs="宋体"/>
                <w:b/>
                <w:bCs/>
                <w:color w:val="auto"/>
                <w:sz w:val="21"/>
                <w:szCs w:val="21"/>
                <w:lang w:eastAsia="zh-CN"/>
              </w:rPr>
              <w:t>提供</w:t>
            </w:r>
            <w:r>
              <w:rPr>
                <w:rFonts w:hint="eastAsia" w:ascii="宋体" w:hAnsi="宋体" w:eastAsia="宋体" w:cs="宋体"/>
                <w:b/>
                <w:bCs/>
                <w:color w:val="auto"/>
                <w:sz w:val="21"/>
                <w:szCs w:val="21"/>
              </w:rPr>
              <w:t>现场演示）</w:t>
            </w:r>
          </w:p>
          <w:p>
            <w:pPr>
              <w:ind w:firstLine="422" w:firstLineChars="200"/>
              <w:rPr>
                <w:rFonts w:hint="eastAsia" w:ascii="宋体" w:hAnsi="宋体" w:eastAsia="宋体" w:cs="宋体"/>
                <w:b/>
                <w:bCs/>
                <w:sz w:val="21"/>
                <w:szCs w:val="21"/>
                <w:lang w:eastAsia="zh-Hans"/>
              </w:rPr>
            </w:pPr>
            <w:r>
              <w:rPr>
                <w:rFonts w:hint="eastAsia" w:ascii="宋体" w:hAnsi="宋体" w:eastAsia="宋体" w:cs="宋体"/>
                <w:b/>
                <w:bCs/>
                <w:color w:val="auto"/>
                <w:sz w:val="21"/>
                <w:szCs w:val="21"/>
                <w:lang w:eastAsia="zh-Hans"/>
              </w:rPr>
              <w:t>30.应具备市场状态的设置，提供不少于5种市</w:t>
            </w:r>
            <w:r>
              <w:rPr>
                <w:rFonts w:hint="eastAsia" w:ascii="宋体" w:hAnsi="宋体" w:eastAsia="宋体" w:cs="宋体"/>
                <w:b/>
                <w:bCs/>
                <w:sz w:val="21"/>
                <w:szCs w:val="21"/>
                <w:lang w:eastAsia="zh-Hans"/>
              </w:rPr>
              <w:t>场状态的选择；具备市场差价的设置，提供不少于5种的市场差价选择；具备利率参数设置，提供不少于5种利率参数设置的选择；具备金融信贷级别参数设置，选择中应包含创业新秀、随机、知名商家等参数。具备货币参数，提供不少于15种币种的选择。支持学生自由设置创业初始资</w:t>
            </w:r>
            <w:r>
              <w:rPr>
                <w:rFonts w:hint="eastAsia" w:ascii="宋体" w:hAnsi="宋体" w:eastAsia="宋体" w:cs="宋体"/>
                <w:b/>
                <w:bCs/>
                <w:color w:val="auto"/>
                <w:sz w:val="21"/>
                <w:szCs w:val="21"/>
                <w:lang w:eastAsia="zh-Hans"/>
              </w:rPr>
              <w:t>金。</w:t>
            </w:r>
            <w:r>
              <w:rPr>
                <w:rFonts w:hint="eastAsia" w:ascii="宋体" w:hAnsi="宋体" w:eastAsia="宋体" w:cs="宋体"/>
                <w:b/>
                <w:bCs/>
                <w:color w:val="auto"/>
                <w:sz w:val="21"/>
                <w:szCs w:val="21"/>
              </w:rPr>
              <w:t>（</w:t>
            </w:r>
            <w:r>
              <w:rPr>
                <w:rFonts w:hint="eastAsia" w:ascii="宋体" w:hAnsi="宋体" w:cs="宋体"/>
                <w:b/>
                <w:bCs/>
                <w:color w:val="auto"/>
                <w:sz w:val="21"/>
                <w:szCs w:val="21"/>
                <w:lang w:eastAsia="zh-CN"/>
              </w:rPr>
              <w:t>提供</w:t>
            </w:r>
            <w:r>
              <w:rPr>
                <w:rFonts w:hint="eastAsia" w:ascii="宋体" w:hAnsi="宋体" w:eastAsia="宋体" w:cs="宋体"/>
                <w:b/>
                <w:bCs/>
                <w:color w:val="auto"/>
                <w:sz w:val="21"/>
                <w:szCs w:val="21"/>
              </w:rPr>
              <w:t>现场演示）</w:t>
            </w:r>
          </w:p>
          <w:p>
            <w:pPr>
              <w:widowControl/>
              <w:ind w:firstLine="420" w:firstLineChars="200"/>
              <w:rPr>
                <w:rFonts w:hint="eastAsia" w:ascii="宋体" w:hAnsi="宋体" w:eastAsia="宋体" w:cs="宋体"/>
                <w:sz w:val="21"/>
                <w:szCs w:val="21"/>
              </w:rPr>
            </w:pPr>
            <w:r>
              <w:rPr>
                <w:rFonts w:hint="eastAsia" w:ascii="宋体" w:hAnsi="宋体" w:eastAsia="宋体" w:cs="宋体"/>
                <w:sz w:val="21"/>
                <w:szCs w:val="21"/>
              </w:rPr>
              <w:t>31.软件运营环境有：</w:t>
            </w:r>
          </w:p>
          <w:p>
            <w:pPr>
              <w:widowControl/>
              <w:ind w:firstLine="420" w:firstLineChars="200"/>
              <w:rPr>
                <w:rFonts w:hint="eastAsia" w:ascii="宋体" w:hAnsi="宋体" w:eastAsia="宋体" w:cs="宋体"/>
                <w:sz w:val="21"/>
                <w:szCs w:val="21"/>
              </w:rPr>
            </w:pPr>
            <w:r>
              <w:rPr>
                <w:rFonts w:hint="eastAsia" w:ascii="宋体" w:hAnsi="宋体" w:eastAsia="宋体" w:cs="宋体"/>
                <w:sz w:val="21"/>
                <w:szCs w:val="21"/>
              </w:rPr>
              <w:t>操作系统：Windows7及以上</w:t>
            </w:r>
          </w:p>
          <w:p>
            <w:pPr>
              <w:ind w:firstLine="420" w:firstLineChars="200"/>
              <w:rPr>
                <w:rFonts w:hint="eastAsia" w:ascii="宋体" w:hAnsi="宋体" w:eastAsia="宋体" w:cs="宋体"/>
                <w:sz w:val="21"/>
                <w:szCs w:val="21"/>
                <w:shd w:val="clear" w:color="auto" w:fill="FFFFFF"/>
              </w:rPr>
            </w:pPr>
            <w:r>
              <w:rPr>
                <w:rFonts w:hint="eastAsia" w:ascii="宋体" w:hAnsi="宋体" w:eastAsia="宋体" w:cs="宋体"/>
                <w:sz w:val="21"/>
                <w:szCs w:val="21"/>
              </w:rPr>
              <w:t>浏览器：Internet Explorer 8 内核及以上、谷歌浏览器、火狐浏览器</w:t>
            </w:r>
          </w:p>
        </w:tc>
        <w:tc>
          <w:tcPr>
            <w:tcW w:w="550" w:type="dxa"/>
            <w:vAlign w:val="center"/>
          </w:tcPr>
          <w:p>
            <w:pPr>
              <w:jc w:val="center"/>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个</w:t>
            </w:r>
          </w:p>
        </w:tc>
        <w:tc>
          <w:tcPr>
            <w:tcW w:w="450" w:type="dxa"/>
            <w:vAlign w:val="center"/>
          </w:tcPr>
          <w:p>
            <w:pPr>
              <w:jc w:val="center"/>
              <w:rPr>
                <w:rFonts w:hint="eastAsia" w:ascii="宋体" w:hAnsi="宋体" w:eastAsia="宋体" w:cs="宋体"/>
                <w:sz w:val="21"/>
                <w:szCs w:val="21"/>
                <w:shd w:val="clear" w:color="auto" w:fill="FFFFFF"/>
              </w:rPr>
            </w:pPr>
            <w:r>
              <w:rPr>
                <w:rFonts w:hint="eastAsia" w:ascii="宋体" w:hAnsi="宋体" w:eastAsia="宋体" w:cs="宋体"/>
                <w:sz w:val="21"/>
                <w:szCs w:val="21"/>
                <w:shd w:val="clear" w:color="auto" w:fill="FFFFFF"/>
              </w:rPr>
              <w:t>16</w:t>
            </w:r>
          </w:p>
        </w:tc>
        <w:tc>
          <w:tcPr>
            <w:tcW w:w="574" w:type="dxa"/>
          </w:tcPr>
          <w:p>
            <w:pPr>
              <w:jc w:val="center"/>
              <w:rPr>
                <w:rFonts w:hint="eastAsia" w:ascii="宋体" w:hAnsi="宋体" w:eastAsia="宋体" w:cs="宋体"/>
                <w:b/>
                <w:sz w:val="21"/>
                <w:szCs w:val="21"/>
              </w:rPr>
            </w:pPr>
          </w:p>
          <w:p>
            <w:pPr>
              <w:jc w:val="center"/>
              <w:rPr>
                <w:rFonts w:hint="eastAsia" w:ascii="宋体" w:hAnsi="宋体" w:eastAsia="宋体" w:cs="宋体"/>
                <w:b/>
                <w:sz w:val="21"/>
                <w:szCs w:val="21"/>
              </w:rPr>
            </w:pPr>
          </w:p>
        </w:tc>
      </w:tr>
    </w:tbl>
    <w:p>
      <w:pPr>
        <w:rPr>
          <w:rFonts w:hint="eastAsia"/>
          <w:lang w:val="en-US" w:eastAsia="zh-CN"/>
        </w:rPr>
      </w:pPr>
    </w:p>
    <w:p>
      <w:pPr>
        <w:pStyle w:val="6"/>
        <w:rPr>
          <w:rFonts w:hint="eastAsia"/>
          <w:lang w:val="en-US" w:eastAsia="zh-CN"/>
        </w:rPr>
      </w:pPr>
    </w:p>
    <w:p>
      <w:pPr>
        <w:rPr>
          <w:rFonts w:hint="default"/>
          <w:lang w:val="en-US" w:eastAsia="zh-CN"/>
        </w:rPr>
        <w:sectPr>
          <w:pgSz w:w="11906" w:h="16838"/>
          <w:pgMar w:top="1440" w:right="1803" w:bottom="1440" w:left="1803" w:header="851" w:footer="992" w:gutter="0"/>
          <w:pgNumType w:fmt="decimal"/>
          <w:cols w:space="720" w:num="1"/>
          <w:docGrid w:type="lines" w:linePitch="319" w:charSpace="0"/>
        </w:sectPr>
      </w:pPr>
    </w:p>
    <w:p>
      <w:pPr>
        <w:keepNext/>
        <w:keepLines/>
        <w:numPr>
          <w:ilvl w:val="0"/>
          <w:numId w:val="23"/>
        </w:numPr>
        <w:tabs>
          <w:tab w:val="left" w:pos="2410"/>
          <w:tab w:val="center" w:pos="4212"/>
        </w:tabs>
        <w:spacing w:line="360" w:lineRule="auto"/>
        <w:jc w:val="center"/>
        <w:outlineLvl w:val="0"/>
        <w:rPr>
          <w:rFonts w:ascii="宋体" w:hAnsi="宋体" w:cs="宋体"/>
          <w:b/>
          <w:bCs/>
          <w:sz w:val="36"/>
          <w:szCs w:val="36"/>
        </w:rPr>
      </w:pPr>
      <w:bookmarkStart w:id="181" w:name="_Toc22767"/>
      <w:r>
        <w:rPr>
          <w:rFonts w:hint="eastAsia" w:ascii="宋体" w:hAnsi="宋体" w:cs="宋体"/>
          <w:b/>
          <w:bCs/>
          <w:sz w:val="36"/>
          <w:szCs w:val="36"/>
        </w:rPr>
        <w:t xml:space="preserve"> </w:t>
      </w:r>
      <w:bookmarkStart w:id="182" w:name="_Toc28326"/>
      <w:r>
        <w:rPr>
          <w:rFonts w:hint="eastAsia" w:ascii="宋体" w:hAnsi="宋体" w:cs="宋体"/>
          <w:b/>
          <w:bCs/>
          <w:sz w:val="36"/>
          <w:szCs w:val="36"/>
        </w:rPr>
        <w:t>合同条款</w:t>
      </w:r>
      <w:bookmarkEnd w:id="181"/>
      <w:bookmarkEnd w:id="182"/>
    </w:p>
    <w:p>
      <w:pPr>
        <w:tabs>
          <w:tab w:val="left" w:pos="5340"/>
        </w:tabs>
        <w:spacing w:line="480" w:lineRule="exact"/>
        <w:ind w:firstLine="480" w:firstLineChars="200"/>
        <w:rPr>
          <w:rFonts w:ascii="宋体" w:hAnsi="宋体"/>
          <w:sz w:val="24"/>
        </w:rPr>
      </w:pPr>
    </w:p>
    <w:p>
      <w:pPr>
        <w:jc w:val="right"/>
        <w:rPr>
          <w:rFonts w:ascii="宋体" w:hAnsi="宋体"/>
          <w:b/>
          <w:sz w:val="36"/>
          <w:szCs w:val="36"/>
          <w:bdr w:val="single" w:color="auto" w:sz="4" w:space="0"/>
          <w:shd w:val="pct10" w:color="auto" w:fill="FFFFFF"/>
        </w:rPr>
      </w:pPr>
      <w:r>
        <w:rPr>
          <w:rFonts w:hint="eastAsia" w:ascii="宋体" w:hAnsi="宋体"/>
          <w:sz w:val="24"/>
        </w:rPr>
        <w:t xml:space="preserve">                                                  </w:t>
      </w:r>
      <w:r>
        <w:rPr>
          <w:rFonts w:hint="eastAsia" w:ascii="宋体" w:hAnsi="宋体"/>
          <w:b/>
          <w:sz w:val="36"/>
          <w:szCs w:val="36"/>
          <w:bdr w:val="single" w:color="auto" w:sz="4" w:space="0"/>
          <w:shd w:val="pct10" w:color="auto" w:fill="FFFFFF"/>
        </w:rPr>
        <w:t>政府采购项目</w:t>
      </w:r>
    </w:p>
    <w:p>
      <w:pPr>
        <w:tabs>
          <w:tab w:val="left" w:pos="5340"/>
        </w:tabs>
        <w:spacing w:line="480" w:lineRule="exact"/>
        <w:ind w:firstLine="480" w:firstLineChars="200"/>
        <w:rPr>
          <w:rFonts w:ascii="宋体" w:hAnsi="宋体"/>
          <w:sz w:val="24"/>
        </w:rPr>
      </w:pPr>
    </w:p>
    <w:p>
      <w:pPr>
        <w:tabs>
          <w:tab w:val="left" w:pos="5340"/>
        </w:tabs>
        <w:spacing w:line="480" w:lineRule="exact"/>
        <w:ind w:firstLine="480" w:firstLineChars="200"/>
        <w:rPr>
          <w:rFonts w:ascii="宋体" w:hAnsi="宋体"/>
          <w:sz w:val="24"/>
        </w:rPr>
      </w:pPr>
    </w:p>
    <w:p>
      <w:pPr>
        <w:ind w:left="-899" w:leftChars="-428"/>
        <w:jc w:val="center"/>
        <w:rPr>
          <w:rFonts w:ascii="宋体" w:hAnsi="宋体" w:cs="宋体"/>
          <w:b/>
          <w:bCs/>
          <w:sz w:val="52"/>
          <w:szCs w:val="52"/>
        </w:rPr>
      </w:pPr>
      <w:r>
        <w:rPr>
          <w:rFonts w:hint="eastAsia" w:ascii="宋体" w:hAnsi="宋体" w:cs="宋体"/>
          <w:b/>
          <w:bCs/>
          <w:sz w:val="52"/>
          <w:szCs w:val="52"/>
        </w:rPr>
        <w:t xml:space="preserve"> </w:t>
      </w:r>
    </w:p>
    <w:p>
      <w:pPr>
        <w:jc w:val="center"/>
        <w:rPr>
          <w:rFonts w:ascii="宋体" w:hAnsi="宋体"/>
          <w:b/>
          <w:sz w:val="52"/>
          <w:szCs w:val="52"/>
          <w:u w:val="single"/>
        </w:rPr>
      </w:pPr>
      <w:r>
        <w:rPr>
          <w:rFonts w:hint="eastAsia" w:ascii="宋体" w:hAnsi="宋体"/>
          <w:b/>
          <w:sz w:val="52"/>
          <w:szCs w:val="52"/>
        </w:rPr>
        <w:t>杨凌职业技术学院</w:t>
      </w:r>
      <w:r>
        <w:rPr>
          <w:rFonts w:hint="eastAsia" w:ascii="宋体" w:hAnsi="宋体"/>
          <w:b/>
          <w:color w:val="FF0000"/>
          <w:sz w:val="52"/>
          <w:szCs w:val="52"/>
          <w:u w:val="single"/>
        </w:rPr>
        <w:t xml:space="preserve">           </w:t>
      </w:r>
      <w:r>
        <w:rPr>
          <w:rFonts w:hint="eastAsia" w:ascii="宋体" w:hAnsi="宋体"/>
          <w:b/>
          <w:sz w:val="52"/>
          <w:szCs w:val="52"/>
        </w:rPr>
        <w:t>项目</w:t>
      </w:r>
    </w:p>
    <w:p>
      <w:pPr>
        <w:ind w:left="-899" w:leftChars="-428"/>
        <w:jc w:val="center"/>
        <w:rPr>
          <w:rFonts w:ascii="宋体" w:hAnsi="宋体" w:cs="宋体"/>
          <w:b/>
          <w:bCs/>
          <w:sz w:val="52"/>
          <w:szCs w:val="52"/>
        </w:rPr>
      </w:pPr>
    </w:p>
    <w:p>
      <w:pPr>
        <w:tabs>
          <w:tab w:val="left" w:pos="7815"/>
        </w:tabs>
        <w:spacing w:line="1100" w:lineRule="exact"/>
        <w:jc w:val="left"/>
        <w:rPr>
          <w:rFonts w:ascii="宋体"/>
          <w:b/>
          <w:bCs/>
          <w:sz w:val="52"/>
          <w:szCs w:val="52"/>
        </w:rPr>
      </w:pPr>
      <w:r>
        <w:rPr>
          <w:rFonts w:ascii="宋体"/>
          <w:b/>
          <w:bCs/>
          <w:sz w:val="52"/>
          <w:szCs w:val="52"/>
        </w:rPr>
        <w:tab/>
      </w:r>
    </w:p>
    <w:p>
      <w:pPr>
        <w:pStyle w:val="14"/>
        <w:rPr>
          <w:rFonts w:ascii="宋体"/>
          <w:b/>
          <w:bCs/>
          <w:sz w:val="52"/>
          <w:szCs w:val="52"/>
        </w:rPr>
      </w:pPr>
    </w:p>
    <w:p>
      <w:pPr>
        <w:spacing w:line="360" w:lineRule="auto"/>
        <w:ind w:firstLine="2168" w:firstLineChars="300"/>
        <w:rPr>
          <w:rFonts w:ascii="宋体"/>
          <w:b/>
          <w:bCs/>
          <w:sz w:val="72"/>
          <w:szCs w:val="72"/>
        </w:rPr>
      </w:pPr>
      <w:r>
        <w:rPr>
          <w:rFonts w:hint="eastAsia" w:ascii="宋体" w:hAnsi="宋体" w:cs="宋体"/>
          <w:b/>
          <w:bCs/>
          <w:sz w:val="72"/>
          <w:szCs w:val="72"/>
        </w:rPr>
        <w:t>供</w:t>
      </w:r>
      <w:r>
        <w:rPr>
          <w:rFonts w:ascii="宋体" w:hAnsi="宋体" w:cs="宋体"/>
          <w:b/>
          <w:bCs/>
          <w:sz w:val="72"/>
          <w:szCs w:val="72"/>
        </w:rPr>
        <w:t xml:space="preserve"> </w:t>
      </w:r>
      <w:r>
        <w:rPr>
          <w:rFonts w:hint="eastAsia" w:ascii="宋体" w:hAnsi="宋体" w:cs="宋体"/>
          <w:b/>
          <w:bCs/>
          <w:sz w:val="72"/>
          <w:szCs w:val="72"/>
        </w:rPr>
        <w:t>货</w:t>
      </w:r>
      <w:r>
        <w:rPr>
          <w:rFonts w:ascii="宋体" w:hAnsi="宋体" w:cs="宋体"/>
          <w:b/>
          <w:bCs/>
          <w:sz w:val="72"/>
          <w:szCs w:val="72"/>
        </w:rPr>
        <w:t xml:space="preserve"> </w:t>
      </w:r>
      <w:r>
        <w:rPr>
          <w:rFonts w:hint="eastAsia" w:ascii="宋体" w:hAnsi="宋体" w:cs="宋体"/>
          <w:b/>
          <w:bCs/>
          <w:sz w:val="72"/>
          <w:szCs w:val="72"/>
        </w:rPr>
        <w:t>合</w:t>
      </w:r>
      <w:r>
        <w:rPr>
          <w:rFonts w:ascii="宋体" w:hAnsi="宋体" w:cs="宋体"/>
          <w:b/>
          <w:bCs/>
          <w:sz w:val="72"/>
          <w:szCs w:val="72"/>
        </w:rPr>
        <w:t xml:space="preserve"> </w:t>
      </w:r>
      <w:r>
        <w:rPr>
          <w:rFonts w:hint="eastAsia" w:ascii="宋体" w:hAnsi="宋体" w:cs="宋体"/>
          <w:b/>
          <w:bCs/>
          <w:sz w:val="72"/>
          <w:szCs w:val="72"/>
        </w:rPr>
        <w:t>同</w:t>
      </w:r>
    </w:p>
    <w:p>
      <w:pPr>
        <w:spacing w:line="360" w:lineRule="auto"/>
        <w:ind w:firstLine="1928" w:firstLineChars="600"/>
        <w:rPr>
          <w:rFonts w:ascii="宋体"/>
          <w:b/>
          <w:bCs/>
          <w:sz w:val="32"/>
          <w:szCs w:val="32"/>
          <w:u w:val="single"/>
        </w:rPr>
      </w:pPr>
      <w:r>
        <w:rPr>
          <w:rFonts w:ascii="宋体" w:hAnsi="宋体" w:cs="宋体"/>
          <w:b/>
          <w:bCs/>
          <w:sz w:val="32"/>
          <w:szCs w:val="32"/>
        </w:rPr>
        <w:t xml:space="preserve"> </w:t>
      </w:r>
      <w:r>
        <w:rPr>
          <w:rFonts w:hint="eastAsia" w:ascii="宋体" w:hAnsi="宋体" w:cs="宋体"/>
          <w:b/>
          <w:bCs/>
          <w:sz w:val="32"/>
          <w:szCs w:val="32"/>
        </w:rPr>
        <w:t xml:space="preserve"> 合同编号：</w:t>
      </w:r>
      <w:r>
        <w:rPr>
          <w:rFonts w:hint="eastAsia" w:eastAsia="仿宋_GB2312"/>
          <w:color w:val="FF0000"/>
          <w:sz w:val="28"/>
          <w:szCs w:val="28"/>
          <w:u w:val="single"/>
        </w:rPr>
        <w:t xml:space="preserve">  （即项目编号） </w:t>
      </w:r>
    </w:p>
    <w:p>
      <w:pPr>
        <w:spacing w:line="360" w:lineRule="auto"/>
        <w:ind w:firstLine="1767" w:firstLineChars="550"/>
        <w:rPr>
          <w:rFonts w:ascii="宋体"/>
          <w:b/>
          <w:bCs/>
          <w:sz w:val="32"/>
          <w:szCs w:val="32"/>
        </w:rPr>
      </w:pPr>
    </w:p>
    <w:p>
      <w:pPr>
        <w:spacing w:line="360" w:lineRule="auto"/>
        <w:ind w:firstLine="1928" w:firstLineChars="600"/>
        <w:rPr>
          <w:rFonts w:ascii="宋体"/>
          <w:b/>
          <w:bCs/>
          <w:sz w:val="32"/>
          <w:szCs w:val="32"/>
        </w:rPr>
      </w:pPr>
    </w:p>
    <w:p>
      <w:pPr>
        <w:pStyle w:val="14"/>
        <w:rPr>
          <w:rFonts w:ascii="宋体"/>
          <w:b/>
          <w:bCs/>
          <w:sz w:val="32"/>
          <w:szCs w:val="32"/>
        </w:rPr>
      </w:pPr>
    </w:p>
    <w:p>
      <w:pPr>
        <w:spacing w:line="360" w:lineRule="auto"/>
        <w:ind w:firstLine="2249" w:firstLineChars="700"/>
        <w:rPr>
          <w:rFonts w:ascii="宋体" w:hAnsi="宋体" w:cs="宋体"/>
          <w:b/>
          <w:bCs/>
          <w:sz w:val="32"/>
          <w:szCs w:val="32"/>
        </w:rPr>
      </w:pPr>
      <w:r>
        <w:rPr>
          <w:rFonts w:hint="eastAsia" w:ascii="宋体" w:hAnsi="宋体" w:cs="宋体"/>
          <w:b/>
          <w:bCs/>
          <w:sz w:val="32"/>
          <w:szCs w:val="32"/>
        </w:rPr>
        <w:t>买   方：杨凌职业技术学院</w:t>
      </w:r>
    </w:p>
    <w:p>
      <w:pPr>
        <w:spacing w:line="360" w:lineRule="auto"/>
        <w:ind w:firstLine="2249" w:firstLineChars="700"/>
        <w:rPr>
          <w:rFonts w:ascii="宋体" w:hAnsi="宋体" w:cs="宋体"/>
          <w:b/>
          <w:bCs/>
          <w:color w:val="FF0000"/>
          <w:sz w:val="32"/>
          <w:szCs w:val="32"/>
          <w:u w:val="single"/>
        </w:rPr>
      </w:pPr>
      <w:r>
        <w:rPr>
          <w:rFonts w:hint="eastAsia" w:ascii="宋体" w:hAnsi="宋体" w:cs="宋体"/>
          <w:b/>
          <w:bCs/>
          <w:sz w:val="32"/>
          <w:szCs w:val="32"/>
        </w:rPr>
        <w:t>卖   方：</w:t>
      </w:r>
      <w:r>
        <w:rPr>
          <w:rFonts w:hint="eastAsia" w:ascii="宋体" w:hAnsi="宋体" w:cs="宋体"/>
          <w:b/>
          <w:bCs/>
          <w:color w:val="FF0000"/>
          <w:sz w:val="32"/>
          <w:szCs w:val="32"/>
          <w:u w:val="single"/>
        </w:rPr>
        <w:t xml:space="preserve">                </w:t>
      </w:r>
    </w:p>
    <w:p>
      <w:pPr>
        <w:pStyle w:val="14"/>
      </w:pPr>
      <w:r>
        <w:rPr>
          <w:rFonts w:hint="eastAsia"/>
        </w:rPr>
        <w:t xml:space="preserve">                      </w:t>
      </w:r>
      <w:r>
        <w:rPr>
          <w:rFonts w:hint="eastAsia" w:ascii="宋体" w:hAnsi="宋体" w:cs="宋体"/>
          <w:b/>
          <w:bCs/>
          <w:sz w:val="32"/>
          <w:szCs w:val="32"/>
        </w:rPr>
        <w:t>鉴证方：</w:t>
      </w:r>
      <w:r>
        <w:rPr>
          <w:rFonts w:hint="eastAsia" w:ascii="宋体" w:hAnsi="宋体" w:cs="宋体"/>
          <w:b/>
          <w:bCs/>
          <w:color w:val="FF0000"/>
          <w:sz w:val="32"/>
          <w:szCs w:val="32"/>
          <w:u w:val="single"/>
        </w:rPr>
        <w:t xml:space="preserve">                 </w:t>
      </w:r>
    </w:p>
    <w:p>
      <w:pPr>
        <w:pStyle w:val="14"/>
      </w:pPr>
    </w:p>
    <w:p>
      <w:pPr>
        <w:tabs>
          <w:tab w:val="left" w:pos="5340"/>
        </w:tabs>
        <w:spacing w:line="480" w:lineRule="exact"/>
        <w:ind w:firstLine="2891" w:firstLineChars="800"/>
        <w:rPr>
          <w:rFonts w:ascii="宋体" w:hAnsi="宋体"/>
          <w:b/>
          <w:bCs/>
          <w:sz w:val="36"/>
          <w:szCs w:val="36"/>
        </w:rPr>
      </w:pPr>
      <w:r>
        <w:rPr>
          <w:rFonts w:hint="eastAsia" w:ascii="宋体" w:hAnsi="宋体"/>
          <w:b/>
          <w:bCs/>
          <w:color w:val="FF0000"/>
          <w:sz w:val="36"/>
          <w:szCs w:val="36"/>
          <w:u w:val="single"/>
        </w:rPr>
        <w:t xml:space="preserve">   </w:t>
      </w:r>
      <w:r>
        <w:rPr>
          <w:rFonts w:hint="eastAsia" w:ascii="宋体" w:hAnsi="宋体"/>
          <w:b/>
          <w:bCs/>
          <w:sz w:val="36"/>
          <w:szCs w:val="36"/>
        </w:rPr>
        <w:t>年</w:t>
      </w:r>
      <w:r>
        <w:rPr>
          <w:rFonts w:hint="eastAsia" w:ascii="宋体" w:hAnsi="宋体"/>
          <w:b/>
          <w:bCs/>
          <w:color w:val="FF0000"/>
          <w:sz w:val="36"/>
          <w:szCs w:val="36"/>
          <w:u w:val="single"/>
        </w:rPr>
        <w:t xml:space="preserve">   </w:t>
      </w:r>
      <w:r>
        <w:rPr>
          <w:rFonts w:hint="eastAsia" w:ascii="宋体" w:hAnsi="宋体"/>
          <w:b/>
          <w:bCs/>
          <w:sz w:val="36"/>
          <w:szCs w:val="36"/>
        </w:rPr>
        <w:t>月</w:t>
      </w:r>
      <w:r>
        <w:rPr>
          <w:rFonts w:hint="eastAsia" w:ascii="宋体" w:hAnsi="宋体"/>
          <w:b/>
          <w:bCs/>
          <w:color w:val="FF0000"/>
          <w:sz w:val="36"/>
          <w:szCs w:val="36"/>
          <w:u w:val="single"/>
        </w:rPr>
        <w:t xml:space="preserve">   </w:t>
      </w:r>
      <w:r>
        <w:rPr>
          <w:rFonts w:hint="eastAsia" w:ascii="宋体" w:hAnsi="宋体"/>
          <w:b/>
          <w:bCs/>
          <w:sz w:val="36"/>
          <w:szCs w:val="36"/>
        </w:rPr>
        <w:t>日</w:t>
      </w:r>
    </w:p>
    <w:p>
      <w:pPr>
        <w:tabs>
          <w:tab w:val="left" w:pos="5340"/>
        </w:tabs>
        <w:spacing w:line="480" w:lineRule="exact"/>
        <w:jc w:val="center"/>
        <w:rPr>
          <w:rFonts w:ascii="宋体" w:hAnsi="宋体"/>
          <w:sz w:val="24"/>
        </w:rPr>
      </w:pPr>
      <w:r>
        <w:rPr>
          <w:rFonts w:hint="eastAsia" w:ascii="宋体" w:hAnsi="宋体"/>
          <w:b/>
          <w:bCs/>
          <w:sz w:val="36"/>
          <w:szCs w:val="36"/>
        </w:rPr>
        <w:t>供 货 合 同</w:t>
      </w:r>
    </w:p>
    <w:p>
      <w:pPr>
        <w:pStyle w:val="25"/>
        <w:shd w:val="clear" w:color="auto" w:fill="FCFCFC"/>
        <w:spacing w:beforeAutospacing="0" w:afterAutospacing="0" w:line="460" w:lineRule="exact"/>
        <w:ind w:firstLine="480" w:firstLineChars="200"/>
        <w:jc w:val="both"/>
        <w:rPr>
          <w:rFonts w:eastAsia="宋体" w:cs="宋体"/>
          <w:kern w:val="0"/>
        </w:rPr>
      </w:pPr>
      <w:r>
        <w:rPr>
          <w:rFonts w:hint="eastAsia" w:eastAsia="宋体" w:cs="宋体"/>
          <w:u w:val="single"/>
          <w:lang w:eastAsia="zh-CN"/>
        </w:rPr>
        <w:t>杨凌职业技术学院</w:t>
      </w:r>
      <w:r>
        <w:rPr>
          <w:rFonts w:hint="eastAsia" w:cs="宋体"/>
          <w:u w:val="single"/>
          <w:lang w:eastAsia="zh-CN"/>
        </w:rPr>
        <w:t>经济与贸易学院</w:t>
      </w:r>
      <w:r>
        <w:rPr>
          <w:rFonts w:hint="eastAsia" w:eastAsia="宋体" w:cs="宋体"/>
          <w:u w:val="single"/>
          <w:lang w:eastAsia="zh-CN"/>
        </w:rPr>
        <w:t>实验室建设项目</w:t>
      </w:r>
      <w:r>
        <w:rPr>
          <w:rFonts w:hint="eastAsia" w:eastAsia="宋体" w:cs="宋体"/>
        </w:rPr>
        <w:t>(项目编号：</w:t>
      </w:r>
      <w:r>
        <w:rPr>
          <w:rFonts w:hint="eastAsia" w:cs="宋体"/>
          <w:u w:val="single"/>
          <w:lang w:eastAsia="zh-CN"/>
        </w:rPr>
        <w:t>ZMZB2022YLZY-61</w:t>
      </w:r>
      <w:r>
        <w:rPr>
          <w:rFonts w:hint="eastAsia" w:eastAsia="宋体" w:cs="宋体"/>
        </w:rPr>
        <w:t>)，在陕西省财政厅政府采购管理处的监督管理</w:t>
      </w:r>
      <w:r>
        <w:rPr>
          <w:rFonts w:hint="eastAsia" w:eastAsia="宋体" w:cs="宋体"/>
          <w:kern w:val="0"/>
        </w:rPr>
        <w:t>下，由</w:t>
      </w:r>
      <w:r>
        <w:rPr>
          <w:rFonts w:hint="eastAsia" w:eastAsia="宋体" w:cs="宋体"/>
          <w:color w:val="auto"/>
          <w:kern w:val="0"/>
          <w:u w:val="single"/>
        </w:rPr>
        <w:t xml:space="preserve"> </w:t>
      </w:r>
      <w:r>
        <w:rPr>
          <w:rFonts w:hint="eastAsia" w:cs="宋体"/>
          <w:color w:val="auto"/>
          <w:kern w:val="0"/>
          <w:u w:val="single"/>
          <w:lang w:eastAsia="zh-CN"/>
        </w:rPr>
        <w:t>陕西卓佲项目管理有限公司</w:t>
      </w:r>
      <w:r>
        <w:rPr>
          <w:rFonts w:hint="eastAsia" w:eastAsia="宋体" w:cs="宋体"/>
          <w:kern w:val="0"/>
        </w:rPr>
        <w:t>公司组织</w:t>
      </w:r>
      <w:r>
        <w:rPr>
          <w:rFonts w:hint="eastAsia" w:cs="宋体"/>
          <w:color w:val="auto"/>
          <w:kern w:val="0"/>
          <w:u w:val="single"/>
          <w:lang w:eastAsia="zh-CN"/>
        </w:rPr>
        <w:t>公开招标</w:t>
      </w:r>
      <w:r>
        <w:rPr>
          <w:rFonts w:hint="eastAsia" w:eastAsia="宋体" w:cs="宋体"/>
          <w:kern w:val="0"/>
        </w:rPr>
        <w:t>。</w:t>
      </w:r>
      <w:r>
        <w:rPr>
          <w:rFonts w:hint="eastAsia" w:eastAsia="宋体" w:cs="宋体"/>
          <w:color w:val="000000"/>
        </w:rPr>
        <w:t>杨凌职业技术学院</w:t>
      </w:r>
      <w:r>
        <w:rPr>
          <w:rFonts w:hint="eastAsia" w:eastAsia="宋体" w:cs="宋体"/>
          <w:kern w:val="0"/>
        </w:rPr>
        <w:t>(以下简称“买方”)确定</w:t>
      </w:r>
      <w:r>
        <w:rPr>
          <w:rFonts w:hint="eastAsia" w:eastAsia="宋体" w:cs="宋体"/>
          <w:color w:val="FF0000"/>
          <w:kern w:val="0"/>
          <w:u w:val="single"/>
        </w:rPr>
        <w:t xml:space="preserve">    中标单位     </w:t>
      </w:r>
      <w:r>
        <w:rPr>
          <w:rFonts w:hint="eastAsia" w:eastAsia="宋体" w:cs="宋体"/>
          <w:kern w:val="0"/>
        </w:rPr>
        <w:t xml:space="preserve"> （以下简称“卖方”）为中标单位。</w:t>
      </w:r>
    </w:p>
    <w:p>
      <w:pPr>
        <w:spacing w:line="480" w:lineRule="exact"/>
        <w:ind w:right="210" w:rightChars="100" w:firstLine="480" w:firstLineChars="200"/>
        <w:jc w:val="left"/>
        <w:rPr>
          <w:rFonts w:ascii="宋体" w:hAnsi="宋体" w:eastAsia="宋体" w:cs="宋体"/>
          <w:kern w:val="0"/>
          <w:sz w:val="24"/>
        </w:rPr>
      </w:pPr>
      <w:r>
        <w:rPr>
          <w:rFonts w:hint="eastAsia" w:ascii="宋体" w:hAnsi="宋体" w:eastAsia="宋体" w:cs="宋体"/>
          <w:kern w:val="0"/>
          <w:sz w:val="24"/>
        </w:rPr>
        <w:t>依据《中华人民共和国</w:t>
      </w:r>
      <w:r>
        <w:rPr>
          <w:rFonts w:hint="eastAsia" w:ascii="宋体" w:hAnsi="宋体" w:eastAsia="宋体" w:cs="宋体"/>
          <w:kern w:val="0"/>
          <w:sz w:val="24"/>
          <w:lang w:eastAsia="zh-CN"/>
        </w:rPr>
        <w:t>民法典</w:t>
      </w:r>
      <w:r>
        <w:rPr>
          <w:rFonts w:hint="eastAsia" w:ascii="宋体" w:hAnsi="宋体" w:eastAsia="宋体" w:cs="宋体"/>
          <w:kern w:val="0"/>
          <w:sz w:val="24"/>
        </w:rPr>
        <w:t>》、《中华人民共和国政府采购法》《中华人民共和国政府采购法实施条例》，买方通过</w:t>
      </w:r>
      <w:r>
        <w:rPr>
          <w:rFonts w:hint="eastAsia" w:ascii="宋体" w:hAnsi="宋体" w:eastAsia="宋体" w:cs="宋体"/>
          <w:color w:val="FF0000"/>
          <w:kern w:val="0"/>
          <w:sz w:val="24"/>
          <w:u w:val="single"/>
        </w:rPr>
        <w:t xml:space="preserve">          招标形式           </w:t>
      </w:r>
      <w:r>
        <w:rPr>
          <w:rFonts w:hint="eastAsia" w:ascii="宋体" w:hAnsi="宋体" w:eastAsia="宋体" w:cs="宋体"/>
          <w:kern w:val="0"/>
          <w:sz w:val="24"/>
          <w:u w:val="single"/>
        </w:rPr>
        <w:t xml:space="preserve">    </w:t>
      </w:r>
      <w:r>
        <w:rPr>
          <w:rFonts w:hint="eastAsia" w:ascii="宋体" w:hAnsi="宋体" w:eastAsia="宋体" w:cs="宋体"/>
          <w:kern w:val="0"/>
          <w:sz w:val="24"/>
        </w:rPr>
        <w:t>采购</w:t>
      </w:r>
      <w:r>
        <w:rPr>
          <w:rFonts w:hint="eastAsia" w:ascii="宋体" w:hAnsi="宋体" w:eastAsia="宋体" w:cs="宋体"/>
          <w:kern w:val="0"/>
          <w:sz w:val="24"/>
          <w:u w:val="single"/>
        </w:rPr>
        <w:t xml:space="preserve"> </w:t>
      </w:r>
      <w:r>
        <w:rPr>
          <w:rFonts w:hint="eastAsia" w:ascii="宋体" w:hAnsi="宋体" w:eastAsia="宋体" w:cs="宋体"/>
          <w:color w:val="FF0000"/>
          <w:kern w:val="0"/>
          <w:sz w:val="24"/>
          <w:u w:val="single"/>
        </w:rPr>
        <w:t xml:space="preserve">            项目名称                                   </w:t>
      </w:r>
      <w:r>
        <w:rPr>
          <w:rFonts w:hint="eastAsia" w:ascii="宋体" w:hAnsi="宋体" w:eastAsia="宋体" w:cs="宋体"/>
          <w:kern w:val="0"/>
          <w:sz w:val="24"/>
        </w:rPr>
        <w:t>，并接受了卖方以价格</w:t>
      </w:r>
      <w:r>
        <w:rPr>
          <w:rFonts w:hint="eastAsia" w:ascii="宋体" w:hAnsi="宋体" w:eastAsia="宋体" w:cs="宋体"/>
          <w:kern w:val="0"/>
          <w:sz w:val="24"/>
          <w:u w:val="single"/>
        </w:rPr>
        <w:t xml:space="preserve"> </w:t>
      </w:r>
      <w:r>
        <w:rPr>
          <w:rFonts w:hint="eastAsia" w:ascii="宋体" w:hAnsi="宋体" w:eastAsia="宋体" w:cs="宋体"/>
          <w:color w:val="FF0000"/>
          <w:kern w:val="0"/>
          <w:sz w:val="24"/>
        </w:rPr>
        <w:t>小写：</w:t>
      </w:r>
      <w:r>
        <w:rPr>
          <w:rFonts w:hint="eastAsia" w:ascii="宋体" w:hAnsi="宋体" w:eastAsia="宋体" w:cs="宋体"/>
          <w:color w:val="FF0000"/>
          <w:kern w:val="0"/>
          <w:sz w:val="24"/>
          <w:u w:val="single"/>
        </w:rPr>
        <w:t xml:space="preserve">                   </w:t>
      </w:r>
      <w:r>
        <w:rPr>
          <w:rFonts w:hint="eastAsia" w:ascii="宋体" w:hAnsi="宋体" w:eastAsia="宋体" w:cs="宋体"/>
          <w:kern w:val="0"/>
          <w:sz w:val="24"/>
        </w:rPr>
        <w:t>（大写：</w:t>
      </w:r>
      <w:r>
        <w:rPr>
          <w:rFonts w:hint="eastAsia" w:ascii="宋体" w:hAnsi="宋体" w:eastAsia="宋体" w:cs="宋体"/>
          <w:color w:val="FF0000"/>
          <w:kern w:val="0"/>
          <w:sz w:val="24"/>
          <w:u w:val="single"/>
        </w:rPr>
        <w:t xml:space="preserve">            </w:t>
      </w:r>
      <w:r>
        <w:rPr>
          <w:rFonts w:hint="eastAsia" w:ascii="宋体" w:hAnsi="宋体" w:eastAsia="宋体" w:cs="宋体"/>
          <w:kern w:val="0"/>
          <w:sz w:val="24"/>
        </w:rPr>
        <w:t>）(以下简称“合同价”)提供的产品及服务。</w:t>
      </w:r>
    </w:p>
    <w:p>
      <w:pPr>
        <w:spacing w:line="480" w:lineRule="exact"/>
        <w:ind w:firstLine="480" w:firstLineChars="200"/>
        <w:rPr>
          <w:rFonts w:ascii="宋体" w:hAnsi="宋体" w:eastAsia="宋体" w:cs="宋体"/>
          <w:sz w:val="24"/>
        </w:rPr>
      </w:pPr>
      <w:bookmarkStart w:id="183" w:name="_Toc188808831"/>
      <w:bookmarkStart w:id="184" w:name="_Toc193126879"/>
      <w:bookmarkStart w:id="185" w:name="_Toc194663916"/>
      <w:bookmarkStart w:id="186" w:name="_Toc193187095"/>
      <w:r>
        <w:rPr>
          <w:rFonts w:hint="eastAsia" w:ascii="宋体" w:hAnsi="宋体" w:eastAsia="宋体" w:cs="宋体"/>
          <w:sz w:val="24"/>
        </w:rPr>
        <w:t>本合同在此声明如下：</w:t>
      </w:r>
    </w:p>
    <w:p>
      <w:pPr>
        <w:spacing w:line="480" w:lineRule="exact"/>
        <w:ind w:firstLine="480" w:firstLineChars="200"/>
        <w:rPr>
          <w:rFonts w:ascii="宋体" w:hAnsi="宋体" w:eastAsia="宋体" w:cs="宋体"/>
          <w:sz w:val="24"/>
        </w:rPr>
      </w:pPr>
      <w:r>
        <w:rPr>
          <w:rFonts w:hint="eastAsia" w:ascii="宋体" w:hAnsi="宋体" w:eastAsia="宋体" w:cs="宋体"/>
          <w:sz w:val="24"/>
        </w:rPr>
        <w:t>1、本合同中的词语和术语的含义与合同条款中定义的相同。</w:t>
      </w:r>
    </w:p>
    <w:p>
      <w:pPr>
        <w:spacing w:line="480" w:lineRule="exact"/>
        <w:ind w:firstLine="480" w:firstLineChars="200"/>
        <w:rPr>
          <w:rFonts w:ascii="宋体" w:hAnsi="宋体" w:eastAsia="宋体" w:cs="宋体"/>
          <w:sz w:val="24"/>
        </w:rPr>
      </w:pPr>
      <w:r>
        <w:rPr>
          <w:rFonts w:hint="eastAsia" w:ascii="宋体" w:hAnsi="宋体" w:eastAsia="宋体" w:cs="宋体"/>
          <w:sz w:val="24"/>
        </w:rPr>
        <w:t>2、下述文件是本合同的一部分，并与本合同一起阅读和解释：</w:t>
      </w:r>
    </w:p>
    <w:p>
      <w:pPr>
        <w:spacing w:line="480" w:lineRule="exact"/>
        <w:ind w:firstLine="480" w:firstLineChars="200"/>
        <w:rPr>
          <w:rFonts w:ascii="宋体" w:hAnsi="宋体" w:eastAsia="宋体" w:cs="宋体"/>
          <w:sz w:val="24"/>
        </w:rPr>
      </w:pPr>
      <w:r>
        <w:rPr>
          <w:rFonts w:hint="eastAsia" w:ascii="宋体" w:hAnsi="宋体" w:eastAsia="宋体" w:cs="宋体"/>
          <w:sz w:val="24"/>
        </w:rPr>
        <w:t>1）合同条款</w:t>
      </w:r>
    </w:p>
    <w:p>
      <w:pPr>
        <w:spacing w:line="480" w:lineRule="exact"/>
        <w:ind w:firstLine="480" w:firstLineChars="200"/>
        <w:rPr>
          <w:rFonts w:ascii="宋体" w:hAnsi="宋体" w:eastAsia="宋体" w:cs="宋体"/>
          <w:sz w:val="24"/>
        </w:rPr>
      </w:pPr>
      <w:r>
        <w:rPr>
          <w:rFonts w:hint="eastAsia" w:ascii="宋体" w:hAnsi="宋体" w:eastAsia="宋体" w:cs="宋体"/>
          <w:sz w:val="24"/>
        </w:rPr>
        <w:t>2）合同条款附件</w:t>
      </w:r>
    </w:p>
    <w:p>
      <w:pPr>
        <w:spacing w:line="480" w:lineRule="exact"/>
        <w:ind w:firstLine="840" w:firstLineChars="350"/>
        <w:rPr>
          <w:rFonts w:ascii="宋体" w:hAnsi="宋体" w:eastAsia="宋体" w:cs="宋体"/>
          <w:sz w:val="24"/>
        </w:rPr>
      </w:pPr>
      <w:r>
        <w:rPr>
          <w:rFonts w:hint="eastAsia" w:ascii="宋体" w:hAnsi="宋体" w:eastAsia="宋体" w:cs="宋体"/>
          <w:sz w:val="24"/>
        </w:rPr>
        <w:t>附件1—设备清单</w:t>
      </w:r>
    </w:p>
    <w:p>
      <w:pPr>
        <w:spacing w:line="480" w:lineRule="exact"/>
        <w:ind w:firstLine="735" w:firstLineChars="350"/>
        <w:rPr>
          <w:rFonts w:ascii="宋体" w:hAnsi="宋体" w:eastAsia="宋体" w:cs="宋体"/>
          <w:sz w:val="24"/>
        </w:rPr>
      </w:pPr>
      <w:r>
        <w:rPr>
          <w:rFonts w:hint="eastAsia"/>
        </w:rPr>
        <w:t xml:space="preserve"> </w:t>
      </w:r>
      <w:r>
        <w:rPr>
          <w:rFonts w:hint="eastAsia" w:ascii="宋体" w:hAnsi="宋体" w:eastAsia="宋体" w:cs="宋体"/>
          <w:sz w:val="24"/>
        </w:rPr>
        <w:t>附件2—设备技术规格与要求</w:t>
      </w:r>
      <w:r>
        <w:rPr>
          <w:rFonts w:hint="eastAsia" w:ascii="宋体" w:hAnsi="宋体" w:eastAsia="宋体" w:cs="宋体"/>
          <w:color w:val="FF0000"/>
          <w:sz w:val="24"/>
        </w:rPr>
        <w:t>（多品目需附）</w:t>
      </w:r>
    </w:p>
    <w:p>
      <w:pPr>
        <w:spacing w:line="480" w:lineRule="exact"/>
        <w:ind w:firstLine="840" w:firstLineChars="350"/>
        <w:rPr>
          <w:rFonts w:ascii="宋体" w:hAnsi="宋体" w:eastAsia="宋体" w:cs="宋体"/>
          <w:sz w:val="24"/>
        </w:rPr>
      </w:pPr>
      <w:r>
        <w:rPr>
          <w:rFonts w:hint="eastAsia" w:ascii="宋体" w:hAnsi="宋体" w:eastAsia="宋体" w:cs="宋体"/>
          <w:sz w:val="24"/>
        </w:rPr>
        <w:t>附件3—质量保证承诺</w:t>
      </w:r>
    </w:p>
    <w:p>
      <w:pPr>
        <w:spacing w:line="480" w:lineRule="exact"/>
        <w:ind w:firstLine="840" w:firstLineChars="350"/>
        <w:rPr>
          <w:rFonts w:ascii="宋体" w:hAnsi="宋体" w:eastAsia="宋体" w:cs="宋体"/>
          <w:sz w:val="24"/>
        </w:rPr>
      </w:pPr>
      <w:r>
        <w:rPr>
          <w:rFonts w:hint="eastAsia" w:ascii="宋体" w:hAnsi="宋体" w:eastAsia="宋体" w:cs="宋体"/>
          <w:sz w:val="24"/>
        </w:rPr>
        <w:t>附件4—售后服务方案</w:t>
      </w:r>
    </w:p>
    <w:p>
      <w:pPr>
        <w:spacing w:line="480" w:lineRule="exact"/>
        <w:ind w:firstLine="840" w:firstLineChars="350"/>
        <w:rPr>
          <w:rFonts w:ascii="宋体" w:hAnsi="宋体" w:eastAsia="宋体" w:cs="宋体"/>
          <w:sz w:val="24"/>
        </w:rPr>
      </w:pPr>
      <w:r>
        <w:rPr>
          <w:rFonts w:hint="eastAsia" w:ascii="宋体" w:hAnsi="宋体" w:eastAsia="宋体" w:cs="宋体"/>
          <w:sz w:val="24"/>
        </w:rPr>
        <w:t>附件5—培训计划</w:t>
      </w:r>
    </w:p>
    <w:p>
      <w:pPr>
        <w:spacing w:line="480" w:lineRule="exact"/>
        <w:ind w:firstLine="480" w:firstLineChars="200"/>
        <w:rPr>
          <w:rFonts w:ascii="宋体" w:hAnsi="宋体" w:eastAsia="宋体" w:cs="宋体"/>
          <w:sz w:val="24"/>
        </w:rPr>
      </w:pPr>
      <w:r>
        <w:rPr>
          <w:rFonts w:hint="eastAsia" w:ascii="宋体" w:hAnsi="宋体" w:eastAsia="宋体" w:cs="宋体"/>
          <w:sz w:val="24"/>
        </w:rPr>
        <w:t>3）中标通知书</w:t>
      </w:r>
    </w:p>
    <w:p>
      <w:pPr>
        <w:spacing w:line="480" w:lineRule="exact"/>
        <w:ind w:firstLine="480" w:firstLineChars="200"/>
        <w:rPr>
          <w:rFonts w:ascii="宋体" w:hAnsi="宋体" w:eastAsia="宋体" w:cs="宋体"/>
          <w:sz w:val="24"/>
        </w:rPr>
      </w:pPr>
      <w:r>
        <w:rPr>
          <w:rFonts w:hint="eastAsia" w:ascii="宋体" w:hAnsi="宋体" w:eastAsia="宋体" w:cs="宋体"/>
          <w:sz w:val="24"/>
        </w:rPr>
        <w:t>4）招标文件</w:t>
      </w:r>
    </w:p>
    <w:p>
      <w:pPr>
        <w:spacing w:line="480" w:lineRule="exact"/>
        <w:ind w:firstLine="480" w:firstLineChars="200"/>
        <w:rPr>
          <w:rFonts w:ascii="宋体" w:hAnsi="宋体" w:eastAsia="宋体" w:cs="宋体"/>
          <w:sz w:val="24"/>
        </w:rPr>
      </w:pPr>
      <w:r>
        <w:rPr>
          <w:rFonts w:hint="eastAsia" w:ascii="宋体" w:hAnsi="宋体" w:eastAsia="宋体" w:cs="宋体"/>
          <w:sz w:val="24"/>
        </w:rPr>
        <w:t>5）投标文件</w:t>
      </w:r>
    </w:p>
    <w:p>
      <w:pPr>
        <w:spacing w:line="480" w:lineRule="exact"/>
        <w:ind w:firstLine="480" w:firstLineChars="200"/>
        <w:rPr>
          <w:rFonts w:ascii="宋体" w:hAnsi="宋体" w:eastAsia="宋体" w:cs="宋体"/>
          <w:sz w:val="24"/>
        </w:rPr>
      </w:pPr>
      <w:r>
        <w:rPr>
          <w:rFonts w:hint="eastAsia" w:ascii="宋体" w:hAnsi="宋体" w:eastAsia="宋体" w:cs="宋体"/>
          <w:sz w:val="24"/>
        </w:rPr>
        <w:t>3、考虑到买方将按照本合同向卖方支付货款，卖方在此保证全部按照合同的规定向买方提供货物和服务，并修补缺陷。</w:t>
      </w:r>
    </w:p>
    <w:p>
      <w:pPr>
        <w:spacing w:line="480" w:lineRule="exact"/>
        <w:ind w:firstLine="480" w:firstLineChars="200"/>
        <w:rPr>
          <w:rFonts w:ascii="宋体" w:hAnsi="宋体" w:eastAsia="宋体" w:cs="宋体"/>
          <w:sz w:val="24"/>
        </w:rPr>
      </w:pPr>
      <w:r>
        <w:rPr>
          <w:rFonts w:hint="eastAsia" w:ascii="宋体" w:hAnsi="宋体" w:eastAsia="宋体" w:cs="宋体"/>
          <w:sz w:val="24"/>
        </w:rPr>
        <w:t>4、考虑到卖方提供的货物和服务并修补缺陷，买方在此保证按照合同规定的时间和方式向卖方支付合同价或其他按合同规定应支付的金额。</w:t>
      </w:r>
    </w:p>
    <w:p>
      <w:pPr>
        <w:spacing w:line="480" w:lineRule="exact"/>
        <w:ind w:firstLine="480" w:firstLineChars="200"/>
        <w:rPr>
          <w:rFonts w:ascii="宋体" w:hAnsi="宋体" w:eastAsia="宋体" w:cs="宋体"/>
          <w:sz w:val="24"/>
        </w:rPr>
      </w:pPr>
      <w:r>
        <w:rPr>
          <w:rFonts w:hint="eastAsia" w:ascii="宋体" w:hAnsi="宋体" w:eastAsia="宋体" w:cs="宋体"/>
          <w:sz w:val="24"/>
        </w:rPr>
        <w:t>5、付款方式：</w:t>
      </w:r>
    </w:p>
    <w:p>
      <w:pPr>
        <w:tabs>
          <w:tab w:val="left" w:pos="3918"/>
        </w:tabs>
        <w:adjustRightInd w:val="0"/>
        <w:snapToGrid w:val="0"/>
        <w:spacing w:line="450" w:lineRule="exact"/>
        <w:ind w:firstLine="480" w:firstLineChars="200"/>
        <w:rPr>
          <w:rFonts w:ascii="宋体" w:hAnsi="宋体" w:eastAsia="宋体" w:cs="宋体"/>
          <w:sz w:val="24"/>
        </w:rPr>
      </w:pPr>
      <w:r>
        <w:rPr>
          <w:rFonts w:hint="eastAsia" w:ascii="宋体" w:hAnsi="宋体" w:eastAsia="宋体" w:cs="宋体"/>
          <w:sz w:val="24"/>
        </w:rPr>
        <w:t xml:space="preserve">5-1、货物全部运到采购人指定地方，交货完毕并经终验合格后，卖方持《终验合格单》原件和增值税专用发票在买方处办理百分之五（5%）质保金交纳和百分之百（100%）货款的支付手续。  </w:t>
      </w:r>
    </w:p>
    <w:p>
      <w:pPr>
        <w:tabs>
          <w:tab w:val="left" w:pos="3918"/>
        </w:tabs>
        <w:adjustRightInd w:val="0"/>
        <w:snapToGrid w:val="0"/>
        <w:spacing w:line="450" w:lineRule="exact"/>
        <w:ind w:firstLine="480" w:firstLineChars="200"/>
        <w:rPr>
          <w:rFonts w:ascii="宋体" w:hAnsi="宋体" w:eastAsia="宋体" w:cs="宋体"/>
          <w:sz w:val="24"/>
        </w:rPr>
      </w:pPr>
      <w:r>
        <w:rPr>
          <w:rFonts w:hint="eastAsia" w:ascii="宋体" w:hAnsi="宋体" w:eastAsia="宋体" w:cs="宋体"/>
          <w:sz w:val="24"/>
        </w:rPr>
        <w:t xml:space="preserve"> 5-2、自终验结束之日起满一年后，在无索赔争议的情况下，在买方处办理百分之五（5%）质保金的退还手续。</w:t>
      </w:r>
    </w:p>
    <w:p>
      <w:pPr>
        <w:adjustRightInd w:val="0"/>
        <w:snapToGrid w:val="0"/>
        <w:spacing w:line="480" w:lineRule="exact"/>
        <w:ind w:firstLine="480" w:firstLineChars="200"/>
        <w:rPr>
          <w:rFonts w:ascii="宋体" w:hAnsi="宋体" w:eastAsia="宋体" w:cs="宋体"/>
          <w:sz w:val="24"/>
        </w:rPr>
      </w:pPr>
      <w:r>
        <w:rPr>
          <w:rFonts w:hint="eastAsia" w:ascii="宋体" w:hAnsi="宋体" w:eastAsia="宋体" w:cs="宋体"/>
          <w:sz w:val="24"/>
        </w:rPr>
        <w:t>6、交货期：自合同签订后</w:t>
      </w:r>
      <w:r>
        <w:rPr>
          <w:rFonts w:hint="eastAsia" w:ascii="宋体" w:hAnsi="宋体" w:eastAsia="宋体" w:cs="宋体"/>
          <w:color w:val="FF0000"/>
          <w:sz w:val="24"/>
          <w:u w:val="single"/>
        </w:rPr>
        <w:t xml:space="preserve">          </w:t>
      </w:r>
      <w:r>
        <w:rPr>
          <w:rFonts w:hint="eastAsia" w:ascii="宋体" w:hAnsi="宋体" w:eastAsia="宋体" w:cs="宋体"/>
          <w:sz w:val="24"/>
        </w:rPr>
        <w:t>个日历日。</w:t>
      </w:r>
    </w:p>
    <w:p>
      <w:pPr>
        <w:adjustRightInd w:val="0"/>
        <w:snapToGrid w:val="0"/>
        <w:spacing w:line="460" w:lineRule="exact"/>
        <w:ind w:firstLine="600" w:firstLineChars="250"/>
        <w:rPr>
          <w:rFonts w:ascii="宋体" w:hAnsi="宋体" w:eastAsia="宋体" w:cs="宋体"/>
          <w:sz w:val="24"/>
          <w:u w:val="single"/>
        </w:rPr>
      </w:pPr>
      <w:r>
        <w:rPr>
          <w:rFonts w:hint="eastAsia" w:ascii="宋体" w:hAnsi="宋体" w:eastAsia="宋体" w:cs="宋体"/>
          <w:sz w:val="24"/>
        </w:rPr>
        <w:t xml:space="preserve">  交货地点：杨凌职业技术学院指定地点。</w:t>
      </w:r>
    </w:p>
    <w:p>
      <w:pPr>
        <w:numPr>
          <w:ilvl w:val="0"/>
          <w:numId w:val="28"/>
        </w:numPr>
        <w:spacing w:line="480" w:lineRule="exact"/>
        <w:ind w:firstLine="480" w:firstLineChars="200"/>
        <w:rPr>
          <w:rFonts w:ascii="宋体" w:hAnsi="宋体" w:eastAsia="宋体" w:cs="宋体"/>
          <w:sz w:val="24"/>
        </w:rPr>
      </w:pPr>
      <w:r>
        <w:rPr>
          <w:rFonts w:hint="eastAsia" w:ascii="宋体" w:hAnsi="宋体" w:eastAsia="宋体" w:cs="宋体"/>
          <w:sz w:val="24"/>
        </w:rPr>
        <w:t>本合同一式</w:t>
      </w:r>
      <w:r>
        <w:rPr>
          <w:rFonts w:hint="eastAsia" w:ascii="宋体" w:hAnsi="宋体" w:cs="宋体"/>
          <w:sz w:val="24"/>
          <w:lang w:eastAsia="zh-CN"/>
        </w:rPr>
        <w:t>捌</w:t>
      </w:r>
      <w:r>
        <w:rPr>
          <w:rFonts w:hint="eastAsia" w:ascii="宋体" w:hAnsi="宋体" w:eastAsia="宋体" w:cs="宋体"/>
          <w:sz w:val="24"/>
        </w:rPr>
        <w:t>份，其中，买方</w:t>
      </w:r>
      <w:r>
        <w:rPr>
          <w:rFonts w:hint="eastAsia" w:ascii="宋体" w:hAnsi="宋体" w:cs="宋体"/>
          <w:sz w:val="24"/>
          <w:lang w:eastAsia="zh-CN"/>
        </w:rPr>
        <w:t>肆</w:t>
      </w:r>
      <w:r>
        <w:rPr>
          <w:rFonts w:hint="eastAsia" w:ascii="宋体" w:hAnsi="宋体" w:eastAsia="宋体" w:cs="宋体"/>
          <w:sz w:val="24"/>
        </w:rPr>
        <w:t>份，卖方贰份，陕西省财政厅政府采购管理处备案壹份，鉴证方归档壹份。</w:t>
      </w:r>
    </w:p>
    <w:p>
      <w:pPr>
        <w:numPr>
          <w:ilvl w:val="0"/>
          <w:numId w:val="28"/>
        </w:numPr>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本合同由买卖双方及使用方、鉴证方共同签字盖章，自最后一方签字盖章之日起生效。</w:t>
      </w:r>
    </w:p>
    <w:bookmarkEnd w:id="183"/>
    <w:bookmarkEnd w:id="184"/>
    <w:bookmarkEnd w:id="185"/>
    <w:bookmarkEnd w:id="186"/>
    <w:tbl>
      <w:tblPr>
        <w:tblStyle w:val="29"/>
        <w:tblpPr w:leftFromText="180" w:rightFromText="180" w:vertAnchor="text" w:horzAnchor="margin" w:tblpX="-518" w:tblpY="58"/>
        <w:tblOverlap w:val="never"/>
        <w:tblW w:w="9255" w:type="dxa"/>
        <w:tblInd w:w="0" w:type="dxa"/>
        <w:tblLayout w:type="fixed"/>
        <w:tblCellMar>
          <w:top w:w="0" w:type="dxa"/>
          <w:left w:w="108" w:type="dxa"/>
          <w:bottom w:w="0" w:type="dxa"/>
          <w:right w:w="108" w:type="dxa"/>
        </w:tblCellMar>
      </w:tblPr>
      <w:tblGrid>
        <w:gridCol w:w="4411"/>
        <w:gridCol w:w="4844"/>
      </w:tblGrid>
      <w:tr>
        <w:tblPrEx>
          <w:tblCellMar>
            <w:top w:w="0" w:type="dxa"/>
            <w:left w:w="108" w:type="dxa"/>
            <w:bottom w:w="0" w:type="dxa"/>
            <w:right w:w="108" w:type="dxa"/>
          </w:tblCellMar>
        </w:tblPrEx>
        <w:trPr>
          <w:trHeight w:val="1728" w:hRule="atLeast"/>
        </w:trPr>
        <w:tc>
          <w:tcPr>
            <w:tcW w:w="4411" w:type="dxa"/>
            <w:tcMar>
              <w:top w:w="113" w:type="dxa"/>
              <w:left w:w="113" w:type="dxa"/>
              <w:bottom w:w="113" w:type="dxa"/>
              <w:right w:w="113" w:type="dxa"/>
            </w:tcMar>
          </w:tcPr>
          <w:p>
            <w:pPr>
              <w:autoSpaceDE w:val="0"/>
              <w:autoSpaceDN w:val="0"/>
              <w:spacing w:line="360" w:lineRule="auto"/>
              <w:rPr>
                <w:rFonts w:ascii="仿宋" w:hAnsi="仿宋" w:cs="仿宋"/>
                <w:sz w:val="24"/>
              </w:rPr>
            </w:pPr>
            <w:r>
              <w:rPr>
                <w:rFonts w:hint="eastAsia" w:ascii="仿宋" w:hAnsi="仿宋" w:cs="仿宋"/>
                <w:sz w:val="24"/>
              </w:rPr>
              <w:t xml:space="preserve">买方名称：杨凌职业技术学院 </w:t>
            </w:r>
          </w:p>
          <w:p>
            <w:pPr>
              <w:autoSpaceDE w:val="0"/>
              <w:autoSpaceDN w:val="0"/>
              <w:spacing w:line="360" w:lineRule="auto"/>
              <w:rPr>
                <w:rFonts w:ascii="仿宋" w:hAnsi="仿宋" w:cs="仿宋"/>
                <w:sz w:val="24"/>
              </w:rPr>
            </w:pPr>
            <w:r>
              <w:rPr>
                <w:rFonts w:hint="eastAsia" w:ascii="仿宋" w:hAnsi="仿宋" w:cs="仿宋"/>
                <w:sz w:val="24"/>
              </w:rPr>
              <w:t>地    址：杨凌农业高新技术产业示范</w:t>
            </w:r>
          </w:p>
          <w:p>
            <w:pPr>
              <w:autoSpaceDE w:val="0"/>
              <w:autoSpaceDN w:val="0"/>
              <w:spacing w:line="360" w:lineRule="auto"/>
              <w:ind w:firstLine="1200" w:firstLineChars="500"/>
              <w:rPr>
                <w:rFonts w:ascii="仿宋" w:hAnsi="仿宋" w:cs="仿宋"/>
                <w:sz w:val="24"/>
              </w:rPr>
            </w:pPr>
            <w:r>
              <w:rPr>
                <w:rFonts w:hint="eastAsia" w:ascii="仿宋" w:hAnsi="仿宋" w:cs="仿宋"/>
                <w:sz w:val="24"/>
              </w:rPr>
              <w:t>区渭惠路24号</w:t>
            </w:r>
          </w:p>
          <w:p>
            <w:pPr>
              <w:autoSpaceDE w:val="0"/>
              <w:autoSpaceDN w:val="0"/>
              <w:spacing w:line="360" w:lineRule="auto"/>
              <w:rPr>
                <w:rFonts w:ascii="仿宋" w:hAnsi="仿宋" w:cs="仿宋"/>
                <w:sz w:val="24"/>
              </w:rPr>
            </w:pPr>
            <w:r>
              <w:rPr>
                <w:rFonts w:hint="eastAsia" w:ascii="仿宋" w:hAnsi="仿宋" w:cs="仿宋"/>
                <w:sz w:val="24"/>
              </w:rPr>
              <w:t>邮    编：712100</w:t>
            </w:r>
          </w:p>
          <w:p>
            <w:pPr>
              <w:autoSpaceDE w:val="0"/>
              <w:autoSpaceDN w:val="0"/>
              <w:spacing w:line="360" w:lineRule="auto"/>
              <w:rPr>
                <w:rFonts w:ascii="仿宋" w:hAnsi="仿宋" w:cs="仿宋"/>
                <w:sz w:val="24"/>
              </w:rPr>
            </w:pPr>
            <w:r>
              <w:rPr>
                <w:rFonts w:hint="eastAsia" w:ascii="仿宋" w:hAnsi="仿宋" w:cs="仿宋"/>
                <w:sz w:val="24"/>
              </w:rPr>
              <w:t>电    话：</w:t>
            </w:r>
          </w:p>
          <w:p>
            <w:pPr>
              <w:autoSpaceDE w:val="0"/>
              <w:autoSpaceDN w:val="0"/>
              <w:spacing w:line="360" w:lineRule="auto"/>
              <w:rPr>
                <w:rFonts w:ascii="仿宋" w:hAnsi="仿宋" w:cs="仿宋"/>
                <w:sz w:val="24"/>
              </w:rPr>
            </w:pPr>
            <w:r>
              <w:rPr>
                <w:rFonts w:hint="eastAsia" w:ascii="仿宋" w:hAnsi="仿宋" w:cs="仿宋"/>
                <w:sz w:val="24"/>
              </w:rPr>
              <w:t>传    真：</w:t>
            </w:r>
          </w:p>
          <w:p>
            <w:pPr>
              <w:autoSpaceDE w:val="0"/>
              <w:autoSpaceDN w:val="0"/>
              <w:spacing w:line="360" w:lineRule="auto"/>
              <w:rPr>
                <w:rFonts w:ascii="仿宋" w:hAnsi="仿宋" w:cs="仿宋"/>
                <w:sz w:val="24"/>
              </w:rPr>
            </w:pPr>
            <w:r>
              <w:rPr>
                <w:rFonts w:hint="eastAsia" w:ascii="仿宋" w:hAnsi="仿宋" w:cs="仿宋"/>
                <w:sz w:val="24"/>
              </w:rPr>
              <w:t>法定代表人</w:t>
            </w:r>
          </w:p>
          <w:p>
            <w:pPr>
              <w:autoSpaceDE w:val="0"/>
              <w:autoSpaceDN w:val="0"/>
              <w:spacing w:line="360" w:lineRule="auto"/>
              <w:rPr>
                <w:rFonts w:hint="eastAsia" w:ascii="仿宋" w:hAnsi="仿宋" w:cs="仿宋"/>
                <w:sz w:val="24"/>
              </w:rPr>
            </w:pPr>
            <w:r>
              <w:rPr>
                <w:rFonts w:hint="eastAsia" w:ascii="仿宋" w:hAnsi="仿宋" w:cs="仿宋"/>
                <w:sz w:val="24"/>
              </w:rPr>
              <w:t>或授权代表签字：</w:t>
            </w:r>
          </w:p>
          <w:p>
            <w:pPr>
              <w:autoSpaceDE w:val="0"/>
              <w:autoSpaceDN w:val="0"/>
              <w:spacing w:line="360" w:lineRule="auto"/>
              <w:rPr>
                <w:rFonts w:ascii="仿宋" w:hAnsi="仿宋" w:cs="仿宋"/>
                <w:sz w:val="24"/>
              </w:rPr>
            </w:pPr>
            <w:r>
              <w:rPr>
                <w:rFonts w:hint="eastAsia" w:ascii="仿宋" w:hAnsi="仿宋" w:cs="仿宋"/>
                <w:sz w:val="24"/>
              </w:rPr>
              <w:t>招投标处审核签字：</w:t>
            </w:r>
          </w:p>
          <w:p>
            <w:pPr>
              <w:autoSpaceDE w:val="0"/>
              <w:autoSpaceDN w:val="0"/>
              <w:spacing w:line="360" w:lineRule="auto"/>
              <w:rPr>
                <w:rFonts w:hint="eastAsia" w:ascii="仿宋" w:hAnsi="仿宋" w:cs="仿宋"/>
                <w:sz w:val="24"/>
              </w:rPr>
            </w:pPr>
          </w:p>
          <w:p>
            <w:pPr>
              <w:spacing w:line="360" w:lineRule="auto"/>
              <w:rPr>
                <w:rFonts w:ascii="仿宋" w:hAnsi="仿宋" w:cs="仿宋"/>
                <w:sz w:val="24"/>
              </w:rPr>
            </w:pPr>
            <w:r>
              <w:rPr>
                <w:rFonts w:hint="eastAsia" w:ascii="仿宋" w:hAnsi="仿宋" w:cs="仿宋"/>
                <w:sz w:val="24"/>
              </w:rPr>
              <w:t>盖章：</w:t>
            </w:r>
          </w:p>
          <w:p>
            <w:pPr>
              <w:autoSpaceDE w:val="0"/>
              <w:autoSpaceDN w:val="0"/>
              <w:spacing w:line="360" w:lineRule="auto"/>
              <w:rPr>
                <w:rFonts w:ascii="仿宋" w:hAnsi="仿宋" w:cs="仿宋"/>
                <w:sz w:val="24"/>
              </w:rPr>
            </w:pPr>
            <w:r>
              <w:rPr>
                <w:rFonts w:hint="eastAsia" w:ascii="仿宋" w:hAnsi="仿宋" w:cs="仿宋"/>
                <w:sz w:val="24"/>
              </w:rPr>
              <w:t xml:space="preserve">             年   月  日        </w:t>
            </w:r>
          </w:p>
          <w:p>
            <w:pPr>
              <w:autoSpaceDE w:val="0"/>
              <w:autoSpaceDN w:val="0"/>
              <w:spacing w:line="360" w:lineRule="auto"/>
              <w:rPr>
                <w:rFonts w:ascii="仿宋" w:hAnsi="仿宋" w:cs="仿宋"/>
                <w:sz w:val="24"/>
              </w:rPr>
            </w:pPr>
            <w:r>
              <w:rPr>
                <w:rFonts w:hint="eastAsia" w:ascii="仿宋" w:hAnsi="仿宋" w:cs="仿宋"/>
                <w:sz w:val="24"/>
              </w:rPr>
              <w:t xml:space="preserve">                    </w:t>
            </w:r>
          </w:p>
          <w:p>
            <w:pPr>
              <w:autoSpaceDE w:val="0"/>
              <w:autoSpaceDN w:val="0"/>
              <w:spacing w:line="360" w:lineRule="auto"/>
              <w:rPr>
                <w:rFonts w:ascii="仿宋" w:hAnsi="仿宋" w:cs="仿宋"/>
                <w:sz w:val="24"/>
                <w:lang w:val="zh-CN"/>
              </w:rPr>
            </w:pPr>
            <w:r>
              <w:rPr>
                <w:rFonts w:hint="eastAsia" w:ascii="仿宋" w:hAnsi="仿宋" w:cs="仿宋"/>
                <w:sz w:val="24"/>
              </w:rPr>
              <w:t>使用单位名称：</w:t>
            </w:r>
            <w:r>
              <w:rPr>
                <w:rFonts w:hint="eastAsia" w:ascii="仿宋" w:hAnsi="仿宋" w:cs="仿宋"/>
                <w:sz w:val="24"/>
                <w:u w:val="single"/>
              </w:rPr>
              <w:t xml:space="preserve">               </w:t>
            </w:r>
            <w:r>
              <w:rPr>
                <w:rFonts w:hint="eastAsia" w:ascii="仿宋" w:hAnsi="仿宋" w:cs="仿宋"/>
                <w:sz w:val="24"/>
              </w:rPr>
              <w:t xml:space="preserve">   </w:t>
            </w:r>
          </w:p>
          <w:p>
            <w:pPr>
              <w:autoSpaceDE w:val="0"/>
              <w:autoSpaceDN w:val="0"/>
              <w:spacing w:line="360" w:lineRule="auto"/>
              <w:rPr>
                <w:rFonts w:ascii="仿宋" w:hAnsi="仿宋" w:cs="仿宋"/>
                <w:sz w:val="24"/>
                <w:u w:val="single"/>
              </w:rPr>
            </w:pPr>
            <w:r>
              <w:rPr>
                <w:rFonts w:hint="eastAsia" w:ascii="仿宋" w:hAnsi="仿宋" w:cs="仿宋"/>
                <w:sz w:val="24"/>
              </w:rPr>
              <w:t>部门负责人签字：</w:t>
            </w:r>
            <w:r>
              <w:rPr>
                <w:rFonts w:hint="eastAsia" w:ascii="仿宋" w:hAnsi="仿宋" w:cs="仿宋"/>
                <w:sz w:val="24"/>
                <w:u w:val="single"/>
              </w:rPr>
              <w:t xml:space="preserve">               </w:t>
            </w:r>
            <w:r>
              <w:rPr>
                <w:rFonts w:hint="eastAsia" w:ascii="仿宋" w:hAnsi="仿宋" w:cs="仿宋"/>
                <w:sz w:val="24"/>
              </w:rPr>
              <w:t xml:space="preserve">   </w:t>
            </w:r>
          </w:p>
          <w:p>
            <w:pPr>
              <w:autoSpaceDE w:val="0"/>
              <w:autoSpaceDN w:val="0"/>
              <w:spacing w:line="360" w:lineRule="auto"/>
              <w:rPr>
                <w:rFonts w:ascii="仿宋" w:hAnsi="仿宋" w:cs="仿宋"/>
                <w:sz w:val="24"/>
              </w:rPr>
            </w:pPr>
          </w:p>
          <w:p>
            <w:pPr>
              <w:spacing w:line="360" w:lineRule="auto"/>
              <w:rPr>
                <w:rFonts w:ascii="仿宋" w:hAnsi="仿宋" w:cs="仿宋"/>
                <w:kern w:val="0"/>
                <w:sz w:val="24"/>
              </w:rPr>
            </w:pPr>
          </w:p>
          <w:p>
            <w:pPr>
              <w:spacing w:line="360" w:lineRule="auto"/>
              <w:jc w:val="left"/>
              <w:rPr>
                <w:rFonts w:ascii="仿宋" w:hAnsi="仿宋" w:cs="仿宋"/>
                <w:kern w:val="0"/>
                <w:sz w:val="24"/>
              </w:rPr>
            </w:pPr>
          </w:p>
          <w:p>
            <w:pPr>
              <w:spacing w:line="360" w:lineRule="auto"/>
              <w:ind w:left="2160" w:hanging="2160" w:hangingChars="900"/>
              <w:jc w:val="left"/>
              <w:rPr>
                <w:rFonts w:ascii="仿宋" w:hAnsi="仿宋" w:cs="仿宋"/>
                <w:sz w:val="24"/>
              </w:rPr>
            </w:pPr>
            <w:r>
              <w:rPr>
                <w:rFonts w:hint="eastAsia" w:ascii="仿宋" w:hAnsi="仿宋" w:cs="仿宋"/>
                <w:kern w:val="0"/>
                <w:sz w:val="24"/>
              </w:rPr>
              <w:t xml:space="preserve">盖章：（使用单位公章）                                     </w:t>
            </w:r>
            <w:r>
              <w:rPr>
                <w:rFonts w:hint="eastAsia" w:ascii="仿宋" w:hAnsi="仿宋" w:cs="仿宋"/>
                <w:sz w:val="24"/>
              </w:rPr>
              <w:t xml:space="preserve">年  月  日 </w:t>
            </w:r>
            <w:r>
              <w:rPr>
                <w:rFonts w:ascii="仿宋" w:hAnsi="仿宋" w:cs="仿宋"/>
                <w:sz w:val="24"/>
              </w:rPr>
              <w:t xml:space="preserve">    </w:t>
            </w:r>
          </w:p>
        </w:tc>
        <w:tc>
          <w:tcPr>
            <w:tcW w:w="4844" w:type="dxa"/>
            <w:tcMar>
              <w:top w:w="113" w:type="dxa"/>
              <w:left w:w="113" w:type="dxa"/>
              <w:bottom w:w="113" w:type="dxa"/>
              <w:right w:w="113" w:type="dxa"/>
            </w:tcMar>
          </w:tcPr>
          <w:p>
            <w:pPr>
              <w:autoSpaceDE w:val="0"/>
              <w:autoSpaceDN w:val="0"/>
              <w:spacing w:line="360" w:lineRule="auto"/>
              <w:rPr>
                <w:rFonts w:ascii="仿宋" w:hAnsi="仿宋" w:cs="仿宋"/>
                <w:sz w:val="24"/>
              </w:rPr>
            </w:pPr>
            <w:r>
              <w:rPr>
                <w:rFonts w:hint="eastAsia" w:ascii="仿宋" w:hAnsi="仿宋" w:cs="仿宋"/>
                <w:sz w:val="24"/>
              </w:rPr>
              <w:t>卖方名称：</w:t>
            </w:r>
            <w:r>
              <w:rPr>
                <w:rFonts w:hint="eastAsia" w:ascii="仿宋" w:hAnsi="仿宋" w:cs="仿宋"/>
                <w:sz w:val="24"/>
                <w:u w:val="single"/>
              </w:rPr>
              <w:t xml:space="preserve">                            </w:t>
            </w:r>
            <w:r>
              <w:rPr>
                <w:rFonts w:hint="eastAsia" w:ascii="仿宋" w:hAnsi="仿宋" w:cs="仿宋"/>
                <w:sz w:val="24"/>
              </w:rPr>
              <w:t xml:space="preserve"> </w:t>
            </w:r>
          </w:p>
          <w:p>
            <w:pPr>
              <w:autoSpaceDE w:val="0"/>
              <w:autoSpaceDN w:val="0"/>
              <w:spacing w:line="360" w:lineRule="auto"/>
              <w:rPr>
                <w:rFonts w:ascii="仿宋" w:hAnsi="仿宋" w:cs="仿宋"/>
                <w:sz w:val="24"/>
                <w:u w:val="single"/>
              </w:rPr>
            </w:pPr>
            <w:r>
              <w:rPr>
                <w:rFonts w:hint="eastAsia" w:ascii="仿宋" w:hAnsi="仿宋" w:cs="仿宋"/>
                <w:sz w:val="24"/>
              </w:rPr>
              <w:t>地    址：</w:t>
            </w:r>
            <w:r>
              <w:rPr>
                <w:rFonts w:hint="eastAsia" w:ascii="仿宋" w:hAnsi="仿宋" w:cs="仿宋"/>
                <w:sz w:val="24"/>
                <w:u w:val="single"/>
              </w:rPr>
              <w:t xml:space="preserve">                          </w:t>
            </w:r>
          </w:p>
          <w:p>
            <w:pPr>
              <w:autoSpaceDE w:val="0"/>
              <w:autoSpaceDN w:val="0"/>
              <w:spacing w:line="360" w:lineRule="auto"/>
              <w:rPr>
                <w:rFonts w:ascii="仿宋" w:hAnsi="仿宋" w:cs="仿宋"/>
                <w:sz w:val="24"/>
              </w:rPr>
            </w:pPr>
          </w:p>
          <w:p>
            <w:pPr>
              <w:autoSpaceDE w:val="0"/>
              <w:autoSpaceDN w:val="0"/>
              <w:spacing w:line="360" w:lineRule="auto"/>
              <w:rPr>
                <w:rFonts w:ascii="仿宋" w:hAnsi="仿宋" w:cs="仿宋"/>
                <w:sz w:val="24"/>
                <w:u w:val="single"/>
              </w:rPr>
            </w:pPr>
            <w:r>
              <w:rPr>
                <w:rFonts w:hint="eastAsia" w:ascii="仿宋" w:hAnsi="仿宋" w:cs="仿宋"/>
                <w:sz w:val="24"/>
              </w:rPr>
              <w:t>邮    编：</w:t>
            </w:r>
            <w:r>
              <w:rPr>
                <w:rFonts w:hint="eastAsia" w:ascii="仿宋" w:hAnsi="仿宋" w:cs="仿宋"/>
                <w:sz w:val="24"/>
                <w:u w:val="single"/>
              </w:rPr>
              <w:t xml:space="preserve">                   </w:t>
            </w:r>
          </w:p>
          <w:p>
            <w:pPr>
              <w:autoSpaceDE w:val="0"/>
              <w:autoSpaceDN w:val="0"/>
              <w:spacing w:line="360" w:lineRule="auto"/>
              <w:rPr>
                <w:rFonts w:ascii="仿宋" w:hAnsi="仿宋" w:cs="仿宋"/>
                <w:sz w:val="24"/>
                <w:u w:val="single"/>
              </w:rPr>
            </w:pPr>
            <w:r>
              <w:rPr>
                <w:rFonts w:hint="eastAsia" w:ascii="仿宋" w:hAnsi="仿宋" w:cs="仿宋"/>
                <w:sz w:val="24"/>
              </w:rPr>
              <w:t>电    话：</w:t>
            </w:r>
            <w:r>
              <w:rPr>
                <w:rFonts w:hint="eastAsia" w:ascii="仿宋" w:hAnsi="仿宋" w:cs="仿宋"/>
                <w:sz w:val="24"/>
                <w:u w:val="single"/>
              </w:rPr>
              <w:t xml:space="preserve">                   </w:t>
            </w:r>
          </w:p>
          <w:p>
            <w:pPr>
              <w:autoSpaceDE w:val="0"/>
              <w:autoSpaceDN w:val="0"/>
              <w:spacing w:line="360" w:lineRule="auto"/>
              <w:rPr>
                <w:rFonts w:ascii="仿宋" w:hAnsi="仿宋" w:cs="仿宋"/>
                <w:sz w:val="24"/>
                <w:u w:val="single"/>
              </w:rPr>
            </w:pPr>
            <w:r>
              <w:rPr>
                <w:rFonts w:hint="eastAsia" w:ascii="仿宋" w:hAnsi="仿宋" w:cs="仿宋"/>
                <w:sz w:val="24"/>
              </w:rPr>
              <w:t>传    真：</w:t>
            </w:r>
            <w:r>
              <w:rPr>
                <w:rFonts w:hint="eastAsia" w:ascii="仿宋" w:hAnsi="仿宋" w:cs="仿宋"/>
                <w:sz w:val="24"/>
                <w:u w:val="single"/>
              </w:rPr>
              <w:t xml:space="preserve">                   </w:t>
            </w:r>
          </w:p>
          <w:p>
            <w:pPr>
              <w:autoSpaceDE w:val="0"/>
              <w:autoSpaceDN w:val="0"/>
              <w:spacing w:line="360" w:lineRule="auto"/>
              <w:rPr>
                <w:rFonts w:ascii="仿宋" w:hAnsi="仿宋" w:cs="仿宋"/>
                <w:sz w:val="24"/>
                <w:u w:val="single"/>
              </w:rPr>
            </w:pPr>
            <w:r>
              <w:rPr>
                <w:rFonts w:hint="eastAsia" w:ascii="仿宋" w:hAnsi="仿宋" w:cs="仿宋"/>
                <w:sz w:val="24"/>
              </w:rPr>
              <w:t>开户银行：</w:t>
            </w:r>
            <w:r>
              <w:rPr>
                <w:rFonts w:hint="eastAsia" w:ascii="仿宋" w:hAnsi="仿宋" w:cs="仿宋"/>
                <w:sz w:val="24"/>
                <w:u w:val="single"/>
              </w:rPr>
              <w:t xml:space="preserve">                   </w:t>
            </w:r>
          </w:p>
          <w:p>
            <w:pPr>
              <w:autoSpaceDE w:val="0"/>
              <w:autoSpaceDN w:val="0"/>
              <w:spacing w:line="360" w:lineRule="auto"/>
              <w:rPr>
                <w:rFonts w:ascii="仿宋" w:hAnsi="仿宋" w:cs="仿宋"/>
                <w:sz w:val="24"/>
                <w:u w:val="single"/>
                <w:lang w:val="zh-CN"/>
              </w:rPr>
            </w:pPr>
            <w:r>
              <w:rPr>
                <w:rFonts w:hint="eastAsia" w:ascii="仿宋" w:hAnsi="仿宋" w:cs="仿宋"/>
                <w:sz w:val="24"/>
              </w:rPr>
              <w:t>帐    号：</w:t>
            </w:r>
            <w:r>
              <w:rPr>
                <w:rFonts w:hint="eastAsia" w:ascii="仿宋" w:hAnsi="仿宋" w:cs="仿宋"/>
                <w:sz w:val="24"/>
                <w:u w:val="single"/>
                <w:lang w:val="zh-CN"/>
              </w:rPr>
              <w:t xml:space="preserve">                   </w:t>
            </w:r>
          </w:p>
          <w:p>
            <w:pPr>
              <w:autoSpaceDE w:val="0"/>
              <w:autoSpaceDN w:val="0"/>
              <w:spacing w:line="360" w:lineRule="auto"/>
              <w:rPr>
                <w:rFonts w:ascii="仿宋" w:hAnsi="仿宋" w:cs="仿宋"/>
                <w:sz w:val="24"/>
              </w:rPr>
            </w:pPr>
            <w:r>
              <w:rPr>
                <w:rFonts w:hint="eastAsia" w:ascii="仿宋" w:hAnsi="仿宋" w:cs="仿宋"/>
                <w:sz w:val="24"/>
              </w:rPr>
              <w:t>法定代表人</w:t>
            </w:r>
          </w:p>
          <w:p>
            <w:pPr>
              <w:autoSpaceDE w:val="0"/>
              <w:autoSpaceDN w:val="0"/>
              <w:spacing w:line="360" w:lineRule="auto"/>
              <w:rPr>
                <w:rFonts w:ascii="仿宋" w:hAnsi="仿宋" w:cs="仿宋"/>
                <w:sz w:val="24"/>
              </w:rPr>
            </w:pPr>
            <w:r>
              <w:rPr>
                <w:rFonts w:hint="eastAsia" w:ascii="仿宋" w:hAnsi="仿宋" w:cs="仿宋"/>
                <w:sz w:val="24"/>
              </w:rPr>
              <w:t>或授权代表签字：</w:t>
            </w:r>
          </w:p>
          <w:p>
            <w:pPr>
              <w:autoSpaceDE w:val="0"/>
              <w:autoSpaceDN w:val="0"/>
              <w:spacing w:line="360" w:lineRule="auto"/>
              <w:rPr>
                <w:rFonts w:ascii="仿宋" w:hAnsi="仿宋" w:cs="仿宋"/>
                <w:sz w:val="24"/>
              </w:rPr>
            </w:pPr>
            <w:r>
              <w:rPr>
                <w:rFonts w:hint="eastAsia" w:ascii="仿宋" w:hAnsi="仿宋" w:cs="仿宋"/>
                <w:sz w:val="24"/>
              </w:rPr>
              <w:t>盖章：</w:t>
            </w:r>
          </w:p>
          <w:p>
            <w:pPr>
              <w:spacing w:line="360" w:lineRule="auto"/>
              <w:rPr>
                <w:rFonts w:ascii="仿宋" w:hAnsi="仿宋" w:cs="仿宋"/>
                <w:sz w:val="24"/>
              </w:rPr>
            </w:pPr>
            <w:r>
              <w:rPr>
                <w:rFonts w:hint="eastAsia" w:ascii="仿宋" w:hAnsi="仿宋" w:cs="仿宋"/>
                <w:sz w:val="24"/>
              </w:rPr>
              <w:t xml:space="preserve">     </w:t>
            </w:r>
            <w:r>
              <w:rPr>
                <w:rFonts w:ascii="仿宋" w:hAnsi="仿宋" w:cs="仿宋"/>
                <w:sz w:val="24"/>
              </w:rPr>
              <w:t xml:space="preserve">       </w:t>
            </w:r>
            <w:r>
              <w:rPr>
                <w:rFonts w:hint="eastAsia" w:ascii="仿宋" w:hAnsi="仿宋" w:cs="仿宋"/>
                <w:sz w:val="24"/>
              </w:rPr>
              <w:t xml:space="preserve">        年  月  日</w:t>
            </w:r>
          </w:p>
          <w:p>
            <w:pPr>
              <w:spacing w:line="360" w:lineRule="auto"/>
              <w:rPr>
                <w:rFonts w:ascii="仿宋" w:hAnsi="仿宋" w:cs="仿宋"/>
              </w:rPr>
            </w:pPr>
          </w:p>
          <w:p>
            <w:pPr>
              <w:spacing w:line="360" w:lineRule="auto"/>
              <w:rPr>
                <w:rFonts w:ascii="仿宋" w:hAnsi="仿宋" w:cs="仿宋"/>
                <w:kern w:val="0"/>
                <w:sz w:val="24"/>
                <w:u w:val="single"/>
              </w:rPr>
            </w:pPr>
            <w:r>
              <w:rPr>
                <w:rFonts w:hint="eastAsia" w:ascii="仿宋" w:hAnsi="仿宋" w:cs="仿宋"/>
                <w:kern w:val="0"/>
                <w:sz w:val="24"/>
              </w:rPr>
              <w:t xml:space="preserve">鉴证方名称：  </w:t>
            </w:r>
            <w:r>
              <w:rPr>
                <w:rFonts w:hint="eastAsia" w:ascii="仿宋" w:hAnsi="仿宋" w:cs="仿宋"/>
                <w:kern w:val="0"/>
                <w:sz w:val="24"/>
                <w:u w:val="single"/>
              </w:rPr>
              <w:t xml:space="preserve">                   </w:t>
            </w:r>
          </w:p>
          <w:p>
            <w:pPr>
              <w:spacing w:line="360" w:lineRule="auto"/>
              <w:rPr>
                <w:rFonts w:ascii="仿宋" w:hAnsi="仿宋" w:cs="仿宋"/>
                <w:kern w:val="0"/>
                <w:sz w:val="24"/>
                <w:u w:val="single"/>
              </w:rPr>
            </w:pPr>
            <w:r>
              <w:rPr>
                <w:rFonts w:hint="eastAsia" w:ascii="仿宋" w:hAnsi="仿宋" w:cs="仿宋"/>
                <w:kern w:val="0"/>
                <w:sz w:val="24"/>
              </w:rPr>
              <w:t>邮  编：</w:t>
            </w:r>
            <w:r>
              <w:rPr>
                <w:rFonts w:hint="eastAsia" w:ascii="仿宋" w:hAnsi="仿宋" w:cs="仿宋"/>
                <w:kern w:val="0"/>
                <w:sz w:val="24"/>
                <w:u w:val="single"/>
              </w:rPr>
              <w:t xml:space="preserve">                         </w:t>
            </w:r>
          </w:p>
          <w:p>
            <w:pPr>
              <w:spacing w:line="360" w:lineRule="auto"/>
              <w:rPr>
                <w:rFonts w:ascii="仿宋" w:hAnsi="仿宋" w:cs="仿宋"/>
                <w:kern w:val="0"/>
                <w:sz w:val="24"/>
              </w:rPr>
            </w:pPr>
            <w:r>
              <w:rPr>
                <w:rFonts w:hint="eastAsia" w:ascii="仿宋" w:hAnsi="仿宋" w:cs="仿宋"/>
                <w:kern w:val="0"/>
                <w:sz w:val="24"/>
              </w:rPr>
              <w:t xml:space="preserve">电  话： </w:t>
            </w:r>
            <w:r>
              <w:rPr>
                <w:rFonts w:hint="eastAsia" w:ascii="仿宋" w:hAnsi="仿宋" w:cs="仿宋"/>
                <w:kern w:val="0"/>
                <w:sz w:val="24"/>
                <w:u w:val="single"/>
              </w:rPr>
              <w:t xml:space="preserve">                        </w:t>
            </w:r>
            <w:r>
              <w:rPr>
                <w:rFonts w:hint="eastAsia" w:ascii="仿宋" w:hAnsi="仿宋" w:cs="仿宋"/>
                <w:kern w:val="0"/>
                <w:sz w:val="24"/>
              </w:rPr>
              <w:t xml:space="preserve">      </w:t>
            </w:r>
          </w:p>
          <w:p>
            <w:pPr>
              <w:spacing w:line="360" w:lineRule="auto"/>
              <w:rPr>
                <w:rFonts w:ascii="仿宋" w:hAnsi="仿宋" w:cs="仿宋"/>
                <w:kern w:val="0"/>
                <w:sz w:val="24"/>
                <w:u w:val="single"/>
              </w:rPr>
            </w:pPr>
            <w:r>
              <w:rPr>
                <w:rFonts w:hint="eastAsia" w:ascii="仿宋" w:hAnsi="仿宋" w:cs="仿宋"/>
                <w:kern w:val="0"/>
                <w:sz w:val="24"/>
              </w:rPr>
              <w:t xml:space="preserve">传  真： </w:t>
            </w:r>
            <w:r>
              <w:rPr>
                <w:rFonts w:hint="eastAsia" w:ascii="仿宋" w:hAnsi="仿宋" w:cs="仿宋"/>
                <w:kern w:val="0"/>
                <w:sz w:val="24"/>
                <w:u w:val="single"/>
              </w:rPr>
              <w:t xml:space="preserve">                        </w:t>
            </w:r>
          </w:p>
          <w:p>
            <w:pPr>
              <w:autoSpaceDE w:val="0"/>
              <w:autoSpaceDN w:val="0"/>
              <w:spacing w:line="360" w:lineRule="auto"/>
              <w:rPr>
                <w:rFonts w:ascii="仿宋" w:hAnsi="仿宋" w:cs="仿宋"/>
                <w:sz w:val="24"/>
              </w:rPr>
            </w:pPr>
            <w:r>
              <w:rPr>
                <w:rFonts w:hint="eastAsia" w:ascii="仿宋" w:hAnsi="仿宋" w:cs="仿宋"/>
                <w:sz w:val="24"/>
              </w:rPr>
              <w:t>法定代表人</w:t>
            </w:r>
          </w:p>
          <w:p>
            <w:pPr>
              <w:autoSpaceDE w:val="0"/>
              <w:autoSpaceDN w:val="0"/>
              <w:spacing w:line="360" w:lineRule="auto"/>
              <w:rPr>
                <w:rFonts w:ascii="仿宋" w:hAnsi="仿宋" w:cs="仿宋"/>
                <w:sz w:val="24"/>
              </w:rPr>
            </w:pPr>
            <w:r>
              <w:rPr>
                <w:rFonts w:hint="eastAsia" w:ascii="仿宋" w:hAnsi="仿宋" w:cs="仿宋"/>
                <w:sz w:val="24"/>
              </w:rPr>
              <w:t>或授权代表签字：</w:t>
            </w:r>
          </w:p>
          <w:p>
            <w:pPr>
              <w:spacing w:line="360" w:lineRule="auto"/>
              <w:ind w:left="2880" w:hanging="2880" w:hangingChars="1200"/>
              <w:jc w:val="left"/>
              <w:rPr>
                <w:rFonts w:ascii="仿宋" w:hAnsi="仿宋" w:cs="仿宋"/>
                <w:sz w:val="24"/>
              </w:rPr>
            </w:pPr>
            <w:r>
              <w:rPr>
                <w:rFonts w:hint="eastAsia" w:ascii="仿宋" w:hAnsi="仿宋" w:cs="仿宋"/>
                <w:kern w:val="0"/>
                <w:sz w:val="24"/>
              </w:rPr>
              <w:t xml:space="preserve">盖章：                                     </w:t>
            </w:r>
            <w:r>
              <w:rPr>
                <w:rFonts w:hint="eastAsia" w:ascii="仿宋" w:hAnsi="仿宋" w:cs="仿宋"/>
                <w:sz w:val="24"/>
              </w:rPr>
              <w:t>年  月  日</w:t>
            </w:r>
          </w:p>
        </w:tc>
      </w:tr>
    </w:tbl>
    <w:p>
      <w:pPr>
        <w:spacing w:line="480" w:lineRule="exact"/>
        <w:rPr>
          <w:rFonts w:ascii="宋体" w:hAnsi="宋体" w:eastAsia="宋体" w:cs="宋体"/>
          <w:sz w:val="24"/>
        </w:rPr>
      </w:pPr>
      <w:r>
        <w:rPr>
          <w:rFonts w:hint="eastAsia" w:ascii="宋体" w:hAnsi="宋体" w:eastAsia="宋体" w:cs="宋体"/>
          <w:sz w:val="24"/>
        </w:rPr>
        <w:t>二、合同条款</w:t>
      </w:r>
    </w:p>
    <w:p>
      <w:pPr>
        <w:spacing w:line="480" w:lineRule="exact"/>
        <w:ind w:firstLine="480" w:firstLineChars="200"/>
        <w:rPr>
          <w:rFonts w:ascii="宋体" w:hAnsi="宋体" w:eastAsia="宋体" w:cs="宋体"/>
          <w:sz w:val="24"/>
        </w:rPr>
      </w:pPr>
      <w:r>
        <w:rPr>
          <w:rFonts w:hint="eastAsia" w:ascii="宋体" w:hAnsi="宋体" w:eastAsia="宋体" w:cs="宋体"/>
          <w:kern w:val="0"/>
          <w:sz w:val="24"/>
        </w:rPr>
        <w:t>1、定义</w:t>
      </w:r>
    </w:p>
    <w:p>
      <w:pPr>
        <w:spacing w:line="480" w:lineRule="exact"/>
        <w:ind w:firstLine="480" w:firstLineChars="200"/>
        <w:rPr>
          <w:rFonts w:ascii="宋体" w:hAnsi="宋体" w:eastAsia="宋体" w:cs="宋体"/>
          <w:sz w:val="24"/>
        </w:rPr>
      </w:pPr>
      <w:r>
        <w:rPr>
          <w:rFonts w:hint="eastAsia" w:ascii="宋体" w:hAnsi="宋体" w:eastAsia="宋体" w:cs="宋体"/>
          <w:kern w:val="0"/>
          <w:sz w:val="24"/>
        </w:rPr>
        <w:t>本合同下列术语应解释为：</w:t>
      </w:r>
    </w:p>
    <w:p>
      <w:pPr>
        <w:spacing w:line="480" w:lineRule="exact"/>
        <w:ind w:firstLine="480" w:firstLineChars="200"/>
        <w:rPr>
          <w:rFonts w:ascii="宋体" w:hAnsi="宋体" w:eastAsia="宋体" w:cs="宋体"/>
          <w:sz w:val="24"/>
        </w:rPr>
      </w:pPr>
      <w:r>
        <w:rPr>
          <w:rFonts w:hint="eastAsia" w:ascii="宋体" w:hAnsi="宋体" w:eastAsia="宋体" w:cs="宋体"/>
          <w:sz w:val="24"/>
        </w:rPr>
        <w:t>1-1、“合同”系指买卖双方签署的、合同格式中载明的买卖双方所达成的协议，包括所有的附件、附录和招标文件所提到的构成合同的所有文件。</w:t>
      </w:r>
    </w:p>
    <w:p>
      <w:pPr>
        <w:spacing w:line="480" w:lineRule="exact"/>
        <w:ind w:firstLine="480" w:firstLineChars="200"/>
        <w:rPr>
          <w:rFonts w:ascii="宋体" w:hAnsi="宋体" w:eastAsia="宋体" w:cs="宋体"/>
          <w:sz w:val="24"/>
        </w:rPr>
      </w:pPr>
      <w:r>
        <w:rPr>
          <w:rFonts w:hint="eastAsia" w:ascii="宋体" w:hAnsi="宋体" w:eastAsia="宋体" w:cs="宋体"/>
          <w:sz w:val="24"/>
        </w:rPr>
        <w:t>1-2、“合同价”系指根据本合同规定卖方在正确地完全履行合同义务后买方应支付给卖方的价款。</w:t>
      </w:r>
    </w:p>
    <w:p>
      <w:pPr>
        <w:spacing w:line="480" w:lineRule="exact"/>
        <w:ind w:firstLine="480" w:firstLineChars="200"/>
        <w:rPr>
          <w:rFonts w:ascii="宋体" w:hAnsi="宋体" w:eastAsia="宋体" w:cs="宋体"/>
          <w:sz w:val="24"/>
        </w:rPr>
      </w:pPr>
      <w:r>
        <w:rPr>
          <w:rFonts w:hint="eastAsia" w:ascii="宋体" w:hAnsi="宋体" w:eastAsia="宋体" w:cs="宋体"/>
          <w:sz w:val="24"/>
        </w:rPr>
        <w:t>1-3、“货物”系指卖方根据本合同规定须向买方提供的一切产品、部件或其它材料。</w:t>
      </w:r>
    </w:p>
    <w:p>
      <w:pPr>
        <w:spacing w:line="480" w:lineRule="exact"/>
        <w:ind w:firstLine="480" w:firstLineChars="200"/>
        <w:rPr>
          <w:rFonts w:ascii="宋体" w:hAnsi="宋体" w:eastAsia="宋体" w:cs="宋体"/>
          <w:sz w:val="24"/>
        </w:rPr>
      </w:pPr>
      <w:r>
        <w:rPr>
          <w:rFonts w:hint="eastAsia" w:ascii="宋体" w:hAnsi="宋体" w:eastAsia="宋体" w:cs="宋体"/>
          <w:sz w:val="24"/>
        </w:rPr>
        <w:t>1-4、“服务”系指根据本合同规定卖方承担与供货有关的辅助服务如运输、保险以及其它的伴随服务，例如调试、提供技术援助、培训和合同中规定卖方应承担的其它义务。</w:t>
      </w:r>
    </w:p>
    <w:p>
      <w:pPr>
        <w:spacing w:line="480" w:lineRule="exact"/>
        <w:ind w:firstLine="480" w:firstLineChars="200"/>
        <w:rPr>
          <w:rFonts w:ascii="宋体" w:hAnsi="宋体" w:eastAsia="宋体" w:cs="宋体"/>
          <w:sz w:val="24"/>
        </w:rPr>
      </w:pPr>
      <w:r>
        <w:rPr>
          <w:rFonts w:hint="eastAsia" w:ascii="宋体" w:hAnsi="宋体" w:eastAsia="宋体" w:cs="宋体"/>
          <w:sz w:val="24"/>
        </w:rPr>
        <w:t>1-5、“</w:t>
      </w:r>
      <w:r>
        <w:rPr>
          <w:rFonts w:hint="eastAsia" w:ascii="宋体" w:hAnsi="宋体" w:eastAsia="宋体" w:cs="宋体"/>
          <w:kern w:val="0"/>
          <w:sz w:val="24"/>
        </w:rPr>
        <w:t>项目现场”系指本合同项下货物安装、运行的场地。</w:t>
      </w:r>
    </w:p>
    <w:p>
      <w:pPr>
        <w:spacing w:line="480" w:lineRule="exact"/>
        <w:ind w:firstLine="480" w:firstLineChars="200"/>
        <w:rPr>
          <w:rFonts w:ascii="宋体" w:hAnsi="宋体" w:eastAsia="宋体" w:cs="宋体"/>
          <w:sz w:val="24"/>
        </w:rPr>
      </w:pPr>
      <w:r>
        <w:rPr>
          <w:rFonts w:hint="eastAsia" w:ascii="宋体" w:hAnsi="宋体" w:eastAsia="宋体" w:cs="宋体"/>
          <w:sz w:val="24"/>
        </w:rPr>
        <w:t>1-6、“合同条款”系指本合同条款。</w:t>
      </w:r>
    </w:p>
    <w:p>
      <w:pPr>
        <w:pStyle w:val="95"/>
        <w:spacing w:line="420" w:lineRule="exact"/>
        <w:ind w:firstLine="480"/>
        <w:rPr>
          <w:rFonts w:ascii="宋体" w:hAnsi="宋体" w:cs="宋体"/>
          <w:sz w:val="24"/>
          <w:szCs w:val="24"/>
        </w:rPr>
      </w:pPr>
      <w:r>
        <w:rPr>
          <w:rFonts w:hint="eastAsia" w:ascii="宋体" w:hAnsi="宋体" w:cs="宋体"/>
          <w:sz w:val="24"/>
          <w:szCs w:val="24"/>
        </w:rPr>
        <w:t>1-7、“买方”是指购买货物和服务的单位即杨凌职业技术学院。</w:t>
      </w:r>
    </w:p>
    <w:p>
      <w:pPr>
        <w:spacing w:line="480" w:lineRule="exact"/>
        <w:ind w:firstLine="480" w:firstLineChars="200"/>
        <w:rPr>
          <w:rFonts w:ascii="宋体" w:hAnsi="宋体" w:eastAsia="宋体" w:cs="宋体"/>
          <w:sz w:val="24"/>
        </w:rPr>
      </w:pPr>
      <w:r>
        <w:rPr>
          <w:rFonts w:hint="eastAsia" w:ascii="宋体" w:hAnsi="宋体" w:eastAsia="宋体" w:cs="宋体"/>
          <w:sz w:val="24"/>
        </w:rPr>
        <w:t>1-8、“卖方”是指提供本合同内的货物和服务的公司或其它实体即</w:t>
      </w:r>
      <w:r>
        <w:rPr>
          <w:rFonts w:hint="eastAsia" w:ascii="宋体" w:hAnsi="宋体" w:eastAsia="宋体" w:cs="宋体"/>
          <w:color w:val="FF0000"/>
          <w:sz w:val="24"/>
          <w:u w:val="single"/>
        </w:rPr>
        <w:t xml:space="preserve">     中标单位       </w:t>
      </w:r>
      <w:r>
        <w:rPr>
          <w:rFonts w:hint="eastAsia" w:ascii="宋体" w:hAnsi="宋体" w:eastAsia="宋体" w:cs="宋体"/>
          <w:sz w:val="24"/>
        </w:rPr>
        <w:t>。</w:t>
      </w:r>
    </w:p>
    <w:p>
      <w:pPr>
        <w:spacing w:line="480" w:lineRule="exact"/>
        <w:ind w:firstLine="480" w:firstLineChars="200"/>
        <w:rPr>
          <w:rFonts w:ascii="宋体" w:hAnsi="宋体" w:eastAsia="宋体" w:cs="宋体"/>
          <w:sz w:val="24"/>
        </w:rPr>
      </w:pPr>
      <w:r>
        <w:rPr>
          <w:rFonts w:hint="eastAsia" w:ascii="宋体" w:hAnsi="宋体" w:eastAsia="宋体" w:cs="宋体"/>
          <w:sz w:val="24"/>
        </w:rPr>
        <w:t>1-9、“天”指日历天数。</w:t>
      </w:r>
    </w:p>
    <w:p>
      <w:pPr>
        <w:spacing w:line="480" w:lineRule="exact"/>
        <w:ind w:firstLine="480" w:firstLineChars="200"/>
        <w:rPr>
          <w:rFonts w:ascii="宋体" w:hAnsi="宋体" w:eastAsia="宋体" w:cs="宋体"/>
          <w:sz w:val="24"/>
        </w:rPr>
      </w:pPr>
      <w:r>
        <w:rPr>
          <w:rFonts w:hint="eastAsia" w:ascii="宋体" w:hAnsi="宋体" w:eastAsia="宋体" w:cs="宋体"/>
          <w:sz w:val="24"/>
        </w:rPr>
        <w:t>2、适用性</w:t>
      </w:r>
    </w:p>
    <w:p>
      <w:pPr>
        <w:spacing w:line="480" w:lineRule="exact"/>
        <w:ind w:firstLine="480" w:firstLineChars="200"/>
        <w:rPr>
          <w:rFonts w:ascii="宋体" w:hAnsi="宋体" w:eastAsia="宋体" w:cs="宋体"/>
          <w:sz w:val="24"/>
        </w:rPr>
      </w:pPr>
      <w:r>
        <w:rPr>
          <w:rFonts w:hint="eastAsia" w:ascii="宋体" w:hAnsi="宋体" w:eastAsia="宋体" w:cs="宋体"/>
          <w:sz w:val="24"/>
        </w:rPr>
        <w:t>本合同条款适用于没有被本项目招标文件规定条款、卖方的投标文件承诺条款所取代的范围。</w:t>
      </w:r>
    </w:p>
    <w:p>
      <w:pPr>
        <w:spacing w:line="480" w:lineRule="exact"/>
        <w:ind w:firstLine="480" w:firstLineChars="200"/>
        <w:rPr>
          <w:rFonts w:ascii="宋体" w:hAnsi="宋体" w:eastAsia="宋体" w:cs="宋体"/>
          <w:sz w:val="24"/>
        </w:rPr>
      </w:pPr>
      <w:r>
        <w:rPr>
          <w:rFonts w:hint="eastAsia" w:ascii="宋体" w:hAnsi="宋体" w:eastAsia="宋体" w:cs="宋体"/>
          <w:kern w:val="0"/>
          <w:sz w:val="24"/>
        </w:rPr>
        <w:t>3、</w:t>
      </w:r>
      <w:r>
        <w:rPr>
          <w:rFonts w:hint="eastAsia" w:ascii="宋体" w:hAnsi="宋体" w:eastAsia="宋体" w:cs="宋体"/>
          <w:sz w:val="24"/>
        </w:rPr>
        <w:t>使用合同文件和资料</w:t>
      </w:r>
    </w:p>
    <w:p>
      <w:pPr>
        <w:spacing w:line="480" w:lineRule="exact"/>
        <w:ind w:firstLine="480" w:firstLineChars="200"/>
        <w:rPr>
          <w:rFonts w:ascii="宋体" w:hAnsi="宋体" w:eastAsia="宋体" w:cs="宋体"/>
          <w:sz w:val="24"/>
        </w:rPr>
      </w:pPr>
      <w:r>
        <w:rPr>
          <w:rFonts w:hint="eastAsia" w:ascii="宋体" w:hAnsi="宋体" w:eastAsia="宋体" w:cs="宋体"/>
          <w:sz w:val="24"/>
        </w:rPr>
        <w:t>3-1、没有买方事先书面同意，卖方不得将买方或代表买方提供的有关合同或任何合同条文、规格、计划、图纸、模型或资料提供给与履行本合同无关的任何其他人，即使向与履行本合同有关的人员提供，也应注意保密并限于履行合同必须的范围。</w:t>
      </w:r>
    </w:p>
    <w:p>
      <w:pPr>
        <w:spacing w:line="480" w:lineRule="exact"/>
        <w:ind w:firstLine="480" w:firstLineChars="200"/>
        <w:rPr>
          <w:rFonts w:ascii="宋体" w:hAnsi="宋体" w:eastAsia="宋体" w:cs="宋体"/>
          <w:sz w:val="24"/>
        </w:rPr>
      </w:pPr>
      <w:r>
        <w:rPr>
          <w:rFonts w:hint="eastAsia" w:ascii="宋体" w:hAnsi="宋体" w:eastAsia="宋体" w:cs="宋体"/>
          <w:sz w:val="24"/>
        </w:rPr>
        <w:t>3-2、没有买方事先书面同意，除了履行本合同之外，卖方不应使用合同条款第3-1条所列举的任何文件和资料。</w:t>
      </w:r>
    </w:p>
    <w:p>
      <w:pPr>
        <w:spacing w:line="480" w:lineRule="exact"/>
        <w:ind w:firstLine="480" w:firstLineChars="200"/>
        <w:rPr>
          <w:rFonts w:ascii="宋体" w:hAnsi="宋体" w:eastAsia="宋体" w:cs="宋体"/>
          <w:sz w:val="24"/>
        </w:rPr>
      </w:pPr>
      <w:r>
        <w:rPr>
          <w:rFonts w:hint="eastAsia" w:ascii="宋体" w:hAnsi="宋体" w:eastAsia="宋体" w:cs="宋体"/>
          <w:sz w:val="24"/>
        </w:rPr>
        <w:t>3-3、除了合同本身以外，合同条款第3-1条所列举的任何文件是买方的财产。如果买方有要求，卖方在完成合同后应将这些文件及全部复制件还给买方。</w:t>
      </w:r>
    </w:p>
    <w:p>
      <w:pPr>
        <w:spacing w:line="480" w:lineRule="exact"/>
        <w:ind w:firstLine="480" w:firstLineChars="200"/>
        <w:rPr>
          <w:rFonts w:ascii="宋体" w:hAnsi="宋体" w:eastAsia="宋体" w:cs="宋体"/>
          <w:sz w:val="24"/>
        </w:rPr>
      </w:pPr>
      <w:r>
        <w:rPr>
          <w:rFonts w:hint="eastAsia" w:ascii="宋体" w:hAnsi="宋体" w:eastAsia="宋体" w:cs="宋体"/>
          <w:sz w:val="24"/>
        </w:rPr>
        <w:t>4、专利权</w:t>
      </w:r>
    </w:p>
    <w:p>
      <w:pPr>
        <w:spacing w:line="480" w:lineRule="exact"/>
        <w:ind w:firstLine="480" w:firstLineChars="200"/>
        <w:rPr>
          <w:rFonts w:ascii="宋体" w:hAnsi="宋体" w:eastAsia="宋体" w:cs="宋体"/>
          <w:sz w:val="24"/>
        </w:rPr>
      </w:pPr>
      <w:r>
        <w:rPr>
          <w:rFonts w:hint="eastAsia" w:ascii="宋体" w:hAnsi="宋体" w:eastAsia="宋体" w:cs="宋体"/>
          <w:sz w:val="24"/>
        </w:rPr>
        <w:t>卖方应保证，买方在使用该产品或产品的任何一部分，免受第三方提出的侵犯（其专利权）、商标权、著作权或其它知识产权的起诉。</w:t>
      </w:r>
    </w:p>
    <w:p>
      <w:pPr>
        <w:spacing w:line="480" w:lineRule="exact"/>
        <w:ind w:firstLine="480" w:firstLineChars="200"/>
        <w:rPr>
          <w:rFonts w:ascii="宋体" w:hAnsi="宋体" w:eastAsia="宋体" w:cs="宋体"/>
          <w:sz w:val="24"/>
        </w:rPr>
      </w:pPr>
      <w:r>
        <w:rPr>
          <w:rFonts w:hint="eastAsia" w:ascii="宋体" w:hAnsi="宋体" w:eastAsia="宋体" w:cs="宋体"/>
          <w:sz w:val="24"/>
        </w:rPr>
        <w:t>5、技术规格</w:t>
      </w:r>
    </w:p>
    <w:p>
      <w:pPr>
        <w:spacing w:line="480" w:lineRule="exact"/>
        <w:ind w:firstLine="480" w:firstLineChars="200"/>
        <w:rPr>
          <w:rFonts w:ascii="宋体" w:hAnsi="宋体" w:eastAsia="宋体" w:cs="宋体"/>
          <w:sz w:val="24"/>
        </w:rPr>
      </w:pPr>
      <w:r>
        <w:rPr>
          <w:rFonts w:hint="eastAsia" w:ascii="宋体" w:hAnsi="宋体" w:eastAsia="宋体" w:cs="宋体"/>
          <w:sz w:val="24"/>
        </w:rPr>
        <w:t>本合同下交付的货物必须等同或优于本项目招标文件《技术规格与要求》所述的标准。若卖方在其投标文件中承诺的技术标准优于本项目招标文件《技术规格与要求》所述标准的，按投标文件的承诺执行。</w:t>
      </w:r>
    </w:p>
    <w:p>
      <w:pPr>
        <w:spacing w:line="480" w:lineRule="exact"/>
        <w:ind w:firstLine="480" w:firstLineChars="200"/>
        <w:rPr>
          <w:rFonts w:ascii="宋体" w:hAnsi="宋体" w:eastAsia="宋体" w:cs="宋体"/>
          <w:sz w:val="24"/>
        </w:rPr>
      </w:pPr>
      <w:r>
        <w:rPr>
          <w:rFonts w:hint="eastAsia" w:ascii="宋体" w:hAnsi="宋体" w:eastAsia="宋体" w:cs="宋体"/>
          <w:sz w:val="24"/>
        </w:rPr>
        <w:t>6、检验和测试</w:t>
      </w:r>
    </w:p>
    <w:p>
      <w:pPr>
        <w:spacing w:line="480" w:lineRule="exact"/>
        <w:ind w:firstLine="480" w:firstLineChars="200"/>
        <w:rPr>
          <w:rFonts w:ascii="宋体" w:hAnsi="宋体" w:eastAsia="宋体" w:cs="宋体"/>
          <w:sz w:val="24"/>
        </w:rPr>
      </w:pPr>
      <w:r>
        <w:rPr>
          <w:rFonts w:hint="eastAsia" w:ascii="宋体" w:hAnsi="宋体" w:eastAsia="宋体" w:cs="宋体"/>
          <w:sz w:val="24"/>
        </w:rPr>
        <w:t>6-1、买方或其代表应有权检验和测试产品及其部件，以确认所供产品是否符合合同规格的要求，并且不承担额外的费用。买方要求进行的检验和测试，以及在何处进行这些检验和测试，以书面形式通知卖方。</w:t>
      </w:r>
    </w:p>
    <w:p>
      <w:pPr>
        <w:spacing w:line="480" w:lineRule="exact"/>
        <w:ind w:firstLine="480" w:firstLineChars="200"/>
        <w:rPr>
          <w:rFonts w:ascii="宋体" w:hAnsi="宋体" w:eastAsia="宋体" w:cs="宋体"/>
          <w:sz w:val="24"/>
        </w:rPr>
      </w:pPr>
      <w:r>
        <w:rPr>
          <w:rFonts w:hint="eastAsia" w:ascii="宋体" w:hAnsi="宋体" w:eastAsia="宋体" w:cs="宋体"/>
          <w:sz w:val="24"/>
        </w:rPr>
        <w:t>6-2、检验和测试在买方指定的交货地点进行。</w:t>
      </w:r>
    </w:p>
    <w:p>
      <w:pPr>
        <w:spacing w:line="480" w:lineRule="exact"/>
        <w:ind w:firstLine="480" w:firstLineChars="200"/>
        <w:rPr>
          <w:rFonts w:ascii="宋体" w:hAnsi="宋体" w:eastAsia="宋体" w:cs="宋体"/>
          <w:sz w:val="24"/>
        </w:rPr>
      </w:pPr>
      <w:r>
        <w:rPr>
          <w:rFonts w:hint="eastAsia" w:ascii="宋体" w:hAnsi="宋体" w:eastAsia="宋体" w:cs="宋体"/>
          <w:sz w:val="24"/>
        </w:rPr>
        <w:t>6-3、如果任何被检验或测试的产品或部件不能满足招标文件及合同的要求，买方可以拒绝接受该产品或部件，卖方应更换被拒绝的产品或部件，或者免费进行必要的修改以满足规格的要求。</w:t>
      </w:r>
    </w:p>
    <w:p>
      <w:pPr>
        <w:spacing w:line="480" w:lineRule="exact"/>
        <w:ind w:firstLine="480" w:firstLineChars="200"/>
        <w:rPr>
          <w:rFonts w:ascii="宋体" w:hAnsi="宋体" w:eastAsia="宋体" w:cs="宋体"/>
          <w:sz w:val="24"/>
        </w:rPr>
      </w:pPr>
      <w:r>
        <w:rPr>
          <w:rFonts w:hint="eastAsia" w:ascii="宋体" w:hAnsi="宋体" w:eastAsia="宋体" w:cs="宋体"/>
          <w:sz w:val="24"/>
        </w:rPr>
        <w:t>6-4、在交货前，卖方应让制造商对产品及其部件的质量、规格、性能、数量和重量等进行详细而全面的检验，并出具一份证明符合合同规定的检验证书，检验证书是验收文件的一个组成部分，但不能作为有关质量、规格、性能、数量和重量的最终检验，制造商检验的结果和细节应附在质量检验证书后面。</w:t>
      </w:r>
    </w:p>
    <w:p>
      <w:pPr>
        <w:spacing w:line="480" w:lineRule="exact"/>
        <w:ind w:firstLine="480" w:firstLineChars="200"/>
        <w:rPr>
          <w:rFonts w:ascii="宋体" w:hAnsi="宋体" w:eastAsia="宋体" w:cs="宋体"/>
          <w:sz w:val="24"/>
        </w:rPr>
      </w:pPr>
      <w:r>
        <w:rPr>
          <w:rFonts w:hint="eastAsia" w:ascii="宋体" w:hAnsi="宋体" w:eastAsia="宋体" w:cs="宋体"/>
          <w:sz w:val="24"/>
        </w:rPr>
        <w:t>6-5、如果在产品使用寿命期内，根据检验结果，发现产品的质量或规格与合同要求不符，或被证实有缺陷，包含潜在的缺陷或使用不合适的材料，买方应向卖方提出索赔。</w:t>
      </w:r>
    </w:p>
    <w:p>
      <w:pPr>
        <w:spacing w:line="480" w:lineRule="exact"/>
        <w:ind w:firstLine="480" w:firstLineChars="200"/>
        <w:rPr>
          <w:rFonts w:ascii="宋体" w:hAnsi="宋体" w:eastAsia="宋体" w:cs="宋体"/>
          <w:sz w:val="24"/>
        </w:rPr>
      </w:pPr>
      <w:r>
        <w:rPr>
          <w:rFonts w:hint="eastAsia" w:ascii="宋体" w:hAnsi="宋体" w:eastAsia="宋体" w:cs="宋体"/>
          <w:sz w:val="24"/>
        </w:rPr>
        <w:t>7、包装及运输</w:t>
      </w:r>
    </w:p>
    <w:p>
      <w:pPr>
        <w:spacing w:line="480" w:lineRule="exact"/>
        <w:ind w:firstLine="480" w:firstLineChars="200"/>
        <w:rPr>
          <w:rFonts w:ascii="宋体" w:hAnsi="宋体" w:eastAsia="宋体" w:cs="宋体"/>
          <w:sz w:val="24"/>
        </w:rPr>
      </w:pPr>
      <w:r>
        <w:rPr>
          <w:rFonts w:hint="eastAsia" w:ascii="宋体" w:hAnsi="宋体" w:eastAsia="宋体" w:cs="宋体"/>
          <w:sz w:val="24"/>
        </w:rPr>
        <w:t>7-1、卖方负责货物到达交货地点前的所有包装、运输、装卸及保险事项，相关费用应包括在合同总价中。</w:t>
      </w:r>
    </w:p>
    <w:p>
      <w:pPr>
        <w:spacing w:line="480" w:lineRule="exact"/>
        <w:ind w:firstLine="480" w:firstLineChars="200"/>
        <w:rPr>
          <w:rFonts w:ascii="宋体" w:hAnsi="宋体" w:eastAsia="宋体" w:cs="宋体"/>
          <w:sz w:val="24"/>
        </w:rPr>
      </w:pPr>
      <w:r>
        <w:rPr>
          <w:rFonts w:hint="eastAsia" w:ascii="宋体" w:hAnsi="宋体" w:eastAsia="宋体" w:cs="宋体"/>
          <w:sz w:val="24"/>
        </w:rPr>
        <w:t>7-2、卖方应提供货物运至合同规定的最终目的地所需要的包装，以防止货物在运转中损坏。这类包装应采取防漏、防晒、防腐蚀、防震动及防止其它损坏的必要保护措施。卖方应承担由于其包装或其防护措施不妥而引起货物锈蚀、损坏和丢失的任何损失责任和费用。</w:t>
      </w:r>
    </w:p>
    <w:p>
      <w:pPr>
        <w:spacing w:line="480" w:lineRule="exact"/>
        <w:ind w:firstLine="480" w:firstLineChars="200"/>
        <w:rPr>
          <w:rFonts w:ascii="宋体" w:hAnsi="宋体" w:eastAsia="宋体" w:cs="宋体"/>
          <w:sz w:val="24"/>
        </w:rPr>
      </w:pPr>
      <w:r>
        <w:rPr>
          <w:rFonts w:hint="eastAsia" w:ascii="宋体" w:hAnsi="宋体" w:eastAsia="宋体" w:cs="宋体"/>
          <w:sz w:val="24"/>
        </w:rPr>
        <w:t xml:space="preserve">7-3、货物的运输方式由卖方自行选择，但包装必须满足货物运输和装卸的要求，保证买方收到的是无任何损伤的货物。否则，因此造成的损失由卖方自行承担。 </w:t>
      </w:r>
    </w:p>
    <w:p>
      <w:pPr>
        <w:spacing w:line="480" w:lineRule="exact"/>
        <w:ind w:firstLine="480" w:firstLineChars="200"/>
        <w:rPr>
          <w:rFonts w:ascii="宋体" w:hAnsi="宋体" w:eastAsia="宋体" w:cs="宋体"/>
          <w:sz w:val="24"/>
        </w:rPr>
      </w:pPr>
      <w:r>
        <w:rPr>
          <w:rFonts w:hint="eastAsia" w:ascii="宋体" w:hAnsi="宋体" w:eastAsia="宋体" w:cs="宋体"/>
          <w:sz w:val="24"/>
        </w:rPr>
        <w:t>8、伴随服务</w:t>
      </w:r>
    </w:p>
    <w:p>
      <w:pPr>
        <w:spacing w:line="480" w:lineRule="exact"/>
        <w:ind w:firstLine="480" w:firstLineChars="200"/>
        <w:rPr>
          <w:rFonts w:ascii="宋体" w:hAnsi="宋体" w:eastAsia="宋体" w:cs="宋体"/>
          <w:sz w:val="24"/>
        </w:rPr>
      </w:pPr>
      <w:r>
        <w:rPr>
          <w:rFonts w:hint="eastAsia" w:ascii="宋体" w:hAnsi="宋体" w:eastAsia="宋体" w:cs="宋体"/>
          <w:kern w:val="0"/>
          <w:sz w:val="24"/>
        </w:rPr>
        <w:t>8-1、卖方必须在合同生效后三十 (30)天内向买方提交所供货物的技术文件（中文技术文件），例如：产品说明、图纸、操作手册、使用说明、维护手册和／或服务指南等。</w:t>
      </w:r>
    </w:p>
    <w:p>
      <w:pPr>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8-2、卖方应向买方提供下列所有服务，包括本项目招标文件“商务条款”与“技术规格与要求”中规定的附加服务（如果有的话）：</w:t>
      </w:r>
    </w:p>
    <w:p>
      <w:pPr>
        <w:spacing w:line="480" w:lineRule="exact"/>
        <w:ind w:firstLine="480" w:firstLineChars="200"/>
        <w:rPr>
          <w:rFonts w:ascii="宋体" w:hAnsi="宋体" w:eastAsia="宋体" w:cs="宋体"/>
          <w:sz w:val="24"/>
        </w:rPr>
      </w:pPr>
      <w:r>
        <w:rPr>
          <w:rFonts w:hint="eastAsia" w:ascii="宋体" w:hAnsi="宋体" w:eastAsia="宋体" w:cs="宋体"/>
          <w:kern w:val="0"/>
          <w:sz w:val="24"/>
        </w:rPr>
        <w:t>（1）实施或监督所供货物的现场组装 和/或试运行；</w:t>
      </w:r>
    </w:p>
    <w:p>
      <w:pPr>
        <w:spacing w:line="480" w:lineRule="exact"/>
        <w:ind w:firstLine="480" w:firstLineChars="200"/>
        <w:rPr>
          <w:rFonts w:ascii="宋体" w:hAnsi="宋体" w:eastAsia="宋体" w:cs="宋体"/>
          <w:sz w:val="24"/>
        </w:rPr>
      </w:pPr>
      <w:r>
        <w:rPr>
          <w:rFonts w:hint="eastAsia" w:ascii="宋体" w:hAnsi="宋体" w:eastAsia="宋体" w:cs="宋体"/>
          <w:kern w:val="0"/>
          <w:sz w:val="24"/>
        </w:rPr>
        <w:t>（2）提供货物组装 和/或 维修所需的工具；</w:t>
      </w:r>
    </w:p>
    <w:p>
      <w:pPr>
        <w:spacing w:line="480" w:lineRule="exact"/>
        <w:ind w:firstLine="480" w:firstLineChars="200"/>
        <w:rPr>
          <w:rFonts w:ascii="宋体" w:hAnsi="宋体" w:eastAsia="宋体" w:cs="宋体"/>
          <w:sz w:val="24"/>
        </w:rPr>
      </w:pPr>
      <w:r>
        <w:rPr>
          <w:rFonts w:hint="eastAsia" w:ascii="宋体" w:hAnsi="宋体" w:eastAsia="宋体" w:cs="宋体"/>
          <w:kern w:val="0"/>
          <w:sz w:val="24"/>
        </w:rPr>
        <w:t>（3）为所供货物的每一适当的单台设备提供详细的操作和维护手册；</w:t>
      </w:r>
    </w:p>
    <w:p>
      <w:pPr>
        <w:spacing w:line="480" w:lineRule="exact"/>
        <w:ind w:firstLine="480" w:firstLineChars="200"/>
        <w:rPr>
          <w:rFonts w:ascii="宋体" w:hAnsi="宋体" w:eastAsia="宋体" w:cs="宋体"/>
          <w:sz w:val="24"/>
        </w:rPr>
      </w:pPr>
      <w:r>
        <w:rPr>
          <w:rFonts w:hint="eastAsia" w:ascii="宋体" w:hAnsi="宋体" w:eastAsia="宋体" w:cs="宋体"/>
          <w:kern w:val="0"/>
          <w:sz w:val="24"/>
        </w:rPr>
        <w:t xml:space="preserve">（4）在双方商定的一定期限内对所供货物实施运行或监督或维护或修理，但前提条件是该服务并不能免除卖方在合同保证期内所承担的义务；  </w:t>
      </w:r>
    </w:p>
    <w:p>
      <w:pPr>
        <w:spacing w:line="480" w:lineRule="exact"/>
        <w:ind w:firstLine="480" w:firstLineChars="200"/>
        <w:rPr>
          <w:rFonts w:ascii="宋体" w:hAnsi="宋体" w:eastAsia="宋体" w:cs="宋体"/>
          <w:sz w:val="24"/>
        </w:rPr>
      </w:pPr>
      <w:r>
        <w:rPr>
          <w:rFonts w:hint="eastAsia" w:ascii="宋体" w:hAnsi="宋体" w:eastAsia="宋体" w:cs="宋体"/>
          <w:kern w:val="0"/>
          <w:sz w:val="24"/>
        </w:rPr>
        <w:t>（5）在卖方或制造厂和/或在项目现场就所供货物的组装、试运行、运行、维护和/或修理、软硬件升级对买方人员进行培训。</w:t>
      </w:r>
    </w:p>
    <w:p>
      <w:pPr>
        <w:spacing w:line="480" w:lineRule="exact"/>
        <w:ind w:firstLine="480" w:firstLineChars="200"/>
        <w:rPr>
          <w:rFonts w:ascii="宋体" w:hAnsi="宋体" w:eastAsia="宋体" w:cs="宋体"/>
          <w:sz w:val="24"/>
        </w:rPr>
      </w:pPr>
      <w:r>
        <w:rPr>
          <w:rFonts w:hint="eastAsia" w:ascii="宋体" w:hAnsi="宋体" w:eastAsia="宋体" w:cs="宋体"/>
          <w:kern w:val="0"/>
          <w:sz w:val="24"/>
        </w:rPr>
        <w:t>8-3、卖方应提供本项目招标文件“商务条款”和“技术规格与要求”中规定的所有服务。为履行要求的伴随服务的报价或双方商定的费用应包括在合同价中。</w:t>
      </w:r>
    </w:p>
    <w:p>
      <w:pPr>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8-4、如果卖方或制造厂提供的伴随服务的费用未含在货物的合同价中，双方应事先就其达成协议，但其费用单价不应超过卖方向其他人提供类似服务所收取的现行单价。</w:t>
      </w:r>
    </w:p>
    <w:p>
      <w:pPr>
        <w:spacing w:line="480" w:lineRule="exact"/>
        <w:ind w:firstLine="480" w:firstLineChars="200"/>
        <w:rPr>
          <w:rFonts w:ascii="宋体" w:hAnsi="宋体" w:eastAsia="宋体" w:cs="宋体"/>
          <w:sz w:val="24"/>
        </w:rPr>
      </w:pPr>
      <w:r>
        <w:rPr>
          <w:rFonts w:hint="eastAsia" w:ascii="宋体" w:hAnsi="宋体" w:eastAsia="宋体" w:cs="宋体"/>
          <w:kern w:val="0"/>
          <w:sz w:val="24"/>
        </w:rPr>
        <w:t>9、备品备件</w:t>
      </w:r>
    </w:p>
    <w:p>
      <w:pPr>
        <w:spacing w:line="480" w:lineRule="exact"/>
        <w:ind w:firstLine="480" w:firstLineChars="200"/>
        <w:rPr>
          <w:rFonts w:ascii="宋体" w:hAnsi="宋体" w:eastAsia="宋体" w:cs="宋体"/>
          <w:sz w:val="24"/>
        </w:rPr>
      </w:pPr>
      <w:r>
        <w:rPr>
          <w:rFonts w:hint="eastAsia" w:ascii="宋体" w:hAnsi="宋体" w:eastAsia="宋体" w:cs="宋体"/>
          <w:kern w:val="0"/>
          <w:sz w:val="24"/>
        </w:rPr>
        <w:t>9-1、卖方可能被要求提供下列与备品备件有关的材料、通知和资料：</w:t>
      </w:r>
    </w:p>
    <w:p>
      <w:pPr>
        <w:spacing w:line="480" w:lineRule="exact"/>
        <w:ind w:firstLine="480" w:firstLineChars="200"/>
        <w:rPr>
          <w:rFonts w:ascii="宋体" w:hAnsi="宋体" w:eastAsia="宋体" w:cs="宋体"/>
          <w:sz w:val="24"/>
        </w:rPr>
      </w:pPr>
      <w:r>
        <w:rPr>
          <w:rFonts w:hint="eastAsia" w:ascii="宋体" w:hAnsi="宋体" w:eastAsia="宋体" w:cs="宋体"/>
          <w:kern w:val="0"/>
          <w:sz w:val="24"/>
        </w:rPr>
        <w:t>（1）买方从卖方选购备品备件，但前提条件是该选择并不能免除卖方在合同保证期内所承担的义务；</w:t>
      </w:r>
    </w:p>
    <w:p>
      <w:pPr>
        <w:spacing w:line="480" w:lineRule="exact"/>
        <w:ind w:firstLine="480" w:firstLineChars="200"/>
        <w:rPr>
          <w:rFonts w:ascii="宋体" w:hAnsi="宋体" w:eastAsia="宋体" w:cs="宋体"/>
          <w:sz w:val="24"/>
        </w:rPr>
      </w:pPr>
      <w:r>
        <w:rPr>
          <w:rFonts w:hint="eastAsia" w:ascii="宋体" w:hAnsi="宋体" w:eastAsia="宋体" w:cs="宋体"/>
          <w:kern w:val="0"/>
          <w:sz w:val="24"/>
        </w:rPr>
        <w:t>（2）在备品备件停止生产的情况下，卖方应事先将要停止生产的计划通知买方使买方有足够的时间采购所需的备品备件；</w:t>
      </w:r>
    </w:p>
    <w:p>
      <w:pPr>
        <w:spacing w:line="480" w:lineRule="exact"/>
        <w:ind w:firstLine="480" w:firstLineChars="200"/>
        <w:rPr>
          <w:rFonts w:ascii="宋体" w:hAnsi="宋体" w:eastAsia="宋体" w:cs="宋体"/>
          <w:sz w:val="24"/>
        </w:rPr>
      </w:pPr>
      <w:r>
        <w:rPr>
          <w:rFonts w:hint="eastAsia" w:ascii="宋体" w:hAnsi="宋体" w:eastAsia="宋体" w:cs="宋体"/>
          <w:kern w:val="0"/>
          <w:sz w:val="24"/>
        </w:rPr>
        <w:t>（3）在备品备件停止生产后，如果买方要求，卖方应免费向买方提供备品备件的蓝图、图纸和规格。</w:t>
      </w:r>
    </w:p>
    <w:p>
      <w:pPr>
        <w:spacing w:line="480" w:lineRule="exact"/>
        <w:ind w:firstLine="480" w:firstLineChars="200"/>
        <w:rPr>
          <w:rFonts w:ascii="宋体" w:hAnsi="宋体" w:eastAsia="宋体" w:cs="宋体"/>
          <w:sz w:val="24"/>
        </w:rPr>
      </w:pPr>
      <w:r>
        <w:rPr>
          <w:rFonts w:hint="eastAsia" w:ascii="宋体" w:hAnsi="宋体" w:eastAsia="宋体" w:cs="宋体"/>
          <w:kern w:val="0"/>
          <w:sz w:val="24"/>
        </w:rPr>
        <w:t>9-2、卖方应按照本项目招标文件“商务条款”和“技术规格与要求”中的规定提供所需的备品备件。</w:t>
      </w:r>
    </w:p>
    <w:p>
      <w:pPr>
        <w:spacing w:line="480" w:lineRule="exact"/>
        <w:ind w:firstLine="480" w:firstLineChars="200"/>
        <w:rPr>
          <w:rFonts w:ascii="宋体" w:hAnsi="宋体" w:eastAsia="宋体" w:cs="宋体"/>
          <w:sz w:val="24"/>
        </w:rPr>
      </w:pPr>
      <w:r>
        <w:rPr>
          <w:rFonts w:hint="eastAsia" w:ascii="宋体" w:hAnsi="宋体" w:eastAsia="宋体" w:cs="宋体"/>
          <w:kern w:val="0"/>
          <w:sz w:val="24"/>
        </w:rPr>
        <w:t>10、质量保证</w:t>
      </w:r>
    </w:p>
    <w:p>
      <w:pPr>
        <w:spacing w:line="480" w:lineRule="exact"/>
        <w:ind w:firstLine="480" w:firstLineChars="200"/>
        <w:rPr>
          <w:rFonts w:ascii="宋体" w:hAnsi="宋体" w:eastAsia="宋体" w:cs="宋体"/>
          <w:sz w:val="24"/>
        </w:rPr>
      </w:pPr>
      <w:r>
        <w:rPr>
          <w:rFonts w:hint="eastAsia" w:ascii="宋体" w:hAnsi="宋体" w:eastAsia="宋体" w:cs="宋体"/>
          <w:kern w:val="0"/>
          <w:sz w:val="24"/>
        </w:rPr>
        <w:t>10-1、质量保证期为终验合格之日起</w:t>
      </w:r>
      <w:r>
        <w:rPr>
          <w:rFonts w:hint="eastAsia" w:ascii="宋体" w:hAnsi="宋体" w:eastAsia="宋体" w:cs="宋体"/>
          <w:color w:val="FF0000"/>
          <w:kern w:val="0"/>
          <w:sz w:val="24"/>
          <w:u w:val="single"/>
        </w:rPr>
        <w:t xml:space="preserve">        </w:t>
      </w:r>
      <w:r>
        <w:rPr>
          <w:rFonts w:hint="eastAsia" w:ascii="宋体" w:hAnsi="宋体" w:eastAsia="宋体" w:cs="宋体"/>
          <w:kern w:val="0"/>
          <w:sz w:val="24"/>
        </w:rPr>
        <w:t>个月。</w:t>
      </w:r>
    </w:p>
    <w:p>
      <w:pPr>
        <w:spacing w:line="480" w:lineRule="exact"/>
        <w:ind w:firstLine="480" w:firstLineChars="200"/>
        <w:rPr>
          <w:rFonts w:ascii="宋体" w:hAnsi="宋体" w:eastAsia="宋体" w:cs="宋体"/>
          <w:sz w:val="24"/>
        </w:rPr>
      </w:pPr>
      <w:r>
        <w:rPr>
          <w:rFonts w:hint="eastAsia" w:ascii="宋体" w:hAnsi="宋体" w:eastAsia="宋体" w:cs="宋体"/>
          <w:kern w:val="0"/>
          <w:sz w:val="24"/>
        </w:rPr>
        <w:t>10-2、卖方应保证合同项下所供货物是合同规定厂家制造的、全新的、未使用过的，并完全符合合同规定的质量、规格和性能要求的合格产品。卖方应保证其货物在正确安装、正常使用和保养条件下，在其使用寿命期内应具有满意的性能。在货物的质量保证期内，卖方对由于设计、工艺或材料的缺陷而产生的故障负责。</w:t>
      </w:r>
    </w:p>
    <w:p>
      <w:pPr>
        <w:spacing w:line="480" w:lineRule="exact"/>
        <w:ind w:firstLine="480" w:firstLineChars="200"/>
        <w:rPr>
          <w:rFonts w:ascii="宋体" w:hAnsi="宋体" w:eastAsia="宋体" w:cs="宋体"/>
          <w:sz w:val="24"/>
        </w:rPr>
      </w:pPr>
      <w:r>
        <w:rPr>
          <w:rFonts w:hint="eastAsia" w:ascii="宋体" w:hAnsi="宋体" w:eastAsia="宋体" w:cs="宋体"/>
          <w:kern w:val="0"/>
          <w:sz w:val="24"/>
        </w:rPr>
        <w:t>10-3、根据检验结果或者在质量保证期内，如果货物的数量、质量或规格与合同不符，或证实货物是有缺陷的，包括潜在的缺陷，买方应尽快以书面形式向卖方提出所发现的缺陷。</w:t>
      </w:r>
    </w:p>
    <w:p>
      <w:pPr>
        <w:spacing w:line="480" w:lineRule="exact"/>
        <w:ind w:firstLine="480" w:firstLineChars="200"/>
        <w:rPr>
          <w:rFonts w:ascii="宋体" w:hAnsi="宋体" w:eastAsia="宋体" w:cs="宋体"/>
          <w:sz w:val="24"/>
        </w:rPr>
      </w:pPr>
      <w:r>
        <w:rPr>
          <w:rFonts w:hint="eastAsia" w:ascii="宋体" w:hAnsi="宋体" w:eastAsia="宋体" w:cs="宋体"/>
          <w:kern w:val="0"/>
          <w:sz w:val="24"/>
        </w:rPr>
        <w:t>10-4、卖方收到通知后应在招标文件规定的时间内以合理的速度免费维修或更换有缺陷的货物或部件。</w:t>
      </w:r>
    </w:p>
    <w:p>
      <w:pPr>
        <w:spacing w:line="480" w:lineRule="exact"/>
        <w:ind w:firstLine="480" w:firstLineChars="200"/>
        <w:rPr>
          <w:rFonts w:ascii="宋体" w:hAnsi="宋体" w:eastAsia="宋体" w:cs="宋体"/>
          <w:sz w:val="24"/>
        </w:rPr>
      </w:pPr>
      <w:r>
        <w:rPr>
          <w:rFonts w:hint="eastAsia" w:ascii="宋体" w:hAnsi="宋体" w:eastAsia="宋体" w:cs="宋体"/>
          <w:kern w:val="0"/>
          <w:sz w:val="24"/>
        </w:rPr>
        <w:t>10-5、如果卖方收到通知后在招标文件规定的时间内没有及时修补缺陷，买方可提出索赔，并可采取必要的补救措施，但其风险和费用将由卖方承担，买方根据合同规定对卖方行使的其他权力不受影响。</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11、索赔</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11-1、如果卖方对偏差负有责任，而买方在安装、调试、验收和质量保证期内提出了索赔，卖方应按照买方同意的下列一种或几种方式结合起来解决索赔事宜：</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卖方同意退货并用合同规定的货币将货款退还给买方，并承担由此发生的一切损失和费用，包括利息、银行手续费、运费、保险费、检验费、仓储费、装卸费以及为看管和保护退回货物所需的其它必要费用。</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（2）根据货物的偏差情况、损坏程度、以及买方所遭受损失的金额，经买卖双方商定降低货物的价格。</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3）用符合合同规定的规格、质量和性能要求的新零件、部件和/或设备来更换有缺陷的部分和/或修补缺陷部分，卖方应承担一切费用和风险并负担买方蒙受的全部直接损失费用。同时，卖方应按合同条款第10-1条规定，相应延长所更换货物的质量保证期。</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11-2、如果在买方发出索赔通知后三十（30）天内，卖方未作答复，上述索赔应视为已被卖方接受。如卖方未能在买方发出索赔通知后三十（30）天内或买方同意的延长期限内，按照买方同意的上述规定的任何一种方法解决索赔事宜，买方将从未付货款或从卖方交纳的履约保证金中扣回索赔金额。若索赔金额超过未付货款或履约保证金的，卖方必须用已收货款进行弥补。</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12、变更指令</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12-1、买方可以在任何时候书面向卖方发出指令，在本合同的一般范围内变更下述一项或几项：</w:t>
      </w:r>
    </w:p>
    <w:p>
      <w:pPr>
        <w:autoSpaceDN w:val="0"/>
        <w:adjustRightInd w:val="0"/>
        <w:spacing w:line="480" w:lineRule="exact"/>
        <w:ind w:firstLine="480" w:firstLineChars="200"/>
        <w:rPr>
          <w:rFonts w:ascii="宋体" w:hAnsi="宋体" w:eastAsia="宋体" w:cs="宋体"/>
          <w:spacing w:val="-4"/>
          <w:kern w:val="0"/>
          <w:sz w:val="24"/>
        </w:rPr>
      </w:pPr>
      <w:r>
        <w:rPr>
          <w:rFonts w:hint="eastAsia" w:ascii="宋体" w:hAnsi="宋体" w:eastAsia="宋体" w:cs="宋体"/>
          <w:kern w:val="0"/>
          <w:sz w:val="24"/>
        </w:rPr>
        <w:t>（1）</w:t>
      </w:r>
      <w:r>
        <w:rPr>
          <w:rFonts w:hint="eastAsia" w:ascii="宋体" w:hAnsi="宋体" w:eastAsia="宋体" w:cs="宋体"/>
          <w:spacing w:val="-4"/>
          <w:kern w:val="0"/>
          <w:sz w:val="24"/>
        </w:rPr>
        <w:t>本合同项下提供的货物是专为买方制造时，变更图纸、设计或规格；</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（2）运输或包装的方法；</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（3）交货地点；</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（4）卖方提供的服务。</w:t>
      </w:r>
    </w:p>
    <w:p>
      <w:pPr>
        <w:autoSpaceDN w:val="0"/>
        <w:adjustRightInd w:val="0"/>
        <w:spacing w:line="480" w:lineRule="exact"/>
        <w:ind w:firstLine="464" w:firstLineChars="200"/>
        <w:rPr>
          <w:rFonts w:ascii="宋体" w:hAnsi="宋体" w:eastAsia="宋体" w:cs="宋体"/>
          <w:kern w:val="0"/>
          <w:sz w:val="24"/>
        </w:rPr>
      </w:pPr>
      <w:r>
        <w:rPr>
          <w:rFonts w:hint="eastAsia" w:ascii="宋体" w:hAnsi="宋体" w:eastAsia="宋体" w:cs="宋体"/>
          <w:spacing w:val="-4"/>
          <w:kern w:val="0"/>
          <w:sz w:val="24"/>
        </w:rPr>
        <w:t>12-2、</w:t>
      </w:r>
      <w:r>
        <w:rPr>
          <w:rFonts w:hint="eastAsia" w:ascii="宋体" w:hAnsi="宋体" w:eastAsia="宋体" w:cs="宋体"/>
          <w:kern w:val="0"/>
          <w:sz w:val="24"/>
        </w:rPr>
        <w:t>如果上述变更使卖方履行合同义务的费用或时间增加或减少，将对合同价或交货时间或两者进行公平的调整，同时相应修改合同。卖方根据本条进行调整的要求必须在收到买方的变更指令后三十（30）天内提出。</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13、合同修改</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除了合同条款第12条的情况，不应对合同条款进行任何变更或修改，除非双方同意并签订书面的合同修改书。</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14、转让</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未经买方事先书面同意，卖方不得部分转让或全部转让其应履行的合同义务。</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15、卖方履约延误</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15-1、卖方应按照本项目招标文件“商务条款”中规定的交货时间交货和提供服务。</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15-2、在履行合同过程中，如果卖方遇到妨碍按时交货和提供服务的情况时，应及时以书面形式将拖延的事实、可能拖延的时间和原因通知买方。买方在收到卖方通知后，应尽快对情况进行评价，并确定是否同意延长交货时间以及是否收取误期赔偿费。延期应通过修改合同的方式由双方认可。</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15-3、除合同条款第20条规定的情况外,除非拖延是根据合同条款第15-2条的规定取得同意而不收取误期赔偿费之外，卖方延误交货，将按合同条款第17条的规定被收取误期赔偿费。</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16、验收</w:t>
      </w:r>
    </w:p>
    <w:p>
      <w:pPr>
        <w:adjustRightInd w:val="0"/>
        <w:snapToGrid w:val="0"/>
        <w:spacing w:line="460" w:lineRule="exact"/>
        <w:ind w:firstLine="470" w:firstLineChars="196"/>
        <w:rPr>
          <w:rFonts w:ascii="宋体" w:hAnsi="宋体" w:eastAsia="宋体" w:cs="宋体"/>
          <w:sz w:val="24"/>
        </w:rPr>
      </w:pPr>
      <w:r>
        <w:rPr>
          <w:rFonts w:hint="eastAsia" w:ascii="宋体" w:hAnsi="宋体" w:eastAsia="宋体" w:cs="宋体"/>
          <w:sz w:val="24"/>
        </w:rPr>
        <w:t>16-1、项目验收分初验和终验:</w:t>
      </w:r>
    </w:p>
    <w:p>
      <w:pPr>
        <w:spacing w:line="460" w:lineRule="exact"/>
        <w:ind w:firstLine="480" w:firstLineChars="200"/>
        <w:rPr>
          <w:rFonts w:ascii="宋体" w:hAnsi="宋体" w:eastAsia="宋体" w:cs="宋体"/>
          <w:sz w:val="24"/>
        </w:rPr>
      </w:pPr>
      <w:r>
        <w:rPr>
          <w:rFonts w:hint="eastAsia" w:ascii="宋体" w:hAnsi="宋体" w:eastAsia="宋体" w:cs="宋体"/>
          <w:sz w:val="24"/>
        </w:rPr>
        <w:t>初验：货物到达交货地点后，由使用单位根据合同对货物（设备）的名称、品牌、规格、型号、产地、数量进行检查。</w:t>
      </w:r>
    </w:p>
    <w:p>
      <w:pPr>
        <w:spacing w:line="460" w:lineRule="exact"/>
        <w:ind w:firstLine="480" w:firstLineChars="200"/>
        <w:rPr>
          <w:rFonts w:ascii="宋体" w:hAnsi="宋体" w:eastAsia="宋体" w:cs="宋体"/>
          <w:sz w:val="24"/>
        </w:rPr>
      </w:pPr>
      <w:r>
        <w:rPr>
          <w:rFonts w:hint="eastAsia" w:ascii="宋体" w:hAnsi="宋体" w:eastAsia="宋体" w:cs="宋体"/>
          <w:sz w:val="24"/>
        </w:rPr>
        <w:t>终验：所有货物(设备)安装、调试完毕，正常使用10个日历日后，由采购人进行终验（最终验收），合格后签发《终验合格单》。</w:t>
      </w:r>
      <w:r>
        <w:rPr>
          <w:rFonts w:hint="eastAsia" w:ascii="宋体" w:hAnsi="宋体" w:eastAsia="宋体" w:cs="宋体"/>
          <w:sz w:val="24"/>
        </w:rPr>
        <w:cr/>
      </w:r>
      <w:r>
        <w:rPr>
          <w:rFonts w:hint="eastAsia" w:ascii="宋体" w:hAnsi="宋体" w:eastAsia="宋体" w:cs="宋体"/>
          <w:sz w:val="24"/>
        </w:rPr>
        <w:t xml:space="preserve">    16-2、验收不合格的中标单位，必须在接到通知后7个日历日内确保货物通过验收。如接到通知后7个日历日内验收仍不合格，采购人可提出索赔或取消其供货合同。采购代理机构将把成交资格授予评审排序下一名的成交单位。</w:t>
      </w:r>
    </w:p>
    <w:p>
      <w:pPr>
        <w:adjustRightInd w:val="0"/>
        <w:snapToGrid w:val="0"/>
        <w:spacing w:line="460" w:lineRule="exact"/>
        <w:ind w:firstLine="470" w:firstLineChars="196"/>
        <w:rPr>
          <w:rFonts w:ascii="宋体" w:hAnsi="宋体" w:eastAsia="宋体" w:cs="宋体"/>
          <w:sz w:val="24"/>
        </w:rPr>
      </w:pPr>
      <w:r>
        <w:rPr>
          <w:rFonts w:hint="eastAsia" w:ascii="宋体" w:hAnsi="宋体" w:eastAsia="宋体" w:cs="宋体"/>
          <w:sz w:val="24"/>
        </w:rPr>
        <w:t>16-3、验收依据</w:t>
      </w:r>
    </w:p>
    <w:p>
      <w:pPr>
        <w:adjustRightInd w:val="0"/>
        <w:snapToGrid w:val="0"/>
        <w:spacing w:line="460" w:lineRule="exact"/>
        <w:ind w:firstLine="470" w:firstLineChars="196"/>
        <w:rPr>
          <w:rFonts w:ascii="宋体" w:hAnsi="宋体" w:eastAsia="宋体" w:cs="宋体"/>
          <w:sz w:val="24"/>
        </w:rPr>
      </w:pPr>
      <w:r>
        <w:rPr>
          <w:rFonts w:hint="eastAsia" w:ascii="宋体" w:hAnsi="宋体" w:eastAsia="宋体" w:cs="宋体"/>
          <w:sz w:val="24"/>
        </w:rPr>
        <w:t xml:space="preserve">（1）合同文本及合同补充文件（条款）； </w:t>
      </w:r>
    </w:p>
    <w:p>
      <w:pPr>
        <w:adjustRightInd w:val="0"/>
        <w:snapToGrid w:val="0"/>
        <w:spacing w:line="460" w:lineRule="exact"/>
        <w:ind w:firstLine="470" w:firstLineChars="196"/>
        <w:rPr>
          <w:rFonts w:ascii="宋体" w:hAnsi="宋体" w:eastAsia="宋体" w:cs="宋体"/>
          <w:sz w:val="24"/>
        </w:rPr>
      </w:pPr>
      <w:r>
        <w:rPr>
          <w:rFonts w:hint="eastAsia" w:ascii="宋体" w:hAnsi="宋体" w:eastAsia="宋体" w:cs="宋体"/>
          <w:sz w:val="24"/>
        </w:rPr>
        <w:t>（2）产品的合法来源渠道证明文件、响应功能证明材料；</w:t>
      </w:r>
    </w:p>
    <w:p>
      <w:pPr>
        <w:adjustRightInd w:val="0"/>
        <w:snapToGrid w:val="0"/>
        <w:spacing w:line="460" w:lineRule="exact"/>
        <w:ind w:firstLine="470" w:firstLineChars="196"/>
        <w:rPr>
          <w:rFonts w:ascii="宋体" w:hAnsi="宋体" w:eastAsia="宋体" w:cs="宋体"/>
          <w:sz w:val="24"/>
        </w:rPr>
      </w:pPr>
      <w:r>
        <w:rPr>
          <w:rFonts w:hint="eastAsia" w:ascii="宋体" w:hAnsi="宋体" w:eastAsia="宋体" w:cs="宋体"/>
          <w:sz w:val="24"/>
        </w:rPr>
        <w:t>（3）招标文件；</w:t>
      </w:r>
    </w:p>
    <w:p>
      <w:pPr>
        <w:adjustRightInd w:val="0"/>
        <w:snapToGrid w:val="0"/>
        <w:spacing w:line="460" w:lineRule="exact"/>
        <w:ind w:firstLine="470" w:firstLineChars="196"/>
        <w:rPr>
          <w:rFonts w:ascii="宋体" w:hAnsi="宋体" w:eastAsia="宋体" w:cs="宋体"/>
          <w:sz w:val="24"/>
        </w:rPr>
      </w:pPr>
      <w:r>
        <w:rPr>
          <w:rFonts w:hint="eastAsia" w:ascii="宋体" w:hAnsi="宋体" w:eastAsia="宋体" w:cs="宋体"/>
          <w:sz w:val="24"/>
        </w:rPr>
        <w:t>（4）中标人的投标文件；</w:t>
      </w:r>
    </w:p>
    <w:p>
      <w:pPr>
        <w:adjustRightInd w:val="0"/>
        <w:snapToGrid w:val="0"/>
        <w:spacing w:line="460" w:lineRule="exact"/>
        <w:ind w:firstLine="470" w:firstLineChars="196"/>
        <w:rPr>
          <w:rFonts w:ascii="宋体" w:hAnsi="宋体" w:eastAsia="宋体" w:cs="宋体"/>
          <w:sz w:val="24"/>
        </w:rPr>
      </w:pPr>
      <w:r>
        <w:rPr>
          <w:rFonts w:hint="eastAsia" w:ascii="宋体" w:hAnsi="宋体" w:eastAsia="宋体" w:cs="宋体"/>
          <w:sz w:val="24"/>
        </w:rPr>
        <w:t>（5）货物清单；</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sz w:val="24"/>
        </w:rPr>
        <w:t>（6）生产厂家的企业资质、货物的执行标准。</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17、误期赔偿费</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sz w:val="24"/>
        </w:rPr>
        <w:t>除合同条款第19条规定的情况外，如果卖方没有按照合同规定的时间交货和提供服务，买方应在不影响合同项下的其他补救措施的情况下，从合同价中扣除误期赔偿费。每延误一周的赔偿费按合同价的0.5％计收，直至交货或提供服务为止。误期赔偿费的最高限额为合同价格的百分之五（5%）。一旦达到误期赔偿费的最高限额，买方可考虑根据合同条款18条的规定终止合同。</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18、违约终止合同</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18-1、在买方对卖方违约而采取的任何补救措施不受影响的情况下，买方可向卖方发出书面违约通知书，提出终止部分或全部合同：</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（1）如果卖方未能在合同规定的期限内或买方根据合同条款第15.2条的规定同意延长的期限内提供部分或全部货物；或</w:t>
      </w:r>
      <w:r>
        <w:rPr>
          <w:rFonts w:hint="eastAsia" w:ascii="宋体" w:hAnsi="宋体" w:eastAsia="宋体" w:cs="宋体"/>
          <w:sz w:val="24"/>
        </w:rPr>
        <w:t>误期赔偿费达到最高限额。</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（2）如果卖方未能履行合同规定的其它任何义务。</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（3）如果买方认为卖方在本合同的竞争和实施过程中有腐败和欺诈行为。为此目的，定义下述条件：</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“腐败行为”是指提供、给予、接受或索取任何有价值的物品来影响买方在采购过程或合同实施过程中的行为。</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“欺诈行为”是指为了影响采购过程或合同实施过程而谎报或隐瞒事实，损害买方利益的行为。</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18-2、如果买方根据上述第18-1条的规定，终止了全部或部分合同，买方可以依其认为适当的条件和方法购买与未交货物类似的货物或服务，卖方应承担买方因购买类似货物或服务而产生的额外支出。但是，卖方应继续执行合同中未终止的部分。</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19、不可抗力</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19-1、签约双方任何一方由于不可抗力事件的影响而不能执行合同时，履行合同的期限应予延长，其延长的期限应相当于事件所影响的时间。不可抗力事件系指买卖双方在缔结合同时所不能预见的，并且它的发生及其后果是无法避免和无法克服的事件，诸如战争、严重火灾、洪水、台风、地震等。</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19-2、受影响一方应在不可抗力事件发生后尽快用书面形式通知对方，并于不可抗力事件发生后十四（14）天内将有关当局出具的证明文件用特快专递或挂号信寄给对方审阅确认。一旦不可抗力事件的影响持续一百二十天（120）天以上，双方应通过友好协商在合理的时间内达成进一步履行合同的协议。</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19-3、因合同一方迟延履行合同后发生不可抗力的，不能免除迟延履行方的相应责任。</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20、因破产而终止合同</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如果卖方破产或无清偿能力，买方可在任何时候以书面形式通知卖方，提出终止合同而不给卖方补偿。该合同的终止将不损害或影响买方已经采取或将要采取的任何行动或补救措施的权力。</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21、因买方的便利而终止合同</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21-1、买方可在任何时候出于自身的便利向卖方发出书面通知全部或部分终止合同，终止通知应明确该终止合同是出于买方的便利，并明确合同终止的程度，以及终止的生效日期。</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21-2、对卖方收到终止通知后三十（30）天内已完成并准备装运的货物，买方应按原合同价格和条款予以接收，对于剩下的货物，买方可：</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（1）仅对部分货物按照原来的合同价格和条款予以接受；</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（2）取消对所剩货物的采购，并按双方商定的金额向卖方支付部分完成的货物和服务以及卖方以前已采购的材料和部件的费用。</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22、争议的解决</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因执行本合同所发生的或与本合同有关的一切争议,双方应通过友好协商解决。如果协商开始后六十（60）天还不能解决，双方可依以下一种方式解决：</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22-1、双方达成仲裁协议，向约定的仲裁委员会申请仲裁。</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22-2、向买方住所地的人民法院起诉。</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23、适用法律</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本合同应按照中华人民共和国的现行法律进行解释。</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24、通知</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24-1、本合同一方给对方的通知应用书面形式送到合同专用条款中规定的对方的地址。传真要经书面确认。</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24-2、通知以送到日期或通知书的生效日期为生效日期，两者中以晚的一个日期为准。</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25、税款</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25-1、按照中华人民共和国税法和有关部门的规定，买方需交纳的与本合同有关的一切税费均应由买方负担。</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25-2、按照中华人民共和国税法和有关部门的规定，卖方需交纳的与本合同有关的一切税费均应由卖方负担。</w:t>
      </w:r>
    </w:p>
    <w:p>
      <w:pPr>
        <w:autoSpaceDN w:val="0"/>
        <w:adjustRightInd w:val="0"/>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26、合同生效</w:t>
      </w:r>
    </w:p>
    <w:p>
      <w:pPr>
        <w:spacing w:line="480" w:lineRule="exact"/>
        <w:ind w:firstLine="480" w:firstLineChars="200"/>
        <w:rPr>
          <w:rFonts w:ascii="宋体" w:hAnsi="宋体" w:eastAsia="宋体" w:cs="宋体"/>
          <w:kern w:val="0"/>
          <w:sz w:val="24"/>
        </w:rPr>
      </w:pPr>
      <w:r>
        <w:rPr>
          <w:rFonts w:hint="eastAsia" w:ascii="宋体" w:hAnsi="宋体" w:eastAsia="宋体" w:cs="宋体"/>
          <w:kern w:val="0"/>
          <w:sz w:val="24"/>
        </w:rPr>
        <w:t>本合同由买卖双方及使用方、鉴证方共同签字盖章，自最后一方签字盖章之日起生效。</w:t>
      </w:r>
    </w:p>
    <w:p>
      <w:pPr>
        <w:spacing w:line="480" w:lineRule="exact"/>
        <w:rPr>
          <w:rFonts w:ascii="宋体" w:hAnsi="宋体" w:eastAsia="宋体" w:cs="宋体"/>
          <w:kern w:val="0"/>
          <w:sz w:val="24"/>
        </w:rPr>
      </w:pPr>
    </w:p>
    <w:p>
      <w:pPr>
        <w:spacing w:line="480" w:lineRule="exact"/>
        <w:rPr>
          <w:rFonts w:ascii="宋体" w:hAnsi="宋体" w:eastAsia="宋体" w:cs="宋体"/>
          <w:kern w:val="0"/>
          <w:sz w:val="24"/>
        </w:rPr>
        <w:sectPr>
          <w:headerReference r:id="rId13" w:type="default"/>
          <w:footerReference r:id="rId14" w:type="default"/>
          <w:pgSz w:w="11906" w:h="16838"/>
          <w:pgMar w:top="1440" w:right="1800" w:bottom="1440" w:left="1800" w:header="992" w:footer="992" w:gutter="0"/>
          <w:pgNumType w:fmt="decimal"/>
          <w:cols w:space="425" w:num="1"/>
          <w:titlePg/>
          <w:docGrid w:type="lines" w:linePitch="312" w:charSpace="0"/>
        </w:sectPr>
      </w:pPr>
    </w:p>
    <w:p>
      <w:pPr>
        <w:spacing w:line="480" w:lineRule="exact"/>
        <w:rPr>
          <w:rFonts w:ascii="宋体" w:hAnsi="宋体"/>
          <w:b/>
          <w:bCs/>
          <w:sz w:val="24"/>
        </w:rPr>
      </w:pPr>
      <w:r>
        <w:rPr>
          <w:rFonts w:hint="eastAsia" w:ascii="宋体" w:hAnsi="宋体"/>
          <w:b/>
          <w:bCs/>
          <w:sz w:val="24"/>
        </w:rPr>
        <w:t>附件1—设备清单</w:t>
      </w:r>
    </w:p>
    <w:tbl>
      <w:tblPr>
        <w:tblStyle w:val="29"/>
        <w:tblW w:w="14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2319"/>
        <w:gridCol w:w="1933"/>
        <w:gridCol w:w="1539"/>
        <w:gridCol w:w="2505"/>
        <w:gridCol w:w="795"/>
        <w:gridCol w:w="930"/>
        <w:gridCol w:w="1545"/>
        <w:gridCol w:w="1500"/>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71" w:type="dxa"/>
            <w:vAlign w:val="center"/>
          </w:tcPr>
          <w:p>
            <w:pPr>
              <w:spacing w:line="460" w:lineRule="exact"/>
              <w:rPr>
                <w:rFonts w:ascii="宋体" w:hAnsi="宋体" w:eastAsia="宋体" w:cs="宋体"/>
                <w:b/>
                <w:sz w:val="24"/>
              </w:rPr>
            </w:pPr>
            <w:r>
              <w:rPr>
                <w:rFonts w:hint="eastAsia" w:ascii="宋体" w:hAnsi="宋体" w:eastAsia="宋体" w:cs="宋体"/>
                <w:b/>
                <w:sz w:val="24"/>
              </w:rPr>
              <w:t>序号</w:t>
            </w:r>
          </w:p>
        </w:tc>
        <w:tc>
          <w:tcPr>
            <w:tcW w:w="2319" w:type="dxa"/>
            <w:vAlign w:val="center"/>
          </w:tcPr>
          <w:p>
            <w:pPr>
              <w:spacing w:line="460" w:lineRule="exact"/>
              <w:ind w:left="210" w:leftChars="100"/>
              <w:jc w:val="center"/>
              <w:rPr>
                <w:rFonts w:ascii="宋体" w:hAnsi="宋体" w:eastAsia="宋体" w:cs="宋体"/>
                <w:b/>
                <w:sz w:val="24"/>
              </w:rPr>
            </w:pPr>
            <w:r>
              <w:rPr>
                <w:rFonts w:hint="eastAsia" w:ascii="宋体" w:hAnsi="宋体" w:eastAsia="宋体" w:cs="宋体"/>
                <w:b/>
                <w:sz w:val="24"/>
              </w:rPr>
              <w:t>名    称</w:t>
            </w:r>
          </w:p>
        </w:tc>
        <w:tc>
          <w:tcPr>
            <w:tcW w:w="1933" w:type="dxa"/>
            <w:vAlign w:val="center"/>
          </w:tcPr>
          <w:p>
            <w:pPr>
              <w:spacing w:line="460" w:lineRule="exact"/>
              <w:rPr>
                <w:rFonts w:ascii="宋体" w:hAnsi="宋体" w:eastAsia="宋体" w:cs="宋体"/>
                <w:b/>
                <w:sz w:val="24"/>
              </w:rPr>
            </w:pPr>
            <w:r>
              <w:rPr>
                <w:rFonts w:hint="eastAsia" w:ascii="宋体" w:hAnsi="宋体" w:eastAsia="宋体" w:cs="宋体"/>
                <w:b/>
                <w:sz w:val="24"/>
              </w:rPr>
              <w:t>品牌/型号</w:t>
            </w:r>
          </w:p>
        </w:tc>
        <w:tc>
          <w:tcPr>
            <w:tcW w:w="1539" w:type="dxa"/>
            <w:vAlign w:val="center"/>
          </w:tcPr>
          <w:p>
            <w:pPr>
              <w:spacing w:line="460" w:lineRule="exact"/>
              <w:jc w:val="center"/>
              <w:rPr>
                <w:rFonts w:ascii="宋体" w:hAnsi="宋体" w:eastAsia="宋体" w:cs="宋体"/>
                <w:b/>
                <w:sz w:val="24"/>
              </w:rPr>
            </w:pPr>
            <w:r>
              <w:rPr>
                <w:rFonts w:hint="eastAsia" w:ascii="宋体" w:hAnsi="宋体" w:eastAsia="宋体" w:cs="宋体"/>
                <w:b/>
                <w:sz w:val="24"/>
              </w:rPr>
              <w:t>制造厂家</w:t>
            </w:r>
          </w:p>
        </w:tc>
        <w:tc>
          <w:tcPr>
            <w:tcW w:w="2505" w:type="dxa"/>
            <w:vAlign w:val="center"/>
          </w:tcPr>
          <w:p>
            <w:pPr>
              <w:spacing w:line="460" w:lineRule="exact"/>
              <w:jc w:val="center"/>
              <w:rPr>
                <w:rFonts w:ascii="宋体" w:hAnsi="宋体" w:eastAsia="宋体" w:cs="宋体"/>
                <w:b/>
                <w:sz w:val="24"/>
              </w:rPr>
            </w:pPr>
            <w:r>
              <w:rPr>
                <w:rFonts w:hint="eastAsia" w:ascii="宋体" w:hAnsi="宋体" w:eastAsia="宋体" w:cs="宋体"/>
                <w:b/>
                <w:sz w:val="24"/>
              </w:rPr>
              <w:t>规格和说明</w:t>
            </w:r>
          </w:p>
        </w:tc>
        <w:tc>
          <w:tcPr>
            <w:tcW w:w="795" w:type="dxa"/>
            <w:vAlign w:val="center"/>
          </w:tcPr>
          <w:p>
            <w:pPr>
              <w:spacing w:line="460" w:lineRule="exact"/>
              <w:ind w:left="13" w:leftChars="6"/>
              <w:jc w:val="center"/>
              <w:rPr>
                <w:rFonts w:ascii="宋体" w:hAnsi="宋体" w:eastAsia="宋体" w:cs="宋体"/>
                <w:b/>
                <w:sz w:val="24"/>
              </w:rPr>
            </w:pPr>
            <w:r>
              <w:rPr>
                <w:rFonts w:hint="eastAsia" w:ascii="宋体" w:hAnsi="宋体" w:eastAsia="宋体" w:cs="宋体"/>
                <w:b/>
                <w:sz w:val="24"/>
              </w:rPr>
              <w:t>单位</w:t>
            </w:r>
          </w:p>
        </w:tc>
        <w:tc>
          <w:tcPr>
            <w:tcW w:w="930" w:type="dxa"/>
            <w:vAlign w:val="center"/>
          </w:tcPr>
          <w:p>
            <w:pPr>
              <w:spacing w:line="460" w:lineRule="exact"/>
              <w:ind w:left="13" w:leftChars="6"/>
              <w:jc w:val="center"/>
              <w:rPr>
                <w:rFonts w:ascii="宋体" w:hAnsi="宋体" w:eastAsia="宋体" w:cs="宋体"/>
                <w:b/>
                <w:sz w:val="24"/>
              </w:rPr>
            </w:pPr>
            <w:r>
              <w:rPr>
                <w:rFonts w:hint="eastAsia" w:ascii="宋体" w:hAnsi="宋体" w:eastAsia="宋体" w:cs="宋体"/>
                <w:b/>
                <w:sz w:val="24"/>
              </w:rPr>
              <w:t>数量</w:t>
            </w:r>
          </w:p>
        </w:tc>
        <w:tc>
          <w:tcPr>
            <w:tcW w:w="1545" w:type="dxa"/>
            <w:tcMar>
              <w:top w:w="28" w:type="dxa"/>
              <w:left w:w="57" w:type="dxa"/>
              <w:bottom w:w="28" w:type="dxa"/>
              <w:right w:w="57" w:type="dxa"/>
            </w:tcMar>
            <w:vAlign w:val="center"/>
          </w:tcPr>
          <w:p>
            <w:pPr>
              <w:spacing w:line="460" w:lineRule="exact"/>
              <w:jc w:val="center"/>
              <w:rPr>
                <w:rFonts w:ascii="宋体" w:hAnsi="宋体" w:eastAsia="宋体" w:cs="宋体"/>
                <w:b/>
                <w:sz w:val="24"/>
              </w:rPr>
            </w:pPr>
            <w:r>
              <w:rPr>
                <w:rFonts w:hint="eastAsia" w:ascii="宋体" w:hAnsi="宋体" w:eastAsia="宋体" w:cs="宋体"/>
                <w:b/>
                <w:sz w:val="24"/>
              </w:rPr>
              <w:t>单价</w:t>
            </w:r>
          </w:p>
          <w:p>
            <w:pPr>
              <w:spacing w:line="460" w:lineRule="exact"/>
              <w:ind w:left="46" w:leftChars="22"/>
              <w:jc w:val="center"/>
              <w:rPr>
                <w:rFonts w:ascii="宋体" w:hAnsi="宋体" w:eastAsia="宋体" w:cs="宋体"/>
                <w:b/>
                <w:sz w:val="24"/>
              </w:rPr>
            </w:pPr>
            <w:r>
              <w:rPr>
                <w:rFonts w:hint="eastAsia" w:ascii="宋体" w:hAnsi="宋体" w:eastAsia="宋体" w:cs="宋体"/>
                <w:b/>
                <w:sz w:val="24"/>
              </w:rPr>
              <w:t>（人民币元）</w:t>
            </w:r>
          </w:p>
        </w:tc>
        <w:tc>
          <w:tcPr>
            <w:tcW w:w="1500" w:type="dxa"/>
            <w:tcMar>
              <w:top w:w="28" w:type="dxa"/>
              <w:left w:w="57" w:type="dxa"/>
              <w:bottom w:w="28" w:type="dxa"/>
              <w:right w:w="57" w:type="dxa"/>
            </w:tcMar>
            <w:vAlign w:val="center"/>
          </w:tcPr>
          <w:p>
            <w:pPr>
              <w:spacing w:line="460" w:lineRule="exact"/>
              <w:jc w:val="center"/>
              <w:rPr>
                <w:rFonts w:ascii="宋体" w:hAnsi="宋体" w:eastAsia="宋体" w:cs="宋体"/>
                <w:b/>
                <w:sz w:val="24"/>
              </w:rPr>
            </w:pPr>
            <w:r>
              <w:rPr>
                <w:rFonts w:hint="eastAsia" w:ascii="宋体" w:hAnsi="宋体" w:eastAsia="宋体" w:cs="宋体"/>
                <w:b/>
                <w:sz w:val="24"/>
              </w:rPr>
              <w:t>总价</w:t>
            </w:r>
          </w:p>
          <w:p>
            <w:pPr>
              <w:spacing w:line="460" w:lineRule="exact"/>
              <w:jc w:val="center"/>
              <w:rPr>
                <w:rFonts w:ascii="宋体" w:hAnsi="宋体" w:eastAsia="宋体" w:cs="宋体"/>
                <w:b/>
                <w:sz w:val="24"/>
              </w:rPr>
            </w:pPr>
            <w:r>
              <w:rPr>
                <w:rFonts w:hint="eastAsia" w:ascii="宋体" w:hAnsi="宋体" w:eastAsia="宋体" w:cs="宋体"/>
                <w:b/>
                <w:sz w:val="24"/>
              </w:rPr>
              <w:t>（人民币元）</w:t>
            </w:r>
          </w:p>
        </w:tc>
        <w:tc>
          <w:tcPr>
            <w:tcW w:w="683" w:type="dxa"/>
            <w:tcMar>
              <w:top w:w="28" w:type="dxa"/>
              <w:left w:w="57" w:type="dxa"/>
              <w:bottom w:w="28" w:type="dxa"/>
              <w:right w:w="57" w:type="dxa"/>
            </w:tcMar>
            <w:vAlign w:val="center"/>
          </w:tcPr>
          <w:p>
            <w:pPr>
              <w:spacing w:line="460" w:lineRule="exact"/>
              <w:rPr>
                <w:rFonts w:ascii="宋体" w:hAnsi="宋体" w:eastAsia="宋体" w:cs="宋体"/>
                <w:b/>
                <w:sz w:val="24"/>
              </w:rPr>
            </w:pPr>
            <w:r>
              <w:rPr>
                <w:rFonts w:hint="eastAsia" w:ascii="宋体" w:hAnsi="宋体" w:eastAsia="宋体" w:cs="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771" w:type="dxa"/>
            <w:tcMar>
              <w:left w:w="57" w:type="dxa"/>
              <w:right w:w="57" w:type="dxa"/>
            </w:tcMar>
            <w:vAlign w:val="center"/>
          </w:tcPr>
          <w:p>
            <w:pPr>
              <w:spacing w:line="460" w:lineRule="exact"/>
              <w:jc w:val="center"/>
              <w:rPr>
                <w:rFonts w:ascii="宋体" w:hAnsi="宋体" w:eastAsia="宋体" w:cs="宋体"/>
                <w:sz w:val="24"/>
              </w:rPr>
            </w:pPr>
            <w:r>
              <w:rPr>
                <w:rFonts w:hint="eastAsia" w:ascii="宋体" w:hAnsi="宋体" w:eastAsia="宋体" w:cs="宋体"/>
                <w:sz w:val="24"/>
              </w:rPr>
              <w:t>1</w:t>
            </w:r>
          </w:p>
        </w:tc>
        <w:tc>
          <w:tcPr>
            <w:tcW w:w="2319" w:type="dxa"/>
            <w:tcMar>
              <w:left w:w="57" w:type="dxa"/>
              <w:right w:w="57" w:type="dxa"/>
            </w:tcMar>
            <w:vAlign w:val="center"/>
          </w:tcPr>
          <w:p>
            <w:pPr>
              <w:spacing w:line="460" w:lineRule="exact"/>
              <w:jc w:val="center"/>
              <w:rPr>
                <w:rFonts w:ascii="宋体" w:hAnsi="宋体" w:eastAsia="宋体" w:cs="宋体"/>
                <w:sz w:val="24"/>
              </w:rPr>
            </w:pPr>
          </w:p>
        </w:tc>
        <w:tc>
          <w:tcPr>
            <w:tcW w:w="1933" w:type="dxa"/>
            <w:tcMar>
              <w:left w:w="57" w:type="dxa"/>
              <w:right w:w="57" w:type="dxa"/>
            </w:tcMar>
            <w:vAlign w:val="center"/>
          </w:tcPr>
          <w:p>
            <w:pPr>
              <w:spacing w:line="460" w:lineRule="exact"/>
              <w:jc w:val="center"/>
              <w:rPr>
                <w:rFonts w:ascii="宋体" w:hAnsi="宋体" w:eastAsia="宋体" w:cs="宋体"/>
                <w:sz w:val="24"/>
              </w:rPr>
            </w:pPr>
          </w:p>
        </w:tc>
        <w:tc>
          <w:tcPr>
            <w:tcW w:w="1539" w:type="dxa"/>
            <w:tcMar>
              <w:left w:w="57" w:type="dxa"/>
              <w:right w:w="57" w:type="dxa"/>
            </w:tcMar>
            <w:vAlign w:val="center"/>
          </w:tcPr>
          <w:p>
            <w:pPr>
              <w:spacing w:line="460" w:lineRule="exact"/>
              <w:jc w:val="center"/>
              <w:rPr>
                <w:rFonts w:ascii="宋体" w:hAnsi="宋体" w:eastAsia="宋体" w:cs="宋体"/>
                <w:sz w:val="24"/>
              </w:rPr>
            </w:pPr>
          </w:p>
        </w:tc>
        <w:tc>
          <w:tcPr>
            <w:tcW w:w="2505" w:type="dxa"/>
            <w:tcMar>
              <w:left w:w="57" w:type="dxa"/>
              <w:right w:w="57" w:type="dxa"/>
            </w:tcMar>
            <w:vAlign w:val="center"/>
          </w:tcPr>
          <w:p>
            <w:pPr>
              <w:spacing w:line="460" w:lineRule="exact"/>
              <w:jc w:val="center"/>
              <w:rPr>
                <w:rFonts w:ascii="宋体" w:hAnsi="宋体" w:eastAsia="宋体" w:cs="宋体"/>
                <w:sz w:val="24"/>
              </w:rPr>
            </w:pPr>
          </w:p>
        </w:tc>
        <w:tc>
          <w:tcPr>
            <w:tcW w:w="795" w:type="dxa"/>
            <w:tcMar>
              <w:left w:w="57" w:type="dxa"/>
              <w:right w:w="57" w:type="dxa"/>
            </w:tcMar>
            <w:vAlign w:val="center"/>
          </w:tcPr>
          <w:p>
            <w:pPr>
              <w:spacing w:line="460" w:lineRule="exact"/>
              <w:jc w:val="center"/>
              <w:rPr>
                <w:rFonts w:ascii="宋体" w:hAnsi="宋体" w:eastAsia="宋体" w:cs="宋体"/>
                <w:sz w:val="24"/>
              </w:rPr>
            </w:pPr>
          </w:p>
        </w:tc>
        <w:tc>
          <w:tcPr>
            <w:tcW w:w="930" w:type="dxa"/>
            <w:tcMar>
              <w:left w:w="57" w:type="dxa"/>
              <w:right w:w="57" w:type="dxa"/>
            </w:tcMar>
            <w:vAlign w:val="center"/>
          </w:tcPr>
          <w:p>
            <w:pPr>
              <w:spacing w:line="460" w:lineRule="exact"/>
              <w:jc w:val="center"/>
              <w:rPr>
                <w:rFonts w:ascii="宋体" w:hAnsi="宋体" w:eastAsia="宋体" w:cs="宋体"/>
                <w:sz w:val="24"/>
              </w:rPr>
            </w:pPr>
          </w:p>
        </w:tc>
        <w:tc>
          <w:tcPr>
            <w:tcW w:w="1545" w:type="dxa"/>
            <w:tcMar>
              <w:left w:w="57" w:type="dxa"/>
              <w:right w:w="57" w:type="dxa"/>
            </w:tcMar>
            <w:vAlign w:val="center"/>
          </w:tcPr>
          <w:p>
            <w:pPr>
              <w:spacing w:line="460" w:lineRule="exact"/>
              <w:jc w:val="center"/>
              <w:rPr>
                <w:rFonts w:ascii="宋体" w:hAnsi="宋体" w:eastAsia="宋体" w:cs="宋体"/>
                <w:sz w:val="24"/>
              </w:rPr>
            </w:pPr>
          </w:p>
        </w:tc>
        <w:tc>
          <w:tcPr>
            <w:tcW w:w="1500" w:type="dxa"/>
            <w:tcMar>
              <w:left w:w="57" w:type="dxa"/>
              <w:right w:w="57" w:type="dxa"/>
            </w:tcMar>
            <w:vAlign w:val="center"/>
          </w:tcPr>
          <w:p>
            <w:pPr>
              <w:spacing w:line="460" w:lineRule="exact"/>
              <w:jc w:val="center"/>
              <w:rPr>
                <w:rFonts w:ascii="宋体" w:hAnsi="宋体" w:eastAsia="宋体" w:cs="宋体"/>
                <w:sz w:val="24"/>
              </w:rPr>
            </w:pPr>
          </w:p>
        </w:tc>
        <w:tc>
          <w:tcPr>
            <w:tcW w:w="683" w:type="dxa"/>
            <w:tcMar>
              <w:left w:w="57" w:type="dxa"/>
              <w:right w:w="57" w:type="dxa"/>
            </w:tcMar>
            <w:vAlign w:val="center"/>
          </w:tcPr>
          <w:p>
            <w:pPr>
              <w:spacing w:line="460" w:lineRule="exact"/>
              <w:ind w:left="210" w:leftChars="100"/>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71" w:type="dxa"/>
            <w:tcMar>
              <w:left w:w="57" w:type="dxa"/>
              <w:right w:w="57" w:type="dxa"/>
            </w:tcMar>
            <w:vAlign w:val="center"/>
          </w:tcPr>
          <w:p>
            <w:pPr>
              <w:spacing w:line="460" w:lineRule="exact"/>
              <w:jc w:val="center"/>
              <w:rPr>
                <w:rFonts w:ascii="宋体" w:hAnsi="宋体" w:eastAsia="宋体" w:cs="宋体"/>
                <w:sz w:val="24"/>
              </w:rPr>
            </w:pPr>
            <w:r>
              <w:rPr>
                <w:rFonts w:hint="eastAsia" w:ascii="宋体" w:hAnsi="宋体" w:eastAsia="宋体" w:cs="宋体"/>
                <w:sz w:val="24"/>
              </w:rPr>
              <w:t>2</w:t>
            </w:r>
          </w:p>
        </w:tc>
        <w:tc>
          <w:tcPr>
            <w:tcW w:w="2319" w:type="dxa"/>
            <w:tcMar>
              <w:left w:w="57" w:type="dxa"/>
              <w:right w:w="57" w:type="dxa"/>
            </w:tcMar>
            <w:vAlign w:val="center"/>
          </w:tcPr>
          <w:p>
            <w:pPr>
              <w:spacing w:line="460" w:lineRule="exact"/>
              <w:jc w:val="center"/>
              <w:rPr>
                <w:rFonts w:ascii="宋体" w:hAnsi="宋体" w:eastAsia="宋体" w:cs="宋体"/>
                <w:sz w:val="24"/>
              </w:rPr>
            </w:pPr>
          </w:p>
        </w:tc>
        <w:tc>
          <w:tcPr>
            <w:tcW w:w="1933" w:type="dxa"/>
            <w:tcMar>
              <w:left w:w="57" w:type="dxa"/>
              <w:right w:w="57" w:type="dxa"/>
            </w:tcMar>
            <w:vAlign w:val="center"/>
          </w:tcPr>
          <w:p>
            <w:pPr>
              <w:spacing w:line="460" w:lineRule="exact"/>
              <w:jc w:val="center"/>
              <w:rPr>
                <w:rFonts w:ascii="宋体" w:hAnsi="宋体" w:eastAsia="宋体" w:cs="宋体"/>
                <w:sz w:val="24"/>
              </w:rPr>
            </w:pPr>
          </w:p>
        </w:tc>
        <w:tc>
          <w:tcPr>
            <w:tcW w:w="1539" w:type="dxa"/>
            <w:tcMar>
              <w:left w:w="57" w:type="dxa"/>
              <w:right w:w="57" w:type="dxa"/>
            </w:tcMar>
            <w:vAlign w:val="center"/>
          </w:tcPr>
          <w:p>
            <w:pPr>
              <w:spacing w:line="460" w:lineRule="exact"/>
              <w:jc w:val="center"/>
              <w:rPr>
                <w:rFonts w:ascii="宋体" w:hAnsi="宋体" w:eastAsia="宋体" w:cs="宋体"/>
                <w:sz w:val="24"/>
              </w:rPr>
            </w:pPr>
          </w:p>
        </w:tc>
        <w:tc>
          <w:tcPr>
            <w:tcW w:w="2505" w:type="dxa"/>
            <w:tcMar>
              <w:left w:w="57" w:type="dxa"/>
              <w:right w:w="57" w:type="dxa"/>
            </w:tcMar>
            <w:vAlign w:val="center"/>
          </w:tcPr>
          <w:p>
            <w:pPr>
              <w:spacing w:line="460" w:lineRule="exact"/>
              <w:jc w:val="center"/>
              <w:rPr>
                <w:rFonts w:ascii="宋体" w:hAnsi="宋体" w:eastAsia="宋体" w:cs="宋体"/>
                <w:sz w:val="24"/>
              </w:rPr>
            </w:pPr>
          </w:p>
        </w:tc>
        <w:tc>
          <w:tcPr>
            <w:tcW w:w="795" w:type="dxa"/>
            <w:tcMar>
              <w:left w:w="57" w:type="dxa"/>
              <w:right w:w="57" w:type="dxa"/>
            </w:tcMar>
            <w:vAlign w:val="center"/>
          </w:tcPr>
          <w:p>
            <w:pPr>
              <w:spacing w:line="460" w:lineRule="exact"/>
              <w:jc w:val="center"/>
              <w:rPr>
                <w:rFonts w:ascii="宋体" w:hAnsi="宋体" w:eastAsia="宋体" w:cs="宋体"/>
                <w:sz w:val="24"/>
              </w:rPr>
            </w:pPr>
          </w:p>
        </w:tc>
        <w:tc>
          <w:tcPr>
            <w:tcW w:w="930" w:type="dxa"/>
            <w:tcMar>
              <w:left w:w="57" w:type="dxa"/>
              <w:right w:w="57" w:type="dxa"/>
            </w:tcMar>
            <w:vAlign w:val="center"/>
          </w:tcPr>
          <w:p>
            <w:pPr>
              <w:spacing w:line="460" w:lineRule="exact"/>
              <w:jc w:val="center"/>
              <w:rPr>
                <w:rFonts w:ascii="宋体" w:hAnsi="宋体" w:eastAsia="宋体" w:cs="宋体"/>
                <w:sz w:val="24"/>
              </w:rPr>
            </w:pPr>
          </w:p>
        </w:tc>
        <w:tc>
          <w:tcPr>
            <w:tcW w:w="1545" w:type="dxa"/>
            <w:tcMar>
              <w:left w:w="57" w:type="dxa"/>
              <w:right w:w="57" w:type="dxa"/>
            </w:tcMar>
            <w:vAlign w:val="center"/>
          </w:tcPr>
          <w:p>
            <w:pPr>
              <w:spacing w:line="460" w:lineRule="exact"/>
              <w:jc w:val="center"/>
              <w:rPr>
                <w:rFonts w:ascii="宋体" w:hAnsi="宋体" w:eastAsia="宋体" w:cs="宋体"/>
                <w:sz w:val="24"/>
              </w:rPr>
            </w:pPr>
          </w:p>
        </w:tc>
        <w:tc>
          <w:tcPr>
            <w:tcW w:w="1500" w:type="dxa"/>
            <w:tcMar>
              <w:left w:w="57" w:type="dxa"/>
              <w:right w:w="57" w:type="dxa"/>
            </w:tcMar>
            <w:vAlign w:val="center"/>
          </w:tcPr>
          <w:p>
            <w:pPr>
              <w:spacing w:line="460" w:lineRule="exact"/>
              <w:jc w:val="center"/>
              <w:rPr>
                <w:rFonts w:ascii="宋体" w:hAnsi="宋体" w:eastAsia="宋体" w:cs="宋体"/>
                <w:sz w:val="24"/>
              </w:rPr>
            </w:pPr>
          </w:p>
        </w:tc>
        <w:tc>
          <w:tcPr>
            <w:tcW w:w="683" w:type="dxa"/>
            <w:tcMar>
              <w:left w:w="57" w:type="dxa"/>
              <w:right w:w="57" w:type="dxa"/>
            </w:tcMar>
            <w:vAlign w:val="center"/>
          </w:tcPr>
          <w:p>
            <w:pPr>
              <w:spacing w:line="460" w:lineRule="exa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1" w:type="dxa"/>
            <w:tcMar>
              <w:left w:w="57" w:type="dxa"/>
              <w:right w:w="57" w:type="dxa"/>
            </w:tcMar>
            <w:vAlign w:val="center"/>
          </w:tcPr>
          <w:p>
            <w:pPr>
              <w:spacing w:line="460" w:lineRule="exact"/>
              <w:jc w:val="center"/>
              <w:rPr>
                <w:rFonts w:ascii="宋体" w:hAnsi="宋体" w:eastAsia="宋体" w:cs="宋体"/>
                <w:sz w:val="24"/>
              </w:rPr>
            </w:pPr>
            <w:r>
              <w:rPr>
                <w:rFonts w:hint="eastAsia" w:ascii="宋体" w:hAnsi="宋体" w:eastAsia="宋体" w:cs="宋体"/>
                <w:sz w:val="24"/>
              </w:rPr>
              <w:t>3</w:t>
            </w:r>
          </w:p>
        </w:tc>
        <w:tc>
          <w:tcPr>
            <w:tcW w:w="2319" w:type="dxa"/>
            <w:tcMar>
              <w:left w:w="57" w:type="dxa"/>
              <w:right w:w="57" w:type="dxa"/>
            </w:tcMar>
            <w:vAlign w:val="center"/>
          </w:tcPr>
          <w:p>
            <w:pPr>
              <w:spacing w:line="460" w:lineRule="exact"/>
              <w:jc w:val="center"/>
              <w:rPr>
                <w:rFonts w:ascii="宋体" w:hAnsi="宋体" w:eastAsia="宋体" w:cs="宋体"/>
                <w:sz w:val="24"/>
              </w:rPr>
            </w:pPr>
          </w:p>
        </w:tc>
        <w:tc>
          <w:tcPr>
            <w:tcW w:w="1933" w:type="dxa"/>
            <w:tcMar>
              <w:left w:w="57" w:type="dxa"/>
              <w:right w:w="57" w:type="dxa"/>
            </w:tcMar>
            <w:vAlign w:val="center"/>
          </w:tcPr>
          <w:p>
            <w:pPr>
              <w:spacing w:line="460" w:lineRule="exact"/>
              <w:ind w:left="210" w:leftChars="100"/>
              <w:jc w:val="center"/>
              <w:rPr>
                <w:rFonts w:ascii="宋体" w:hAnsi="宋体" w:eastAsia="宋体" w:cs="宋体"/>
                <w:sz w:val="24"/>
              </w:rPr>
            </w:pPr>
          </w:p>
        </w:tc>
        <w:tc>
          <w:tcPr>
            <w:tcW w:w="1539" w:type="dxa"/>
            <w:tcMar>
              <w:left w:w="57" w:type="dxa"/>
              <w:right w:w="57" w:type="dxa"/>
            </w:tcMar>
            <w:vAlign w:val="center"/>
          </w:tcPr>
          <w:p>
            <w:pPr>
              <w:spacing w:line="460" w:lineRule="exact"/>
              <w:jc w:val="center"/>
              <w:rPr>
                <w:rFonts w:ascii="宋体" w:hAnsi="宋体" w:eastAsia="宋体" w:cs="宋体"/>
                <w:sz w:val="24"/>
              </w:rPr>
            </w:pPr>
          </w:p>
        </w:tc>
        <w:tc>
          <w:tcPr>
            <w:tcW w:w="2505" w:type="dxa"/>
            <w:tcMar>
              <w:left w:w="57" w:type="dxa"/>
              <w:right w:w="57" w:type="dxa"/>
            </w:tcMar>
            <w:vAlign w:val="center"/>
          </w:tcPr>
          <w:p>
            <w:pPr>
              <w:spacing w:line="460" w:lineRule="exact"/>
              <w:jc w:val="center"/>
              <w:rPr>
                <w:rFonts w:ascii="宋体" w:hAnsi="宋体" w:eastAsia="宋体" w:cs="宋体"/>
                <w:sz w:val="24"/>
              </w:rPr>
            </w:pPr>
          </w:p>
        </w:tc>
        <w:tc>
          <w:tcPr>
            <w:tcW w:w="795" w:type="dxa"/>
            <w:tcMar>
              <w:left w:w="57" w:type="dxa"/>
              <w:right w:w="57" w:type="dxa"/>
            </w:tcMar>
            <w:vAlign w:val="center"/>
          </w:tcPr>
          <w:p>
            <w:pPr>
              <w:spacing w:line="460" w:lineRule="exact"/>
              <w:ind w:left="210" w:leftChars="100"/>
              <w:jc w:val="center"/>
              <w:rPr>
                <w:rFonts w:ascii="宋体" w:hAnsi="宋体" w:eastAsia="宋体" w:cs="宋体"/>
                <w:sz w:val="24"/>
              </w:rPr>
            </w:pPr>
          </w:p>
        </w:tc>
        <w:tc>
          <w:tcPr>
            <w:tcW w:w="930" w:type="dxa"/>
            <w:tcMar>
              <w:left w:w="57" w:type="dxa"/>
              <w:right w:w="57" w:type="dxa"/>
            </w:tcMar>
            <w:vAlign w:val="center"/>
          </w:tcPr>
          <w:p>
            <w:pPr>
              <w:spacing w:line="460" w:lineRule="exact"/>
              <w:ind w:left="210" w:leftChars="100"/>
              <w:jc w:val="center"/>
              <w:rPr>
                <w:rFonts w:ascii="宋体" w:hAnsi="宋体" w:eastAsia="宋体" w:cs="宋体"/>
                <w:sz w:val="24"/>
              </w:rPr>
            </w:pPr>
          </w:p>
        </w:tc>
        <w:tc>
          <w:tcPr>
            <w:tcW w:w="1545" w:type="dxa"/>
            <w:tcMar>
              <w:left w:w="57" w:type="dxa"/>
              <w:right w:w="57" w:type="dxa"/>
            </w:tcMar>
            <w:vAlign w:val="center"/>
          </w:tcPr>
          <w:p>
            <w:pPr>
              <w:spacing w:line="460" w:lineRule="exact"/>
              <w:ind w:left="210" w:leftChars="100" w:firstLine="480" w:firstLineChars="200"/>
              <w:rPr>
                <w:rFonts w:ascii="宋体" w:hAnsi="宋体" w:eastAsia="宋体" w:cs="宋体"/>
                <w:sz w:val="24"/>
              </w:rPr>
            </w:pPr>
          </w:p>
        </w:tc>
        <w:tc>
          <w:tcPr>
            <w:tcW w:w="1500" w:type="dxa"/>
            <w:tcMar>
              <w:left w:w="57" w:type="dxa"/>
              <w:right w:w="57" w:type="dxa"/>
            </w:tcMar>
            <w:vAlign w:val="center"/>
          </w:tcPr>
          <w:p>
            <w:pPr>
              <w:spacing w:line="460" w:lineRule="exact"/>
              <w:jc w:val="center"/>
              <w:rPr>
                <w:rFonts w:ascii="宋体" w:hAnsi="宋体" w:eastAsia="宋体" w:cs="宋体"/>
                <w:sz w:val="24"/>
              </w:rPr>
            </w:pPr>
          </w:p>
        </w:tc>
        <w:tc>
          <w:tcPr>
            <w:tcW w:w="683" w:type="dxa"/>
            <w:tcMar>
              <w:left w:w="57" w:type="dxa"/>
              <w:right w:w="57" w:type="dxa"/>
            </w:tcMar>
            <w:vAlign w:val="center"/>
          </w:tcPr>
          <w:p>
            <w:pPr>
              <w:spacing w:line="460" w:lineRule="exa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tcMar>
              <w:left w:w="57" w:type="dxa"/>
              <w:right w:w="57" w:type="dxa"/>
            </w:tcMar>
            <w:vAlign w:val="center"/>
          </w:tcPr>
          <w:p>
            <w:pPr>
              <w:spacing w:line="460" w:lineRule="exact"/>
              <w:jc w:val="center"/>
              <w:rPr>
                <w:rFonts w:ascii="宋体" w:hAnsi="宋体" w:eastAsia="宋体" w:cs="宋体"/>
                <w:sz w:val="24"/>
              </w:rPr>
            </w:pPr>
            <w:r>
              <w:rPr>
                <w:rFonts w:hint="eastAsia" w:ascii="宋体" w:hAnsi="宋体" w:eastAsia="宋体" w:cs="宋体"/>
                <w:sz w:val="24"/>
              </w:rPr>
              <w:t>4</w:t>
            </w:r>
          </w:p>
        </w:tc>
        <w:tc>
          <w:tcPr>
            <w:tcW w:w="2319" w:type="dxa"/>
            <w:tcMar>
              <w:left w:w="57" w:type="dxa"/>
              <w:right w:w="57" w:type="dxa"/>
            </w:tcMar>
            <w:vAlign w:val="center"/>
          </w:tcPr>
          <w:p>
            <w:pPr>
              <w:spacing w:line="460" w:lineRule="exact"/>
              <w:jc w:val="center"/>
              <w:rPr>
                <w:rFonts w:ascii="宋体" w:hAnsi="宋体" w:eastAsia="宋体" w:cs="宋体"/>
                <w:sz w:val="24"/>
              </w:rPr>
            </w:pPr>
          </w:p>
        </w:tc>
        <w:tc>
          <w:tcPr>
            <w:tcW w:w="1933" w:type="dxa"/>
            <w:tcMar>
              <w:left w:w="57" w:type="dxa"/>
              <w:right w:w="57" w:type="dxa"/>
            </w:tcMar>
            <w:vAlign w:val="center"/>
          </w:tcPr>
          <w:p>
            <w:pPr>
              <w:spacing w:line="460" w:lineRule="exact"/>
              <w:ind w:left="210" w:leftChars="100"/>
              <w:jc w:val="center"/>
              <w:rPr>
                <w:rFonts w:ascii="宋体" w:hAnsi="宋体" w:eastAsia="宋体" w:cs="宋体"/>
                <w:sz w:val="24"/>
              </w:rPr>
            </w:pPr>
          </w:p>
        </w:tc>
        <w:tc>
          <w:tcPr>
            <w:tcW w:w="1539" w:type="dxa"/>
            <w:tcMar>
              <w:left w:w="57" w:type="dxa"/>
              <w:right w:w="57" w:type="dxa"/>
            </w:tcMar>
            <w:vAlign w:val="center"/>
          </w:tcPr>
          <w:p>
            <w:pPr>
              <w:spacing w:line="460" w:lineRule="exact"/>
              <w:jc w:val="center"/>
              <w:rPr>
                <w:rFonts w:ascii="宋体" w:hAnsi="宋体" w:eastAsia="宋体" w:cs="宋体"/>
                <w:sz w:val="24"/>
              </w:rPr>
            </w:pPr>
          </w:p>
        </w:tc>
        <w:tc>
          <w:tcPr>
            <w:tcW w:w="2505" w:type="dxa"/>
            <w:tcMar>
              <w:left w:w="57" w:type="dxa"/>
              <w:right w:w="57" w:type="dxa"/>
            </w:tcMar>
            <w:vAlign w:val="center"/>
          </w:tcPr>
          <w:p>
            <w:pPr>
              <w:spacing w:line="460" w:lineRule="exact"/>
              <w:jc w:val="center"/>
              <w:rPr>
                <w:rFonts w:ascii="宋体" w:hAnsi="宋体" w:eastAsia="宋体" w:cs="宋体"/>
                <w:sz w:val="24"/>
              </w:rPr>
            </w:pPr>
          </w:p>
        </w:tc>
        <w:tc>
          <w:tcPr>
            <w:tcW w:w="795" w:type="dxa"/>
            <w:tcMar>
              <w:left w:w="57" w:type="dxa"/>
              <w:right w:w="57" w:type="dxa"/>
            </w:tcMar>
            <w:vAlign w:val="center"/>
          </w:tcPr>
          <w:p>
            <w:pPr>
              <w:spacing w:line="460" w:lineRule="exact"/>
              <w:ind w:left="210" w:leftChars="100"/>
              <w:jc w:val="center"/>
              <w:rPr>
                <w:rFonts w:ascii="宋体" w:hAnsi="宋体" w:eastAsia="宋体" w:cs="宋体"/>
                <w:sz w:val="24"/>
              </w:rPr>
            </w:pPr>
          </w:p>
        </w:tc>
        <w:tc>
          <w:tcPr>
            <w:tcW w:w="930" w:type="dxa"/>
            <w:tcMar>
              <w:left w:w="57" w:type="dxa"/>
              <w:right w:w="57" w:type="dxa"/>
            </w:tcMar>
            <w:vAlign w:val="center"/>
          </w:tcPr>
          <w:p>
            <w:pPr>
              <w:spacing w:line="460" w:lineRule="exact"/>
              <w:ind w:left="210" w:leftChars="100"/>
              <w:jc w:val="center"/>
              <w:rPr>
                <w:rFonts w:ascii="宋体" w:hAnsi="宋体" w:eastAsia="宋体" w:cs="宋体"/>
                <w:sz w:val="24"/>
              </w:rPr>
            </w:pPr>
          </w:p>
        </w:tc>
        <w:tc>
          <w:tcPr>
            <w:tcW w:w="1545" w:type="dxa"/>
            <w:tcMar>
              <w:left w:w="57" w:type="dxa"/>
              <w:right w:w="57" w:type="dxa"/>
            </w:tcMar>
            <w:vAlign w:val="center"/>
          </w:tcPr>
          <w:p>
            <w:pPr>
              <w:spacing w:line="460" w:lineRule="exact"/>
              <w:ind w:left="210" w:leftChars="100"/>
              <w:jc w:val="center"/>
              <w:rPr>
                <w:rFonts w:ascii="宋体" w:hAnsi="宋体" w:eastAsia="宋体" w:cs="宋体"/>
                <w:sz w:val="24"/>
              </w:rPr>
            </w:pPr>
          </w:p>
        </w:tc>
        <w:tc>
          <w:tcPr>
            <w:tcW w:w="1500" w:type="dxa"/>
            <w:tcMar>
              <w:left w:w="57" w:type="dxa"/>
              <w:right w:w="57" w:type="dxa"/>
            </w:tcMar>
            <w:vAlign w:val="center"/>
          </w:tcPr>
          <w:p>
            <w:pPr>
              <w:spacing w:line="460" w:lineRule="exact"/>
              <w:jc w:val="center"/>
              <w:rPr>
                <w:rFonts w:ascii="宋体" w:hAnsi="宋体" w:eastAsia="宋体" w:cs="宋体"/>
                <w:sz w:val="24"/>
              </w:rPr>
            </w:pPr>
          </w:p>
        </w:tc>
        <w:tc>
          <w:tcPr>
            <w:tcW w:w="683" w:type="dxa"/>
            <w:tcMar>
              <w:left w:w="57" w:type="dxa"/>
              <w:right w:w="57" w:type="dxa"/>
            </w:tcMar>
            <w:vAlign w:val="center"/>
          </w:tcPr>
          <w:p>
            <w:pPr>
              <w:spacing w:line="460" w:lineRule="exa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1" w:type="dxa"/>
            <w:tcMar>
              <w:left w:w="57" w:type="dxa"/>
              <w:right w:w="57" w:type="dxa"/>
            </w:tcMar>
            <w:vAlign w:val="center"/>
          </w:tcPr>
          <w:p>
            <w:pPr>
              <w:spacing w:line="460" w:lineRule="exact"/>
              <w:jc w:val="center"/>
              <w:rPr>
                <w:rFonts w:ascii="宋体" w:hAnsi="宋体" w:eastAsia="宋体" w:cs="宋体"/>
                <w:sz w:val="24"/>
              </w:rPr>
            </w:pPr>
            <w:r>
              <w:rPr>
                <w:rFonts w:hint="eastAsia" w:ascii="宋体" w:hAnsi="宋体" w:eastAsia="宋体" w:cs="宋体"/>
                <w:sz w:val="24"/>
              </w:rPr>
              <w:t>5</w:t>
            </w:r>
          </w:p>
        </w:tc>
        <w:tc>
          <w:tcPr>
            <w:tcW w:w="2319" w:type="dxa"/>
            <w:tcMar>
              <w:left w:w="57" w:type="dxa"/>
              <w:right w:w="57" w:type="dxa"/>
            </w:tcMar>
            <w:vAlign w:val="center"/>
          </w:tcPr>
          <w:p>
            <w:pPr>
              <w:spacing w:line="460" w:lineRule="exact"/>
              <w:jc w:val="center"/>
              <w:rPr>
                <w:rFonts w:ascii="宋体" w:hAnsi="宋体" w:eastAsia="宋体" w:cs="宋体"/>
                <w:sz w:val="24"/>
              </w:rPr>
            </w:pPr>
          </w:p>
        </w:tc>
        <w:tc>
          <w:tcPr>
            <w:tcW w:w="1933" w:type="dxa"/>
            <w:tcMar>
              <w:left w:w="57" w:type="dxa"/>
              <w:right w:w="57" w:type="dxa"/>
            </w:tcMar>
            <w:vAlign w:val="center"/>
          </w:tcPr>
          <w:p>
            <w:pPr>
              <w:spacing w:line="460" w:lineRule="exact"/>
              <w:jc w:val="center"/>
              <w:rPr>
                <w:rFonts w:ascii="宋体" w:hAnsi="宋体" w:eastAsia="宋体" w:cs="宋体"/>
                <w:sz w:val="24"/>
              </w:rPr>
            </w:pPr>
          </w:p>
        </w:tc>
        <w:tc>
          <w:tcPr>
            <w:tcW w:w="1539" w:type="dxa"/>
            <w:tcMar>
              <w:left w:w="57" w:type="dxa"/>
              <w:right w:w="57" w:type="dxa"/>
            </w:tcMar>
            <w:vAlign w:val="center"/>
          </w:tcPr>
          <w:p>
            <w:pPr>
              <w:spacing w:line="460" w:lineRule="exact"/>
              <w:jc w:val="center"/>
              <w:rPr>
                <w:rFonts w:ascii="宋体" w:hAnsi="宋体" w:eastAsia="宋体" w:cs="宋体"/>
                <w:sz w:val="24"/>
              </w:rPr>
            </w:pPr>
          </w:p>
        </w:tc>
        <w:tc>
          <w:tcPr>
            <w:tcW w:w="2505" w:type="dxa"/>
            <w:tcMar>
              <w:left w:w="57" w:type="dxa"/>
              <w:right w:w="57" w:type="dxa"/>
            </w:tcMar>
            <w:vAlign w:val="center"/>
          </w:tcPr>
          <w:p>
            <w:pPr>
              <w:spacing w:line="460" w:lineRule="exact"/>
              <w:jc w:val="center"/>
              <w:rPr>
                <w:rFonts w:ascii="宋体" w:hAnsi="宋体" w:eastAsia="宋体" w:cs="宋体"/>
                <w:sz w:val="24"/>
              </w:rPr>
            </w:pPr>
          </w:p>
        </w:tc>
        <w:tc>
          <w:tcPr>
            <w:tcW w:w="795" w:type="dxa"/>
            <w:tcMar>
              <w:left w:w="57" w:type="dxa"/>
              <w:right w:w="57" w:type="dxa"/>
            </w:tcMar>
            <w:vAlign w:val="center"/>
          </w:tcPr>
          <w:p>
            <w:pPr>
              <w:spacing w:line="460" w:lineRule="exact"/>
              <w:jc w:val="center"/>
              <w:rPr>
                <w:rFonts w:ascii="宋体" w:hAnsi="宋体" w:eastAsia="宋体" w:cs="宋体"/>
                <w:sz w:val="24"/>
              </w:rPr>
            </w:pPr>
          </w:p>
        </w:tc>
        <w:tc>
          <w:tcPr>
            <w:tcW w:w="930" w:type="dxa"/>
            <w:tcMar>
              <w:left w:w="57" w:type="dxa"/>
              <w:right w:w="57" w:type="dxa"/>
            </w:tcMar>
            <w:vAlign w:val="center"/>
          </w:tcPr>
          <w:p>
            <w:pPr>
              <w:spacing w:line="460" w:lineRule="exact"/>
              <w:jc w:val="center"/>
              <w:rPr>
                <w:rFonts w:ascii="宋体" w:hAnsi="宋体" w:eastAsia="宋体" w:cs="宋体"/>
                <w:sz w:val="24"/>
              </w:rPr>
            </w:pPr>
          </w:p>
        </w:tc>
        <w:tc>
          <w:tcPr>
            <w:tcW w:w="1545" w:type="dxa"/>
            <w:tcMar>
              <w:left w:w="57" w:type="dxa"/>
              <w:right w:w="57" w:type="dxa"/>
            </w:tcMar>
            <w:vAlign w:val="center"/>
          </w:tcPr>
          <w:p>
            <w:pPr>
              <w:spacing w:line="460" w:lineRule="exact"/>
              <w:jc w:val="center"/>
              <w:rPr>
                <w:rFonts w:ascii="宋体" w:hAnsi="宋体" w:eastAsia="宋体" w:cs="宋体"/>
                <w:sz w:val="24"/>
              </w:rPr>
            </w:pPr>
          </w:p>
        </w:tc>
        <w:tc>
          <w:tcPr>
            <w:tcW w:w="1500" w:type="dxa"/>
            <w:tcMar>
              <w:left w:w="57" w:type="dxa"/>
              <w:right w:w="57" w:type="dxa"/>
            </w:tcMar>
            <w:vAlign w:val="center"/>
          </w:tcPr>
          <w:p>
            <w:pPr>
              <w:spacing w:line="460" w:lineRule="exact"/>
              <w:jc w:val="center"/>
              <w:rPr>
                <w:rFonts w:ascii="宋体" w:hAnsi="宋体" w:eastAsia="宋体" w:cs="宋体"/>
                <w:sz w:val="24"/>
              </w:rPr>
            </w:pPr>
          </w:p>
        </w:tc>
        <w:tc>
          <w:tcPr>
            <w:tcW w:w="683" w:type="dxa"/>
            <w:tcMar>
              <w:left w:w="57" w:type="dxa"/>
              <w:right w:w="57" w:type="dxa"/>
            </w:tcMar>
            <w:vAlign w:val="center"/>
          </w:tcPr>
          <w:p>
            <w:pPr>
              <w:spacing w:line="460" w:lineRule="exact"/>
              <w:ind w:left="210" w:leftChars="100"/>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1" w:type="dxa"/>
            <w:tcMar>
              <w:left w:w="57" w:type="dxa"/>
              <w:right w:w="57" w:type="dxa"/>
            </w:tcMar>
            <w:vAlign w:val="center"/>
          </w:tcPr>
          <w:p>
            <w:pPr>
              <w:spacing w:line="460" w:lineRule="exact"/>
              <w:jc w:val="center"/>
              <w:rPr>
                <w:rFonts w:ascii="宋体" w:hAnsi="宋体" w:eastAsia="宋体" w:cs="宋体"/>
                <w:sz w:val="24"/>
              </w:rPr>
            </w:pPr>
            <w:r>
              <w:rPr>
                <w:rFonts w:hint="eastAsia" w:ascii="宋体" w:hAnsi="宋体" w:eastAsia="宋体" w:cs="宋体"/>
                <w:sz w:val="24"/>
              </w:rPr>
              <w:t>6</w:t>
            </w:r>
          </w:p>
        </w:tc>
        <w:tc>
          <w:tcPr>
            <w:tcW w:w="2319" w:type="dxa"/>
            <w:tcMar>
              <w:left w:w="57" w:type="dxa"/>
              <w:right w:w="57" w:type="dxa"/>
            </w:tcMar>
            <w:vAlign w:val="center"/>
          </w:tcPr>
          <w:p>
            <w:pPr>
              <w:spacing w:line="460" w:lineRule="exact"/>
              <w:jc w:val="center"/>
              <w:rPr>
                <w:rFonts w:ascii="宋体" w:hAnsi="宋体" w:eastAsia="宋体" w:cs="宋体"/>
                <w:sz w:val="24"/>
              </w:rPr>
            </w:pPr>
          </w:p>
        </w:tc>
        <w:tc>
          <w:tcPr>
            <w:tcW w:w="1933" w:type="dxa"/>
            <w:tcMar>
              <w:left w:w="57" w:type="dxa"/>
              <w:right w:w="57" w:type="dxa"/>
            </w:tcMar>
            <w:vAlign w:val="center"/>
          </w:tcPr>
          <w:p>
            <w:pPr>
              <w:spacing w:line="460" w:lineRule="exact"/>
              <w:jc w:val="center"/>
              <w:rPr>
                <w:rFonts w:ascii="宋体" w:hAnsi="宋体" w:eastAsia="宋体" w:cs="宋体"/>
                <w:sz w:val="24"/>
              </w:rPr>
            </w:pPr>
          </w:p>
        </w:tc>
        <w:tc>
          <w:tcPr>
            <w:tcW w:w="1539" w:type="dxa"/>
            <w:tcMar>
              <w:left w:w="57" w:type="dxa"/>
              <w:right w:w="57" w:type="dxa"/>
            </w:tcMar>
            <w:vAlign w:val="center"/>
          </w:tcPr>
          <w:p>
            <w:pPr>
              <w:spacing w:line="460" w:lineRule="exact"/>
              <w:jc w:val="center"/>
              <w:rPr>
                <w:rFonts w:ascii="宋体" w:hAnsi="宋体" w:eastAsia="宋体" w:cs="宋体"/>
                <w:sz w:val="24"/>
              </w:rPr>
            </w:pPr>
          </w:p>
        </w:tc>
        <w:tc>
          <w:tcPr>
            <w:tcW w:w="2505" w:type="dxa"/>
            <w:tcMar>
              <w:left w:w="57" w:type="dxa"/>
              <w:right w:w="57" w:type="dxa"/>
            </w:tcMar>
            <w:vAlign w:val="center"/>
          </w:tcPr>
          <w:p>
            <w:pPr>
              <w:spacing w:line="460" w:lineRule="exact"/>
              <w:jc w:val="center"/>
              <w:rPr>
                <w:rFonts w:ascii="宋体" w:hAnsi="宋体" w:eastAsia="宋体" w:cs="宋体"/>
                <w:sz w:val="24"/>
              </w:rPr>
            </w:pPr>
          </w:p>
        </w:tc>
        <w:tc>
          <w:tcPr>
            <w:tcW w:w="795" w:type="dxa"/>
            <w:tcMar>
              <w:left w:w="57" w:type="dxa"/>
              <w:right w:w="57" w:type="dxa"/>
            </w:tcMar>
            <w:vAlign w:val="center"/>
          </w:tcPr>
          <w:p>
            <w:pPr>
              <w:spacing w:line="460" w:lineRule="exact"/>
              <w:jc w:val="center"/>
              <w:rPr>
                <w:rFonts w:ascii="宋体" w:hAnsi="宋体" w:eastAsia="宋体" w:cs="宋体"/>
                <w:sz w:val="24"/>
              </w:rPr>
            </w:pPr>
          </w:p>
        </w:tc>
        <w:tc>
          <w:tcPr>
            <w:tcW w:w="930" w:type="dxa"/>
            <w:tcMar>
              <w:left w:w="57" w:type="dxa"/>
              <w:right w:w="57" w:type="dxa"/>
            </w:tcMar>
            <w:vAlign w:val="center"/>
          </w:tcPr>
          <w:p>
            <w:pPr>
              <w:spacing w:line="460" w:lineRule="exact"/>
              <w:jc w:val="center"/>
              <w:rPr>
                <w:rFonts w:ascii="宋体" w:hAnsi="宋体" w:eastAsia="宋体" w:cs="宋体"/>
                <w:sz w:val="24"/>
              </w:rPr>
            </w:pPr>
          </w:p>
        </w:tc>
        <w:tc>
          <w:tcPr>
            <w:tcW w:w="1545" w:type="dxa"/>
            <w:tcMar>
              <w:left w:w="57" w:type="dxa"/>
              <w:right w:w="57" w:type="dxa"/>
            </w:tcMar>
            <w:vAlign w:val="center"/>
          </w:tcPr>
          <w:p>
            <w:pPr>
              <w:spacing w:line="460" w:lineRule="exact"/>
              <w:jc w:val="center"/>
              <w:rPr>
                <w:rFonts w:ascii="宋体" w:hAnsi="宋体" w:eastAsia="宋体" w:cs="宋体"/>
                <w:sz w:val="24"/>
              </w:rPr>
            </w:pPr>
          </w:p>
        </w:tc>
        <w:tc>
          <w:tcPr>
            <w:tcW w:w="1500" w:type="dxa"/>
            <w:tcMar>
              <w:left w:w="57" w:type="dxa"/>
              <w:right w:w="57" w:type="dxa"/>
            </w:tcMar>
            <w:vAlign w:val="center"/>
          </w:tcPr>
          <w:p>
            <w:pPr>
              <w:spacing w:line="460" w:lineRule="exact"/>
              <w:jc w:val="center"/>
              <w:rPr>
                <w:rFonts w:ascii="宋体" w:hAnsi="宋体" w:eastAsia="宋体" w:cs="宋体"/>
                <w:sz w:val="24"/>
              </w:rPr>
            </w:pPr>
          </w:p>
        </w:tc>
        <w:tc>
          <w:tcPr>
            <w:tcW w:w="683" w:type="dxa"/>
            <w:tcMar>
              <w:left w:w="57" w:type="dxa"/>
              <w:right w:w="57" w:type="dxa"/>
            </w:tcMar>
            <w:vAlign w:val="center"/>
          </w:tcPr>
          <w:p>
            <w:pPr>
              <w:spacing w:line="460" w:lineRule="exact"/>
              <w:ind w:left="210" w:leftChars="100"/>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1" w:type="dxa"/>
            <w:tcMar>
              <w:left w:w="57" w:type="dxa"/>
              <w:right w:w="57" w:type="dxa"/>
            </w:tcMar>
            <w:vAlign w:val="center"/>
          </w:tcPr>
          <w:p>
            <w:pPr>
              <w:spacing w:line="460" w:lineRule="exact"/>
              <w:jc w:val="center"/>
              <w:rPr>
                <w:rFonts w:ascii="宋体" w:hAnsi="宋体" w:eastAsia="宋体" w:cs="宋体"/>
                <w:sz w:val="24"/>
              </w:rPr>
            </w:pPr>
            <w:r>
              <w:rPr>
                <w:rFonts w:hint="eastAsia" w:ascii="宋体" w:hAnsi="宋体" w:eastAsia="宋体" w:cs="宋体"/>
                <w:sz w:val="24"/>
              </w:rPr>
              <w:t>7</w:t>
            </w:r>
          </w:p>
        </w:tc>
        <w:tc>
          <w:tcPr>
            <w:tcW w:w="2319" w:type="dxa"/>
            <w:tcMar>
              <w:left w:w="57" w:type="dxa"/>
              <w:right w:w="57" w:type="dxa"/>
            </w:tcMar>
            <w:vAlign w:val="center"/>
          </w:tcPr>
          <w:p>
            <w:pPr>
              <w:spacing w:line="460" w:lineRule="exact"/>
              <w:jc w:val="center"/>
              <w:rPr>
                <w:rFonts w:ascii="宋体" w:hAnsi="宋体" w:eastAsia="宋体" w:cs="宋体"/>
                <w:sz w:val="24"/>
              </w:rPr>
            </w:pPr>
          </w:p>
        </w:tc>
        <w:tc>
          <w:tcPr>
            <w:tcW w:w="1933" w:type="dxa"/>
            <w:tcMar>
              <w:left w:w="57" w:type="dxa"/>
              <w:right w:w="57" w:type="dxa"/>
            </w:tcMar>
            <w:vAlign w:val="center"/>
          </w:tcPr>
          <w:p>
            <w:pPr>
              <w:spacing w:line="460" w:lineRule="exact"/>
              <w:jc w:val="center"/>
              <w:rPr>
                <w:rFonts w:ascii="宋体" w:hAnsi="宋体" w:eastAsia="宋体" w:cs="宋体"/>
                <w:sz w:val="24"/>
              </w:rPr>
            </w:pPr>
          </w:p>
        </w:tc>
        <w:tc>
          <w:tcPr>
            <w:tcW w:w="1539" w:type="dxa"/>
            <w:tcMar>
              <w:left w:w="57" w:type="dxa"/>
              <w:right w:w="57" w:type="dxa"/>
            </w:tcMar>
            <w:vAlign w:val="center"/>
          </w:tcPr>
          <w:p>
            <w:pPr>
              <w:spacing w:line="460" w:lineRule="exact"/>
              <w:jc w:val="center"/>
              <w:rPr>
                <w:rFonts w:ascii="宋体" w:hAnsi="宋体" w:eastAsia="宋体" w:cs="宋体"/>
                <w:sz w:val="24"/>
              </w:rPr>
            </w:pPr>
          </w:p>
        </w:tc>
        <w:tc>
          <w:tcPr>
            <w:tcW w:w="2505" w:type="dxa"/>
            <w:tcMar>
              <w:left w:w="57" w:type="dxa"/>
              <w:right w:w="57" w:type="dxa"/>
            </w:tcMar>
            <w:vAlign w:val="center"/>
          </w:tcPr>
          <w:p>
            <w:pPr>
              <w:spacing w:line="460" w:lineRule="exact"/>
              <w:jc w:val="center"/>
              <w:rPr>
                <w:rFonts w:ascii="宋体" w:hAnsi="宋体" w:eastAsia="宋体" w:cs="宋体"/>
                <w:sz w:val="24"/>
              </w:rPr>
            </w:pPr>
          </w:p>
        </w:tc>
        <w:tc>
          <w:tcPr>
            <w:tcW w:w="795" w:type="dxa"/>
            <w:tcMar>
              <w:left w:w="57" w:type="dxa"/>
              <w:right w:w="57" w:type="dxa"/>
            </w:tcMar>
            <w:vAlign w:val="center"/>
          </w:tcPr>
          <w:p>
            <w:pPr>
              <w:spacing w:line="460" w:lineRule="exact"/>
              <w:jc w:val="center"/>
              <w:rPr>
                <w:rFonts w:ascii="宋体" w:hAnsi="宋体" w:eastAsia="宋体" w:cs="宋体"/>
                <w:sz w:val="24"/>
              </w:rPr>
            </w:pPr>
          </w:p>
        </w:tc>
        <w:tc>
          <w:tcPr>
            <w:tcW w:w="930" w:type="dxa"/>
            <w:tcMar>
              <w:left w:w="57" w:type="dxa"/>
              <w:right w:w="57" w:type="dxa"/>
            </w:tcMar>
            <w:vAlign w:val="center"/>
          </w:tcPr>
          <w:p>
            <w:pPr>
              <w:spacing w:line="460" w:lineRule="exact"/>
              <w:jc w:val="center"/>
              <w:rPr>
                <w:rFonts w:ascii="宋体" w:hAnsi="宋体" w:eastAsia="宋体" w:cs="宋体"/>
                <w:sz w:val="24"/>
              </w:rPr>
            </w:pPr>
          </w:p>
        </w:tc>
        <w:tc>
          <w:tcPr>
            <w:tcW w:w="1545" w:type="dxa"/>
            <w:tcMar>
              <w:left w:w="57" w:type="dxa"/>
              <w:right w:w="57" w:type="dxa"/>
            </w:tcMar>
            <w:vAlign w:val="center"/>
          </w:tcPr>
          <w:p>
            <w:pPr>
              <w:spacing w:line="460" w:lineRule="exact"/>
              <w:jc w:val="center"/>
              <w:rPr>
                <w:rFonts w:ascii="宋体" w:hAnsi="宋体" w:eastAsia="宋体" w:cs="宋体"/>
                <w:sz w:val="24"/>
              </w:rPr>
            </w:pPr>
          </w:p>
        </w:tc>
        <w:tc>
          <w:tcPr>
            <w:tcW w:w="1500" w:type="dxa"/>
            <w:tcMar>
              <w:left w:w="57" w:type="dxa"/>
              <w:right w:w="57" w:type="dxa"/>
            </w:tcMar>
            <w:vAlign w:val="center"/>
          </w:tcPr>
          <w:p>
            <w:pPr>
              <w:spacing w:line="460" w:lineRule="exact"/>
              <w:jc w:val="center"/>
              <w:rPr>
                <w:rFonts w:ascii="宋体" w:hAnsi="宋体" w:eastAsia="宋体" w:cs="宋体"/>
                <w:sz w:val="24"/>
              </w:rPr>
            </w:pPr>
          </w:p>
        </w:tc>
        <w:tc>
          <w:tcPr>
            <w:tcW w:w="683" w:type="dxa"/>
            <w:tcMar>
              <w:left w:w="57" w:type="dxa"/>
              <w:right w:w="57" w:type="dxa"/>
            </w:tcMar>
            <w:vAlign w:val="center"/>
          </w:tcPr>
          <w:p>
            <w:pPr>
              <w:spacing w:line="460" w:lineRule="exact"/>
              <w:ind w:left="210" w:leftChars="100"/>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1" w:type="dxa"/>
            <w:tcMar>
              <w:left w:w="57" w:type="dxa"/>
              <w:right w:w="57" w:type="dxa"/>
            </w:tcMar>
            <w:vAlign w:val="center"/>
          </w:tcPr>
          <w:p>
            <w:pPr>
              <w:spacing w:line="460" w:lineRule="exact"/>
              <w:jc w:val="center"/>
              <w:rPr>
                <w:rFonts w:ascii="宋体" w:hAnsi="宋体" w:eastAsia="宋体" w:cs="宋体"/>
                <w:sz w:val="24"/>
              </w:rPr>
            </w:pPr>
          </w:p>
        </w:tc>
        <w:tc>
          <w:tcPr>
            <w:tcW w:w="2319" w:type="dxa"/>
            <w:tcMar>
              <w:left w:w="57" w:type="dxa"/>
              <w:right w:w="57" w:type="dxa"/>
            </w:tcMar>
            <w:vAlign w:val="center"/>
          </w:tcPr>
          <w:p>
            <w:pPr>
              <w:spacing w:line="460" w:lineRule="exact"/>
              <w:jc w:val="center"/>
              <w:rPr>
                <w:rFonts w:ascii="宋体" w:hAnsi="宋体" w:eastAsia="宋体" w:cs="宋体"/>
                <w:sz w:val="24"/>
              </w:rPr>
            </w:pPr>
          </w:p>
        </w:tc>
        <w:tc>
          <w:tcPr>
            <w:tcW w:w="1933" w:type="dxa"/>
            <w:tcMar>
              <w:left w:w="57" w:type="dxa"/>
              <w:right w:w="57" w:type="dxa"/>
            </w:tcMar>
            <w:vAlign w:val="center"/>
          </w:tcPr>
          <w:p>
            <w:pPr>
              <w:spacing w:line="460" w:lineRule="exact"/>
              <w:jc w:val="center"/>
              <w:rPr>
                <w:rFonts w:ascii="宋体" w:hAnsi="宋体" w:eastAsia="宋体" w:cs="宋体"/>
                <w:sz w:val="24"/>
              </w:rPr>
            </w:pPr>
          </w:p>
        </w:tc>
        <w:tc>
          <w:tcPr>
            <w:tcW w:w="1539" w:type="dxa"/>
            <w:tcMar>
              <w:left w:w="57" w:type="dxa"/>
              <w:right w:w="57" w:type="dxa"/>
            </w:tcMar>
            <w:vAlign w:val="center"/>
          </w:tcPr>
          <w:p>
            <w:pPr>
              <w:spacing w:line="460" w:lineRule="exact"/>
              <w:jc w:val="center"/>
              <w:rPr>
                <w:rFonts w:ascii="宋体" w:hAnsi="宋体" w:eastAsia="宋体" w:cs="宋体"/>
                <w:sz w:val="24"/>
              </w:rPr>
            </w:pPr>
          </w:p>
        </w:tc>
        <w:tc>
          <w:tcPr>
            <w:tcW w:w="2505" w:type="dxa"/>
            <w:tcMar>
              <w:left w:w="57" w:type="dxa"/>
              <w:right w:w="57" w:type="dxa"/>
            </w:tcMar>
            <w:vAlign w:val="center"/>
          </w:tcPr>
          <w:p>
            <w:pPr>
              <w:spacing w:line="460" w:lineRule="exact"/>
              <w:jc w:val="center"/>
              <w:rPr>
                <w:rFonts w:ascii="宋体" w:hAnsi="宋体" w:eastAsia="宋体" w:cs="宋体"/>
                <w:sz w:val="24"/>
              </w:rPr>
            </w:pPr>
          </w:p>
        </w:tc>
        <w:tc>
          <w:tcPr>
            <w:tcW w:w="795" w:type="dxa"/>
            <w:tcMar>
              <w:left w:w="57" w:type="dxa"/>
              <w:right w:w="57" w:type="dxa"/>
            </w:tcMar>
            <w:vAlign w:val="center"/>
          </w:tcPr>
          <w:p>
            <w:pPr>
              <w:spacing w:line="460" w:lineRule="exact"/>
              <w:jc w:val="center"/>
              <w:rPr>
                <w:rFonts w:ascii="宋体" w:hAnsi="宋体" w:eastAsia="宋体" w:cs="宋体"/>
                <w:sz w:val="24"/>
              </w:rPr>
            </w:pPr>
          </w:p>
        </w:tc>
        <w:tc>
          <w:tcPr>
            <w:tcW w:w="930" w:type="dxa"/>
            <w:tcMar>
              <w:left w:w="57" w:type="dxa"/>
              <w:right w:w="57" w:type="dxa"/>
            </w:tcMar>
            <w:vAlign w:val="center"/>
          </w:tcPr>
          <w:p>
            <w:pPr>
              <w:spacing w:line="460" w:lineRule="exact"/>
              <w:jc w:val="center"/>
              <w:rPr>
                <w:rFonts w:ascii="宋体" w:hAnsi="宋体" w:eastAsia="宋体" w:cs="宋体"/>
                <w:sz w:val="24"/>
              </w:rPr>
            </w:pPr>
          </w:p>
        </w:tc>
        <w:tc>
          <w:tcPr>
            <w:tcW w:w="1545" w:type="dxa"/>
            <w:tcMar>
              <w:left w:w="57" w:type="dxa"/>
              <w:right w:w="57" w:type="dxa"/>
            </w:tcMar>
            <w:vAlign w:val="center"/>
          </w:tcPr>
          <w:p>
            <w:pPr>
              <w:spacing w:line="460" w:lineRule="exact"/>
              <w:jc w:val="center"/>
              <w:rPr>
                <w:rFonts w:ascii="宋体" w:hAnsi="宋体" w:eastAsia="宋体" w:cs="宋体"/>
                <w:sz w:val="24"/>
              </w:rPr>
            </w:pPr>
          </w:p>
        </w:tc>
        <w:tc>
          <w:tcPr>
            <w:tcW w:w="1500" w:type="dxa"/>
            <w:tcMar>
              <w:left w:w="57" w:type="dxa"/>
              <w:right w:w="57" w:type="dxa"/>
            </w:tcMar>
            <w:vAlign w:val="center"/>
          </w:tcPr>
          <w:p>
            <w:pPr>
              <w:spacing w:line="460" w:lineRule="exact"/>
              <w:jc w:val="center"/>
              <w:rPr>
                <w:rFonts w:ascii="宋体" w:hAnsi="宋体" w:eastAsia="宋体" w:cs="宋体"/>
                <w:sz w:val="24"/>
              </w:rPr>
            </w:pPr>
          </w:p>
        </w:tc>
        <w:tc>
          <w:tcPr>
            <w:tcW w:w="683" w:type="dxa"/>
            <w:tcMar>
              <w:left w:w="57" w:type="dxa"/>
              <w:right w:w="57" w:type="dxa"/>
            </w:tcMar>
            <w:vAlign w:val="center"/>
          </w:tcPr>
          <w:p>
            <w:pPr>
              <w:spacing w:line="460" w:lineRule="exact"/>
              <w:ind w:left="210" w:leftChars="100"/>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1" w:type="dxa"/>
            <w:tcMar>
              <w:left w:w="57" w:type="dxa"/>
              <w:right w:w="57" w:type="dxa"/>
            </w:tcMar>
            <w:vAlign w:val="center"/>
          </w:tcPr>
          <w:p>
            <w:pPr>
              <w:spacing w:line="460" w:lineRule="exact"/>
              <w:jc w:val="center"/>
              <w:rPr>
                <w:rFonts w:ascii="宋体" w:hAnsi="宋体" w:eastAsia="宋体" w:cs="宋体"/>
                <w:sz w:val="24"/>
              </w:rPr>
            </w:pPr>
          </w:p>
        </w:tc>
        <w:tc>
          <w:tcPr>
            <w:tcW w:w="2319" w:type="dxa"/>
            <w:tcMar>
              <w:left w:w="57" w:type="dxa"/>
              <w:right w:w="57" w:type="dxa"/>
            </w:tcMar>
            <w:vAlign w:val="center"/>
          </w:tcPr>
          <w:p>
            <w:pPr>
              <w:spacing w:line="460" w:lineRule="exact"/>
              <w:jc w:val="center"/>
              <w:rPr>
                <w:rFonts w:ascii="宋体" w:hAnsi="宋体" w:eastAsia="宋体" w:cs="宋体"/>
                <w:sz w:val="24"/>
              </w:rPr>
            </w:pPr>
          </w:p>
        </w:tc>
        <w:tc>
          <w:tcPr>
            <w:tcW w:w="1933" w:type="dxa"/>
            <w:tcMar>
              <w:left w:w="57" w:type="dxa"/>
              <w:right w:w="57" w:type="dxa"/>
            </w:tcMar>
            <w:vAlign w:val="center"/>
          </w:tcPr>
          <w:p>
            <w:pPr>
              <w:spacing w:line="460" w:lineRule="exact"/>
              <w:jc w:val="center"/>
              <w:rPr>
                <w:rFonts w:ascii="宋体" w:hAnsi="宋体" w:eastAsia="宋体" w:cs="宋体"/>
                <w:sz w:val="24"/>
              </w:rPr>
            </w:pPr>
          </w:p>
        </w:tc>
        <w:tc>
          <w:tcPr>
            <w:tcW w:w="1539" w:type="dxa"/>
            <w:tcMar>
              <w:left w:w="57" w:type="dxa"/>
              <w:right w:w="57" w:type="dxa"/>
            </w:tcMar>
            <w:vAlign w:val="center"/>
          </w:tcPr>
          <w:p>
            <w:pPr>
              <w:spacing w:line="460" w:lineRule="exact"/>
              <w:jc w:val="center"/>
              <w:rPr>
                <w:rFonts w:ascii="宋体" w:hAnsi="宋体" w:eastAsia="宋体" w:cs="宋体"/>
                <w:sz w:val="24"/>
              </w:rPr>
            </w:pPr>
          </w:p>
        </w:tc>
        <w:tc>
          <w:tcPr>
            <w:tcW w:w="2505" w:type="dxa"/>
            <w:tcMar>
              <w:left w:w="57" w:type="dxa"/>
              <w:right w:w="57" w:type="dxa"/>
            </w:tcMar>
            <w:vAlign w:val="center"/>
          </w:tcPr>
          <w:p>
            <w:pPr>
              <w:spacing w:line="460" w:lineRule="exact"/>
              <w:jc w:val="center"/>
              <w:rPr>
                <w:rFonts w:ascii="宋体" w:hAnsi="宋体" w:eastAsia="宋体" w:cs="宋体"/>
                <w:sz w:val="24"/>
              </w:rPr>
            </w:pPr>
          </w:p>
        </w:tc>
        <w:tc>
          <w:tcPr>
            <w:tcW w:w="795" w:type="dxa"/>
            <w:tcMar>
              <w:left w:w="57" w:type="dxa"/>
              <w:right w:w="57" w:type="dxa"/>
            </w:tcMar>
            <w:vAlign w:val="center"/>
          </w:tcPr>
          <w:p>
            <w:pPr>
              <w:spacing w:line="460" w:lineRule="exact"/>
              <w:jc w:val="center"/>
              <w:rPr>
                <w:rFonts w:ascii="宋体" w:hAnsi="宋体" w:eastAsia="宋体" w:cs="宋体"/>
                <w:sz w:val="24"/>
              </w:rPr>
            </w:pPr>
          </w:p>
        </w:tc>
        <w:tc>
          <w:tcPr>
            <w:tcW w:w="930" w:type="dxa"/>
            <w:tcMar>
              <w:left w:w="57" w:type="dxa"/>
              <w:right w:w="57" w:type="dxa"/>
            </w:tcMar>
            <w:vAlign w:val="center"/>
          </w:tcPr>
          <w:p>
            <w:pPr>
              <w:spacing w:line="460" w:lineRule="exact"/>
              <w:jc w:val="center"/>
              <w:rPr>
                <w:rFonts w:ascii="宋体" w:hAnsi="宋体" w:eastAsia="宋体" w:cs="宋体"/>
                <w:sz w:val="24"/>
              </w:rPr>
            </w:pPr>
          </w:p>
        </w:tc>
        <w:tc>
          <w:tcPr>
            <w:tcW w:w="1545" w:type="dxa"/>
            <w:tcMar>
              <w:left w:w="57" w:type="dxa"/>
              <w:right w:w="57" w:type="dxa"/>
            </w:tcMar>
            <w:vAlign w:val="center"/>
          </w:tcPr>
          <w:p>
            <w:pPr>
              <w:spacing w:line="460" w:lineRule="exact"/>
              <w:jc w:val="center"/>
              <w:rPr>
                <w:rFonts w:ascii="宋体" w:hAnsi="宋体" w:eastAsia="宋体" w:cs="宋体"/>
                <w:sz w:val="24"/>
              </w:rPr>
            </w:pPr>
          </w:p>
        </w:tc>
        <w:tc>
          <w:tcPr>
            <w:tcW w:w="1500" w:type="dxa"/>
            <w:tcMar>
              <w:left w:w="57" w:type="dxa"/>
              <w:right w:w="57" w:type="dxa"/>
            </w:tcMar>
            <w:vAlign w:val="center"/>
          </w:tcPr>
          <w:p>
            <w:pPr>
              <w:spacing w:line="460" w:lineRule="exact"/>
              <w:jc w:val="center"/>
              <w:rPr>
                <w:rFonts w:ascii="宋体" w:hAnsi="宋体" w:eastAsia="宋体" w:cs="宋体"/>
                <w:sz w:val="24"/>
              </w:rPr>
            </w:pPr>
          </w:p>
        </w:tc>
        <w:tc>
          <w:tcPr>
            <w:tcW w:w="683" w:type="dxa"/>
            <w:tcMar>
              <w:left w:w="57" w:type="dxa"/>
              <w:right w:w="57" w:type="dxa"/>
            </w:tcMar>
            <w:vAlign w:val="center"/>
          </w:tcPr>
          <w:p>
            <w:pPr>
              <w:spacing w:line="460" w:lineRule="exact"/>
              <w:ind w:left="210" w:leftChars="100"/>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1" w:type="dxa"/>
            <w:tcMar>
              <w:left w:w="57" w:type="dxa"/>
              <w:right w:w="57" w:type="dxa"/>
            </w:tcMar>
            <w:vAlign w:val="center"/>
          </w:tcPr>
          <w:p>
            <w:pPr>
              <w:spacing w:line="460" w:lineRule="exact"/>
              <w:jc w:val="center"/>
              <w:rPr>
                <w:rFonts w:ascii="宋体" w:hAnsi="宋体" w:eastAsia="宋体" w:cs="宋体"/>
                <w:sz w:val="24"/>
              </w:rPr>
            </w:pPr>
          </w:p>
        </w:tc>
        <w:tc>
          <w:tcPr>
            <w:tcW w:w="2319" w:type="dxa"/>
            <w:tcMar>
              <w:left w:w="57" w:type="dxa"/>
              <w:right w:w="57" w:type="dxa"/>
            </w:tcMar>
            <w:vAlign w:val="center"/>
          </w:tcPr>
          <w:p>
            <w:pPr>
              <w:spacing w:line="460" w:lineRule="exact"/>
              <w:jc w:val="center"/>
              <w:rPr>
                <w:rFonts w:ascii="宋体" w:hAnsi="宋体" w:eastAsia="宋体" w:cs="宋体"/>
                <w:sz w:val="24"/>
              </w:rPr>
            </w:pPr>
          </w:p>
        </w:tc>
        <w:tc>
          <w:tcPr>
            <w:tcW w:w="1933" w:type="dxa"/>
            <w:tcMar>
              <w:left w:w="57" w:type="dxa"/>
              <w:right w:w="57" w:type="dxa"/>
            </w:tcMar>
            <w:vAlign w:val="center"/>
          </w:tcPr>
          <w:p>
            <w:pPr>
              <w:spacing w:line="460" w:lineRule="exact"/>
              <w:jc w:val="center"/>
              <w:rPr>
                <w:rFonts w:ascii="宋体" w:hAnsi="宋体" w:eastAsia="宋体" w:cs="宋体"/>
                <w:sz w:val="24"/>
              </w:rPr>
            </w:pPr>
          </w:p>
        </w:tc>
        <w:tc>
          <w:tcPr>
            <w:tcW w:w="1539" w:type="dxa"/>
            <w:tcMar>
              <w:left w:w="57" w:type="dxa"/>
              <w:right w:w="57" w:type="dxa"/>
            </w:tcMar>
            <w:vAlign w:val="center"/>
          </w:tcPr>
          <w:p>
            <w:pPr>
              <w:spacing w:line="460" w:lineRule="exact"/>
              <w:jc w:val="center"/>
              <w:rPr>
                <w:rFonts w:ascii="宋体" w:hAnsi="宋体" w:eastAsia="宋体" w:cs="宋体"/>
                <w:sz w:val="24"/>
              </w:rPr>
            </w:pPr>
          </w:p>
        </w:tc>
        <w:tc>
          <w:tcPr>
            <w:tcW w:w="2505" w:type="dxa"/>
            <w:tcMar>
              <w:left w:w="57" w:type="dxa"/>
              <w:right w:w="57" w:type="dxa"/>
            </w:tcMar>
            <w:vAlign w:val="center"/>
          </w:tcPr>
          <w:p>
            <w:pPr>
              <w:spacing w:line="460" w:lineRule="exact"/>
              <w:jc w:val="center"/>
              <w:rPr>
                <w:rFonts w:ascii="宋体" w:hAnsi="宋体" w:eastAsia="宋体" w:cs="宋体"/>
                <w:sz w:val="24"/>
              </w:rPr>
            </w:pPr>
          </w:p>
        </w:tc>
        <w:tc>
          <w:tcPr>
            <w:tcW w:w="795" w:type="dxa"/>
            <w:tcMar>
              <w:left w:w="57" w:type="dxa"/>
              <w:right w:w="57" w:type="dxa"/>
            </w:tcMar>
            <w:vAlign w:val="center"/>
          </w:tcPr>
          <w:p>
            <w:pPr>
              <w:spacing w:line="460" w:lineRule="exact"/>
              <w:jc w:val="center"/>
              <w:rPr>
                <w:rFonts w:ascii="宋体" w:hAnsi="宋体" w:eastAsia="宋体" w:cs="宋体"/>
                <w:sz w:val="24"/>
              </w:rPr>
            </w:pPr>
          </w:p>
        </w:tc>
        <w:tc>
          <w:tcPr>
            <w:tcW w:w="930" w:type="dxa"/>
            <w:tcMar>
              <w:left w:w="57" w:type="dxa"/>
              <w:right w:w="57" w:type="dxa"/>
            </w:tcMar>
            <w:vAlign w:val="center"/>
          </w:tcPr>
          <w:p>
            <w:pPr>
              <w:spacing w:line="460" w:lineRule="exact"/>
              <w:jc w:val="center"/>
              <w:rPr>
                <w:rFonts w:ascii="宋体" w:hAnsi="宋体" w:eastAsia="宋体" w:cs="宋体"/>
                <w:sz w:val="24"/>
              </w:rPr>
            </w:pPr>
          </w:p>
        </w:tc>
        <w:tc>
          <w:tcPr>
            <w:tcW w:w="1545" w:type="dxa"/>
            <w:tcMar>
              <w:left w:w="57" w:type="dxa"/>
              <w:right w:w="57" w:type="dxa"/>
            </w:tcMar>
            <w:vAlign w:val="center"/>
          </w:tcPr>
          <w:p>
            <w:pPr>
              <w:spacing w:line="460" w:lineRule="exact"/>
              <w:jc w:val="center"/>
              <w:rPr>
                <w:rFonts w:ascii="宋体" w:hAnsi="宋体" w:eastAsia="宋体" w:cs="宋体"/>
                <w:sz w:val="24"/>
              </w:rPr>
            </w:pPr>
          </w:p>
        </w:tc>
        <w:tc>
          <w:tcPr>
            <w:tcW w:w="1500" w:type="dxa"/>
            <w:tcMar>
              <w:left w:w="57" w:type="dxa"/>
              <w:right w:w="57" w:type="dxa"/>
            </w:tcMar>
            <w:vAlign w:val="center"/>
          </w:tcPr>
          <w:p>
            <w:pPr>
              <w:spacing w:line="460" w:lineRule="exact"/>
              <w:jc w:val="center"/>
              <w:rPr>
                <w:rFonts w:ascii="宋体" w:hAnsi="宋体" w:eastAsia="宋体" w:cs="宋体"/>
                <w:sz w:val="24"/>
              </w:rPr>
            </w:pPr>
          </w:p>
        </w:tc>
        <w:tc>
          <w:tcPr>
            <w:tcW w:w="683" w:type="dxa"/>
            <w:tcMar>
              <w:left w:w="57" w:type="dxa"/>
              <w:right w:w="57" w:type="dxa"/>
            </w:tcMar>
            <w:vAlign w:val="center"/>
          </w:tcPr>
          <w:p>
            <w:pPr>
              <w:spacing w:line="460" w:lineRule="exact"/>
              <w:ind w:left="210" w:leftChars="100"/>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1" w:type="dxa"/>
            <w:tcMar>
              <w:left w:w="57" w:type="dxa"/>
              <w:right w:w="57" w:type="dxa"/>
            </w:tcMar>
            <w:vAlign w:val="center"/>
          </w:tcPr>
          <w:p>
            <w:pPr>
              <w:spacing w:line="460" w:lineRule="exact"/>
              <w:jc w:val="center"/>
              <w:rPr>
                <w:rFonts w:ascii="宋体" w:hAnsi="宋体" w:eastAsia="宋体" w:cs="宋体"/>
                <w:sz w:val="24"/>
              </w:rPr>
            </w:pPr>
          </w:p>
        </w:tc>
        <w:tc>
          <w:tcPr>
            <w:tcW w:w="2319" w:type="dxa"/>
            <w:tcMar>
              <w:left w:w="57" w:type="dxa"/>
              <w:right w:w="57" w:type="dxa"/>
            </w:tcMar>
            <w:vAlign w:val="center"/>
          </w:tcPr>
          <w:p>
            <w:pPr>
              <w:spacing w:line="460" w:lineRule="exact"/>
              <w:jc w:val="center"/>
              <w:rPr>
                <w:rFonts w:ascii="宋体" w:hAnsi="宋体" w:eastAsia="宋体" w:cs="宋体"/>
                <w:sz w:val="24"/>
              </w:rPr>
            </w:pPr>
          </w:p>
        </w:tc>
        <w:tc>
          <w:tcPr>
            <w:tcW w:w="1933" w:type="dxa"/>
            <w:tcMar>
              <w:left w:w="57" w:type="dxa"/>
              <w:right w:w="57" w:type="dxa"/>
            </w:tcMar>
            <w:vAlign w:val="center"/>
          </w:tcPr>
          <w:p>
            <w:pPr>
              <w:spacing w:line="460" w:lineRule="exact"/>
              <w:jc w:val="center"/>
              <w:rPr>
                <w:rFonts w:ascii="宋体" w:hAnsi="宋体" w:eastAsia="宋体" w:cs="宋体"/>
                <w:sz w:val="24"/>
              </w:rPr>
            </w:pPr>
          </w:p>
        </w:tc>
        <w:tc>
          <w:tcPr>
            <w:tcW w:w="1539" w:type="dxa"/>
            <w:tcMar>
              <w:left w:w="57" w:type="dxa"/>
              <w:right w:w="57" w:type="dxa"/>
            </w:tcMar>
            <w:vAlign w:val="center"/>
          </w:tcPr>
          <w:p>
            <w:pPr>
              <w:spacing w:line="460" w:lineRule="exact"/>
              <w:jc w:val="center"/>
              <w:rPr>
                <w:rFonts w:ascii="宋体" w:hAnsi="宋体" w:eastAsia="宋体" w:cs="宋体"/>
                <w:sz w:val="24"/>
              </w:rPr>
            </w:pPr>
          </w:p>
        </w:tc>
        <w:tc>
          <w:tcPr>
            <w:tcW w:w="2505" w:type="dxa"/>
            <w:tcMar>
              <w:left w:w="57" w:type="dxa"/>
              <w:right w:w="57" w:type="dxa"/>
            </w:tcMar>
            <w:vAlign w:val="center"/>
          </w:tcPr>
          <w:p>
            <w:pPr>
              <w:spacing w:line="460" w:lineRule="exact"/>
              <w:jc w:val="center"/>
              <w:rPr>
                <w:rFonts w:ascii="宋体" w:hAnsi="宋体" w:eastAsia="宋体" w:cs="宋体"/>
                <w:sz w:val="24"/>
              </w:rPr>
            </w:pPr>
          </w:p>
        </w:tc>
        <w:tc>
          <w:tcPr>
            <w:tcW w:w="795" w:type="dxa"/>
            <w:tcMar>
              <w:left w:w="57" w:type="dxa"/>
              <w:right w:w="57" w:type="dxa"/>
            </w:tcMar>
            <w:vAlign w:val="center"/>
          </w:tcPr>
          <w:p>
            <w:pPr>
              <w:spacing w:line="460" w:lineRule="exact"/>
              <w:jc w:val="center"/>
              <w:rPr>
                <w:rFonts w:ascii="宋体" w:hAnsi="宋体" w:eastAsia="宋体" w:cs="宋体"/>
                <w:sz w:val="24"/>
              </w:rPr>
            </w:pPr>
          </w:p>
        </w:tc>
        <w:tc>
          <w:tcPr>
            <w:tcW w:w="930" w:type="dxa"/>
            <w:tcMar>
              <w:left w:w="57" w:type="dxa"/>
              <w:right w:w="57" w:type="dxa"/>
            </w:tcMar>
            <w:vAlign w:val="center"/>
          </w:tcPr>
          <w:p>
            <w:pPr>
              <w:spacing w:line="460" w:lineRule="exact"/>
              <w:jc w:val="center"/>
              <w:rPr>
                <w:rFonts w:ascii="宋体" w:hAnsi="宋体" w:eastAsia="宋体" w:cs="宋体"/>
                <w:sz w:val="24"/>
              </w:rPr>
            </w:pPr>
          </w:p>
        </w:tc>
        <w:tc>
          <w:tcPr>
            <w:tcW w:w="1545" w:type="dxa"/>
            <w:tcMar>
              <w:left w:w="57" w:type="dxa"/>
              <w:right w:w="57" w:type="dxa"/>
            </w:tcMar>
            <w:vAlign w:val="center"/>
          </w:tcPr>
          <w:p>
            <w:pPr>
              <w:spacing w:line="460" w:lineRule="exact"/>
              <w:jc w:val="center"/>
              <w:rPr>
                <w:rFonts w:ascii="宋体" w:hAnsi="宋体" w:eastAsia="宋体" w:cs="宋体"/>
                <w:sz w:val="24"/>
              </w:rPr>
            </w:pPr>
          </w:p>
        </w:tc>
        <w:tc>
          <w:tcPr>
            <w:tcW w:w="1500" w:type="dxa"/>
            <w:tcMar>
              <w:left w:w="57" w:type="dxa"/>
              <w:right w:w="57" w:type="dxa"/>
            </w:tcMar>
            <w:vAlign w:val="center"/>
          </w:tcPr>
          <w:p>
            <w:pPr>
              <w:spacing w:line="460" w:lineRule="exact"/>
              <w:jc w:val="center"/>
              <w:rPr>
                <w:rFonts w:ascii="宋体" w:hAnsi="宋体" w:eastAsia="宋体" w:cs="宋体"/>
                <w:sz w:val="24"/>
              </w:rPr>
            </w:pPr>
          </w:p>
        </w:tc>
        <w:tc>
          <w:tcPr>
            <w:tcW w:w="683" w:type="dxa"/>
            <w:tcMar>
              <w:left w:w="57" w:type="dxa"/>
              <w:right w:w="57" w:type="dxa"/>
            </w:tcMar>
            <w:vAlign w:val="center"/>
          </w:tcPr>
          <w:p>
            <w:pPr>
              <w:spacing w:line="460" w:lineRule="exact"/>
              <w:ind w:left="210" w:leftChars="100"/>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1" w:type="dxa"/>
            <w:tcMar>
              <w:left w:w="57" w:type="dxa"/>
              <w:right w:w="57" w:type="dxa"/>
            </w:tcMar>
            <w:vAlign w:val="center"/>
          </w:tcPr>
          <w:p>
            <w:pPr>
              <w:spacing w:line="460" w:lineRule="exact"/>
              <w:jc w:val="center"/>
              <w:rPr>
                <w:rFonts w:ascii="宋体" w:hAnsi="宋体" w:eastAsia="宋体" w:cs="宋体"/>
                <w:sz w:val="24"/>
              </w:rPr>
            </w:pPr>
          </w:p>
        </w:tc>
        <w:tc>
          <w:tcPr>
            <w:tcW w:w="2319" w:type="dxa"/>
            <w:tcMar>
              <w:left w:w="57" w:type="dxa"/>
              <w:right w:w="57" w:type="dxa"/>
            </w:tcMar>
            <w:vAlign w:val="center"/>
          </w:tcPr>
          <w:p>
            <w:pPr>
              <w:spacing w:line="460" w:lineRule="exact"/>
              <w:jc w:val="center"/>
              <w:rPr>
                <w:rFonts w:ascii="宋体" w:hAnsi="宋体" w:eastAsia="宋体" w:cs="宋体"/>
                <w:sz w:val="24"/>
              </w:rPr>
            </w:pPr>
          </w:p>
        </w:tc>
        <w:tc>
          <w:tcPr>
            <w:tcW w:w="1933" w:type="dxa"/>
            <w:tcMar>
              <w:left w:w="57" w:type="dxa"/>
              <w:right w:w="57" w:type="dxa"/>
            </w:tcMar>
            <w:vAlign w:val="center"/>
          </w:tcPr>
          <w:p>
            <w:pPr>
              <w:spacing w:line="460" w:lineRule="exact"/>
              <w:jc w:val="center"/>
              <w:rPr>
                <w:rFonts w:ascii="宋体" w:hAnsi="宋体" w:eastAsia="宋体" w:cs="宋体"/>
                <w:sz w:val="24"/>
              </w:rPr>
            </w:pPr>
          </w:p>
        </w:tc>
        <w:tc>
          <w:tcPr>
            <w:tcW w:w="1539" w:type="dxa"/>
            <w:tcMar>
              <w:left w:w="57" w:type="dxa"/>
              <w:right w:w="57" w:type="dxa"/>
            </w:tcMar>
            <w:vAlign w:val="center"/>
          </w:tcPr>
          <w:p>
            <w:pPr>
              <w:spacing w:line="460" w:lineRule="exact"/>
              <w:jc w:val="center"/>
              <w:rPr>
                <w:rFonts w:ascii="宋体" w:hAnsi="宋体" w:eastAsia="宋体" w:cs="宋体"/>
                <w:sz w:val="24"/>
              </w:rPr>
            </w:pPr>
          </w:p>
        </w:tc>
        <w:tc>
          <w:tcPr>
            <w:tcW w:w="2505" w:type="dxa"/>
            <w:tcMar>
              <w:left w:w="57" w:type="dxa"/>
              <w:right w:w="57" w:type="dxa"/>
            </w:tcMar>
            <w:vAlign w:val="center"/>
          </w:tcPr>
          <w:p>
            <w:pPr>
              <w:spacing w:line="460" w:lineRule="exact"/>
              <w:jc w:val="center"/>
              <w:rPr>
                <w:rFonts w:ascii="宋体" w:hAnsi="宋体" w:eastAsia="宋体" w:cs="宋体"/>
                <w:sz w:val="24"/>
              </w:rPr>
            </w:pPr>
          </w:p>
        </w:tc>
        <w:tc>
          <w:tcPr>
            <w:tcW w:w="795" w:type="dxa"/>
            <w:tcMar>
              <w:left w:w="57" w:type="dxa"/>
              <w:right w:w="57" w:type="dxa"/>
            </w:tcMar>
            <w:vAlign w:val="center"/>
          </w:tcPr>
          <w:p>
            <w:pPr>
              <w:spacing w:line="460" w:lineRule="exact"/>
              <w:jc w:val="center"/>
              <w:rPr>
                <w:rFonts w:ascii="宋体" w:hAnsi="宋体" w:eastAsia="宋体" w:cs="宋体"/>
                <w:sz w:val="24"/>
              </w:rPr>
            </w:pPr>
          </w:p>
        </w:tc>
        <w:tc>
          <w:tcPr>
            <w:tcW w:w="930" w:type="dxa"/>
            <w:tcMar>
              <w:left w:w="57" w:type="dxa"/>
              <w:right w:w="57" w:type="dxa"/>
            </w:tcMar>
            <w:vAlign w:val="center"/>
          </w:tcPr>
          <w:p>
            <w:pPr>
              <w:spacing w:line="460" w:lineRule="exact"/>
              <w:jc w:val="center"/>
              <w:rPr>
                <w:rFonts w:ascii="宋体" w:hAnsi="宋体" w:eastAsia="宋体" w:cs="宋体"/>
                <w:sz w:val="24"/>
              </w:rPr>
            </w:pPr>
          </w:p>
        </w:tc>
        <w:tc>
          <w:tcPr>
            <w:tcW w:w="1545" w:type="dxa"/>
            <w:tcMar>
              <w:left w:w="57" w:type="dxa"/>
              <w:right w:w="57" w:type="dxa"/>
            </w:tcMar>
            <w:vAlign w:val="center"/>
          </w:tcPr>
          <w:p>
            <w:pPr>
              <w:spacing w:line="460" w:lineRule="exact"/>
              <w:jc w:val="center"/>
              <w:rPr>
                <w:rFonts w:ascii="宋体" w:hAnsi="宋体" w:eastAsia="宋体" w:cs="宋体"/>
                <w:sz w:val="24"/>
              </w:rPr>
            </w:pPr>
          </w:p>
        </w:tc>
        <w:tc>
          <w:tcPr>
            <w:tcW w:w="1500" w:type="dxa"/>
            <w:tcMar>
              <w:left w:w="57" w:type="dxa"/>
              <w:right w:w="57" w:type="dxa"/>
            </w:tcMar>
            <w:vAlign w:val="center"/>
          </w:tcPr>
          <w:p>
            <w:pPr>
              <w:spacing w:line="460" w:lineRule="exact"/>
              <w:jc w:val="center"/>
              <w:rPr>
                <w:rFonts w:ascii="宋体" w:hAnsi="宋体" w:eastAsia="宋体" w:cs="宋体"/>
                <w:sz w:val="24"/>
              </w:rPr>
            </w:pPr>
          </w:p>
        </w:tc>
        <w:tc>
          <w:tcPr>
            <w:tcW w:w="683" w:type="dxa"/>
            <w:tcMar>
              <w:left w:w="57" w:type="dxa"/>
              <w:right w:w="57" w:type="dxa"/>
            </w:tcMar>
            <w:vAlign w:val="center"/>
          </w:tcPr>
          <w:p>
            <w:pPr>
              <w:spacing w:line="460" w:lineRule="exact"/>
              <w:ind w:left="210" w:leftChars="100"/>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1" w:type="dxa"/>
            <w:tcMar>
              <w:left w:w="57" w:type="dxa"/>
              <w:right w:w="57" w:type="dxa"/>
            </w:tcMar>
            <w:vAlign w:val="center"/>
          </w:tcPr>
          <w:p>
            <w:pPr>
              <w:spacing w:line="460" w:lineRule="exact"/>
              <w:jc w:val="center"/>
              <w:rPr>
                <w:rFonts w:ascii="宋体" w:hAnsi="宋体" w:eastAsia="宋体" w:cs="宋体"/>
                <w:sz w:val="24"/>
              </w:rPr>
            </w:pPr>
          </w:p>
        </w:tc>
        <w:tc>
          <w:tcPr>
            <w:tcW w:w="2319" w:type="dxa"/>
            <w:tcMar>
              <w:left w:w="57" w:type="dxa"/>
              <w:right w:w="57" w:type="dxa"/>
            </w:tcMar>
            <w:vAlign w:val="center"/>
          </w:tcPr>
          <w:p>
            <w:pPr>
              <w:spacing w:line="460" w:lineRule="exact"/>
              <w:jc w:val="center"/>
              <w:rPr>
                <w:rFonts w:ascii="宋体" w:hAnsi="宋体" w:eastAsia="宋体" w:cs="宋体"/>
                <w:sz w:val="24"/>
              </w:rPr>
            </w:pPr>
          </w:p>
        </w:tc>
        <w:tc>
          <w:tcPr>
            <w:tcW w:w="1933" w:type="dxa"/>
            <w:tcMar>
              <w:left w:w="57" w:type="dxa"/>
              <w:right w:w="57" w:type="dxa"/>
            </w:tcMar>
            <w:vAlign w:val="center"/>
          </w:tcPr>
          <w:p>
            <w:pPr>
              <w:spacing w:line="460" w:lineRule="exact"/>
              <w:jc w:val="center"/>
              <w:rPr>
                <w:rFonts w:ascii="宋体" w:hAnsi="宋体" w:eastAsia="宋体" w:cs="宋体"/>
                <w:sz w:val="24"/>
              </w:rPr>
            </w:pPr>
          </w:p>
        </w:tc>
        <w:tc>
          <w:tcPr>
            <w:tcW w:w="1539" w:type="dxa"/>
            <w:tcMar>
              <w:left w:w="57" w:type="dxa"/>
              <w:right w:w="57" w:type="dxa"/>
            </w:tcMar>
            <w:vAlign w:val="center"/>
          </w:tcPr>
          <w:p>
            <w:pPr>
              <w:spacing w:line="460" w:lineRule="exact"/>
              <w:jc w:val="center"/>
              <w:rPr>
                <w:rFonts w:ascii="宋体" w:hAnsi="宋体" w:eastAsia="宋体" w:cs="宋体"/>
                <w:sz w:val="24"/>
              </w:rPr>
            </w:pPr>
          </w:p>
        </w:tc>
        <w:tc>
          <w:tcPr>
            <w:tcW w:w="2505" w:type="dxa"/>
            <w:tcMar>
              <w:left w:w="57" w:type="dxa"/>
              <w:right w:w="57" w:type="dxa"/>
            </w:tcMar>
            <w:vAlign w:val="center"/>
          </w:tcPr>
          <w:p>
            <w:pPr>
              <w:spacing w:line="460" w:lineRule="exact"/>
              <w:jc w:val="center"/>
              <w:rPr>
                <w:rFonts w:ascii="宋体" w:hAnsi="宋体" w:eastAsia="宋体" w:cs="宋体"/>
                <w:sz w:val="24"/>
              </w:rPr>
            </w:pPr>
          </w:p>
        </w:tc>
        <w:tc>
          <w:tcPr>
            <w:tcW w:w="795" w:type="dxa"/>
            <w:tcMar>
              <w:left w:w="57" w:type="dxa"/>
              <w:right w:w="57" w:type="dxa"/>
            </w:tcMar>
            <w:vAlign w:val="center"/>
          </w:tcPr>
          <w:p>
            <w:pPr>
              <w:spacing w:line="460" w:lineRule="exact"/>
              <w:jc w:val="center"/>
              <w:rPr>
                <w:rFonts w:ascii="宋体" w:hAnsi="宋体" w:eastAsia="宋体" w:cs="宋体"/>
                <w:sz w:val="24"/>
              </w:rPr>
            </w:pPr>
          </w:p>
        </w:tc>
        <w:tc>
          <w:tcPr>
            <w:tcW w:w="930" w:type="dxa"/>
            <w:tcMar>
              <w:left w:w="57" w:type="dxa"/>
              <w:right w:w="57" w:type="dxa"/>
            </w:tcMar>
            <w:vAlign w:val="center"/>
          </w:tcPr>
          <w:p>
            <w:pPr>
              <w:spacing w:line="460" w:lineRule="exact"/>
              <w:jc w:val="center"/>
              <w:rPr>
                <w:rFonts w:ascii="宋体" w:hAnsi="宋体" w:eastAsia="宋体" w:cs="宋体"/>
                <w:sz w:val="24"/>
              </w:rPr>
            </w:pPr>
          </w:p>
        </w:tc>
        <w:tc>
          <w:tcPr>
            <w:tcW w:w="1545" w:type="dxa"/>
            <w:tcMar>
              <w:left w:w="57" w:type="dxa"/>
              <w:right w:w="57" w:type="dxa"/>
            </w:tcMar>
            <w:vAlign w:val="center"/>
          </w:tcPr>
          <w:p>
            <w:pPr>
              <w:spacing w:line="460" w:lineRule="exact"/>
              <w:jc w:val="center"/>
              <w:rPr>
                <w:rFonts w:ascii="宋体" w:hAnsi="宋体" w:eastAsia="宋体" w:cs="宋体"/>
                <w:sz w:val="24"/>
              </w:rPr>
            </w:pPr>
          </w:p>
        </w:tc>
        <w:tc>
          <w:tcPr>
            <w:tcW w:w="1500" w:type="dxa"/>
            <w:tcMar>
              <w:left w:w="57" w:type="dxa"/>
              <w:right w:w="57" w:type="dxa"/>
            </w:tcMar>
            <w:vAlign w:val="center"/>
          </w:tcPr>
          <w:p>
            <w:pPr>
              <w:spacing w:line="460" w:lineRule="exact"/>
              <w:jc w:val="center"/>
              <w:rPr>
                <w:rFonts w:ascii="宋体" w:hAnsi="宋体" w:eastAsia="宋体" w:cs="宋体"/>
                <w:sz w:val="24"/>
              </w:rPr>
            </w:pPr>
          </w:p>
        </w:tc>
        <w:tc>
          <w:tcPr>
            <w:tcW w:w="683" w:type="dxa"/>
            <w:tcMar>
              <w:left w:w="57" w:type="dxa"/>
              <w:right w:w="57" w:type="dxa"/>
            </w:tcMar>
            <w:vAlign w:val="center"/>
          </w:tcPr>
          <w:p>
            <w:pPr>
              <w:spacing w:line="460" w:lineRule="exact"/>
              <w:ind w:left="210" w:leftChars="100"/>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3090" w:type="dxa"/>
            <w:gridSpan w:val="2"/>
            <w:tcMar>
              <w:left w:w="57" w:type="dxa"/>
              <w:right w:w="57" w:type="dxa"/>
            </w:tcMar>
            <w:vAlign w:val="center"/>
          </w:tcPr>
          <w:p>
            <w:pPr>
              <w:spacing w:line="460" w:lineRule="exact"/>
              <w:jc w:val="center"/>
              <w:rPr>
                <w:rFonts w:ascii="宋体" w:hAnsi="宋体" w:eastAsia="宋体" w:cs="宋体"/>
                <w:sz w:val="24"/>
              </w:rPr>
            </w:pPr>
            <w:r>
              <w:rPr>
                <w:rFonts w:hint="eastAsia" w:ascii="宋体" w:hAnsi="宋体" w:eastAsia="宋体" w:cs="宋体"/>
                <w:sz w:val="24"/>
              </w:rPr>
              <w:t>总 计（人民币元）</w:t>
            </w:r>
          </w:p>
        </w:tc>
        <w:tc>
          <w:tcPr>
            <w:tcW w:w="10747" w:type="dxa"/>
            <w:gridSpan w:val="7"/>
            <w:tcMar>
              <w:left w:w="57" w:type="dxa"/>
              <w:right w:w="57" w:type="dxa"/>
            </w:tcMar>
            <w:vAlign w:val="center"/>
          </w:tcPr>
          <w:p>
            <w:pPr>
              <w:spacing w:line="460" w:lineRule="exact"/>
              <w:jc w:val="center"/>
              <w:rPr>
                <w:rFonts w:ascii="宋体" w:hAnsi="宋体" w:eastAsia="宋体" w:cs="宋体"/>
                <w:sz w:val="24"/>
              </w:rPr>
            </w:pPr>
          </w:p>
        </w:tc>
        <w:tc>
          <w:tcPr>
            <w:tcW w:w="683" w:type="dxa"/>
            <w:tcMar>
              <w:left w:w="57" w:type="dxa"/>
              <w:right w:w="57" w:type="dxa"/>
            </w:tcMar>
            <w:vAlign w:val="center"/>
          </w:tcPr>
          <w:p>
            <w:pPr>
              <w:spacing w:line="460" w:lineRule="exact"/>
              <w:jc w:val="left"/>
              <w:rPr>
                <w:rFonts w:ascii="宋体" w:hAnsi="宋体" w:eastAsia="宋体" w:cs="宋体"/>
                <w:sz w:val="24"/>
              </w:rPr>
            </w:pPr>
          </w:p>
        </w:tc>
      </w:tr>
    </w:tbl>
    <w:p>
      <w:pPr>
        <w:pStyle w:val="14"/>
        <w:rPr>
          <w:b/>
          <w:color w:val="auto"/>
        </w:rPr>
      </w:pPr>
      <w:r>
        <w:rPr>
          <w:rFonts w:hint="eastAsia"/>
          <w:b/>
          <w:color w:val="auto"/>
        </w:rPr>
        <w:t>附件2</w:t>
      </w:r>
      <w:r>
        <w:rPr>
          <w:b/>
          <w:color w:val="auto"/>
        </w:rPr>
        <w:t>—</w:t>
      </w:r>
      <w:r>
        <w:rPr>
          <w:rFonts w:hint="eastAsia"/>
          <w:b/>
          <w:color w:val="auto"/>
        </w:rPr>
        <w:t>设备技术规格与要求</w:t>
      </w:r>
    </w:p>
    <w:tbl>
      <w:tblPr>
        <w:tblStyle w:val="29"/>
        <w:tblW w:w="14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969"/>
        <w:gridCol w:w="1305"/>
        <w:gridCol w:w="8008"/>
        <w:gridCol w:w="1365"/>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795" w:type="dxa"/>
            <w:vAlign w:val="center"/>
          </w:tcPr>
          <w:p>
            <w:pPr>
              <w:spacing w:line="460" w:lineRule="exact"/>
              <w:jc w:val="center"/>
              <w:rPr>
                <w:rFonts w:ascii="宋体" w:hAnsi="宋体" w:eastAsia="宋体" w:cs="宋体"/>
                <w:b/>
                <w:sz w:val="24"/>
              </w:rPr>
            </w:pPr>
            <w:r>
              <w:rPr>
                <w:rFonts w:hint="eastAsia" w:ascii="宋体" w:hAnsi="宋体" w:eastAsia="宋体" w:cs="宋体"/>
                <w:b/>
                <w:sz w:val="24"/>
              </w:rPr>
              <w:t>序号</w:t>
            </w:r>
          </w:p>
        </w:tc>
        <w:tc>
          <w:tcPr>
            <w:tcW w:w="1969" w:type="dxa"/>
            <w:vAlign w:val="center"/>
          </w:tcPr>
          <w:p>
            <w:pPr>
              <w:spacing w:line="460" w:lineRule="exact"/>
              <w:jc w:val="center"/>
              <w:rPr>
                <w:rFonts w:ascii="宋体" w:hAnsi="宋体" w:eastAsia="宋体" w:cs="宋体"/>
                <w:b/>
                <w:sz w:val="24"/>
              </w:rPr>
            </w:pPr>
            <w:r>
              <w:rPr>
                <w:rFonts w:hint="eastAsia" w:ascii="宋体" w:hAnsi="宋体" w:eastAsia="宋体" w:cs="宋体"/>
                <w:b/>
                <w:sz w:val="24"/>
              </w:rPr>
              <w:t>名  称</w:t>
            </w:r>
          </w:p>
        </w:tc>
        <w:tc>
          <w:tcPr>
            <w:tcW w:w="1305" w:type="dxa"/>
            <w:vAlign w:val="center"/>
          </w:tcPr>
          <w:p>
            <w:pPr>
              <w:spacing w:line="460" w:lineRule="exact"/>
              <w:jc w:val="center"/>
              <w:rPr>
                <w:rFonts w:ascii="宋体" w:hAnsi="宋体" w:eastAsia="宋体" w:cs="宋体"/>
                <w:b/>
                <w:sz w:val="24"/>
              </w:rPr>
            </w:pPr>
            <w:r>
              <w:rPr>
                <w:rFonts w:hint="eastAsia" w:ascii="宋体" w:hAnsi="宋体" w:eastAsia="宋体" w:cs="宋体"/>
                <w:b/>
                <w:sz w:val="24"/>
              </w:rPr>
              <w:t>品牌/型号</w:t>
            </w:r>
          </w:p>
        </w:tc>
        <w:tc>
          <w:tcPr>
            <w:tcW w:w="8008" w:type="dxa"/>
            <w:vAlign w:val="center"/>
          </w:tcPr>
          <w:p>
            <w:pPr>
              <w:spacing w:line="460" w:lineRule="exact"/>
              <w:ind w:left="210" w:leftChars="100"/>
              <w:jc w:val="center"/>
              <w:rPr>
                <w:rFonts w:ascii="宋体" w:hAnsi="宋体" w:eastAsia="宋体" w:cs="宋体"/>
                <w:b/>
                <w:sz w:val="24"/>
              </w:rPr>
            </w:pPr>
            <w:r>
              <w:rPr>
                <w:rFonts w:hint="eastAsia" w:ascii="宋体" w:hAnsi="宋体" w:eastAsia="宋体" w:cs="宋体"/>
                <w:b/>
                <w:sz w:val="24"/>
              </w:rPr>
              <w:t>配置、规格及主要技术参数</w:t>
            </w:r>
          </w:p>
        </w:tc>
        <w:tc>
          <w:tcPr>
            <w:tcW w:w="1365" w:type="dxa"/>
            <w:vAlign w:val="center"/>
          </w:tcPr>
          <w:p>
            <w:pPr>
              <w:spacing w:line="460" w:lineRule="exact"/>
              <w:jc w:val="center"/>
              <w:rPr>
                <w:rFonts w:ascii="宋体" w:hAnsi="宋体" w:eastAsia="宋体" w:cs="宋体"/>
                <w:b/>
                <w:sz w:val="24"/>
              </w:rPr>
            </w:pPr>
            <w:r>
              <w:rPr>
                <w:rFonts w:hint="eastAsia" w:ascii="宋体" w:hAnsi="宋体" w:eastAsia="宋体" w:cs="宋体"/>
                <w:b/>
                <w:sz w:val="24"/>
              </w:rPr>
              <w:t>制造厂家</w:t>
            </w:r>
          </w:p>
        </w:tc>
        <w:tc>
          <w:tcPr>
            <w:tcW w:w="1052" w:type="dxa"/>
            <w:tcMar>
              <w:top w:w="28" w:type="dxa"/>
              <w:left w:w="57" w:type="dxa"/>
              <w:bottom w:w="28" w:type="dxa"/>
              <w:right w:w="57" w:type="dxa"/>
            </w:tcMar>
            <w:vAlign w:val="center"/>
          </w:tcPr>
          <w:p>
            <w:pPr>
              <w:spacing w:line="460" w:lineRule="exact"/>
              <w:jc w:val="center"/>
              <w:rPr>
                <w:rFonts w:ascii="宋体" w:hAnsi="宋体" w:eastAsia="宋体" w:cs="宋体"/>
                <w:b/>
                <w:sz w:val="24"/>
              </w:rPr>
            </w:pPr>
            <w:r>
              <w:rPr>
                <w:rFonts w:hint="eastAsia" w:ascii="宋体" w:hAnsi="宋体" w:eastAsia="宋体" w:cs="宋体"/>
                <w:b/>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795" w:type="dxa"/>
            <w:vAlign w:val="center"/>
          </w:tcPr>
          <w:p>
            <w:pPr>
              <w:spacing w:line="460" w:lineRule="exact"/>
              <w:jc w:val="center"/>
              <w:rPr>
                <w:rFonts w:ascii="宋体" w:hAnsi="宋体" w:eastAsia="宋体" w:cs="宋体"/>
                <w:sz w:val="24"/>
              </w:rPr>
            </w:pPr>
            <w:r>
              <w:rPr>
                <w:rFonts w:hint="eastAsia" w:ascii="宋体" w:hAnsi="宋体" w:eastAsia="宋体" w:cs="宋体"/>
                <w:sz w:val="24"/>
              </w:rPr>
              <w:t>1</w:t>
            </w:r>
          </w:p>
        </w:tc>
        <w:tc>
          <w:tcPr>
            <w:tcW w:w="1969" w:type="dxa"/>
            <w:vAlign w:val="center"/>
          </w:tcPr>
          <w:p>
            <w:pPr>
              <w:spacing w:line="460" w:lineRule="exact"/>
              <w:jc w:val="center"/>
              <w:rPr>
                <w:rFonts w:ascii="宋体" w:hAnsi="宋体" w:eastAsia="宋体" w:cs="宋体"/>
                <w:sz w:val="24"/>
              </w:rPr>
            </w:pPr>
          </w:p>
        </w:tc>
        <w:tc>
          <w:tcPr>
            <w:tcW w:w="1305" w:type="dxa"/>
            <w:vAlign w:val="center"/>
          </w:tcPr>
          <w:p>
            <w:pPr>
              <w:spacing w:line="460" w:lineRule="exact"/>
              <w:jc w:val="center"/>
              <w:rPr>
                <w:rFonts w:ascii="宋体" w:hAnsi="宋体" w:eastAsia="宋体" w:cs="宋体"/>
                <w:sz w:val="24"/>
              </w:rPr>
            </w:pPr>
          </w:p>
        </w:tc>
        <w:tc>
          <w:tcPr>
            <w:tcW w:w="8008" w:type="dxa"/>
            <w:vAlign w:val="center"/>
          </w:tcPr>
          <w:p>
            <w:pPr>
              <w:spacing w:line="460" w:lineRule="exact"/>
              <w:jc w:val="left"/>
              <w:rPr>
                <w:rFonts w:ascii="宋体" w:hAnsi="宋体" w:eastAsia="宋体" w:cs="宋体"/>
                <w:sz w:val="24"/>
              </w:rPr>
            </w:pPr>
          </w:p>
        </w:tc>
        <w:tc>
          <w:tcPr>
            <w:tcW w:w="1365" w:type="dxa"/>
            <w:vAlign w:val="center"/>
          </w:tcPr>
          <w:p>
            <w:pPr>
              <w:spacing w:line="460" w:lineRule="exact"/>
              <w:ind w:left="210" w:leftChars="100"/>
              <w:jc w:val="left"/>
              <w:rPr>
                <w:rFonts w:ascii="宋体" w:hAnsi="宋体" w:eastAsia="宋体" w:cs="宋体"/>
                <w:sz w:val="24"/>
              </w:rPr>
            </w:pPr>
          </w:p>
        </w:tc>
        <w:tc>
          <w:tcPr>
            <w:tcW w:w="1052" w:type="dxa"/>
            <w:tcMar>
              <w:top w:w="28" w:type="dxa"/>
              <w:left w:w="57" w:type="dxa"/>
              <w:bottom w:w="28" w:type="dxa"/>
              <w:right w:w="57" w:type="dxa"/>
            </w:tcMar>
            <w:vAlign w:val="center"/>
          </w:tcPr>
          <w:p>
            <w:pPr>
              <w:spacing w:line="460" w:lineRule="exact"/>
              <w:ind w:left="210" w:leftChars="100"/>
              <w:jc w:val="left"/>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795" w:type="dxa"/>
            <w:vAlign w:val="center"/>
          </w:tcPr>
          <w:p>
            <w:pPr>
              <w:spacing w:line="460" w:lineRule="exact"/>
              <w:jc w:val="center"/>
              <w:rPr>
                <w:rFonts w:ascii="宋体" w:hAnsi="宋体" w:eastAsia="宋体" w:cs="宋体"/>
                <w:sz w:val="24"/>
              </w:rPr>
            </w:pPr>
            <w:r>
              <w:rPr>
                <w:rFonts w:hint="eastAsia" w:ascii="宋体" w:hAnsi="宋体" w:eastAsia="宋体" w:cs="宋体"/>
                <w:sz w:val="24"/>
              </w:rPr>
              <w:t>2</w:t>
            </w:r>
          </w:p>
        </w:tc>
        <w:tc>
          <w:tcPr>
            <w:tcW w:w="1969" w:type="dxa"/>
            <w:vAlign w:val="center"/>
          </w:tcPr>
          <w:p>
            <w:pPr>
              <w:spacing w:line="460" w:lineRule="exact"/>
              <w:jc w:val="center"/>
              <w:rPr>
                <w:rFonts w:ascii="宋体" w:hAnsi="宋体" w:eastAsia="宋体" w:cs="宋体"/>
                <w:sz w:val="24"/>
              </w:rPr>
            </w:pPr>
          </w:p>
        </w:tc>
        <w:tc>
          <w:tcPr>
            <w:tcW w:w="1305" w:type="dxa"/>
            <w:vAlign w:val="center"/>
          </w:tcPr>
          <w:p>
            <w:pPr>
              <w:spacing w:line="460" w:lineRule="exact"/>
              <w:ind w:left="210" w:leftChars="100"/>
              <w:jc w:val="center"/>
              <w:rPr>
                <w:rFonts w:ascii="宋体" w:hAnsi="宋体" w:eastAsia="宋体" w:cs="宋体"/>
                <w:sz w:val="24"/>
              </w:rPr>
            </w:pPr>
          </w:p>
        </w:tc>
        <w:tc>
          <w:tcPr>
            <w:tcW w:w="8008" w:type="dxa"/>
            <w:vAlign w:val="center"/>
          </w:tcPr>
          <w:p>
            <w:pPr>
              <w:pStyle w:val="70"/>
              <w:spacing w:line="460" w:lineRule="exact"/>
              <w:jc w:val="left"/>
              <w:rPr>
                <w:rFonts w:ascii="宋体" w:hAnsi="宋体" w:eastAsia="宋体" w:cs="宋体"/>
                <w:kern w:val="2"/>
                <w:sz w:val="24"/>
                <w:szCs w:val="24"/>
              </w:rPr>
            </w:pPr>
          </w:p>
        </w:tc>
        <w:tc>
          <w:tcPr>
            <w:tcW w:w="1365" w:type="dxa"/>
            <w:vAlign w:val="center"/>
          </w:tcPr>
          <w:p>
            <w:pPr>
              <w:spacing w:line="460" w:lineRule="exact"/>
              <w:ind w:left="210" w:leftChars="100"/>
              <w:jc w:val="center"/>
              <w:rPr>
                <w:rFonts w:ascii="宋体" w:hAnsi="宋体" w:eastAsia="宋体" w:cs="宋体"/>
                <w:sz w:val="24"/>
              </w:rPr>
            </w:pPr>
          </w:p>
        </w:tc>
        <w:tc>
          <w:tcPr>
            <w:tcW w:w="1052" w:type="dxa"/>
            <w:tcMar>
              <w:top w:w="28" w:type="dxa"/>
              <w:left w:w="57" w:type="dxa"/>
              <w:bottom w:w="28" w:type="dxa"/>
              <w:right w:w="57" w:type="dxa"/>
            </w:tcMar>
            <w:vAlign w:val="center"/>
          </w:tcPr>
          <w:p>
            <w:pPr>
              <w:spacing w:line="460" w:lineRule="exact"/>
              <w:ind w:left="210" w:leftChars="100"/>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795" w:type="dxa"/>
            <w:vAlign w:val="center"/>
          </w:tcPr>
          <w:p>
            <w:pPr>
              <w:spacing w:line="460" w:lineRule="exact"/>
              <w:jc w:val="center"/>
              <w:rPr>
                <w:rFonts w:ascii="宋体" w:hAnsi="宋体" w:eastAsia="宋体" w:cs="宋体"/>
                <w:sz w:val="24"/>
              </w:rPr>
            </w:pPr>
            <w:r>
              <w:rPr>
                <w:rFonts w:hint="eastAsia" w:ascii="宋体" w:hAnsi="宋体" w:eastAsia="宋体" w:cs="宋体"/>
                <w:sz w:val="24"/>
              </w:rPr>
              <w:t>3</w:t>
            </w:r>
          </w:p>
        </w:tc>
        <w:tc>
          <w:tcPr>
            <w:tcW w:w="1969" w:type="dxa"/>
            <w:vAlign w:val="center"/>
          </w:tcPr>
          <w:p>
            <w:pPr>
              <w:spacing w:line="460" w:lineRule="exact"/>
              <w:jc w:val="center"/>
              <w:rPr>
                <w:rFonts w:ascii="宋体" w:hAnsi="宋体" w:eastAsia="宋体" w:cs="宋体"/>
                <w:sz w:val="24"/>
              </w:rPr>
            </w:pPr>
          </w:p>
        </w:tc>
        <w:tc>
          <w:tcPr>
            <w:tcW w:w="1305" w:type="dxa"/>
            <w:vAlign w:val="center"/>
          </w:tcPr>
          <w:p>
            <w:pPr>
              <w:spacing w:line="460" w:lineRule="exact"/>
              <w:jc w:val="center"/>
              <w:rPr>
                <w:rFonts w:ascii="宋体" w:hAnsi="宋体" w:eastAsia="宋体" w:cs="宋体"/>
                <w:sz w:val="24"/>
              </w:rPr>
            </w:pPr>
          </w:p>
        </w:tc>
        <w:tc>
          <w:tcPr>
            <w:tcW w:w="8008" w:type="dxa"/>
            <w:vAlign w:val="center"/>
          </w:tcPr>
          <w:p>
            <w:pPr>
              <w:spacing w:line="460" w:lineRule="exact"/>
              <w:jc w:val="left"/>
              <w:rPr>
                <w:rFonts w:ascii="宋体" w:hAnsi="宋体" w:eastAsia="宋体" w:cs="宋体"/>
                <w:sz w:val="24"/>
              </w:rPr>
            </w:pPr>
          </w:p>
        </w:tc>
        <w:tc>
          <w:tcPr>
            <w:tcW w:w="1365" w:type="dxa"/>
            <w:vAlign w:val="center"/>
          </w:tcPr>
          <w:p>
            <w:pPr>
              <w:spacing w:line="460" w:lineRule="exact"/>
              <w:jc w:val="center"/>
              <w:rPr>
                <w:rFonts w:ascii="宋体" w:hAnsi="宋体" w:eastAsia="宋体" w:cs="宋体"/>
                <w:sz w:val="24"/>
              </w:rPr>
            </w:pPr>
          </w:p>
        </w:tc>
        <w:tc>
          <w:tcPr>
            <w:tcW w:w="1052" w:type="dxa"/>
            <w:tcMar>
              <w:top w:w="28" w:type="dxa"/>
              <w:left w:w="57" w:type="dxa"/>
              <w:bottom w:w="28" w:type="dxa"/>
              <w:right w:w="57" w:type="dxa"/>
            </w:tcMar>
            <w:vAlign w:val="center"/>
          </w:tcPr>
          <w:p>
            <w:pPr>
              <w:spacing w:line="460" w:lineRule="exa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795" w:type="dxa"/>
            <w:vAlign w:val="center"/>
          </w:tcPr>
          <w:p>
            <w:pPr>
              <w:spacing w:line="460" w:lineRule="exact"/>
              <w:jc w:val="center"/>
              <w:rPr>
                <w:rFonts w:ascii="宋体" w:hAnsi="宋体" w:eastAsia="宋体" w:cs="宋体"/>
                <w:sz w:val="24"/>
              </w:rPr>
            </w:pPr>
            <w:r>
              <w:rPr>
                <w:rFonts w:hint="eastAsia" w:ascii="宋体" w:hAnsi="宋体" w:eastAsia="宋体" w:cs="宋体"/>
                <w:sz w:val="24"/>
              </w:rPr>
              <w:t>4</w:t>
            </w:r>
          </w:p>
        </w:tc>
        <w:tc>
          <w:tcPr>
            <w:tcW w:w="1969" w:type="dxa"/>
            <w:vAlign w:val="center"/>
          </w:tcPr>
          <w:p>
            <w:pPr>
              <w:spacing w:line="460" w:lineRule="exact"/>
              <w:jc w:val="center"/>
              <w:rPr>
                <w:rFonts w:ascii="宋体" w:hAnsi="宋体" w:eastAsia="宋体" w:cs="宋体"/>
                <w:sz w:val="24"/>
              </w:rPr>
            </w:pPr>
          </w:p>
        </w:tc>
        <w:tc>
          <w:tcPr>
            <w:tcW w:w="1305" w:type="dxa"/>
            <w:vAlign w:val="center"/>
          </w:tcPr>
          <w:p>
            <w:pPr>
              <w:spacing w:line="460" w:lineRule="exact"/>
              <w:jc w:val="center"/>
              <w:rPr>
                <w:rFonts w:ascii="宋体" w:hAnsi="宋体" w:eastAsia="宋体" w:cs="宋体"/>
                <w:sz w:val="24"/>
              </w:rPr>
            </w:pPr>
          </w:p>
        </w:tc>
        <w:tc>
          <w:tcPr>
            <w:tcW w:w="8008" w:type="dxa"/>
            <w:vAlign w:val="center"/>
          </w:tcPr>
          <w:p>
            <w:pPr>
              <w:spacing w:line="460" w:lineRule="exact"/>
              <w:jc w:val="left"/>
              <w:rPr>
                <w:rFonts w:ascii="宋体" w:hAnsi="宋体" w:eastAsia="宋体" w:cs="宋体"/>
                <w:sz w:val="24"/>
              </w:rPr>
            </w:pPr>
          </w:p>
        </w:tc>
        <w:tc>
          <w:tcPr>
            <w:tcW w:w="1365" w:type="dxa"/>
            <w:vAlign w:val="center"/>
          </w:tcPr>
          <w:p>
            <w:pPr>
              <w:spacing w:line="460" w:lineRule="exact"/>
              <w:jc w:val="center"/>
              <w:rPr>
                <w:rFonts w:ascii="宋体" w:hAnsi="宋体" w:eastAsia="宋体" w:cs="宋体"/>
                <w:sz w:val="24"/>
              </w:rPr>
            </w:pPr>
          </w:p>
        </w:tc>
        <w:tc>
          <w:tcPr>
            <w:tcW w:w="1052" w:type="dxa"/>
            <w:tcMar>
              <w:top w:w="28" w:type="dxa"/>
              <w:left w:w="57" w:type="dxa"/>
              <w:bottom w:w="28" w:type="dxa"/>
              <w:right w:w="57" w:type="dxa"/>
            </w:tcMar>
            <w:vAlign w:val="center"/>
          </w:tcPr>
          <w:p>
            <w:pPr>
              <w:spacing w:line="460" w:lineRule="exa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5" w:type="dxa"/>
            <w:vAlign w:val="center"/>
          </w:tcPr>
          <w:p>
            <w:pPr>
              <w:spacing w:line="460" w:lineRule="exact"/>
              <w:jc w:val="center"/>
              <w:rPr>
                <w:rFonts w:ascii="宋体" w:hAnsi="宋体" w:eastAsia="宋体" w:cs="宋体"/>
                <w:sz w:val="24"/>
              </w:rPr>
            </w:pPr>
            <w:r>
              <w:rPr>
                <w:rFonts w:hint="eastAsia" w:ascii="宋体" w:hAnsi="宋体" w:eastAsia="宋体" w:cs="宋体"/>
                <w:sz w:val="24"/>
              </w:rPr>
              <w:t>5</w:t>
            </w:r>
          </w:p>
        </w:tc>
        <w:tc>
          <w:tcPr>
            <w:tcW w:w="1969" w:type="dxa"/>
            <w:vAlign w:val="center"/>
          </w:tcPr>
          <w:p>
            <w:pPr>
              <w:spacing w:line="460" w:lineRule="exact"/>
              <w:jc w:val="center"/>
              <w:rPr>
                <w:rFonts w:ascii="宋体" w:hAnsi="宋体" w:eastAsia="宋体" w:cs="宋体"/>
                <w:sz w:val="24"/>
              </w:rPr>
            </w:pPr>
          </w:p>
        </w:tc>
        <w:tc>
          <w:tcPr>
            <w:tcW w:w="1305" w:type="dxa"/>
            <w:vAlign w:val="center"/>
          </w:tcPr>
          <w:p>
            <w:pPr>
              <w:spacing w:line="460" w:lineRule="exact"/>
              <w:jc w:val="center"/>
              <w:rPr>
                <w:rFonts w:ascii="宋体" w:hAnsi="宋体" w:eastAsia="宋体" w:cs="宋体"/>
                <w:sz w:val="24"/>
              </w:rPr>
            </w:pPr>
          </w:p>
        </w:tc>
        <w:tc>
          <w:tcPr>
            <w:tcW w:w="8008" w:type="dxa"/>
            <w:vAlign w:val="center"/>
          </w:tcPr>
          <w:p>
            <w:pPr>
              <w:spacing w:line="460" w:lineRule="exact"/>
              <w:jc w:val="left"/>
              <w:rPr>
                <w:rFonts w:ascii="宋体" w:hAnsi="宋体" w:eastAsia="宋体" w:cs="宋体"/>
                <w:sz w:val="24"/>
              </w:rPr>
            </w:pPr>
          </w:p>
        </w:tc>
        <w:tc>
          <w:tcPr>
            <w:tcW w:w="1365" w:type="dxa"/>
            <w:vAlign w:val="center"/>
          </w:tcPr>
          <w:p>
            <w:pPr>
              <w:spacing w:line="460" w:lineRule="exact"/>
              <w:jc w:val="center"/>
              <w:rPr>
                <w:rFonts w:ascii="宋体" w:hAnsi="宋体" w:eastAsia="宋体" w:cs="宋体"/>
                <w:sz w:val="24"/>
              </w:rPr>
            </w:pPr>
          </w:p>
        </w:tc>
        <w:tc>
          <w:tcPr>
            <w:tcW w:w="1052" w:type="dxa"/>
            <w:tcMar>
              <w:top w:w="28" w:type="dxa"/>
              <w:left w:w="57" w:type="dxa"/>
              <w:bottom w:w="28" w:type="dxa"/>
              <w:right w:w="57" w:type="dxa"/>
            </w:tcMar>
            <w:vAlign w:val="center"/>
          </w:tcPr>
          <w:p>
            <w:pPr>
              <w:spacing w:line="460" w:lineRule="exa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5" w:type="dxa"/>
            <w:vAlign w:val="center"/>
          </w:tcPr>
          <w:p>
            <w:pPr>
              <w:spacing w:line="460" w:lineRule="exact"/>
              <w:jc w:val="center"/>
              <w:rPr>
                <w:rFonts w:ascii="宋体" w:hAnsi="宋体" w:eastAsia="宋体" w:cs="宋体"/>
                <w:sz w:val="24"/>
              </w:rPr>
            </w:pPr>
            <w:r>
              <w:rPr>
                <w:rFonts w:hint="eastAsia" w:ascii="宋体" w:hAnsi="宋体" w:eastAsia="宋体" w:cs="宋体"/>
                <w:sz w:val="24"/>
              </w:rPr>
              <w:t>6</w:t>
            </w:r>
          </w:p>
        </w:tc>
        <w:tc>
          <w:tcPr>
            <w:tcW w:w="1969" w:type="dxa"/>
            <w:vAlign w:val="center"/>
          </w:tcPr>
          <w:p>
            <w:pPr>
              <w:spacing w:line="460" w:lineRule="exact"/>
              <w:jc w:val="center"/>
              <w:rPr>
                <w:rFonts w:ascii="宋体" w:hAnsi="宋体" w:eastAsia="宋体" w:cs="宋体"/>
                <w:sz w:val="24"/>
              </w:rPr>
            </w:pPr>
          </w:p>
        </w:tc>
        <w:tc>
          <w:tcPr>
            <w:tcW w:w="1305" w:type="dxa"/>
            <w:vAlign w:val="center"/>
          </w:tcPr>
          <w:p>
            <w:pPr>
              <w:spacing w:line="460" w:lineRule="exact"/>
              <w:jc w:val="center"/>
              <w:rPr>
                <w:rFonts w:ascii="宋体" w:hAnsi="宋体" w:eastAsia="宋体" w:cs="宋体"/>
                <w:sz w:val="24"/>
              </w:rPr>
            </w:pPr>
          </w:p>
        </w:tc>
        <w:tc>
          <w:tcPr>
            <w:tcW w:w="8008" w:type="dxa"/>
            <w:vAlign w:val="center"/>
          </w:tcPr>
          <w:p>
            <w:pPr>
              <w:spacing w:line="460" w:lineRule="exact"/>
              <w:jc w:val="left"/>
              <w:rPr>
                <w:rFonts w:ascii="宋体" w:hAnsi="宋体" w:eastAsia="宋体" w:cs="宋体"/>
                <w:sz w:val="24"/>
              </w:rPr>
            </w:pPr>
          </w:p>
        </w:tc>
        <w:tc>
          <w:tcPr>
            <w:tcW w:w="1365" w:type="dxa"/>
            <w:vAlign w:val="center"/>
          </w:tcPr>
          <w:p>
            <w:pPr>
              <w:spacing w:line="460" w:lineRule="exact"/>
              <w:jc w:val="center"/>
              <w:rPr>
                <w:rFonts w:ascii="宋体" w:hAnsi="宋体" w:eastAsia="宋体" w:cs="宋体"/>
                <w:sz w:val="24"/>
              </w:rPr>
            </w:pPr>
          </w:p>
        </w:tc>
        <w:tc>
          <w:tcPr>
            <w:tcW w:w="1052" w:type="dxa"/>
            <w:tcMar>
              <w:top w:w="28" w:type="dxa"/>
              <w:left w:w="57" w:type="dxa"/>
              <w:bottom w:w="28" w:type="dxa"/>
              <w:right w:w="57" w:type="dxa"/>
            </w:tcMar>
            <w:vAlign w:val="center"/>
          </w:tcPr>
          <w:p>
            <w:pPr>
              <w:spacing w:line="460" w:lineRule="exa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5" w:type="dxa"/>
            <w:vAlign w:val="center"/>
          </w:tcPr>
          <w:p>
            <w:pPr>
              <w:spacing w:line="460" w:lineRule="exact"/>
              <w:jc w:val="center"/>
              <w:rPr>
                <w:rFonts w:ascii="宋体" w:hAnsi="宋体" w:eastAsia="宋体" w:cs="宋体"/>
                <w:sz w:val="24"/>
              </w:rPr>
            </w:pPr>
            <w:r>
              <w:rPr>
                <w:rFonts w:hint="eastAsia" w:ascii="宋体" w:hAnsi="宋体" w:eastAsia="宋体" w:cs="宋体"/>
                <w:sz w:val="24"/>
              </w:rPr>
              <w:t>7</w:t>
            </w:r>
          </w:p>
        </w:tc>
        <w:tc>
          <w:tcPr>
            <w:tcW w:w="1969" w:type="dxa"/>
            <w:vAlign w:val="center"/>
          </w:tcPr>
          <w:p>
            <w:pPr>
              <w:spacing w:line="460" w:lineRule="exact"/>
              <w:jc w:val="center"/>
              <w:rPr>
                <w:rFonts w:ascii="宋体" w:hAnsi="宋体" w:eastAsia="宋体" w:cs="宋体"/>
                <w:sz w:val="24"/>
              </w:rPr>
            </w:pPr>
          </w:p>
        </w:tc>
        <w:tc>
          <w:tcPr>
            <w:tcW w:w="1305" w:type="dxa"/>
            <w:vAlign w:val="center"/>
          </w:tcPr>
          <w:p>
            <w:pPr>
              <w:spacing w:line="460" w:lineRule="exact"/>
              <w:jc w:val="center"/>
              <w:rPr>
                <w:rFonts w:ascii="宋体" w:hAnsi="宋体" w:eastAsia="宋体" w:cs="宋体"/>
                <w:sz w:val="24"/>
              </w:rPr>
            </w:pPr>
          </w:p>
        </w:tc>
        <w:tc>
          <w:tcPr>
            <w:tcW w:w="8008" w:type="dxa"/>
            <w:vAlign w:val="center"/>
          </w:tcPr>
          <w:p>
            <w:pPr>
              <w:spacing w:line="460" w:lineRule="exact"/>
              <w:jc w:val="left"/>
              <w:rPr>
                <w:rFonts w:ascii="宋体" w:hAnsi="宋体" w:eastAsia="宋体" w:cs="宋体"/>
                <w:sz w:val="24"/>
              </w:rPr>
            </w:pPr>
          </w:p>
        </w:tc>
        <w:tc>
          <w:tcPr>
            <w:tcW w:w="1365" w:type="dxa"/>
            <w:vAlign w:val="center"/>
          </w:tcPr>
          <w:p>
            <w:pPr>
              <w:spacing w:line="460" w:lineRule="exact"/>
              <w:jc w:val="center"/>
              <w:rPr>
                <w:rFonts w:ascii="宋体" w:hAnsi="宋体" w:eastAsia="宋体" w:cs="宋体"/>
                <w:sz w:val="24"/>
              </w:rPr>
            </w:pPr>
          </w:p>
        </w:tc>
        <w:tc>
          <w:tcPr>
            <w:tcW w:w="1052" w:type="dxa"/>
            <w:tcMar>
              <w:top w:w="28" w:type="dxa"/>
              <w:left w:w="57" w:type="dxa"/>
              <w:bottom w:w="28" w:type="dxa"/>
              <w:right w:w="57" w:type="dxa"/>
            </w:tcMar>
            <w:vAlign w:val="center"/>
          </w:tcPr>
          <w:p>
            <w:pPr>
              <w:spacing w:line="460" w:lineRule="exa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5" w:type="dxa"/>
            <w:vAlign w:val="center"/>
          </w:tcPr>
          <w:p>
            <w:pPr>
              <w:spacing w:line="460" w:lineRule="exact"/>
              <w:jc w:val="center"/>
              <w:rPr>
                <w:rFonts w:ascii="宋体" w:hAnsi="宋体" w:eastAsia="宋体" w:cs="宋体"/>
                <w:sz w:val="24"/>
              </w:rPr>
            </w:pPr>
          </w:p>
        </w:tc>
        <w:tc>
          <w:tcPr>
            <w:tcW w:w="1969" w:type="dxa"/>
            <w:vAlign w:val="center"/>
          </w:tcPr>
          <w:p>
            <w:pPr>
              <w:spacing w:line="460" w:lineRule="exact"/>
              <w:jc w:val="center"/>
              <w:rPr>
                <w:rFonts w:ascii="宋体" w:hAnsi="宋体" w:eastAsia="宋体" w:cs="宋体"/>
                <w:sz w:val="24"/>
              </w:rPr>
            </w:pPr>
          </w:p>
        </w:tc>
        <w:tc>
          <w:tcPr>
            <w:tcW w:w="1305" w:type="dxa"/>
            <w:vAlign w:val="center"/>
          </w:tcPr>
          <w:p>
            <w:pPr>
              <w:spacing w:line="460" w:lineRule="exact"/>
              <w:jc w:val="center"/>
              <w:rPr>
                <w:rFonts w:ascii="宋体" w:hAnsi="宋体" w:eastAsia="宋体" w:cs="宋体"/>
                <w:sz w:val="24"/>
              </w:rPr>
            </w:pPr>
          </w:p>
        </w:tc>
        <w:tc>
          <w:tcPr>
            <w:tcW w:w="8008" w:type="dxa"/>
            <w:vAlign w:val="center"/>
          </w:tcPr>
          <w:p>
            <w:pPr>
              <w:spacing w:line="460" w:lineRule="exact"/>
              <w:jc w:val="left"/>
              <w:rPr>
                <w:rFonts w:ascii="宋体" w:hAnsi="宋体" w:eastAsia="宋体" w:cs="宋体"/>
                <w:sz w:val="24"/>
              </w:rPr>
            </w:pPr>
          </w:p>
        </w:tc>
        <w:tc>
          <w:tcPr>
            <w:tcW w:w="1365" w:type="dxa"/>
            <w:vAlign w:val="center"/>
          </w:tcPr>
          <w:p>
            <w:pPr>
              <w:spacing w:line="460" w:lineRule="exact"/>
              <w:jc w:val="center"/>
              <w:rPr>
                <w:rFonts w:ascii="宋体" w:hAnsi="宋体" w:eastAsia="宋体" w:cs="宋体"/>
                <w:sz w:val="24"/>
              </w:rPr>
            </w:pPr>
          </w:p>
        </w:tc>
        <w:tc>
          <w:tcPr>
            <w:tcW w:w="1052" w:type="dxa"/>
            <w:tcMar>
              <w:top w:w="28" w:type="dxa"/>
              <w:left w:w="57" w:type="dxa"/>
              <w:bottom w:w="28" w:type="dxa"/>
              <w:right w:w="57" w:type="dxa"/>
            </w:tcMar>
            <w:vAlign w:val="center"/>
          </w:tcPr>
          <w:p>
            <w:pPr>
              <w:spacing w:line="460" w:lineRule="exa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5" w:type="dxa"/>
            <w:vAlign w:val="center"/>
          </w:tcPr>
          <w:p>
            <w:pPr>
              <w:spacing w:line="460" w:lineRule="exact"/>
              <w:jc w:val="center"/>
              <w:rPr>
                <w:rFonts w:ascii="宋体" w:hAnsi="宋体" w:eastAsia="宋体" w:cs="宋体"/>
                <w:sz w:val="24"/>
              </w:rPr>
            </w:pPr>
          </w:p>
        </w:tc>
        <w:tc>
          <w:tcPr>
            <w:tcW w:w="1969" w:type="dxa"/>
            <w:vAlign w:val="center"/>
          </w:tcPr>
          <w:p>
            <w:pPr>
              <w:spacing w:line="460" w:lineRule="exact"/>
              <w:jc w:val="center"/>
              <w:rPr>
                <w:rFonts w:ascii="宋体" w:hAnsi="宋体" w:eastAsia="宋体" w:cs="宋体"/>
                <w:sz w:val="24"/>
              </w:rPr>
            </w:pPr>
          </w:p>
        </w:tc>
        <w:tc>
          <w:tcPr>
            <w:tcW w:w="1305" w:type="dxa"/>
            <w:vAlign w:val="center"/>
          </w:tcPr>
          <w:p>
            <w:pPr>
              <w:spacing w:line="460" w:lineRule="exact"/>
              <w:jc w:val="center"/>
              <w:rPr>
                <w:rFonts w:ascii="宋体" w:hAnsi="宋体" w:eastAsia="宋体" w:cs="宋体"/>
                <w:sz w:val="24"/>
              </w:rPr>
            </w:pPr>
          </w:p>
        </w:tc>
        <w:tc>
          <w:tcPr>
            <w:tcW w:w="8008" w:type="dxa"/>
            <w:vAlign w:val="center"/>
          </w:tcPr>
          <w:p>
            <w:pPr>
              <w:spacing w:line="460" w:lineRule="exact"/>
              <w:jc w:val="left"/>
              <w:rPr>
                <w:rFonts w:ascii="宋体" w:hAnsi="宋体" w:eastAsia="宋体" w:cs="宋体"/>
                <w:sz w:val="24"/>
              </w:rPr>
            </w:pPr>
          </w:p>
        </w:tc>
        <w:tc>
          <w:tcPr>
            <w:tcW w:w="1365" w:type="dxa"/>
            <w:vAlign w:val="center"/>
          </w:tcPr>
          <w:p>
            <w:pPr>
              <w:spacing w:line="460" w:lineRule="exact"/>
              <w:jc w:val="center"/>
              <w:rPr>
                <w:rFonts w:ascii="宋体" w:hAnsi="宋体" w:eastAsia="宋体" w:cs="宋体"/>
                <w:sz w:val="24"/>
              </w:rPr>
            </w:pPr>
          </w:p>
        </w:tc>
        <w:tc>
          <w:tcPr>
            <w:tcW w:w="1052" w:type="dxa"/>
            <w:tcMar>
              <w:top w:w="28" w:type="dxa"/>
              <w:left w:w="57" w:type="dxa"/>
              <w:bottom w:w="28" w:type="dxa"/>
              <w:right w:w="57" w:type="dxa"/>
            </w:tcMar>
            <w:vAlign w:val="center"/>
          </w:tcPr>
          <w:p>
            <w:pPr>
              <w:spacing w:line="460" w:lineRule="exa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5" w:type="dxa"/>
            <w:vAlign w:val="center"/>
          </w:tcPr>
          <w:p>
            <w:pPr>
              <w:spacing w:line="460" w:lineRule="exact"/>
              <w:jc w:val="center"/>
              <w:rPr>
                <w:rFonts w:ascii="宋体" w:hAnsi="宋体" w:eastAsia="宋体" w:cs="宋体"/>
                <w:sz w:val="24"/>
              </w:rPr>
            </w:pPr>
          </w:p>
        </w:tc>
        <w:tc>
          <w:tcPr>
            <w:tcW w:w="1969" w:type="dxa"/>
            <w:vAlign w:val="center"/>
          </w:tcPr>
          <w:p>
            <w:pPr>
              <w:spacing w:line="460" w:lineRule="exact"/>
              <w:jc w:val="center"/>
              <w:rPr>
                <w:rFonts w:ascii="宋体" w:hAnsi="宋体" w:eastAsia="宋体" w:cs="宋体"/>
                <w:sz w:val="24"/>
              </w:rPr>
            </w:pPr>
          </w:p>
        </w:tc>
        <w:tc>
          <w:tcPr>
            <w:tcW w:w="1305" w:type="dxa"/>
            <w:vAlign w:val="center"/>
          </w:tcPr>
          <w:p>
            <w:pPr>
              <w:spacing w:line="460" w:lineRule="exact"/>
              <w:jc w:val="center"/>
              <w:rPr>
                <w:rFonts w:ascii="宋体" w:hAnsi="宋体" w:eastAsia="宋体" w:cs="宋体"/>
                <w:sz w:val="24"/>
              </w:rPr>
            </w:pPr>
          </w:p>
        </w:tc>
        <w:tc>
          <w:tcPr>
            <w:tcW w:w="8008" w:type="dxa"/>
            <w:vAlign w:val="center"/>
          </w:tcPr>
          <w:p>
            <w:pPr>
              <w:spacing w:line="460" w:lineRule="exact"/>
              <w:jc w:val="left"/>
              <w:rPr>
                <w:rFonts w:ascii="宋体" w:hAnsi="宋体" w:eastAsia="宋体" w:cs="宋体"/>
                <w:sz w:val="24"/>
              </w:rPr>
            </w:pPr>
          </w:p>
        </w:tc>
        <w:tc>
          <w:tcPr>
            <w:tcW w:w="1365" w:type="dxa"/>
            <w:vAlign w:val="center"/>
          </w:tcPr>
          <w:p>
            <w:pPr>
              <w:spacing w:line="460" w:lineRule="exact"/>
              <w:jc w:val="center"/>
              <w:rPr>
                <w:rFonts w:ascii="宋体" w:hAnsi="宋体" w:eastAsia="宋体" w:cs="宋体"/>
                <w:sz w:val="24"/>
              </w:rPr>
            </w:pPr>
          </w:p>
        </w:tc>
        <w:tc>
          <w:tcPr>
            <w:tcW w:w="1052" w:type="dxa"/>
            <w:tcMar>
              <w:top w:w="28" w:type="dxa"/>
              <w:left w:w="57" w:type="dxa"/>
              <w:bottom w:w="28" w:type="dxa"/>
              <w:right w:w="57" w:type="dxa"/>
            </w:tcMar>
            <w:vAlign w:val="center"/>
          </w:tcPr>
          <w:p>
            <w:pPr>
              <w:spacing w:line="460" w:lineRule="exa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5" w:type="dxa"/>
            <w:vAlign w:val="center"/>
          </w:tcPr>
          <w:p>
            <w:pPr>
              <w:spacing w:line="460" w:lineRule="exact"/>
              <w:jc w:val="center"/>
              <w:rPr>
                <w:rFonts w:ascii="宋体" w:hAnsi="宋体" w:eastAsia="宋体" w:cs="宋体"/>
                <w:sz w:val="24"/>
              </w:rPr>
            </w:pPr>
          </w:p>
        </w:tc>
        <w:tc>
          <w:tcPr>
            <w:tcW w:w="1969" w:type="dxa"/>
            <w:vAlign w:val="center"/>
          </w:tcPr>
          <w:p>
            <w:pPr>
              <w:spacing w:line="460" w:lineRule="exact"/>
              <w:jc w:val="center"/>
              <w:rPr>
                <w:rFonts w:ascii="宋体" w:hAnsi="宋体" w:eastAsia="宋体" w:cs="宋体"/>
                <w:sz w:val="24"/>
              </w:rPr>
            </w:pPr>
          </w:p>
        </w:tc>
        <w:tc>
          <w:tcPr>
            <w:tcW w:w="1305" w:type="dxa"/>
            <w:vAlign w:val="center"/>
          </w:tcPr>
          <w:p>
            <w:pPr>
              <w:spacing w:line="460" w:lineRule="exact"/>
              <w:jc w:val="center"/>
              <w:rPr>
                <w:rFonts w:ascii="宋体" w:hAnsi="宋体" w:eastAsia="宋体" w:cs="宋体"/>
                <w:sz w:val="24"/>
              </w:rPr>
            </w:pPr>
          </w:p>
        </w:tc>
        <w:tc>
          <w:tcPr>
            <w:tcW w:w="8008" w:type="dxa"/>
            <w:vAlign w:val="center"/>
          </w:tcPr>
          <w:p>
            <w:pPr>
              <w:spacing w:line="460" w:lineRule="exact"/>
              <w:jc w:val="left"/>
              <w:rPr>
                <w:rFonts w:ascii="宋体" w:hAnsi="宋体" w:eastAsia="宋体" w:cs="宋体"/>
                <w:sz w:val="24"/>
              </w:rPr>
            </w:pPr>
          </w:p>
        </w:tc>
        <w:tc>
          <w:tcPr>
            <w:tcW w:w="1365" w:type="dxa"/>
            <w:vAlign w:val="center"/>
          </w:tcPr>
          <w:p>
            <w:pPr>
              <w:spacing w:line="460" w:lineRule="exact"/>
              <w:jc w:val="center"/>
              <w:rPr>
                <w:rFonts w:ascii="宋体" w:hAnsi="宋体" w:eastAsia="宋体" w:cs="宋体"/>
                <w:sz w:val="24"/>
              </w:rPr>
            </w:pPr>
          </w:p>
        </w:tc>
        <w:tc>
          <w:tcPr>
            <w:tcW w:w="1052" w:type="dxa"/>
            <w:tcMar>
              <w:top w:w="28" w:type="dxa"/>
              <w:left w:w="57" w:type="dxa"/>
              <w:bottom w:w="28" w:type="dxa"/>
              <w:right w:w="57" w:type="dxa"/>
            </w:tcMar>
            <w:vAlign w:val="center"/>
          </w:tcPr>
          <w:p>
            <w:pPr>
              <w:spacing w:line="460" w:lineRule="exa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5" w:type="dxa"/>
            <w:vAlign w:val="center"/>
          </w:tcPr>
          <w:p>
            <w:pPr>
              <w:spacing w:line="460" w:lineRule="exact"/>
              <w:jc w:val="center"/>
              <w:rPr>
                <w:rFonts w:ascii="宋体" w:hAnsi="宋体" w:eastAsia="宋体" w:cs="宋体"/>
                <w:sz w:val="24"/>
              </w:rPr>
            </w:pPr>
          </w:p>
        </w:tc>
        <w:tc>
          <w:tcPr>
            <w:tcW w:w="1969" w:type="dxa"/>
            <w:vAlign w:val="center"/>
          </w:tcPr>
          <w:p>
            <w:pPr>
              <w:spacing w:line="460" w:lineRule="exact"/>
              <w:jc w:val="center"/>
              <w:rPr>
                <w:rFonts w:ascii="宋体" w:hAnsi="宋体" w:eastAsia="宋体" w:cs="宋体"/>
                <w:sz w:val="24"/>
              </w:rPr>
            </w:pPr>
          </w:p>
        </w:tc>
        <w:tc>
          <w:tcPr>
            <w:tcW w:w="1305" w:type="dxa"/>
            <w:vAlign w:val="center"/>
          </w:tcPr>
          <w:p>
            <w:pPr>
              <w:spacing w:line="460" w:lineRule="exact"/>
              <w:jc w:val="center"/>
              <w:rPr>
                <w:rFonts w:ascii="宋体" w:hAnsi="宋体" w:eastAsia="宋体" w:cs="宋体"/>
                <w:sz w:val="24"/>
              </w:rPr>
            </w:pPr>
          </w:p>
        </w:tc>
        <w:tc>
          <w:tcPr>
            <w:tcW w:w="8008" w:type="dxa"/>
            <w:vAlign w:val="center"/>
          </w:tcPr>
          <w:p>
            <w:pPr>
              <w:spacing w:line="460" w:lineRule="exact"/>
              <w:jc w:val="left"/>
              <w:rPr>
                <w:rFonts w:ascii="宋体" w:hAnsi="宋体" w:eastAsia="宋体" w:cs="宋体"/>
                <w:sz w:val="24"/>
              </w:rPr>
            </w:pPr>
          </w:p>
        </w:tc>
        <w:tc>
          <w:tcPr>
            <w:tcW w:w="1365" w:type="dxa"/>
            <w:vAlign w:val="center"/>
          </w:tcPr>
          <w:p>
            <w:pPr>
              <w:spacing w:line="460" w:lineRule="exact"/>
              <w:jc w:val="center"/>
              <w:rPr>
                <w:rFonts w:ascii="宋体" w:hAnsi="宋体" w:eastAsia="宋体" w:cs="宋体"/>
                <w:sz w:val="24"/>
              </w:rPr>
            </w:pPr>
          </w:p>
        </w:tc>
        <w:tc>
          <w:tcPr>
            <w:tcW w:w="1052" w:type="dxa"/>
            <w:tcMar>
              <w:top w:w="28" w:type="dxa"/>
              <w:left w:w="57" w:type="dxa"/>
              <w:bottom w:w="28" w:type="dxa"/>
              <w:right w:w="57" w:type="dxa"/>
            </w:tcMar>
            <w:vAlign w:val="center"/>
          </w:tcPr>
          <w:p>
            <w:pPr>
              <w:spacing w:line="460" w:lineRule="exact"/>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5" w:type="dxa"/>
            <w:vAlign w:val="center"/>
          </w:tcPr>
          <w:p>
            <w:pPr>
              <w:spacing w:line="460" w:lineRule="exact"/>
              <w:jc w:val="center"/>
              <w:rPr>
                <w:rFonts w:ascii="宋体" w:hAnsi="宋体" w:eastAsia="宋体" w:cs="宋体"/>
                <w:sz w:val="24"/>
              </w:rPr>
            </w:pPr>
          </w:p>
        </w:tc>
        <w:tc>
          <w:tcPr>
            <w:tcW w:w="1969" w:type="dxa"/>
            <w:vAlign w:val="center"/>
          </w:tcPr>
          <w:p>
            <w:pPr>
              <w:spacing w:line="460" w:lineRule="exact"/>
              <w:jc w:val="center"/>
              <w:rPr>
                <w:rFonts w:ascii="宋体" w:hAnsi="宋体" w:eastAsia="宋体" w:cs="宋体"/>
                <w:sz w:val="24"/>
              </w:rPr>
            </w:pPr>
          </w:p>
        </w:tc>
        <w:tc>
          <w:tcPr>
            <w:tcW w:w="1305" w:type="dxa"/>
            <w:vAlign w:val="center"/>
          </w:tcPr>
          <w:p>
            <w:pPr>
              <w:spacing w:line="460" w:lineRule="exact"/>
              <w:jc w:val="center"/>
              <w:rPr>
                <w:rFonts w:ascii="宋体" w:hAnsi="宋体" w:eastAsia="宋体" w:cs="宋体"/>
                <w:sz w:val="24"/>
              </w:rPr>
            </w:pPr>
          </w:p>
        </w:tc>
        <w:tc>
          <w:tcPr>
            <w:tcW w:w="8008" w:type="dxa"/>
            <w:vAlign w:val="center"/>
          </w:tcPr>
          <w:p>
            <w:pPr>
              <w:spacing w:line="460" w:lineRule="exact"/>
              <w:jc w:val="left"/>
              <w:rPr>
                <w:rFonts w:ascii="宋体" w:hAnsi="宋体" w:eastAsia="宋体" w:cs="宋体"/>
                <w:sz w:val="24"/>
              </w:rPr>
            </w:pPr>
          </w:p>
        </w:tc>
        <w:tc>
          <w:tcPr>
            <w:tcW w:w="1365" w:type="dxa"/>
            <w:vAlign w:val="center"/>
          </w:tcPr>
          <w:p>
            <w:pPr>
              <w:spacing w:line="460" w:lineRule="exact"/>
              <w:jc w:val="center"/>
              <w:rPr>
                <w:rFonts w:ascii="宋体" w:hAnsi="宋体" w:eastAsia="宋体" w:cs="宋体"/>
                <w:sz w:val="24"/>
              </w:rPr>
            </w:pPr>
          </w:p>
        </w:tc>
        <w:tc>
          <w:tcPr>
            <w:tcW w:w="1052" w:type="dxa"/>
            <w:tcMar>
              <w:top w:w="28" w:type="dxa"/>
              <w:left w:w="57" w:type="dxa"/>
              <w:bottom w:w="28" w:type="dxa"/>
              <w:right w:w="57" w:type="dxa"/>
            </w:tcMar>
            <w:vAlign w:val="center"/>
          </w:tcPr>
          <w:p>
            <w:pPr>
              <w:spacing w:line="460" w:lineRule="exact"/>
              <w:jc w:val="center"/>
              <w:rPr>
                <w:rFonts w:ascii="宋体" w:hAnsi="宋体" w:eastAsia="宋体" w:cs="宋体"/>
                <w:sz w:val="24"/>
              </w:rPr>
            </w:pPr>
          </w:p>
        </w:tc>
      </w:tr>
    </w:tbl>
    <w:p>
      <w:pPr>
        <w:pStyle w:val="14"/>
        <w:rPr>
          <w:rFonts w:ascii="宋体" w:hAnsi="宋体"/>
          <w:kern w:val="0"/>
          <w:sz w:val="24"/>
        </w:rPr>
        <w:sectPr>
          <w:pgSz w:w="16838" w:h="11906" w:orient="landscape"/>
          <w:pgMar w:top="1800" w:right="1440" w:bottom="1800" w:left="1440" w:header="851" w:footer="992" w:gutter="0"/>
          <w:pgNumType w:fmt="decimal"/>
          <w:cols w:space="425" w:num="1"/>
          <w:docGrid w:type="lines" w:linePitch="312" w:charSpace="0"/>
        </w:sectPr>
      </w:pPr>
    </w:p>
    <w:p>
      <w:pPr>
        <w:spacing w:line="480" w:lineRule="exact"/>
        <w:rPr>
          <w:rFonts w:ascii="宋体" w:hAnsi="宋体"/>
          <w:b/>
          <w:bCs/>
          <w:sz w:val="24"/>
        </w:rPr>
      </w:pPr>
      <w:r>
        <w:rPr>
          <w:rFonts w:hint="eastAsia" w:ascii="宋体" w:hAnsi="宋体"/>
          <w:b/>
          <w:bCs/>
          <w:sz w:val="24"/>
        </w:rPr>
        <w:t>附件3—质量保证承诺</w:t>
      </w:r>
    </w:p>
    <w:p>
      <w:pPr>
        <w:spacing w:line="460" w:lineRule="exact"/>
        <w:rPr>
          <w:rFonts w:ascii="宋体" w:hAnsi="宋体" w:eastAsia="宋体" w:cs="宋体"/>
          <w:b/>
          <w:bCs/>
          <w:sz w:val="24"/>
        </w:rPr>
      </w:pPr>
      <w:r>
        <w:rPr>
          <w:rFonts w:hint="eastAsia" w:ascii="宋体" w:hAnsi="宋体" w:eastAsia="宋体" w:cs="宋体"/>
          <w:b/>
          <w:bCs/>
          <w:sz w:val="24"/>
        </w:rPr>
        <w:t>附件4—售后服务方案</w:t>
      </w:r>
    </w:p>
    <w:p>
      <w:pPr>
        <w:spacing w:line="460" w:lineRule="exact"/>
        <w:rPr>
          <w:rFonts w:ascii="宋体" w:hAnsi="宋体" w:eastAsia="宋体" w:cs="宋体"/>
          <w:b/>
          <w:bCs/>
          <w:sz w:val="24"/>
        </w:rPr>
      </w:pPr>
      <w:r>
        <w:rPr>
          <w:rFonts w:hint="eastAsia" w:ascii="宋体" w:hAnsi="宋体" w:eastAsia="宋体" w:cs="宋体"/>
          <w:b/>
          <w:bCs/>
          <w:sz w:val="24"/>
        </w:rPr>
        <w:t>附件5—培训计划</w:t>
      </w:r>
    </w:p>
    <w:p>
      <w:pPr>
        <w:widowControl/>
        <w:spacing w:line="480" w:lineRule="auto"/>
        <w:ind w:left="359" w:hanging="358"/>
        <w:rPr>
          <w:rFonts w:ascii="宋体" w:hAnsi="宋体"/>
          <w:kern w:val="0"/>
          <w:sz w:val="24"/>
        </w:rPr>
      </w:pPr>
    </w:p>
    <w:p>
      <w:pPr>
        <w:spacing w:line="480" w:lineRule="exact"/>
        <w:rPr>
          <w:rFonts w:ascii="宋体" w:hAnsi="宋体"/>
          <w:b/>
          <w:kern w:val="0"/>
          <w:sz w:val="24"/>
        </w:rPr>
      </w:pPr>
    </w:p>
    <w:p>
      <w:pPr>
        <w:jc w:val="right"/>
        <w:rPr>
          <w:rFonts w:ascii="宋体" w:hAnsi="宋体"/>
          <w:b/>
          <w:sz w:val="32"/>
          <w:szCs w:val="32"/>
          <w:bdr w:val="single" w:color="auto" w:sz="4" w:space="0"/>
          <w:shd w:val="pct10" w:color="auto" w:fill="FFFFFF"/>
        </w:rPr>
      </w:pPr>
    </w:p>
    <w:p>
      <w:pPr>
        <w:pStyle w:val="3"/>
        <w:keepNext w:val="0"/>
        <w:pageBreakBefore/>
        <w:spacing w:before="319" w:beforeLines="100" w:after="478" w:afterLines="150" w:line="500" w:lineRule="exact"/>
        <w:rPr>
          <w:rFonts w:ascii="宋体" w:hAnsi="宋体" w:cs="宋体"/>
        </w:rPr>
      </w:pPr>
      <w:bookmarkStart w:id="187" w:name="_Toc27958"/>
      <w:bookmarkStart w:id="188" w:name="_Toc2234"/>
      <w:bookmarkStart w:id="189" w:name="_Toc13336"/>
      <w:r>
        <w:rPr>
          <w:rFonts w:hint="eastAsia" w:ascii="宋体" w:hAnsi="宋体" w:cs="宋体"/>
          <w:sz w:val="36"/>
          <w:szCs w:val="36"/>
        </w:rPr>
        <w:t>第七部分  投标文件格式</w:t>
      </w:r>
      <w:bookmarkEnd w:id="187"/>
      <w:bookmarkEnd w:id="188"/>
      <w:bookmarkEnd w:id="189"/>
    </w:p>
    <w:p>
      <w:pPr>
        <w:adjustRightInd w:val="0"/>
        <w:snapToGrid w:val="0"/>
        <w:spacing w:line="360" w:lineRule="auto"/>
        <w:jc w:val="left"/>
        <w:rPr>
          <w:rFonts w:ascii="宋体" w:hAnsi="宋体" w:cs="宋体"/>
          <w:b/>
          <w:w w:val="120"/>
          <w:sz w:val="28"/>
          <w:szCs w:val="28"/>
        </w:rPr>
      </w:pPr>
    </w:p>
    <w:p>
      <w:pPr>
        <w:adjustRightInd w:val="0"/>
        <w:snapToGrid w:val="0"/>
        <w:spacing w:line="360" w:lineRule="auto"/>
        <w:jc w:val="left"/>
        <w:rPr>
          <w:rFonts w:ascii="宋体" w:hAnsi="宋体" w:cs="宋体"/>
          <w:b/>
          <w:w w:val="120"/>
          <w:sz w:val="28"/>
          <w:szCs w:val="28"/>
        </w:rPr>
      </w:pPr>
      <w:bookmarkStart w:id="190" w:name="_Toc15364"/>
      <w:r>
        <w:rPr>
          <w:rFonts w:hint="eastAsia" w:ascii="宋体" w:hAnsi="宋体" w:cs="宋体"/>
          <w:b/>
          <w:w w:val="120"/>
          <w:sz w:val="28"/>
          <w:szCs w:val="28"/>
        </w:rPr>
        <w:t>项目编号：</w:t>
      </w:r>
      <w:r>
        <w:rPr>
          <w:rFonts w:hint="eastAsia" w:ascii="宋体" w:hAnsi="宋体" w:cs="宋体"/>
          <w:b/>
          <w:w w:val="120"/>
          <w:sz w:val="28"/>
          <w:szCs w:val="28"/>
          <w:lang w:eastAsia="zh-CN"/>
        </w:rPr>
        <w:t>ZMZB2022YLZY-61</w:t>
      </w:r>
      <w:r>
        <w:rPr>
          <w:rFonts w:hint="eastAsia" w:ascii="宋体" w:hAnsi="宋体" w:cs="宋体"/>
          <w:b/>
          <w:w w:val="120"/>
          <w:sz w:val="28"/>
          <w:szCs w:val="28"/>
        </w:rPr>
        <w:t xml:space="preserve">      （正本或副本）</w:t>
      </w:r>
      <w:bookmarkEnd w:id="190"/>
    </w:p>
    <w:p/>
    <w:p>
      <w:pPr>
        <w:pStyle w:val="9"/>
        <w:rPr>
          <w:rFonts w:ascii="宋体" w:hAnsi="宋体" w:cs="宋体"/>
        </w:rPr>
      </w:pPr>
    </w:p>
    <w:p>
      <w:pPr>
        <w:snapToGrid w:val="0"/>
        <w:spacing w:line="480" w:lineRule="auto"/>
        <w:ind w:left="-199" w:leftChars="-95"/>
        <w:jc w:val="center"/>
        <w:rPr>
          <w:rFonts w:hint="eastAsia" w:ascii="宋体" w:hAnsi="宋体" w:cs="宋体"/>
          <w:b/>
          <w:bCs/>
          <w:sz w:val="56"/>
          <w:szCs w:val="56"/>
          <w:lang w:eastAsia="zh-CN"/>
        </w:rPr>
      </w:pPr>
      <w:r>
        <w:rPr>
          <w:rFonts w:hint="eastAsia" w:ascii="宋体" w:hAnsi="宋体" w:cs="宋体"/>
          <w:b/>
          <w:bCs/>
          <w:sz w:val="56"/>
          <w:szCs w:val="56"/>
          <w:lang w:eastAsia="zh-CN"/>
        </w:rPr>
        <w:t>杨凌职业技术学院</w:t>
      </w:r>
    </w:p>
    <w:p>
      <w:pPr>
        <w:snapToGrid w:val="0"/>
        <w:spacing w:line="480" w:lineRule="auto"/>
        <w:ind w:left="-199" w:leftChars="-95"/>
        <w:jc w:val="center"/>
        <w:rPr>
          <w:rFonts w:ascii="宋体" w:hAnsi="宋体" w:cs="宋体"/>
          <w:b/>
          <w:bCs/>
          <w:sz w:val="56"/>
          <w:szCs w:val="56"/>
        </w:rPr>
      </w:pPr>
      <w:r>
        <w:rPr>
          <w:rFonts w:hint="eastAsia" w:ascii="宋体" w:hAnsi="宋体" w:cs="宋体"/>
          <w:b/>
          <w:bCs/>
          <w:sz w:val="56"/>
          <w:szCs w:val="56"/>
          <w:lang w:eastAsia="zh-CN"/>
        </w:rPr>
        <w:t>经济与贸易学院实验室建设项</w:t>
      </w:r>
      <w:r>
        <w:rPr>
          <w:rFonts w:hint="eastAsia" w:ascii="宋体" w:hAnsi="宋体" w:cs="宋体"/>
          <w:b/>
          <w:bCs/>
          <w:sz w:val="56"/>
          <w:szCs w:val="56"/>
        </w:rPr>
        <w:t>目</w:t>
      </w:r>
    </w:p>
    <w:p>
      <w:pPr>
        <w:snapToGrid w:val="0"/>
        <w:spacing w:line="480" w:lineRule="auto"/>
        <w:ind w:firstLine="2891" w:firstLineChars="400"/>
        <w:rPr>
          <w:rFonts w:ascii="宋体" w:hAnsi="宋体" w:cs="宋体"/>
          <w:b/>
          <w:bCs/>
          <w:sz w:val="72"/>
          <w:szCs w:val="72"/>
        </w:rPr>
      </w:pPr>
    </w:p>
    <w:p>
      <w:pPr>
        <w:snapToGrid w:val="0"/>
        <w:spacing w:line="480" w:lineRule="auto"/>
        <w:ind w:firstLine="2891" w:firstLineChars="400"/>
        <w:rPr>
          <w:rFonts w:ascii="宋体" w:hAnsi="宋体" w:cs="宋体"/>
          <w:b/>
          <w:bCs/>
          <w:sz w:val="72"/>
          <w:szCs w:val="72"/>
        </w:rPr>
      </w:pPr>
      <w:r>
        <w:rPr>
          <w:rFonts w:hint="eastAsia" w:ascii="宋体" w:hAnsi="宋体" w:cs="宋体"/>
          <w:b/>
          <w:bCs/>
          <w:sz w:val="72"/>
          <w:szCs w:val="72"/>
        </w:rPr>
        <w:t>投标文件</w:t>
      </w:r>
    </w:p>
    <w:p>
      <w:pPr>
        <w:snapToGrid w:val="0"/>
        <w:spacing w:line="480" w:lineRule="auto"/>
        <w:jc w:val="left"/>
        <w:rPr>
          <w:rFonts w:ascii="宋体" w:hAnsi="宋体" w:cs="宋体"/>
          <w:sz w:val="32"/>
          <w:szCs w:val="32"/>
        </w:rPr>
      </w:pPr>
      <w:r>
        <w:rPr>
          <w:rFonts w:hint="eastAsia" w:ascii="宋体" w:hAnsi="宋体" w:cs="宋体"/>
          <w:sz w:val="32"/>
          <w:szCs w:val="32"/>
          <w:lang w:val="zh-CN"/>
        </w:rPr>
        <w:t>供应商（单位名称）：</w:t>
      </w:r>
      <w:r>
        <w:rPr>
          <w:rFonts w:hint="eastAsia" w:ascii="宋体" w:hAnsi="宋体" w:cs="宋体"/>
          <w:sz w:val="32"/>
          <w:szCs w:val="32"/>
        </w:rPr>
        <w:t>___________</w:t>
      </w:r>
    </w:p>
    <w:p>
      <w:pPr>
        <w:snapToGrid w:val="0"/>
        <w:spacing w:line="480" w:lineRule="auto"/>
        <w:jc w:val="left"/>
        <w:rPr>
          <w:rFonts w:hint="eastAsia" w:ascii="宋体" w:hAnsi="宋体" w:cs="宋体"/>
          <w:sz w:val="32"/>
          <w:szCs w:val="32"/>
        </w:rPr>
      </w:pPr>
      <w:r>
        <w:rPr>
          <w:rFonts w:hint="eastAsia" w:ascii="宋体" w:hAnsi="宋体" w:cs="宋体"/>
          <w:sz w:val="32"/>
          <w:szCs w:val="32"/>
        </w:rPr>
        <w:t>日  期</w:t>
      </w:r>
      <w:r>
        <w:rPr>
          <w:rFonts w:hint="eastAsia" w:ascii="宋体" w:hAnsi="宋体" w:cs="宋体"/>
          <w:sz w:val="32"/>
          <w:szCs w:val="32"/>
          <w:lang w:val="zh-CN"/>
        </w:rPr>
        <w:t>：</w:t>
      </w:r>
      <w:r>
        <w:rPr>
          <w:rFonts w:hint="eastAsia" w:ascii="宋体" w:hAnsi="宋体" w:cs="宋体"/>
          <w:sz w:val="32"/>
          <w:szCs w:val="32"/>
        </w:rPr>
        <w:t xml:space="preserve">__________________ </w:t>
      </w:r>
    </w:p>
    <w:p>
      <w:pPr>
        <w:snapToGrid w:val="0"/>
        <w:spacing w:line="480" w:lineRule="auto"/>
        <w:jc w:val="left"/>
        <w:rPr>
          <w:rFonts w:hint="eastAsia" w:ascii="宋体" w:hAnsi="宋体" w:cs="宋体"/>
          <w:sz w:val="32"/>
          <w:szCs w:val="32"/>
          <w:lang w:val="en-US" w:eastAsia="zh-CN"/>
        </w:rPr>
      </w:pPr>
      <w:r>
        <w:rPr>
          <w:rFonts w:hint="eastAsia" w:ascii="宋体" w:hAnsi="宋体" w:cs="宋体"/>
          <w:sz w:val="32"/>
          <w:szCs w:val="32"/>
          <w:lang w:eastAsia="zh-CN"/>
        </w:rPr>
        <w:t>合同包号：合同包</w:t>
      </w:r>
      <w:r>
        <w:rPr>
          <w:rFonts w:hint="eastAsia" w:ascii="宋体" w:hAnsi="宋体" w:cs="宋体"/>
          <w:sz w:val="32"/>
          <w:szCs w:val="32"/>
          <w:lang w:val="en-US" w:eastAsia="zh-CN"/>
        </w:rPr>
        <w:t>X</w:t>
      </w:r>
    </w:p>
    <w:p>
      <w:pPr>
        <w:snapToGrid w:val="0"/>
        <w:spacing w:line="480" w:lineRule="auto"/>
        <w:jc w:val="left"/>
        <w:rPr>
          <w:rFonts w:ascii="宋体" w:hAnsi="宋体" w:cs="宋体"/>
          <w:sz w:val="32"/>
          <w:szCs w:val="32"/>
          <w:u w:val="single"/>
        </w:rPr>
      </w:pPr>
    </w:p>
    <w:p>
      <w:pPr>
        <w:pageBreakBefore/>
        <w:spacing w:before="319" w:beforeLines="100" w:after="478" w:afterLines="150" w:line="500" w:lineRule="exact"/>
        <w:ind w:firstLine="723" w:firstLineChars="200"/>
        <w:jc w:val="center"/>
        <w:rPr>
          <w:rFonts w:ascii="宋体" w:hAnsi="宋体" w:cs="宋体"/>
          <w:b/>
          <w:sz w:val="50"/>
        </w:rPr>
      </w:pPr>
      <w:r>
        <w:rPr>
          <w:rFonts w:hint="eastAsia" w:ascii="宋体" w:hAnsi="宋体" w:cs="宋体"/>
          <w:b/>
          <w:sz w:val="36"/>
          <w:szCs w:val="36"/>
        </w:rPr>
        <w:t>目 录</w:t>
      </w:r>
    </w:p>
    <w:p>
      <w:pPr>
        <w:pStyle w:val="16"/>
        <w:snapToGrid w:val="0"/>
        <w:spacing w:line="480" w:lineRule="auto"/>
        <w:ind w:firstLine="562" w:firstLineChars="200"/>
        <w:jc w:val="left"/>
        <w:rPr>
          <w:rFonts w:hAnsi="宋体" w:cs="宋体"/>
          <w:b/>
          <w:bCs/>
          <w:sz w:val="28"/>
          <w:szCs w:val="28"/>
        </w:rPr>
      </w:pPr>
      <w:r>
        <w:rPr>
          <w:rFonts w:hint="eastAsia" w:hAnsi="宋体" w:cs="宋体"/>
          <w:b/>
          <w:bCs/>
          <w:sz w:val="28"/>
          <w:szCs w:val="28"/>
        </w:rPr>
        <w:t>第一部分   投标函</w:t>
      </w:r>
    </w:p>
    <w:p>
      <w:pPr>
        <w:snapToGrid w:val="0"/>
        <w:spacing w:line="480" w:lineRule="auto"/>
        <w:ind w:firstLine="562" w:firstLineChars="200"/>
        <w:jc w:val="left"/>
        <w:rPr>
          <w:rFonts w:ascii="宋体" w:hAnsi="宋体" w:cs="宋体"/>
          <w:b/>
          <w:sz w:val="28"/>
          <w:szCs w:val="28"/>
        </w:rPr>
      </w:pPr>
      <w:r>
        <w:rPr>
          <w:rFonts w:hint="eastAsia" w:ascii="宋体" w:hAnsi="宋体" w:cs="宋体"/>
          <w:b/>
          <w:sz w:val="28"/>
          <w:szCs w:val="28"/>
        </w:rPr>
        <w:t>第二部分   报价一览表</w:t>
      </w:r>
    </w:p>
    <w:p>
      <w:pPr>
        <w:pStyle w:val="16"/>
        <w:snapToGrid w:val="0"/>
        <w:spacing w:line="480" w:lineRule="auto"/>
        <w:ind w:firstLine="562" w:firstLineChars="200"/>
        <w:jc w:val="left"/>
        <w:rPr>
          <w:rFonts w:hAnsi="宋体" w:cs="宋体"/>
          <w:b/>
          <w:kern w:val="0"/>
          <w:sz w:val="28"/>
          <w:szCs w:val="28"/>
        </w:rPr>
      </w:pPr>
      <w:r>
        <w:rPr>
          <w:rFonts w:hint="eastAsia" w:hAnsi="宋体" w:cs="宋体"/>
          <w:b/>
          <w:bCs/>
          <w:sz w:val="28"/>
          <w:szCs w:val="28"/>
        </w:rPr>
        <w:t xml:space="preserve">第三部分   </w:t>
      </w:r>
      <w:r>
        <w:rPr>
          <w:rFonts w:hint="eastAsia" w:hAnsi="宋体" w:cs="宋体"/>
          <w:b/>
          <w:kern w:val="0"/>
          <w:sz w:val="28"/>
          <w:szCs w:val="28"/>
        </w:rPr>
        <w:t>商务及技术响应说明</w:t>
      </w:r>
    </w:p>
    <w:p>
      <w:pPr>
        <w:pStyle w:val="16"/>
        <w:snapToGrid w:val="0"/>
        <w:spacing w:line="480" w:lineRule="auto"/>
        <w:ind w:firstLine="562" w:firstLineChars="200"/>
        <w:jc w:val="left"/>
        <w:rPr>
          <w:rFonts w:hAnsi="宋体" w:cs="宋体"/>
          <w:b/>
          <w:bCs/>
          <w:sz w:val="28"/>
          <w:szCs w:val="28"/>
        </w:rPr>
      </w:pPr>
      <w:r>
        <w:rPr>
          <w:rFonts w:hint="eastAsia" w:hAnsi="宋体" w:cs="宋体"/>
          <w:b/>
          <w:bCs/>
          <w:sz w:val="28"/>
          <w:szCs w:val="28"/>
        </w:rPr>
        <w:t xml:space="preserve">第四部分   </w:t>
      </w:r>
      <w:r>
        <w:rPr>
          <w:rFonts w:hint="eastAsia" w:hAnsi="宋体" w:cs="宋体"/>
          <w:b/>
          <w:sz w:val="28"/>
          <w:szCs w:val="28"/>
        </w:rPr>
        <w:t>供应商资格要求</w:t>
      </w:r>
    </w:p>
    <w:p>
      <w:pPr>
        <w:pStyle w:val="16"/>
        <w:snapToGrid w:val="0"/>
        <w:spacing w:line="480" w:lineRule="auto"/>
        <w:ind w:firstLine="562" w:firstLineChars="200"/>
        <w:jc w:val="left"/>
        <w:rPr>
          <w:rFonts w:hAnsi="宋体" w:cs="宋体"/>
          <w:b/>
          <w:sz w:val="28"/>
          <w:szCs w:val="28"/>
        </w:rPr>
      </w:pPr>
      <w:r>
        <w:rPr>
          <w:rFonts w:hint="eastAsia" w:hAnsi="宋体" w:cs="宋体"/>
          <w:b/>
          <w:sz w:val="28"/>
          <w:szCs w:val="28"/>
        </w:rPr>
        <w:t>第五部分   技术与服务方案</w:t>
      </w:r>
    </w:p>
    <w:p>
      <w:pPr>
        <w:snapToGrid w:val="0"/>
        <w:spacing w:line="480" w:lineRule="auto"/>
        <w:ind w:firstLine="562" w:firstLineChars="200"/>
        <w:jc w:val="left"/>
        <w:rPr>
          <w:rFonts w:ascii="宋体" w:hAnsi="宋体" w:cs="宋体"/>
          <w:b/>
          <w:bCs/>
          <w:sz w:val="28"/>
          <w:szCs w:val="28"/>
        </w:rPr>
      </w:pPr>
      <w:r>
        <w:rPr>
          <w:rFonts w:hint="eastAsia" w:ascii="宋体" w:hAnsi="宋体" w:cs="宋体"/>
          <w:b/>
          <w:bCs/>
          <w:sz w:val="28"/>
          <w:szCs w:val="28"/>
        </w:rPr>
        <w:t>第六部分   服务承诺</w:t>
      </w:r>
    </w:p>
    <w:p>
      <w:pPr>
        <w:snapToGrid w:val="0"/>
        <w:spacing w:line="480" w:lineRule="auto"/>
        <w:ind w:firstLine="562" w:firstLineChars="200"/>
        <w:jc w:val="left"/>
        <w:rPr>
          <w:rFonts w:ascii="宋体" w:hAnsi="宋体" w:cs="宋体"/>
          <w:b/>
          <w:bCs/>
          <w:sz w:val="28"/>
          <w:szCs w:val="28"/>
        </w:rPr>
      </w:pPr>
      <w:r>
        <w:rPr>
          <w:rFonts w:hint="eastAsia" w:ascii="宋体" w:hAnsi="宋体" w:cs="宋体"/>
          <w:b/>
          <w:bCs/>
          <w:sz w:val="28"/>
          <w:szCs w:val="28"/>
        </w:rPr>
        <w:t>第七部分   业绩一览表</w:t>
      </w:r>
    </w:p>
    <w:p>
      <w:pPr>
        <w:snapToGrid w:val="0"/>
        <w:spacing w:line="480" w:lineRule="auto"/>
        <w:ind w:firstLine="562" w:firstLineChars="200"/>
        <w:jc w:val="left"/>
        <w:rPr>
          <w:rFonts w:ascii="宋体" w:hAnsi="宋体" w:cs="宋体"/>
          <w:b/>
          <w:bCs/>
          <w:sz w:val="28"/>
          <w:szCs w:val="28"/>
        </w:rPr>
      </w:pPr>
      <w:r>
        <w:rPr>
          <w:rFonts w:hint="eastAsia" w:ascii="宋体" w:hAnsi="宋体" w:cs="宋体"/>
          <w:b/>
          <w:bCs/>
          <w:sz w:val="28"/>
          <w:szCs w:val="28"/>
        </w:rPr>
        <w:t>第八部分   供应商认为有必要说明的其他问题</w:t>
      </w:r>
    </w:p>
    <w:p>
      <w:pPr>
        <w:rPr>
          <w:rFonts w:ascii="宋体" w:hAnsi="宋体" w:cs="宋体"/>
        </w:rPr>
      </w:pPr>
    </w:p>
    <w:p>
      <w:pPr>
        <w:pStyle w:val="4"/>
        <w:pageBreakBefore/>
        <w:spacing w:before="319" w:beforeLines="100" w:after="478" w:afterLines="150" w:line="500" w:lineRule="exact"/>
        <w:jc w:val="center"/>
        <w:rPr>
          <w:rFonts w:ascii="宋体" w:hAnsi="宋体" w:cs="宋体"/>
          <w:sz w:val="36"/>
          <w:szCs w:val="36"/>
        </w:rPr>
      </w:pPr>
      <w:bookmarkStart w:id="191" w:name="_Toc11324"/>
      <w:bookmarkStart w:id="192" w:name="_Toc23980"/>
      <w:r>
        <w:rPr>
          <w:rFonts w:hint="eastAsia" w:ascii="宋体" w:hAnsi="宋体" w:cs="宋体"/>
          <w:sz w:val="36"/>
          <w:szCs w:val="36"/>
        </w:rPr>
        <w:t>第一部分  投标函</w:t>
      </w:r>
      <w:bookmarkEnd w:id="175"/>
      <w:bookmarkEnd w:id="191"/>
      <w:bookmarkEnd w:id="192"/>
    </w:p>
    <w:p>
      <w:pPr>
        <w:adjustRightInd w:val="0"/>
        <w:snapToGrid w:val="0"/>
        <w:spacing w:line="276" w:lineRule="auto"/>
        <w:jc w:val="left"/>
        <w:rPr>
          <w:rFonts w:ascii="宋体" w:hAnsi="宋体" w:cs="宋体"/>
          <w:bCs/>
          <w:sz w:val="28"/>
          <w:szCs w:val="28"/>
        </w:rPr>
      </w:pPr>
      <w:r>
        <w:rPr>
          <w:rFonts w:hint="eastAsia" w:ascii="宋体" w:hAnsi="宋体" w:cs="宋体"/>
          <w:b/>
          <w:bCs/>
          <w:sz w:val="28"/>
          <w:szCs w:val="28"/>
        </w:rPr>
        <w:t>陕西卓佲项目管理有限公司</w:t>
      </w:r>
      <w:r>
        <w:rPr>
          <w:rFonts w:hint="eastAsia" w:ascii="宋体" w:hAnsi="宋体" w:cs="宋体"/>
          <w:bCs/>
          <w:sz w:val="28"/>
          <w:szCs w:val="28"/>
        </w:rPr>
        <w:t>：</w:t>
      </w:r>
    </w:p>
    <w:p>
      <w:pPr>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 xml:space="preserve">我单位收到编号为： </w:t>
      </w:r>
      <w:r>
        <w:rPr>
          <w:rFonts w:hint="eastAsia" w:ascii="宋体" w:hAnsi="宋体" w:cs="宋体"/>
          <w:sz w:val="24"/>
          <w:szCs w:val="24"/>
          <w:u w:val="single"/>
          <w:lang w:eastAsia="zh-CN"/>
        </w:rPr>
        <w:t>ZMZB2022YLZY-61合同包</w:t>
      </w:r>
      <w:r>
        <w:rPr>
          <w:rFonts w:hint="eastAsia" w:ascii="宋体" w:hAnsi="宋体" w:cs="宋体"/>
          <w:sz w:val="24"/>
          <w:szCs w:val="24"/>
          <w:u w:val="single"/>
          <w:lang w:val="en-US" w:eastAsia="zh-CN"/>
        </w:rPr>
        <w:t>X</w:t>
      </w:r>
      <w:r>
        <w:rPr>
          <w:rFonts w:hint="eastAsia" w:ascii="宋体" w:hAnsi="宋体" w:cs="宋体"/>
          <w:sz w:val="24"/>
          <w:szCs w:val="24"/>
        </w:rPr>
        <w:t>的招标文件，经详细研究，我公司决定参加本次招标活动。为此，我方郑重承诺以下诸点，并负法律责任。</w:t>
      </w:r>
    </w:p>
    <w:p>
      <w:pPr>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1、愿意按照招标文件中的全部要求，提供合格的产品及完善的技术服务，履行合同的责任和义务。</w:t>
      </w:r>
    </w:p>
    <w:p>
      <w:pPr>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2、我方提交的投标文件正本______份、副本_______份，电子文档_____份、报价一览表_____份。</w:t>
      </w:r>
    </w:p>
    <w:p>
      <w:pPr>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3、我们已详细阅读了招标文件，完全理解并同意放弃提出含糊不清和误解问题的权力。</w:t>
      </w:r>
    </w:p>
    <w:p>
      <w:pPr>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4、如果我方在投标后到规定的投标有效期内撤回投标文件及承诺，我们的保证金将被对方没收。</w:t>
      </w:r>
    </w:p>
    <w:p>
      <w:pPr>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5、同意向贵方提供贵方可能要求的、与本次投标有关的任何证据资料。</w:t>
      </w:r>
    </w:p>
    <w:p>
      <w:pPr>
        <w:adjustRightInd w:val="0"/>
        <w:snapToGrid w:val="0"/>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6、我方承诺投标有效期为开标后________日历日内有效。</w:t>
      </w:r>
    </w:p>
    <w:p>
      <w:pPr>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7、所有关于本次投标的函电，请按下列地址联系：</w:t>
      </w:r>
    </w:p>
    <w:p>
      <w:pPr>
        <w:adjustRightInd w:val="0"/>
        <w:snapToGrid w:val="0"/>
        <w:spacing w:line="360" w:lineRule="auto"/>
        <w:ind w:firstLine="480" w:firstLineChars="200"/>
        <w:jc w:val="left"/>
        <w:rPr>
          <w:rFonts w:ascii="宋体" w:hAnsi="宋体" w:cs="宋体"/>
          <w:sz w:val="24"/>
          <w:szCs w:val="24"/>
          <w:u w:val="single"/>
        </w:rPr>
      </w:pPr>
      <w:r>
        <w:rPr>
          <w:rFonts w:hint="eastAsia" w:ascii="宋体" w:hAnsi="宋体" w:cs="宋体"/>
          <w:sz w:val="24"/>
          <w:szCs w:val="24"/>
        </w:rPr>
        <w:t>供应商（单位名称及公章）：</w:t>
      </w:r>
      <w:r>
        <w:rPr>
          <w:rFonts w:hint="eastAsia" w:ascii="宋体" w:hAnsi="宋体" w:cs="宋体"/>
          <w:sz w:val="24"/>
        </w:rPr>
        <w:t>____________________</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法定代表人或被授权人（签字或盖章）：</w:t>
      </w:r>
      <w:r>
        <w:rPr>
          <w:rFonts w:hint="eastAsia" w:ascii="宋体" w:hAnsi="宋体" w:cs="宋体"/>
          <w:sz w:val="24"/>
        </w:rPr>
        <w:t>____________________</w:t>
      </w:r>
    </w:p>
    <w:p>
      <w:pPr>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地    址：</w:t>
      </w:r>
      <w:r>
        <w:rPr>
          <w:rFonts w:hint="eastAsia" w:ascii="宋体" w:hAnsi="宋体" w:cs="宋体"/>
          <w:sz w:val="24"/>
        </w:rPr>
        <w:t>____________________</w:t>
      </w:r>
    </w:p>
    <w:p>
      <w:pPr>
        <w:adjustRightInd w:val="0"/>
        <w:snapToGrid w:val="0"/>
        <w:spacing w:line="360" w:lineRule="auto"/>
        <w:ind w:firstLine="480" w:firstLineChars="200"/>
        <w:jc w:val="left"/>
        <w:rPr>
          <w:rFonts w:ascii="宋体" w:hAnsi="宋体" w:cs="宋体"/>
          <w:sz w:val="24"/>
          <w:szCs w:val="24"/>
          <w:u w:val="single"/>
        </w:rPr>
      </w:pPr>
      <w:r>
        <w:rPr>
          <w:rFonts w:hint="eastAsia" w:ascii="宋体" w:hAnsi="宋体" w:cs="宋体"/>
          <w:sz w:val="24"/>
          <w:szCs w:val="24"/>
        </w:rPr>
        <w:t>开户银行：</w:t>
      </w:r>
      <w:r>
        <w:rPr>
          <w:rFonts w:hint="eastAsia" w:ascii="宋体" w:hAnsi="宋体" w:cs="宋体"/>
          <w:sz w:val="24"/>
        </w:rPr>
        <w:t>____________________</w:t>
      </w:r>
    </w:p>
    <w:p>
      <w:pPr>
        <w:adjustRightInd w:val="0"/>
        <w:snapToGrid w:val="0"/>
        <w:spacing w:line="360" w:lineRule="auto"/>
        <w:ind w:firstLine="480" w:firstLineChars="200"/>
        <w:jc w:val="left"/>
        <w:rPr>
          <w:rFonts w:ascii="宋体" w:hAnsi="宋体" w:cs="宋体"/>
          <w:sz w:val="24"/>
          <w:szCs w:val="24"/>
          <w:u w:val="single"/>
        </w:rPr>
      </w:pPr>
      <w:r>
        <w:rPr>
          <w:rFonts w:hint="eastAsia" w:ascii="宋体" w:hAnsi="宋体" w:cs="宋体"/>
          <w:sz w:val="24"/>
          <w:szCs w:val="24"/>
        </w:rPr>
        <w:t>帐    号：</w:t>
      </w:r>
      <w:r>
        <w:rPr>
          <w:rFonts w:hint="eastAsia" w:ascii="宋体" w:hAnsi="宋体" w:cs="宋体"/>
          <w:sz w:val="24"/>
        </w:rPr>
        <w:t>____________________</w:t>
      </w:r>
    </w:p>
    <w:p>
      <w:pPr>
        <w:adjustRightInd w:val="0"/>
        <w:snapToGrid w:val="0"/>
        <w:spacing w:line="360" w:lineRule="auto"/>
        <w:ind w:firstLine="480" w:firstLineChars="200"/>
        <w:jc w:val="left"/>
        <w:rPr>
          <w:rFonts w:ascii="宋体" w:hAnsi="宋体" w:cs="宋体"/>
          <w:sz w:val="24"/>
          <w:szCs w:val="24"/>
          <w:u w:val="single"/>
        </w:rPr>
      </w:pPr>
      <w:r>
        <w:rPr>
          <w:rFonts w:hint="eastAsia" w:ascii="宋体" w:hAnsi="宋体" w:cs="宋体"/>
          <w:sz w:val="24"/>
          <w:szCs w:val="24"/>
        </w:rPr>
        <w:t>电    话：</w:t>
      </w:r>
      <w:r>
        <w:rPr>
          <w:rFonts w:hint="eastAsia" w:ascii="宋体" w:hAnsi="宋体" w:cs="宋体"/>
          <w:sz w:val="24"/>
        </w:rPr>
        <w:t>____________________</w:t>
      </w:r>
    </w:p>
    <w:p>
      <w:pPr>
        <w:adjustRightInd w:val="0"/>
        <w:snapToGrid w:val="0"/>
        <w:spacing w:line="360" w:lineRule="auto"/>
        <w:ind w:firstLine="480" w:firstLineChars="200"/>
        <w:jc w:val="left"/>
        <w:rPr>
          <w:rFonts w:ascii="宋体" w:hAnsi="宋体" w:cs="宋体"/>
          <w:sz w:val="24"/>
          <w:szCs w:val="24"/>
          <w:u w:val="single"/>
        </w:rPr>
      </w:pPr>
      <w:r>
        <w:rPr>
          <w:rFonts w:hint="eastAsia" w:ascii="宋体" w:hAnsi="宋体" w:cs="宋体"/>
          <w:sz w:val="24"/>
          <w:szCs w:val="24"/>
        </w:rPr>
        <w:t>传    真：</w:t>
      </w:r>
      <w:r>
        <w:rPr>
          <w:rFonts w:hint="eastAsia" w:ascii="宋体" w:hAnsi="宋体" w:cs="宋体"/>
          <w:sz w:val="24"/>
        </w:rPr>
        <w:t>____________________</w:t>
      </w:r>
    </w:p>
    <w:p>
      <w:pPr>
        <w:adjustRightInd w:val="0"/>
        <w:snapToGrid w:val="0"/>
        <w:spacing w:line="360" w:lineRule="auto"/>
        <w:ind w:firstLine="480" w:firstLineChars="200"/>
        <w:jc w:val="left"/>
        <w:rPr>
          <w:rFonts w:ascii="宋体" w:hAnsi="宋体" w:cs="宋体"/>
          <w:sz w:val="24"/>
          <w:szCs w:val="24"/>
          <w:u w:val="single"/>
        </w:rPr>
      </w:pPr>
      <w:r>
        <w:rPr>
          <w:rFonts w:hint="eastAsia" w:ascii="宋体" w:hAnsi="宋体" w:cs="宋体"/>
          <w:sz w:val="24"/>
          <w:szCs w:val="24"/>
        </w:rPr>
        <w:t>邮    编：</w:t>
      </w:r>
      <w:r>
        <w:rPr>
          <w:rFonts w:hint="eastAsia" w:ascii="宋体" w:hAnsi="宋体" w:cs="宋体"/>
          <w:sz w:val="24"/>
        </w:rPr>
        <w:t>____________________</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 xml:space="preserve">日    期： </w:t>
      </w:r>
      <w:r>
        <w:rPr>
          <w:rFonts w:hint="eastAsia" w:ascii="宋体" w:hAnsi="宋体" w:cs="宋体"/>
          <w:sz w:val="24"/>
        </w:rPr>
        <w:t>_____</w:t>
      </w:r>
      <w:r>
        <w:rPr>
          <w:rFonts w:hint="eastAsia" w:ascii="宋体" w:hAnsi="宋体" w:cs="宋体"/>
          <w:sz w:val="24"/>
          <w:szCs w:val="24"/>
        </w:rPr>
        <w:t xml:space="preserve"> 年 </w:t>
      </w:r>
      <w:r>
        <w:rPr>
          <w:rFonts w:hint="eastAsia" w:ascii="宋体" w:hAnsi="宋体" w:cs="宋体"/>
          <w:sz w:val="24"/>
        </w:rPr>
        <w:t>_____</w:t>
      </w:r>
      <w:r>
        <w:rPr>
          <w:rFonts w:hint="eastAsia" w:ascii="宋体" w:hAnsi="宋体" w:cs="宋体"/>
          <w:sz w:val="24"/>
          <w:szCs w:val="24"/>
        </w:rPr>
        <w:t xml:space="preserve">  月</w:t>
      </w:r>
      <w:r>
        <w:rPr>
          <w:rFonts w:hint="eastAsia" w:ascii="宋体" w:hAnsi="宋体" w:cs="宋体"/>
          <w:sz w:val="24"/>
        </w:rPr>
        <w:t>_____</w:t>
      </w:r>
      <w:r>
        <w:rPr>
          <w:rFonts w:hint="eastAsia" w:ascii="宋体" w:hAnsi="宋体" w:cs="宋体"/>
          <w:sz w:val="24"/>
          <w:szCs w:val="24"/>
        </w:rPr>
        <w:t xml:space="preserve"> 日</w:t>
      </w:r>
    </w:p>
    <w:p>
      <w:pPr>
        <w:pStyle w:val="4"/>
        <w:numPr>
          <w:ilvl w:val="0"/>
          <w:numId w:val="29"/>
        </w:numPr>
        <w:spacing w:before="319" w:beforeLines="100" w:after="478" w:afterLines="150" w:line="500" w:lineRule="exact"/>
        <w:jc w:val="center"/>
        <w:rPr>
          <w:rFonts w:ascii="宋体" w:hAnsi="宋体" w:cs="宋体"/>
          <w:sz w:val="36"/>
          <w:szCs w:val="36"/>
        </w:rPr>
        <w:sectPr>
          <w:headerReference r:id="rId15" w:type="default"/>
          <w:footerReference r:id="rId16" w:type="default"/>
          <w:pgSz w:w="11906" w:h="16838"/>
          <w:pgMar w:top="1440" w:right="1803" w:bottom="1440" w:left="1803" w:header="851" w:footer="992" w:gutter="0"/>
          <w:pgNumType w:fmt="decimal"/>
          <w:cols w:space="720" w:num="1"/>
          <w:docGrid w:type="lines" w:linePitch="319" w:charSpace="0"/>
        </w:sectPr>
      </w:pPr>
      <w:bookmarkStart w:id="193" w:name="_Toc28494"/>
    </w:p>
    <w:p>
      <w:pPr>
        <w:pStyle w:val="4"/>
        <w:numPr>
          <w:ilvl w:val="0"/>
          <w:numId w:val="29"/>
        </w:numPr>
        <w:spacing w:before="319" w:beforeLines="100" w:after="478" w:afterLines="150" w:line="500" w:lineRule="exact"/>
        <w:jc w:val="center"/>
        <w:rPr>
          <w:rFonts w:ascii="宋体" w:hAnsi="宋体" w:cs="宋体"/>
          <w:sz w:val="36"/>
          <w:szCs w:val="36"/>
        </w:rPr>
      </w:pPr>
      <w:r>
        <w:rPr>
          <w:rFonts w:hint="eastAsia" w:ascii="宋体" w:hAnsi="宋体" w:cs="宋体"/>
          <w:sz w:val="36"/>
          <w:szCs w:val="36"/>
        </w:rPr>
        <w:t xml:space="preserve"> </w:t>
      </w:r>
      <w:bookmarkEnd w:id="193"/>
      <w:bookmarkStart w:id="194" w:name="_Toc12164"/>
      <w:bookmarkStart w:id="195" w:name="_Toc3970"/>
      <w:r>
        <w:rPr>
          <w:rFonts w:hint="eastAsia" w:ascii="宋体" w:hAnsi="宋体" w:cs="宋体"/>
          <w:sz w:val="36"/>
          <w:szCs w:val="36"/>
        </w:rPr>
        <w:t>报价一览表</w:t>
      </w:r>
      <w:bookmarkEnd w:id="194"/>
      <w:bookmarkEnd w:id="195"/>
    </w:p>
    <w:p>
      <w:pPr>
        <w:kinsoku w:val="0"/>
        <w:spacing w:line="360" w:lineRule="auto"/>
        <w:jc w:val="left"/>
        <w:rPr>
          <w:rFonts w:ascii="宋体" w:hAnsi="宋体" w:cs="宋体"/>
          <w:sz w:val="24"/>
          <w:szCs w:val="24"/>
        </w:rPr>
      </w:pPr>
      <w:r>
        <w:rPr>
          <w:rFonts w:hint="eastAsia" w:ascii="宋体" w:hAnsi="宋体" w:cs="宋体"/>
          <w:sz w:val="24"/>
          <w:szCs w:val="24"/>
        </w:rPr>
        <w:t>项目名称：</w:t>
      </w:r>
      <w:r>
        <w:rPr>
          <w:rFonts w:hint="eastAsia" w:ascii="宋体" w:hAnsi="宋体" w:cs="宋体"/>
          <w:sz w:val="24"/>
          <w:szCs w:val="24"/>
          <w:lang w:eastAsia="zh-CN"/>
        </w:rPr>
        <w:t>杨凌职业技术学院经济与贸易学院实验室建设项目</w:t>
      </w:r>
      <w:r>
        <w:rPr>
          <w:rFonts w:hint="eastAsia" w:ascii="宋体" w:hAnsi="宋体" w:cs="宋体"/>
          <w:sz w:val="24"/>
          <w:szCs w:val="24"/>
        </w:rPr>
        <w:t xml:space="preserve">                      </w:t>
      </w:r>
    </w:p>
    <w:p>
      <w:pPr>
        <w:rPr>
          <w:rFonts w:hint="default" w:ascii="宋体" w:hAnsi="宋体" w:eastAsia="宋体" w:cs="宋体"/>
          <w:lang w:val="en-US" w:eastAsia="zh-CN"/>
        </w:rPr>
      </w:pPr>
      <w:r>
        <w:rPr>
          <w:rFonts w:hint="eastAsia" w:ascii="宋体" w:hAnsi="宋体" w:cs="宋体"/>
          <w:sz w:val="24"/>
          <w:szCs w:val="24"/>
        </w:rPr>
        <w:t xml:space="preserve">单  位：元    </w:t>
      </w:r>
      <w:r>
        <w:rPr>
          <w:rFonts w:hint="eastAsia" w:ascii="宋体" w:hAnsi="宋体" w:cs="宋体"/>
          <w:sz w:val="28"/>
          <w:szCs w:val="28"/>
        </w:rPr>
        <w:t xml:space="preserve">                       </w:t>
      </w:r>
      <w:r>
        <w:rPr>
          <w:rFonts w:hint="eastAsia" w:ascii="宋体" w:hAnsi="宋体" w:cs="宋体"/>
          <w:sz w:val="24"/>
          <w:szCs w:val="24"/>
        </w:rPr>
        <w:t xml:space="preserve"> </w:t>
      </w:r>
      <w:r>
        <w:rPr>
          <w:rFonts w:hint="eastAsia" w:ascii="宋体" w:hAnsi="宋体" w:cs="宋体"/>
          <w:sz w:val="24"/>
          <w:szCs w:val="24"/>
          <w:lang w:eastAsia="zh-CN"/>
        </w:rPr>
        <w:t>合同包号：合同包</w:t>
      </w:r>
      <w:r>
        <w:rPr>
          <w:rFonts w:hint="eastAsia" w:ascii="宋体" w:hAnsi="宋体" w:cs="宋体"/>
          <w:sz w:val="24"/>
          <w:szCs w:val="24"/>
          <w:lang w:val="en-US" w:eastAsia="zh-CN"/>
        </w:rPr>
        <w:t>X</w:t>
      </w:r>
    </w:p>
    <w:tbl>
      <w:tblPr>
        <w:tblStyle w:val="29"/>
        <w:tblpPr w:leftFromText="180" w:rightFromText="180" w:vertAnchor="text" w:horzAnchor="margin" w:tblpY="174"/>
        <w:tblW w:w="8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5"/>
        <w:gridCol w:w="1875"/>
        <w:gridCol w:w="2164"/>
        <w:gridCol w:w="2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2305" w:type="dxa"/>
            <w:tcBorders>
              <w:tl2br w:val="single" w:color="auto" w:sz="4" w:space="0"/>
            </w:tcBorders>
            <w:vAlign w:val="center"/>
          </w:tcPr>
          <w:p>
            <w:pPr>
              <w:kinsoku w:val="0"/>
              <w:spacing w:line="360" w:lineRule="auto"/>
              <w:ind w:firstLine="1050" w:firstLineChars="500"/>
              <w:jc w:val="both"/>
              <w:rPr>
                <w:rFonts w:ascii="宋体" w:hAnsi="宋体" w:cs="宋体"/>
                <w:szCs w:val="21"/>
              </w:rPr>
            </w:pPr>
            <w:r>
              <w:rPr>
                <w:rFonts w:hint="eastAsia" w:ascii="宋体" w:hAnsi="宋体" w:cs="宋体"/>
                <w:szCs w:val="21"/>
              </w:rPr>
              <w:t>报价内容</w:t>
            </w:r>
          </w:p>
          <w:p>
            <w:pPr>
              <w:kinsoku w:val="0"/>
              <w:spacing w:line="360" w:lineRule="auto"/>
              <w:jc w:val="center"/>
              <w:rPr>
                <w:rFonts w:ascii="宋体" w:hAnsi="宋体" w:cs="宋体"/>
                <w:szCs w:val="21"/>
              </w:rPr>
            </w:pPr>
          </w:p>
          <w:p>
            <w:pPr>
              <w:kinsoku w:val="0"/>
              <w:spacing w:line="360" w:lineRule="auto"/>
              <w:rPr>
                <w:rFonts w:ascii="宋体" w:hAnsi="宋体" w:cs="宋体"/>
                <w:szCs w:val="21"/>
              </w:rPr>
            </w:pPr>
            <w:r>
              <w:rPr>
                <w:rFonts w:hint="eastAsia" w:ascii="宋体" w:hAnsi="宋体" w:cs="宋体"/>
                <w:szCs w:val="21"/>
              </w:rPr>
              <w:t>投标内容</w:t>
            </w:r>
          </w:p>
        </w:tc>
        <w:tc>
          <w:tcPr>
            <w:tcW w:w="1875" w:type="dxa"/>
            <w:vAlign w:val="center"/>
          </w:tcPr>
          <w:p>
            <w:pPr>
              <w:kinsoku w:val="0"/>
              <w:spacing w:line="360" w:lineRule="auto"/>
              <w:jc w:val="center"/>
              <w:rPr>
                <w:rFonts w:ascii="宋体" w:hAnsi="宋体" w:cs="宋体"/>
                <w:szCs w:val="21"/>
              </w:rPr>
            </w:pPr>
            <w:r>
              <w:rPr>
                <w:rFonts w:hint="eastAsia" w:ascii="宋体" w:hAnsi="宋体" w:cs="宋体"/>
                <w:szCs w:val="21"/>
              </w:rPr>
              <w:t>投标总报价</w:t>
            </w:r>
          </w:p>
          <w:p>
            <w:pPr>
              <w:kinsoku w:val="0"/>
              <w:spacing w:line="360" w:lineRule="auto"/>
              <w:jc w:val="center"/>
              <w:rPr>
                <w:rFonts w:ascii="宋体" w:hAnsi="宋体" w:cs="宋体"/>
                <w:szCs w:val="21"/>
              </w:rPr>
            </w:pPr>
            <w:r>
              <w:rPr>
                <w:rFonts w:hint="eastAsia" w:ascii="宋体" w:hAnsi="宋体" w:cs="宋体"/>
                <w:szCs w:val="21"/>
              </w:rPr>
              <w:t>（元）</w:t>
            </w:r>
          </w:p>
        </w:tc>
        <w:tc>
          <w:tcPr>
            <w:tcW w:w="2164" w:type="dxa"/>
            <w:vAlign w:val="center"/>
          </w:tcPr>
          <w:p>
            <w:pPr>
              <w:kinsoku w:val="0"/>
              <w:spacing w:line="360" w:lineRule="auto"/>
              <w:jc w:val="center"/>
              <w:rPr>
                <w:rFonts w:hint="eastAsia" w:ascii="宋体" w:hAnsi="宋体" w:cs="宋体"/>
                <w:szCs w:val="21"/>
              </w:rPr>
            </w:pPr>
            <w:r>
              <w:rPr>
                <w:rFonts w:hint="eastAsia" w:ascii="宋体" w:hAnsi="宋体" w:cs="宋体"/>
                <w:szCs w:val="21"/>
              </w:rPr>
              <w:t>交货期</w:t>
            </w:r>
          </w:p>
        </w:tc>
        <w:tc>
          <w:tcPr>
            <w:tcW w:w="2441" w:type="dxa"/>
            <w:vAlign w:val="center"/>
          </w:tcPr>
          <w:p>
            <w:pPr>
              <w:kinsoku w:val="0"/>
              <w:spacing w:line="360" w:lineRule="auto"/>
              <w:jc w:val="center"/>
              <w:rPr>
                <w:rFonts w:hint="eastAsia" w:ascii="宋体" w:hAnsi="宋体" w:cs="宋体"/>
                <w:szCs w:val="21"/>
              </w:rPr>
            </w:pPr>
            <w:r>
              <w:rPr>
                <w:rFonts w:hint="eastAsia" w:ascii="宋体" w:hAnsi="宋体" w:cs="宋体"/>
                <w:szCs w:val="21"/>
              </w:rPr>
              <w:t>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trPr>
        <w:tc>
          <w:tcPr>
            <w:tcW w:w="2305" w:type="dxa"/>
            <w:vAlign w:val="center"/>
          </w:tcPr>
          <w:p>
            <w:pPr>
              <w:kinsoku w:val="0"/>
              <w:spacing w:line="480" w:lineRule="auto"/>
              <w:jc w:val="left"/>
              <w:rPr>
                <w:rFonts w:hint="eastAsia" w:ascii="宋体" w:hAnsi="宋体" w:eastAsia="宋体" w:cs="宋体"/>
                <w:szCs w:val="21"/>
                <w:lang w:eastAsia="zh-CN"/>
              </w:rPr>
            </w:pPr>
            <w:r>
              <w:rPr>
                <w:rFonts w:hint="eastAsia" w:ascii="宋体" w:hAnsi="宋体" w:cs="宋体"/>
                <w:szCs w:val="21"/>
                <w:lang w:eastAsia="zh-CN"/>
              </w:rPr>
              <w:t>杨凌职业技术学院经济与贸易学院实验室建设项目</w:t>
            </w:r>
          </w:p>
        </w:tc>
        <w:tc>
          <w:tcPr>
            <w:tcW w:w="1875" w:type="dxa"/>
            <w:vAlign w:val="center"/>
          </w:tcPr>
          <w:p>
            <w:pPr>
              <w:kinsoku w:val="0"/>
              <w:spacing w:line="480" w:lineRule="auto"/>
              <w:jc w:val="left"/>
              <w:rPr>
                <w:rFonts w:ascii="宋体" w:hAnsi="宋体" w:cs="宋体"/>
                <w:szCs w:val="21"/>
              </w:rPr>
            </w:pPr>
          </w:p>
        </w:tc>
        <w:tc>
          <w:tcPr>
            <w:tcW w:w="2164" w:type="dxa"/>
            <w:vAlign w:val="center"/>
          </w:tcPr>
          <w:p>
            <w:pPr>
              <w:kinsoku w:val="0"/>
              <w:spacing w:line="480" w:lineRule="auto"/>
              <w:jc w:val="center"/>
              <w:rPr>
                <w:rFonts w:ascii="宋体" w:hAnsi="宋体" w:cs="宋体"/>
                <w:szCs w:val="21"/>
              </w:rPr>
            </w:pPr>
          </w:p>
        </w:tc>
        <w:tc>
          <w:tcPr>
            <w:tcW w:w="2441" w:type="dxa"/>
            <w:vAlign w:val="center"/>
          </w:tcPr>
          <w:p>
            <w:pPr>
              <w:kinsoku w:val="0"/>
              <w:spacing w:line="480" w:lineRule="auto"/>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8785" w:type="dxa"/>
            <w:gridSpan w:val="4"/>
            <w:vAlign w:val="center"/>
          </w:tcPr>
          <w:p>
            <w:pPr>
              <w:kinsoku w:val="0"/>
              <w:spacing w:line="480" w:lineRule="auto"/>
              <w:jc w:val="left"/>
              <w:rPr>
                <w:rFonts w:hint="eastAsia" w:ascii="宋体" w:hAnsi="宋体" w:cs="宋体"/>
                <w:szCs w:val="21"/>
              </w:rPr>
            </w:pPr>
            <w:r>
              <w:rPr>
                <w:rFonts w:hint="eastAsia" w:ascii="宋体" w:hAnsi="宋体" w:cs="宋体"/>
                <w:szCs w:val="21"/>
              </w:rPr>
              <w:t>投标总报价：（大</w:t>
            </w:r>
            <w:r>
              <w:rPr>
                <w:rFonts w:ascii="宋体" w:hAnsi="宋体" w:cs="宋体"/>
                <w:szCs w:val="21"/>
              </w:rPr>
              <w:t>写</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 xml:space="preserve"> （小</w:t>
            </w:r>
            <w:r>
              <w:rPr>
                <w:rFonts w:ascii="宋体" w:hAnsi="宋体" w:cs="宋体"/>
                <w:szCs w:val="21"/>
              </w:rPr>
              <w:t>写</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trPr>
        <w:tc>
          <w:tcPr>
            <w:tcW w:w="8785" w:type="dxa"/>
            <w:gridSpan w:val="4"/>
            <w:vAlign w:val="center"/>
          </w:tcPr>
          <w:p>
            <w:pPr>
              <w:kinsoku w:val="0"/>
              <w:spacing w:line="480" w:lineRule="auto"/>
              <w:jc w:val="left"/>
              <w:rPr>
                <w:rFonts w:ascii="宋体" w:hAnsi="宋体" w:cs="宋体"/>
              </w:rPr>
            </w:pPr>
            <w:r>
              <w:rPr>
                <w:rFonts w:hint="eastAsia" w:ascii="宋体" w:hAnsi="宋体" w:cs="宋体"/>
              </w:rPr>
              <w:t>备注：表内报价内容以元为单位，精确到小数点后两位；</w:t>
            </w:r>
          </w:p>
          <w:p>
            <w:pPr>
              <w:kinsoku w:val="0"/>
              <w:spacing w:line="480" w:lineRule="auto"/>
              <w:ind w:firstLine="630" w:firstLineChars="300"/>
              <w:jc w:val="left"/>
              <w:rPr>
                <w:rFonts w:hint="eastAsia" w:ascii="宋体" w:hAnsi="宋体" w:cs="宋体"/>
              </w:rPr>
            </w:pPr>
            <w:r>
              <w:rPr>
                <w:rFonts w:hint="eastAsia" w:ascii="宋体" w:hAnsi="宋体" w:cs="宋体"/>
              </w:rPr>
              <w:t>严格按照招标文件要求进行填写。</w:t>
            </w:r>
          </w:p>
        </w:tc>
      </w:tr>
    </w:tbl>
    <w:p>
      <w:pPr>
        <w:widowControl/>
        <w:tabs>
          <w:tab w:val="left" w:pos="4000"/>
        </w:tabs>
        <w:snapToGrid w:val="0"/>
        <w:spacing w:line="300" w:lineRule="auto"/>
        <w:jc w:val="left"/>
        <w:rPr>
          <w:rFonts w:ascii="宋体" w:hAnsi="宋体" w:cs="宋体"/>
          <w:b/>
          <w:bCs/>
          <w:spacing w:val="20"/>
          <w:kern w:val="0"/>
          <w:sz w:val="28"/>
          <w:szCs w:val="28"/>
        </w:rPr>
      </w:pPr>
    </w:p>
    <w:p>
      <w:pPr>
        <w:widowControl/>
        <w:tabs>
          <w:tab w:val="left" w:pos="4000"/>
        </w:tabs>
        <w:snapToGrid w:val="0"/>
        <w:spacing w:line="300" w:lineRule="auto"/>
        <w:jc w:val="left"/>
        <w:rPr>
          <w:rFonts w:ascii="宋体" w:hAnsi="宋体" w:cs="宋体"/>
          <w:b/>
          <w:bCs/>
          <w:spacing w:val="20"/>
          <w:kern w:val="0"/>
          <w:sz w:val="28"/>
          <w:szCs w:val="28"/>
        </w:rPr>
      </w:pPr>
      <w:bookmarkStart w:id="196" w:name="_Toc25619"/>
      <w:r>
        <w:rPr>
          <w:rFonts w:hint="eastAsia" w:ascii="宋体" w:hAnsi="宋体" w:cs="宋体"/>
          <w:b/>
          <w:bCs/>
          <w:spacing w:val="20"/>
          <w:kern w:val="0"/>
          <w:sz w:val="28"/>
          <w:szCs w:val="28"/>
        </w:rPr>
        <w:t>注：此表再制作一份原件单独密封递交，供唱标时使用。</w:t>
      </w:r>
      <w:bookmarkEnd w:id="196"/>
    </w:p>
    <w:p>
      <w:pPr>
        <w:widowControl/>
        <w:tabs>
          <w:tab w:val="left" w:pos="4000"/>
        </w:tabs>
        <w:snapToGrid w:val="0"/>
        <w:spacing w:line="300" w:lineRule="auto"/>
        <w:jc w:val="left"/>
        <w:rPr>
          <w:rFonts w:ascii="宋体" w:hAnsi="宋体" w:cs="宋体"/>
          <w:b/>
          <w:bCs/>
          <w:spacing w:val="20"/>
          <w:kern w:val="0"/>
          <w:sz w:val="28"/>
          <w:szCs w:val="28"/>
        </w:rPr>
      </w:pPr>
      <w:r>
        <w:rPr>
          <w:rFonts w:hint="eastAsia" w:ascii="宋体" w:hAnsi="宋体" w:cs="宋体"/>
          <w:b/>
          <w:bCs/>
          <w:spacing w:val="20"/>
          <w:kern w:val="0"/>
          <w:sz w:val="28"/>
          <w:szCs w:val="28"/>
        </w:rPr>
        <w:t xml:space="preserve">    </w:t>
      </w:r>
      <w:bookmarkStart w:id="197" w:name="_Toc31361"/>
      <w:r>
        <w:rPr>
          <w:rFonts w:hint="eastAsia" w:ascii="宋体" w:hAnsi="宋体" w:cs="宋体"/>
          <w:b/>
          <w:bCs/>
          <w:spacing w:val="20"/>
          <w:kern w:val="0"/>
          <w:sz w:val="28"/>
          <w:szCs w:val="28"/>
        </w:rPr>
        <w:t>请写明大写、小写。</w:t>
      </w:r>
      <w:bookmarkEnd w:id="197"/>
    </w:p>
    <w:p>
      <w:pPr>
        <w:adjustRightInd w:val="0"/>
        <w:snapToGrid w:val="0"/>
        <w:spacing w:line="480" w:lineRule="auto"/>
        <w:jc w:val="left"/>
        <w:rPr>
          <w:rFonts w:ascii="宋体" w:hAnsi="宋体" w:cs="宋体"/>
          <w:sz w:val="28"/>
          <w:szCs w:val="28"/>
        </w:rPr>
      </w:pPr>
    </w:p>
    <w:p>
      <w:pPr>
        <w:adjustRightInd w:val="0"/>
        <w:snapToGrid w:val="0"/>
        <w:spacing w:line="480" w:lineRule="auto"/>
        <w:jc w:val="left"/>
        <w:rPr>
          <w:rFonts w:ascii="宋体" w:hAnsi="宋体" w:cs="宋体"/>
          <w:sz w:val="24"/>
          <w:szCs w:val="24"/>
          <w:u w:val="single"/>
        </w:rPr>
      </w:pPr>
      <w:bookmarkStart w:id="198" w:name="_Toc27684"/>
      <w:r>
        <w:rPr>
          <w:rFonts w:hint="eastAsia" w:ascii="宋体" w:hAnsi="宋体" w:cs="宋体"/>
          <w:sz w:val="24"/>
          <w:szCs w:val="24"/>
        </w:rPr>
        <w:t>供应商（单位名称及公章）：____________________</w:t>
      </w:r>
      <w:bookmarkEnd w:id="198"/>
    </w:p>
    <w:p>
      <w:pPr>
        <w:adjustRightInd w:val="0"/>
        <w:snapToGrid w:val="0"/>
        <w:spacing w:line="480" w:lineRule="auto"/>
        <w:rPr>
          <w:rFonts w:ascii="宋体" w:hAnsi="宋体" w:cs="宋体"/>
          <w:sz w:val="24"/>
          <w:szCs w:val="24"/>
        </w:rPr>
      </w:pPr>
      <w:bookmarkStart w:id="199" w:name="_Toc24420"/>
      <w:r>
        <w:rPr>
          <w:rFonts w:hint="eastAsia" w:ascii="宋体" w:hAnsi="宋体" w:cs="宋体"/>
          <w:sz w:val="24"/>
          <w:szCs w:val="24"/>
        </w:rPr>
        <w:t>法定代表人或被授权人（签字或盖章）：____________________</w:t>
      </w:r>
      <w:bookmarkEnd w:id="199"/>
    </w:p>
    <w:p>
      <w:pPr>
        <w:adjustRightInd w:val="0"/>
        <w:snapToGrid w:val="0"/>
        <w:spacing w:line="480" w:lineRule="auto"/>
        <w:rPr>
          <w:rFonts w:ascii="宋体" w:hAnsi="宋体" w:cs="宋体"/>
          <w:sz w:val="24"/>
          <w:szCs w:val="24"/>
        </w:rPr>
        <w:sectPr>
          <w:pgSz w:w="11906" w:h="16838"/>
          <w:pgMar w:top="1440" w:right="1803" w:bottom="1440" w:left="1803" w:header="851" w:footer="992" w:gutter="0"/>
          <w:pgNumType w:fmt="decimal"/>
          <w:cols w:space="720" w:num="1"/>
          <w:docGrid w:type="lines" w:linePitch="319" w:charSpace="0"/>
        </w:sectPr>
      </w:pPr>
      <w:bookmarkStart w:id="200" w:name="_Toc14425"/>
      <w:r>
        <w:rPr>
          <w:rFonts w:hint="eastAsia" w:ascii="宋体" w:hAnsi="宋体" w:cs="宋体"/>
          <w:sz w:val="24"/>
          <w:szCs w:val="24"/>
        </w:rPr>
        <w:t>日    期：  _____年_____  月_____</w:t>
      </w:r>
      <w:bookmarkEnd w:id="200"/>
    </w:p>
    <w:p>
      <w:pPr>
        <w:jc w:val="center"/>
        <w:rPr>
          <w:rFonts w:ascii="宋体" w:hAnsi="宋体" w:cs="宋体"/>
          <w:sz w:val="36"/>
          <w:szCs w:val="36"/>
        </w:rPr>
      </w:pPr>
      <w:bookmarkStart w:id="201" w:name="_Toc14444"/>
      <w:bookmarkStart w:id="202" w:name="_Toc17641"/>
      <w:bookmarkStart w:id="203" w:name="_Toc6753"/>
      <w:bookmarkStart w:id="204" w:name="_Toc9863"/>
      <w:r>
        <w:rPr>
          <w:rFonts w:hint="eastAsia" w:ascii="宋体" w:hAnsi="宋体" w:cs="宋体"/>
          <w:sz w:val="36"/>
          <w:szCs w:val="36"/>
        </w:rPr>
        <w:t>分项报价表</w:t>
      </w:r>
      <w:bookmarkEnd w:id="201"/>
    </w:p>
    <w:p>
      <w:pPr>
        <w:pStyle w:val="9"/>
        <w:ind w:firstLine="0"/>
        <w:rPr>
          <w:rFonts w:ascii="宋体" w:hAnsi="宋体" w:cs="宋体"/>
        </w:rPr>
      </w:pPr>
    </w:p>
    <w:p>
      <w:pPr>
        <w:pStyle w:val="9"/>
        <w:ind w:firstLine="0"/>
        <w:rPr>
          <w:rFonts w:hint="eastAsia" w:ascii="宋体" w:hAnsi="宋体" w:eastAsia="宋体" w:cs="宋体"/>
          <w:sz w:val="24"/>
          <w:lang w:eastAsia="zh-CN"/>
        </w:rPr>
      </w:pPr>
      <w:r>
        <w:rPr>
          <w:rFonts w:hint="eastAsia" w:ascii="宋体" w:hAnsi="宋体" w:cs="宋体"/>
          <w:sz w:val="24"/>
        </w:rPr>
        <w:t>项目名称：</w:t>
      </w:r>
      <w:r>
        <w:rPr>
          <w:rFonts w:hint="eastAsia" w:ascii="宋体" w:hAnsi="宋体" w:cs="宋体"/>
          <w:sz w:val="24"/>
          <w:lang w:eastAsia="zh-CN"/>
        </w:rPr>
        <w:t>杨凌职业技术学院经济与贸易学院实验室建设项目</w:t>
      </w:r>
    </w:p>
    <w:p>
      <w:pPr>
        <w:pStyle w:val="9"/>
        <w:ind w:firstLine="0"/>
        <w:rPr>
          <w:rFonts w:hint="eastAsia" w:ascii="宋体" w:hAnsi="宋体" w:eastAsia="宋体" w:cs="宋体"/>
          <w:sz w:val="24"/>
          <w:u w:val="single"/>
          <w:lang w:eastAsia="zh-CN"/>
        </w:rPr>
      </w:pPr>
      <w:r>
        <w:rPr>
          <w:rFonts w:hint="eastAsia" w:ascii="宋体" w:hAnsi="宋体" w:cs="宋体"/>
          <w:sz w:val="24"/>
        </w:rPr>
        <w:t>项目编号：</w:t>
      </w:r>
      <w:r>
        <w:rPr>
          <w:rFonts w:hint="eastAsia" w:ascii="宋体" w:hAnsi="宋体" w:cs="宋体"/>
          <w:sz w:val="24"/>
          <w:lang w:eastAsia="zh-CN"/>
        </w:rPr>
        <w:t>ZMZB2022YLZY-61</w:t>
      </w:r>
    </w:p>
    <w:tbl>
      <w:tblPr>
        <w:tblStyle w:val="29"/>
        <w:tblpPr w:leftFromText="180" w:rightFromText="180" w:vertAnchor="text" w:horzAnchor="page" w:tblpX="1534" w:tblpY="373"/>
        <w:tblOverlap w:val="never"/>
        <w:tblW w:w="9060" w:type="dxa"/>
        <w:tblInd w:w="0" w:type="dxa"/>
        <w:tblLayout w:type="fixed"/>
        <w:tblCellMar>
          <w:top w:w="0" w:type="dxa"/>
          <w:left w:w="28" w:type="dxa"/>
          <w:bottom w:w="0" w:type="dxa"/>
          <w:right w:w="28" w:type="dxa"/>
        </w:tblCellMar>
      </w:tblPr>
      <w:tblGrid>
        <w:gridCol w:w="1148"/>
        <w:gridCol w:w="530"/>
        <w:gridCol w:w="789"/>
        <w:gridCol w:w="862"/>
        <w:gridCol w:w="988"/>
        <w:gridCol w:w="1271"/>
        <w:gridCol w:w="966"/>
        <w:gridCol w:w="1353"/>
        <w:gridCol w:w="1153"/>
      </w:tblGrid>
      <w:tr>
        <w:tblPrEx>
          <w:tblCellMar>
            <w:top w:w="0" w:type="dxa"/>
            <w:left w:w="28" w:type="dxa"/>
            <w:bottom w:w="0" w:type="dxa"/>
            <w:right w:w="28" w:type="dxa"/>
          </w:tblCellMar>
        </w:tblPrEx>
        <w:trPr>
          <w:trHeight w:val="875" w:hRule="atLeast"/>
        </w:trPr>
        <w:tc>
          <w:tcPr>
            <w:tcW w:w="1148" w:type="dxa"/>
            <w:vMerge w:val="restart"/>
            <w:tcBorders>
              <w:top w:val="single" w:color="auto" w:sz="6" w:space="0"/>
              <w:left w:val="single" w:color="auto" w:sz="6" w:space="0"/>
              <w:bottom w:val="nil"/>
              <w:right w:val="single" w:color="auto" w:sz="4" w:space="0"/>
            </w:tcBorders>
            <w:vAlign w:val="center"/>
          </w:tcPr>
          <w:p>
            <w:pPr>
              <w:jc w:val="left"/>
              <w:rPr>
                <w:rFonts w:ascii="宋体" w:cs="宋体"/>
                <w:sz w:val="22"/>
                <w:highlight w:val="none"/>
              </w:rPr>
            </w:pPr>
            <w:r>
              <w:rPr>
                <w:rFonts w:hint="eastAsia" w:ascii="宋体" w:cs="宋体"/>
                <w:sz w:val="22"/>
                <w:highlight w:val="none"/>
              </w:rPr>
              <w:t>分项费用</w:t>
            </w:r>
          </w:p>
        </w:tc>
        <w:tc>
          <w:tcPr>
            <w:tcW w:w="530" w:type="dxa"/>
            <w:tcBorders>
              <w:top w:val="single" w:color="auto" w:sz="6" w:space="0"/>
              <w:left w:val="single" w:color="auto" w:sz="4" w:space="0"/>
              <w:bottom w:val="single" w:color="auto" w:sz="6" w:space="0"/>
              <w:right w:val="nil"/>
            </w:tcBorders>
            <w:vAlign w:val="center"/>
          </w:tcPr>
          <w:p>
            <w:pPr>
              <w:spacing w:after="120"/>
              <w:jc w:val="center"/>
              <w:rPr>
                <w:rFonts w:ascii="宋体" w:cs="宋体"/>
                <w:sz w:val="22"/>
                <w:highlight w:val="none"/>
              </w:rPr>
            </w:pPr>
            <w:r>
              <w:rPr>
                <w:rFonts w:hint="eastAsia" w:ascii="宋体" w:cs="宋体"/>
                <w:sz w:val="22"/>
                <w:highlight w:val="none"/>
              </w:rPr>
              <w:t>序号</w:t>
            </w:r>
          </w:p>
        </w:tc>
        <w:tc>
          <w:tcPr>
            <w:tcW w:w="789" w:type="dxa"/>
            <w:tcBorders>
              <w:top w:val="single" w:color="auto" w:sz="6" w:space="0"/>
              <w:left w:val="single" w:color="auto" w:sz="6" w:space="0"/>
              <w:bottom w:val="single" w:color="auto" w:sz="6" w:space="0"/>
              <w:right w:val="single" w:color="auto" w:sz="6" w:space="0"/>
            </w:tcBorders>
            <w:vAlign w:val="center"/>
          </w:tcPr>
          <w:p>
            <w:pPr>
              <w:spacing w:after="120"/>
              <w:jc w:val="center"/>
              <w:rPr>
                <w:rFonts w:ascii="宋体" w:cs="宋体"/>
                <w:sz w:val="22"/>
                <w:highlight w:val="none"/>
              </w:rPr>
            </w:pPr>
            <w:r>
              <w:rPr>
                <w:rFonts w:hint="eastAsia" w:ascii="宋体" w:cs="宋体"/>
                <w:sz w:val="22"/>
                <w:highlight w:val="none"/>
              </w:rPr>
              <w:t>名称</w:t>
            </w:r>
          </w:p>
        </w:tc>
        <w:tc>
          <w:tcPr>
            <w:tcW w:w="862" w:type="dxa"/>
            <w:tcBorders>
              <w:top w:val="single" w:color="auto" w:sz="6" w:space="0"/>
              <w:left w:val="single" w:color="auto" w:sz="6" w:space="0"/>
              <w:bottom w:val="single" w:color="auto" w:sz="6" w:space="0"/>
              <w:right w:val="single" w:color="auto" w:sz="4" w:space="0"/>
            </w:tcBorders>
            <w:vAlign w:val="center"/>
          </w:tcPr>
          <w:p>
            <w:pPr>
              <w:spacing w:after="120"/>
              <w:jc w:val="center"/>
              <w:rPr>
                <w:rFonts w:ascii="宋体" w:cs="宋体"/>
                <w:sz w:val="22"/>
                <w:highlight w:val="none"/>
              </w:rPr>
            </w:pPr>
            <w:r>
              <w:rPr>
                <w:rFonts w:hint="eastAsia" w:ascii="宋体" w:cs="宋体"/>
                <w:sz w:val="22"/>
                <w:highlight w:val="none"/>
              </w:rPr>
              <w:t>品牌</w:t>
            </w:r>
          </w:p>
        </w:tc>
        <w:tc>
          <w:tcPr>
            <w:tcW w:w="988" w:type="dxa"/>
            <w:tcBorders>
              <w:top w:val="single" w:color="auto" w:sz="6" w:space="0"/>
              <w:left w:val="single" w:color="auto" w:sz="4" w:space="0"/>
              <w:bottom w:val="single" w:color="auto" w:sz="6" w:space="0"/>
              <w:right w:val="single" w:color="auto" w:sz="6" w:space="0"/>
            </w:tcBorders>
            <w:vAlign w:val="center"/>
          </w:tcPr>
          <w:p>
            <w:pPr>
              <w:spacing w:after="120"/>
              <w:jc w:val="center"/>
              <w:rPr>
                <w:rFonts w:ascii="宋体" w:cs="宋体"/>
                <w:sz w:val="22"/>
                <w:highlight w:val="none"/>
              </w:rPr>
            </w:pPr>
            <w:r>
              <w:rPr>
                <w:rFonts w:hint="eastAsia" w:ascii="宋体" w:cs="宋体"/>
                <w:sz w:val="22"/>
                <w:highlight w:val="none"/>
              </w:rPr>
              <w:t>型号或规格</w:t>
            </w:r>
          </w:p>
        </w:tc>
        <w:tc>
          <w:tcPr>
            <w:tcW w:w="1271" w:type="dxa"/>
            <w:tcBorders>
              <w:top w:val="single" w:color="auto" w:sz="6" w:space="0"/>
              <w:left w:val="single" w:color="auto" w:sz="6" w:space="0"/>
              <w:bottom w:val="single" w:color="auto" w:sz="6" w:space="0"/>
              <w:right w:val="single" w:color="auto" w:sz="6" w:space="0"/>
            </w:tcBorders>
            <w:vAlign w:val="center"/>
          </w:tcPr>
          <w:p>
            <w:pPr>
              <w:spacing w:before="159" w:after="120"/>
              <w:jc w:val="center"/>
              <w:rPr>
                <w:rFonts w:ascii="宋体" w:cs="宋体"/>
                <w:sz w:val="22"/>
                <w:highlight w:val="none"/>
              </w:rPr>
            </w:pPr>
            <w:r>
              <w:rPr>
                <w:rFonts w:hint="eastAsia" w:ascii="宋体" w:cs="宋体"/>
                <w:sz w:val="22"/>
                <w:highlight w:val="none"/>
              </w:rPr>
              <w:t>原产地及制造厂名</w:t>
            </w:r>
          </w:p>
        </w:tc>
        <w:tc>
          <w:tcPr>
            <w:tcW w:w="966" w:type="dxa"/>
            <w:tcBorders>
              <w:top w:val="single" w:color="auto" w:sz="6" w:space="0"/>
              <w:left w:val="single" w:color="auto" w:sz="6" w:space="0"/>
              <w:bottom w:val="single" w:color="auto" w:sz="6" w:space="0"/>
              <w:right w:val="single" w:color="auto" w:sz="6" w:space="0"/>
            </w:tcBorders>
            <w:vAlign w:val="center"/>
          </w:tcPr>
          <w:p>
            <w:pPr>
              <w:spacing w:after="120"/>
              <w:jc w:val="center"/>
              <w:rPr>
                <w:rFonts w:ascii="宋体" w:cs="宋体"/>
                <w:sz w:val="22"/>
                <w:highlight w:val="none"/>
              </w:rPr>
            </w:pPr>
            <w:r>
              <w:rPr>
                <w:rFonts w:hint="eastAsia" w:ascii="宋体" w:cs="宋体"/>
                <w:sz w:val="22"/>
                <w:highlight w:val="none"/>
              </w:rPr>
              <w:t>数量</w:t>
            </w:r>
          </w:p>
        </w:tc>
        <w:tc>
          <w:tcPr>
            <w:tcW w:w="1353" w:type="dxa"/>
            <w:tcBorders>
              <w:top w:val="single" w:color="auto" w:sz="6" w:space="0"/>
              <w:left w:val="single" w:color="auto" w:sz="6" w:space="0"/>
              <w:bottom w:val="single" w:color="auto" w:sz="6" w:space="0"/>
              <w:right w:val="single" w:color="auto" w:sz="6" w:space="0"/>
            </w:tcBorders>
            <w:vAlign w:val="center"/>
          </w:tcPr>
          <w:p>
            <w:pPr>
              <w:spacing w:after="120"/>
              <w:jc w:val="center"/>
              <w:rPr>
                <w:rFonts w:ascii="宋体" w:cs="宋体"/>
                <w:sz w:val="22"/>
                <w:highlight w:val="none"/>
              </w:rPr>
            </w:pPr>
            <w:r>
              <w:rPr>
                <w:rFonts w:hint="eastAsia" w:ascii="宋体" w:cs="宋体"/>
                <w:sz w:val="22"/>
                <w:highlight w:val="none"/>
              </w:rPr>
              <w:t>单价</w:t>
            </w:r>
          </w:p>
          <w:p>
            <w:pPr>
              <w:spacing w:after="120"/>
              <w:jc w:val="center"/>
              <w:rPr>
                <w:rFonts w:ascii="宋体" w:cs="宋体"/>
                <w:bCs/>
                <w:sz w:val="22"/>
                <w:highlight w:val="none"/>
              </w:rPr>
            </w:pPr>
            <w:r>
              <w:rPr>
                <w:rFonts w:hint="eastAsia" w:ascii="宋体" w:cs="宋体"/>
                <w:sz w:val="22"/>
                <w:highlight w:val="none"/>
              </w:rPr>
              <w:t>（元）</w:t>
            </w:r>
          </w:p>
        </w:tc>
        <w:tc>
          <w:tcPr>
            <w:tcW w:w="1153" w:type="dxa"/>
            <w:tcBorders>
              <w:top w:val="single" w:color="auto" w:sz="6" w:space="0"/>
              <w:left w:val="single" w:color="auto" w:sz="6" w:space="0"/>
              <w:bottom w:val="single" w:color="auto" w:sz="6" w:space="0"/>
              <w:right w:val="single" w:color="auto" w:sz="6" w:space="0"/>
            </w:tcBorders>
            <w:vAlign w:val="center"/>
          </w:tcPr>
          <w:p>
            <w:pPr>
              <w:spacing w:after="120"/>
              <w:jc w:val="center"/>
              <w:rPr>
                <w:rFonts w:ascii="宋体" w:cs="宋体"/>
                <w:bCs/>
                <w:sz w:val="22"/>
                <w:highlight w:val="none"/>
              </w:rPr>
            </w:pPr>
            <w:r>
              <w:rPr>
                <w:rFonts w:hint="eastAsia" w:ascii="宋体" w:cs="宋体"/>
                <w:bCs/>
                <w:sz w:val="22"/>
                <w:highlight w:val="none"/>
              </w:rPr>
              <w:t>总价</w:t>
            </w:r>
          </w:p>
          <w:p>
            <w:pPr>
              <w:spacing w:after="120"/>
              <w:jc w:val="center"/>
              <w:rPr>
                <w:rFonts w:ascii="宋体" w:cs="宋体"/>
                <w:bCs/>
                <w:sz w:val="22"/>
                <w:highlight w:val="none"/>
              </w:rPr>
            </w:pPr>
            <w:r>
              <w:rPr>
                <w:rFonts w:hint="eastAsia" w:ascii="宋体" w:cs="宋体"/>
                <w:bCs/>
                <w:sz w:val="22"/>
                <w:highlight w:val="none"/>
              </w:rPr>
              <w:t>（元）</w:t>
            </w:r>
          </w:p>
        </w:tc>
      </w:tr>
      <w:tr>
        <w:tblPrEx>
          <w:tblCellMar>
            <w:top w:w="0" w:type="dxa"/>
            <w:left w:w="28" w:type="dxa"/>
            <w:bottom w:w="0" w:type="dxa"/>
            <w:right w:w="28" w:type="dxa"/>
          </w:tblCellMar>
        </w:tblPrEx>
        <w:trPr>
          <w:trHeight w:val="612" w:hRule="atLeast"/>
        </w:trPr>
        <w:tc>
          <w:tcPr>
            <w:tcW w:w="1148" w:type="dxa"/>
            <w:vMerge w:val="continue"/>
            <w:tcBorders>
              <w:top w:val="nil"/>
              <w:left w:val="single" w:color="auto" w:sz="6" w:space="0"/>
              <w:bottom w:val="nil"/>
              <w:right w:val="single" w:color="auto" w:sz="4" w:space="0"/>
            </w:tcBorders>
            <w:vAlign w:val="center"/>
          </w:tcPr>
          <w:p>
            <w:pPr>
              <w:rPr>
                <w:highlight w:val="none"/>
              </w:rPr>
            </w:pPr>
          </w:p>
        </w:tc>
        <w:tc>
          <w:tcPr>
            <w:tcW w:w="530" w:type="dxa"/>
            <w:tcBorders>
              <w:top w:val="single" w:color="auto" w:sz="6" w:space="0"/>
              <w:left w:val="single" w:color="auto" w:sz="4" w:space="0"/>
              <w:bottom w:val="single" w:color="auto" w:sz="4" w:space="0"/>
              <w:right w:val="nil"/>
            </w:tcBorders>
            <w:vAlign w:val="center"/>
          </w:tcPr>
          <w:p>
            <w:pPr>
              <w:spacing w:before="319"/>
              <w:jc w:val="center"/>
              <w:rPr>
                <w:rFonts w:ascii="宋体" w:cs="宋体"/>
                <w:sz w:val="22"/>
                <w:highlight w:val="none"/>
              </w:rPr>
            </w:pPr>
            <w:r>
              <w:rPr>
                <w:rFonts w:hint="eastAsia" w:ascii="宋体" w:cs="宋体"/>
                <w:sz w:val="22"/>
                <w:highlight w:val="none"/>
              </w:rPr>
              <w:t>1</w:t>
            </w:r>
          </w:p>
        </w:tc>
        <w:tc>
          <w:tcPr>
            <w:tcW w:w="789" w:type="dxa"/>
            <w:tcBorders>
              <w:top w:val="single" w:color="auto" w:sz="6" w:space="0"/>
              <w:left w:val="single" w:color="auto" w:sz="6" w:space="0"/>
              <w:bottom w:val="single" w:color="auto" w:sz="4" w:space="0"/>
              <w:right w:val="single" w:color="auto" w:sz="6" w:space="0"/>
            </w:tcBorders>
            <w:vAlign w:val="center"/>
          </w:tcPr>
          <w:p>
            <w:pPr>
              <w:spacing w:before="159"/>
              <w:jc w:val="center"/>
              <w:rPr>
                <w:rFonts w:ascii="宋体" w:cs="宋体"/>
                <w:sz w:val="22"/>
                <w:highlight w:val="none"/>
              </w:rPr>
            </w:pPr>
          </w:p>
        </w:tc>
        <w:tc>
          <w:tcPr>
            <w:tcW w:w="862" w:type="dxa"/>
            <w:tcBorders>
              <w:top w:val="single" w:color="auto" w:sz="6" w:space="0"/>
              <w:left w:val="single" w:color="auto" w:sz="6" w:space="0"/>
              <w:bottom w:val="single" w:color="auto" w:sz="4" w:space="0"/>
              <w:right w:val="single" w:color="auto" w:sz="4" w:space="0"/>
            </w:tcBorders>
            <w:vAlign w:val="center"/>
          </w:tcPr>
          <w:p>
            <w:pPr>
              <w:spacing w:before="159"/>
              <w:jc w:val="center"/>
              <w:rPr>
                <w:rFonts w:ascii="宋体" w:cs="宋体"/>
                <w:sz w:val="22"/>
                <w:highlight w:val="none"/>
              </w:rPr>
            </w:pPr>
          </w:p>
        </w:tc>
        <w:tc>
          <w:tcPr>
            <w:tcW w:w="988" w:type="dxa"/>
            <w:tcBorders>
              <w:top w:val="single" w:color="auto" w:sz="6" w:space="0"/>
              <w:left w:val="single" w:color="auto" w:sz="4" w:space="0"/>
              <w:bottom w:val="single" w:color="auto" w:sz="4" w:space="0"/>
              <w:right w:val="single" w:color="auto" w:sz="6" w:space="0"/>
            </w:tcBorders>
            <w:vAlign w:val="center"/>
          </w:tcPr>
          <w:p>
            <w:pPr>
              <w:spacing w:before="159"/>
              <w:jc w:val="center"/>
              <w:rPr>
                <w:rFonts w:ascii="宋体" w:cs="宋体"/>
                <w:sz w:val="22"/>
                <w:highlight w:val="none"/>
              </w:rPr>
            </w:pPr>
          </w:p>
        </w:tc>
        <w:tc>
          <w:tcPr>
            <w:tcW w:w="1271" w:type="dxa"/>
            <w:tcBorders>
              <w:top w:val="single" w:color="auto" w:sz="6" w:space="0"/>
              <w:left w:val="single" w:color="auto" w:sz="6" w:space="0"/>
              <w:bottom w:val="single" w:color="auto" w:sz="4" w:space="0"/>
              <w:right w:val="single" w:color="auto" w:sz="6" w:space="0"/>
            </w:tcBorders>
            <w:vAlign w:val="center"/>
          </w:tcPr>
          <w:p>
            <w:pPr>
              <w:spacing w:before="159"/>
              <w:jc w:val="center"/>
              <w:rPr>
                <w:rFonts w:ascii="宋体" w:cs="宋体"/>
                <w:sz w:val="22"/>
                <w:highlight w:val="none"/>
              </w:rPr>
            </w:pPr>
          </w:p>
        </w:tc>
        <w:tc>
          <w:tcPr>
            <w:tcW w:w="966" w:type="dxa"/>
            <w:tcBorders>
              <w:top w:val="single" w:color="auto" w:sz="6" w:space="0"/>
              <w:left w:val="single" w:color="auto" w:sz="6" w:space="0"/>
              <w:bottom w:val="single" w:color="auto" w:sz="4" w:space="0"/>
              <w:right w:val="single" w:color="auto" w:sz="6" w:space="0"/>
            </w:tcBorders>
            <w:vAlign w:val="center"/>
          </w:tcPr>
          <w:p>
            <w:pPr>
              <w:spacing w:before="159"/>
              <w:jc w:val="center"/>
              <w:rPr>
                <w:rFonts w:ascii="宋体" w:cs="宋体"/>
                <w:sz w:val="22"/>
                <w:highlight w:val="none"/>
              </w:rPr>
            </w:pPr>
          </w:p>
        </w:tc>
        <w:tc>
          <w:tcPr>
            <w:tcW w:w="1353" w:type="dxa"/>
            <w:tcBorders>
              <w:top w:val="single" w:color="auto" w:sz="6" w:space="0"/>
              <w:left w:val="single" w:color="auto" w:sz="6" w:space="0"/>
              <w:bottom w:val="single" w:color="auto" w:sz="4" w:space="0"/>
              <w:right w:val="single" w:color="auto" w:sz="6" w:space="0"/>
            </w:tcBorders>
            <w:vAlign w:val="center"/>
          </w:tcPr>
          <w:p>
            <w:pPr>
              <w:spacing w:before="159"/>
              <w:jc w:val="center"/>
              <w:rPr>
                <w:rFonts w:ascii="宋体" w:cs="宋体"/>
                <w:sz w:val="22"/>
                <w:highlight w:val="none"/>
              </w:rPr>
            </w:pPr>
          </w:p>
        </w:tc>
        <w:tc>
          <w:tcPr>
            <w:tcW w:w="1153" w:type="dxa"/>
            <w:tcBorders>
              <w:top w:val="single" w:color="auto" w:sz="6" w:space="0"/>
              <w:left w:val="single" w:color="auto" w:sz="6" w:space="0"/>
              <w:bottom w:val="single" w:color="auto" w:sz="4" w:space="0"/>
              <w:right w:val="single" w:color="auto" w:sz="6" w:space="0"/>
            </w:tcBorders>
            <w:vAlign w:val="center"/>
          </w:tcPr>
          <w:p>
            <w:pPr>
              <w:spacing w:before="159"/>
              <w:jc w:val="center"/>
              <w:rPr>
                <w:rFonts w:ascii="宋体" w:cs="宋体"/>
                <w:sz w:val="22"/>
                <w:highlight w:val="none"/>
              </w:rPr>
            </w:pPr>
          </w:p>
        </w:tc>
      </w:tr>
      <w:tr>
        <w:tblPrEx>
          <w:tblCellMar>
            <w:top w:w="0" w:type="dxa"/>
            <w:left w:w="28" w:type="dxa"/>
            <w:bottom w:w="0" w:type="dxa"/>
            <w:right w:w="28" w:type="dxa"/>
          </w:tblCellMar>
        </w:tblPrEx>
        <w:trPr>
          <w:trHeight w:val="608" w:hRule="atLeast"/>
        </w:trPr>
        <w:tc>
          <w:tcPr>
            <w:tcW w:w="1148" w:type="dxa"/>
            <w:vMerge w:val="continue"/>
            <w:tcBorders>
              <w:top w:val="nil"/>
              <w:left w:val="single" w:color="auto" w:sz="6" w:space="0"/>
              <w:bottom w:val="nil"/>
              <w:right w:val="single" w:color="auto" w:sz="4" w:space="0"/>
            </w:tcBorders>
            <w:vAlign w:val="center"/>
          </w:tcPr>
          <w:p>
            <w:pPr>
              <w:rPr>
                <w:highlight w:val="none"/>
              </w:rPr>
            </w:pPr>
          </w:p>
        </w:tc>
        <w:tc>
          <w:tcPr>
            <w:tcW w:w="530" w:type="dxa"/>
            <w:tcBorders>
              <w:top w:val="single" w:color="auto" w:sz="4" w:space="0"/>
              <w:left w:val="single" w:color="auto" w:sz="4" w:space="0"/>
              <w:bottom w:val="single" w:color="auto" w:sz="6" w:space="0"/>
              <w:right w:val="nil"/>
            </w:tcBorders>
            <w:vAlign w:val="center"/>
          </w:tcPr>
          <w:p>
            <w:pPr>
              <w:spacing w:before="319"/>
              <w:jc w:val="center"/>
              <w:rPr>
                <w:rFonts w:ascii="宋体" w:cs="宋体"/>
                <w:sz w:val="22"/>
                <w:highlight w:val="none"/>
              </w:rPr>
            </w:pPr>
            <w:r>
              <w:rPr>
                <w:rFonts w:hint="eastAsia" w:ascii="宋体" w:cs="宋体"/>
                <w:sz w:val="22"/>
                <w:highlight w:val="none"/>
              </w:rPr>
              <w:t>2</w:t>
            </w:r>
          </w:p>
        </w:tc>
        <w:tc>
          <w:tcPr>
            <w:tcW w:w="789" w:type="dxa"/>
            <w:tcBorders>
              <w:top w:val="single" w:color="auto" w:sz="4" w:space="0"/>
              <w:left w:val="single" w:color="auto" w:sz="6" w:space="0"/>
              <w:bottom w:val="single" w:color="auto" w:sz="6" w:space="0"/>
              <w:right w:val="single" w:color="auto" w:sz="6" w:space="0"/>
            </w:tcBorders>
            <w:vAlign w:val="center"/>
          </w:tcPr>
          <w:p>
            <w:pPr>
              <w:spacing w:before="319"/>
              <w:jc w:val="center"/>
              <w:rPr>
                <w:rFonts w:ascii="宋体" w:cs="宋体"/>
                <w:sz w:val="22"/>
                <w:highlight w:val="none"/>
              </w:rPr>
            </w:pPr>
          </w:p>
        </w:tc>
        <w:tc>
          <w:tcPr>
            <w:tcW w:w="862" w:type="dxa"/>
            <w:tcBorders>
              <w:top w:val="single" w:color="auto" w:sz="4" w:space="0"/>
              <w:left w:val="single" w:color="auto" w:sz="6" w:space="0"/>
              <w:bottom w:val="single" w:color="auto" w:sz="6" w:space="0"/>
              <w:right w:val="single" w:color="auto" w:sz="4" w:space="0"/>
            </w:tcBorders>
            <w:vAlign w:val="center"/>
          </w:tcPr>
          <w:p>
            <w:pPr>
              <w:spacing w:before="159"/>
              <w:jc w:val="center"/>
              <w:rPr>
                <w:rFonts w:ascii="宋体" w:cs="宋体"/>
                <w:sz w:val="22"/>
                <w:highlight w:val="none"/>
              </w:rPr>
            </w:pPr>
          </w:p>
        </w:tc>
        <w:tc>
          <w:tcPr>
            <w:tcW w:w="988" w:type="dxa"/>
            <w:tcBorders>
              <w:top w:val="single" w:color="auto" w:sz="4" w:space="0"/>
              <w:left w:val="single" w:color="auto" w:sz="4" w:space="0"/>
              <w:bottom w:val="single" w:color="auto" w:sz="6" w:space="0"/>
              <w:right w:val="single" w:color="auto" w:sz="6" w:space="0"/>
            </w:tcBorders>
            <w:vAlign w:val="center"/>
          </w:tcPr>
          <w:p>
            <w:pPr>
              <w:spacing w:before="159"/>
              <w:jc w:val="center"/>
              <w:rPr>
                <w:rFonts w:ascii="宋体" w:cs="宋体"/>
                <w:sz w:val="22"/>
                <w:highlight w:val="none"/>
              </w:rPr>
            </w:pPr>
          </w:p>
        </w:tc>
        <w:tc>
          <w:tcPr>
            <w:tcW w:w="1271"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966"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1353"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1153"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r>
      <w:tr>
        <w:tblPrEx>
          <w:tblCellMar>
            <w:top w:w="0" w:type="dxa"/>
            <w:left w:w="28" w:type="dxa"/>
            <w:bottom w:w="0" w:type="dxa"/>
            <w:right w:w="28" w:type="dxa"/>
          </w:tblCellMar>
        </w:tblPrEx>
        <w:trPr>
          <w:trHeight w:val="612" w:hRule="atLeast"/>
        </w:trPr>
        <w:tc>
          <w:tcPr>
            <w:tcW w:w="1148" w:type="dxa"/>
            <w:vMerge w:val="continue"/>
            <w:tcBorders>
              <w:top w:val="nil"/>
              <w:left w:val="single" w:color="auto" w:sz="6" w:space="0"/>
              <w:bottom w:val="nil"/>
              <w:right w:val="single" w:color="auto" w:sz="4" w:space="0"/>
            </w:tcBorders>
            <w:vAlign w:val="center"/>
          </w:tcPr>
          <w:p>
            <w:pPr>
              <w:rPr>
                <w:highlight w:val="none"/>
              </w:rPr>
            </w:pPr>
          </w:p>
        </w:tc>
        <w:tc>
          <w:tcPr>
            <w:tcW w:w="530" w:type="dxa"/>
            <w:tcBorders>
              <w:top w:val="single" w:color="auto" w:sz="4" w:space="0"/>
              <w:left w:val="single" w:color="auto" w:sz="4" w:space="0"/>
              <w:bottom w:val="single" w:color="auto" w:sz="6" w:space="0"/>
              <w:right w:val="nil"/>
            </w:tcBorders>
            <w:vAlign w:val="center"/>
          </w:tcPr>
          <w:p>
            <w:pPr>
              <w:spacing w:before="319"/>
              <w:jc w:val="center"/>
              <w:rPr>
                <w:rFonts w:ascii="宋体" w:cs="宋体"/>
                <w:sz w:val="22"/>
                <w:highlight w:val="none"/>
              </w:rPr>
            </w:pPr>
            <w:r>
              <w:rPr>
                <w:rFonts w:hint="eastAsia" w:ascii="宋体" w:cs="宋体"/>
                <w:sz w:val="22"/>
                <w:highlight w:val="none"/>
              </w:rPr>
              <w:t>3</w:t>
            </w:r>
          </w:p>
        </w:tc>
        <w:tc>
          <w:tcPr>
            <w:tcW w:w="789" w:type="dxa"/>
            <w:tcBorders>
              <w:top w:val="single" w:color="auto" w:sz="4" w:space="0"/>
              <w:left w:val="single" w:color="auto" w:sz="6" w:space="0"/>
              <w:bottom w:val="single" w:color="auto" w:sz="6" w:space="0"/>
              <w:right w:val="single" w:color="auto" w:sz="6" w:space="0"/>
            </w:tcBorders>
            <w:vAlign w:val="center"/>
          </w:tcPr>
          <w:p>
            <w:pPr>
              <w:spacing w:before="319"/>
              <w:jc w:val="center"/>
              <w:rPr>
                <w:rFonts w:ascii="宋体" w:cs="宋体"/>
                <w:sz w:val="22"/>
                <w:highlight w:val="none"/>
              </w:rPr>
            </w:pPr>
          </w:p>
        </w:tc>
        <w:tc>
          <w:tcPr>
            <w:tcW w:w="862" w:type="dxa"/>
            <w:tcBorders>
              <w:top w:val="single" w:color="auto" w:sz="4" w:space="0"/>
              <w:left w:val="single" w:color="auto" w:sz="6" w:space="0"/>
              <w:bottom w:val="single" w:color="auto" w:sz="6" w:space="0"/>
              <w:right w:val="single" w:color="auto" w:sz="4" w:space="0"/>
            </w:tcBorders>
            <w:vAlign w:val="center"/>
          </w:tcPr>
          <w:p>
            <w:pPr>
              <w:spacing w:before="159"/>
              <w:jc w:val="center"/>
              <w:rPr>
                <w:rFonts w:ascii="宋体" w:cs="宋体"/>
                <w:sz w:val="22"/>
                <w:highlight w:val="none"/>
              </w:rPr>
            </w:pPr>
          </w:p>
        </w:tc>
        <w:tc>
          <w:tcPr>
            <w:tcW w:w="988" w:type="dxa"/>
            <w:tcBorders>
              <w:top w:val="single" w:color="auto" w:sz="4" w:space="0"/>
              <w:left w:val="single" w:color="auto" w:sz="4" w:space="0"/>
              <w:bottom w:val="single" w:color="auto" w:sz="6" w:space="0"/>
              <w:right w:val="single" w:color="auto" w:sz="6" w:space="0"/>
            </w:tcBorders>
            <w:vAlign w:val="center"/>
          </w:tcPr>
          <w:p>
            <w:pPr>
              <w:spacing w:before="159"/>
              <w:jc w:val="center"/>
              <w:rPr>
                <w:rFonts w:ascii="宋体" w:cs="宋体"/>
                <w:sz w:val="22"/>
                <w:highlight w:val="none"/>
              </w:rPr>
            </w:pPr>
          </w:p>
        </w:tc>
        <w:tc>
          <w:tcPr>
            <w:tcW w:w="1271"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966"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1353"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1153"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r>
      <w:tr>
        <w:tblPrEx>
          <w:tblCellMar>
            <w:top w:w="0" w:type="dxa"/>
            <w:left w:w="28" w:type="dxa"/>
            <w:bottom w:w="0" w:type="dxa"/>
            <w:right w:w="28" w:type="dxa"/>
          </w:tblCellMar>
        </w:tblPrEx>
        <w:trPr>
          <w:trHeight w:val="823" w:hRule="atLeast"/>
        </w:trPr>
        <w:tc>
          <w:tcPr>
            <w:tcW w:w="1148" w:type="dxa"/>
            <w:vMerge w:val="continue"/>
            <w:tcBorders>
              <w:top w:val="nil"/>
              <w:left w:val="single" w:color="auto" w:sz="6" w:space="0"/>
              <w:bottom w:val="nil"/>
              <w:right w:val="single" w:color="auto" w:sz="4" w:space="0"/>
            </w:tcBorders>
            <w:vAlign w:val="center"/>
          </w:tcPr>
          <w:p>
            <w:pPr>
              <w:rPr>
                <w:highlight w:val="none"/>
              </w:rPr>
            </w:pPr>
          </w:p>
        </w:tc>
        <w:tc>
          <w:tcPr>
            <w:tcW w:w="530" w:type="dxa"/>
            <w:tcBorders>
              <w:top w:val="single" w:color="auto" w:sz="4" w:space="0"/>
              <w:left w:val="single" w:color="auto" w:sz="4" w:space="0"/>
              <w:bottom w:val="single" w:color="auto" w:sz="6" w:space="0"/>
              <w:right w:val="nil"/>
            </w:tcBorders>
            <w:vAlign w:val="center"/>
          </w:tcPr>
          <w:p>
            <w:pPr>
              <w:spacing w:before="319"/>
              <w:jc w:val="center"/>
              <w:rPr>
                <w:rFonts w:ascii="宋体" w:cs="宋体"/>
                <w:sz w:val="22"/>
                <w:highlight w:val="none"/>
              </w:rPr>
            </w:pPr>
            <w:r>
              <w:rPr>
                <w:rFonts w:hint="eastAsia" w:ascii="宋体" w:cs="宋体"/>
                <w:sz w:val="22"/>
                <w:highlight w:val="none"/>
              </w:rPr>
              <w:t>4</w:t>
            </w:r>
          </w:p>
        </w:tc>
        <w:tc>
          <w:tcPr>
            <w:tcW w:w="789"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862" w:type="dxa"/>
            <w:tcBorders>
              <w:top w:val="single" w:color="auto" w:sz="4" w:space="0"/>
              <w:left w:val="single" w:color="auto" w:sz="6" w:space="0"/>
              <w:bottom w:val="single" w:color="auto" w:sz="6" w:space="0"/>
              <w:right w:val="single" w:color="auto" w:sz="4" w:space="0"/>
            </w:tcBorders>
            <w:vAlign w:val="center"/>
          </w:tcPr>
          <w:p>
            <w:pPr>
              <w:spacing w:before="159"/>
              <w:jc w:val="center"/>
              <w:rPr>
                <w:rFonts w:ascii="宋体" w:cs="宋体"/>
                <w:sz w:val="22"/>
                <w:highlight w:val="none"/>
              </w:rPr>
            </w:pPr>
          </w:p>
        </w:tc>
        <w:tc>
          <w:tcPr>
            <w:tcW w:w="988" w:type="dxa"/>
            <w:tcBorders>
              <w:top w:val="single" w:color="auto" w:sz="4" w:space="0"/>
              <w:left w:val="single" w:color="auto" w:sz="4" w:space="0"/>
              <w:bottom w:val="single" w:color="auto" w:sz="6" w:space="0"/>
              <w:right w:val="single" w:color="auto" w:sz="6" w:space="0"/>
            </w:tcBorders>
            <w:vAlign w:val="center"/>
          </w:tcPr>
          <w:p>
            <w:pPr>
              <w:spacing w:before="159"/>
              <w:jc w:val="center"/>
              <w:rPr>
                <w:rFonts w:ascii="宋体" w:cs="宋体"/>
                <w:sz w:val="22"/>
                <w:highlight w:val="none"/>
              </w:rPr>
            </w:pPr>
          </w:p>
        </w:tc>
        <w:tc>
          <w:tcPr>
            <w:tcW w:w="1271"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966"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1353"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1153"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r>
      <w:tr>
        <w:tblPrEx>
          <w:tblCellMar>
            <w:top w:w="0" w:type="dxa"/>
            <w:left w:w="28" w:type="dxa"/>
            <w:bottom w:w="0" w:type="dxa"/>
            <w:right w:w="28" w:type="dxa"/>
          </w:tblCellMar>
        </w:tblPrEx>
        <w:trPr>
          <w:trHeight w:val="823" w:hRule="atLeast"/>
        </w:trPr>
        <w:tc>
          <w:tcPr>
            <w:tcW w:w="1148" w:type="dxa"/>
            <w:vMerge w:val="continue"/>
            <w:tcBorders>
              <w:top w:val="nil"/>
              <w:left w:val="single" w:color="auto" w:sz="6" w:space="0"/>
              <w:bottom w:val="nil"/>
              <w:right w:val="single" w:color="auto" w:sz="4" w:space="0"/>
            </w:tcBorders>
            <w:vAlign w:val="center"/>
          </w:tcPr>
          <w:p>
            <w:pPr>
              <w:rPr>
                <w:highlight w:val="none"/>
              </w:rPr>
            </w:pPr>
          </w:p>
        </w:tc>
        <w:tc>
          <w:tcPr>
            <w:tcW w:w="530" w:type="dxa"/>
            <w:tcBorders>
              <w:top w:val="single" w:color="auto" w:sz="4" w:space="0"/>
              <w:left w:val="single" w:color="auto" w:sz="4" w:space="0"/>
              <w:bottom w:val="single" w:color="auto" w:sz="6" w:space="0"/>
              <w:right w:val="nil"/>
            </w:tcBorders>
            <w:vAlign w:val="center"/>
          </w:tcPr>
          <w:p>
            <w:pPr>
              <w:spacing w:before="319"/>
              <w:jc w:val="center"/>
              <w:rPr>
                <w:rFonts w:ascii="宋体" w:cs="宋体"/>
                <w:b/>
                <w:sz w:val="22"/>
                <w:highlight w:val="none"/>
              </w:rPr>
            </w:pPr>
            <w:r>
              <w:rPr>
                <w:rFonts w:hint="eastAsia" w:ascii="宋体" w:cs="宋体"/>
                <w:sz w:val="22"/>
                <w:highlight w:val="none"/>
              </w:rPr>
              <w:t>5</w:t>
            </w:r>
          </w:p>
        </w:tc>
        <w:tc>
          <w:tcPr>
            <w:tcW w:w="789"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862" w:type="dxa"/>
            <w:tcBorders>
              <w:top w:val="single" w:color="auto" w:sz="4" w:space="0"/>
              <w:left w:val="single" w:color="auto" w:sz="6" w:space="0"/>
              <w:bottom w:val="single" w:color="auto" w:sz="6" w:space="0"/>
              <w:right w:val="single" w:color="auto" w:sz="4" w:space="0"/>
            </w:tcBorders>
            <w:vAlign w:val="center"/>
          </w:tcPr>
          <w:p>
            <w:pPr>
              <w:spacing w:before="159"/>
              <w:jc w:val="center"/>
              <w:rPr>
                <w:rFonts w:ascii="宋体" w:cs="宋体"/>
                <w:sz w:val="22"/>
                <w:highlight w:val="none"/>
              </w:rPr>
            </w:pPr>
          </w:p>
        </w:tc>
        <w:tc>
          <w:tcPr>
            <w:tcW w:w="988" w:type="dxa"/>
            <w:tcBorders>
              <w:top w:val="single" w:color="auto" w:sz="4" w:space="0"/>
              <w:left w:val="single" w:color="auto" w:sz="4" w:space="0"/>
              <w:bottom w:val="single" w:color="auto" w:sz="6" w:space="0"/>
              <w:right w:val="single" w:color="auto" w:sz="6" w:space="0"/>
            </w:tcBorders>
            <w:vAlign w:val="center"/>
          </w:tcPr>
          <w:p>
            <w:pPr>
              <w:spacing w:before="159"/>
              <w:jc w:val="center"/>
              <w:rPr>
                <w:rFonts w:ascii="宋体" w:cs="宋体"/>
                <w:sz w:val="22"/>
                <w:highlight w:val="none"/>
              </w:rPr>
            </w:pPr>
          </w:p>
        </w:tc>
        <w:tc>
          <w:tcPr>
            <w:tcW w:w="1271"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966"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1353"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1153"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r>
      <w:tr>
        <w:tblPrEx>
          <w:tblCellMar>
            <w:top w:w="0" w:type="dxa"/>
            <w:left w:w="28" w:type="dxa"/>
            <w:bottom w:w="0" w:type="dxa"/>
            <w:right w:w="28" w:type="dxa"/>
          </w:tblCellMar>
        </w:tblPrEx>
        <w:trPr>
          <w:trHeight w:val="823" w:hRule="atLeast"/>
        </w:trPr>
        <w:tc>
          <w:tcPr>
            <w:tcW w:w="1148" w:type="dxa"/>
            <w:vMerge w:val="continue"/>
            <w:tcBorders>
              <w:top w:val="nil"/>
              <w:left w:val="single" w:color="auto" w:sz="6" w:space="0"/>
              <w:bottom w:val="single" w:color="auto" w:sz="6" w:space="0"/>
              <w:right w:val="single" w:color="auto" w:sz="4" w:space="0"/>
            </w:tcBorders>
            <w:vAlign w:val="center"/>
          </w:tcPr>
          <w:p>
            <w:pPr>
              <w:rPr>
                <w:highlight w:val="none"/>
              </w:rPr>
            </w:pPr>
          </w:p>
        </w:tc>
        <w:tc>
          <w:tcPr>
            <w:tcW w:w="530" w:type="dxa"/>
            <w:tcBorders>
              <w:top w:val="single" w:color="auto" w:sz="4" w:space="0"/>
              <w:left w:val="single" w:color="auto" w:sz="4" w:space="0"/>
              <w:bottom w:val="single" w:color="auto" w:sz="6" w:space="0"/>
              <w:right w:val="nil"/>
            </w:tcBorders>
            <w:vAlign w:val="center"/>
          </w:tcPr>
          <w:p>
            <w:pPr>
              <w:spacing w:before="319"/>
              <w:jc w:val="center"/>
              <w:rPr>
                <w:rFonts w:ascii="宋体" w:cs="宋体"/>
                <w:sz w:val="22"/>
                <w:highlight w:val="none"/>
              </w:rPr>
            </w:pPr>
            <w:r>
              <w:rPr>
                <w:rFonts w:hint="eastAsia" w:ascii="宋体" w:cs="宋体"/>
                <w:sz w:val="22"/>
                <w:highlight w:val="none"/>
              </w:rPr>
              <w:t>...</w:t>
            </w:r>
          </w:p>
        </w:tc>
        <w:tc>
          <w:tcPr>
            <w:tcW w:w="789"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r>
              <w:rPr>
                <w:rFonts w:hint="eastAsia" w:ascii="宋体" w:cs="宋体"/>
                <w:sz w:val="22"/>
                <w:highlight w:val="none"/>
              </w:rPr>
              <w:t>...</w:t>
            </w:r>
          </w:p>
        </w:tc>
        <w:tc>
          <w:tcPr>
            <w:tcW w:w="862" w:type="dxa"/>
            <w:tcBorders>
              <w:top w:val="single" w:color="auto" w:sz="4" w:space="0"/>
              <w:left w:val="single" w:color="auto" w:sz="6" w:space="0"/>
              <w:bottom w:val="single" w:color="auto" w:sz="6" w:space="0"/>
              <w:right w:val="single" w:color="auto" w:sz="4" w:space="0"/>
            </w:tcBorders>
            <w:vAlign w:val="center"/>
          </w:tcPr>
          <w:p>
            <w:pPr>
              <w:spacing w:before="159"/>
              <w:jc w:val="center"/>
              <w:rPr>
                <w:rFonts w:ascii="宋体" w:cs="宋体"/>
                <w:sz w:val="22"/>
                <w:highlight w:val="none"/>
              </w:rPr>
            </w:pPr>
          </w:p>
        </w:tc>
        <w:tc>
          <w:tcPr>
            <w:tcW w:w="988" w:type="dxa"/>
            <w:tcBorders>
              <w:top w:val="single" w:color="auto" w:sz="4" w:space="0"/>
              <w:left w:val="single" w:color="auto" w:sz="4" w:space="0"/>
              <w:bottom w:val="single" w:color="auto" w:sz="6" w:space="0"/>
              <w:right w:val="single" w:color="auto" w:sz="6" w:space="0"/>
            </w:tcBorders>
            <w:vAlign w:val="center"/>
          </w:tcPr>
          <w:p>
            <w:pPr>
              <w:spacing w:before="159"/>
              <w:jc w:val="center"/>
              <w:rPr>
                <w:rFonts w:ascii="宋体" w:cs="宋体"/>
                <w:sz w:val="22"/>
                <w:highlight w:val="none"/>
              </w:rPr>
            </w:pPr>
          </w:p>
        </w:tc>
        <w:tc>
          <w:tcPr>
            <w:tcW w:w="1271"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966"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1353"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c>
          <w:tcPr>
            <w:tcW w:w="1153" w:type="dxa"/>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p>
        </w:tc>
      </w:tr>
      <w:tr>
        <w:tblPrEx>
          <w:tblCellMar>
            <w:top w:w="0" w:type="dxa"/>
            <w:left w:w="28" w:type="dxa"/>
            <w:bottom w:w="0" w:type="dxa"/>
            <w:right w:w="28" w:type="dxa"/>
          </w:tblCellMar>
        </w:tblPrEx>
        <w:trPr>
          <w:trHeight w:val="515" w:hRule="atLeast"/>
        </w:trPr>
        <w:tc>
          <w:tcPr>
            <w:tcW w:w="2467" w:type="dxa"/>
            <w:gridSpan w:val="3"/>
            <w:tcBorders>
              <w:top w:val="single" w:color="auto" w:sz="4" w:space="0"/>
              <w:left w:val="single" w:color="auto" w:sz="6" w:space="0"/>
              <w:bottom w:val="single" w:color="auto" w:sz="6" w:space="0"/>
              <w:right w:val="single" w:color="auto" w:sz="6" w:space="0"/>
            </w:tcBorders>
            <w:vAlign w:val="center"/>
          </w:tcPr>
          <w:p>
            <w:pPr>
              <w:jc w:val="center"/>
              <w:rPr>
                <w:rFonts w:ascii="宋体" w:cs="宋体"/>
                <w:sz w:val="22"/>
                <w:highlight w:val="none"/>
              </w:rPr>
            </w:pPr>
            <w:r>
              <w:rPr>
                <w:rFonts w:hint="eastAsia" w:ascii="宋体" w:cs="宋体"/>
                <w:sz w:val="22"/>
                <w:highlight w:val="none"/>
              </w:rPr>
              <w:t>安装调试费</w:t>
            </w:r>
          </w:p>
        </w:tc>
        <w:tc>
          <w:tcPr>
            <w:tcW w:w="6593" w:type="dxa"/>
            <w:gridSpan w:val="6"/>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r>
              <w:rPr>
                <w:rFonts w:hint="eastAsia" w:ascii="宋体" w:cs="宋体"/>
                <w:sz w:val="22"/>
                <w:highlight w:val="none"/>
              </w:rPr>
              <w:t>……</w:t>
            </w:r>
          </w:p>
        </w:tc>
      </w:tr>
      <w:tr>
        <w:tblPrEx>
          <w:tblCellMar>
            <w:top w:w="0" w:type="dxa"/>
            <w:left w:w="28" w:type="dxa"/>
            <w:bottom w:w="0" w:type="dxa"/>
            <w:right w:w="28" w:type="dxa"/>
          </w:tblCellMar>
        </w:tblPrEx>
        <w:trPr>
          <w:trHeight w:val="515" w:hRule="atLeast"/>
        </w:trPr>
        <w:tc>
          <w:tcPr>
            <w:tcW w:w="2467" w:type="dxa"/>
            <w:gridSpan w:val="3"/>
            <w:tcBorders>
              <w:top w:val="single" w:color="auto" w:sz="4" w:space="0"/>
              <w:left w:val="single" w:color="auto" w:sz="6" w:space="0"/>
              <w:bottom w:val="single" w:color="auto" w:sz="6" w:space="0"/>
              <w:right w:val="single" w:color="auto" w:sz="6" w:space="0"/>
            </w:tcBorders>
            <w:vAlign w:val="center"/>
          </w:tcPr>
          <w:p>
            <w:pPr>
              <w:jc w:val="center"/>
              <w:rPr>
                <w:rFonts w:ascii="宋体" w:cs="宋体"/>
                <w:sz w:val="22"/>
                <w:highlight w:val="none"/>
              </w:rPr>
            </w:pPr>
            <w:r>
              <w:rPr>
                <w:rFonts w:hint="eastAsia" w:ascii="宋体" w:cs="宋体"/>
                <w:sz w:val="22"/>
                <w:highlight w:val="none"/>
              </w:rPr>
              <w:t>运杂费</w:t>
            </w:r>
          </w:p>
        </w:tc>
        <w:tc>
          <w:tcPr>
            <w:tcW w:w="6593" w:type="dxa"/>
            <w:gridSpan w:val="6"/>
            <w:tcBorders>
              <w:top w:val="single" w:color="auto" w:sz="4" w:space="0"/>
              <w:left w:val="single" w:color="auto" w:sz="6" w:space="0"/>
              <w:bottom w:val="single" w:color="auto" w:sz="6" w:space="0"/>
              <w:right w:val="single" w:color="auto" w:sz="6" w:space="0"/>
            </w:tcBorders>
            <w:vAlign w:val="center"/>
          </w:tcPr>
          <w:p>
            <w:pPr>
              <w:jc w:val="center"/>
              <w:rPr>
                <w:rFonts w:ascii="宋体" w:cs="宋体"/>
                <w:sz w:val="22"/>
                <w:highlight w:val="none"/>
              </w:rPr>
            </w:pPr>
            <w:r>
              <w:rPr>
                <w:rFonts w:hint="eastAsia" w:ascii="宋体" w:cs="宋体"/>
                <w:sz w:val="22"/>
                <w:highlight w:val="none"/>
              </w:rPr>
              <w:t>……</w:t>
            </w:r>
          </w:p>
        </w:tc>
      </w:tr>
      <w:tr>
        <w:tblPrEx>
          <w:tblCellMar>
            <w:top w:w="0" w:type="dxa"/>
            <w:left w:w="28" w:type="dxa"/>
            <w:bottom w:w="0" w:type="dxa"/>
            <w:right w:w="28" w:type="dxa"/>
          </w:tblCellMar>
        </w:tblPrEx>
        <w:trPr>
          <w:trHeight w:val="515" w:hRule="atLeast"/>
        </w:trPr>
        <w:tc>
          <w:tcPr>
            <w:tcW w:w="2467" w:type="dxa"/>
            <w:gridSpan w:val="3"/>
            <w:tcBorders>
              <w:top w:val="single" w:color="auto" w:sz="4" w:space="0"/>
              <w:left w:val="single" w:color="auto" w:sz="6" w:space="0"/>
              <w:bottom w:val="single" w:color="auto" w:sz="6" w:space="0"/>
              <w:right w:val="single" w:color="auto" w:sz="6" w:space="0"/>
            </w:tcBorders>
            <w:vAlign w:val="center"/>
          </w:tcPr>
          <w:p>
            <w:pPr>
              <w:jc w:val="center"/>
              <w:rPr>
                <w:rFonts w:ascii="宋体" w:cs="宋体"/>
                <w:sz w:val="22"/>
                <w:highlight w:val="none"/>
              </w:rPr>
            </w:pPr>
            <w:r>
              <w:rPr>
                <w:rFonts w:hint="eastAsia" w:ascii="宋体" w:cs="宋体"/>
                <w:sz w:val="22"/>
                <w:highlight w:val="none"/>
              </w:rPr>
              <w:t>其他费用</w:t>
            </w:r>
          </w:p>
        </w:tc>
        <w:tc>
          <w:tcPr>
            <w:tcW w:w="6593" w:type="dxa"/>
            <w:gridSpan w:val="6"/>
            <w:tcBorders>
              <w:top w:val="single" w:color="auto" w:sz="4" w:space="0"/>
              <w:left w:val="single" w:color="auto" w:sz="6" w:space="0"/>
              <w:bottom w:val="single" w:color="auto" w:sz="6" w:space="0"/>
              <w:right w:val="single" w:color="auto" w:sz="6" w:space="0"/>
            </w:tcBorders>
            <w:vAlign w:val="center"/>
          </w:tcPr>
          <w:p>
            <w:pPr>
              <w:jc w:val="center"/>
              <w:rPr>
                <w:rFonts w:ascii="宋体" w:cs="宋体"/>
                <w:sz w:val="22"/>
                <w:highlight w:val="none"/>
              </w:rPr>
            </w:pPr>
            <w:r>
              <w:rPr>
                <w:rFonts w:hint="eastAsia" w:ascii="宋体" w:cs="宋体"/>
                <w:sz w:val="22"/>
                <w:highlight w:val="none"/>
              </w:rPr>
              <w:t>……</w:t>
            </w:r>
          </w:p>
        </w:tc>
      </w:tr>
      <w:tr>
        <w:tblPrEx>
          <w:tblCellMar>
            <w:top w:w="0" w:type="dxa"/>
            <w:left w:w="28" w:type="dxa"/>
            <w:bottom w:w="0" w:type="dxa"/>
            <w:right w:w="28" w:type="dxa"/>
          </w:tblCellMar>
        </w:tblPrEx>
        <w:trPr>
          <w:trHeight w:val="515" w:hRule="atLeast"/>
        </w:trPr>
        <w:tc>
          <w:tcPr>
            <w:tcW w:w="2467" w:type="dxa"/>
            <w:gridSpan w:val="3"/>
            <w:tcBorders>
              <w:top w:val="single" w:color="auto" w:sz="4" w:space="0"/>
              <w:left w:val="single" w:color="auto" w:sz="6" w:space="0"/>
              <w:bottom w:val="single" w:color="auto" w:sz="6" w:space="0"/>
              <w:right w:val="single" w:color="auto" w:sz="6" w:space="0"/>
            </w:tcBorders>
            <w:vAlign w:val="center"/>
          </w:tcPr>
          <w:p>
            <w:pPr>
              <w:jc w:val="center"/>
              <w:rPr>
                <w:rFonts w:ascii="宋体" w:cs="宋体"/>
                <w:sz w:val="22"/>
                <w:highlight w:val="none"/>
              </w:rPr>
            </w:pPr>
            <w:r>
              <w:rPr>
                <w:rFonts w:hint="eastAsia" w:ascii="宋体" w:cs="宋体"/>
                <w:sz w:val="22"/>
                <w:highlight w:val="none"/>
              </w:rPr>
              <w:t>……</w:t>
            </w:r>
          </w:p>
        </w:tc>
        <w:tc>
          <w:tcPr>
            <w:tcW w:w="6593" w:type="dxa"/>
            <w:gridSpan w:val="6"/>
            <w:tcBorders>
              <w:top w:val="single" w:color="auto" w:sz="4" w:space="0"/>
              <w:left w:val="single" w:color="auto" w:sz="6" w:space="0"/>
              <w:bottom w:val="single" w:color="auto" w:sz="6" w:space="0"/>
              <w:right w:val="single" w:color="auto" w:sz="6" w:space="0"/>
            </w:tcBorders>
            <w:vAlign w:val="center"/>
          </w:tcPr>
          <w:p>
            <w:pPr>
              <w:jc w:val="center"/>
              <w:rPr>
                <w:rFonts w:ascii="宋体" w:cs="宋体"/>
                <w:sz w:val="22"/>
                <w:highlight w:val="none"/>
              </w:rPr>
            </w:pPr>
            <w:r>
              <w:rPr>
                <w:rFonts w:hint="eastAsia" w:ascii="宋体" w:cs="宋体"/>
                <w:sz w:val="22"/>
                <w:highlight w:val="none"/>
              </w:rPr>
              <w:t>……</w:t>
            </w:r>
          </w:p>
        </w:tc>
      </w:tr>
      <w:tr>
        <w:tblPrEx>
          <w:tblCellMar>
            <w:top w:w="0" w:type="dxa"/>
            <w:left w:w="28" w:type="dxa"/>
            <w:bottom w:w="0" w:type="dxa"/>
            <w:right w:w="28" w:type="dxa"/>
          </w:tblCellMar>
        </w:tblPrEx>
        <w:trPr>
          <w:trHeight w:val="515" w:hRule="atLeast"/>
        </w:trPr>
        <w:tc>
          <w:tcPr>
            <w:tcW w:w="1678" w:type="dxa"/>
            <w:gridSpan w:val="2"/>
            <w:tcBorders>
              <w:top w:val="single" w:color="auto" w:sz="4" w:space="0"/>
              <w:left w:val="single" w:color="auto" w:sz="6" w:space="0"/>
              <w:bottom w:val="single" w:color="auto" w:sz="6" w:space="0"/>
              <w:right w:val="nil"/>
            </w:tcBorders>
            <w:vAlign w:val="center"/>
          </w:tcPr>
          <w:p>
            <w:pPr>
              <w:jc w:val="center"/>
              <w:rPr>
                <w:rFonts w:ascii="宋体" w:cs="宋体"/>
                <w:sz w:val="22"/>
                <w:highlight w:val="none"/>
              </w:rPr>
            </w:pPr>
            <w:r>
              <w:rPr>
                <w:rFonts w:hint="eastAsia" w:ascii="宋体" w:cs="宋体"/>
                <w:sz w:val="22"/>
                <w:highlight w:val="none"/>
              </w:rPr>
              <w:t>投标总报价</w:t>
            </w:r>
          </w:p>
        </w:tc>
        <w:tc>
          <w:tcPr>
            <w:tcW w:w="7382" w:type="dxa"/>
            <w:gridSpan w:val="7"/>
            <w:tcBorders>
              <w:top w:val="single" w:color="auto" w:sz="4" w:space="0"/>
              <w:left w:val="single" w:color="auto" w:sz="6" w:space="0"/>
              <w:bottom w:val="single" w:color="auto" w:sz="6" w:space="0"/>
              <w:right w:val="single" w:color="auto" w:sz="6" w:space="0"/>
            </w:tcBorders>
            <w:vAlign w:val="center"/>
          </w:tcPr>
          <w:p>
            <w:pPr>
              <w:spacing w:before="159"/>
              <w:jc w:val="left"/>
              <w:rPr>
                <w:rFonts w:ascii="宋体" w:cs="宋体"/>
                <w:sz w:val="22"/>
                <w:highlight w:val="none"/>
              </w:rPr>
            </w:pPr>
            <w:r>
              <w:rPr>
                <w:rFonts w:hint="eastAsia" w:ascii="宋体" w:cs="宋体"/>
                <w:sz w:val="22"/>
                <w:highlight w:val="none"/>
              </w:rPr>
              <w:t>大写：</w:t>
            </w:r>
            <w:r>
              <w:rPr>
                <w:rFonts w:hint="eastAsia" w:ascii="宋体" w:cs="宋体"/>
                <w:sz w:val="22"/>
                <w:highlight w:val="none"/>
                <w:u w:val="single"/>
              </w:rPr>
              <w:t xml:space="preserve">                  </w:t>
            </w:r>
            <w:r>
              <w:rPr>
                <w:rFonts w:hint="eastAsia" w:ascii="宋体" w:cs="宋体"/>
                <w:sz w:val="22"/>
                <w:highlight w:val="none"/>
              </w:rPr>
              <w:t xml:space="preserve"> 小写：</w:t>
            </w:r>
            <w:r>
              <w:rPr>
                <w:rFonts w:hint="eastAsia" w:ascii="宋体" w:cs="宋体"/>
                <w:sz w:val="22"/>
                <w:highlight w:val="none"/>
                <w:u w:val="single"/>
              </w:rPr>
              <w:t xml:space="preserve">    </w:t>
            </w:r>
            <w:r>
              <w:rPr>
                <w:rFonts w:hint="eastAsia" w:ascii="宋体" w:cs="宋体"/>
                <w:sz w:val="22"/>
                <w:highlight w:val="none"/>
              </w:rPr>
              <w:t xml:space="preserve"> 元</w:t>
            </w:r>
          </w:p>
        </w:tc>
      </w:tr>
      <w:tr>
        <w:tblPrEx>
          <w:tblCellMar>
            <w:top w:w="0" w:type="dxa"/>
            <w:left w:w="28" w:type="dxa"/>
            <w:bottom w:w="0" w:type="dxa"/>
            <w:right w:w="28" w:type="dxa"/>
          </w:tblCellMar>
        </w:tblPrEx>
        <w:trPr>
          <w:trHeight w:val="577" w:hRule="atLeast"/>
        </w:trPr>
        <w:tc>
          <w:tcPr>
            <w:tcW w:w="1678" w:type="dxa"/>
            <w:gridSpan w:val="2"/>
            <w:tcBorders>
              <w:top w:val="single" w:color="auto" w:sz="4" w:space="0"/>
              <w:left w:val="single" w:color="auto" w:sz="6" w:space="0"/>
              <w:bottom w:val="single" w:color="auto" w:sz="6" w:space="0"/>
              <w:right w:val="nil"/>
            </w:tcBorders>
            <w:vAlign w:val="center"/>
          </w:tcPr>
          <w:p>
            <w:pPr>
              <w:jc w:val="center"/>
              <w:rPr>
                <w:rFonts w:ascii="宋体" w:cs="宋体"/>
                <w:sz w:val="22"/>
                <w:highlight w:val="none"/>
              </w:rPr>
            </w:pPr>
            <w:r>
              <w:rPr>
                <w:rFonts w:hint="eastAsia" w:ascii="宋体" w:cs="宋体"/>
                <w:sz w:val="22"/>
                <w:highlight w:val="none"/>
              </w:rPr>
              <w:t>备注</w:t>
            </w:r>
          </w:p>
        </w:tc>
        <w:tc>
          <w:tcPr>
            <w:tcW w:w="7382" w:type="dxa"/>
            <w:gridSpan w:val="7"/>
            <w:tcBorders>
              <w:top w:val="single" w:color="auto" w:sz="4" w:space="0"/>
              <w:left w:val="single" w:color="auto" w:sz="6" w:space="0"/>
              <w:bottom w:val="single" w:color="auto" w:sz="6" w:space="0"/>
              <w:right w:val="single" w:color="auto" w:sz="6" w:space="0"/>
            </w:tcBorders>
            <w:vAlign w:val="center"/>
          </w:tcPr>
          <w:p>
            <w:pPr>
              <w:spacing w:before="159"/>
              <w:jc w:val="center"/>
              <w:rPr>
                <w:rFonts w:ascii="宋体" w:cs="宋体"/>
                <w:sz w:val="22"/>
                <w:highlight w:val="none"/>
              </w:rPr>
            </w:pPr>
            <w:r>
              <w:rPr>
                <w:rFonts w:hint="eastAsia" w:ascii="宋体" w:cs="宋体"/>
                <w:spacing w:val="-6"/>
                <w:sz w:val="22"/>
                <w:highlight w:val="none"/>
              </w:rPr>
              <w:t>保留小数点后两位。</w:t>
            </w:r>
          </w:p>
        </w:tc>
      </w:tr>
    </w:tbl>
    <w:p>
      <w:pPr>
        <w:rPr>
          <w:rFonts w:hint="default" w:ascii="宋体" w:hAnsi="宋体" w:eastAsia="宋体" w:cs="宋体"/>
          <w:lang w:val="en-US" w:eastAsia="zh-CN"/>
        </w:rPr>
      </w:pPr>
      <w:r>
        <w:rPr>
          <w:rFonts w:hint="eastAsia" w:ascii="宋体" w:hAnsi="宋体" w:cs="宋体"/>
          <w:sz w:val="24"/>
          <w:szCs w:val="24"/>
          <w:lang w:eastAsia="zh-CN"/>
        </w:rPr>
        <w:t>合同包号：合同包</w:t>
      </w:r>
      <w:r>
        <w:rPr>
          <w:rFonts w:hint="eastAsia" w:ascii="宋体" w:hAnsi="宋体" w:cs="宋体"/>
          <w:sz w:val="24"/>
          <w:szCs w:val="24"/>
          <w:lang w:val="en-US" w:eastAsia="zh-CN"/>
        </w:rPr>
        <w:t>X</w:t>
      </w:r>
    </w:p>
    <w:p>
      <w:pPr>
        <w:adjustRightInd w:val="0"/>
        <w:snapToGrid w:val="0"/>
        <w:spacing w:line="480" w:lineRule="auto"/>
        <w:rPr>
          <w:rFonts w:ascii="宋体" w:hAnsi="宋体" w:cs="宋体"/>
          <w:sz w:val="24"/>
          <w:szCs w:val="24"/>
        </w:rPr>
      </w:pPr>
    </w:p>
    <w:p>
      <w:pPr>
        <w:adjustRightInd w:val="0"/>
        <w:snapToGrid w:val="0"/>
        <w:spacing w:line="480" w:lineRule="auto"/>
        <w:rPr>
          <w:rFonts w:ascii="宋体" w:hAnsi="宋体" w:cs="宋体"/>
          <w:sz w:val="24"/>
          <w:szCs w:val="24"/>
        </w:rPr>
      </w:pPr>
      <w:r>
        <w:rPr>
          <w:rFonts w:hint="eastAsia" w:ascii="宋体" w:hAnsi="宋体" w:cs="宋体"/>
          <w:sz w:val="24"/>
          <w:szCs w:val="24"/>
        </w:rPr>
        <w:t>供应商（单位名称及公章）：</w:t>
      </w:r>
      <w:r>
        <w:rPr>
          <w:rFonts w:hint="eastAsia" w:ascii="宋体" w:hAnsi="宋体" w:cs="宋体"/>
          <w:sz w:val="24"/>
        </w:rPr>
        <w:t>____________________</w:t>
      </w:r>
    </w:p>
    <w:p>
      <w:pPr>
        <w:adjustRightInd w:val="0"/>
        <w:snapToGrid w:val="0"/>
        <w:spacing w:line="480" w:lineRule="auto"/>
        <w:rPr>
          <w:rFonts w:ascii="宋体" w:hAnsi="宋体" w:cs="宋体"/>
          <w:sz w:val="24"/>
          <w:szCs w:val="24"/>
        </w:rPr>
      </w:pPr>
      <w:r>
        <w:rPr>
          <w:rFonts w:hint="eastAsia" w:ascii="宋体" w:hAnsi="宋体" w:cs="宋体"/>
          <w:sz w:val="24"/>
          <w:szCs w:val="24"/>
        </w:rPr>
        <w:t>法定代表人或被授权人（签字或盖章）：</w:t>
      </w:r>
      <w:r>
        <w:rPr>
          <w:rFonts w:hint="eastAsia" w:ascii="宋体" w:hAnsi="宋体" w:cs="宋体"/>
          <w:sz w:val="24"/>
        </w:rPr>
        <w:t>____________________</w:t>
      </w:r>
    </w:p>
    <w:p>
      <w:pPr>
        <w:adjustRightInd w:val="0"/>
        <w:snapToGrid w:val="0"/>
        <w:spacing w:line="480" w:lineRule="auto"/>
        <w:rPr>
          <w:rFonts w:ascii="宋体" w:hAnsi="宋体" w:cs="宋体"/>
          <w:sz w:val="24"/>
          <w:szCs w:val="24"/>
        </w:rPr>
      </w:pPr>
      <w:r>
        <w:rPr>
          <w:rFonts w:hint="eastAsia" w:ascii="宋体" w:hAnsi="宋体" w:cs="宋体"/>
          <w:sz w:val="24"/>
          <w:szCs w:val="24"/>
        </w:rPr>
        <w:t xml:space="preserve">日    期：  </w:t>
      </w:r>
      <w:r>
        <w:rPr>
          <w:rFonts w:hint="eastAsia" w:ascii="宋体" w:hAnsi="宋体" w:cs="宋体"/>
          <w:sz w:val="24"/>
        </w:rPr>
        <w:t>______</w:t>
      </w:r>
      <w:r>
        <w:rPr>
          <w:rFonts w:hint="eastAsia" w:ascii="宋体" w:hAnsi="宋体" w:cs="宋体"/>
          <w:sz w:val="24"/>
          <w:szCs w:val="24"/>
        </w:rPr>
        <w:t xml:space="preserve"> 年</w:t>
      </w:r>
      <w:r>
        <w:rPr>
          <w:rFonts w:hint="eastAsia" w:ascii="宋体" w:hAnsi="宋体" w:cs="宋体"/>
          <w:sz w:val="24"/>
        </w:rPr>
        <w:t>______</w:t>
      </w:r>
      <w:r>
        <w:rPr>
          <w:rFonts w:hint="eastAsia" w:ascii="宋体" w:hAnsi="宋体" w:cs="宋体"/>
          <w:sz w:val="24"/>
          <w:szCs w:val="24"/>
        </w:rPr>
        <w:t>月</w:t>
      </w:r>
      <w:r>
        <w:rPr>
          <w:rFonts w:hint="eastAsia" w:ascii="宋体" w:hAnsi="宋体" w:cs="宋体"/>
          <w:sz w:val="24"/>
        </w:rPr>
        <w:t>______</w:t>
      </w:r>
      <w:r>
        <w:rPr>
          <w:rFonts w:hint="eastAsia" w:ascii="宋体" w:hAnsi="宋体" w:cs="宋体"/>
          <w:sz w:val="24"/>
          <w:szCs w:val="24"/>
        </w:rPr>
        <w:t>日</w:t>
      </w:r>
    </w:p>
    <w:bookmarkEnd w:id="202"/>
    <w:bookmarkEnd w:id="203"/>
    <w:bookmarkEnd w:id="204"/>
    <w:p>
      <w:pPr>
        <w:sectPr>
          <w:pgSz w:w="11906" w:h="16838"/>
          <w:pgMar w:top="1440" w:right="1803" w:bottom="1440" w:left="1803" w:header="851" w:footer="992" w:gutter="0"/>
          <w:pgNumType w:fmt="decimal"/>
          <w:cols w:space="720" w:num="1"/>
          <w:docGrid w:type="lines" w:linePitch="319" w:charSpace="0"/>
        </w:sectPr>
      </w:pPr>
    </w:p>
    <w:p>
      <w:pPr>
        <w:pStyle w:val="4"/>
        <w:jc w:val="center"/>
        <w:rPr>
          <w:rFonts w:ascii="宋体" w:hAnsi="宋体" w:cs="宋体"/>
        </w:rPr>
      </w:pPr>
      <w:bookmarkStart w:id="205" w:name="_Toc3356"/>
      <w:bookmarkStart w:id="206" w:name="_Toc5195"/>
      <w:bookmarkStart w:id="207" w:name="_Toc30997"/>
      <w:bookmarkStart w:id="208" w:name="_Toc10126"/>
      <w:bookmarkStart w:id="209" w:name="_Toc9034"/>
      <w:r>
        <w:rPr>
          <w:rFonts w:hint="eastAsia" w:ascii="宋体" w:hAnsi="宋体" w:cs="宋体"/>
        </w:rPr>
        <w:t>第三部分</w:t>
      </w:r>
      <w:bookmarkEnd w:id="205"/>
      <w:r>
        <w:rPr>
          <w:rFonts w:hint="eastAsia" w:ascii="宋体" w:hAnsi="宋体" w:cs="宋体"/>
          <w:sz w:val="36"/>
          <w:szCs w:val="36"/>
        </w:rPr>
        <w:t xml:space="preserve"> </w:t>
      </w:r>
      <w:r>
        <w:rPr>
          <w:rFonts w:hint="eastAsia" w:ascii="宋体" w:hAnsi="宋体" w:cs="宋体"/>
        </w:rPr>
        <w:t>商务及技术响应说明</w:t>
      </w:r>
      <w:bookmarkEnd w:id="206"/>
      <w:bookmarkEnd w:id="207"/>
    </w:p>
    <w:p>
      <w:pPr>
        <w:pStyle w:val="9"/>
        <w:ind w:firstLine="0"/>
        <w:rPr>
          <w:rFonts w:ascii="宋体" w:hAnsi="宋体" w:cs="宋体"/>
        </w:rPr>
      </w:pPr>
    </w:p>
    <w:p>
      <w:pPr>
        <w:jc w:val="center"/>
        <w:outlineLvl w:val="1"/>
        <w:rPr>
          <w:rFonts w:ascii="宋体" w:hAnsi="宋体" w:cs="宋体"/>
          <w:b/>
          <w:bCs/>
          <w:sz w:val="28"/>
          <w:szCs w:val="32"/>
        </w:rPr>
      </w:pPr>
      <w:bookmarkStart w:id="210" w:name="_Toc9958"/>
      <w:bookmarkStart w:id="211" w:name="_Toc2697"/>
      <w:r>
        <w:rPr>
          <w:rFonts w:hint="eastAsia" w:ascii="宋体" w:hAnsi="宋体" w:cs="宋体"/>
          <w:b/>
          <w:bCs/>
          <w:sz w:val="28"/>
          <w:szCs w:val="32"/>
        </w:rPr>
        <w:t>商务偏离表</w:t>
      </w:r>
      <w:bookmarkEnd w:id="210"/>
      <w:bookmarkEnd w:id="211"/>
    </w:p>
    <w:tbl>
      <w:tblPr>
        <w:tblStyle w:val="29"/>
        <w:tblW w:w="8758" w:type="dxa"/>
        <w:tblInd w:w="-2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1521"/>
        <w:gridCol w:w="1600"/>
        <w:gridCol w:w="1938"/>
        <w:gridCol w:w="1410"/>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vAlign w:val="center"/>
          </w:tcPr>
          <w:p>
            <w:pPr>
              <w:pStyle w:val="16"/>
              <w:spacing w:line="360" w:lineRule="auto"/>
              <w:jc w:val="center"/>
              <w:rPr>
                <w:rFonts w:hAnsi="宋体" w:cs="宋体"/>
                <w:sz w:val="24"/>
                <w:szCs w:val="24"/>
              </w:rPr>
            </w:pPr>
            <w:r>
              <w:rPr>
                <w:rFonts w:hint="eastAsia" w:hAnsi="宋体" w:cs="宋体"/>
                <w:sz w:val="24"/>
                <w:szCs w:val="24"/>
              </w:rPr>
              <w:t>序号</w:t>
            </w:r>
          </w:p>
        </w:tc>
        <w:tc>
          <w:tcPr>
            <w:tcW w:w="1521" w:type="dxa"/>
            <w:vAlign w:val="center"/>
          </w:tcPr>
          <w:p>
            <w:pPr>
              <w:pStyle w:val="16"/>
              <w:spacing w:line="360" w:lineRule="auto"/>
              <w:jc w:val="center"/>
              <w:rPr>
                <w:rFonts w:hAnsi="宋体" w:cs="宋体"/>
                <w:sz w:val="24"/>
                <w:szCs w:val="24"/>
              </w:rPr>
            </w:pPr>
            <w:r>
              <w:rPr>
                <w:rFonts w:hint="eastAsia" w:hAnsi="宋体" w:cs="宋体"/>
                <w:sz w:val="24"/>
                <w:szCs w:val="24"/>
              </w:rPr>
              <w:t>商务条款</w:t>
            </w:r>
          </w:p>
        </w:tc>
        <w:tc>
          <w:tcPr>
            <w:tcW w:w="1600" w:type="dxa"/>
            <w:vAlign w:val="center"/>
          </w:tcPr>
          <w:p>
            <w:pPr>
              <w:pStyle w:val="16"/>
              <w:spacing w:line="360" w:lineRule="auto"/>
              <w:jc w:val="center"/>
              <w:rPr>
                <w:rFonts w:hAnsi="宋体" w:cs="宋体"/>
                <w:sz w:val="24"/>
                <w:szCs w:val="24"/>
              </w:rPr>
            </w:pPr>
            <w:r>
              <w:rPr>
                <w:rFonts w:hint="eastAsia" w:hAnsi="宋体" w:cs="宋体"/>
                <w:sz w:val="24"/>
                <w:szCs w:val="24"/>
              </w:rPr>
              <w:t>商务要求</w:t>
            </w:r>
          </w:p>
          <w:p>
            <w:pPr>
              <w:pStyle w:val="16"/>
              <w:spacing w:line="360" w:lineRule="auto"/>
              <w:jc w:val="center"/>
              <w:rPr>
                <w:rFonts w:hAnsi="宋体" w:cs="宋体"/>
                <w:sz w:val="24"/>
                <w:szCs w:val="24"/>
              </w:rPr>
            </w:pPr>
            <w:r>
              <w:rPr>
                <w:rFonts w:hint="eastAsia" w:hAnsi="宋体" w:cs="宋体"/>
                <w:sz w:val="24"/>
                <w:szCs w:val="24"/>
              </w:rPr>
              <w:t>内容</w:t>
            </w:r>
          </w:p>
        </w:tc>
        <w:tc>
          <w:tcPr>
            <w:tcW w:w="1938" w:type="dxa"/>
            <w:vAlign w:val="center"/>
          </w:tcPr>
          <w:p>
            <w:pPr>
              <w:pStyle w:val="16"/>
              <w:spacing w:line="360" w:lineRule="auto"/>
              <w:jc w:val="center"/>
              <w:rPr>
                <w:rFonts w:hAnsi="宋体" w:cs="宋体"/>
                <w:sz w:val="24"/>
                <w:szCs w:val="24"/>
              </w:rPr>
            </w:pPr>
            <w:r>
              <w:rPr>
                <w:rFonts w:hint="eastAsia" w:hAnsi="宋体" w:cs="宋体"/>
                <w:sz w:val="24"/>
                <w:szCs w:val="24"/>
              </w:rPr>
              <w:t>投标文件</w:t>
            </w:r>
          </w:p>
          <w:p>
            <w:pPr>
              <w:pStyle w:val="16"/>
              <w:spacing w:line="360" w:lineRule="auto"/>
              <w:jc w:val="center"/>
              <w:rPr>
                <w:rFonts w:hAnsi="宋体" w:cs="宋体"/>
                <w:sz w:val="24"/>
                <w:szCs w:val="24"/>
              </w:rPr>
            </w:pPr>
            <w:r>
              <w:rPr>
                <w:rFonts w:hint="eastAsia" w:hAnsi="宋体" w:cs="宋体"/>
                <w:sz w:val="24"/>
                <w:szCs w:val="24"/>
              </w:rPr>
              <w:t>响应商务内容</w:t>
            </w:r>
          </w:p>
        </w:tc>
        <w:tc>
          <w:tcPr>
            <w:tcW w:w="1410" w:type="dxa"/>
            <w:vAlign w:val="center"/>
          </w:tcPr>
          <w:p>
            <w:pPr>
              <w:pStyle w:val="16"/>
              <w:spacing w:line="360" w:lineRule="auto"/>
              <w:jc w:val="center"/>
              <w:rPr>
                <w:rFonts w:hAnsi="宋体" w:cs="宋体"/>
                <w:sz w:val="24"/>
                <w:szCs w:val="24"/>
              </w:rPr>
            </w:pPr>
            <w:r>
              <w:rPr>
                <w:rFonts w:hint="eastAsia" w:hAnsi="宋体" w:cs="宋体"/>
                <w:sz w:val="24"/>
                <w:szCs w:val="24"/>
              </w:rPr>
              <w:t>偏离情况</w:t>
            </w:r>
          </w:p>
        </w:tc>
        <w:tc>
          <w:tcPr>
            <w:tcW w:w="1356" w:type="dxa"/>
            <w:vAlign w:val="center"/>
          </w:tcPr>
          <w:p>
            <w:pPr>
              <w:pStyle w:val="16"/>
              <w:spacing w:line="360" w:lineRule="auto"/>
              <w:jc w:val="center"/>
              <w:rPr>
                <w:rFonts w:hAnsi="宋体" w:cs="宋体"/>
                <w:sz w:val="24"/>
                <w:szCs w:val="24"/>
              </w:rPr>
            </w:pPr>
            <w:r>
              <w:rPr>
                <w:rFonts w:hint="eastAsia" w:hAnsi="宋体" w:cs="宋体"/>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6"/>
              <w:spacing w:line="480" w:lineRule="auto"/>
              <w:ind w:firstLine="480" w:firstLineChars="200"/>
              <w:jc w:val="left"/>
              <w:rPr>
                <w:rFonts w:hAnsi="宋体" w:cs="宋体"/>
                <w:sz w:val="24"/>
                <w:szCs w:val="24"/>
              </w:rPr>
            </w:pPr>
          </w:p>
        </w:tc>
        <w:tc>
          <w:tcPr>
            <w:tcW w:w="1521" w:type="dxa"/>
          </w:tcPr>
          <w:p>
            <w:pPr>
              <w:pStyle w:val="16"/>
              <w:spacing w:line="480" w:lineRule="auto"/>
              <w:ind w:firstLine="480" w:firstLineChars="200"/>
              <w:jc w:val="left"/>
              <w:rPr>
                <w:rFonts w:hAnsi="宋体" w:cs="宋体"/>
                <w:sz w:val="24"/>
                <w:szCs w:val="24"/>
              </w:rPr>
            </w:pPr>
          </w:p>
        </w:tc>
        <w:tc>
          <w:tcPr>
            <w:tcW w:w="1600" w:type="dxa"/>
            <w:vAlign w:val="center"/>
          </w:tcPr>
          <w:p>
            <w:pPr>
              <w:pStyle w:val="16"/>
              <w:spacing w:line="480" w:lineRule="auto"/>
              <w:ind w:firstLine="480" w:firstLineChars="200"/>
              <w:jc w:val="left"/>
              <w:rPr>
                <w:rFonts w:hAnsi="宋体" w:cs="宋体"/>
                <w:sz w:val="24"/>
                <w:szCs w:val="24"/>
              </w:rPr>
            </w:pPr>
          </w:p>
        </w:tc>
        <w:tc>
          <w:tcPr>
            <w:tcW w:w="1938" w:type="dxa"/>
            <w:vAlign w:val="center"/>
          </w:tcPr>
          <w:p>
            <w:pPr>
              <w:pStyle w:val="16"/>
              <w:spacing w:line="480" w:lineRule="auto"/>
              <w:ind w:firstLine="480" w:firstLineChars="200"/>
              <w:jc w:val="left"/>
              <w:rPr>
                <w:rFonts w:hAnsi="宋体" w:cs="宋体"/>
                <w:sz w:val="24"/>
                <w:szCs w:val="24"/>
              </w:rPr>
            </w:pPr>
          </w:p>
        </w:tc>
        <w:tc>
          <w:tcPr>
            <w:tcW w:w="1410" w:type="dxa"/>
            <w:vAlign w:val="center"/>
          </w:tcPr>
          <w:p>
            <w:pPr>
              <w:pStyle w:val="16"/>
              <w:spacing w:line="480" w:lineRule="auto"/>
              <w:ind w:firstLine="480" w:firstLineChars="200"/>
              <w:jc w:val="left"/>
              <w:rPr>
                <w:rFonts w:hAnsi="宋体" w:cs="宋体"/>
                <w:sz w:val="24"/>
                <w:szCs w:val="24"/>
              </w:rPr>
            </w:pPr>
          </w:p>
        </w:tc>
        <w:tc>
          <w:tcPr>
            <w:tcW w:w="1356" w:type="dxa"/>
            <w:vAlign w:val="center"/>
          </w:tcPr>
          <w:p>
            <w:pPr>
              <w:pStyle w:val="16"/>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6"/>
              <w:spacing w:line="480" w:lineRule="auto"/>
              <w:ind w:firstLine="480" w:firstLineChars="200"/>
              <w:jc w:val="left"/>
              <w:rPr>
                <w:rFonts w:hAnsi="宋体" w:cs="宋体"/>
                <w:sz w:val="24"/>
                <w:szCs w:val="24"/>
              </w:rPr>
            </w:pPr>
          </w:p>
        </w:tc>
        <w:tc>
          <w:tcPr>
            <w:tcW w:w="1521" w:type="dxa"/>
          </w:tcPr>
          <w:p>
            <w:pPr>
              <w:pStyle w:val="16"/>
              <w:spacing w:line="480" w:lineRule="auto"/>
              <w:ind w:firstLine="480" w:firstLineChars="200"/>
              <w:jc w:val="left"/>
              <w:rPr>
                <w:rFonts w:hAnsi="宋体" w:cs="宋体"/>
                <w:sz w:val="24"/>
                <w:szCs w:val="24"/>
              </w:rPr>
            </w:pPr>
          </w:p>
        </w:tc>
        <w:tc>
          <w:tcPr>
            <w:tcW w:w="1600" w:type="dxa"/>
          </w:tcPr>
          <w:p>
            <w:pPr>
              <w:pStyle w:val="16"/>
              <w:spacing w:line="480" w:lineRule="auto"/>
              <w:ind w:firstLine="480" w:firstLineChars="200"/>
              <w:jc w:val="left"/>
              <w:rPr>
                <w:rFonts w:hAnsi="宋体" w:cs="宋体"/>
                <w:sz w:val="24"/>
                <w:szCs w:val="24"/>
              </w:rPr>
            </w:pPr>
          </w:p>
        </w:tc>
        <w:tc>
          <w:tcPr>
            <w:tcW w:w="1938" w:type="dxa"/>
          </w:tcPr>
          <w:p>
            <w:pPr>
              <w:pStyle w:val="16"/>
              <w:spacing w:line="480" w:lineRule="auto"/>
              <w:ind w:firstLine="480" w:firstLineChars="200"/>
              <w:jc w:val="left"/>
              <w:rPr>
                <w:rFonts w:hAnsi="宋体" w:cs="宋体"/>
                <w:sz w:val="24"/>
                <w:szCs w:val="24"/>
              </w:rPr>
            </w:pPr>
          </w:p>
        </w:tc>
        <w:tc>
          <w:tcPr>
            <w:tcW w:w="1410" w:type="dxa"/>
          </w:tcPr>
          <w:p>
            <w:pPr>
              <w:pStyle w:val="16"/>
              <w:spacing w:line="480" w:lineRule="auto"/>
              <w:ind w:firstLine="480" w:firstLineChars="200"/>
              <w:jc w:val="left"/>
              <w:rPr>
                <w:rFonts w:hAnsi="宋体" w:cs="宋体"/>
                <w:sz w:val="24"/>
                <w:szCs w:val="24"/>
              </w:rPr>
            </w:pPr>
          </w:p>
        </w:tc>
        <w:tc>
          <w:tcPr>
            <w:tcW w:w="1356" w:type="dxa"/>
          </w:tcPr>
          <w:p>
            <w:pPr>
              <w:pStyle w:val="16"/>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6"/>
              <w:spacing w:line="480" w:lineRule="auto"/>
              <w:ind w:firstLine="480" w:firstLineChars="200"/>
              <w:jc w:val="left"/>
              <w:rPr>
                <w:rFonts w:hAnsi="宋体" w:cs="宋体"/>
                <w:sz w:val="24"/>
                <w:szCs w:val="24"/>
              </w:rPr>
            </w:pPr>
          </w:p>
        </w:tc>
        <w:tc>
          <w:tcPr>
            <w:tcW w:w="1521" w:type="dxa"/>
          </w:tcPr>
          <w:p>
            <w:pPr>
              <w:pStyle w:val="16"/>
              <w:spacing w:line="480" w:lineRule="auto"/>
              <w:ind w:firstLine="480" w:firstLineChars="200"/>
              <w:jc w:val="left"/>
              <w:rPr>
                <w:rFonts w:hAnsi="宋体" w:cs="宋体"/>
                <w:sz w:val="24"/>
                <w:szCs w:val="24"/>
              </w:rPr>
            </w:pPr>
          </w:p>
        </w:tc>
        <w:tc>
          <w:tcPr>
            <w:tcW w:w="1600" w:type="dxa"/>
          </w:tcPr>
          <w:p>
            <w:pPr>
              <w:pStyle w:val="16"/>
              <w:spacing w:line="480" w:lineRule="auto"/>
              <w:ind w:firstLine="480" w:firstLineChars="200"/>
              <w:jc w:val="left"/>
              <w:rPr>
                <w:rFonts w:hAnsi="宋体" w:cs="宋体"/>
                <w:sz w:val="24"/>
                <w:szCs w:val="24"/>
              </w:rPr>
            </w:pPr>
          </w:p>
        </w:tc>
        <w:tc>
          <w:tcPr>
            <w:tcW w:w="1938" w:type="dxa"/>
          </w:tcPr>
          <w:p>
            <w:pPr>
              <w:pStyle w:val="16"/>
              <w:spacing w:line="480" w:lineRule="auto"/>
              <w:ind w:firstLine="480" w:firstLineChars="200"/>
              <w:jc w:val="left"/>
              <w:rPr>
                <w:rFonts w:hAnsi="宋体" w:cs="宋体"/>
                <w:sz w:val="24"/>
                <w:szCs w:val="24"/>
              </w:rPr>
            </w:pPr>
          </w:p>
        </w:tc>
        <w:tc>
          <w:tcPr>
            <w:tcW w:w="1410" w:type="dxa"/>
          </w:tcPr>
          <w:p>
            <w:pPr>
              <w:pStyle w:val="16"/>
              <w:spacing w:line="480" w:lineRule="auto"/>
              <w:ind w:firstLine="480" w:firstLineChars="200"/>
              <w:jc w:val="left"/>
              <w:rPr>
                <w:rFonts w:hAnsi="宋体" w:cs="宋体"/>
                <w:sz w:val="24"/>
                <w:szCs w:val="24"/>
              </w:rPr>
            </w:pPr>
          </w:p>
        </w:tc>
        <w:tc>
          <w:tcPr>
            <w:tcW w:w="1356" w:type="dxa"/>
          </w:tcPr>
          <w:p>
            <w:pPr>
              <w:pStyle w:val="16"/>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6"/>
              <w:spacing w:line="480" w:lineRule="auto"/>
              <w:ind w:firstLine="480" w:firstLineChars="200"/>
              <w:jc w:val="left"/>
              <w:rPr>
                <w:rFonts w:hAnsi="宋体" w:cs="宋体"/>
                <w:sz w:val="24"/>
                <w:szCs w:val="24"/>
              </w:rPr>
            </w:pPr>
          </w:p>
        </w:tc>
        <w:tc>
          <w:tcPr>
            <w:tcW w:w="1521" w:type="dxa"/>
          </w:tcPr>
          <w:p>
            <w:pPr>
              <w:pStyle w:val="16"/>
              <w:spacing w:line="480" w:lineRule="auto"/>
              <w:ind w:firstLine="480" w:firstLineChars="200"/>
              <w:jc w:val="left"/>
              <w:rPr>
                <w:rFonts w:hAnsi="宋体" w:cs="宋体"/>
                <w:sz w:val="24"/>
                <w:szCs w:val="24"/>
              </w:rPr>
            </w:pPr>
          </w:p>
        </w:tc>
        <w:tc>
          <w:tcPr>
            <w:tcW w:w="1600" w:type="dxa"/>
          </w:tcPr>
          <w:p>
            <w:pPr>
              <w:pStyle w:val="16"/>
              <w:spacing w:line="480" w:lineRule="auto"/>
              <w:ind w:firstLine="480" w:firstLineChars="200"/>
              <w:jc w:val="left"/>
              <w:rPr>
                <w:rFonts w:hAnsi="宋体" w:cs="宋体"/>
                <w:sz w:val="24"/>
                <w:szCs w:val="24"/>
              </w:rPr>
            </w:pPr>
          </w:p>
        </w:tc>
        <w:tc>
          <w:tcPr>
            <w:tcW w:w="1938" w:type="dxa"/>
          </w:tcPr>
          <w:p>
            <w:pPr>
              <w:pStyle w:val="16"/>
              <w:spacing w:line="480" w:lineRule="auto"/>
              <w:ind w:firstLine="480" w:firstLineChars="200"/>
              <w:jc w:val="left"/>
              <w:rPr>
                <w:rFonts w:hAnsi="宋体" w:cs="宋体"/>
                <w:sz w:val="24"/>
                <w:szCs w:val="24"/>
              </w:rPr>
            </w:pPr>
          </w:p>
        </w:tc>
        <w:tc>
          <w:tcPr>
            <w:tcW w:w="1410" w:type="dxa"/>
          </w:tcPr>
          <w:p>
            <w:pPr>
              <w:pStyle w:val="16"/>
              <w:spacing w:line="480" w:lineRule="auto"/>
              <w:ind w:firstLine="480" w:firstLineChars="200"/>
              <w:jc w:val="left"/>
              <w:rPr>
                <w:rFonts w:hAnsi="宋体" w:cs="宋体"/>
                <w:sz w:val="24"/>
                <w:szCs w:val="24"/>
              </w:rPr>
            </w:pPr>
          </w:p>
        </w:tc>
        <w:tc>
          <w:tcPr>
            <w:tcW w:w="1356" w:type="dxa"/>
          </w:tcPr>
          <w:p>
            <w:pPr>
              <w:pStyle w:val="16"/>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6"/>
              <w:spacing w:line="480" w:lineRule="auto"/>
              <w:ind w:firstLine="480" w:firstLineChars="200"/>
              <w:jc w:val="left"/>
              <w:rPr>
                <w:rFonts w:hAnsi="宋体" w:cs="宋体"/>
                <w:sz w:val="24"/>
                <w:szCs w:val="24"/>
              </w:rPr>
            </w:pPr>
          </w:p>
        </w:tc>
        <w:tc>
          <w:tcPr>
            <w:tcW w:w="1521" w:type="dxa"/>
          </w:tcPr>
          <w:p>
            <w:pPr>
              <w:pStyle w:val="16"/>
              <w:spacing w:line="480" w:lineRule="auto"/>
              <w:ind w:firstLine="480" w:firstLineChars="200"/>
              <w:jc w:val="left"/>
              <w:rPr>
                <w:rFonts w:hAnsi="宋体" w:cs="宋体"/>
                <w:sz w:val="24"/>
                <w:szCs w:val="24"/>
              </w:rPr>
            </w:pPr>
          </w:p>
        </w:tc>
        <w:tc>
          <w:tcPr>
            <w:tcW w:w="1600" w:type="dxa"/>
          </w:tcPr>
          <w:p>
            <w:pPr>
              <w:pStyle w:val="16"/>
              <w:spacing w:line="480" w:lineRule="auto"/>
              <w:ind w:firstLine="480" w:firstLineChars="200"/>
              <w:jc w:val="left"/>
              <w:rPr>
                <w:rFonts w:hAnsi="宋体" w:cs="宋体"/>
                <w:sz w:val="24"/>
                <w:szCs w:val="24"/>
              </w:rPr>
            </w:pPr>
          </w:p>
        </w:tc>
        <w:tc>
          <w:tcPr>
            <w:tcW w:w="1938" w:type="dxa"/>
          </w:tcPr>
          <w:p>
            <w:pPr>
              <w:pStyle w:val="16"/>
              <w:spacing w:line="480" w:lineRule="auto"/>
              <w:ind w:firstLine="480" w:firstLineChars="200"/>
              <w:jc w:val="left"/>
              <w:rPr>
                <w:rFonts w:hAnsi="宋体" w:cs="宋体"/>
                <w:sz w:val="24"/>
                <w:szCs w:val="24"/>
              </w:rPr>
            </w:pPr>
          </w:p>
        </w:tc>
        <w:tc>
          <w:tcPr>
            <w:tcW w:w="1410" w:type="dxa"/>
          </w:tcPr>
          <w:p>
            <w:pPr>
              <w:pStyle w:val="16"/>
              <w:spacing w:line="480" w:lineRule="auto"/>
              <w:ind w:firstLine="480" w:firstLineChars="200"/>
              <w:jc w:val="left"/>
              <w:rPr>
                <w:rFonts w:hAnsi="宋体" w:cs="宋体"/>
                <w:sz w:val="24"/>
                <w:szCs w:val="24"/>
              </w:rPr>
            </w:pPr>
          </w:p>
        </w:tc>
        <w:tc>
          <w:tcPr>
            <w:tcW w:w="1356" w:type="dxa"/>
          </w:tcPr>
          <w:p>
            <w:pPr>
              <w:pStyle w:val="16"/>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6"/>
              <w:spacing w:line="480" w:lineRule="auto"/>
              <w:ind w:firstLine="480" w:firstLineChars="200"/>
              <w:jc w:val="left"/>
              <w:rPr>
                <w:rFonts w:hAnsi="宋体" w:cs="宋体"/>
                <w:sz w:val="24"/>
                <w:szCs w:val="24"/>
              </w:rPr>
            </w:pPr>
          </w:p>
        </w:tc>
        <w:tc>
          <w:tcPr>
            <w:tcW w:w="1521" w:type="dxa"/>
          </w:tcPr>
          <w:p>
            <w:pPr>
              <w:pStyle w:val="16"/>
              <w:spacing w:line="480" w:lineRule="auto"/>
              <w:ind w:firstLine="480" w:firstLineChars="200"/>
              <w:jc w:val="left"/>
              <w:rPr>
                <w:rFonts w:hAnsi="宋体" w:cs="宋体"/>
                <w:sz w:val="24"/>
                <w:szCs w:val="24"/>
              </w:rPr>
            </w:pPr>
          </w:p>
        </w:tc>
        <w:tc>
          <w:tcPr>
            <w:tcW w:w="1600" w:type="dxa"/>
          </w:tcPr>
          <w:p>
            <w:pPr>
              <w:pStyle w:val="16"/>
              <w:spacing w:line="480" w:lineRule="auto"/>
              <w:ind w:firstLine="480" w:firstLineChars="200"/>
              <w:jc w:val="left"/>
              <w:rPr>
                <w:rFonts w:hAnsi="宋体" w:cs="宋体"/>
                <w:sz w:val="24"/>
                <w:szCs w:val="24"/>
              </w:rPr>
            </w:pPr>
          </w:p>
        </w:tc>
        <w:tc>
          <w:tcPr>
            <w:tcW w:w="1938" w:type="dxa"/>
          </w:tcPr>
          <w:p>
            <w:pPr>
              <w:pStyle w:val="16"/>
              <w:spacing w:line="480" w:lineRule="auto"/>
              <w:ind w:firstLine="480" w:firstLineChars="200"/>
              <w:jc w:val="left"/>
              <w:rPr>
                <w:rFonts w:hAnsi="宋体" w:cs="宋体"/>
                <w:sz w:val="24"/>
                <w:szCs w:val="24"/>
              </w:rPr>
            </w:pPr>
          </w:p>
        </w:tc>
        <w:tc>
          <w:tcPr>
            <w:tcW w:w="1410" w:type="dxa"/>
          </w:tcPr>
          <w:p>
            <w:pPr>
              <w:pStyle w:val="16"/>
              <w:spacing w:line="480" w:lineRule="auto"/>
              <w:ind w:firstLine="480" w:firstLineChars="200"/>
              <w:jc w:val="left"/>
              <w:rPr>
                <w:rFonts w:hAnsi="宋体" w:cs="宋体"/>
                <w:sz w:val="24"/>
                <w:szCs w:val="24"/>
              </w:rPr>
            </w:pPr>
          </w:p>
        </w:tc>
        <w:tc>
          <w:tcPr>
            <w:tcW w:w="1356" w:type="dxa"/>
          </w:tcPr>
          <w:p>
            <w:pPr>
              <w:pStyle w:val="16"/>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6"/>
              <w:spacing w:line="480" w:lineRule="auto"/>
              <w:ind w:firstLine="480" w:firstLineChars="200"/>
              <w:jc w:val="left"/>
              <w:rPr>
                <w:rFonts w:hAnsi="宋体" w:cs="宋体"/>
                <w:sz w:val="24"/>
                <w:szCs w:val="24"/>
              </w:rPr>
            </w:pPr>
          </w:p>
        </w:tc>
        <w:tc>
          <w:tcPr>
            <w:tcW w:w="1521" w:type="dxa"/>
          </w:tcPr>
          <w:p>
            <w:pPr>
              <w:pStyle w:val="16"/>
              <w:spacing w:line="480" w:lineRule="auto"/>
              <w:ind w:firstLine="480" w:firstLineChars="200"/>
              <w:jc w:val="left"/>
              <w:rPr>
                <w:rFonts w:hAnsi="宋体" w:cs="宋体"/>
                <w:sz w:val="24"/>
                <w:szCs w:val="24"/>
              </w:rPr>
            </w:pPr>
          </w:p>
        </w:tc>
        <w:tc>
          <w:tcPr>
            <w:tcW w:w="1600" w:type="dxa"/>
          </w:tcPr>
          <w:p>
            <w:pPr>
              <w:pStyle w:val="16"/>
              <w:spacing w:line="480" w:lineRule="auto"/>
              <w:ind w:firstLine="480" w:firstLineChars="200"/>
              <w:jc w:val="left"/>
              <w:rPr>
                <w:rFonts w:hAnsi="宋体" w:cs="宋体"/>
                <w:sz w:val="24"/>
                <w:szCs w:val="24"/>
              </w:rPr>
            </w:pPr>
          </w:p>
        </w:tc>
        <w:tc>
          <w:tcPr>
            <w:tcW w:w="1938" w:type="dxa"/>
          </w:tcPr>
          <w:p>
            <w:pPr>
              <w:pStyle w:val="16"/>
              <w:spacing w:line="480" w:lineRule="auto"/>
              <w:ind w:firstLine="480" w:firstLineChars="200"/>
              <w:jc w:val="left"/>
              <w:rPr>
                <w:rFonts w:hAnsi="宋体" w:cs="宋体"/>
                <w:sz w:val="24"/>
                <w:szCs w:val="24"/>
              </w:rPr>
            </w:pPr>
          </w:p>
        </w:tc>
        <w:tc>
          <w:tcPr>
            <w:tcW w:w="1410" w:type="dxa"/>
          </w:tcPr>
          <w:p>
            <w:pPr>
              <w:pStyle w:val="16"/>
              <w:spacing w:line="480" w:lineRule="auto"/>
              <w:ind w:firstLine="480" w:firstLineChars="200"/>
              <w:jc w:val="left"/>
              <w:rPr>
                <w:rFonts w:hAnsi="宋体" w:cs="宋体"/>
                <w:sz w:val="24"/>
                <w:szCs w:val="24"/>
              </w:rPr>
            </w:pPr>
          </w:p>
        </w:tc>
        <w:tc>
          <w:tcPr>
            <w:tcW w:w="1356" w:type="dxa"/>
          </w:tcPr>
          <w:p>
            <w:pPr>
              <w:pStyle w:val="16"/>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933" w:type="dxa"/>
          </w:tcPr>
          <w:p>
            <w:pPr>
              <w:pStyle w:val="16"/>
              <w:spacing w:line="480" w:lineRule="auto"/>
              <w:jc w:val="left"/>
              <w:rPr>
                <w:rFonts w:hAnsi="宋体" w:cs="宋体"/>
                <w:sz w:val="24"/>
                <w:szCs w:val="24"/>
              </w:rPr>
            </w:pPr>
          </w:p>
        </w:tc>
        <w:tc>
          <w:tcPr>
            <w:tcW w:w="1521" w:type="dxa"/>
          </w:tcPr>
          <w:p>
            <w:pPr>
              <w:pStyle w:val="16"/>
              <w:spacing w:line="480" w:lineRule="auto"/>
              <w:jc w:val="left"/>
              <w:rPr>
                <w:rFonts w:hAnsi="宋体" w:cs="宋体"/>
                <w:sz w:val="24"/>
                <w:szCs w:val="24"/>
              </w:rPr>
            </w:pPr>
          </w:p>
        </w:tc>
        <w:tc>
          <w:tcPr>
            <w:tcW w:w="1600" w:type="dxa"/>
          </w:tcPr>
          <w:p>
            <w:pPr>
              <w:pStyle w:val="16"/>
              <w:spacing w:line="480" w:lineRule="auto"/>
              <w:ind w:firstLine="480" w:firstLineChars="200"/>
              <w:jc w:val="left"/>
              <w:rPr>
                <w:rFonts w:hAnsi="宋体" w:cs="宋体"/>
                <w:sz w:val="24"/>
                <w:szCs w:val="24"/>
              </w:rPr>
            </w:pPr>
          </w:p>
        </w:tc>
        <w:tc>
          <w:tcPr>
            <w:tcW w:w="1938" w:type="dxa"/>
          </w:tcPr>
          <w:p>
            <w:pPr>
              <w:pStyle w:val="16"/>
              <w:spacing w:line="480" w:lineRule="auto"/>
              <w:ind w:firstLine="480" w:firstLineChars="200"/>
              <w:jc w:val="left"/>
              <w:rPr>
                <w:rFonts w:hAnsi="宋体" w:cs="宋体"/>
                <w:sz w:val="24"/>
                <w:szCs w:val="24"/>
              </w:rPr>
            </w:pPr>
          </w:p>
        </w:tc>
        <w:tc>
          <w:tcPr>
            <w:tcW w:w="1410" w:type="dxa"/>
          </w:tcPr>
          <w:p>
            <w:pPr>
              <w:pStyle w:val="16"/>
              <w:spacing w:line="480" w:lineRule="auto"/>
              <w:ind w:firstLine="480" w:firstLineChars="200"/>
              <w:jc w:val="left"/>
              <w:rPr>
                <w:rFonts w:hAnsi="宋体" w:cs="宋体"/>
                <w:sz w:val="24"/>
                <w:szCs w:val="24"/>
              </w:rPr>
            </w:pPr>
          </w:p>
        </w:tc>
        <w:tc>
          <w:tcPr>
            <w:tcW w:w="1356" w:type="dxa"/>
          </w:tcPr>
          <w:p>
            <w:pPr>
              <w:pStyle w:val="16"/>
              <w:spacing w:line="480" w:lineRule="auto"/>
              <w:ind w:firstLine="480" w:firstLineChars="200"/>
              <w:jc w:val="left"/>
              <w:rPr>
                <w:rFonts w:hAnsi="宋体" w:cs="宋体"/>
                <w:sz w:val="24"/>
                <w:szCs w:val="24"/>
              </w:rPr>
            </w:pPr>
          </w:p>
        </w:tc>
      </w:tr>
    </w:tbl>
    <w:p>
      <w:pPr>
        <w:pStyle w:val="9"/>
        <w:numPr>
          <w:ilvl w:val="0"/>
          <w:numId w:val="30"/>
        </w:numPr>
        <w:spacing w:line="360" w:lineRule="auto"/>
        <w:rPr>
          <w:rFonts w:ascii="宋体" w:hAnsi="宋体" w:cs="宋体"/>
          <w:b/>
          <w:bCs/>
          <w:sz w:val="24"/>
          <w:szCs w:val="24"/>
        </w:rPr>
      </w:pPr>
      <w:r>
        <w:rPr>
          <w:rFonts w:hint="eastAsia" w:ascii="宋体" w:hAnsi="宋体" w:cs="宋体"/>
          <w:b/>
          <w:bCs/>
          <w:sz w:val="24"/>
          <w:szCs w:val="24"/>
        </w:rPr>
        <w:t>本表须按“供应商须知前附表”中所列商务条款进行比较和响应；</w:t>
      </w:r>
    </w:p>
    <w:p>
      <w:pPr>
        <w:pStyle w:val="9"/>
        <w:numPr>
          <w:ilvl w:val="0"/>
          <w:numId w:val="30"/>
        </w:numPr>
        <w:spacing w:line="360" w:lineRule="auto"/>
        <w:rPr>
          <w:rFonts w:ascii="宋体" w:hAnsi="宋体" w:cs="宋体"/>
          <w:sz w:val="24"/>
          <w:szCs w:val="24"/>
        </w:rPr>
      </w:pPr>
      <w:r>
        <w:rPr>
          <w:rFonts w:hint="eastAsia" w:ascii="宋体" w:hAnsi="宋体" w:cs="宋体"/>
          <w:b/>
          <w:bCs/>
          <w:sz w:val="24"/>
          <w:szCs w:val="24"/>
        </w:rPr>
        <w:t>该表必须按照招标文件要求逐条如实填写，根据情况在“偏离情况”项填写正偏离或负偏离或无偏离，在“说明”项填写正偏离或负偏离原因。</w:t>
      </w:r>
    </w:p>
    <w:p>
      <w:pPr>
        <w:pStyle w:val="9"/>
        <w:numPr>
          <w:ilvl w:val="0"/>
          <w:numId w:val="30"/>
        </w:numPr>
        <w:spacing w:line="360" w:lineRule="auto"/>
        <w:rPr>
          <w:rFonts w:ascii="宋体" w:hAnsi="宋体" w:cs="宋体"/>
          <w:sz w:val="24"/>
          <w:szCs w:val="24"/>
        </w:rPr>
      </w:pPr>
      <w:r>
        <w:rPr>
          <w:rFonts w:hint="eastAsia" w:ascii="宋体" w:hAnsi="宋体" w:cs="宋体"/>
          <w:b/>
          <w:bCs/>
          <w:sz w:val="24"/>
          <w:szCs w:val="24"/>
        </w:rPr>
        <w:t>该表可扩展。</w:t>
      </w:r>
    </w:p>
    <w:p>
      <w:pPr>
        <w:pStyle w:val="9"/>
        <w:spacing w:line="360" w:lineRule="auto"/>
        <w:ind w:left="140" w:firstLine="0"/>
        <w:rPr>
          <w:rFonts w:ascii="宋体" w:hAnsi="宋体" w:cs="宋体"/>
          <w:sz w:val="28"/>
          <w:szCs w:val="28"/>
        </w:rPr>
      </w:pPr>
      <w:r>
        <w:rPr>
          <w:rFonts w:hint="eastAsia" w:ascii="宋体" w:hAnsi="宋体" w:cs="宋体"/>
          <w:b/>
          <w:bCs/>
          <w:sz w:val="24"/>
          <w:szCs w:val="24"/>
        </w:rPr>
        <w:t>商务条款不允许负偏离；</w:t>
      </w:r>
    </w:p>
    <w:p>
      <w:pPr>
        <w:pStyle w:val="9"/>
        <w:ind w:firstLine="0"/>
        <w:rPr>
          <w:rFonts w:ascii="宋体" w:hAnsi="宋体" w:cs="宋体"/>
          <w:sz w:val="28"/>
          <w:szCs w:val="28"/>
        </w:rPr>
      </w:pPr>
    </w:p>
    <w:p>
      <w:pPr>
        <w:adjustRightInd w:val="0"/>
        <w:snapToGrid w:val="0"/>
        <w:spacing w:line="480" w:lineRule="auto"/>
        <w:jc w:val="left"/>
        <w:rPr>
          <w:rFonts w:ascii="宋体" w:hAnsi="宋体" w:cs="宋体"/>
          <w:sz w:val="24"/>
          <w:szCs w:val="24"/>
          <w:u w:val="single"/>
        </w:rPr>
      </w:pPr>
      <w:r>
        <w:rPr>
          <w:rFonts w:hint="eastAsia" w:ascii="宋体" w:hAnsi="宋体" w:cs="宋体"/>
          <w:sz w:val="24"/>
          <w:szCs w:val="24"/>
        </w:rPr>
        <w:t>供应商（单位名称及公章）：</w:t>
      </w:r>
      <w:r>
        <w:rPr>
          <w:rFonts w:hint="eastAsia" w:ascii="宋体" w:hAnsi="宋体" w:cs="宋体"/>
          <w:sz w:val="28"/>
          <w:szCs w:val="28"/>
        </w:rPr>
        <w:t>______________________</w:t>
      </w:r>
    </w:p>
    <w:p>
      <w:pPr>
        <w:adjustRightInd w:val="0"/>
        <w:snapToGrid w:val="0"/>
        <w:spacing w:line="480" w:lineRule="auto"/>
        <w:rPr>
          <w:rFonts w:ascii="宋体" w:hAnsi="宋体" w:cs="宋体"/>
          <w:sz w:val="24"/>
          <w:szCs w:val="24"/>
        </w:rPr>
      </w:pPr>
      <w:r>
        <w:rPr>
          <w:rFonts w:hint="eastAsia" w:ascii="宋体" w:hAnsi="宋体" w:cs="宋体"/>
          <w:sz w:val="24"/>
          <w:szCs w:val="24"/>
        </w:rPr>
        <w:t>法定代表人或被授权人（签字或盖章）：</w:t>
      </w:r>
      <w:r>
        <w:rPr>
          <w:rFonts w:hint="eastAsia" w:ascii="宋体" w:hAnsi="宋体" w:cs="宋体"/>
          <w:sz w:val="28"/>
          <w:szCs w:val="28"/>
        </w:rPr>
        <w:t>______________________</w:t>
      </w:r>
    </w:p>
    <w:p>
      <w:pPr>
        <w:adjustRightInd w:val="0"/>
        <w:snapToGrid w:val="0"/>
        <w:spacing w:line="480" w:lineRule="auto"/>
        <w:rPr>
          <w:rFonts w:ascii="宋体" w:hAnsi="宋体" w:cs="宋体"/>
          <w:sz w:val="28"/>
          <w:szCs w:val="28"/>
        </w:rPr>
        <w:sectPr>
          <w:headerReference r:id="rId17" w:type="default"/>
          <w:footerReference r:id="rId18" w:type="default"/>
          <w:pgSz w:w="11906" w:h="16838"/>
          <w:pgMar w:top="1440" w:right="1803" w:bottom="1440" w:left="1803" w:header="851" w:footer="992" w:gutter="0"/>
          <w:pgNumType w:fmt="decimal"/>
          <w:cols w:space="720" w:num="1"/>
          <w:docGrid w:type="lines" w:linePitch="319" w:charSpace="0"/>
        </w:sectPr>
      </w:pPr>
      <w:r>
        <w:rPr>
          <w:rFonts w:hint="eastAsia" w:ascii="宋体" w:hAnsi="宋体" w:cs="宋体"/>
          <w:sz w:val="24"/>
          <w:szCs w:val="24"/>
        </w:rPr>
        <w:t xml:space="preserve">日    期： </w:t>
      </w:r>
      <w:r>
        <w:rPr>
          <w:rFonts w:hint="eastAsia" w:ascii="宋体" w:hAnsi="宋体" w:cs="宋体"/>
          <w:sz w:val="28"/>
          <w:szCs w:val="28"/>
        </w:rPr>
        <w:t>_____</w:t>
      </w:r>
      <w:r>
        <w:rPr>
          <w:rFonts w:hint="eastAsia" w:ascii="宋体" w:hAnsi="宋体" w:cs="宋体"/>
          <w:sz w:val="24"/>
          <w:szCs w:val="24"/>
        </w:rPr>
        <w:t>年</w:t>
      </w:r>
      <w:r>
        <w:rPr>
          <w:rFonts w:hint="eastAsia" w:ascii="宋体" w:hAnsi="宋体" w:cs="宋体"/>
          <w:sz w:val="28"/>
          <w:szCs w:val="28"/>
        </w:rPr>
        <w:t>_____</w:t>
      </w:r>
      <w:r>
        <w:rPr>
          <w:rFonts w:hint="eastAsia" w:ascii="宋体" w:hAnsi="宋体" w:cs="宋体"/>
          <w:sz w:val="24"/>
          <w:szCs w:val="24"/>
        </w:rPr>
        <w:t xml:space="preserve"> 月</w:t>
      </w:r>
      <w:r>
        <w:rPr>
          <w:rFonts w:hint="eastAsia" w:ascii="宋体" w:hAnsi="宋体" w:cs="宋体"/>
          <w:sz w:val="28"/>
          <w:szCs w:val="28"/>
        </w:rPr>
        <w:t>_____</w:t>
      </w:r>
    </w:p>
    <w:p>
      <w:pPr>
        <w:jc w:val="center"/>
        <w:outlineLvl w:val="1"/>
        <w:rPr>
          <w:rFonts w:ascii="宋体" w:hAnsi="宋体" w:cs="宋体"/>
          <w:b/>
          <w:bCs/>
          <w:sz w:val="28"/>
          <w:szCs w:val="32"/>
        </w:rPr>
      </w:pPr>
      <w:bookmarkStart w:id="212" w:name="_Toc24472"/>
      <w:bookmarkStart w:id="213" w:name="_Toc23359"/>
      <w:r>
        <w:rPr>
          <w:rFonts w:hint="eastAsia" w:ascii="宋体" w:hAnsi="宋体" w:cs="宋体"/>
          <w:b/>
          <w:bCs/>
          <w:sz w:val="28"/>
          <w:szCs w:val="32"/>
        </w:rPr>
        <w:t>技术偏离表</w:t>
      </w:r>
      <w:bookmarkEnd w:id="212"/>
      <w:bookmarkEnd w:id="213"/>
    </w:p>
    <w:p>
      <w:pPr>
        <w:pStyle w:val="9"/>
        <w:ind w:firstLine="0"/>
        <w:rPr>
          <w:rFonts w:ascii="宋体" w:hAnsi="宋体" w:cs="宋体"/>
        </w:rPr>
      </w:pPr>
    </w:p>
    <w:p>
      <w:pPr>
        <w:rPr>
          <w:rFonts w:ascii="宋体" w:hAnsi="宋体" w:cs="宋体"/>
          <w:sz w:val="24"/>
          <w:szCs w:val="24"/>
        </w:rPr>
      </w:pPr>
    </w:p>
    <w:tbl>
      <w:tblPr>
        <w:tblStyle w:val="29"/>
        <w:tblW w:w="8758" w:type="dxa"/>
        <w:tblInd w:w="-2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3"/>
        <w:gridCol w:w="1521"/>
        <w:gridCol w:w="1600"/>
        <w:gridCol w:w="1938"/>
        <w:gridCol w:w="1410"/>
        <w:gridCol w:w="1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vAlign w:val="center"/>
          </w:tcPr>
          <w:p>
            <w:pPr>
              <w:pStyle w:val="16"/>
              <w:spacing w:line="360" w:lineRule="auto"/>
              <w:jc w:val="center"/>
              <w:rPr>
                <w:rFonts w:hAnsi="宋体" w:cs="宋体"/>
                <w:sz w:val="24"/>
                <w:szCs w:val="24"/>
              </w:rPr>
            </w:pPr>
            <w:r>
              <w:rPr>
                <w:rFonts w:hint="eastAsia" w:hAnsi="宋体" w:cs="宋体"/>
                <w:sz w:val="24"/>
                <w:szCs w:val="24"/>
              </w:rPr>
              <w:t>序号</w:t>
            </w:r>
          </w:p>
        </w:tc>
        <w:tc>
          <w:tcPr>
            <w:tcW w:w="1521" w:type="dxa"/>
            <w:vAlign w:val="center"/>
          </w:tcPr>
          <w:p>
            <w:pPr>
              <w:pStyle w:val="16"/>
              <w:spacing w:line="360" w:lineRule="auto"/>
              <w:jc w:val="center"/>
              <w:rPr>
                <w:rFonts w:hAnsi="宋体" w:cs="宋体"/>
                <w:sz w:val="24"/>
                <w:szCs w:val="24"/>
              </w:rPr>
            </w:pPr>
            <w:r>
              <w:rPr>
                <w:rFonts w:hint="eastAsia" w:hAnsi="宋体" w:cs="宋体"/>
                <w:sz w:val="24"/>
              </w:rPr>
              <w:t>产品名称</w:t>
            </w:r>
          </w:p>
        </w:tc>
        <w:tc>
          <w:tcPr>
            <w:tcW w:w="1600" w:type="dxa"/>
            <w:vAlign w:val="center"/>
          </w:tcPr>
          <w:p>
            <w:pPr>
              <w:spacing w:line="500" w:lineRule="exact"/>
              <w:jc w:val="center"/>
              <w:rPr>
                <w:rFonts w:ascii="宋体" w:hAnsi="宋体" w:cs="宋体"/>
                <w:sz w:val="24"/>
              </w:rPr>
            </w:pPr>
            <w:r>
              <w:rPr>
                <w:rFonts w:hint="eastAsia" w:ascii="宋体" w:hAnsi="宋体" w:cs="宋体"/>
                <w:sz w:val="24"/>
              </w:rPr>
              <w:t>标书要求</w:t>
            </w:r>
          </w:p>
          <w:p>
            <w:pPr>
              <w:spacing w:line="500" w:lineRule="exact"/>
              <w:jc w:val="center"/>
              <w:rPr>
                <w:rFonts w:ascii="宋体" w:hAnsi="宋体" w:cs="宋体"/>
                <w:sz w:val="24"/>
                <w:szCs w:val="24"/>
              </w:rPr>
            </w:pPr>
            <w:r>
              <w:rPr>
                <w:rFonts w:hint="eastAsia" w:ascii="宋体" w:hAnsi="宋体" w:cs="宋体"/>
                <w:sz w:val="24"/>
              </w:rPr>
              <w:t>技术指标</w:t>
            </w:r>
          </w:p>
        </w:tc>
        <w:tc>
          <w:tcPr>
            <w:tcW w:w="1938" w:type="dxa"/>
            <w:vAlign w:val="center"/>
          </w:tcPr>
          <w:p>
            <w:pPr>
              <w:spacing w:line="500" w:lineRule="exact"/>
              <w:jc w:val="center"/>
              <w:rPr>
                <w:rFonts w:ascii="宋体" w:hAnsi="宋体" w:cs="宋体"/>
                <w:sz w:val="24"/>
              </w:rPr>
            </w:pPr>
            <w:r>
              <w:rPr>
                <w:rFonts w:hint="eastAsia" w:ascii="宋体" w:hAnsi="宋体" w:cs="宋体"/>
                <w:sz w:val="24"/>
              </w:rPr>
              <w:t>投标产品</w:t>
            </w:r>
          </w:p>
          <w:p>
            <w:pPr>
              <w:spacing w:line="500" w:lineRule="exact"/>
              <w:jc w:val="center"/>
              <w:rPr>
                <w:rFonts w:ascii="宋体" w:hAnsi="宋体" w:cs="宋体"/>
                <w:sz w:val="24"/>
                <w:szCs w:val="24"/>
              </w:rPr>
            </w:pPr>
            <w:r>
              <w:rPr>
                <w:rFonts w:hint="eastAsia" w:ascii="宋体" w:hAnsi="宋体" w:cs="宋体"/>
                <w:sz w:val="24"/>
              </w:rPr>
              <w:t>技术指标</w:t>
            </w:r>
          </w:p>
        </w:tc>
        <w:tc>
          <w:tcPr>
            <w:tcW w:w="1410" w:type="dxa"/>
            <w:vAlign w:val="center"/>
          </w:tcPr>
          <w:p>
            <w:pPr>
              <w:spacing w:line="500" w:lineRule="exact"/>
              <w:jc w:val="center"/>
              <w:rPr>
                <w:rFonts w:ascii="宋体" w:hAnsi="宋体" w:cs="宋体"/>
                <w:sz w:val="24"/>
                <w:szCs w:val="24"/>
              </w:rPr>
            </w:pPr>
            <w:r>
              <w:rPr>
                <w:rFonts w:hint="eastAsia" w:ascii="宋体" w:hAnsi="宋体" w:cs="宋体"/>
                <w:sz w:val="24"/>
              </w:rPr>
              <w:t>偏离情况</w:t>
            </w:r>
          </w:p>
        </w:tc>
        <w:tc>
          <w:tcPr>
            <w:tcW w:w="1356" w:type="dxa"/>
            <w:vAlign w:val="center"/>
          </w:tcPr>
          <w:p>
            <w:pPr>
              <w:pStyle w:val="16"/>
              <w:spacing w:line="360" w:lineRule="auto"/>
              <w:jc w:val="center"/>
              <w:rPr>
                <w:rFonts w:hAnsi="宋体" w:cs="宋体"/>
                <w:sz w:val="24"/>
                <w:szCs w:val="24"/>
              </w:rPr>
            </w:pPr>
            <w:r>
              <w:rPr>
                <w:rFonts w:hint="eastAsia" w:hAnsi="宋体" w:cs="宋体"/>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6"/>
              <w:spacing w:line="480" w:lineRule="auto"/>
              <w:ind w:firstLine="480" w:firstLineChars="200"/>
              <w:jc w:val="left"/>
              <w:rPr>
                <w:rFonts w:hAnsi="宋体" w:cs="宋体"/>
                <w:sz w:val="24"/>
                <w:szCs w:val="24"/>
              </w:rPr>
            </w:pPr>
          </w:p>
        </w:tc>
        <w:tc>
          <w:tcPr>
            <w:tcW w:w="1521" w:type="dxa"/>
          </w:tcPr>
          <w:p>
            <w:pPr>
              <w:pStyle w:val="16"/>
              <w:spacing w:line="480" w:lineRule="auto"/>
              <w:ind w:firstLine="480" w:firstLineChars="200"/>
              <w:jc w:val="left"/>
              <w:rPr>
                <w:rFonts w:hAnsi="宋体" w:cs="宋体"/>
                <w:sz w:val="24"/>
                <w:szCs w:val="24"/>
              </w:rPr>
            </w:pPr>
          </w:p>
        </w:tc>
        <w:tc>
          <w:tcPr>
            <w:tcW w:w="1600" w:type="dxa"/>
            <w:vAlign w:val="center"/>
          </w:tcPr>
          <w:p>
            <w:pPr>
              <w:pStyle w:val="16"/>
              <w:spacing w:line="480" w:lineRule="auto"/>
              <w:ind w:firstLine="480" w:firstLineChars="200"/>
              <w:jc w:val="left"/>
              <w:rPr>
                <w:rFonts w:hAnsi="宋体" w:cs="宋体"/>
                <w:sz w:val="24"/>
                <w:szCs w:val="24"/>
              </w:rPr>
            </w:pPr>
          </w:p>
        </w:tc>
        <w:tc>
          <w:tcPr>
            <w:tcW w:w="1938" w:type="dxa"/>
            <w:vAlign w:val="center"/>
          </w:tcPr>
          <w:p>
            <w:pPr>
              <w:pStyle w:val="16"/>
              <w:spacing w:line="480" w:lineRule="auto"/>
              <w:ind w:firstLine="480" w:firstLineChars="200"/>
              <w:jc w:val="left"/>
              <w:rPr>
                <w:rFonts w:hAnsi="宋体" w:cs="宋体"/>
                <w:sz w:val="24"/>
                <w:szCs w:val="24"/>
              </w:rPr>
            </w:pPr>
          </w:p>
        </w:tc>
        <w:tc>
          <w:tcPr>
            <w:tcW w:w="1410" w:type="dxa"/>
            <w:vAlign w:val="center"/>
          </w:tcPr>
          <w:p>
            <w:pPr>
              <w:pStyle w:val="16"/>
              <w:spacing w:line="480" w:lineRule="auto"/>
              <w:ind w:firstLine="480" w:firstLineChars="200"/>
              <w:jc w:val="left"/>
              <w:rPr>
                <w:rFonts w:hAnsi="宋体" w:cs="宋体"/>
                <w:sz w:val="24"/>
                <w:szCs w:val="24"/>
              </w:rPr>
            </w:pPr>
          </w:p>
        </w:tc>
        <w:tc>
          <w:tcPr>
            <w:tcW w:w="1356" w:type="dxa"/>
            <w:vAlign w:val="center"/>
          </w:tcPr>
          <w:p>
            <w:pPr>
              <w:pStyle w:val="16"/>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6"/>
              <w:spacing w:line="480" w:lineRule="auto"/>
              <w:ind w:firstLine="480" w:firstLineChars="200"/>
              <w:jc w:val="left"/>
              <w:rPr>
                <w:rFonts w:hAnsi="宋体" w:cs="宋体"/>
                <w:sz w:val="24"/>
                <w:szCs w:val="24"/>
              </w:rPr>
            </w:pPr>
          </w:p>
        </w:tc>
        <w:tc>
          <w:tcPr>
            <w:tcW w:w="1521" w:type="dxa"/>
          </w:tcPr>
          <w:p>
            <w:pPr>
              <w:pStyle w:val="16"/>
              <w:spacing w:line="480" w:lineRule="auto"/>
              <w:ind w:firstLine="480" w:firstLineChars="200"/>
              <w:jc w:val="left"/>
              <w:rPr>
                <w:rFonts w:hAnsi="宋体" w:cs="宋体"/>
                <w:sz w:val="24"/>
                <w:szCs w:val="24"/>
              </w:rPr>
            </w:pPr>
          </w:p>
        </w:tc>
        <w:tc>
          <w:tcPr>
            <w:tcW w:w="1600" w:type="dxa"/>
          </w:tcPr>
          <w:p>
            <w:pPr>
              <w:pStyle w:val="16"/>
              <w:spacing w:line="480" w:lineRule="auto"/>
              <w:ind w:firstLine="480" w:firstLineChars="200"/>
              <w:jc w:val="left"/>
              <w:rPr>
                <w:rFonts w:hAnsi="宋体" w:cs="宋体"/>
                <w:sz w:val="24"/>
                <w:szCs w:val="24"/>
              </w:rPr>
            </w:pPr>
          </w:p>
        </w:tc>
        <w:tc>
          <w:tcPr>
            <w:tcW w:w="1938" w:type="dxa"/>
          </w:tcPr>
          <w:p>
            <w:pPr>
              <w:pStyle w:val="16"/>
              <w:spacing w:line="480" w:lineRule="auto"/>
              <w:ind w:firstLine="480" w:firstLineChars="200"/>
              <w:jc w:val="left"/>
              <w:rPr>
                <w:rFonts w:hAnsi="宋体" w:cs="宋体"/>
                <w:sz w:val="24"/>
                <w:szCs w:val="24"/>
              </w:rPr>
            </w:pPr>
          </w:p>
        </w:tc>
        <w:tc>
          <w:tcPr>
            <w:tcW w:w="1410" w:type="dxa"/>
          </w:tcPr>
          <w:p>
            <w:pPr>
              <w:pStyle w:val="16"/>
              <w:spacing w:line="480" w:lineRule="auto"/>
              <w:ind w:firstLine="480" w:firstLineChars="200"/>
              <w:jc w:val="left"/>
              <w:rPr>
                <w:rFonts w:hAnsi="宋体" w:cs="宋体"/>
                <w:sz w:val="24"/>
                <w:szCs w:val="24"/>
              </w:rPr>
            </w:pPr>
          </w:p>
        </w:tc>
        <w:tc>
          <w:tcPr>
            <w:tcW w:w="1356" w:type="dxa"/>
          </w:tcPr>
          <w:p>
            <w:pPr>
              <w:pStyle w:val="16"/>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6"/>
              <w:spacing w:line="480" w:lineRule="auto"/>
              <w:ind w:firstLine="480" w:firstLineChars="200"/>
              <w:jc w:val="left"/>
              <w:rPr>
                <w:rFonts w:hAnsi="宋体" w:cs="宋体"/>
                <w:sz w:val="24"/>
                <w:szCs w:val="24"/>
              </w:rPr>
            </w:pPr>
          </w:p>
        </w:tc>
        <w:tc>
          <w:tcPr>
            <w:tcW w:w="1521" w:type="dxa"/>
          </w:tcPr>
          <w:p>
            <w:pPr>
              <w:pStyle w:val="16"/>
              <w:spacing w:line="480" w:lineRule="auto"/>
              <w:ind w:firstLine="480" w:firstLineChars="200"/>
              <w:jc w:val="left"/>
              <w:rPr>
                <w:rFonts w:hAnsi="宋体" w:cs="宋体"/>
                <w:sz w:val="24"/>
                <w:szCs w:val="24"/>
              </w:rPr>
            </w:pPr>
          </w:p>
        </w:tc>
        <w:tc>
          <w:tcPr>
            <w:tcW w:w="1600" w:type="dxa"/>
          </w:tcPr>
          <w:p>
            <w:pPr>
              <w:pStyle w:val="16"/>
              <w:spacing w:line="480" w:lineRule="auto"/>
              <w:ind w:firstLine="480" w:firstLineChars="200"/>
              <w:jc w:val="left"/>
              <w:rPr>
                <w:rFonts w:hAnsi="宋体" w:cs="宋体"/>
                <w:sz w:val="24"/>
                <w:szCs w:val="24"/>
              </w:rPr>
            </w:pPr>
          </w:p>
        </w:tc>
        <w:tc>
          <w:tcPr>
            <w:tcW w:w="1938" w:type="dxa"/>
          </w:tcPr>
          <w:p>
            <w:pPr>
              <w:pStyle w:val="16"/>
              <w:spacing w:line="480" w:lineRule="auto"/>
              <w:ind w:firstLine="480" w:firstLineChars="200"/>
              <w:jc w:val="left"/>
              <w:rPr>
                <w:rFonts w:hAnsi="宋体" w:cs="宋体"/>
                <w:sz w:val="24"/>
                <w:szCs w:val="24"/>
              </w:rPr>
            </w:pPr>
          </w:p>
        </w:tc>
        <w:tc>
          <w:tcPr>
            <w:tcW w:w="1410" w:type="dxa"/>
          </w:tcPr>
          <w:p>
            <w:pPr>
              <w:pStyle w:val="16"/>
              <w:spacing w:line="480" w:lineRule="auto"/>
              <w:ind w:firstLine="480" w:firstLineChars="200"/>
              <w:jc w:val="left"/>
              <w:rPr>
                <w:rFonts w:hAnsi="宋体" w:cs="宋体"/>
                <w:sz w:val="24"/>
                <w:szCs w:val="24"/>
              </w:rPr>
            </w:pPr>
          </w:p>
        </w:tc>
        <w:tc>
          <w:tcPr>
            <w:tcW w:w="1356" w:type="dxa"/>
          </w:tcPr>
          <w:p>
            <w:pPr>
              <w:pStyle w:val="16"/>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6"/>
              <w:spacing w:line="480" w:lineRule="auto"/>
              <w:ind w:firstLine="480" w:firstLineChars="200"/>
              <w:jc w:val="left"/>
              <w:rPr>
                <w:rFonts w:hAnsi="宋体" w:cs="宋体"/>
                <w:sz w:val="24"/>
                <w:szCs w:val="24"/>
              </w:rPr>
            </w:pPr>
          </w:p>
        </w:tc>
        <w:tc>
          <w:tcPr>
            <w:tcW w:w="1521" w:type="dxa"/>
          </w:tcPr>
          <w:p>
            <w:pPr>
              <w:pStyle w:val="16"/>
              <w:spacing w:line="480" w:lineRule="auto"/>
              <w:ind w:firstLine="480" w:firstLineChars="200"/>
              <w:jc w:val="left"/>
              <w:rPr>
                <w:rFonts w:hAnsi="宋体" w:cs="宋体"/>
                <w:sz w:val="24"/>
                <w:szCs w:val="24"/>
              </w:rPr>
            </w:pPr>
          </w:p>
        </w:tc>
        <w:tc>
          <w:tcPr>
            <w:tcW w:w="1600" w:type="dxa"/>
          </w:tcPr>
          <w:p>
            <w:pPr>
              <w:pStyle w:val="16"/>
              <w:spacing w:line="480" w:lineRule="auto"/>
              <w:ind w:firstLine="480" w:firstLineChars="200"/>
              <w:jc w:val="left"/>
              <w:rPr>
                <w:rFonts w:hAnsi="宋体" w:cs="宋体"/>
                <w:sz w:val="24"/>
                <w:szCs w:val="24"/>
              </w:rPr>
            </w:pPr>
          </w:p>
        </w:tc>
        <w:tc>
          <w:tcPr>
            <w:tcW w:w="1938" w:type="dxa"/>
          </w:tcPr>
          <w:p>
            <w:pPr>
              <w:pStyle w:val="16"/>
              <w:spacing w:line="480" w:lineRule="auto"/>
              <w:ind w:firstLine="480" w:firstLineChars="200"/>
              <w:jc w:val="left"/>
              <w:rPr>
                <w:rFonts w:hAnsi="宋体" w:cs="宋体"/>
                <w:sz w:val="24"/>
                <w:szCs w:val="24"/>
              </w:rPr>
            </w:pPr>
          </w:p>
        </w:tc>
        <w:tc>
          <w:tcPr>
            <w:tcW w:w="1410" w:type="dxa"/>
          </w:tcPr>
          <w:p>
            <w:pPr>
              <w:pStyle w:val="16"/>
              <w:spacing w:line="480" w:lineRule="auto"/>
              <w:ind w:firstLine="480" w:firstLineChars="200"/>
              <w:jc w:val="left"/>
              <w:rPr>
                <w:rFonts w:hAnsi="宋体" w:cs="宋体"/>
                <w:sz w:val="24"/>
                <w:szCs w:val="24"/>
              </w:rPr>
            </w:pPr>
          </w:p>
        </w:tc>
        <w:tc>
          <w:tcPr>
            <w:tcW w:w="1356" w:type="dxa"/>
          </w:tcPr>
          <w:p>
            <w:pPr>
              <w:pStyle w:val="16"/>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6"/>
              <w:spacing w:line="480" w:lineRule="auto"/>
              <w:ind w:firstLine="480" w:firstLineChars="200"/>
              <w:jc w:val="left"/>
              <w:rPr>
                <w:rFonts w:hAnsi="宋体" w:cs="宋体"/>
                <w:sz w:val="24"/>
                <w:szCs w:val="24"/>
              </w:rPr>
            </w:pPr>
          </w:p>
        </w:tc>
        <w:tc>
          <w:tcPr>
            <w:tcW w:w="1521" w:type="dxa"/>
          </w:tcPr>
          <w:p>
            <w:pPr>
              <w:pStyle w:val="16"/>
              <w:spacing w:line="480" w:lineRule="auto"/>
              <w:ind w:firstLine="480" w:firstLineChars="200"/>
              <w:jc w:val="left"/>
              <w:rPr>
                <w:rFonts w:hAnsi="宋体" w:cs="宋体"/>
                <w:sz w:val="24"/>
                <w:szCs w:val="24"/>
              </w:rPr>
            </w:pPr>
          </w:p>
        </w:tc>
        <w:tc>
          <w:tcPr>
            <w:tcW w:w="1600" w:type="dxa"/>
          </w:tcPr>
          <w:p>
            <w:pPr>
              <w:pStyle w:val="16"/>
              <w:spacing w:line="480" w:lineRule="auto"/>
              <w:ind w:firstLine="480" w:firstLineChars="200"/>
              <w:jc w:val="left"/>
              <w:rPr>
                <w:rFonts w:hAnsi="宋体" w:cs="宋体"/>
                <w:sz w:val="24"/>
                <w:szCs w:val="24"/>
              </w:rPr>
            </w:pPr>
          </w:p>
        </w:tc>
        <w:tc>
          <w:tcPr>
            <w:tcW w:w="1938" w:type="dxa"/>
          </w:tcPr>
          <w:p>
            <w:pPr>
              <w:pStyle w:val="16"/>
              <w:spacing w:line="480" w:lineRule="auto"/>
              <w:ind w:firstLine="480" w:firstLineChars="200"/>
              <w:jc w:val="left"/>
              <w:rPr>
                <w:rFonts w:hAnsi="宋体" w:cs="宋体"/>
                <w:sz w:val="24"/>
                <w:szCs w:val="24"/>
              </w:rPr>
            </w:pPr>
          </w:p>
        </w:tc>
        <w:tc>
          <w:tcPr>
            <w:tcW w:w="1410" w:type="dxa"/>
          </w:tcPr>
          <w:p>
            <w:pPr>
              <w:pStyle w:val="16"/>
              <w:spacing w:line="480" w:lineRule="auto"/>
              <w:ind w:firstLine="480" w:firstLineChars="200"/>
              <w:jc w:val="left"/>
              <w:rPr>
                <w:rFonts w:hAnsi="宋体" w:cs="宋体"/>
                <w:sz w:val="24"/>
                <w:szCs w:val="24"/>
              </w:rPr>
            </w:pPr>
          </w:p>
        </w:tc>
        <w:tc>
          <w:tcPr>
            <w:tcW w:w="1356" w:type="dxa"/>
          </w:tcPr>
          <w:p>
            <w:pPr>
              <w:pStyle w:val="16"/>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6"/>
              <w:spacing w:line="480" w:lineRule="auto"/>
              <w:ind w:firstLine="480" w:firstLineChars="200"/>
              <w:jc w:val="left"/>
              <w:rPr>
                <w:rFonts w:hAnsi="宋体" w:cs="宋体"/>
                <w:sz w:val="24"/>
                <w:szCs w:val="24"/>
              </w:rPr>
            </w:pPr>
          </w:p>
        </w:tc>
        <w:tc>
          <w:tcPr>
            <w:tcW w:w="1521" w:type="dxa"/>
          </w:tcPr>
          <w:p>
            <w:pPr>
              <w:pStyle w:val="16"/>
              <w:spacing w:line="480" w:lineRule="auto"/>
              <w:ind w:firstLine="480" w:firstLineChars="200"/>
              <w:jc w:val="left"/>
              <w:rPr>
                <w:rFonts w:hAnsi="宋体" w:cs="宋体"/>
                <w:sz w:val="24"/>
                <w:szCs w:val="24"/>
              </w:rPr>
            </w:pPr>
          </w:p>
        </w:tc>
        <w:tc>
          <w:tcPr>
            <w:tcW w:w="1600" w:type="dxa"/>
          </w:tcPr>
          <w:p>
            <w:pPr>
              <w:pStyle w:val="16"/>
              <w:spacing w:line="480" w:lineRule="auto"/>
              <w:ind w:firstLine="480" w:firstLineChars="200"/>
              <w:jc w:val="left"/>
              <w:rPr>
                <w:rFonts w:hAnsi="宋体" w:cs="宋体"/>
                <w:sz w:val="24"/>
                <w:szCs w:val="24"/>
              </w:rPr>
            </w:pPr>
          </w:p>
        </w:tc>
        <w:tc>
          <w:tcPr>
            <w:tcW w:w="1938" w:type="dxa"/>
          </w:tcPr>
          <w:p>
            <w:pPr>
              <w:pStyle w:val="16"/>
              <w:spacing w:line="480" w:lineRule="auto"/>
              <w:ind w:firstLine="480" w:firstLineChars="200"/>
              <w:jc w:val="left"/>
              <w:rPr>
                <w:rFonts w:hAnsi="宋体" w:cs="宋体"/>
                <w:sz w:val="24"/>
                <w:szCs w:val="24"/>
              </w:rPr>
            </w:pPr>
          </w:p>
        </w:tc>
        <w:tc>
          <w:tcPr>
            <w:tcW w:w="1410" w:type="dxa"/>
          </w:tcPr>
          <w:p>
            <w:pPr>
              <w:pStyle w:val="16"/>
              <w:spacing w:line="480" w:lineRule="auto"/>
              <w:ind w:firstLine="480" w:firstLineChars="200"/>
              <w:jc w:val="left"/>
              <w:rPr>
                <w:rFonts w:hAnsi="宋体" w:cs="宋体"/>
                <w:sz w:val="24"/>
                <w:szCs w:val="24"/>
              </w:rPr>
            </w:pPr>
          </w:p>
        </w:tc>
        <w:tc>
          <w:tcPr>
            <w:tcW w:w="1356" w:type="dxa"/>
          </w:tcPr>
          <w:p>
            <w:pPr>
              <w:pStyle w:val="16"/>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933" w:type="dxa"/>
          </w:tcPr>
          <w:p>
            <w:pPr>
              <w:pStyle w:val="16"/>
              <w:spacing w:line="480" w:lineRule="auto"/>
              <w:ind w:firstLine="480" w:firstLineChars="200"/>
              <w:jc w:val="left"/>
              <w:rPr>
                <w:rFonts w:hAnsi="宋体" w:cs="宋体"/>
                <w:sz w:val="24"/>
                <w:szCs w:val="24"/>
              </w:rPr>
            </w:pPr>
          </w:p>
        </w:tc>
        <w:tc>
          <w:tcPr>
            <w:tcW w:w="1521" w:type="dxa"/>
          </w:tcPr>
          <w:p>
            <w:pPr>
              <w:pStyle w:val="16"/>
              <w:spacing w:line="480" w:lineRule="auto"/>
              <w:ind w:firstLine="480" w:firstLineChars="200"/>
              <w:jc w:val="left"/>
              <w:rPr>
                <w:rFonts w:hAnsi="宋体" w:cs="宋体"/>
                <w:sz w:val="24"/>
                <w:szCs w:val="24"/>
              </w:rPr>
            </w:pPr>
          </w:p>
        </w:tc>
        <w:tc>
          <w:tcPr>
            <w:tcW w:w="1600" w:type="dxa"/>
          </w:tcPr>
          <w:p>
            <w:pPr>
              <w:pStyle w:val="16"/>
              <w:spacing w:line="480" w:lineRule="auto"/>
              <w:ind w:firstLine="480" w:firstLineChars="200"/>
              <w:jc w:val="left"/>
              <w:rPr>
                <w:rFonts w:hAnsi="宋体" w:cs="宋体"/>
                <w:sz w:val="24"/>
                <w:szCs w:val="24"/>
              </w:rPr>
            </w:pPr>
          </w:p>
        </w:tc>
        <w:tc>
          <w:tcPr>
            <w:tcW w:w="1938" w:type="dxa"/>
          </w:tcPr>
          <w:p>
            <w:pPr>
              <w:pStyle w:val="16"/>
              <w:spacing w:line="480" w:lineRule="auto"/>
              <w:ind w:firstLine="480" w:firstLineChars="200"/>
              <w:jc w:val="left"/>
              <w:rPr>
                <w:rFonts w:hAnsi="宋体" w:cs="宋体"/>
                <w:sz w:val="24"/>
                <w:szCs w:val="24"/>
              </w:rPr>
            </w:pPr>
          </w:p>
        </w:tc>
        <w:tc>
          <w:tcPr>
            <w:tcW w:w="1410" w:type="dxa"/>
          </w:tcPr>
          <w:p>
            <w:pPr>
              <w:pStyle w:val="16"/>
              <w:spacing w:line="480" w:lineRule="auto"/>
              <w:ind w:firstLine="480" w:firstLineChars="200"/>
              <w:jc w:val="left"/>
              <w:rPr>
                <w:rFonts w:hAnsi="宋体" w:cs="宋体"/>
                <w:sz w:val="24"/>
                <w:szCs w:val="24"/>
              </w:rPr>
            </w:pPr>
          </w:p>
        </w:tc>
        <w:tc>
          <w:tcPr>
            <w:tcW w:w="1356" w:type="dxa"/>
          </w:tcPr>
          <w:p>
            <w:pPr>
              <w:pStyle w:val="16"/>
              <w:spacing w:line="480" w:lineRule="auto"/>
              <w:ind w:firstLine="480" w:firstLineChars="200"/>
              <w:jc w:val="left"/>
              <w:rPr>
                <w:rFonts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933" w:type="dxa"/>
          </w:tcPr>
          <w:p>
            <w:pPr>
              <w:pStyle w:val="16"/>
              <w:spacing w:line="480" w:lineRule="auto"/>
              <w:jc w:val="left"/>
              <w:rPr>
                <w:rFonts w:hAnsi="宋体" w:cs="宋体"/>
                <w:sz w:val="24"/>
                <w:szCs w:val="24"/>
              </w:rPr>
            </w:pPr>
          </w:p>
        </w:tc>
        <w:tc>
          <w:tcPr>
            <w:tcW w:w="1521" w:type="dxa"/>
          </w:tcPr>
          <w:p>
            <w:pPr>
              <w:pStyle w:val="16"/>
              <w:spacing w:line="480" w:lineRule="auto"/>
              <w:jc w:val="left"/>
              <w:rPr>
                <w:rFonts w:hAnsi="宋体" w:cs="宋体"/>
                <w:sz w:val="24"/>
                <w:szCs w:val="24"/>
              </w:rPr>
            </w:pPr>
          </w:p>
        </w:tc>
        <w:tc>
          <w:tcPr>
            <w:tcW w:w="1600" w:type="dxa"/>
          </w:tcPr>
          <w:p>
            <w:pPr>
              <w:pStyle w:val="16"/>
              <w:spacing w:line="480" w:lineRule="auto"/>
              <w:ind w:firstLine="480" w:firstLineChars="200"/>
              <w:jc w:val="left"/>
              <w:rPr>
                <w:rFonts w:hAnsi="宋体" w:cs="宋体"/>
                <w:sz w:val="24"/>
                <w:szCs w:val="24"/>
              </w:rPr>
            </w:pPr>
          </w:p>
        </w:tc>
        <w:tc>
          <w:tcPr>
            <w:tcW w:w="1938" w:type="dxa"/>
          </w:tcPr>
          <w:p>
            <w:pPr>
              <w:pStyle w:val="16"/>
              <w:spacing w:line="480" w:lineRule="auto"/>
              <w:ind w:firstLine="480" w:firstLineChars="200"/>
              <w:jc w:val="left"/>
              <w:rPr>
                <w:rFonts w:hAnsi="宋体" w:cs="宋体"/>
                <w:sz w:val="24"/>
                <w:szCs w:val="24"/>
              </w:rPr>
            </w:pPr>
          </w:p>
        </w:tc>
        <w:tc>
          <w:tcPr>
            <w:tcW w:w="1410" w:type="dxa"/>
          </w:tcPr>
          <w:p>
            <w:pPr>
              <w:pStyle w:val="16"/>
              <w:spacing w:line="480" w:lineRule="auto"/>
              <w:ind w:firstLine="480" w:firstLineChars="200"/>
              <w:jc w:val="left"/>
              <w:rPr>
                <w:rFonts w:hAnsi="宋体" w:cs="宋体"/>
                <w:sz w:val="24"/>
                <w:szCs w:val="24"/>
              </w:rPr>
            </w:pPr>
          </w:p>
        </w:tc>
        <w:tc>
          <w:tcPr>
            <w:tcW w:w="1356" w:type="dxa"/>
          </w:tcPr>
          <w:p>
            <w:pPr>
              <w:pStyle w:val="16"/>
              <w:spacing w:line="480" w:lineRule="auto"/>
              <w:ind w:firstLine="480" w:firstLineChars="200"/>
              <w:jc w:val="left"/>
              <w:rPr>
                <w:rFonts w:hAnsi="宋体" w:cs="宋体"/>
                <w:sz w:val="24"/>
                <w:szCs w:val="24"/>
              </w:rPr>
            </w:pPr>
          </w:p>
        </w:tc>
      </w:tr>
    </w:tbl>
    <w:p>
      <w:pPr>
        <w:pStyle w:val="9"/>
        <w:spacing w:line="360" w:lineRule="auto"/>
        <w:ind w:left="140" w:firstLine="0"/>
        <w:rPr>
          <w:rFonts w:ascii="宋体" w:hAnsi="宋体" w:cs="宋体"/>
          <w:b/>
          <w:bCs/>
          <w:sz w:val="24"/>
          <w:szCs w:val="24"/>
        </w:rPr>
      </w:pPr>
      <w:r>
        <w:rPr>
          <w:rFonts w:hint="eastAsia" w:ascii="宋体" w:hAnsi="宋体" w:cs="宋体"/>
          <w:b/>
          <w:bCs/>
          <w:sz w:val="24"/>
          <w:szCs w:val="24"/>
        </w:rPr>
        <w:t>1、本表须按“第五部分采购要求”中所列技术要求进行比较和响应；</w:t>
      </w:r>
    </w:p>
    <w:p>
      <w:pPr>
        <w:pStyle w:val="9"/>
        <w:spacing w:line="360" w:lineRule="auto"/>
        <w:ind w:left="140" w:firstLine="0"/>
        <w:rPr>
          <w:rFonts w:ascii="宋体" w:hAnsi="宋体" w:cs="宋体"/>
          <w:sz w:val="24"/>
          <w:szCs w:val="24"/>
        </w:rPr>
      </w:pPr>
      <w:r>
        <w:rPr>
          <w:rFonts w:hint="eastAsia" w:ascii="宋体" w:hAnsi="宋体" w:cs="宋体"/>
          <w:b/>
          <w:bCs/>
          <w:sz w:val="24"/>
          <w:szCs w:val="24"/>
        </w:rPr>
        <w:t>2、该表必须按照招标文件要求逐条如实填写，根据情况在“偏离情况”项填写正偏离或负偏离或无偏离，在“说明”项填写正偏离或负偏离原因。</w:t>
      </w:r>
    </w:p>
    <w:p>
      <w:pPr>
        <w:pStyle w:val="9"/>
        <w:spacing w:line="360" w:lineRule="auto"/>
        <w:ind w:left="140" w:firstLine="0"/>
        <w:rPr>
          <w:rFonts w:ascii="宋体" w:hAnsi="宋体" w:cs="宋体"/>
          <w:sz w:val="24"/>
          <w:szCs w:val="24"/>
        </w:rPr>
      </w:pPr>
      <w:r>
        <w:rPr>
          <w:rFonts w:hint="eastAsia" w:ascii="宋体" w:hAnsi="宋体" w:cs="宋体"/>
          <w:b/>
          <w:bCs/>
          <w:sz w:val="24"/>
          <w:szCs w:val="24"/>
        </w:rPr>
        <w:t>3、该表可扩展。</w:t>
      </w:r>
    </w:p>
    <w:p>
      <w:pPr>
        <w:pStyle w:val="9"/>
        <w:ind w:firstLine="0"/>
        <w:rPr>
          <w:rFonts w:ascii="宋体" w:hAnsi="宋体" w:cs="宋体"/>
          <w:sz w:val="28"/>
          <w:szCs w:val="28"/>
        </w:rPr>
      </w:pPr>
    </w:p>
    <w:p>
      <w:pPr>
        <w:adjustRightInd w:val="0"/>
        <w:snapToGrid w:val="0"/>
        <w:spacing w:line="480" w:lineRule="auto"/>
        <w:jc w:val="left"/>
        <w:rPr>
          <w:rFonts w:ascii="宋体" w:hAnsi="宋体" w:cs="宋体"/>
          <w:sz w:val="24"/>
          <w:szCs w:val="24"/>
          <w:u w:val="single"/>
        </w:rPr>
      </w:pPr>
      <w:r>
        <w:rPr>
          <w:rFonts w:hint="eastAsia" w:ascii="宋体" w:hAnsi="宋体" w:cs="宋体"/>
          <w:sz w:val="24"/>
          <w:szCs w:val="24"/>
        </w:rPr>
        <w:t>供应商（单位名称及公章）：</w:t>
      </w:r>
      <w:r>
        <w:rPr>
          <w:rFonts w:hint="eastAsia" w:ascii="宋体" w:hAnsi="宋体" w:cs="宋体"/>
          <w:sz w:val="28"/>
          <w:szCs w:val="28"/>
        </w:rPr>
        <w:t>______________________</w:t>
      </w:r>
    </w:p>
    <w:p>
      <w:pPr>
        <w:adjustRightInd w:val="0"/>
        <w:snapToGrid w:val="0"/>
        <w:spacing w:line="480" w:lineRule="auto"/>
        <w:rPr>
          <w:rFonts w:ascii="宋体" w:hAnsi="宋体" w:cs="宋体"/>
          <w:sz w:val="24"/>
          <w:szCs w:val="24"/>
        </w:rPr>
      </w:pPr>
      <w:r>
        <w:rPr>
          <w:rFonts w:hint="eastAsia" w:ascii="宋体" w:hAnsi="宋体" w:cs="宋体"/>
          <w:sz w:val="24"/>
          <w:szCs w:val="24"/>
        </w:rPr>
        <w:t>法定代表人或被授权人（签字或盖章）：</w:t>
      </w:r>
      <w:r>
        <w:rPr>
          <w:rFonts w:hint="eastAsia" w:ascii="宋体" w:hAnsi="宋体" w:cs="宋体"/>
          <w:sz w:val="28"/>
          <w:szCs w:val="28"/>
        </w:rPr>
        <w:t>______________________</w:t>
      </w:r>
    </w:p>
    <w:p>
      <w:pPr>
        <w:adjustRightInd w:val="0"/>
        <w:snapToGrid w:val="0"/>
        <w:spacing w:line="480" w:lineRule="auto"/>
        <w:rPr>
          <w:rFonts w:ascii="宋体" w:hAnsi="宋体" w:cs="宋体"/>
          <w:sz w:val="28"/>
          <w:szCs w:val="28"/>
        </w:rPr>
        <w:sectPr>
          <w:pgSz w:w="11906" w:h="16838"/>
          <w:pgMar w:top="1440" w:right="1803" w:bottom="1440" w:left="1803" w:header="851" w:footer="992" w:gutter="0"/>
          <w:pgNumType w:fmt="decimal"/>
          <w:cols w:space="720" w:num="1"/>
          <w:docGrid w:type="lines" w:linePitch="319" w:charSpace="0"/>
        </w:sectPr>
      </w:pPr>
      <w:r>
        <w:rPr>
          <w:rFonts w:hint="eastAsia" w:ascii="宋体" w:hAnsi="宋体" w:cs="宋体"/>
          <w:sz w:val="24"/>
          <w:szCs w:val="24"/>
        </w:rPr>
        <w:t xml:space="preserve">日    期： </w:t>
      </w:r>
      <w:r>
        <w:rPr>
          <w:rFonts w:hint="eastAsia" w:ascii="宋体" w:hAnsi="宋体" w:cs="宋体"/>
          <w:sz w:val="28"/>
          <w:szCs w:val="28"/>
        </w:rPr>
        <w:t>_____</w:t>
      </w:r>
      <w:r>
        <w:rPr>
          <w:rFonts w:hint="eastAsia" w:ascii="宋体" w:hAnsi="宋体" w:cs="宋体"/>
          <w:sz w:val="24"/>
          <w:szCs w:val="24"/>
        </w:rPr>
        <w:t>年</w:t>
      </w:r>
      <w:r>
        <w:rPr>
          <w:rFonts w:hint="eastAsia" w:ascii="宋体" w:hAnsi="宋体" w:cs="宋体"/>
          <w:sz w:val="28"/>
          <w:szCs w:val="28"/>
        </w:rPr>
        <w:t>_____</w:t>
      </w:r>
      <w:r>
        <w:rPr>
          <w:rFonts w:hint="eastAsia" w:ascii="宋体" w:hAnsi="宋体" w:cs="宋体"/>
          <w:sz w:val="24"/>
          <w:szCs w:val="24"/>
        </w:rPr>
        <w:t xml:space="preserve"> 月</w:t>
      </w:r>
      <w:r>
        <w:rPr>
          <w:rFonts w:hint="eastAsia" w:ascii="宋体" w:hAnsi="宋体" w:cs="宋体"/>
          <w:sz w:val="28"/>
          <w:szCs w:val="28"/>
        </w:rPr>
        <w:t>_____</w:t>
      </w:r>
    </w:p>
    <w:bookmarkEnd w:id="208"/>
    <w:bookmarkEnd w:id="209"/>
    <w:p>
      <w:pPr>
        <w:rPr>
          <w:rFonts w:ascii="宋体" w:hAnsi="宋体" w:cs="宋体"/>
        </w:rPr>
      </w:pPr>
      <w:bookmarkStart w:id="214" w:name="OLE_LINK1"/>
      <w:bookmarkStart w:id="215" w:name="_Toc31390"/>
    </w:p>
    <w:bookmarkEnd w:id="214"/>
    <w:p>
      <w:pPr>
        <w:pStyle w:val="4"/>
        <w:jc w:val="center"/>
        <w:rPr>
          <w:rFonts w:ascii="宋体" w:hAnsi="宋体" w:cs="宋体"/>
          <w:sz w:val="36"/>
          <w:szCs w:val="36"/>
        </w:rPr>
      </w:pPr>
      <w:bookmarkStart w:id="216" w:name="_Toc6356"/>
      <w:bookmarkStart w:id="217" w:name="_Toc10328"/>
      <w:bookmarkStart w:id="218" w:name="_Toc10114"/>
      <w:bookmarkStart w:id="219" w:name="_Toc8621"/>
      <w:r>
        <w:rPr>
          <w:rFonts w:hint="eastAsia" w:ascii="宋体" w:hAnsi="宋体" w:cs="宋体"/>
          <w:sz w:val="36"/>
          <w:szCs w:val="36"/>
        </w:rPr>
        <w:t>第四部分  供应商资格要求</w:t>
      </w:r>
      <w:bookmarkEnd w:id="216"/>
      <w:bookmarkEnd w:id="217"/>
      <w:bookmarkEnd w:id="218"/>
      <w:bookmarkEnd w:id="219"/>
    </w:p>
    <w:p>
      <w:pPr>
        <w:rPr>
          <w:rFonts w:ascii="宋体" w:hAnsi="宋体" w:cs="宋体"/>
        </w:rPr>
      </w:pPr>
    </w:p>
    <w:p>
      <w:pPr>
        <w:snapToGrid w:val="0"/>
        <w:spacing w:line="360" w:lineRule="auto"/>
        <w:ind w:right="-199" w:rightChars="-95"/>
        <w:jc w:val="left"/>
        <w:rPr>
          <w:rFonts w:ascii="宋体" w:hAnsi="宋体" w:cs="宋体"/>
          <w:kern w:val="0"/>
          <w:sz w:val="24"/>
          <w:szCs w:val="24"/>
        </w:rPr>
      </w:pPr>
      <w:r>
        <w:rPr>
          <w:rFonts w:hint="eastAsia" w:ascii="宋体" w:hAnsi="宋体" w:cs="宋体"/>
          <w:kern w:val="0"/>
          <w:sz w:val="24"/>
          <w:szCs w:val="24"/>
        </w:rPr>
        <w:t>供应商根据招标文件公告资质要求内容附资质证明文件。</w:t>
      </w:r>
    </w:p>
    <w:p>
      <w:pPr>
        <w:pStyle w:val="14"/>
        <w:rPr>
          <w:rFonts w:ascii="宋体" w:hAnsi="宋体" w:cs="宋体"/>
        </w:rPr>
        <w:sectPr>
          <w:headerReference r:id="rId19" w:type="default"/>
          <w:pgSz w:w="11906" w:h="16838"/>
          <w:pgMar w:top="1440" w:right="1803" w:bottom="1440" w:left="1803" w:header="851" w:footer="992" w:gutter="0"/>
          <w:pgNumType w:fmt="decimal"/>
          <w:cols w:space="720" w:num="1"/>
          <w:docGrid w:type="lines" w:linePitch="319" w:charSpace="0"/>
        </w:sectPr>
      </w:pPr>
      <w:r>
        <w:rPr>
          <w:rFonts w:hint="eastAsia" w:ascii="宋体" w:hAnsi="宋体" w:cs="宋体"/>
        </w:rPr>
        <w:t xml:space="preserve">                       </w:t>
      </w:r>
    </w:p>
    <w:p>
      <w:pPr>
        <w:rPr>
          <w:rFonts w:ascii="宋体" w:hAnsi="宋体" w:cs="宋体"/>
          <w:sz w:val="24"/>
          <w:szCs w:val="24"/>
        </w:rPr>
      </w:pPr>
      <w:r>
        <w:rPr>
          <w:rFonts w:hint="eastAsia" w:ascii="宋体" w:hAnsi="宋体" w:cs="宋体"/>
          <w:sz w:val="24"/>
          <w:szCs w:val="24"/>
        </w:rPr>
        <w:t>（一）基本资格条件</w:t>
      </w:r>
    </w:p>
    <w:p>
      <w:pPr>
        <w:rPr>
          <w:rFonts w:ascii="宋体" w:hAnsi="宋体" w:cs="宋体"/>
          <w:sz w:val="24"/>
          <w:szCs w:val="24"/>
        </w:rPr>
      </w:pPr>
    </w:p>
    <w:p>
      <w:pPr>
        <w:pStyle w:val="14"/>
        <w:rPr>
          <w:rFonts w:ascii="宋体" w:hAnsi="宋体" w:cs="宋体"/>
          <w:color w:val="auto"/>
          <w:sz w:val="32"/>
          <w:szCs w:val="32"/>
        </w:rPr>
      </w:pPr>
      <w:r>
        <w:rPr>
          <w:rFonts w:hint="eastAsia" w:ascii="宋体" w:hAnsi="宋体" w:cs="宋体"/>
          <w:color w:val="auto"/>
          <w:sz w:val="32"/>
          <w:szCs w:val="32"/>
        </w:rPr>
        <w:t>满足《中华人民共和国政府采购法》第二十二条规定的</w:t>
      </w:r>
    </w:p>
    <w:p>
      <w:pPr>
        <w:pStyle w:val="14"/>
        <w:jc w:val="center"/>
        <w:rPr>
          <w:rFonts w:ascii="宋体" w:hAnsi="宋体" w:cs="宋体"/>
          <w:color w:val="auto"/>
          <w:sz w:val="32"/>
          <w:szCs w:val="32"/>
        </w:rPr>
      </w:pPr>
      <w:r>
        <w:rPr>
          <w:rFonts w:hint="eastAsia" w:ascii="宋体" w:hAnsi="宋体" w:cs="宋体"/>
          <w:color w:val="auto"/>
          <w:sz w:val="32"/>
          <w:szCs w:val="32"/>
        </w:rPr>
        <w:t>资格承诺（格式）</w:t>
      </w:r>
    </w:p>
    <w:p>
      <w:pPr>
        <w:widowControl/>
        <w:snapToGrid w:val="0"/>
        <w:spacing w:line="480" w:lineRule="auto"/>
        <w:jc w:val="left"/>
        <w:rPr>
          <w:rFonts w:ascii="宋体" w:hAnsi="宋体" w:cs="宋体"/>
          <w:kern w:val="0"/>
          <w:sz w:val="24"/>
          <w:szCs w:val="24"/>
        </w:rPr>
      </w:pPr>
      <w:r>
        <w:rPr>
          <w:rFonts w:hint="eastAsia" w:ascii="宋体" w:hAnsi="宋体" w:cs="宋体"/>
          <w:kern w:val="0"/>
          <w:sz w:val="24"/>
          <w:szCs w:val="24"/>
        </w:rPr>
        <w:t>(采购人名称）_______________________：</w:t>
      </w:r>
    </w:p>
    <w:p>
      <w:pPr>
        <w:widowControl/>
        <w:snapToGrid w:val="0"/>
        <w:spacing w:line="480" w:lineRule="auto"/>
        <w:ind w:firstLine="480" w:firstLineChars="200"/>
        <w:jc w:val="left"/>
        <w:rPr>
          <w:rFonts w:ascii="宋体" w:hAnsi="宋体" w:cs="宋体"/>
          <w:kern w:val="0"/>
          <w:sz w:val="24"/>
          <w:szCs w:val="24"/>
        </w:rPr>
      </w:pPr>
      <w:r>
        <w:rPr>
          <w:rFonts w:hint="eastAsia" w:ascii="宋体" w:hAnsi="宋体" w:cs="宋体"/>
          <w:kern w:val="0"/>
          <w:sz w:val="24"/>
          <w:szCs w:val="24"/>
        </w:rPr>
        <w:t>我单位参与陕西卓佲项目管理有限公司组织________________________(项目名称)公开招标，我公司符合《中华人民共和国政府采购法》规定的供应商资格条件：</w:t>
      </w:r>
    </w:p>
    <w:p>
      <w:pPr>
        <w:numPr>
          <w:ilvl w:val="0"/>
          <w:numId w:val="31"/>
        </w:numPr>
        <w:spacing w:line="500" w:lineRule="exact"/>
        <w:jc w:val="left"/>
        <w:rPr>
          <w:rFonts w:ascii="宋体" w:hAnsi="宋体" w:cs="宋体"/>
          <w:sz w:val="24"/>
          <w:szCs w:val="24"/>
        </w:rPr>
      </w:pPr>
      <w:r>
        <w:rPr>
          <w:rFonts w:hint="eastAsia" w:ascii="宋体" w:hAnsi="宋体" w:cs="宋体"/>
          <w:sz w:val="24"/>
          <w:szCs w:val="24"/>
        </w:rPr>
        <w:t>具有独立承担民事责任的能力；</w:t>
      </w:r>
    </w:p>
    <w:p>
      <w:pPr>
        <w:numPr>
          <w:ilvl w:val="0"/>
          <w:numId w:val="31"/>
        </w:numPr>
        <w:spacing w:line="500" w:lineRule="exact"/>
        <w:jc w:val="left"/>
        <w:rPr>
          <w:rFonts w:ascii="宋体" w:hAnsi="宋体" w:cs="宋体"/>
          <w:sz w:val="24"/>
          <w:szCs w:val="24"/>
        </w:rPr>
      </w:pPr>
      <w:r>
        <w:rPr>
          <w:rFonts w:hint="eastAsia" w:ascii="宋体" w:hAnsi="宋体" w:cs="宋体"/>
          <w:sz w:val="24"/>
          <w:szCs w:val="24"/>
        </w:rPr>
        <w:t>具有良好的商业信誉和健全的财务会计制度；</w:t>
      </w:r>
    </w:p>
    <w:p>
      <w:pPr>
        <w:numPr>
          <w:ilvl w:val="0"/>
          <w:numId w:val="31"/>
        </w:numPr>
        <w:spacing w:line="500" w:lineRule="exact"/>
        <w:jc w:val="left"/>
        <w:rPr>
          <w:rFonts w:ascii="宋体" w:hAnsi="宋体" w:cs="宋体"/>
          <w:sz w:val="24"/>
          <w:szCs w:val="24"/>
        </w:rPr>
      </w:pPr>
      <w:r>
        <w:rPr>
          <w:rFonts w:hint="eastAsia" w:ascii="宋体" w:hAnsi="宋体" w:cs="宋体"/>
          <w:sz w:val="24"/>
          <w:szCs w:val="24"/>
        </w:rPr>
        <w:t>具有履行合同所必需的设备和专业技术能力；</w:t>
      </w:r>
    </w:p>
    <w:p>
      <w:pPr>
        <w:numPr>
          <w:ilvl w:val="0"/>
          <w:numId w:val="31"/>
        </w:numPr>
        <w:spacing w:line="500" w:lineRule="exact"/>
        <w:jc w:val="left"/>
        <w:rPr>
          <w:rFonts w:ascii="宋体" w:hAnsi="宋体" w:cs="宋体"/>
          <w:sz w:val="24"/>
          <w:szCs w:val="24"/>
        </w:rPr>
      </w:pPr>
      <w:r>
        <w:rPr>
          <w:rFonts w:hint="eastAsia" w:ascii="宋体" w:hAnsi="宋体" w:cs="宋体"/>
          <w:sz w:val="24"/>
          <w:szCs w:val="24"/>
        </w:rPr>
        <w:t>具有依法缴纳税收和社会保障资金的良好记录；</w:t>
      </w:r>
    </w:p>
    <w:p>
      <w:pPr>
        <w:numPr>
          <w:ilvl w:val="0"/>
          <w:numId w:val="31"/>
        </w:numPr>
        <w:spacing w:line="500" w:lineRule="exact"/>
        <w:jc w:val="left"/>
        <w:rPr>
          <w:rFonts w:ascii="宋体" w:hAnsi="宋体" w:cs="宋体"/>
          <w:sz w:val="24"/>
          <w:szCs w:val="24"/>
        </w:rPr>
      </w:pPr>
      <w:r>
        <w:rPr>
          <w:rFonts w:hint="eastAsia" w:ascii="宋体" w:hAnsi="宋体" w:cs="宋体"/>
          <w:sz w:val="24"/>
          <w:szCs w:val="24"/>
        </w:rPr>
        <w:t>参加此项采购活动前三年内，在经营活动中没有重大违法记录；</w:t>
      </w:r>
    </w:p>
    <w:p>
      <w:pPr>
        <w:numPr>
          <w:ilvl w:val="0"/>
          <w:numId w:val="31"/>
        </w:numPr>
        <w:spacing w:line="500" w:lineRule="exact"/>
        <w:jc w:val="left"/>
        <w:rPr>
          <w:rFonts w:ascii="宋体" w:hAnsi="宋体" w:cs="宋体"/>
          <w:sz w:val="24"/>
          <w:szCs w:val="24"/>
        </w:rPr>
      </w:pPr>
      <w:r>
        <w:rPr>
          <w:rFonts w:hint="eastAsia" w:ascii="宋体" w:hAnsi="宋体" w:cs="宋体"/>
          <w:sz w:val="24"/>
          <w:szCs w:val="24"/>
        </w:rPr>
        <w:t>法律、行政法规规定的其他条件。</w:t>
      </w:r>
    </w:p>
    <w:p>
      <w:pPr>
        <w:pStyle w:val="14"/>
        <w:rPr>
          <w:rFonts w:ascii="宋体" w:hAnsi="宋体" w:cs="宋体"/>
        </w:rPr>
      </w:pPr>
    </w:p>
    <w:p>
      <w:pPr>
        <w:widowControl/>
        <w:snapToGrid w:val="0"/>
        <w:spacing w:line="480" w:lineRule="auto"/>
        <w:ind w:firstLine="480" w:firstLineChars="200"/>
        <w:jc w:val="left"/>
        <w:rPr>
          <w:rFonts w:ascii="宋体" w:hAnsi="宋体" w:cs="宋体"/>
          <w:kern w:val="0"/>
          <w:sz w:val="24"/>
          <w:szCs w:val="24"/>
        </w:rPr>
      </w:pPr>
      <w:r>
        <w:rPr>
          <w:rFonts w:hint="eastAsia" w:ascii="宋体" w:hAnsi="宋体" w:cs="宋体"/>
          <w:kern w:val="0"/>
          <w:sz w:val="24"/>
          <w:szCs w:val="24"/>
        </w:rPr>
        <w:t>我方对此声明负全部法律责任。</w:t>
      </w:r>
    </w:p>
    <w:p>
      <w:pPr>
        <w:pStyle w:val="16"/>
        <w:spacing w:line="500" w:lineRule="exact"/>
        <w:jc w:val="left"/>
        <w:rPr>
          <w:rFonts w:hAnsi="宋体" w:cs="宋体"/>
          <w:sz w:val="24"/>
          <w:szCs w:val="24"/>
        </w:rPr>
      </w:pPr>
    </w:p>
    <w:p>
      <w:pPr>
        <w:pStyle w:val="16"/>
        <w:spacing w:line="480" w:lineRule="auto"/>
        <w:jc w:val="left"/>
        <w:rPr>
          <w:rFonts w:hAnsi="宋体" w:cs="宋体"/>
          <w:sz w:val="24"/>
        </w:rPr>
      </w:pPr>
    </w:p>
    <w:p>
      <w:pPr>
        <w:pStyle w:val="16"/>
        <w:spacing w:line="480" w:lineRule="auto"/>
        <w:jc w:val="left"/>
        <w:rPr>
          <w:rFonts w:hAnsi="宋体" w:cs="宋体"/>
          <w:sz w:val="24"/>
        </w:rPr>
      </w:pPr>
      <w:r>
        <w:rPr>
          <w:rFonts w:hint="eastAsia" w:hAnsi="宋体" w:cs="宋体"/>
          <w:sz w:val="24"/>
        </w:rPr>
        <w:t>供应商（单位名称及公章）：</w:t>
      </w:r>
      <w:r>
        <w:rPr>
          <w:rFonts w:hint="eastAsia" w:hAnsi="宋体" w:cs="宋体"/>
          <w:sz w:val="28"/>
          <w:szCs w:val="28"/>
        </w:rPr>
        <w:t>______________________</w:t>
      </w:r>
    </w:p>
    <w:p>
      <w:pPr>
        <w:pStyle w:val="16"/>
        <w:spacing w:line="480" w:lineRule="auto"/>
        <w:jc w:val="left"/>
        <w:rPr>
          <w:rFonts w:hAnsi="宋体" w:cs="宋体"/>
          <w:sz w:val="24"/>
        </w:rPr>
      </w:pPr>
      <w:r>
        <w:rPr>
          <w:rFonts w:hint="eastAsia" w:hAnsi="宋体" w:cs="宋体"/>
          <w:sz w:val="24"/>
        </w:rPr>
        <w:t>法定代表人或被授权人（签字或盖章）：</w:t>
      </w:r>
      <w:r>
        <w:rPr>
          <w:rFonts w:hint="eastAsia" w:hAnsi="宋体" w:cs="宋体"/>
          <w:sz w:val="28"/>
          <w:szCs w:val="28"/>
        </w:rPr>
        <w:t>______________________</w:t>
      </w:r>
    </w:p>
    <w:p>
      <w:pPr>
        <w:adjustRightInd w:val="0"/>
        <w:snapToGrid w:val="0"/>
        <w:spacing w:line="480" w:lineRule="auto"/>
        <w:rPr>
          <w:rFonts w:ascii="宋体" w:hAnsi="宋体" w:cs="宋体"/>
          <w:sz w:val="24"/>
          <w:szCs w:val="24"/>
        </w:rPr>
      </w:pPr>
      <w:r>
        <w:rPr>
          <w:rFonts w:hint="eastAsia" w:ascii="宋体" w:hAnsi="宋体" w:cs="宋体"/>
          <w:kern w:val="0"/>
          <w:sz w:val="24"/>
        </w:rPr>
        <w:t>日    期：</w:t>
      </w:r>
      <w:r>
        <w:rPr>
          <w:rFonts w:hint="eastAsia" w:ascii="宋体" w:hAnsi="宋体" w:cs="宋体"/>
          <w:sz w:val="28"/>
          <w:szCs w:val="28"/>
        </w:rPr>
        <w:t>______________________</w:t>
      </w:r>
    </w:p>
    <w:p>
      <w:pPr>
        <w:spacing w:line="360" w:lineRule="auto"/>
        <w:rPr>
          <w:rFonts w:ascii="宋体" w:hAnsi="宋体" w:cs="宋体"/>
          <w:sz w:val="24"/>
          <w:szCs w:val="24"/>
          <w:u w:val="single"/>
        </w:rPr>
      </w:pPr>
    </w:p>
    <w:p>
      <w:pPr>
        <w:spacing w:line="360" w:lineRule="auto"/>
        <w:rPr>
          <w:rFonts w:ascii="宋体" w:hAnsi="宋体" w:cs="宋体"/>
          <w:sz w:val="24"/>
          <w:szCs w:val="24"/>
          <w:u w:val="single"/>
        </w:rPr>
      </w:pPr>
    </w:p>
    <w:p>
      <w:pPr>
        <w:spacing w:line="360" w:lineRule="auto"/>
        <w:rPr>
          <w:rFonts w:ascii="宋体" w:hAnsi="宋体" w:cs="宋体"/>
          <w:sz w:val="24"/>
          <w:szCs w:val="24"/>
          <w:u w:val="single"/>
        </w:rPr>
      </w:pPr>
    </w:p>
    <w:p>
      <w:pPr>
        <w:spacing w:line="360" w:lineRule="auto"/>
        <w:rPr>
          <w:rFonts w:ascii="宋体" w:hAnsi="宋体" w:cs="宋体"/>
          <w:sz w:val="24"/>
          <w:szCs w:val="24"/>
          <w:u w:val="single"/>
        </w:rPr>
      </w:pPr>
    </w:p>
    <w:p>
      <w:pPr>
        <w:spacing w:line="360" w:lineRule="auto"/>
        <w:rPr>
          <w:rFonts w:ascii="宋体" w:hAnsi="宋体" w:cs="宋体"/>
          <w:sz w:val="24"/>
          <w:szCs w:val="24"/>
          <w:u w:val="single"/>
        </w:rPr>
      </w:pPr>
    </w:p>
    <w:p>
      <w:pPr>
        <w:spacing w:line="360" w:lineRule="auto"/>
        <w:rPr>
          <w:rFonts w:ascii="宋体" w:hAnsi="宋体" w:cs="宋体"/>
          <w:sz w:val="28"/>
          <w:szCs w:val="32"/>
        </w:rPr>
      </w:pPr>
      <w:r>
        <w:rPr>
          <w:rFonts w:hint="eastAsia" w:ascii="宋体" w:hAnsi="宋体" w:cs="宋体"/>
          <w:sz w:val="28"/>
          <w:szCs w:val="32"/>
        </w:rPr>
        <w:t>（二）特定资格条件</w:t>
      </w:r>
    </w:p>
    <w:p>
      <w:pPr>
        <w:spacing w:line="360" w:lineRule="auto"/>
        <w:ind w:firstLine="480" w:firstLineChars="200"/>
        <w:rPr>
          <w:rFonts w:ascii="宋体" w:hAnsi="宋体" w:cs="宋体"/>
          <w:sz w:val="24"/>
          <w:szCs w:val="24"/>
        </w:rPr>
      </w:pPr>
      <w:r>
        <w:rPr>
          <w:rFonts w:hint="eastAsia" w:ascii="宋体" w:hAnsi="宋体" w:cs="宋体"/>
          <w:sz w:val="24"/>
          <w:szCs w:val="24"/>
        </w:rPr>
        <w:t>1、具有独立承担民事责任能力的法人、其他组织或自然人，提供合法有效的统一社会信用代码营业执照（事业单位提供事业单位法人证书，自然人应提供身份证）；</w:t>
      </w:r>
    </w:p>
    <w:p>
      <w:pPr>
        <w:spacing w:line="360" w:lineRule="auto"/>
        <w:ind w:firstLine="480" w:firstLineChars="200"/>
        <w:rPr>
          <w:rFonts w:ascii="宋体" w:hAnsi="宋体" w:cs="宋体"/>
          <w:sz w:val="24"/>
          <w:szCs w:val="24"/>
        </w:rPr>
      </w:pPr>
      <w:r>
        <w:rPr>
          <w:rFonts w:hint="eastAsia" w:ascii="宋体" w:hAnsi="宋体" w:cs="宋体"/>
          <w:sz w:val="24"/>
          <w:szCs w:val="24"/>
        </w:rPr>
        <w:t>2、财务状况证明：供应商提供2020年或2021年度经审计完整的财务审计报告（成立时间至提交投标文件截止时间不足一年的可提供成立后任意时段的资产负债表），或其开标前三个月内银行出具的资信证明，或财政部门认可的政府采购专业担保机构出具的投标担保函；</w:t>
      </w:r>
    </w:p>
    <w:p>
      <w:pPr>
        <w:keepNext/>
        <w:keepLines/>
        <w:spacing w:line="413" w:lineRule="auto"/>
        <w:jc w:val="center"/>
        <w:rPr>
          <w:rFonts w:ascii="宋体" w:hAnsi="宋体" w:cs="宋体"/>
          <w:sz w:val="32"/>
          <w:szCs w:val="24"/>
        </w:rPr>
        <w:sectPr>
          <w:headerReference r:id="rId20" w:type="default"/>
          <w:pgSz w:w="11906" w:h="16838"/>
          <w:pgMar w:top="1440" w:right="1803" w:bottom="1440" w:left="1803" w:header="851" w:footer="992" w:gutter="0"/>
          <w:pgNumType w:fmt="decimal"/>
          <w:cols w:space="720" w:num="1"/>
          <w:docGrid w:type="lines" w:linePitch="319" w:charSpace="0"/>
        </w:sectPr>
      </w:pPr>
    </w:p>
    <w:p>
      <w:pPr>
        <w:keepNext/>
        <w:keepLines/>
        <w:spacing w:line="413" w:lineRule="auto"/>
        <w:jc w:val="center"/>
        <w:rPr>
          <w:rFonts w:ascii="宋体" w:hAnsi="宋体" w:cs="宋体"/>
          <w:sz w:val="32"/>
          <w:szCs w:val="24"/>
        </w:rPr>
      </w:pPr>
      <w:r>
        <w:rPr>
          <w:rFonts w:hint="eastAsia" w:ascii="宋体" w:hAnsi="宋体" w:cs="宋体"/>
          <w:sz w:val="32"/>
          <w:szCs w:val="24"/>
        </w:rPr>
        <w:t>3、履行合同所必需的设备和专业技术能力声明（格式）</w:t>
      </w:r>
    </w:p>
    <w:p>
      <w:pPr>
        <w:rPr>
          <w:rFonts w:ascii="宋体" w:hAnsi="宋体" w:cs="宋体"/>
        </w:rPr>
      </w:pPr>
    </w:p>
    <w:p>
      <w:pPr>
        <w:widowControl/>
        <w:snapToGrid w:val="0"/>
        <w:spacing w:line="480" w:lineRule="auto"/>
        <w:jc w:val="left"/>
        <w:rPr>
          <w:rFonts w:ascii="宋体" w:hAnsi="宋体" w:cs="宋体"/>
          <w:kern w:val="0"/>
          <w:sz w:val="24"/>
          <w:szCs w:val="24"/>
        </w:rPr>
      </w:pPr>
      <w:r>
        <w:rPr>
          <w:rFonts w:hint="eastAsia" w:ascii="宋体" w:hAnsi="宋体" w:cs="宋体"/>
          <w:kern w:val="0"/>
          <w:sz w:val="24"/>
          <w:szCs w:val="24"/>
        </w:rPr>
        <w:t>(采购人名称）_______________________：</w:t>
      </w:r>
    </w:p>
    <w:p>
      <w:pPr>
        <w:widowControl/>
        <w:snapToGrid w:val="0"/>
        <w:spacing w:line="480" w:lineRule="auto"/>
        <w:ind w:firstLine="720" w:firstLineChars="300"/>
        <w:jc w:val="left"/>
        <w:rPr>
          <w:rFonts w:ascii="宋体" w:hAnsi="宋体" w:cs="宋体"/>
          <w:kern w:val="0"/>
          <w:sz w:val="24"/>
          <w:szCs w:val="24"/>
        </w:rPr>
      </w:pPr>
      <w:r>
        <w:rPr>
          <w:rFonts w:hint="eastAsia" w:ascii="宋体" w:hAnsi="宋体" w:cs="宋体"/>
          <w:kern w:val="0"/>
          <w:sz w:val="24"/>
          <w:szCs w:val="24"/>
        </w:rPr>
        <w:t>我单位参与陕西卓佲项目管理有限公司组织的____________________(项目名称)，我单位郑重声明：我方</w:t>
      </w:r>
      <w:r>
        <w:rPr>
          <w:rFonts w:hint="eastAsia" w:ascii="宋体" w:hAnsi="宋体" w:cs="宋体"/>
          <w:b/>
          <w:bCs/>
          <w:sz w:val="24"/>
          <w:szCs w:val="24"/>
        </w:rPr>
        <w:t>具有履行合同所必需的设备和专业技术能力</w:t>
      </w:r>
      <w:r>
        <w:rPr>
          <w:rFonts w:hint="eastAsia" w:ascii="宋体" w:hAnsi="宋体" w:cs="宋体"/>
          <w:kern w:val="0"/>
          <w:sz w:val="24"/>
          <w:szCs w:val="24"/>
        </w:rPr>
        <w:t>，符合《中华人民共和国政府采购法》规定的供应商资格条件，我方对此声明负全部法律责任。</w:t>
      </w:r>
    </w:p>
    <w:p>
      <w:pPr>
        <w:widowControl/>
        <w:snapToGrid w:val="0"/>
        <w:spacing w:line="480" w:lineRule="auto"/>
        <w:ind w:firstLine="480" w:firstLineChars="200"/>
        <w:jc w:val="left"/>
        <w:rPr>
          <w:rFonts w:ascii="宋体" w:hAnsi="宋体" w:cs="宋体"/>
          <w:kern w:val="0"/>
          <w:sz w:val="24"/>
          <w:szCs w:val="24"/>
        </w:rPr>
      </w:pPr>
      <w:r>
        <w:rPr>
          <w:rFonts w:hint="eastAsia" w:ascii="宋体" w:hAnsi="宋体" w:cs="宋体"/>
          <w:kern w:val="0"/>
          <w:sz w:val="24"/>
          <w:szCs w:val="24"/>
        </w:rPr>
        <w:t>特此声明。</w:t>
      </w:r>
    </w:p>
    <w:p>
      <w:pPr>
        <w:pStyle w:val="16"/>
        <w:spacing w:line="500" w:lineRule="exact"/>
        <w:jc w:val="left"/>
        <w:rPr>
          <w:rFonts w:hAnsi="宋体" w:cs="宋体"/>
          <w:sz w:val="24"/>
          <w:szCs w:val="24"/>
        </w:rPr>
      </w:pPr>
    </w:p>
    <w:p>
      <w:pPr>
        <w:pStyle w:val="16"/>
        <w:spacing w:line="480" w:lineRule="auto"/>
        <w:jc w:val="left"/>
        <w:rPr>
          <w:rFonts w:hAnsi="宋体" w:cs="宋体"/>
          <w:sz w:val="24"/>
        </w:rPr>
      </w:pPr>
    </w:p>
    <w:p>
      <w:pPr>
        <w:pStyle w:val="16"/>
        <w:spacing w:line="480" w:lineRule="auto"/>
        <w:jc w:val="left"/>
        <w:rPr>
          <w:rFonts w:hAnsi="宋体" w:cs="宋体"/>
          <w:sz w:val="24"/>
        </w:rPr>
      </w:pPr>
      <w:r>
        <w:rPr>
          <w:rFonts w:hint="eastAsia" w:hAnsi="宋体" w:cs="宋体"/>
          <w:sz w:val="24"/>
        </w:rPr>
        <w:t>供应商（单位名称及公章）：</w:t>
      </w:r>
      <w:r>
        <w:rPr>
          <w:rFonts w:hint="eastAsia" w:hAnsi="宋体" w:cs="宋体"/>
          <w:sz w:val="28"/>
          <w:szCs w:val="28"/>
        </w:rPr>
        <w:t>______________________</w:t>
      </w:r>
    </w:p>
    <w:p>
      <w:pPr>
        <w:pStyle w:val="16"/>
        <w:spacing w:line="480" w:lineRule="auto"/>
        <w:jc w:val="left"/>
        <w:rPr>
          <w:rFonts w:hAnsi="宋体" w:cs="宋体"/>
          <w:sz w:val="24"/>
        </w:rPr>
      </w:pPr>
      <w:r>
        <w:rPr>
          <w:rFonts w:hint="eastAsia" w:hAnsi="宋体" w:cs="宋体"/>
          <w:sz w:val="24"/>
        </w:rPr>
        <w:t>法定代表人或被授权人（签字或盖章）：</w:t>
      </w:r>
      <w:r>
        <w:rPr>
          <w:rFonts w:hint="eastAsia" w:hAnsi="宋体" w:cs="宋体"/>
          <w:sz w:val="28"/>
          <w:szCs w:val="28"/>
        </w:rPr>
        <w:t>______________________</w:t>
      </w:r>
    </w:p>
    <w:p>
      <w:pPr>
        <w:adjustRightInd w:val="0"/>
        <w:snapToGrid w:val="0"/>
        <w:spacing w:line="480" w:lineRule="auto"/>
        <w:rPr>
          <w:rFonts w:ascii="宋体" w:hAnsi="宋体" w:cs="宋体"/>
          <w:sz w:val="24"/>
          <w:szCs w:val="24"/>
        </w:rPr>
      </w:pPr>
      <w:r>
        <w:rPr>
          <w:rFonts w:hint="eastAsia" w:ascii="宋体" w:hAnsi="宋体" w:cs="宋体"/>
          <w:kern w:val="0"/>
          <w:sz w:val="24"/>
        </w:rPr>
        <w:t>日    期：</w:t>
      </w:r>
      <w:r>
        <w:rPr>
          <w:rFonts w:hint="eastAsia" w:ascii="宋体" w:hAnsi="宋体" w:cs="宋体"/>
          <w:sz w:val="28"/>
          <w:szCs w:val="28"/>
        </w:rPr>
        <w:t>______________________</w:t>
      </w:r>
    </w:p>
    <w:p>
      <w:pPr>
        <w:spacing w:line="360" w:lineRule="auto"/>
        <w:ind w:firstLine="480" w:firstLineChars="200"/>
        <w:rPr>
          <w:rFonts w:ascii="宋体" w:hAnsi="宋体" w:cs="宋体"/>
          <w:sz w:val="24"/>
          <w:szCs w:val="24"/>
        </w:rPr>
        <w:sectPr>
          <w:pgSz w:w="11906" w:h="16838"/>
          <w:pgMar w:top="1440" w:right="1803" w:bottom="1440" w:left="1803" w:header="851" w:footer="992" w:gutter="0"/>
          <w:pgNumType w:fmt="decimal"/>
          <w:cols w:space="720" w:num="1"/>
          <w:docGrid w:type="lines" w:linePitch="319" w:charSpace="0"/>
        </w:sectPr>
      </w:pPr>
    </w:p>
    <w:p>
      <w:pPr>
        <w:spacing w:line="360" w:lineRule="auto"/>
        <w:ind w:firstLine="480" w:firstLineChars="200"/>
        <w:rPr>
          <w:rFonts w:ascii="宋体" w:hAnsi="宋体" w:cs="宋体"/>
          <w:sz w:val="24"/>
          <w:szCs w:val="24"/>
        </w:rPr>
      </w:pPr>
      <w:r>
        <w:rPr>
          <w:rFonts w:hint="eastAsia" w:ascii="宋体" w:hAnsi="宋体" w:cs="宋体"/>
          <w:sz w:val="24"/>
          <w:szCs w:val="24"/>
        </w:rPr>
        <w:t>4、税收缴纳证明：提供2021年9月以来至少一个月的纳税证明或完税证明，依法免税的单位应提供相关证明材料；</w:t>
      </w:r>
    </w:p>
    <w:p>
      <w:pPr>
        <w:spacing w:line="360" w:lineRule="auto"/>
        <w:ind w:firstLine="480" w:firstLineChars="200"/>
        <w:rPr>
          <w:rFonts w:ascii="宋体" w:hAnsi="宋体" w:cs="宋体"/>
          <w:sz w:val="24"/>
          <w:szCs w:val="24"/>
        </w:rPr>
      </w:pPr>
      <w:r>
        <w:rPr>
          <w:rFonts w:hint="eastAsia" w:ascii="宋体" w:hAnsi="宋体" w:cs="宋体"/>
          <w:sz w:val="24"/>
          <w:szCs w:val="24"/>
        </w:rPr>
        <w:t>5、社会保障资金缴纳证明：提供2021年9月以来至少一个月的社会保障资金缴存单据或社保机构开具的社会保险参保缴费情况证明。依法不需要缴纳社会保障资金的供应商应提供相关文件证明；</w:t>
      </w:r>
    </w:p>
    <w:p>
      <w:pPr>
        <w:spacing w:line="360" w:lineRule="auto"/>
        <w:ind w:firstLine="480" w:firstLineChars="200"/>
        <w:rPr>
          <w:rFonts w:ascii="宋体" w:hAnsi="宋体" w:cs="宋体"/>
          <w:sz w:val="24"/>
          <w:szCs w:val="24"/>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tabs>
          <w:tab w:val="left" w:pos="2850"/>
        </w:tabs>
        <w:jc w:val="left"/>
        <w:rPr>
          <w:rFonts w:ascii="宋体" w:hAnsi="宋体" w:cs="宋体"/>
          <w:sz w:val="28"/>
          <w:szCs w:val="32"/>
        </w:rPr>
      </w:pPr>
      <w:r>
        <w:rPr>
          <w:rFonts w:hint="eastAsia" w:ascii="宋体" w:hAnsi="宋体" w:cs="宋体"/>
          <w:sz w:val="28"/>
          <w:szCs w:val="32"/>
        </w:rPr>
        <w:tab/>
      </w:r>
    </w:p>
    <w:p>
      <w:pPr>
        <w:pStyle w:val="9"/>
      </w:pPr>
    </w:p>
    <w:p>
      <w:pPr>
        <w:tabs>
          <w:tab w:val="left" w:pos="2235"/>
        </w:tabs>
        <w:jc w:val="left"/>
        <w:rPr>
          <w:rFonts w:ascii="宋体" w:hAnsi="宋体" w:cs="宋体"/>
          <w:sz w:val="28"/>
          <w:szCs w:val="32"/>
        </w:rPr>
      </w:pPr>
      <w:r>
        <w:rPr>
          <w:rFonts w:hint="eastAsia" w:ascii="宋体" w:hAnsi="宋体" w:cs="宋体"/>
          <w:sz w:val="28"/>
          <w:szCs w:val="32"/>
        </w:rPr>
        <w:tab/>
      </w:r>
    </w:p>
    <w:p>
      <w:pPr>
        <w:pStyle w:val="9"/>
        <w:rPr>
          <w:rFonts w:ascii="宋体" w:hAnsi="宋体" w:cs="宋体"/>
          <w:sz w:val="28"/>
          <w:szCs w:val="32"/>
        </w:rPr>
      </w:pPr>
    </w:p>
    <w:p>
      <w:pPr>
        <w:pStyle w:val="16"/>
        <w:rPr>
          <w:rFonts w:hAnsi="宋体" w:cs="宋体"/>
          <w:sz w:val="28"/>
          <w:szCs w:val="32"/>
        </w:rPr>
      </w:pPr>
    </w:p>
    <w:p>
      <w:pPr>
        <w:pStyle w:val="16"/>
        <w:rPr>
          <w:rFonts w:hAnsi="宋体" w:cs="宋体"/>
          <w:sz w:val="28"/>
          <w:szCs w:val="32"/>
        </w:rPr>
      </w:pPr>
    </w:p>
    <w:p>
      <w:pPr>
        <w:pStyle w:val="16"/>
        <w:rPr>
          <w:rFonts w:hAnsi="宋体" w:cs="宋体"/>
          <w:sz w:val="28"/>
          <w:szCs w:val="32"/>
        </w:rPr>
      </w:pPr>
    </w:p>
    <w:p>
      <w:pPr>
        <w:pStyle w:val="16"/>
        <w:rPr>
          <w:rFonts w:hAnsi="宋体" w:cs="宋体"/>
          <w:sz w:val="28"/>
          <w:szCs w:val="32"/>
        </w:rPr>
      </w:pPr>
    </w:p>
    <w:p>
      <w:pPr>
        <w:pStyle w:val="16"/>
        <w:rPr>
          <w:rFonts w:hAnsi="宋体" w:cs="宋体"/>
          <w:sz w:val="28"/>
          <w:szCs w:val="32"/>
        </w:rPr>
      </w:pPr>
    </w:p>
    <w:p>
      <w:pPr>
        <w:jc w:val="center"/>
        <w:rPr>
          <w:rFonts w:ascii="宋体" w:hAnsi="宋体" w:cs="宋体"/>
          <w:sz w:val="28"/>
          <w:szCs w:val="32"/>
        </w:rPr>
      </w:pPr>
    </w:p>
    <w:p>
      <w:pPr>
        <w:keepNext/>
        <w:keepLines/>
        <w:spacing w:line="413" w:lineRule="auto"/>
        <w:jc w:val="center"/>
        <w:rPr>
          <w:rFonts w:ascii="宋体" w:hAnsi="宋体" w:cs="宋体"/>
          <w:sz w:val="32"/>
          <w:szCs w:val="24"/>
        </w:rPr>
      </w:pPr>
      <w:r>
        <w:rPr>
          <w:rFonts w:hint="eastAsia" w:ascii="宋体" w:hAnsi="宋体" w:cs="宋体"/>
          <w:sz w:val="32"/>
          <w:szCs w:val="24"/>
        </w:rPr>
        <w:t>6、无重大违法记录声明（格式）</w:t>
      </w:r>
    </w:p>
    <w:p>
      <w:pPr>
        <w:rPr>
          <w:rFonts w:ascii="宋体" w:hAnsi="宋体" w:cs="宋体"/>
        </w:rPr>
      </w:pPr>
    </w:p>
    <w:p>
      <w:pPr>
        <w:widowControl/>
        <w:snapToGrid w:val="0"/>
        <w:spacing w:line="480" w:lineRule="auto"/>
        <w:jc w:val="left"/>
        <w:rPr>
          <w:rFonts w:ascii="宋体" w:hAnsi="宋体" w:cs="宋体"/>
          <w:kern w:val="0"/>
          <w:sz w:val="24"/>
          <w:szCs w:val="24"/>
        </w:rPr>
      </w:pPr>
      <w:r>
        <w:rPr>
          <w:rFonts w:hint="eastAsia" w:ascii="宋体" w:hAnsi="宋体" w:cs="宋体"/>
          <w:kern w:val="0"/>
          <w:sz w:val="24"/>
          <w:szCs w:val="24"/>
        </w:rPr>
        <w:t>(采购人名称）_______________________：</w:t>
      </w:r>
    </w:p>
    <w:p>
      <w:pPr>
        <w:widowControl/>
        <w:snapToGrid w:val="0"/>
        <w:spacing w:line="480" w:lineRule="auto"/>
        <w:ind w:firstLine="480" w:firstLineChars="200"/>
        <w:jc w:val="left"/>
        <w:rPr>
          <w:rFonts w:ascii="宋体" w:hAnsi="宋体" w:cs="宋体"/>
          <w:kern w:val="0"/>
          <w:sz w:val="24"/>
          <w:szCs w:val="24"/>
        </w:rPr>
      </w:pPr>
      <w:r>
        <w:rPr>
          <w:rFonts w:hint="eastAsia" w:ascii="宋体" w:hAnsi="宋体" w:cs="宋体"/>
          <w:kern w:val="0"/>
          <w:sz w:val="24"/>
          <w:szCs w:val="24"/>
        </w:rPr>
        <w:t>我单位参与陕西卓佲项目管理有限公司组织的______________________(项目名称)公开招标，我单位郑重声明：我方参加本项目公开招标工作前三年内无重大违法活动记录，符合《中华人民共和国政府采购法》规定的供应商资格条件，我方对此声明负全部法律责任。</w:t>
      </w:r>
    </w:p>
    <w:p>
      <w:pPr>
        <w:widowControl/>
        <w:snapToGrid w:val="0"/>
        <w:spacing w:line="480" w:lineRule="auto"/>
        <w:ind w:firstLine="480" w:firstLineChars="200"/>
        <w:jc w:val="left"/>
        <w:rPr>
          <w:rFonts w:ascii="宋体" w:hAnsi="宋体" w:cs="宋体"/>
          <w:kern w:val="0"/>
          <w:sz w:val="24"/>
          <w:szCs w:val="24"/>
        </w:rPr>
      </w:pPr>
      <w:r>
        <w:rPr>
          <w:rFonts w:hint="eastAsia" w:ascii="宋体" w:hAnsi="宋体" w:cs="宋体"/>
          <w:kern w:val="0"/>
          <w:sz w:val="24"/>
          <w:szCs w:val="24"/>
        </w:rPr>
        <w:t>特此声明。</w:t>
      </w:r>
    </w:p>
    <w:p>
      <w:pPr>
        <w:pStyle w:val="16"/>
        <w:spacing w:line="500" w:lineRule="exact"/>
        <w:jc w:val="left"/>
        <w:rPr>
          <w:rFonts w:hAnsi="宋体" w:cs="宋体"/>
          <w:sz w:val="24"/>
          <w:szCs w:val="24"/>
        </w:rPr>
      </w:pPr>
    </w:p>
    <w:p>
      <w:pPr>
        <w:pStyle w:val="16"/>
        <w:spacing w:line="480" w:lineRule="auto"/>
        <w:jc w:val="left"/>
        <w:rPr>
          <w:rFonts w:hAnsi="宋体" w:cs="宋体"/>
          <w:sz w:val="24"/>
        </w:rPr>
      </w:pPr>
    </w:p>
    <w:p>
      <w:pPr>
        <w:pStyle w:val="16"/>
        <w:spacing w:line="480" w:lineRule="auto"/>
        <w:jc w:val="left"/>
        <w:rPr>
          <w:rFonts w:hAnsi="宋体" w:cs="宋体"/>
          <w:sz w:val="24"/>
        </w:rPr>
      </w:pPr>
      <w:r>
        <w:rPr>
          <w:rFonts w:hint="eastAsia" w:hAnsi="宋体" w:cs="宋体"/>
          <w:sz w:val="24"/>
        </w:rPr>
        <w:t>供应商（单位名称及公章）：</w:t>
      </w:r>
      <w:r>
        <w:rPr>
          <w:rFonts w:hint="eastAsia" w:hAnsi="宋体" w:cs="宋体"/>
          <w:sz w:val="28"/>
          <w:szCs w:val="28"/>
        </w:rPr>
        <w:t>______________________</w:t>
      </w:r>
    </w:p>
    <w:p>
      <w:pPr>
        <w:pStyle w:val="16"/>
        <w:spacing w:line="480" w:lineRule="auto"/>
        <w:jc w:val="left"/>
        <w:rPr>
          <w:rFonts w:hAnsi="宋体" w:cs="宋体"/>
          <w:sz w:val="24"/>
        </w:rPr>
      </w:pPr>
      <w:r>
        <w:rPr>
          <w:rFonts w:hint="eastAsia" w:hAnsi="宋体" w:cs="宋体"/>
          <w:sz w:val="24"/>
        </w:rPr>
        <w:t>法定代表人或被授权人（签字或盖章）：</w:t>
      </w:r>
      <w:r>
        <w:rPr>
          <w:rFonts w:hint="eastAsia" w:hAnsi="宋体" w:cs="宋体"/>
          <w:sz w:val="28"/>
          <w:szCs w:val="28"/>
        </w:rPr>
        <w:t>______________________</w:t>
      </w:r>
    </w:p>
    <w:p>
      <w:pPr>
        <w:adjustRightInd w:val="0"/>
        <w:snapToGrid w:val="0"/>
        <w:spacing w:line="480" w:lineRule="auto"/>
        <w:rPr>
          <w:rFonts w:ascii="宋体" w:hAnsi="宋体" w:cs="宋体"/>
          <w:sz w:val="24"/>
          <w:szCs w:val="24"/>
        </w:rPr>
      </w:pPr>
      <w:r>
        <w:rPr>
          <w:rFonts w:hint="eastAsia" w:ascii="宋体" w:hAnsi="宋体" w:cs="宋体"/>
          <w:kern w:val="0"/>
          <w:sz w:val="24"/>
        </w:rPr>
        <w:t>日    期：</w:t>
      </w:r>
      <w:r>
        <w:rPr>
          <w:rFonts w:hint="eastAsia" w:ascii="宋体" w:hAnsi="宋体" w:cs="宋体"/>
          <w:sz w:val="28"/>
          <w:szCs w:val="28"/>
        </w:rPr>
        <w:t>______________________</w:t>
      </w: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p>
    <w:p>
      <w:pPr>
        <w:jc w:val="center"/>
        <w:rPr>
          <w:rFonts w:ascii="宋体" w:hAnsi="宋体" w:cs="宋体"/>
          <w:sz w:val="28"/>
          <w:szCs w:val="32"/>
        </w:rPr>
      </w:pPr>
      <w:r>
        <w:rPr>
          <w:rFonts w:hint="eastAsia" w:ascii="宋体" w:hAnsi="宋体" w:cs="宋体"/>
          <w:sz w:val="28"/>
          <w:szCs w:val="32"/>
        </w:rPr>
        <w:t>7-1法定代表人证明书（格式）</w:t>
      </w:r>
    </w:p>
    <w:tbl>
      <w:tblPr>
        <w:tblStyle w:val="29"/>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2160"/>
        <w:gridCol w:w="2156"/>
        <w:gridCol w:w="184"/>
        <w:gridCol w:w="2156"/>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410" w:type="dxa"/>
            <w:gridSpan w:val="6"/>
            <w:vAlign w:val="center"/>
          </w:tcPr>
          <w:p>
            <w:pPr>
              <w:tabs>
                <w:tab w:val="left" w:pos="210"/>
              </w:tabs>
              <w:spacing w:line="360" w:lineRule="auto"/>
              <w:jc w:val="left"/>
              <w:rPr>
                <w:rFonts w:ascii="宋体" w:hAnsi="宋体" w:cs="宋体"/>
                <w:kern w:val="0"/>
              </w:rPr>
            </w:pPr>
            <w:r>
              <w:rPr>
                <w:rFonts w:hint="eastAsia" w:ascii="宋体" w:hAnsi="宋体" w:cs="宋体"/>
                <w:kern w:val="0"/>
              </w:rPr>
              <w:t>致：陕西卓佲项目管理有限公司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94" w:type="dxa"/>
            <w:vMerge w:val="restart"/>
            <w:vAlign w:val="center"/>
          </w:tcPr>
          <w:p>
            <w:pPr>
              <w:tabs>
                <w:tab w:val="left" w:pos="210"/>
              </w:tabs>
              <w:spacing w:line="360" w:lineRule="auto"/>
              <w:jc w:val="center"/>
              <w:rPr>
                <w:rFonts w:ascii="宋体" w:hAnsi="宋体" w:cs="宋体"/>
                <w:kern w:val="0"/>
              </w:rPr>
            </w:pPr>
            <w:r>
              <w:rPr>
                <w:rFonts w:hint="eastAsia" w:ascii="宋体" w:hAnsi="宋体" w:cs="宋体"/>
                <w:kern w:val="0"/>
              </w:rPr>
              <w:t>企</w:t>
            </w:r>
          </w:p>
          <w:p>
            <w:pPr>
              <w:tabs>
                <w:tab w:val="left" w:pos="210"/>
              </w:tabs>
              <w:spacing w:line="360" w:lineRule="auto"/>
              <w:jc w:val="center"/>
              <w:rPr>
                <w:rFonts w:ascii="宋体" w:hAnsi="宋体" w:cs="宋体"/>
                <w:kern w:val="0"/>
              </w:rPr>
            </w:pPr>
            <w:r>
              <w:rPr>
                <w:rFonts w:hint="eastAsia" w:ascii="宋体" w:hAnsi="宋体" w:cs="宋体"/>
                <w:kern w:val="0"/>
              </w:rPr>
              <w:t>业</w:t>
            </w:r>
          </w:p>
          <w:p>
            <w:pPr>
              <w:tabs>
                <w:tab w:val="left" w:pos="210"/>
              </w:tabs>
              <w:spacing w:line="360" w:lineRule="auto"/>
              <w:jc w:val="center"/>
              <w:rPr>
                <w:rFonts w:ascii="宋体" w:hAnsi="宋体" w:cs="宋体"/>
                <w:kern w:val="0"/>
              </w:rPr>
            </w:pPr>
            <w:r>
              <w:rPr>
                <w:rFonts w:hint="eastAsia" w:ascii="宋体" w:hAnsi="宋体" w:cs="宋体"/>
                <w:kern w:val="0"/>
              </w:rPr>
              <w:t>法</w:t>
            </w:r>
          </w:p>
          <w:p>
            <w:pPr>
              <w:tabs>
                <w:tab w:val="left" w:pos="210"/>
              </w:tabs>
              <w:spacing w:line="360" w:lineRule="auto"/>
              <w:jc w:val="center"/>
              <w:rPr>
                <w:rFonts w:ascii="宋体" w:hAnsi="宋体" w:cs="宋体"/>
                <w:kern w:val="0"/>
              </w:rPr>
            </w:pPr>
            <w:r>
              <w:rPr>
                <w:rFonts w:hint="eastAsia" w:ascii="宋体" w:hAnsi="宋体" w:cs="宋体"/>
                <w:kern w:val="0"/>
              </w:rPr>
              <w:t>人</w:t>
            </w:r>
          </w:p>
        </w:tc>
        <w:tc>
          <w:tcPr>
            <w:tcW w:w="2160" w:type="dxa"/>
            <w:vAlign w:val="center"/>
          </w:tcPr>
          <w:p>
            <w:pPr>
              <w:tabs>
                <w:tab w:val="left" w:pos="210"/>
              </w:tabs>
              <w:spacing w:line="360" w:lineRule="auto"/>
              <w:rPr>
                <w:rFonts w:ascii="宋体" w:hAnsi="宋体" w:cs="宋体"/>
                <w:kern w:val="0"/>
              </w:rPr>
            </w:pPr>
            <w:r>
              <w:rPr>
                <w:rFonts w:hint="eastAsia" w:ascii="宋体" w:hAnsi="宋体" w:cs="宋体"/>
                <w:kern w:val="0"/>
              </w:rPr>
              <w:t>企业名称</w:t>
            </w:r>
          </w:p>
        </w:tc>
        <w:tc>
          <w:tcPr>
            <w:tcW w:w="6656" w:type="dxa"/>
            <w:gridSpan w:val="4"/>
            <w:vAlign w:val="center"/>
          </w:tcPr>
          <w:p>
            <w:pPr>
              <w:tabs>
                <w:tab w:val="left" w:pos="210"/>
              </w:tabs>
              <w:spacing w:line="360" w:lineRule="auto"/>
              <w:jc w:val="left"/>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94" w:type="dxa"/>
            <w:vMerge w:val="continue"/>
            <w:vAlign w:val="center"/>
          </w:tcPr>
          <w:p>
            <w:pPr>
              <w:tabs>
                <w:tab w:val="left" w:pos="210"/>
              </w:tabs>
              <w:spacing w:line="360" w:lineRule="auto"/>
              <w:ind w:firstLine="420" w:firstLineChars="200"/>
              <w:jc w:val="center"/>
              <w:rPr>
                <w:rFonts w:ascii="宋体" w:hAnsi="宋体" w:cs="宋体"/>
                <w:kern w:val="0"/>
              </w:rPr>
            </w:pPr>
          </w:p>
        </w:tc>
        <w:tc>
          <w:tcPr>
            <w:tcW w:w="2160" w:type="dxa"/>
            <w:vAlign w:val="center"/>
          </w:tcPr>
          <w:p>
            <w:pPr>
              <w:tabs>
                <w:tab w:val="left" w:pos="210"/>
              </w:tabs>
              <w:spacing w:line="360" w:lineRule="auto"/>
              <w:rPr>
                <w:rFonts w:ascii="宋体" w:hAnsi="宋体" w:cs="宋体"/>
                <w:kern w:val="0"/>
              </w:rPr>
            </w:pPr>
            <w:r>
              <w:rPr>
                <w:rFonts w:hint="eastAsia" w:ascii="宋体" w:hAnsi="宋体" w:cs="宋体"/>
                <w:kern w:val="0"/>
              </w:rPr>
              <w:t>法定地址</w:t>
            </w:r>
          </w:p>
        </w:tc>
        <w:tc>
          <w:tcPr>
            <w:tcW w:w="6656" w:type="dxa"/>
            <w:gridSpan w:val="4"/>
            <w:vAlign w:val="center"/>
          </w:tcPr>
          <w:p>
            <w:pPr>
              <w:tabs>
                <w:tab w:val="left" w:pos="210"/>
              </w:tabs>
              <w:spacing w:line="360" w:lineRule="auto"/>
              <w:jc w:val="left"/>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94" w:type="dxa"/>
            <w:vMerge w:val="continue"/>
            <w:vAlign w:val="center"/>
          </w:tcPr>
          <w:p>
            <w:pPr>
              <w:tabs>
                <w:tab w:val="left" w:pos="210"/>
              </w:tabs>
              <w:spacing w:line="360" w:lineRule="auto"/>
              <w:ind w:firstLine="420" w:firstLineChars="200"/>
              <w:jc w:val="center"/>
              <w:rPr>
                <w:rFonts w:ascii="宋体" w:hAnsi="宋体" w:cs="宋体"/>
                <w:kern w:val="0"/>
              </w:rPr>
            </w:pPr>
          </w:p>
        </w:tc>
        <w:tc>
          <w:tcPr>
            <w:tcW w:w="2160" w:type="dxa"/>
            <w:vAlign w:val="center"/>
          </w:tcPr>
          <w:p>
            <w:pPr>
              <w:tabs>
                <w:tab w:val="left" w:pos="210"/>
              </w:tabs>
              <w:spacing w:line="360" w:lineRule="auto"/>
              <w:rPr>
                <w:rFonts w:ascii="宋体" w:hAnsi="宋体" w:cs="宋体"/>
                <w:kern w:val="0"/>
              </w:rPr>
            </w:pPr>
            <w:r>
              <w:rPr>
                <w:rFonts w:hint="eastAsia" w:ascii="宋体" w:hAnsi="宋体" w:cs="宋体"/>
                <w:kern w:val="0"/>
              </w:rPr>
              <w:t>邮政编码</w:t>
            </w:r>
          </w:p>
        </w:tc>
        <w:tc>
          <w:tcPr>
            <w:tcW w:w="6656" w:type="dxa"/>
            <w:gridSpan w:val="4"/>
            <w:vAlign w:val="center"/>
          </w:tcPr>
          <w:p>
            <w:pPr>
              <w:tabs>
                <w:tab w:val="left" w:pos="210"/>
              </w:tabs>
              <w:spacing w:line="360" w:lineRule="auto"/>
              <w:jc w:val="left"/>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94" w:type="dxa"/>
            <w:vMerge w:val="continue"/>
            <w:vAlign w:val="center"/>
          </w:tcPr>
          <w:p>
            <w:pPr>
              <w:tabs>
                <w:tab w:val="left" w:pos="210"/>
              </w:tabs>
              <w:spacing w:line="360" w:lineRule="auto"/>
              <w:ind w:firstLine="420" w:firstLineChars="200"/>
              <w:jc w:val="center"/>
              <w:rPr>
                <w:rFonts w:ascii="宋体" w:hAnsi="宋体" w:cs="宋体"/>
                <w:kern w:val="0"/>
              </w:rPr>
            </w:pPr>
          </w:p>
        </w:tc>
        <w:tc>
          <w:tcPr>
            <w:tcW w:w="2160" w:type="dxa"/>
            <w:vAlign w:val="center"/>
          </w:tcPr>
          <w:p>
            <w:pPr>
              <w:tabs>
                <w:tab w:val="left" w:pos="210"/>
              </w:tabs>
              <w:spacing w:line="360" w:lineRule="auto"/>
              <w:rPr>
                <w:rFonts w:ascii="宋体" w:hAnsi="宋体" w:cs="宋体"/>
                <w:kern w:val="0"/>
              </w:rPr>
            </w:pPr>
            <w:r>
              <w:rPr>
                <w:rFonts w:hint="eastAsia" w:ascii="宋体" w:hAnsi="宋体" w:cs="宋体"/>
                <w:kern w:val="0"/>
              </w:rPr>
              <w:t>工商登记机关</w:t>
            </w:r>
          </w:p>
        </w:tc>
        <w:tc>
          <w:tcPr>
            <w:tcW w:w="6656" w:type="dxa"/>
            <w:gridSpan w:val="4"/>
            <w:vAlign w:val="center"/>
          </w:tcPr>
          <w:p>
            <w:pPr>
              <w:tabs>
                <w:tab w:val="left" w:pos="210"/>
              </w:tabs>
              <w:spacing w:line="360" w:lineRule="auto"/>
              <w:jc w:val="left"/>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94" w:type="dxa"/>
            <w:vMerge w:val="continue"/>
            <w:vAlign w:val="center"/>
          </w:tcPr>
          <w:p>
            <w:pPr>
              <w:tabs>
                <w:tab w:val="left" w:pos="210"/>
              </w:tabs>
              <w:spacing w:line="360" w:lineRule="auto"/>
              <w:ind w:firstLine="420" w:firstLineChars="200"/>
              <w:jc w:val="center"/>
              <w:rPr>
                <w:rFonts w:ascii="宋体" w:hAnsi="宋体" w:cs="宋体"/>
                <w:kern w:val="0"/>
              </w:rPr>
            </w:pPr>
          </w:p>
        </w:tc>
        <w:tc>
          <w:tcPr>
            <w:tcW w:w="2160" w:type="dxa"/>
            <w:vAlign w:val="center"/>
          </w:tcPr>
          <w:p>
            <w:pPr>
              <w:tabs>
                <w:tab w:val="left" w:pos="210"/>
              </w:tabs>
              <w:spacing w:line="360" w:lineRule="auto"/>
              <w:rPr>
                <w:rFonts w:ascii="宋体" w:hAnsi="宋体" w:cs="宋体"/>
                <w:kern w:val="0"/>
              </w:rPr>
            </w:pPr>
            <w:r>
              <w:rPr>
                <w:rFonts w:hint="eastAsia" w:ascii="宋体" w:hAnsi="宋体" w:cs="宋体"/>
                <w:kern w:val="0"/>
              </w:rPr>
              <w:t>统一社会信用代码</w:t>
            </w:r>
          </w:p>
        </w:tc>
        <w:tc>
          <w:tcPr>
            <w:tcW w:w="6656" w:type="dxa"/>
            <w:gridSpan w:val="4"/>
            <w:vAlign w:val="center"/>
          </w:tcPr>
          <w:p>
            <w:pPr>
              <w:tabs>
                <w:tab w:val="left" w:pos="210"/>
              </w:tabs>
              <w:spacing w:line="360" w:lineRule="auto"/>
              <w:jc w:val="left"/>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94" w:type="dxa"/>
            <w:vMerge w:val="restart"/>
            <w:vAlign w:val="center"/>
          </w:tcPr>
          <w:p>
            <w:pPr>
              <w:tabs>
                <w:tab w:val="left" w:pos="210"/>
              </w:tabs>
              <w:spacing w:line="360" w:lineRule="auto"/>
              <w:jc w:val="center"/>
              <w:rPr>
                <w:rFonts w:ascii="宋体" w:hAnsi="宋体" w:cs="宋体"/>
                <w:kern w:val="0"/>
              </w:rPr>
            </w:pPr>
            <w:r>
              <w:rPr>
                <w:rFonts w:hint="eastAsia" w:ascii="宋体" w:hAnsi="宋体" w:cs="宋体"/>
                <w:kern w:val="0"/>
              </w:rPr>
              <w:t>法</w:t>
            </w:r>
          </w:p>
          <w:p>
            <w:pPr>
              <w:tabs>
                <w:tab w:val="left" w:pos="210"/>
              </w:tabs>
              <w:spacing w:line="360" w:lineRule="auto"/>
              <w:jc w:val="center"/>
              <w:rPr>
                <w:rFonts w:ascii="宋体" w:hAnsi="宋体" w:cs="宋体"/>
                <w:kern w:val="0"/>
              </w:rPr>
            </w:pPr>
            <w:r>
              <w:rPr>
                <w:rFonts w:hint="eastAsia" w:ascii="宋体" w:hAnsi="宋体" w:cs="宋体"/>
                <w:kern w:val="0"/>
              </w:rPr>
              <w:t>定</w:t>
            </w:r>
          </w:p>
          <w:p>
            <w:pPr>
              <w:tabs>
                <w:tab w:val="left" w:pos="210"/>
              </w:tabs>
              <w:spacing w:line="360" w:lineRule="auto"/>
              <w:jc w:val="center"/>
              <w:rPr>
                <w:rFonts w:ascii="宋体" w:hAnsi="宋体" w:cs="宋体"/>
                <w:kern w:val="0"/>
              </w:rPr>
            </w:pPr>
            <w:r>
              <w:rPr>
                <w:rFonts w:hint="eastAsia" w:ascii="宋体" w:hAnsi="宋体" w:cs="宋体"/>
                <w:kern w:val="0"/>
              </w:rPr>
              <w:t>代</w:t>
            </w:r>
          </w:p>
          <w:p>
            <w:pPr>
              <w:tabs>
                <w:tab w:val="left" w:pos="210"/>
              </w:tabs>
              <w:spacing w:line="360" w:lineRule="auto"/>
              <w:jc w:val="center"/>
              <w:rPr>
                <w:rFonts w:ascii="宋体" w:hAnsi="宋体" w:cs="宋体"/>
                <w:kern w:val="0"/>
              </w:rPr>
            </w:pPr>
            <w:r>
              <w:rPr>
                <w:rFonts w:hint="eastAsia" w:ascii="宋体" w:hAnsi="宋体" w:cs="宋体"/>
                <w:kern w:val="0"/>
              </w:rPr>
              <w:t>表</w:t>
            </w:r>
          </w:p>
          <w:p>
            <w:pPr>
              <w:tabs>
                <w:tab w:val="left" w:pos="210"/>
              </w:tabs>
              <w:spacing w:line="360" w:lineRule="auto"/>
              <w:jc w:val="center"/>
              <w:rPr>
                <w:rFonts w:ascii="宋体" w:hAnsi="宋体" w:cs="宋体"/>
                <w:kern w:val="0"/>
              </w:rPr>
            </w:pPr>
            <w:r>
              <w:rPr>
                <w:rFonts w:hint="eastAsia" w:ascii="宋体" w:hAnsi="宋体" w:cs="宋体"/>
                <w:kern w:val="0"/>
              </w:rPr>
              <w:t>人</w:t>
            </w:r>
          </w:p>
        </w:tc>
        <w:tc>
          <w:tcPr>
            <w:tcW w:w="2160" w:type="dxa"/>
            <w:vAlign w:val="center"/>
          </w:tcPr>
          <w:p>
            <w:pPr>
              <w:tabs>
                <w:tab w:val="left" w:pos="210"/>
              </w:tabs>
              <w:spacing w:line="360" w:lineRule="auto"/>
              <w:rPr>
                <w:rFonts w:ascii="宋体" w:hAnsi="宋体" w:cs="宋体"/>
                <w:kern w:val="0"/>
              </w:rPr>
            </w:pPr>
            <w:r>
              <w:rPr>
                <w:rFonts w:hint="eastAsia" w:ascii="宋体" w:hAnsi="宋体" w:cs="宋体"/>
                <w:kern w:val="0"/>
              </w:rPr>
              <w:t>姓名</w:t>
            </w:r>
          </w:p>
        </w:tc>
        <w:tc>
          <w:tcPr>
            <w:tcW w:w="2340" w:type="dxa"/>
            <w:gridSpan w:val="2"/>
            <w:vAlign w:val="center"/>
          </w:tcPr>
          <w:p>
            <w:pPr>
              <w:tabs>
                <w:tab w:val="left" w:pos="210"/>
              </w:tabs>
              <w:spacing w:line="360" w:lineRule="auto"/>
              <w:ind w:firstLine="420" w:firstLineChars="200"/>
              <w:jc w:val="left"/>
              <w:rPr>
                <w:rFonts w:ascii="宋体" w:hAnsi="宋体" w:cs="宋体"/>
                <w:kern w:val="0"/>
              </w:rPr>
            </w:pPr>
          </w:p>
        </w:tc>
        <w:tc>
          <w:tcPr>
            <w:tcW w:w="2156" w:type="dxa"/>
            <w:vAlign w:val="center"/>
          </w:tcPr>
          <w:p>
            <w:pPr>
              <w:tabs>
                <w:tab w:val="left" w:pos="210"/>
              </w:tabs>
              <w:spacing w:line="360" w:lineRule="auto"/>
              <w:ind w:firstLine="420" w:firstLineChars="200"/>
              <w:jc w:val="left"/>
              <w:rPr>
                <w:rFonts w:ascii="宋体" w:hAnsi="宋体" w:cs="宋体"/>
                <w:kern w:val="0"/>
              </w:rPr>
            </w:pPr>
            <w:r>
              <w:rPr>
                <w:rFonts w:hint="eastAsia" w:ascii="宋体" w:hAnsi="宋体" w:cs="宋体"/>
                <w:kern w:val="0"/>
              </w:rPr>
              <w:t>性别</w:t>
            </w:r>
          </w:p>
        </w:tc>
        <w:tc>
          <w:tcPr>
            <w:tcW w:w="2160" w:type="dxa"/>
            <w:vAlign w:val="center"/>
          </w:tcPr>
          <w:p>
            <w:pPr>
              <w:tabs>
                <w:tab w:val="left" w:pos="210"/>
              </w:tabs>
              <w:spacing w:line="360" w:lineRule="auto"/>
              <w:ind w:firstLine="420" w:firstLineChars="200"/>
              <w:jc w:val="left"/>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94" w:type="dxa"/>
            <w:vMerge w:val="continue"/>
            <w:vAlign w:val="center"/>
          </w:tcPr>
          <w:p>
            <w:pPr>
              <w:tabs>
                <w:tab w:val="left" w:pos="210"/>
              </w:tabs>
              <w:spacing w:line="360" w:lineRule="auto"/>
              <w:ind w:firstLine="420" w:firstLineChars="200"/>
              <w:jc w:val="center"/>
              <w:rPr>
                <w:rFonts w:ascii="宋体" w:hAnsi="宋体" w:cs="宋体"/>
                <w:kern w:val="0"/>
              </w:rPr>
            </w:pPr>
          </w:p>
        </w:tc>
        <w:tc>
          <w:tcPr>
            <w:tcW w:w="2160" w:type="dxa"/>
            <w:vAlign w:val="center"/>
          </w:tcPr>
          <w:p>
            <w:pPr>
              <w:tabs>
                <w:tab w:val="left" w:pos="210"/>
              </w:tabs>
              <w:spacing w:line="360" w:lineRule="auto"/>
              <w:rPr>
                <w:rFonts w:ascii="宋体" w:hAnsi="宋体" w:cs="宋体"/>
                <w:kern w:val="0"/>
              </w:rPr>
            </w:pPr>
            <w:r>
              <w:rPr>
                <w:rFonts w:hint="eastAsia" w:ascii="宋体" w:hAnsi="宋体" w:cs="宋体"/>
                <w:kern w:val="0"/>
              </w:rPr>
              <w:t>职务</w:t>
            </w:r>
          </w:p>
        </w:tc>
        <w:tc>
          <w:tcPr>
            <w:tcW w:w="2340" w:type="dxa"/>
            <w:gridSpan w:val="2"/>
            <w:vAlign w:val="center"/>
          </w:tcPr>
          <w:p>
            <w:pPr>
              <w:tabs>
                <w:tab w:val="left" w:pos="210"/>
              </w:tabs>
              <w:spacing w:line="360" w:lineRule="auto"/>
              <w:jc w:val="left"/>
              <w:rPr>
                <w:rFonts w:ascii="宋体" w:hAnsi="宋体" w:cs="宋体"/>
                <w:kern w:val="0"/>
              </w:rPr>
            </w:pPr>
          </w:p>
        </w:tc>
        <w:tc>
          <w:tcPr>
            <w:tcW w:w="2156" w:type="dxa"/>
            <w:vAlign w:val="center"/>
          </w:tcPr>
          <w:p>
            <w:pPr>
              <w:tabs>
                <w:tab w:val="left" w:pos="210"/>
              </w:tabs>
              <w:spacing w:line="360" w:lineRule="auto"/>
              <w:ind w:firstLine="420" w:firstLineChars="200"/>
              <w:jc w:val="left"/>
              <w:rPr>
                <w:rFonts w:ascii="宋体" w:hAnsi="宋体" w:cs="宋体"/>
                <w:kern w:val="0"/>
              </w:rPr>
            </w:pPr>
            <w:r>
              <w:rPr>
                <w:rFonts w:hint="eastAsia" w:ascii="宋体" w:hAnsi="宋体" w:cs="宋体"/>
                <w:kern w:val="0"/>
              </w:rPr>
              <w:t>联系电话</w:t>
            </w:r>
          </w:p>
        </w:tc>
        <w:tc>
          <w:tcPr>
            <w:tcW w:w="2160" w:type="dxa"/>
            <w:vAlign w:val="center"/>
          </w:tcPr>
          <w:p>
            <w:pPr>
              <w:tabs>
                <w:tab w:val="left" w:pos="210"/>
              </w:tabs>
              <w:spacing w:line="360" w:lineRule="auto"/>
              <w:ind w:firstLine="420" w:firstLineChars="200"/>
              <w:jc w:val="left"/>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594" w:type="dxa"/>
            <w:vMerge w:val="continue"/>
            <w:vAlign w:val="center"/>
          </w:tcPr>
          <w:p>
            <w:pPr>
              <w:tabs>
                <w:tab w:val="left" w:pos="210"/>
              </w:tabs>
              <w:spacing w:line="360" w:lineRule="auto"/>
              <w:ind w:firstLine="420" w:firstLineChars="200"/>
              <w:jc w:val="center"/>
              <w:rPr>
                <w:rFonts w:ascii="宋体" w:hAnsi="宋体" w:cs="宋体"/>
                <w:kern w:val="0"/>
              </w:rPr>
            </w:pPr>
          </w:p>
        </w:tc>
        <w:tc>
          <w:tcPr>
            <w:tcW w:w="2160" w:type="dxa"/>
            <w:vAlign w:val="center"/>
          </w:tcPr>
          <w:p>
            <w:pPr>
              <w:tabs>
                <w:tab w:val="left" w:pos="210"/>
              </w:tabs>
              <w:spacing w:line="360" w:lineRule="auto"/>
              <w:rPr>
                <w:rFonts w:ascii="宋体" w:hAnsi="宋体" w:cs="宋体"/>
                <w:kern w:val="0"/>
              </w:rPr>
            </w:pPr>
            <w:r>
              <w:rPr>
                <w:rFonts w:hint="eastAsia" w:ascii="宋体" w:hAnsi="宋体" w:cs="宋体"/>
                <w:kern w:val="0"/>
              </w:rPr>
              <w:t>传真</w:t>
            </w:r>
          </w:p>
        </w:tc>
        <w:tc>
          <w:tcPr>
            <w:tcW w:w="6656" w:type="dxa"/>
            <w:gridSpan w:val="4"/>
            <w:vAlign w:val="center"/>
          </w:tcPr>
          <w:p>
            <w:pPr>
              <w:tabs>
                <w:tab w:val="left" w:pos="210"/>
              </w:tabs>
              <w:spacing w:line="360" w:lineRule="auto"/>
              <w:jc w:val="left"/>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7" w:hRule="atLeast"/>
          <w:jc w:val="center"/>
        </w:trPr>
        <w:tc>
          <w:tcPr>
            <w:tcW w:w="594" w:type="dxa"/>
            <w:vMerge w:val="restart"/>
            <w:vAlign w:val="center"/>
          </w:tcPr>
          <w:p>
            <w:pPr>
              <w:tabs>
                <w:tab w:val="left" w:pos="210"/>
              </w:tabs>
              <w:spacing w:line="360" w:lineRule="auto"/>
              <w:jc w:val="center"/>
              <w:rPr>
                <w:rFonts w:ascii="宋体" w:hAnsi="宋体" w:cs="宋体"/>
                <w:kern w:val="0"/>
              </w:rPr>
            </w:pPr>
            <w:r>
              <w:rPr>
                <w:rFonts w:hint="eastAsia" w:ascii="宋体" w:hAnsi="宋体" w:cs="宋体"/>
                <w:kern w:val="0"/>
              </w:rPr>
              <w:t>法</w:t>
            </w:r>
          </w:p>
          <w:p>
            <w:pPr>
              <w:tabs>
                <w:tab w:val="left" w:pos="210"/>
              </w:tabs>
              <w:spacing w:line="360" w:lineRule="auto"/>
              <w:jc w:val="center"/>
              <w:rPr>
                <w:rFonts w:ascii="宋体" w:hAnsi="宋体" w:cs="宋体"/>
                <w:kern w:val="0"/>
              </w:rPr>
            </w:pPr>
            <w:r>
              <w:rPr>
                <w:rFonts w:hint="eastAsia" w:ascii="宋体" w:hAnsi="宋体" w:cs="宋体"/>
                <w:kern w:val="0"/>
              </w:rPr>
              <w:t>定</w:t>
            </w:r>
          </w:p>
          <w:p>
            <w:pPr>
              <w:tabs>
                <w:tab w:val="left" w:pos="210"/>
              </w:tabs>
              <w:spacing w:line="360" w:lineRule="auto"/>
              <w:jc w:val="center"/>
              <w:rPr>
                <w:rFonts w:ascii="宋体" w:hAnsi="宋体" w:cs="宋体"/>
                <w:kern w:val="0"/>
              </w:rPr>
            </w:pPr>
            <w:r>
              <w:rPr>
                <w:rFonts w:hint="eastAsia" w:ascii="宋体" w:hAnsi="宋体" w:cs="宋体"/>
                <w:kern w:val="0"/>
              </w:rPr>
              <w:t>代</w:t>
            </w:r>
          </w:p>
          <w:p>
            <w:pPr>
              <w:tabs>
                <w:tab w:val="left" w:pos="210"/>
              </w:tabs>
              <w:spacing w:line="360" w:lineRule="auto"/>
              <w:jc w:val="center"/>
              <w:rPr>
                <w:rFonts w:ascii="宋体" w:hAnsi="宋体" w:cs="宋体"/>
                <w:kern w:val="0"/>
              </w:rPr>
            </w:pPr>
            <w:r>
              <w:rPr>
                <w:rFonts w:hint="eastAsia" w:ascii="宋体" w:hAnsi="宋体" w:cs="宋体"/>
                <w:kern w:val="0"/>
              </w:rPr>
              <w:t>表</w:t>
            </w:r>
          </w:p>
          <w:p>
            <w:pPr>
              <w:tabs>
                <w:tab w:val="left" w:pos="210"/>
              </w:tabs>
              <w:spacing w:line="360" w:lineRule="auto"/>
              <w:jc w:val="center"/>
              <w:rPr>
                <w:rFonts w:ascii="宋体" w:hAnsi="宋体" w:cs="宋体"/>
                <w:kern w:val="0"/>
              </w:rPr>
            </w:pPr>
            <w:r>
              <w:rPr>
                <w:rFonts w:hint="eastAsia" w:ascii="宋体" w:hAnsi="宋体" w:cs="宋体"/>
                <w:kern w:val="0"/>
              </w:rPr>
              <w:t>人</w:t>
            </w:r>
          </w:p>
          <w:p>
            <w:pPr>
              <w:tabs>
                <w:tab w:val="left" w:pos="210"/>
              </w:tabs>
              <w:spacing w:line="360" w:lineRule="auto"/>
              <w:jc w:val="center"/>
              <w:rPr>
                <w:rFonts w:ascii="宋体" w:hAnsi="宋体" w:cs="宋体"/>
                <w:kern w:val="0"/>
              </w:rPr>
            </w:pPr>
            <w:r>
              <w:rPr>
                <w:rFonts w:hint="eastAsia" w:ascii="宋体" w:hAnsi="宋体" w:cs="宋体"/>
                <w:kern w:val="0"/>
              </w:rPr>
              <w:t>身</w:t>
            </w:r>
          </w:p>
          <w:p>
            <w:pPr>
              <w:tabs>
                <w:tab w:val="left" w:pos="210"/>
              </w:tabs>
              <w:spacing w:line="360" w:lineRule="auto"/>
              <w:jc w:val="center"/>
              <w:rPr>
                <w:rFonts w:ascii="宋体" w:hAnsi="宋体" w:cs="宋体"/>
                <w:kern w:val="0"/>
              </w:rPr>
            </w:pPr>
            <w:r>
              <w:rPr>
                <w:rFonts w:hint="eastAsia" w:ascii="宋体" w:hAnsi="宋体" w:cs="宋体"/>
                <w:kern w:val="0"/>
              </w:rPr>
              <w:t>份</w:t>
            </w:r>
          </w:p>
          <w:p>
            <w:pPr>
              <w:tabs>
                <w:tab w:val="left" w:pos="210"/>
              </w:tabs>
              <w:spacing w:line="360" w:lineRule="auto"/>
              <w:jc w:val="center"/>
              <w:rPr>
                <w:rFonts w:ascii="宋体" w:hAnsi="宋体" w:cs="宋体"/>
                <w:kern w:val="0"/>
              </w:rPr>
            </w:pPr>
            <w:r>
              <w:rPr>
                <w:rFonts w:hint="eastAsia" w:ascii="宋体" w:hAnsi="宋体" w:cs="宋体"/>
                <w:kern w:val="0"/>
              </w:rPr>
              <w:t>证</w:t>
            </w:r>
          </w:p>
          <w:p>
            <w:pPr>
              <w:tabs>
                <w:tab w:val="left" w:pos="210"/>
              </w:tabs>
              <w:spacing w:line="360" w:lineRule="auto"/>
              <w:jc w:val="center"/>
              <w:rPr>
                <w:rFonts w:ascii="宋体" w:hAnsi="宋体" w:cs="宋体"/>
                <w:kern w:val="0"/>
              </w:rPr>
            </w:pPr>
            <w:r>
              <w:rPr>
                <w:rFonts w:hint="eastAsia" w:ascii="宋体" w:hAnsi="宋体" w:cs="宋体"/>
                <w:kern w:val="0"/>
              </w:rPr>
              <w:t>复</w:t>
            </w:r>
          </w:p>
          <w:p>
            <w:pPr>
              <w:tabs>
                <w:tab w:val="left" w:pos="210"/>
              </w:tabs>
              <w:spacing w:line="360" w:lineRule="auto"/>
              <w:jc w:val="center"/>
              <w:rPr>
                <w:rFonts w:ascii="宋体" w:hAnsi="宋体" w:cs="宋体"/>
                <w:kern w:val="0"/>
              </w:rPr>
            </w:pPr>
            <w:r>
              <w:rPr>
                <w:rFonts w:hint="eastAsia" w:ascii="宋体" w:hAnsi="宋体" w:cs="宋体"/>
                <w:kern w:val="0"/>
              </w:rPr>
              <w:t>印</w:t>
            </w:r>
          </w:p>
          <w:p>
            <w:pPr>
              <w:tabs>
                <w:tab w:val="left" w:pos="210"/>
              </w:tabs>
              <w:spacing w:line="360" w:lineRule="auto"/>
              <w:jc w:val="center"/>
              <w:rPr>
                <w:rFonts w:ascii="宋体" w:hAnsi="宋体" w:cs="宋体"/>
                <w:kern w:val="0"/>
              </w:rPr>
            </w:pPr>
            <w:r>
              <w:rPr>
                <w:rFonts w:hint="eastAsia" w:ascii="宋体" w:hAnsi="宋体" w:cs="宋体"/>
                <w:kern w:val="0"/>
              </w:rPr>
              <w:t>件</w:t>
            </w:r>
          </w:p>
        </w:tc>
        <w:tc>
          <w:tcPr>
            <w:tcW w:w="4316" w:type="dxa"/>
            <w:gridSpan w:val="2"/>
            <w:vMerge w:val="restart"/>
            <w:vAlign w:val="center"/>
          </w:tcPr>
          <w:p>
            <w:pPr>
              <w:tabs>
                <w:tab w:val="left" w:pos="210"/>
              </w:tabs>
              <w:spacing w:line="360" w:lineRule="auto"/>
              <w:ind w:firstLine="420" w:firstLineChars="200"/>
              <w:jc w:val="left"/>
              <w:rPr>
                <w:rFonts w:ascii="宋体" w:hAnsi="宋体" w:cs="宋体"/>
                <w:kern w:val="0"/>
              </w:rPr>
            </w:pPr>
            <w:r>
              <w:rPr>
                <w:rFonts w:hint="eastAsia" w:ascii="宋体" w:hAnsi="宋体" w:cs="宋体"/>
                <w:kern w:val="0"/>
              </w:rPr>
              <w:t>（正反面）</w:t>
            </w:r>
          </w:p>
        </w:tc>
        <w:tc>
          <w:tcPr>
            <w:tcW w:w="4500" w:type="dxa"/>
            <w:gridSpan w:val="3"/>
            <w:vAlign w:val="center"/>
          </w:tcPr>
          <w:p>
            <w:pPr>
              <w:tabs>
                <w:tab w:val="left" w:pos="210"/>
              </w:tabs>
              <w:spacing w:line="360" w:lineRule="auto"/>
              <w:ind w:firstLine="420" w:firstLineChars="200"/>
              <w:jc w:val="left"/>
              <w:rPr>
                <w:rFonts w:ascii="宋体" w:hAnsi="宋体" w:cs="宋体"/>
                <w:kern w:val="0"/>
              </w:rPr>
            </w:pPr>
            <w:r>
              <w:rPr>
                <w:rFonts w:hint="eastAsia" w:ascii="宋体" w:hAnsi="宋体" w:cs="宋体"/>
                <w:kern w:val="0"/>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594" w:type="dxa"/>
            <w:vMerge w:val="continue"/>
            <w:vAlign w:val="center"/>
          </w:tcPr>
          <w:p>
            <w:pPr>
              <w:tabs>
                <w:tab w:val="left" w:pos="210"/>
              </w:tabs>
              <w:spacing w:line="360" w:lineRule="auto"/>
              <w:ind w:firstLine="420" w:firstLineChars="200"/>
              <w:jc w:val="left"/>
              <w:rPr>
                <w:rFonts w:ascii="宋体" w:hAnsi="宋体" w:cs="宋体"/>
                <w:kern w:val="0"/>
              </w:rPr>
            </w:pPr>
          </w:p>
        </w:tc>
        <w:tc>
          <w:tcPr>
            <w:tcW w:w="4316" w:type="dxa"/>
            <w:gridSpan w:val="2"/>
            <w:vMerge w:val="continue"/>
            <w:vAlign w:val="center"/>
          </w:tcPr>
          <w:p>
            <w:pPr>
              <w:tabs>
                <w:tab w:val="left" w:pos="210"/>
              </w:tabs>
              <w:spacing w:line="360" w:lineRule="auto"/>
              <w:ind w:firstLine="420" w:firstLineChars="200"/>
              <w:jc w:val="left"/>
              <w:rPr>
                <w:rFonts w:ascii="宋体" w:hAnsi="宋体" w:cs="宋体"/>
                <w:kern w:val="0"/>
              </w:rPr>
            </w:pPr>
          </w:p>
        </w:tc>
        <w:tc>
          <w:tcPr>
            <w:tcW w:w="4500" w:type="dxa"/>
            <w:gridSpan w:val="3"/>
            <w:vAlign w:val="bottom"/>
          </w:tcPr>
          <w:p>
            <w:pPr>
              <w:tabs>
                <w:tab w:val="left" w:pos="210"/>
              </w:tabs>
              <w:spacing w:line="360" w:lineRule="auto"/>
              <w:ind w:firstLine="420" w:firstLineChars="200"/>
              <w:jc w:val="left"/>
              <w:rPr>
                <w:rFonts w:ascii="宋体" w:hAnsi="宋体" w:cs="宋体"/>
                <w:kern w:val="0"/>
              </w:rPr>
            </w:pPr>
            <w:r>
              <w:rPr>
                <w:rFonts w:hint="eastAsia" w:ascii="宋体" w:hAnsi="宋体" w:cs="宋体"/>
                <w:kern w:val="0"/>
              </w:rPr>
              <w:t>（公章）</w:t>
            </w:r>
          </w:p>
          <w:p>
            <w:pPr>
              <w:tabs>
                <w:tab w:val="left" w:pos="210"/>
              </w:tabs>
              <w:spacing w:line="360" w:lineRule="auto"/>
              <w:jc w:val="left"/>
              <w:rPr>
                <w:rFonts w:ascii="宋体" w:hAnsi="宋体" w:cs="宋体"/>
                <w:kern w:val="0"/>
              </w:rPr>
            </w:pPr>
          </w:p>
          <w:p>
            <w:pPr>
              <w:tabs>
                <w:tab w:val="left" w:pos="210"/>
              </w:tabs>
              <w:spacing w:line="360" w:lineRule="auto"/>
              <w:jc w:val="left"/>
              <w:rPr>
                <w:rFonts w:ascii="宋体" w:hAnsi="宋体" w:cs="宋体"/>
                <w:kern w:val="0"/>
              </w:rPr>
            </w:pPr>
          </w:p>
          <w:p>
            <w:pPr>
              <w:tabs>
                <w:tab w:val="left" w:pos="210"/>
              </w:tabs>
              <w:spacing w:line="360" w:lineRule="auto"/>
              <w:jc w:val="left"/>
              <w:rPr>
                <w:rFonts w:ascii="宋体" w:hAnsi="宋体" w:cs="宋体"/>
                <w:kern w:val="0"/>
              </w:rPr>
            </w:pPr>
          </w:p>
          <w:p>
            <w:pPr>
              <w:adjustRightInd w:val="0"/>
              <w:snapToGrid w:val="0"/>
              <w:spacing w:line="480" w:lineRule="auto"/>
              <w:ind w:firstLine="480" w:firstLineChars="200"/>
              <w:jc w:val="right"/>
              <w:rPr>
                <w:rFonts w:ascii="宋体" w:hAnsi="宋体" w:cs="宋体"/>
                <w:kern w:val="0"/>
              </w:rPr>
            </w:pPr>
            <w:r>
              <w:rPr>
                <w:rFonts w:hint="eastAsia" w:ascii="宋体" w:hAnsi="宋体" w:cs="宋体"/>
                <w:sz w:val="24"/>
              </w:rPr>
              <w:t>_________年______月 _____日</w:t>
            </w:r>
          </w:p>
        </w:tc>
      </w:tr>
    </w:tbl>
    <w:p>
      <w:pPr>
        <w:pStyle w:val="16"/>
        <w:spacing w:line="500" w:lineRule="exact"/>
        <w:jc w:val="center"/>
        <w:rPr>
          <w:rFonts w:hAnsi="宋体" w:cs="宋体"/>
          <w:sz w:val="24"/>
          <w:szCs w:val="24"/>
        </w:rPr>
      </w:pPr>
      <w:r>
        <w:rPr>
          <w:rFonts w:hint="eastAsia" w:hAnsi="宋体" w:cs="宋体"/>
          <w:b/>
          <w:sz w:val="24"/>
          <w:szCs w:val="24"/>
        </w:rPr>
        <w:br w:type="page"/>
      </w:r>
      <w:r>
        <w:rPr>
          <w:rFonts w:hint="eastAsia" w:hAnsi="宋体" w:cs="宋体"/>
          <w:b/>
          <w:sz w:val="24"/>
          <w:szCs w:val="24"/>
        </w:rPr>
        <w:t>7-2法定代表人授权书（格式）</w:t>
      </w:r>
    </w:p>
    <w:p>
      <w:pPr>
        <w:pStyle w:val="16"/>
        <w:spacing w:line="500" w:lineRule="exact"/>
        <w:jc w:val="left"/>
        <w:rPr>
          <w:rFonts w:hAnsi="宋体" w:cs="宋体"/>
          <w:sz w:val="24"/>
          <w:szCs w:val="24"/>
        </w:rPr>
      </w:pPr>
      <w:r>
        <w:rPr>
          <w:rFonts w:hint="eastAsia" w:hAnsi="宋体" w:cs="宋体"/>
          <w:sz w:val="24"/>
          <w:szCs w:val="24"/>
        </w:rPr>
        <w:t>陕西卓佲项目管理有限公司：</w:t>
      </w:r>
    </w:p>
    <w:p>
      <w:pPr>
        <w:tabs>
          <w:tab w:val="left" w:pos="8820"/>
        </w:tabs>
        <w:spacing w:line="360" w:lineRule="auto"/>
        <w:ind w:firstLine="570"/>
        <w:rPr>
          <w:rFonts w:ascii="宋体" w:hAnsi="宋体" w:cs="宋体"/>
          <w:sz w:val="24"/>
          <w:u w:val="single"/>
        </w:rPr>
      </w:pPr>
      <w:r>
        <w:rPr>
          <w:rFonts w:hint="eastAsia" w:ascii="宋体" w:hAnsi="宋体" w:cs="宋体"/>
          <w:sz w:val="24"/>
        </w:rPr>
        <w:t>本授权委托书声明：我</w:t>
      </w:r>
      <w:r>
        <w:rPr>
          <w:rFonts w:hint="eastAsia" w:ascii="宋体" w:hAnsi="宋体" w:cs="宋体"/>
          <w:sz w:val="24"/>
          <w:u w:val="single"/>
        </w:rPr>
        <w:t xml:space="preserve">（法定代表人姓名）   </w:t>
      </w:r>
      <w:r>
        <w:rPr>
          <w:rFonts w:hint="eastAsia" w:ascii="宋体" w:hAnsi="宋体" w:cs="宋体"/>
          <w:sz w:val="24"/>
        </w:rPr>
        <w:t>系注册于</w:t>
      </w:r>
      <w:r>
        <w:rPr>
          <w:rFonts w:hint="eastAsia" w:ascii="宋体" w:hAnsi="宋体" w:cs="宋体"/>
          <w:sz w:val="24"/>
          <w:u w:val="single"/>
        </w:rPr>
        <w:t xml:space="preserve">  （供应商地址）     </w:t>
      </w:r>
      <w:r>
        <w:rPr>
          <w:rFonts w:hint="eastAsia" w:ascii="宋体" w:hAnsi="宋体" w:cs="宋体"/>
          <w:sz w:val="24"/>
        </w:rPr>
        <w:t>的</w:t>
      </w:r>
      <w:r>
        <w:rPr>
          <w:rFonts w:hint="eastAsia" w:ascii="宋体" w:hAnsi="宋体" w:cs="宋体"/>
          <w:sz w:val="24"/>
          <w:u w:val="single"/>
        </w:rPr>
        <w:t xml:space="preserve">（供应商名称）  </w:t>
      </w:r>
      <w:r>
        <w:rPr>
          <w:rFonts w:hint="eastAsia" w:ascii="宋体" w:hAnsi="宋体" w:cs="宋体"/>
          <w:sz w:val="24"/>
        </w:rPr>
        <w:t>的法定代表人，现代表公司授权</w:t>
      </w:r>
      <w:r>
        <w:rPr>
          <w:rFonts w:hint="eastAsia" w:ascii="宋体" w:hAnsi="宋体" w:cs="宋体"/>
          <w:sz w:val="24"/>
          <w:u w:val="single"/>
        </w:rPr>
        <w:t xml:space="preserve">（被授权人的姓名、职务）   </w:t>
      </w:r>
      <w:r>
        <w:rPr>
          <w:rFonts w:hint="eastAsia" w:ascii="宋体" w:hAnsi="宋体" w:cs="宋体"/>
          <w:sz w:val="24"/>
        </w:rPr>
        <w:t>为我公司合法代理人，代表本公司参加</w:t>
      </w:r>
      <w:r>
        <w:rPr>
          <w:rFonts w:hint="eastAsia" w:ascii="宋体" w:hAnsi="宋体" w:cs="宋体"/>
          <w:sz w:val="24"/>
          <w:u w:val="single"/>
        </w:rPr>
        <w:t xml:space="preserve">  （项目名称） （项目编号）</w:t>
      </w:r>
      <w:r>
        <w:rPr>
          <w:rFonts w:hint="eastAsia" w:ascii="宋体" w:hAnsi="宋体" w:cs="宋体"/>
          <w:sz w:val="24"/>
        </w:rPr>
        <w:t>的采购活动。以我方名义全权处理该项目有关招标、签订合同以及执行合同等一切事宜。</w:t>
      </w:r>
    </w:p>
    <w:p>
      <w:pPr>
        <w:spacing w:line="360" w:lineRule="auto"/>
        <w:ind w:firstLine="482" w:firstLineChars="200"/>
        <w:rPr>
          <w:rFonts w:ascii="宋体" w:hAnsi="宋体" w:cs="宋体"/>
          <w:b/>
          <w:bCs/>
          <w:sz w:val="24"/>
          <w:szCs w:val="24"/>
        </w:rPr>
      </w:pPr>
      <w:r>
        <w:rPr>
          <w:rFonts w:hint="eastAsia" w:ascii="宋体" w:hAnsi="宋体" w:cs="宋体"/>
          <w:b/>
          <w:bCs/>
          <w:sz w:val="24"/>
        </w:rPr>
        <w:t>本授权书自投标文件递交截止之日起生效，有效期与投标文件有效期一致，特此声明。</w:t>
      </w:r>
    </w:p>
    <w:p>
      <w:pPr>
        <w:pStyle w:val="16"/>
        <w:spacing w:line="500" w:lineRule="exact"/>
        <w:ind w:firstLine="480" w:firstLineChars="200"/>
        <w:jc w:val="left"/>
        <w:rPr>
          <w:rFonts w:hAnsi="宋体" w:cs="宋体"/>
          <w:sz w:val="24"/>
          <w:szCs w:val="24"/>
        </w:rPr>
      </w:pPr>
      <w:r>
        <w:rPr>
          <w:rFonts w:hint="eastAsia" w:hAnsi="宋体" w:cs="宋体"/>
          <w:sz w:val="24"/>
          <w:szCs w:val="24"/>
        </w:rPr>
        <w:t>供应商（单位名称及公章）：</w:t>
      </w:r>
      <w:r>
        <w:rPr>
          <w:rFonts w:hint="eastAsia" w:hAnsi="宋体" w:cs="宋体"/>
          <w:sz w:val="28"/>
          <w:szCs w:val="28"/>
        </w:rPr>
        <w:t>__________________</w:t>
      </w:r>
    </w:p>
    <w:p>
      <w:pPr>
        <w:pStyle w:val="16"/>
        <w:spacing w:line="500" w:lineRule="exact"/>
        <w:ind w:firstLine="480" w:firstLineChars="200"/>
        <w:jc w:val="left"/>
        <w:rPr>
          <w:rFonts w:hAnsi="宋体" w:cs="宋体"/>
          <w:sz w:val="24"/>
          <w:szCs w:val="24"/>
        </w:rPr>
      </w:pPr>
      <w:r>
        <w:rPr>
          <w:rFonts w:hint="eastAsia" w:hAnsi="宋体" w:cs="宋体"/>
          <w:sz w:val="24"/>
          <w:szCs w:val="24"/>
        </w:rPr>
        <w:t xml:space="preserve">法定代表人（签字或盖章）： </w:t>
      </w:r>
      <w:r>
        <w:rPr>
          <w:rFonts w:hint="eastAsia" w:hAnsi="宋体" w:cs="宋体"/>
          <w:sz w:val="28"/>
          <w:szCs w:val="28"/>
        </w:rPr>
        <w:t>__________________</w:t>
      </w:r>
    </w:p>
    <w:p>
      <w:pPr>
        <w:pStyle w:val="16"/>
        <w:spacing w:line="500" w:lineRule="exact"/>
        <w:ind w:firstLine="480" w:firstLineChars="200"/>
        <w:jc w:val="left"/>
        <w:rPr>
          <w:rFonts w:hAnsi="宋体" w:cs="宋体"/>
          <w:sz w:val="24"/>
          <w:szCs w:val="24"/>
          <w:u w:val="single"/>
        </w:rPr>
      </w:pPr>
      <w:r>
        <w:rPr>
          <w:rFonts w:hint="eastAsia" w:hAnsi="宋体" w:cs="宋体"/>
          <w:sz w:val="24"/>
          <w:szCs w:val="24"/>
        </w:rPr>
        <w:t>被授权人：</w:t>
      </w:r>
      <w:r>
        <w:rPr>
          <w:rFonts w:hint="eastAsia" w:hAnsi="宋体" w:cs="宋体"/>
          <w:sz w:val="28"/>
          <w:szCs w:val="28"/>
        </w:rPr>
        <w:t>_____________</w:t>
      </w:r>
      <w:r>
        <w:rPr>
          <w:rFonts w:hint="eastAsia" w:hAnsi="宋体" w:cs="宋体"/>
          <w:sz w:val="24"/>
          <w:szCs w:val="24"/>
        </w:rPr>
        <w:t>性别：</w:t>
      </w:r>
      <w:r>
        <w:rPr>
          <w:rFonts w:hint="eastAsia" w:hAnsi="宋体" w:cs="宋体"/>
          <w:sz w:val="28"/>
          <w:szCs w:val="28"/>
        </w:rPr>
        <w:t>____________</w:t>
      </w:r>
      <w:r>
        <w:rPr>
          <w:rFonts w:hint="eastAsia" w:hAnsi="宋体" w:cs="宋体"/>
          <w:sz w:val="24"/>
          <w:szCs w:val="24"/>
        </w:rPr>
        <w:t>职务：</w:t>
      </w:r>
      <w:r>
        <w:rPr>
          <w:rFonts w:hint="eastAsia" w:hAnsi="宋体" w:cs="宋体"/>
          <w:sz w:val="28"/>
          <w:szCs w:val="28"/>
        </w:rPr>
        <w:t>_________</w:t>
      </w:r>
    </w:p>
    <w:p>
      <w:pPr>
        <w:pStyle w:val="16"/>
        <w:spacing w:line="500" w:lineRule="exact"/>
        <w:ind w:firstLine="480" w:firstLineChars="200"/>
        <w:jc w:val="left"/>
        <w:rPr>
          <w:rFonts w:hAnsi="宋体" w:cs="宋体"/>
          <w:sz w:val="24"/>
          <w:szCs w:val="24"/>
          <w:u w:val="single"/>
        </w:rPr>
      </w:pPr>
      <w:r>
        <w:rPr>
          <w:rFonts w:hint="eastAsia" w:hAnsi="宋体" w:cs="宋体"/>
          <w:sz w:val="24"/>
          <w:szCs w:val="24"/>
        </w:rPr>
        <w:t xml:space="preserve">联系地址：  </w:t>
      </w:r>
      <w:r>
        <w:rPr>
          <w:rFonts w:hint="eastAsia" w:hAnsi="宋体" w:cs="宋体"/>
          <w:sz w:val="28"/>
          <w:szCs w:val="28"/>
        </w:rPr>
        <w:t>________________</w:t>
      </w:r>
    </w:p>
    <w:p>
      <w:pPr>
        <w:pStyle w:val="16"/>
        <w:spacing w:line="500" w:lineRule="exact"/>
        <w:ind w:firstLine="480" w:firstLineChars="200"/>
        <w:jc w:val="left"/>
        <w:rPr>
          <w:rFonts w:hAnsi="宋体" w:cs="宋体"/>
          <w:sz w:val="24"/>
          <w:szCs w:val="24"/>
          <w:u w:val="single"/>
        </w:rPr>
      </w:pPr>
      <w:r>
        <w:rPr>
          <w:rFonts w:hint="eastAsia" w:hAnsi="宋体" w:cs="宋体"/>
          <w:sz w:val="24"/>
          <w:szCs w:val="24"/>
        </w:rPr>
        <w:t>联系电话：</w:t>
      </w:r>
      <w:r>
        <w:rPr>
          <w:rFonts w:hint="eastAsia" w:hAnsi="宋体" w:cs="宋体"/>
          <w:sz w:val="28"/>
          <w:szCs w:val="28"/>
        </w:rPr>
        <w:t>________________</w:t>
      </w:r>
    </w:p>
    <w:p>
      <w:pPr>
        <w:pStyle w:val="16"/>
        <w:spacing w:line="500" w:lineRule="exact"/>
        <w:ind w:firstLine="480" w:firstLineChars="200"/>
        <w:jc w:val="left"/>
        <w:rPr>
          <w:rFonts w:hAnsi="宋体" w:cs="宋体"/>
          <w:sz w:val="24"/>
          <w:szCs w:val="24"/>
        </w:rPr>
      </w:pPr>
      <w:r>
        <w:rPr>
          <w:rFonts w:hint="eastAsia" w:hAnsi="宋体" w:cs="宋体"/>
          <w:sz w:val="24"/>
          <w:szCs w:val="24"/>
        </w:rPr>
        <w:t>法定代表人及被授权人身份证复印件/扫描件</w:t>
      </w:r>
    </w:p>
    <w:tbl>
      <w:tblPr>
        <w:tblStyle w:val="29"/>
        <w:tblW w:w="8940" w:type="dxa"/>
        <w:tblInd w:w="2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4"/>
        <w:gridCol w:w="4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6" w:hRule="atLeast"/>
        </w:trPr>
        <w:tc>
          <w:tcPr>
            <w:tcW w:w="4394" w:type="dxa"/>
            <w:shd w:val="clear" w:color="auto" w:fill="D9D9D9"/>
            <w:vAlign w:val="center"/>
          </w:tcPr>
          <w:p>
            <w:pPr>
              <w:pStyle w:val="16"/>
              <w:spacing w:line="500" w:lineRule="exact"/>
              <w:jc w:val="left"/>
              <w:rPr>
                <w:rFonts w:hAnsi="宋体" w:cs="宋体"/>
                <w:sz w:val="24"/>
                <w:szCs w:val="24"/>
                <w:shd w:val="pct10" w:color="auto" w:fill="FFFFFF"/>
              </w:rPr>
            </w:pPr>
            <w:r>
              <w:rPr>
                <w:rFonts w:hint="eastAsia" w:hAnsi="宋体" w:cs="宋体"/>
                <w:sz w:val="24"/>
                <w:szCs w:val="24"/>
                <w:shd w:val="pct10" w:color="auto" w:fill="FFFFFF"/>
              </w:rPr>
              <w:t>法定代表人身份证复印件（正反面）</w:t>
            </w:r>
          </w:p>
          <w:p>
            <w:pPr>
              <w:pStyle w:val="16"/>
              <w:spacing w:line="500" w:lineRule="exact"/>
              <w:jc w:val="left"/>
              <w:rPr>
                <w:rFonts w:hAnsi="宋体" w:cs="宋体"/>
                <w:sz w:val="24"/>
                <w:szCs w:val="24"/>
                <w:shd w:val="pct10" w:color="auto" w:fill="FFFFFF"/>
              </w:rPr>
            </w:pPr>
          </w:p>
        </w:tc>
        <w:tc>
          <w:tcPr>
            <w:tcW w:w="4546" w:type="dxa"/>
            <w:shd w:val="clear" w:color="auto" w:fill="D9D9D9"/>
            <w:vAlign w:val="center"/>
          </w:tcPr>
          <w:p>
            <w:pPr>
              <w:pStyle w:val="16"/>
              <w:spacing w:line="500" w:lineRule="exact"/>
              <w:ind w:firstLine="480" w:firstLineChars="200"/>
              <w:jc w:val="left"/>
              <w:rPr>
                <w:rFonts w:hAnsi="宋体" w:cs="宋体"/>
                <w:sz w:val="24"/>
                <w:szCs w:val="24"/>
                <w:shd w:val="pct10" w:color="auto" w:fill="FFFFFF"/>
              </w:rPr>
            </w:pPr>
            <w:r>
              <w:rPr>
                <w:rFonts w:hint="eastAsia" w:hAnsi="宋体" w:cs="宋体"/>
                <w:sz w:val="24"/>
                <w:szCs w:val="24"/>
                <w:shd w:val="pct10" w:color="auto" w:fill="FFFFFF"/>
              </w:rPr>
              <w:t>被授权人身份证复印件（正反面）</w:t>
            </w:r>
          </w:p>
          <w:p>
            <w:pPr>
              <w:pStyle w:val="16"/>
              <w:spacing w:line="500" w:lineRule="exact"/>
              <w:ind w:firstLine="480" w:firstLineChars="200"/>
              <w:jc w:val="left"/>
              <w:rPr>
                <w:rFonts w:hAnsi="宋体" w:cs="宋体"/>
                <w:sz w:val="24"/>
                <w:szCs w:val="24"/>
                <w:shd w:val="pct10" w:color="auto" w:fill="FFFFFF"/>
              </w:rPr>
            </w:pPr>
          </w:p>
        </w:tc>
      </w:tr>
    </w:tbl>
    <w:p>
      <w:pPr>
        <w:pStyle w:val="4"/>
        <w:spacing w:before="319" w:beforeLines="100" w:after="478" w:afterLines="150" w:line="500" w:lineRule="exact"/>
        <w:rPr>
          <w:rFonts w:ascii="宋体" w:hAnsi="宋体" w:cs="宋体"/>
          <w:sz w:val="36"/>
          <w:szCs w:val="36"/>
        </w:rPr>
        <w:sectPr>
          <w:pgSz w:w="11906" w:h="16838"/>
          <w:pgMar w:top="1440" w:right="1803" w:bottom="1440" w:left="1803" w:header="851" w:footer="992" w:gutter="0"/>
          <w:pgNumType w:fmt="decimal"/>
          <w:cols w:space="720" w:num="1"/>
          <w:docGrid w:type="lines" w:linePitch="319" w:charSpace="0"/>
        </w:sectPr>
      </w:pPr>
      <w:bookmarkStart w:id="220" w:name="_Toc9172"/>
      <w:bookmarkStart w:id="221" w:name="_Toc12851"/>
      <w:bookmarkStart w:id="222" w:name="_Toc1803"/>
    </w:p>
    <w:bookmarkEnd w:id="220"/>
    <w:bookmarkEnd w:id="221"/>
    <w:p>
      <w:pPr>
        <w:pStyle w:val="5"/>
        <w:numPr>
          <w:ilvl w:val="-1"/>
          <w:numId w:val="0"/>
        </w:numPr>
        <w:adjustRightInd w:val="0"/>
        <w:spacing w:line="416" w:lineRule="atLeast"/>
        <w:ind w:firstLine="0" w:firstLineChars="0"/>
        <w:jc w:val="both"/>
        <w:textAlignment w:val="baseline"/>
        <w:rPr>
          <w:rFonts w:hint="eastAsia" w:ascii="宋体" w:hAnsi="宋体" w:cs="宋体"/>
          <w:sz w:val="22"/>
          <w:szCs w:val="22"/>
          <w:lang w:val="en-US" w:eastAsia="zh-CN"/>
        </w:rPr>
      </w:pPr>
      <w:bookmarkStart w:id="223" w:name="_Toc23165"/>
      <w:bookmarkStart w:id="224" w:name="_Toc19138"/>
      <w:bookmarkStart w:id="225" w:name="_Toc18964"/>
      <w:r>
        <w:rPr>
          <w:rFonts w:hint="eastAsia" w:ascii="宋体" w:hAnsi="宋体" w:cs="宋体"/>
          <w:sz w:val="28"/>
          <w:szCs w:val="28"/>
          <w:lang w:val="en-US" w:eastAsia="zh-CN"/>
        </w:rPr>
        <w:t>8、合同包1、合同包3、合同包4为专门面向中小企业采购，供应商应出具中小企业声明函</w:t>
      </w:r>
    </w:p>
    <w:p>
      <w:pPr>
        <w:pStyle w:val="5"/>
        <w:numPr>
          <w:ilvl w:val="-1"/>
          <w:numId w:val="0"/>
        </w:numPr>
        <w:adjustRightInd w:val="0"/>
        <w:spacing w:line="416" w:lineRule="atLeast"/>
        <w:ind w:firstLine="0" w:firstLineChars="0"/>
        <w:jc w:val="center"/>
        <w:textAlignment w:val="baseline"/>
        <w:rPr>
          <w:rFonts w:ascii="宋体" w:hAnsi="宋体" w:cs="宋体"/>
        </w:rPr>
      </w:pPr>
      <w:r>
        <w:rPr>
          <w:rFonts w:hint="eastAsia" w:ascii="宋体" w:hAnsi="宋体" w:cs="宋体"/>
        </w:rPr>
        <w:t>中小企业申明（货物）</w:t>
      </w:r>
    </w:p>
    <w:p>
      <w:pPr>
        <w:spacing w:line="360" w:lineRule="auto"/>
        <w:ind w:right="140" w:firstLine="641"/>
        <w:rPr>
          <w:rFonts w:ascii="宋体" w:hAnsi="宋体" w:cs="宋体"/>
          <w:sz w:val="24"/>
          <w:szCs w:val="24"/>
        </w:rPr>
      </w:pPr>
      <w:r>
        <w:rPr>
          <w:rFonts w:hint="eastAsia" w:ascii="宋体" w:hAnsi="宋体" w:cs="宋体"/>
          <w:sz w:val="24"/>
          <w:szCs w:val="24"/>
        </w:rPr>
        <w:t>本公司（联合体）郑重声明，根据《政府采购促进中小企业发展管理办法》（财库﹝2020﹞46 号）的规定，本公司（联合体）参加</w:t>
      </w:r>
      <w:r>
        <w:rPr>
          <w:rFonts w:hint="eastAsia" w:ascii="宋体" w:hAnsi="宋体" w:cs="宋体"/>
          <w:sz w:val="24"/>
          <w:szCs w:val="24"/>
          <w:u w:val="single"/>
        </w:rPr>
        <w:t>（单位名称）</w:t>
      </w:r>
      <w:r>
        <w:rPr>
          <w:rFonts w:hint="eastAsia" w:ascii="宋体" w:hAnsi="宋体" w:cs="宋体"/>
          <w:sz w:val="24"/>
          <w:szCs w:val="24"/>
        </w:rPr>
        <w:t>的</w:t>
      </w:r>
      <w:r>
        <w:rPr>
          <w:rFonts w:hint="eastAsia" w:ascii="宋体" w:hAnsi="宋体" w:cs="宋体"/>
          <w:sz w:val="24"/>
          <w:szCs w:val="24"/>
          <w:u w:val="single"/>
        </w:rPr>
        <w:t>（项目名称）</w:t>
      </w:r>
      <w:r>
        <w:rPr>
          <w:rFonts w:hint="eastAsia" w:ascii="宋体" w:hAnsi="宋体" w:cs="宋体"/>
          <w:sz w:val="24"/>
          <w:szCs w:val="24"/>
        </w:rPr>
        <w:t>采购活动，提供的货物全部由符合政策要求的中小企业制造。相关企业（含联合体中的中小企业、签订分包意向协议的中小企业）的具体情况如下：</w:t>
      </w:r>
    </w:p>
    <w:p>
      <w:pPr>
        <w:pStyle w:val="14"/>
        <w:numPr>
          <w:ilvl w:val="0"/>
          <w:numId w:val="32"/>
        </w:numPr>
        <w:spacing w:line="360" w:lineRule="auto"/>
        <w:rPr>
          <w:rFonts w:ascii="宋体" w:hAnsi="宋体" w:cs="宋体"/>
          <w:color w:val="auto"/>
          <w:w w:val="97"/>
        </w:rPr>
      </w:pPr>
      <w:r>
        <w:rPr>
          <w:rFonts w:hint="eastAsia" w:ascii="宋体" w:hAnsi="宋体" w:cs="宋体"/>
          <w:color w:val="auto"/>
          <w:w w:val="97"/>
          <w:u w:val="single"/>
        </w:rPr>
        <w:t xml:space="preserve">    （标的名称）</w:t>
      </w:r>
      <w:r>
        <w:rPr>
          <w:rFonts w:hint="eastAsia" w:ascii="宋体" w:hAnsi="宋体" w:cs="宋体"/>
          <w:color w:val="auto"/>
          <w:w w:val="97"/>
        </w:rPr>
        <w:t xml:space="preserve"> ，属于</w:t>
      </w:r>
      <w:r>
        <w:rPr>
          <w:rFonts w:hint="eastAsia" w:ascii="宋体" w:hAnsi="宋体" w:cs="宋体"/>
          <w:color w:val="auto"/>
          <w:w w:val="97"/>
          <w:u w:val="single"/>
        </w:rPr>
        <w:t xml:space="preserve">                （采购文件中明确的所属行业）            </w:t>
      </w:r>
    </w:p>
    <w:p>
      <w:pPr>
        <w:spacing w:line="360" w:lineRule="auto"/>
        <w:rPr>
          <w:rFonts w:ascii="宋体" w:hAnsi="宋体" w:cs="宋体"/>
          <w:w w:val="97"/>
          <w:sz w:val="24"/>
          <w:szCs w:val="24"/>
          <w:u w:val="single"/>
        </w:rPr>
      </w:pPr>
      <w:r>
        <w:rPr>
          <w:rFonts w:hint="eastAsia" w:ascii="宋体" w:hAnsi="宋体" w:cs="宋体"/>
          <w:w w:val="97"/>
          <w:sz w:val="24"/>
          <w:szCs w:val="24"/>
          <w:u w:val="single"/>
        </w:rPr>
        <w:t>行业；</w:t>
      </w:r>
      <w:r>
        <w:rPr>
          <w:rFonts w:hint="eastAsia" w:ascii="宋体" w:hAnsi="宋体" w:cs="宋体"/>
          <w:w w:val="97"/>
          <w:sz w:val="24"/>
          <w:szCs w:val="24"/>
        </w:rPr>
        <w:t xml:space="preserve">制造商为 </w:t>
      </w:r>
      <w:r>
        <w:rPr>
          <w:rFonts w:hint="eastAsia" w:ascii="宋体" w:hAnsi="宋体" w:cs="宋体"/>
          <w:w w:val="97"/>
          <w:sz w:val="24"/>
          <w:szCs w:val="24"/>
          <w:u w:val="single"/>
        </w:rPr>
        <w:t>（企业名称）      ，</w:t>
      </w:r>
      <w:r>
        <w:rPr>
          <w:rFonts w:hint="eastAsia" w:ascii="宋体" w:hAnsi="宋体" w:cs="宋体"/>
          <w:w w:val="97"/>
          <w:sz w:val="24"/>
          <w:szCs w:val="24"/>
        </w:rPr>
        <w:t>从业人员</w:t>
      </w:r>
      <w:r>
        <w:rPr>
          <w:rFonts w:hint="eastAsia" w:ascii="宋体" w:hAnsi="宋体" w:cs="宋体"/>
          <w:w w:val="97"/>
          <w:sz w:val="24"/>
          <w:szCs w:val="24"/>
          <w:u w:val="single"/>
        </w:rPr>
        <w:t xml:space="preserve">      </w:t>
      </w:r>
      <w:r>
        <w:rPr>
          <w:rFonts w:hint="eastAsia" w:ascii="宋体" w:hAnsi="宋体" w:cs="宋体"/>
          <w:w w:val="97"/>
          <w:sz w:val="24"/>
          <w:szCs w:val="24"/>
        </w:rPr>
        <w:t>人，营业收入为</w:t>
      </w:r>
      <w:r>
        <w:rPr>
          <w:rFonts w:hint="eastAsia" w:ascii="宋体" w:hAnsi="宋体" w:cs="宋体"/>
          <w:w w:val="97"/>
          <w:sz w:val="24"/>
          <w:szCs w:val="24"/>
          <w:u w:val="single"/>
        </w:rPr>
        <w:t xml:space="preserve">   </w:t>
      </w:r>
      <w:r>
        <w:rPr>
          <w:rFonts w:hint="eastAsia" w:ascii="宋体" w:hAnsi="宋体" w:cs="宋体"/>
          <w:w w:val="97"/>
          <w:sz w:val="24"/>
          <w:szCs w:val="24"/>
        </w:rPr>
        <w:t>万元，资产总额为</w:t>
      </w:r>
      <w:r>
        <w:rPr>
          <w:rFonts w:hint="eastAsia" w:ascii="宋体" w:hAnsi="宋体" w:cs="宋体"/>
          <w:w w:val="97"/>
          <w:sz w:val="24"/>
          <w:szCs w:val="24"/>
          <w:u w:val="single"/>
        </w:rPr>
        <w:t xml:space="preserve">     </w:t>
      </w:r>
      <w:r>
        <w:rPr>
          <w:rFonts w:hint="eastAsia" w:ascii="宋体" w:hAnsi="宋体" w:cs="宋体"/>
          <w:w w:val="97"/>
          <w:sz w:val="24"/>
          <w:szCs w:val="24"/>
        </w:rPr>
        <w:t>万元</w:t>
      </w:r>
      <w:r>
        <w:rPr>
          <w:rFonts w:hint="eastAsia" w:ascii="宋体" w:hAnsi="宋体" w:cs="宋体"/>
          <w:w w:val="97"/>
          <w:sz w:val="24"/>
          <w:szCs w:val="24"/>
          <w:vertAlign w:val="superscript"/>
        </w:rPr>
        <w:t>1</w:t>
      </w:r>
      <w:r>
        <w:rPr>
          <w:rFonts w:hint="eastAsia" w:ascii="宋体" w:hAnsi="宋体" w:cs="宋体"/>
          <w:w w:val="97"/>
          <w:sz w:val="24"/>
          <w:szCs w:val="24"/>
        </w:rPr>
        <w:t>，属于</w:t>
      </w:r>
      <w:r>
        <w:rPr>
          <w:rFonts w:hint="eastAsia" w:ascii="宋体" w:hAnsi="宋体" w:cs="宋体"/>
          <w:w w:val="97"/>
          <w:sz w:val="24"/>
          <w:szCs w:val="24"/>
          <w:u w:val="single"/>
        </w:rPr>
        <w:t>（中型企业、小型企业、微型企业）；</w:t>
      </w:r>
    </w:p>
    <w:p>
      <w:pPr>
        <w:pStyle w:val="14"/>
        <w:numPr>
          <w:ilvl w:val="0"/>
          <w:numId w:val="32"/>
        </w:numPr>
        <w:spacing w:line="360" w:lineRule="auto"/>
        <w:rPr>
          <w:rFonts w:ascii="宋体" w:hAnsi="宋体" w:cs="宋体"/>
          <w:color w:val="auto"/>
          <w:w w:val="97"/>
        </w:rPr>
      </w:pPr>
      <w:r>
        <w:rPr>
          <w:rFonts w:hint="eastAsia" w:ascii="宋体" w:hAnsi="宋体" w:cs="宋体"/>
          <w:color w:val="auto"/>
          <w:w w:val="97"/>
          <w:u w:val="single"/>
        </w:rPr>
        <w:t xml:space="preserve">    （标的名称）</w:t>
      </w:r>
      <w:r>
        <w:rPr>
          <w:rFonts w:hint="eastAsia" w:ascii="宋体" w:hAnsi="宋体" w:cs="宋体"/>
          <w:color w:val="auto"/>
          <w:w w:val="97"/>
        </w:rPr>
        <w:t xml:space="preserve"> ，属于</w:t>
      </w:r>
      <w:r>
        <w:rPr>
          <w:rFonts w:hint="eastAsia" w:ascii="宋体" w:hAnsi="宋体" w:cs="宋体"/>
          <w:color w:val="auto"/>
          <w:w w:val="97"/>
          <w:u w:val="single"/>
        </w:rPr>
        <w:t xml:space="preserve">                （采购文件中明确的所属行业）            </w:t>
      </w:r>
    </w:p>
    <w:p>
      <w:pPr>
        <w:spacing w:line="360" w:lineRule="auto"/>
        <w:rPr>
          <w:rFonts w:ascii="宋体" w:hAnsi="宋体" w:cs="宋体"/>
          <w:w w:val="97"/>
          <w:sz w:val="24"/>
          <w:szCs w:val="24"/>
          <w:u w:val="single"/>
        </w:rPr>
      </w:pPr>
      <w:r>
        <w:rPr>
          <w:rFonts w:hint="eastAsia" w:ascii="宋体" w:hAnsi="宋体" w:cs="宋体"/>
          <w:w w:val="97"/>
          <w:sz w:val="24"/>
          <w:szCs w:val="24"/>
          <w:u w:val="single"/>
        </w:rPr>
        <w:t>行业；</w:t>
      </w:r>
      <w:r>
        <w:rPr>
          <w:rFonts w:hint="eastAsia" w:ascii="宋体" w:hAnsi="宋体" w:cs="宋体"/>
          <w:w w:val="97"/>
          <w:sz w:val="24"/>
          <w:szCs w:val="24"/>
        </w:rPr>
        <w:t xml:space="preserve">制造商为 </w:t>
      </w:r>
      <w:r>
        <w:rPr>
          <w:rFonts w:hint="eastAsia" w:ascii="宋体" w:hAnsi="宋体" w:cs="宋体"/>
          <w:w w:val="97"/>
          <w:sz w:val="24"/>
          <w:szCs w:val="24"/>
          <w:u w:val="single"/>
        </w:rPr>
        <w:t>（企业名称）      ，</w:t>
      </w:r>
      <w:r>
        <w:rPr>
          <w:rFonts w:hint="eastAsia" w:ascii="宋体" w:hAnsi="宋体" w:cs="宋体"/>
          <w:w w:val="97"/>
          <w:sz w:val="24"/>
          <w:szCs w:val="24"/>
        </w:rPr>
        <w:t>从业人员</w:t>
      </w:r>
      <w:r>
        <w:rPr>
          <w:rFonts w:hint="eastAsia" w:ascii="宋体" w:hAnsi="宋体" w:cs="宋体"/>
          <w:w w:val="97"/>
          <w:sz w:val="24"/>
          <w:szCs w:val="24"/>
          <w:u w:val="single"/>
        </w:rPr>
        <w:t xml:space="preserve">      </w:t>
      </w:r>
      <w:r>
        <w:rPr>
          <w:rFonts w:hint="eastAsia" w:ascii="宋体" w:hAnsi="宋体" w:cs="宋体"/>
          <w:w w:val="97"/>
          <w:sz w:val="24"/>
          <w:szCs w:val="24"/>
        </w:rPr>
        <w:t>人，营业收入为</w:t>
      </w:r>
      <w:r>
        <w:rPr>
          <w:rFonts w:hint="eastAsia" w:ascii="宋体" w:hAnsi="宋体" w:cs="宋体"/>
          <w:w w:val="97"/>
          <w:sz w:val="24"/>
          <w:szCs w:val="24"/>
          <w:u w:val="single"/>
        </w:rPr>
        <w:t xml:space="preserve">   </w:t>
      </w:r>
      <w:r>
        <w:rPr>
          <w:rFonts w:hint="eastAsia" w:ascii="宋体" w:hAnsi="宋体" w:cs="宋体"/>
          <w:w w:val="97"/>
          <w:sz w:val="24"/>
          <w:szCs w:val="24"/>
        </w:rPr>
        <w:t>万元，资产总额为</w:t>
      </w:r>
      <w:r>
        <w:rPr>
          <w:rFonts w:hint="eastAsia" w:ascii="宋体" w:hAnsi="宋体" w:cs="宋体"/>
          <w:w w:val="97"/>
          <w:sz w:val="24"/>
          <w:szCs w:val="24"/>
          <w:u w:val="single"/>
        </w:rPr>
        <w:t xml:space="preserve">     </w:t>
      </w:r>
      <w:r>
        <w:rPr>
          <w:rFonts w:hint="eastAsia" w:ascii="宋体" w:hAnsi="宋体" w:cs="宋体"/>
          <w:w w:val="97"/>
          <w:sz w:val="24"/>
          <w:szCs w:val="24"/>
        </w:rPr>
        <w:t>万元</w:t>
      </w:r>
      <w:r>
        <w:rPr>
          <w:rFonts w:hint="eastAsia" w:ascii="宋体" w:hAnsi="宋体" w:cs="宋体"/>
          <w:w w:val="97"/>
          <w:sz w:val="24"/>
          <w:szCs w:val="24"/>
          <w:vertAlign w:val="superscript"/>
        </w:rPr>
        <w:t>1</w:t>
      </w:r>
      <w:r>
        <w:rPr>
          <w:rFonts w:hint="eastAsia" w:ascii="宋体" w:hAnsi="宋体" w:cs="宋体"/>
          <w:w w:val="97"/>
          <w:sz w:val="24"/>
          <w:szCs w:val="24"/>
        </w:rPr>
        <w:t>，属于</w:t>
      </w:r>
      <w:r>
        <w:rPr>
          <w:rFonts w:hint="eastAsia" w:ascii="宋体" w:hAnsi="宋体" w:cs="宋体"/>
          <w:w w:val="97"/>
          <w:sz w:val="24"/>
          <w:szCs w:val="24"/>
          <w:u w:val="single"/>
        </w:rPr>
        <w:t>（中型企业、小型企业、微型企业）；</w:t>
      </w:r>
    </w:p>
    <w:p>
      <w:pPr>
        <w:spacing w:line="360" w:lineRule="auto"/>
        <w:ind w:left="640"/>
        <w:rPr>
          <w:rFonts w:ascii="宋体" w:hAnsi="宋体" w:cs="宋体"/>
          <w:sz w:val="24"/>
          <w:szCs w:val="24"/>
        </w:rPr>
      </w:pPr>
      <w:r>
        <w:rPr>
          <w:rFonts w:hint="eastAsia" w:ascii="宋体" w:hAnsi="宋体" w:cs="宋体"/>
          <w:sz w:val="24"/>
          <w:szCs w:val="24"/>
        </w:rPr>
        <w:t>……</w:t>
      </w:r>
    </w:p>
    <w:p>
      <w:pPr>
        <w:spacing w:line="360" w:lineRule="auto"/>
        <w:ind w:right="160" w:firstLine="646"/>
        <w:rPr>
          <w:rFonts w:ascii="宋体" w:hAnsi="宋体" w:cs="宋体"/>
          <w:sz w:val="24"/>
          <w:szCs w:val="24"/>
        </w:rPr>
      </w:pPr>
      <w:r>
        <w:rPr>
          <w:rFonts w:hint="eastAsia" w:ascii="宋体" w:hAnsi="宋体" w:cs="宋体"/>
          <w:sz w:val="24"/>
          <w:szCs w:val="24"/>
        </w:rPr>
        <w:t>以上企业，不属于大企业的分支机构，不存在控股股东为大企业的情形，也不存在与大企业的负责人为同一人的情形。</w:t>
      </w:r>
    </w:p>
    <w:p>
      <w:pPr>
        <w:spacing w:line="360" w:lineRule="auto"/>
        <w:rPr>
          <w:rFonts w:ascii="宋体" w:hAnsi="宋体" w:cs="宋体"/>
          <w:sz w:val="24"/>
          <w:szCs w:val="24"/>
        </w:rPr>
      </w:pPr>
    </w:p>
    <w:p>
      <w:pPr>
        <w:spacing w:line="360" w:lineRule="auto"/>
        <w:ind w:right="160" w:firstLine="646"/>
        <w:rPr>
          <w:rFonts w:ascii="宋体" w:hAnsi="宋体" w:cs="宋体"/>
          <w:sz w:val="24"/>
          <w:szCs w:val="24"/>
        </w:rPr>
      </w:pPr>
      <w:r>
        <w:rPr>
          <w:rFonts w:hint="eastAsia" w:ascii="宋体" w:hAnsi="宋体" w:cs="宋体"/>
          <w:sz w:val="24"/>
          <w:szCs w:val="24"/>
        </w:rPr>
        <w:t>本企业对上述声明内容的真实性负责。如有虚假，将依法承担相应责任。</w:t>
      </w:r>
    </w:p>
    <w:p>
      <w:pPr>
        <w:spacing w:line="360" w:lineRule="auto"/>
        <w:rPr>
          <w:rFonts w:ascii="宋体" w:hAnsi="宋体" w:cs="宋体"/>
          <w:sz w:val="24"/>
          <w:szCs w:val="24"/>
        </w:rPr>
      </w:pPr>
    </w:p>
    <w:p>
      <w:pPr>
        <w:spacing w:line="360" w:lineRule="auto"/>
        <w:ind w:left="3840" w:right="1900"/>
        <w:rPr>
          <w:rFonts w:ascii="宋体" w:hAnsi="宋体" w:cs="宋体"/>
          <w:sz w:val="24"/>
          <w:szCs w:val="24"/>
        </w:rPr>
      </w:pPr>
      <w:r>
        <w:rPr>
          <w:rFonts w:hint="eastAsia" w:ascii="宋体" w:hAnsi="宋体" w:cs="宋体"/>
          <w:sz w:val="24"/>
          <w:szCs w:val="24"/>
        </w:rPr>
        <w:t>企业名称（盖章）：日期：</w:t>
      </w:r>
    </w:p>
    <w:p>
      <w:pPr>
        <w:rPr>
          <w:rFonts w:ascii="宋体" w:hAnsi="宋体"/>
          <w:sz w:val="18"/>
        </w:rPr>
      </w:pPr>
      <w:r>
        <w:rPr>
          <w:rFonts w:ascii="仿宋" w:hAnsi="仿宋" w:eastAsia="仿宋"/>
          <w:sz w:val="32"/>
        </w:rPr>
        <w:drawing>
          <wp:anchor distT="0" distB="0" distL="114300" distR="114300" simplePos="0" relativeHeight="251673600" behindDoc="1" locked="0" layoutInCell="0" allowOverlap="1">
            <wp:simplePos x="0" y="0"/>
            <wp:positionH relativeFrom="column">
              <wp:posOffset>0</wp:posOffset>
            </wp:positionH>
            <wp:positionV relativeFrom="paragraph">
              <wp:posOffset>224790</wp:posOffset>
            </wp:positionV>
            <wp:extent cx="1828800" cy="12700"/>
            <wp:effectExtent l="0" t="0" r="0" b="0"/>
            <wp:wrapNone/>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44"/>
                    <a:stretch>
                      <a:fillRect/>
                    </a:stretch>
                  </pic:blipFill>
                  <pic:spPr>
                    <a:xfrm>
                      <a:off x="0" y="0"/>
                      <a:ext cx="1828800" cy="12700"/>
                    </a:xfrm>
                    <a:prstGeom prst="rect">
                      <a:avLst/>
                    </a:prstGeom>
                    <a:noFill/>
                    <a:ln>
                      <a:noFill/>
                    </a:ln>
                  </pic:spPr>
                </pic:pic>
              </a:graphicData>
            </a:graphic>
          </wp:anchor>
        </w:drawing>
      </w:r>
      <w:r>
        <w:rPr>
          <w:rFonts w:eastAsia="Times New Roman"/>
          <w:sz w:val="23"/>
          <w:vertAlign w:val="superscript"/>
        </w:rPr>
        <w:t>1</w:t>
      </w:r>
      <w:r>
        <w:rPr>
          <w:rFonts w:ascii="宋体" w:hAnsi="宋体"/>
          <w:sz w:val="18"/>
        </w:rPr>
        <w:t>从业人员、营业收入、资产总额填报上一年度数据，无上一年度数据的新成立企业可不填报。</w:t>
      </w:r>
    </w:p>
    <w:p>
      <w:pPr>
        <w:pStyle w:val="4"/>
        <w:keepNext w:val="0"/>
        <w:keepLines w:val="0"/>
        <w:widowControl/>
        <w:shd w:val="clear" w:color="auto" w:fill="FFFFFF"/>
        <w:spacing w:before="450" w:after="300" w:line="540" w:lineRule="atLeast"/>
        <w:jc w:val="both"/>
        <w:textAlignment w:val="baseline"/>
        <w:rPr>
          <w:rFonts w:ascii="微软雅黑" w:hAnsi="微软雅黑" w:eastAsia="微软雅黑" w:cs="微软雅黑"/>
          <w:color w:val="383940"/>
          <w:sz w:val="39"/>
          <w:szCs w:val="39"/>
          <w:shd w:val="clear" w:color="auto" w:fill="FFFFFF"/>
        </w:rPr>
        <w:sectPr>
          <w:footerReference r:id="rId21" w:type="default"/>
          <w:pgSz w:w="11906" w:h="16838"/>
          <w:pgMar w:top="1440" w:right="1803" w:bottom="1440" w:left="1803" w:header="851" w:footer="992" w:gutter="0"/>
          <w:pgNumType w:fmt="decimal"/>
          <w:cols w:space="720" w:num="1"/>
          <w:docGrid w:type="lines" w:linePitch="319" w:charSpace="0"/>
        </w:sectPr>
      </w:pPr>
    </w:p>
    <w:p>
      <w:pPr>
        <w:widowControl/>
        <w:spacing w:line="360" w:lineRule="auto"/>
        <w:ind w:left="840"/>
        <w:jc w:val="center"/>
        <w:rPr>
          <w:rFonts w:ascii="宋体" w:hAnsi="宋体" w:cs="宋体"/>
          <w:sz w:val="32"/>
          <w:szCs w:val="32"/>
        </w:rPr>
      </w:pPr>
      <w:r>
        <w:rPr>
          <w:rFonts w:hint="eastAsia" w:ascii="宋体" w:hAnsi="宋体" w:cs="宋体"/>
          <w:sz w:val="32"/>
          <w:szCs w:val="32"/>
          <w:lang w:val="en-US" w:eastAsia="zh-CN"/>
        </w:rPr>
        <w:t>9、</w:t>
      </w:r>
      <w:r>
        <w:rPr>
          <w:rFonts w:hint="eastAsia" w:ascii="宋体" w:hAnsi="宋体" w:cs="宋体"/>
          <w:sz w:val="32"/>
          <w:szCs w:val="32"/>
        </w:rPr>
        <w:t>本项目不接受联合体</w:t>
      </w:r>
    </w:p>
    <w:p>
      <w:pPr>
        <w:pStyle w:val="9"/>
        <w:ind w:left="420" w:leftChars="200" w:firstLine="0"/>
        <w:rPr>
          <w:rFonts w:ascii="宋体" w:hAnsi="宋体" w:cs="宋体"/>
        </w:rPr>
      </w:pPr>
    </w:p>
    <w:p>
      <w:pPr>
        <w:pStyle w:val="10"/>
        <w:rPr>
          <w:rFonts w:ascii="宋体" w:hAnsi="宋体" w:cs="宋体"/>
        </w:rPr>
      </w:pPr>
    </w:p>
    <w:p>
      <w:pPr>
        <w:widowControl/>
        <w:snapToGrid w:val="0"/>
        <w:spacing w:line="480" w:lineRule="auto"/>
        <w:jc w:val="left"/>
        <w:rPr>
          <w:rFonts w:ascii="宋体" w:hAnsi="宋体" w:cs="宋体"/>
          <w:kern w:val="0"/>
          <w:sz w:val="24"/>
          <w:szCs w:val="24"/>
        </w:rPr>
      </w:pPr>
      <w:r>
        <w:rPr>
          <w:rFonts w:hint="eastAsia" w:ascii="宋体" w:hAnsi="宋体" w:cs="宋体"/>
          <w:kern w:val="0"/>
          <w:sz w:val="24"/>
          <w:szCs w:val="24"/>
        </w:rPr>
        <w:t>(采购人名称）_______________________：</w:t>
      </w:r>
    </w:p>
    <w:p>
      <w:pPr>
        <w:widowControl/>
        <w:spacing w:line="360" w:lineRule="auto"/>
        <w:ind w:firstLine="480"/>
        <w:rPr>
          <w:rFonts w:ascii="宋体" w:hAnsi="宋体" w:cs="宋体"/>
          <w:kern w:val="0"/>
          <w:sz w:val="24"/>
          <w:szCs w:val="24"/>
        </w:rPr>
      </w:pPr>
      <w:r>
        <w:rPr>
          <w:rFonts w:hint="eastAsia" w:ascii="宋体" w:hAnsi="宋体" w:cs="宋体"/>
          <w:kern w:val="0"/>
          <w:sz w:val="24"/>
          <w:szCs w:val="24"/>
        </w:rPr>
        <w:t>我单位参与陕西卓佲项目管理有限公司组织的____________________(项目名称)，我单位郑重声明：我方非联合体，如有虚假，承担相应责任。</w:t>
      </w:r>
    </w:p>
    <w:p>
      <w:pPr>
        <w:widowControl/>
        <w:spacing w:line="360" w:lineRule="auto"/>
        <w:ind w:firstLine="480"/>
        <w:rPr>
          <w:rFonts w:ascii="宋体" w:hAnsi="宋体" w:cs="宋体"/>
          <w:kern w:val="0"/>
          <w:sz w:val="24"/>
          <w:szCs w:val="24"/>
        </w:rPr>
      </w:pPr>
      <w:r>
        <w:rPr>
          <w:rFonts w:hint="eastAsia" w:ascii="宋体" w:hAnsi="宋体" w:cs="宋体"/>
          <w:kern w:val="0"/>
          <w:sz w:val="24"/>
          <w:szCs w:val="24"/>
        </w:rPr>
        <w:t>特此声明！</w:t>
      </w:r>
    </w:p>
    <w:p>
      <w:pPr>
        <w:rPr>
          <w:rFonts w:ascii="宋体" w:hAnsi="宋体" w:cs="宋体"/>
        </w:rPr>
      </w:pPr>
    </w:p>
    <w:p>
      <w:pPr>
        <w:pStyle w:val="9"/>
        <w:rPr>
          <w:rFonts w:ascii="宋体" w:hAnsi="宋体" w:cs="宋体"/>
          <w:sz w:val="24"/>
          <w:szCs w:val="24"/>
        </w:rPr>
      </w:pPr>
    </w:p>
    <w:p>
      <w:pPr>
        <w:pStyle w:val="9"/>
        <w:rPr>
          <w:rFonts w:ascii="宋体" w:hAnsi="宋体" w:cs="宋体"/>
          <w:sz w:val="24"/>
          <w:szCs w:val="24"/>
        </w:rPr>
      </w:pPr>
    </w:p>
    <w:p>
      <w:pPr>
        <w:pStyle w:val="9"/>
        <w:rPr>
          <w:rFonts w:ascii="宋体" w:hAnsi="宋体" w:cs="宋体"/>
          <w:sz w:val="24"/>
          <w:szCs w:val="24"/>
        </w:rPr>
      </w:pPr>
    </w:p>
    <w:p>
      <w:pPr>
        <w:pStyle w:val="9"/>
        <w:rPr>
          <w:rFonts w:ascii="宋体" w:hAnsi="宋体" w:cs="宋体"/>
          <w:sz w:val="24"/>
          <w:szCs w:val="24"/>
        </w:rPr>
      </w:pPr>
    </w:p>
    <w:p>
      <w:pPr>
        <w:pStyle w:val="9"/>
        <w:rPr>
          <w:rFonts w:ascii="宋体" w:hAnsi="宋体" w:cs="宋体"/>
          <w:sz w:val="24"/>
          <w:szCs w:val="24"/>
        </w:rPr>
      </w:pPr>
    </w:p>
    <w:p>
      <w:pPr>
        <w:pStyle w:val="9"/>
        <w:rPr>
          <w:rFonts w:ascii="宋体" w:hAnsi="宋体" w:cs="宋体"/>
          <w:sz w:val="24"/>
          <w:szCs w:val="24"/>
        </w:rPr>
      </w:pPr>
    </w:p>
    <w:p>
      <w:pPr>
        <w:pStyle w:val="16"/>
        <w:spacing w:line="480" w:lineRule="auto"/>
        <w:jc w:val="left"/>
        <w:rPr>
          <w:rFonts w:hAnsi="宋体" w:cs="宋体"/>
          <w:sz w:val="24"/>
        </w:rPr>
      </w:pPr>
      <w:r>
        <w:rPr>
          <w:rFonts w:hint="eastAsia" w:hAnsi="宋体" w:cs="宋体"/>
          <w:sz w:val="24"/>
        </w:rPr>
        <w:t>供应商（单位名称及公章）：</w:t>
      </w:r>
      <w:r>
        <w:rPr>
          <w:rFonts w:hint="eastAsia" w:hAnsi="宋体" w:cs="宋体"/>
          <w:sz w:val="28"/>
          <w:szCs w:val="28"/>
        </w:rPr>
        <w:t>______________________</w:t>
      </w:r>
    </w:p>
    <w:p>
      <w:pPr>
        <w:pStyle w:val="16"/>
        <w:spacing w:line="480" w:lineRule="auto"/>
        <w:jc w:val="left"/>
        <w:rPr>
          <w:rFonts w:hAnsi="宋体" w:cs="宋体"/>
          <w:sz w:val="24"/>
        </w:rPr>
      </w:pPr>
      <w:r>
        <w:rPr>
          <w:rFonts w:hint="eastAsia" w:hAnsi="宋体" w:cs="宋体"/>
          <w:sz w:val="24"/>
        </w:rPr>
        <w:t>法定代表人或被授权人（签字或盖章）：</w:t>
      </w:r>
      <w:r>
        <w:rPr>
          <w:rFonts w:hint="eastAsia" w:hAnsi="宋体" w:cs="宋体"/>
          <w:sz w:val="28"/>
          <w:szCs w:val="28"/>
        </w:rPr>
        <w:t>______________________</w:t>
      </w:r>
    </w:p>
    <w:p>
      <w:pPr>
        <w:adjustRightInd w:val="0"/>
        <w:snapToGrid w:val="0"/>
        <w:spacing w:line="480" w:lineRule="auto"/>
        <w:rPr>
          <w:rFonts w:ascii="宋体" w:hAnsi="宋体" w:cs="宋体"/>
          <w:sz w:val="24"/>
          <w:szCs w:val="24"/>
        </w:rPr>
      </w:pPr>
      <w:r>
        <w:rPr>
          <w:rFonts w:hint="eastAsia" w:ascii="宋体" w:hAnsi="宋体" w:cs="宋体"/>
          <w:kern w:val="0"/>
          <w:sz w:val="24"/>
        </w:rPr>
        <w:t>日    期：</w:t>
      </w:r>
      <w:r>
        <w:rPr>
          <w:rFonts w:hint="eastAsia" w:ascii="宋体" w:hAnsi="宋体" w:cs="宋体"/>
          <w:sz w:val="28"/>
          <w:szCs w:val="28"/>
        </w:rPr>
        <w:t>______________________</w:t>
      </w:r>
    </w:p>
    <w:p>
      <w:pPr>
        <w:pStyle w:val="4"/>
        <w:tabs>
          <w:tab w:val="left" w:pos="2096"/>
          <w:tab w:val="center" w:pos="5024"/>
        </w:tabs>
        <w:spacing w:before="319" w:beforeLines="100" w:after="478" w:afterLines="150" w:line="500" w:lineRule="exact"/>
        <w:ind w:firstLine="1084" w:firstLineChars="300"/>
        <w:rPr>
          <w:rFonts w:ascii="宋体" w:hAnsi="宋体" w:cs="宋体"/>
          <w:sz w:val="36"/>
          <w:szCs w:val="36"/>
        </w:rPr>
        <w:sectPr>
          <w:headerReference r:id="rId22" w:type="default"/>
          <w:pgSz w:w="11906" w:h="16838"/>
          <w:pgMar w:top="1440" w:right="1803" w:bottom="1440" w:left="1803" w:header="851" w:footer="992" w:gutter="0"/>
          <w:pgNumType w:fmt="decimal"/>
          <w:cols w:space="720" w:num="1"/>
          <w:docGrid w:type="lines" w:linePitch="319" w:charSpace="0"/>
        </w:sectPr>
      </w:pPr>
    </w:p>
    <w:p>
      <w:pPr>
        <w:pStyle w:val="9"/>
        <w:ind w:firstLine="0"/>
        <w:rPr>
          <w:rFonts w:ascii="宋体" w:hAnsi="宋体" w:cs="宋体"/>
          <w:kern w:val="0"/>
          <w:sz w:val="24"/>
          <w:u w:val="single"/>
        </w:rPr>
      </w:pPr>
    </w:p>
    <w:p>
      <w:pPr>
        <w:pStyle w:val="4"/>
        <w:tabs>
          <w:tab w:val="left" w:pos="2096"/>
          <w:tab w:val="center" w:pos="5024"/>
        </w:tabs>
        <w:spacing w:before="319" w:beforeLines="100" w:after="478" w:afterLines="150" w:line="500" w:lineRule="exact"/>
        <w:jc w:val="center"/>
        <w:rPr>
          <w:rFonts w:ascii="宋体" w:hAnsi="宋体" w:cs="宋体"/>
          <w:sz w:val="36"/>
          <w:szCs w:val="36"/>
        </w:rPr>
      </w:pPr>
      <w:bookmarkStart w:id="226" w:name="_Toc23526"/>
      <w:bookmarkStart w:id="227" w:name="_Toc2495"/>
      <w:r>
        <w:rPr>
          <w:rFonts w:hint="eastAsia" w:ascii="宋体" w:hAnsi="宋体" w:cs="宋体"/>
          <w:sz w:val="36"/>
          <w:szCs w:val="36"/>
        </w:rPr>
        <w:t xml:space="preserve">第五部分 </w:t>
      </w:r>
      <w:bookmarkEnd w:id="223"/>
      <w:bookmarkEnd w:id="224"/>
      <w:bookmarkEnd w:id="225"/>
      <w:r>
        <w:rPr>
          <w:rFonts w:hint="eastAsia" w:ascii="宋体" w:hAnsi="宋体" w:cs="宋体"/>
          <w:sz w:val="36"/>
          <w:szCs w:val="36"/>
        </w:rPr>
        <w:t>技术与服务方案</w:t>
      </w:r>
      <w:bookmarkEnd w:id="226"/>
      <w:bookmarkEnd w:id="227"/>
    </w:p>
    <w:p>
      <w:pPr>
        <w:rPr>
          <w:rFonts w:ascii="宋体" w:hAnsi="宋体" w:cs="宋体"/>
          <w:b/>
          <w:bCs/>
          <w:sz w:val="20"/>
          <w:szCs w:val="20"/>
        </w:rPr>
      </w:pPr>
      <w:r>
        <w:rPr>
          <w:rFonts w:hint="eastAsia" w:ascii="宋体" w:hAnsi="宋体" w:cs="宋体"/>
          <w:b/>
          <w:bCs/>
          <w:sz w:val="24"/>
          <w:szCs w:val="24"/>
        </w:rPr>
        <w:t>由供应商自行编写，无具体格式。</w:t>
      </w: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adjustRightInd w:val="0"/>
        <w:snapToGrid w:val="0"/>
        <w:spacing w:line="480" w:lineRule="auto"/>
        <w:rPr>
          <w:rFonts w:ascii="宋体" w:hAnsi="宋体" w:cs="宋体"/>
        </w:rPr>
        <w:sectPr>
          <w:pgSz w:w="11906" w:h="16838"/>
          <w:pgMar w:top="1440" w:right="1803" w:bottom="1440" w:left="1803" w:header="851" w:footer="992" w:gutter="0"/>
          <w:pgNumType w:fmt="decimal"/>
          <w:cols w:space="720" w:num="1"/>
          <w:docGrid w:type="lines" w:linePitch="319" w:charSpace="0"/>
        </w:sectPr>
      </w:pPr>
    </w:p>
    <w:bookmarkEnd w:id="222"/>
    <w:p>
      <w:pPr>
        <w:pStyle w:val="4"/>
        <w:spacing w:before="319" w:beforeLines="100" w:after="478" w:afterLines="150" w:line="500" w:lineRule="exact"/>
        <w:jc w:val="center"/>
        <w:rPr>
          <w:rFonts w:ascii="宋体" w:hAnsi="宋体" w:cs="宋体"/>
          <w:sz w:val="36"/>
          <w:szCs w:val="36"/>
        </w:rPr>
      </w:pPr>
      <w:bookmarkStart w:id="228" w:name="_Toc26563"/>
      <w:bookmarkStart w:id="229" w:name="_Toc27522"/>
      <w:bookmarkStart w:id="230" w:name="_Toc16328"/>
      <w:bookmarkStart w:id="231" w:name="_Toc7311"/>
      <w:bookmarkStart w:id="232" w:name="_Toc14408"/>
      <w:bookmarkStart w:id="233" w:name="_Toc10667"/>
      <w:r>
        <w:rPr>
          <w:rFonts w:hint="eastAsia" w:ascii="宋体" w:hAnsi="宋体" w:cs="宋体"/>
          <w:sz w:val="36"/>
          <w:szCs w:val="36"/>
        </w:rPr>
        <w:t xml:space="preserve">第六部分  </w:t>
      </w:r>
      <w:bookmarkEnd w:id="228"/>
      <w:bookmarkEnd w:id="229"/>
      <w:bookmarkEnd w:id="230"/>
      <w:bookmarkStart w:id="234" w:name="_Toc21288"/>
      <w:bookmarkEnd w:id="234"/>
      <w:r>
        <w:rPr>
          <w:rFonts w:hint="eastAsia" w:ascii="宋体" w:hAnsi="宋体" w:cs="宋体"/>
          <w:sz w:val="36"/>
          <w:szCs w:val="36"/>
        </w:rPr>
        <w:t>服务承诺</w:t>
      </w:r>
      <w:bookmarkEnd w:id="231"/>
      <w:bookmarkEnd w:id="232"/>
    </w:p>
    <w:p>
      <w:pPr>
        <w:spacing w:line="360" w:lineRule="auto"/>
        <w:jc w:val="left"/>
        <w:rPr>
          <w:rFonts w:ascii="宋体" w:hAnsi="宋体" w:cs="宋体"/>
          <w:b/>
          <w:bCs/>
          <w:sz w:val="24"/>
          <w:szCs w:val="24"/>
        </w:rPr>
      </w:pPr>
      <w:r>
        <w:rPr>
          <w:rFonts w:hint="eastAsia" w:ascii="宋体" w:hAnsi="宋体" w:cs="宋体"/>
          <w:b/>
          <w:bCs/>
          <w:sz w:val="24"/>
          <w:szCs w:val="24"/>
        </w:rPr>
        <w:t>服务承诺由供应商自行编写，无具体格式。</w:t>
      </w:r>
    </w:p>
    <w:p>
      <w:pPr>
        <w:pStyle w:val="4"/>
        <w:jc w:val="center"/>
        <w:rPr>
          <w:rFonts w:ascii="宋体" w:hAnsi="宋体" w:cs="宋体"/>
          <w:sz w:val="36"/>
          <w:szCs w:val="36"/>
        </w:rPr>
      </w:pPr>
      <w:bookmarkStart w:id="235" w:name="_Toc3945"/>
      <w:r>
        <w:rPr>
          <w:rFonts w:hint="eastAsia" w:ascii="宋体" w:hAnsi="宋体" w:cs="宋体"/>
          <w:sz w:val="36"/>
          <w:szCs w:val="36"/>
        </w:rPr>
        <w:br w:type="page"/>
      </w:r>
      <w:bookmarkStart w:id="236" w:name="_Toc25440"/>
      <w:bookmarkStart w:id="237" w:name="_Toc2785"/>
      <w:bookmarkStart w:id="238" w:name="_Toc2376"/>
      <w:r>
        <w:rPr>
          <w:rFonts w:hint="eastAsia" w:ascii="宋体" w:hAnsi="宋体" w:cs="宋体"/>
          <w:sz w:val="36"/>
          <w:szCs w:val="36"/>
        </w:rPr>
        <w:t>第七部分  业绩一览表</w:t>
      </w:r>
      <w:bookmarkEnd w:id="235"/>
      <w:bookmarkEnd w:id="236"/>
      <w:bookmarkEnd w:id="237"/>
      <w:bookmarkEnd w:id="238"/>
    </w:p>
    <w:tbl>
      <w:tblPr>
        <w:tblStyle w:val="29"/>
        <w:tblW w:w="809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801"/>
        <w:gridCol w:w="1602"/>
        <w:gridCol w:w="1468"/>
        <w:gridCol w:w="1485"/>
        <w:gridCol w:w="1577"/>
        <w:gridCol w:w="11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835" w:hRule="atLeast"/>
          <w:jc w:val="center"/>
        </w:trPr>
        <w:tc>
          <w:tcPr>
            <w:tcW w:w="801" w:type="dxa"/>
            <w:tcBorders>
              <w:top w:val="single" w:color="auto" w:sz="4" w:space="0"/>
            </w:tcBorders>
            <w:vAlign w:val="center"/>
          </w:tcPr>
          <w:p>
            <w:pPr>
              <w:spacing w:line="400" w:lineRule="exact"/>
              <w:rPr>
                <w:rFonts w:ascii="宋体" w:hAnsi="宋体" w:cs="宋体"/>
              </w:rPr>
            </w:pPr>
            <w:r>
              <w:rPr>
                <w:rFonts w:hint="eastAsia" w:ascii="宋体" w:hAnsi="宋体" w:cs="宋体"/>
              </w:rPr>
              <w:t>年份</w:t>
            </w:r>
          </w:p>
        </w:tc>
        <w:tc>
          <w:tcPr>
            <w:tcW w:w="1602" w:type="dxa"/>
            <w:tcBorders>
              <w:top w:val="single" w:color="auto" w:sz="4" w:space="0"/>
            </w:tcBorders>
            <w:vAlign w:val="center"/>
          </w:tcPr>
          <w:p>
            <w:pPr>
              <w:spacing w:line="400" w:lineRule="exact"/>
              <w:jc w:val="center"/>
              <w:rPr>
                <w:rFonts w:ascii="宋体" w:hAnsi="宋体" w:cs="宋体"/>
              </w:rPr>
            </w:pPr>
            <w:r>
              <w:rPr>
                <w:rFonts w:hint="eastAsia" w:ascii="宋体" w:hAnsi="宋体" w:cs="宋体"/>
              </w:rPr>
              <w:t>用户名称</w:t>
            </w:r>
          </w:p>
        </w:tc>
        <w:tc>
          <w:tcPr>
            <w:tcW w:w="1468" w:type="dxa"/>
            <w:tcBorders>
              <w:top w:val="single" w:color="auto" w:sz="4" w:space="0"/>
            </w:tcBorders>
            <w:vAlign w:val="center"/>
          </w:tcPr>
          <w:p>
            <w:pPr>
              <w:spacing w:line="400" w:lineRule="exact"/>
              <w:jc w:val="center"/>
              <w:rPr>
                <w:rFonts w:ascii="宋体" w:hAnsi="宋体" w:cs="宋体"/>
              </w:rPr>
            </w:pPr>
            <w:r>
              <w:rPr>
                <w:rFonts w:hint="eastAsia" w:ascii="宋体" w:hAnsi="宋体" w:cs="宋体"/>
              </w:rPr>
              <w:t>项目名称</w:t>
            </w:r>
          </w:p>
        </w:tc>
        <w:tc>
          <w:tcPr>
            <w:tcW w:w="1485" w:type="dxa"/>
            <w:tcBorders>
              <w:top w:val="single" w:color="auto" w:sz="4" w:space="0"/>
            </w:tcBorders>
            <w:vAlign w:val="center"/>
          </w:tcPr>
          <w:p>
            <w:pPr>
              <w:spacing w:line="400" w:lineRule="exact"/>
              <w:jc w:val="center"/>
              <w:rPr>
                <w:rFonts w:hint="eastAsia" w:ascii="宋体" w:hAnsi="宋体" w:eastAsia="宋体" w:cs="宋体"/>
                <w:lang w:eastAsia="zh-CN"/>
              </w:rPr>
            </w:pPr>
            <w:r>
              <w:rPr>
                <w:rFonts w:hint="eastAsia" w:ascii="宋体" w:hAnsi="宋体" w:cs="宋体"/>
                <w:lang w:eastAsia="zh-CN"/>
              </w:rPr>
              <w:t>合同签订时间</w:t>
            </w:r>
          </w:p>
        </w:tc>
        <w:tc>
          <w:tcPr>
            <w:tcW w:w="1577" w:type="dxa"/>
            <w:tcBorders>
              <w:top w:val="single" w:color="auto" w:sz="4" w:space="0"/>
            </w:tcBorders>
            <w:vAlign w:val="center"/>
          </w:tcPr>
          <w:p>
            <w:pPr>
              <w:spacing w:line="400" w:lineRule="exact"/>
              <w:ind w:firstLine="105" w:firstLineChars="50"/>
              <w:rPr>
                <w:rFonts w:ascii="宋体" w:hAnsi="宋体" w:cs="宋体"/>
              </w:rPr>
            </w:pPr>
            <w:r>
              <w:rPr>
                <w:rFonts w:hint="eastAsia" w:ascii="宋体" w:hAnsi="宋体" w:cs="宋体"/>
              </w:rPr>
              <w:t>合同金额</w:t>
            </w:r>
          </w:p>
        </w:tc>
        <w:tc>
          <w:tcPr>
            <w:tcW w:w="1163" w:type="dxa"/>
            <w:tcBorders>
              <w:top w:val="single" w:color="auto" w:sz="4" w:space="0"/>
              <w:left w:val="single" w:color="auto" w:sz="4" w:space="0"/>
            </w:tcBorders>
            <w:vAlign w:val="center"/>
          </w:tcPr>
          <w:p>
            <w:pPr>
              <w:spacing w:line="400" w:lineRule="exact"/>
              <w:rPr>
                <w:rFonts w:ascii="宋体" w:hAnsi="宋体" w:cs="宋体"/>
              </w:rPr>
            </w:pPr>
            <w:r>
              <w:rPr>
                <w:rFonts w:hint="eastAsia" w:ascii="宋体" w:hAnsi="宋体" w:cs="宋体"/>
              </w:rPr>
              <w:t xml:space="preserve">  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34" w:hRule="atLeast"/>
          <w:jc w:val="center"/>
        </w:trPr>
        <w:tc>
          <w:tcPr>
            <w:tcW w:w="801" w:type="dxa"/>
            <w:vAlign w:val="center"/>
          </w:tcPr>
          <w:p>
            <w:pPr>
              <w:spacing w:line="400" w:lineRule="exact"/>
              <w:jc w:val="center"/>
              <w:rPr>
                <w:rFonts w:ascii="宋体" w:hAnsi="宋体" w:cs="宋体"/>
              </w:rPr>
            </w:pPr>
          </w:p>
        </w:tc>
        <w:tc>
          <w:tcPr>
            <w:tcW w:w="1602" w:type="dxa"/>
            <w:vAlign w:val="center"/>
          </w:tcPr>
          <w:p>
            <w:pPr>
              <w:spacing w:line="400" w:lineRule="exact"/>
              <w:jc w:val="center"/>
              <w:rPr>
                <w:rFonts w:ascii="宋体" w:hAnsi="宋体" w:cs="宋体"/>
              </w:rPr>
            </w:pPr>
          </w:p>
        </w:tc>
        <w:tc>
          <w:tcPr>
            <w:tcW w:w="1468" w:type="dxa"/>
            <w:vAlign w:val="center"/>
          </w:tcPr>
          <w:p>
            <w:pPr>
              <w:spacing w:line="400" w:lineRule="exact"/>
              <w:jc w:val="center"/>
              <w:rPr>
                <w:rFonts w:ascii="宋体" w:hAnsi="宋体" w:cs="宋体"/>
              </w:rPr>
            </w:pPr>
          </w:p>
        </w:tc>
        <w:tc>
          <w:tcPr>
            <w:tcW w:w="1485" w:type="dxa"/>
            <w:vAlign w:val="center"/>
          </w:tcPr>
          <w:p>
            <w:pPr>
              <w:spacing w:line="400" w:lineRule="exact"/>
              <w:jc w:val="center"/>
              <w:rPr>
                <w:rFonts w:ascii="宋体" w:hAnsi="宋体" w:cs="宋体"/>
              </w:rPr>
            </w:pPr>
          </w:p>
        </w:tc>
        <w:tc>
          <w:tcPr>
            <w:tcW w:w="1577" w:type="dxa"/>
            <w:vAlign w:val="center"/>
          </w:tcPr>
          <w:p>
            <w:pPr>
              <w:spacing w:line="400" w:lineRule="exact"/>
              <w:jc w:val="center"/>
              <w:rPr>
                <w:rFonts w:ascii="宋体" w:hAnsi="宋体" w:cs="宋体"/>
              </w:rPr>
            </w:pPr>
          </w:p>
        </w:tc>
        <w:tc>
          <w:tcPr>
            <w:tcW w:w="1163" w:type="dxa"/>
            <w:tcBorders>
              <w:left w:val="single" w:color="auto" w:sz="4" w:space="0"/>
            </w:tcBorders>
            <w:vAlign w:val="center"/>
          </w:tcPr>
          <w:p>
            <w:pPr>
              <w:spacing w:line="400" w:lineRule="exact"/>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34" w:hRule="atLeast"/>
          <w:jc w:val="center"/>
        </w:trPr>
        <w:tc>
          <w:tcPr>
            <w:tcW w:w="801" w:type="dxa"/>
            <w:vAlign w:val="center"/>
          </w:tcPr>
          <w:p>
            <w:pPr>
              <w:spacing w:line="400" w:lineRule="exact"/>
              <w:jc w:val="center"/>
              <w:rPr>
                <w:rFonts w:ascii="宋体" w:hAnsi="宋体" w:cs="宋体"/>
              </w:rPr>
            </w:pPr>
          </w:p>
        </w:tc>
        <w:tc>
          <w:tcPr>
            <w:tcW w:w="1602" w:type="dxa"/>
            <w:vAlign w:val="center"/>
          </w:tcPr>
          <w:p>
            <w:pPr>
              <w:spacing w:line="400" w:lineRule="exact"/>
              <w:jc w:val="center"/>
              <w:rPr>
                <w:rFonts w:ascii="宋体" w:hAnsi="宋体" w:cs="宋体"/>
              </w:rPr>
            </w:pPr>
          </w:p>
        </w:tc>
        <w:tc>
          <w:tcPr>
            <w:tcW w:w="1468" w:type="dxa"/>
            <w:vAlign w:val="center"/>
          </w:tcPr>
          <w:p>
            <w:pPr>
              <w:spacing w:line="400" w:lineRule="exact"/>
              <w:jc w:val="center"/>
              <w:rPr>
                <w:rFonts w:ascii="宋体" w:hAnsi="宋体" w:cs="宋体"/>
              </w:rPr>
            </w:pPr>
          </w:p>
        </w:tc>
        <w:tc>
          <w:tcPr>
            <w:tcW w:w="1485" w:type="dxa"/>
            <w:vAlign w:val="center"/>
          </w:tcPr>
          <w:p>
            <w:pPr>
              <w:spacing w:line="400" w:lineRule="exact"/>
              <w:jc w:val="center"/>
              <w:rPr>
                <w:rFonts w:ascii="宋体" w:hAnsi="宋体" w:cs="宋体"/>
              </w:rPr>
            </w:pPr>
          </w:p>
        </w:tc>
        <w:tc>
          <w:tcPr>
            <w:tcW w:w="1577" w:type="dxa"/>
            <w:vAlign w:val="center"/>
          </w:tcPr>
          <w:p>
            <w:pPr>
              <w:spacing w:line="400" w:lineRule="exact"/>
              <w:jc w:val="center"/>
              <w:rPr>
                <w:rFonts w:ascii="宋体" w:hAnsi="宋体" w:cs="宋体"/>
              </w:rPr>
            </w:pPr>
          </w:p>
        </w:tc>
        <w:tc>
          <w:tcPr>
            <w:tcW w:w="1163" w:type="dxa"/>
            <w:tcBorders>
              <w:left w:val="single" w:color="auto" w:sz="4" w:space="0"/>
            </w:tcBorders>
            <w:vAlign w:val="center"/>
          </w:tcPr>
          <w:p>
            <w:pPr>
              <w:spacing w:line="400" w:lineRule="exact"/>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34" w:hRule="atLeast"/>
          <w:jc w:val="center"/>
        </w:trPr>
        <w:tc>
          <w:tcPr>
            <w:tcW w:w="801" w:type="dxa"/>
            <w:vAlign w:val="center"/>
          </w:tcPr>
          <w:p>
            <w:pPr>
              <w:spacing w:line="400" w:lineRule="exact"/>
              <w:jc w:val="center"/>
              <w:rPr>
                <w:rFonts w:ascii="宋体" w:hAnsi="宋体" w:cs="宋体"/>
              </w:rPr>
            </w:pPr>
          </w:p>
        </w:tc>
        <w:tc>
          <w:tcPr>
            <w:tcW w:w="1602" w:type="dxa"/>
            <w:vAlign w:val="center"/>
          </w:tcPr>
          <w:p>
            <w:pPr>
              <w:spacing w:line="400" w:lineRule="exact"/>
              <w:jc w:val="center"/>
              <w:rPr>
                <w:rFonts w:ascii="宋体" w:hAnsi="宋体" w:cs="宋体"/>
              </w:rPr>
            </w:pPr>
          </w:p>
        </w:tc>
        <w:tc>
          <w:tcPr>
            <w:tcW w:w="1468" w:type="dxa"/>
            <w:vAlign w:val="center"/>
          </w:tcPr>
          <w:p>
            <w:pPr>
              <w:spacing w:line="400" w:lineRule="exact"/>
              <w:jc w:val="center"/>
              <w:rPr>
                <w:rFonts w:ascii="宋体" w:hAnsi="宋体" w:cs="宋体"/>
              </w:rPr>
            </w:pPr>
          </w:p>
        </w:tc>
        <w:tc>
          <w:tcPr>
            <w:tcW w:w="1485" w:type="dxa"/>
            <w:vAlign w:val="center"/>
          </w:tcPr>
          <w:p>
            <w:pPr>
              <w:spacing w:line="400" w:lineRule="exact"/>
              <w:jc w:val="center"/>
              <w:rPr>
                <w:rFonts w:ascii="宋体" w:hAnsi="宋体" w:cs="宋体"/>
              </w:rPr>
            </w:pPr>
          </w:p>
        </w:tc>
        <w:tc>
          <w:tcPr>
            <w:tcW w:w="1577" w:type="dxa"/>
            <w:vAlign w:val="center"/>
          </w:tcPr>
          <w:p>
            <w:pPr>
              <w:spacing w:line="400" w:lineRule="exact"/>
              <w:jc w:val="center"/>
              <w:rPr>
                <w:rFonts w:ascii="宋体" w:hAnsi="宋体" w:cs="宋体"/>
              </w:rPr>
            </w:pPr>
          </w:p>
        </w:tc>
        <w:tc>
          <w:tcPr>
            <w:tcW w:w="1163" w:type="dxa"/>
            <w:tcBorders>
              <w:left w:val="single" w:color="auto" w:sz="4" w:space="0"/>
            </w:tcBorders>
            <w:vAlign w:val="center"/>
          </w:tcPr>
          <w:p>
            <w:pPr>
              <w:spacing w:line="400" w:lineRule="exact"/>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34" w:hRule="atLeast"/>
          <w:jc w:val="center"/>
        </w:trPr>
        <w:tc>
          <w:tcPr>
            <w:tcW w:w="801" w:type="dxa"/>
            <w:vAlign w:val="center"/>
          </w:tcPr>
          <w:p>
            <w:pPr>
              <w:spacing w:line="400" w:lineRule="exact"/>
              <w:jc w:val="center"/>
              <w:rPr>
                <w:rFonts w:ascii="宋体" w:hAnsi="宋体" w:cs="宋体"/>
              </w:rPr>
            </w:pPr>
          </w:p>
        </w:tc>
        <w:tc>
          <w:tcPr>
            <w:tcW w:w="1602" w:type="dxa"/>
            <w:tcBorders>
              <w:right w:val="single" w:color="auto" w:sz="4" w:space="0"/>
            </w:tcBorders>
            <w:vAlign w:val="center"/>
          </w:tcPr>
          <w:p>
            <w:pPr>
              <w:spacing w:line="400" w:lineRule="exact"/>
              <w:jc w:val="center"/>
              <w:rPr>
                <w:rFonts w:ascii="宋体" w:hAnsi="宋体" w:cs="宋体"/>
              </w:rPr>
            </w:pPr>
          </w:p>
        </w:tc>
        <w:tc>
          <w:tcPr>
            <w:tcW w:w="1468" w:type="dxa"/>
            <w:tcBorders>
              <w:left w:val="single" w:color="auto" w:sz="4" w:space="0"/>
            </w:tcBorders>
            <w:vAlign w:val="center"/>
          </w:tcPr>
          <w:p>
            <w:pPr>
              <w:spacing w:line="400" w:lineRule="exact"/>
              <w:jc w:val="center"/>
              <w:rPr>
                <w:rFonts w:ascii="宋体" w:hAnsi="宋体" w:cs="宋体"/>
              </w:rPr>
            </w:pPr>
          </w:p>
        </w:tc>
        <w:tc>
          <w:tcPr>
            <w:tcW w:w="1485" w:type="dxa"/>
            <w:vAlign w:val="center"/>
          </w:tcPr>
          <w:p>
            <w:pPr>
              <w:spacing w:line="400" w:lineRule="exact"/>
              <w:jc w:val="center"/>
              <w:rPr>
                <w:rFonts w:ascii="宋体" w:hAnsi="宋体" w:cs="宋体"/>
              </w:rPr>
            </w:pPr>
          </w:p>
        </w:tc>
        <w:tc>
          <w:tcPr>
            <w:tcW w:w="1577" w:type="dxa"/>
            <w:vAlign w:val="center"/>
          </w:tcPr>
          <w:p>
            <w:pPr>
              <w:spacing w:line="400" w:lineRule="exact"/>
              <w:jc w:val="center"/>
              <w:rPr>
                <w:rFonts w:ascii="宋体" w:hAnsi="宋体" w:cs="宋体"/>
              </w:rPr>
            </w:pPr>
          </w:p>
        </w:tc>
        <w:tc>
          <w:tcPr>
            <w:tcW w:w="1163" w:type="dxa"/>
            <w:tcBorders>
              <w:left w:val="single" w:color="auto" w:sz="4" w:space="0"/>
            </w:tcBorders>
            <w:vAlign w:val="center"/>
          </w:tcPr>
          <w:p>
            <w:pPr>
              <w:spacing w:line="400" w:lineRule="exact"/>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34" w:hRule="atLeast"/>
          <w:jc w:val="center"/>
        </w:trPr>
        <w:tc>
          <w:tcPr>
            <w:tcW w:w="801" w:type="dxa"/>
            <w:tcBorders>
              <w:right w:val="single" w:color="auto" w:sz="4" w:space="0"/>
            </w:tcBorders>
            <w:vAlign w:val="center"/>
          </w:tcPr>
          <w:p>
            <w:pPr>
              <w:spacing w:line="400" w:lineRule="exact"/>
              <w:rPr>
                <w:rFonts w:ascii="宋体" w:hAnsi="宋体" w:cs="宋体"/>
              </w:rPr>
            </w:pPr>
          </w:p>
        </w:tc>
        <w:tc>
          <w:tcPr>
            <w:tcW w:w="1602" w:type="dxa"/>
            <w:tcBorders>
              <w:left w:val="single" w:color="auto" w:sz="4" w:space="0"/>
              <w:right w:val="single" w:color="auto" w:sz="4" w:space="0"/>
            </w:tcBorders>
            <w:vAlign w:val="center"/>
          </w:tcPr>
          <w:p>
            <w:pPr>
              <w:spacing w:line="400" w:lineRule="exact"/>
              <w:rPr>
                <w:rFonts w:ascii="宋体" w:hAnsi="宋体" w:cs="宋体"/>
              </w:rPr>
            </w:pPr>
          </w:p>
        </w:tc>
        <w:tc>
          <w:tcPr>
            <w:tcW w:w="1468" w:type="dxa"/>
            <w:tcBorders>
              <w:left w:val="single" w:color="auto" w:sz="4" w:space="0"/>
              <w:right w:val="single" w:color="auto" w:sz="4" w:space="0"/>
            </w:tcBorders>
            <w:vAlign w:val="center"/>
          </w:tcPr>
          <w:p>
            <w:pPr>
              <w:spacing w:line="400" w:lineRule="exact"/>
              <w:rPr>
                <w:rFonts w:ascii="宋体" w:hAnsi="宋体" w:cs="宋体"/>
              </w:rPr>
            </w:pPr>
          </w:p>
        </w:tc>
        <w:tc>
          <w:tcPr>
            <w:tcW w:w="1485" w:type="dxa"/>
            <w:tcBorders>
              <w:left w:val="single" w:color="auto" w:sz="4" w:space="0"/>
              <w:right w:val="single" w:color="auto" w:sz="4" w:space="0"/>
            </w:tcBorders>
            <w:vAlign w:val="center"/>
          </w:tcPr>
          <w:p>
            <w:pPr>
              <w:spacing w:line="400" w:lineRule="exact"/>
              <w:rPr>
                <w:rFonts w:ascii="宋体" w:hAnsi="宋体" w:cs="宋体"/>
              </w:rPr>
            </w:pPr>
          </w:p>
        </w:tc>
        <w:tc>
          <w:tcPr>
            <w:tcW w:w="1577" w:type="dxa"/>
            <w:tcBorders>
              <w:left w:val="single" w:color="auto" w:sz="4" w:space="0"/>
              <w:right w:val="single" w:color="auto" w:sz="4" w:space="0"/>
            </w:tcBorders>
            <w:vAlign w:val="center"/>
          </w:tcPr>
          <w:p>
            <w:pPr>
              <w:spacing w:line="400" w:lineRule="exact"/>
              <w:rPr>
                <w:rFonts w:ascii="宋体" w:hAnsi="宋体" w:cs="宋体"/>
              </w:rPr>
            </w:pPr>
          </w:p>
        </w:tc>
        <w:tc>
          <w:tcPr>
            <w:tcW w:w="1163" w:type="dxa"/>
            <w:tcBorders>
              <w:left w:val="single" w:color="auto" w:sz="4" w:space="0"/>
            </w:tcBorders>
            <w:vAlign w:val="center"/>
          </w:tcPr>
          <w:p>
            <w:pPr>
              <w:spacing w:line="400" w:lineRule="exac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34" w:hRule="atLeast"/>
          <w:jc w:val="center"/>
        </w:trPr>
        <w:tc>
          <w:tcPr>
            <w:tcW w:w="801" w:type="dxa"/>
            <w:vAlign w:val="center"/>
          </w:tcPr>
          <w:p>
            <w:pPr>
              <w:spacing w:line="400" w:lineRule="exact"/>
              <w:rPr>
                <w:rFonts w:ascii="宋体" w:hAnsi="宋体" w:cs="宋体"/>
              </w:rPr>
            </w:pPr>
          </w:p>
        </w:tc>
        <w:tc>
          <w:tcPr>
            <w:tcW w:w="1602" w:type="dxa"/>
            <w:vAlign w:val="center"/>
          </w:tcPr>
          <w:p>
            <w:pPr>
              <w:spacing w:line="400" w:lineRule="exact"/>
              <w:rPr>
                <w:rFonts w:ascii="宋体" w:hAnsi="宋体" w:cs="宋体"/>
              </w:rPr>
            </w:pPr>
          </w:p>
        </w:tc>
        <w:tc>
          <w:tcPr>
            <w:tcW w:w="1468" w:type="dxa"/>
            <w:vAlign w:val="center"/>
          </w:tcPr>
          <w:p>
            <w:pPr>
              <w:spacing w:line="400" w:lineRule="exact"/>
              <w:rPr>
                <w:rFonts w:ascii="宋体" w:hAnsi="宋体" w:cs="宋体"/>
              </w:rPr>
            </w:pPr>
          </w:p>
        </w:tc>
        <w:tc>
          <w:tcPr>
            <w:tcW w:w="1485" w:type="dxa"/>
            <w:vAlign w:val="center"/>
          </w:tcPr>
          <w:p>
            <w:pPr>
              <w:spacing w:line="400" w:lineRule="exact"/>
              <w:rPr>
                <w:rFonts w:ascii="宋体" w:hAnsi="宋体" w:cs="宋体"/>
              </w:rPr>
            </w:pPr>
          </w:p>
        </w:tc>
        <w:tc>
          <w:tcPr>
            <w:tcW w:w="1577" w:type="dxa"/>
            <w:tcBorders>
              <w:right w:val="single" w:color="auto" w:sz="4" w:space="0"/>
            </w:tcBorders>
            <w:vAlign w:val="center"/>
          </w:tcPr>
          <w:p>
            <w:pPr>
              <w:spacing w:line="400" w:lineRule="exact"/>
              <w:rPr>
                <w:rFonts w:ascii="宋体" w:hAnsi="宋体" w:cs="宋体"/>
              </w:rPr>
            </w:pPr>
          </w:p>
        </w:tc>
        <w:tc>
          <w:tcPr>
            <w:tcW w:w="1163" w:type="dxa"/>
            <w:tcBorders>
              <w:left w:val="single" w:color="auto" w:sz="4" w:space="0"/>
            </w:tcBorders>
            <w:vAlign w:val="center"/>
          </w:tcPr>
          <w:p>
            <w:pPr>
              <w:spacing w:line="400" w:lineRule="exact"/>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801" w:type="dxa"/>
            <w:tcBorders>
              <w:bottom w:val="single" w:color="auto" w:sz="4" w:space="0"/>
            </w:tcBorders>
            <w:vAlign w:val="center"/>
          </w:tcPr>
          <w:p>
            <w:pPr>
              <w:spacing w:line="400" w:lineRule="exact"/>
              <w:jc w:val="center"/>
              <w:rPr>
                <w:rFonts w:ascii="宋体" w:hAnsi="宋体" w:cs="宋体"/>
              </w:rPr>
            </w:pPr>
          </w:p>
        </w:tc>
        <w:tc>
          <w:tcPr>
            <w:tcW w:w="1602" w:type="dxa"/>
            <w:tcBorders>
              <w:bottom w:val="single" w:color="auto" w:sz="4" w:space="0"/>
            </w:tcBorders>
            <w:vAlign w:val="center"/>
          </w:tcPr>
          <w:p>
            <w:pPr>
              <w:spacing w:line="400" w:lineRule="exact"/>
              <w:jc w:val="center"/>
              <w:rPr>
                <w:rFonts w:ascii="宋体" w:hAnsi="宋体" w:cs="宋体"/>
              </w:rPr>
            </w:pPr>
          </w:p>
        </w:tc>
        <w:tc>
          <w:tcPr>
            <w:tcW w:w="1468" w:type="dxa"/>
            <w:tcBorders>
              <w:bottom w:val="single" w:color="auto" w:sz="4" w:space="0"/>
            </w:tcBorders>
            <w:vAlign w:val="center"/>
          </w:tcPr>
          <w:p>
            <w:pPr>
              <w:spacing w:line="400" w:lineRule="exact"/>
              <w:jc w:val="center"/>
              <w:rPr>
                <w:rFonts w:ascii="宋体" w:hAnsi="宋体" w:cs="宋体"/>
              </w:rPr>
            </w:pPr>
          </w:p>
        </w:tc>
        <w:tc>
          <w:tcPr>
            <w:tcW w:w="1485" w:type="dxa"/>
            <w:tcBorders>
              <w:bottom w:val="single" w:color="auto" w:sz="4" w:space="0"/>
            </w:tcBorders>
            <w:vAlign w:val="center"/>
          </w:tcPr>
          <w:p>
            <w:pPr>
              <w:spacing w:line="400" w:lineRule="exact"/>
              <w:jc w:val="center"/>
              <w:rPr>
                <w:rFonts w:ascii="宋体" w:hAnsi="宋体" w:cs="宋体"/>
              </w:rPr>
            </w:pPr>
          </w:p>
        </w:tc>
        <w:tc>
          <w:tcPr>
            <w:tcW w:w="1577" w:type="dxa"/>
            <w:tcBorders>
              <w:bottom w:val="single" w:color="auto" w:sz="4" w:space="0"/>
              <w:right w:val="single" w:color="auto" w:sz="4" w:space="0"/>
            </w:tcBorders>
            <w:vAlign w:val="center"/>
          </w:tcPr>
          <w:p>
            <w:pPr>
              <w:spacing w:line="400" w:lineRule="exact"/>
              <w:jc w:val="center"/>
              <w:rPr>
                <w:rFonts w:ascii="宋体" w:hAnsi="宋体" w:cs="宋体"/>
              </w:rPr>
            </w:pPr>
          </w:p>
        </w:tc>
        <w:tc>
          <w:tcPr>
            <w:tcW w:w="1163" w:type="dxa"/>
            <w:tcBorders>
              <w:left w:val="single" w:color="auto" w:sz="4" w:space="0"/>
              <w:bottom w:val="single" w:color="auto" w:sz="4" w:space="0"/>
            </w:tcBorders>
            <w:vAlign w:val="center"/>
          </w:tcPr>
          <w:p>
            <w:pPr>
              <w:spacing w:line="400" w:lineRule="exact"/>
              <w:jc w:val="center"/>
              <w:rPr>
                <w:rFonts w:ascii="宋体" w:hAnsi="宋体" w:cs="宋体"/>
              </w:rPr>
            </w:pPr>
          </w:p>
        </w:tc>
      </w:tr>
    </w:tbl>
    <w:p>
      <w:pPr>
        <w:rPr>
          <w:rFonts w:ascii="宋体" w:hAnsi="宋体" w:cs="宋体"/>
        </w:rPr>
      </w:pPr>
    </w:p>
    <w:p>
      <w:pPr>
        <w:spacing w:line="360" w:lineRule="auto"/>
        <w:ind w:left="360"/>
        <w:jc w:val="left"/>
        <w:rPr>
          <w:rFonts w:ascii="宋体" w:hAnsi="宋体" w:cs="宋体"/>
          <w:sz w:val="24"/>
          <w:szCs w:val="24"/>
        </w:rPr>
      </w:pPr>
      <w:r>
        <w:rPr>
          <w:rFonts w:hint="eastAsia" w:ascii="宋体" w:hAnsi="宋体" w:cs="宋体"/>
          <w:sz w:val="24"/>
          <w:szCs w:val="24"/>
        </w:rPr>
        <w:t>提供完整合同复印件</w:t>
      </w:r>
      <w:r>
        <w:rPr>
          <w:rFonts w:hint="eastAsia" w:ascii="宋体" w:hAnsi="宋体" w:cs="宋体"/>
          <w:sz w:val="24"/>
          <w:szCs w:val="24"/>
          <w:lang w:eastAsia="zh-CN"/>
        </w:rPr>
        <w:t>、中标通知书和中标公告截图</w:t>
      </w:r>
    </w:p>
    <w:p>
      <w:pPr>
        <w:adjustRightInd w:val="0"/>
        <w:snapToGrid w:val="0"/>
        <w:spacing w:line="480" w:lineRule="auto"/>
        <w:jc w:val="left"/>
        <w:rPr>
          <w:rFonts w:ascii="宋体" w:hAnsi="宋体" w:cs="宋体"/>
          <w:sz w:val="24"/>
          <w:szCs w:val="24"/>
        </w:rPr>
      </w:pPr>
    </w:p>
    <w:p>
      <w:pPr>
        <w:adjustRightInd w:val="0"/>
        <w:snapToGrid w:val="0"/>
        <w:spacing w:line="480" w:lineRule="auto"/>
        <w:jc w:val="left"/>
        <w:rPr>
          <w:rFonts w:ascii="宋体" w:hAnsi="宋体" w:cs="宋体"/>
          <w:sz w:val="24"/>
          <w:szCs w:val="24"/>
          <w:u w:val="single"/>
        </w:rPr>
      </w:pPr>
      <w:r>
        <w:rPr>
          <w:rFonts w:hint="eastAsia" w:ascii="宋体" w:hAnsi="宋体" w:cs="宋体"/>
          <w:sz w:val="24"/>
          <w:szCs w:val="24"/>
        </w:rPr>
        <w:t>供应商（单位名称及公章）：_________________________</w:t>
      </w:r>
    </w:p>
    <w:p>
      <w:pPr>
        <w:adjustRightInd w:val="0"/>
        <w:snapToGrid w:val="0"/>
        <w:spacing w:line="480" w:lineRule="auto"/>
        <w:rPr>
          <w:rFonts w:ascii="宋体" w:hAnsi="宋体" w:cs="宋体"/>
          <w:sz w:val="24"/>
          <w:szCs w:val="24"/>
        </w:rPr>
      </w:pPr>
      <w:r>
        <w:rPr>
          <w:rFonts w:hint="eastAsia" w:ascii="宋体" w:hAnsi="宋体" w:cs="宋体"/>
          <w:sz w:val="24"/>
          <w:szCs w:val="24"/>
        </w:rPr>
        <w:t>法定代表人或被授权人（签字或盖章）：_____________________</w:t>
      </w:r>
    </w:p>
    <w:p>
      <w:pPr>
        <w:adjustRightInd w:val="0"/>
        <w:snapToGrid w:val="0"/>
        <w:spacing w:line="480" w:lineRule="auto"/>
        <w:rPr>
          <w:rFonts w:ascii="宋体" w:hAnsi="宋体" w:cs="宋体"/>
          <w:sz w:val="24"/>
          <w:szCs w:val="24"/>
        </w:rPr>
      </w:pPr>
      <w:r>
        <w:rPr>
          <w:rFonts w:hint="eastAsia" w:ascii="宋体" w:hAnsi="宋体" w:cs="宋体"/>
          <w:sz w:val="24"/>
          <w:szCs w:val="24"/>
        </w:rPr>
        <w:t>日    期：_____年_____月_____日</w:t>
      </w:r>
    </w:p>
    <w:p>
      <w:pPr>
        <w:pStyle w:val="4"/>
        <w:numPr>
          <w:ilvl w:val="0"/>
          <w:numId w:val="33"/>
        </w:numPr>
        <w:spacing w:before="319" w:beforeLines="100" w:after="478" w:afterLines="150" w:line="500" w:lineRule="exact"/>
        <w:jc w:val="center"/>
        <w:rPr>
          <w:rFonts w:ascii="宋体" w:hAnsi="宋体" w:cs="宋体"/>
          <w:sz w:val="36"/>
          <w:szCs w:val="36"/>
        </w:rPr>
      </w:pPr>
      <w:bookmarkStart w:id="239" w:name="_Toc19279"/>
      <w:r>
        <w:rPr>
          <w:rFonts w:hint="eastAsia" w:ascii="宋体" w:hAnsi="宋体" w:cs="宋体"/>
          <w:sz w:val="36"/>
          <w:szCs w:val="36"/>
        </w:rPr>
        <w:br w:type="page"/>
      </w:r>
      <w:bookmarkStart w:id="240" w:name="_Toc31275"/>
      <w:r>
        <w:rPr>
          <w:rFonts w:hint="eastAsia" w:ascii="宋体" w:hAnsi="宋体" w:cs="宋体"/>
          <w:sz w:val="36"/>
          <w:szCs w:val="36"/>
        </w:rPr>
        <w:t xml:space="preserve"> </w:t>
      </w:r>
      <w:bookmarkStart w:id="241" w:name="_Toc7794"/>
      <w:bookmarkStart w:id="242" w:name="_Toc28975"/>
      <w:r>
        <w:rPr>
          <w:rFonts w:hint="eastAsia" w:ascii="宋体" w:hAnsi="宋体" w:cs="宋体"/>
          <w:sz w:val="36"/>
          <w:szCs w:val="36"/>
        </w:rPr>
        <w:t>供应商认为有必要说明的其他问题</w:t>
      </w:r>
      <w:bookmarkEnd w:id="239"/>
      <w:bookmarkEnd w:id="240"/>
      <w:bookmarkEnd w:id="241"/>
      <w:bookmarkEnd w:id="242"/>
    </w:p>
    <w:p/>
    <w:p>
      <w:pPr>
        <w:pStyle w:val="14"/>
        <w:rPr>
          <w:color w:val="auto"/>
        </w:rPr>
        <w:sectPr>
          <w:pgSz w:w="11906" w:h="16838"/>
          <w:pgMar w:top="1440" w:right="1803" w:bottom="1440" w:left="1803" w:header="851" w:footer="992" w:gutter="0"/>
          <w:pgNumType w:fmt="decimal"/>
          <w:cols w:space="720" w:num="1"/>
          <w:docGrid w:type="lines" w:linePitch="319" w:charSpace="0"/>
        </w:sectPr>
      </w:pPr>
      <w:r>
        <w:rPr>
          <w:rFonts w:hint="eastAsia"/>
          <w:color w:val="auto"/>
        </w:rPr>
        <w:t>例如：投标保证金缴纳凭证</w:t>
      </w:r>
    </w:p>
    <w:bookmarkEnd w:id="233"/>
    <w:p>
      <w:pPr>
        <w:pStyle w:val="5"/>
        <w:adjustRightInd w:val="0"/>
        <w:spacing w:line="416" w:lineRule="atLeast"/>
        <w:jc w:val="center"/>
        <w:textAlignment w:val="baseline"/>
        <w:rPr>
          <w:rFonts w:ascii="宋体" w:hAnsi="宋体" w:cs="宋体"/>
        </w:rPr>
      </w:pPr>
      <w:bookmarkStart w:id="243" w:name="_Toc16620"/>
      <w:bookmarkStart w:id="244" w:name="_Toc22177"/>
      <w:r>
        <w:rPr>
          <w:rFonts w:hint="eastAsia" w:ascii="宋体" w:hAnsi="宋体" w:cs="宋体"/>
        </w:rPr>
        <w:t>附件一、封袋正面标识式样</w:t>
      </w:r>
      <w:bookmarkEnd w:id="215"/>
      <w:bookmarkEnd w:id="243"/>
      <w:bookmarkEnd w:id="244"/>
    </w:p>
    <w:p>
      <w:pPr>
        <w:spacing w:line="460" w:lineRule="exact"/>
        <w:ind w:firstLine="482" w:firstLineChars="200"/>
        <w:jc w:val="center"/>
        <w:rPr>
          <w:rFonts w:ascii="宋体" w:hAnsi="宋体" w:cs="宋体"/>
          <w:b/>
          <w:sz w:val="24"/>
        </w:rPr>
      </w:pPr>
      <w:r>
        <w:rPr>
          <w:rFonts w:hint="eastAsia" w:ascii="宋体" w:hAnsi="宋体" w:cs="宋体"/>
          <w:b/>
          <w:sz w:val="24"/>
        </w:rPr>
        <w:t>投标文件正本封袋正面标识式样</w:t>
      </w:r>
    </w:p>
    <w:p>
      <w:pPr>
        <w:spacing w:line="460" w:lineRule="exact"/>
        <w:ind w:firstLine="420" w:firstLineChars="200"/>
        <w:jc w:val="center"/>
        <w:rPr>
          <w:rFonts w:ascii="宋体" w:hAnsi="宋体" w:cs="宋体"/>
          <w:b/>
          <w:sz w:val="24"/>
        </w:rPr>
      </w:pPr>
      <w:r>
        <w:rPr>
          <w:rFonts w:hint="eastAsia" w:ascii="宋体" w:hAnsi="宋体" w:cs="宋体"/>
        </w:rPr>
        <mc:AlternateContent>
          <mc:Choice Requires="wps">
            <w:drawing>
              <wp:anchor distT="0" distB="0" distL="114300" distR="114300" simplePos="0" relativeHeight="251662336" behindDoc="0" locked="0" layoutInCell="1" allowOverlap="1">
                <wp:simplePos x="0" y="0"/>
                <wp:positionH relativeFrom="column">
                  <wp:posOffset>-349885</wp:posOffset>
                </wp:positionH>
                <wp:positionV relativeFrom="paragraph">
                  <wp:posOffset>113030</wp:posOffset>
                </wp:positionV>
                <wp:extent cx="5819140" cy="3062605"/>
                <wp:effectExtent l="4445" t="4445" r="5715" b="19050"/>
                <wp:wrapNone/>
                <wp:docPr id="13" name="Text Box 3"/>
                <wp:cNvGraphicFramePr/>
                <a:graphic xmlns:a="http://schemas.openxmlformats.org/drawingml/2006/main">
                  <a:graphicData uri="http://schemas.microsoft.com/office/word/2010/wordprocessingShape">
                    <wps:wsp>
                      <wps:cNvSpPr txBox="1"/>
                      <wps:spPr>
                        <a:xfrm>
                          <a:off x="0" y="0"/>
                          <a:ext cx="5781040" cy="30626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致：陕西卓佲项目管理有限公司        项目编号：</w:t>
                            </w:r>
                            <w:r>
                              <w:rPr>
                                <w:rFonts w:hint="eastAsia"/>
                                <w:sz w:val="28"/>
                                <w:szCs w:val="28"/>
                                <w:lang w:eastAsia="zh-CN"/>
                              </w:rPr>
                              <w:t>ZMZB2022YLZY-61</w:t>
                            </w:r>
                          </w:p>
                          <w:p>
                            <w:pPr>
                              <w:rPr>
                                <w:rFonts w:hint="eastAsia" w:eastAsia="宋体"/>
                                <w:sz w:val="28"/>
                                <w:szCs w:val="28"/>
                                <w:lang w:eastAsia="zh-CN"/>
                              </w:rPr>
                            </w:pPr>
                            <w:r>
                              <w:rPr>
                                <w:rFonts w:hint="eastAsia"/>
                                <w:sz w:val="28"/>
                                <w:szCs w:val="28"/>
                              </w:rPr>
                              <w:t>项目名称：</w:t>
                            </w:r>
                            <w:r>
                              <w:rPr>
                                <w:rFonts w:hint="eastAsia"/>
                                <w:sz w:val="28"/>
                                <w:szCs w:val="28"/>
                                <w:lang w:eastAsia="zh-CN"/>
                              </w:rPr>
                              <w:t>杨凌职业技术学院经济与贸易学院实验室建设项目</w:t>
                            </w:r>
                          </w:p>
                          <w:p>
                            <w:pPr>
                              <w:jc w:val="center"/>
                              <w:rPr>
                                <w:b/>
                                <w:sz w:val="44"/>
                                <w:szCs w:val="44"/>
                              </w:rPr>
                            </w:pPr>
                            <w:r>
                              <w:rPr>
                                <w:rFonts w:hint="eastAsia"/>
                                <w:b/>
                                <w:sz w:val="44"/>
                                <w:szCs w:val="44"/>
                              </w:rPr>
                              <w:t>投标文件（正本）</w:t>
                            </w:r>
                          </w:p>
                          <w:p>
                            <w:pPr>
                              <w:pStyle w:val="6"/>
                              <w:ind w:firstLine="3092" w:firstLineChars="1100"/>
                              <w:jc w:val="both"/>
                              <w:rPr>
                                <w:rFonts w:hint="default"/>
                                <w:sz w:val="28"/>
                                <w:szCs w:val="28"/>
                              </w:rPr>
                            </w:pPr>
                            <w:r>
                              <w:rPr>
                                <w:sz w:val="28"/>
                                <w:szCs w:val="28"/>
                              </w:rPr>
                              <w:t>（非开标会议不得启封）</w:t>
                            </w:r>
                          </w:p>
                          <w:p>
                            <w:pPr>
                              <w:rPr>
                                <w:rFonts w:hint="eastAsia"/>
                                <w:sz w:val="28"/>
                                <w:szCs w:val="28"/>
                                <w:lang w:val="en-US" w:eastAsia="zh-CN"/>
                              </w:rPr>
                            </w:pPr>
                            <w:r>
                              <w:rPr>
                                <w:rFonts w:hint="eastAsia"/>
                                <w:sz w:val="28"/>
                                <w:szCs w:val="28"/>
                                <w:lang w:eastAsia="zh-CN"/>
                              </w:rPr>
                              <w:t>合同包号：合同包</w:t>
                            </w:r>
                            <w:r>
                              <w:rPr>
                                <w:rFonts w:hint="eastAsia"/>
                                <w:sz w:val="28"/>
                                <w:szCs w:val="28"/>
                                <w:lang w:val="en-US" w:eastAsia="zh-CN"/>
                              </w:rPr>
                              <w:t>X</w:t>
                            </w:r>
                          </w:p>
                          <w:p>
                            <w:pPr>
                              <w:rPr>
                                <w:sz w:val="28"/>
                                <w:szCs w:val="28"/>
                                <w:u w:val="single"/>
                              </w:rPr>
                            </w:pPr>
                            <w:r>
                              <w:rPr>
                                <w:rFonts w:hint="eastAsia"/>
                                <w:sz w:val="28"/>
                                <w:szCs w:val="28"/>
                              </w:rPr>
                              <w:t>供应商（公章）：</w:t>
                            </w:r>
                            <w:r>
                              <w:rPr>
                                <w:rFonts w:hint="eastAsia" w:ascii="宋体" w:hAnsi="宋体" w:cs="宋体"/>
                                <w:sz w:val="28"/>
                                <w:szCs w:val="28"/>
                              </w:rPr>
                              <w:t>______________________</w:t>
                            </w:r>
                          </w:p>
                          <w:p>
                            <w:pPr>
                              <w:adjustRightInd w:val="0"/>
                              <w:snapToGrid w:val="0"/>
                              <w:rPr>
                                <w:sz w:val="28"/>
                                <w:szCs w:val="28"/>
                                <w:u w:val="single"/>
                              </w:rPr>
                            </w:pPr>
                            <w:r>
                              <w:rPr>
                                <w:rFonts w:hint="eastAsia" w:ascii="宋体" w:hAnsi="宋体" w:cs="宋体"/>
                                <w:sz w:val="28"/>
                                <w:szCs w:val="28"/>
                              </w:rPr>
                              <w:t>法定代表人或被授权人（签字或盖章）：______________________</w:t>
                            </w:r>
                          </w:p>
                          <w:p>
                            <w:pPr>
                              <w:rPr>
                                <w:sz w:val="28"/>
                                <w:szCs w:val="28"/>
                              </w:rPr>
                            </w:pPr>
                            <w:r>
                              <w:rPr>
                                <w:rFonts w:hint="eastAsia"/>
                                <w:sz w:val="28"/>
                                <w:szCs w:val="28"/>
                              </w:rPr>
                              <w:t>时          间：</w:t>
                            </w:r>
                            <w:r>
                              <w:rPr>
                                <w:rFonts w:hint="eastAsia"/>
                                <w:sz w:val="28"/>
                                <w:szCs w:val="28"/>
                                <w:u w:val="single"/>
                              </w:rPr>
                              <w:t xml:space="preserve">        年       月      日</w:t>
                            </w:r>
                          </w:p>
                        </w:txbxContent>
                      </wps:txbx>
                      <wps:bodyPr wrap="square" upright="1"/>
                    </wps:wsp>
                  </a:graphicData>
                </a:graphic>
              </wp:anchor>
            </w:drawing>
          </mc:Choice>
          <mc:Fallback>
            <w:pict>
              <v:shape id="Text Box 3" o:spid="_x0000_s1026" o:spt="202" type="#_x0000_t202" style="position:absolute;left:0pt;margin-left:-27.55pt;margin-top:8.9pt;height:241.15pt;width:458.2pt;z-index:251662336;mso-width-relative:page;mso-height-relative:page;" fillcolor="#FFFFFF" filled="t" stroked="t" coordsize="21600,21600" o:gfxdata="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s09P9kAAAAKAQAADwAAAAAAAAABACAA&#10;AAAiAAAAZHJzL2Rvd25yZXYueG1sUEsBAhQAFAAAAAgAh07iQJTiUVQMAgAAUwQAAA4AAAAAAAAA&#10;AQAgAAAAKAEAAGRycy9lMm9Eb2MueG1sUEsFBgAAAAAGAAYAWQEAAKYFA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致：陕西卓佲项目管理有限公司        项目编号：</w:t>
                      </w:r>
                      <w:r>
                        <w:rPr>
                          <w:rFonts w:hint="eastAsia"/>
                          <w:sz w:val="28"/>
                          <w:szCs w:val="28"/>
                          <w:lang w:eastAsia="zh-CN"/>
                        </w:rPr>
                        <w:t>ZMZB2022YLZY-61</w:t>
                      </w:r>
                    </w:p>
                    <w:p>
                      <w:pPr>
                        <w:rPr>
                          <w:rFonts w:hint="eastAsia" w:eastAsia="宋体"/>
                          <w:sz w:val="28"/>
                          <w:szCs w:val="28"/>
                          <w:lang w:eastAsia="zh-CN"/>
                        </w:rPr>
                      </w:pPr>
                      <w:r>
                        <w:rPr>
                          <w:rFonts w:hint="eastAsia"/>
                          <w:sz w:val="28"/>
                          <w:szCs w:val="28"/>
                        </w:rPr>
                        <w:t>项目名称：</w:t>
                      </w:r>
                      <w:r>
                        <w:rPr>
                          <w:rFonts w:hint="eastAsia"/>
                          <w:sz w:val="28"/>
                          <w:szCs w:val="28"/>
                          <w:lang w:eastAsia="zh-CN"/>
                        </w:rPr>
                        <w:t>杨凌职业技术学院经济与贸易学院实验室建设项目</w:t>
                      </w:r>
                    </w:p>
                    <w:p>
                      <w:pPr>
                        <w:jc w:val="center"/>
                        <w:rPr>
                          <w:b/>
                          <w:sz w:val="44"/>
                          <w:szCs w:val="44"/>
                        </w:rPr>
                      </w:pPr>
                      <w:r>
                        <w:rPr>
                          <w:rFonts w:hint="eastAsia"/>
                          <w:b/>
                          <w:sz w:val="44"/>
                          <w:szCs w:val="44"/>
                        </w:rPr>
                        <w:t>投标文件（正本）</w:t>
                      </w:r>
                    </w:p>
                    <w:p>
                      <w:pPr>
                        <w:pStyle w:val="6"/>
                        <w:ind w:firstLine="3092" w:firstLineChars="1100"/>
                        <w:jc w:val="both"/>
                        <w:rPr>
                          <w:rFonts w:hint="default"/>
                          <w:sz w:val="28"/>
                          <w:szCs w:val="28"/>
                        </w:rPr>
                      </w:pPr>
                      <w:r>
                        <w:rPr>
                          <w:sz w:val="28"/>
                          <w:szCs w:val="28"/>
                        </w:rPr>
                        <w:t>（非开标会议不得启封）</w:t>
                      </w:r>
                    </w:p>
                    <w:p>
                      <w:pPr>
                        <w:rPr>
                          <w:rFonts w:hint="eastAsia"/>
                          <w:sz w:val="28"/>
                          <w:szCs w:val="28"/>
                          <w:lang w:val="en-US" w:eastAsia="zh-CN"/>
                        </w:rPr>
                      </w:pPr>
                      <w:r>
                        <w:rPr>
                          <w:rFonts w:hint="eastAsia"/>
                          <w:sz w:val="28"/>
                          <w:szCs w:val="28"/>
                          <w:lang w:eastAsia="zh-CN"/>
                        </w:rPr>
                        <w:t>合同包号：合同包</w:t>
                      </w:r>
                      <w:r>
                        <w:rPr>
                          <w:rFonts w:hint="eastAsia"/>
                          <w:sz w:val="28"/>
                          <w:szCs w:val="28"/>
                          <w:lang w:val="en-US" w:eastAsia="zh-CN"/>
                        </w:rPr>
                        <w:t>X</w:t>
                      </w:r>
                    </w:p>
                    <w:p>
                      <w:pPr>
                        <w:rPr>
                          <w:sz w:val="28"/>
                          <w:szCs w:val="28"/>
                          <w:u w:val="single"/>
                        </w:rPr>
                      </w:pPr>
                      <w:r>
                        <w:rPr>
                          <w:rFonts w:hint="eastAsia"/>
                          <w:sz w:val="28"/>
                          <w:szCs w:val="28"/>
                        </w:rPr>
                        <w:t>供应商（公章）：</w:t>
                      </w:r>
                      <w:r>
                        <w:rPr>
                          <w:rFonts w:hint="eastAsia" w:ascii="宋体" w:hAnsi="宋体" w:cs="宋体"/>
                          <w:sz w:val="28"/>
                          <w:szCs w:val="28"/>
                        </w:rPr>
                        <w:t>______________________</w:t>
                      </w:r>
                    </w:p>
                    <w:p>
                      <w:pPr>
                        <w:adjustRightInd w:val="0"/>
                        <w:snapToGrid w:val="0"/>
                        <w:rPr>
                          <w:sz w:val="28"/>
                          <w:szCs w:val="28"/>
                          <w:u w:val="single"/>
                        </w:rPr>
                      </w:pPr>
                      <w:r>
                        <w:rPr>
                          <w:rFonts w:hint="eastAsia" w:ascii="宋体" w:hAnsi="宋体" w:cs="宋体"/>
                          <w:sz w:val="28"/>
                          <w:szCs w:val="28"/>
                        </w:rPr>
                        <w:t>法定代表人或被授权人（签字或盖章）：______________________</w:t>
                      </w:r>
                    </w:p>
                    <w:p>
                      <w:pPr>
                        <w:rPr>
                          <w:sz w:val="28"/>
                          <w:szCs w:val="28"/>
                        </w:rPr>
                      </w:pPr>
                      <w:r>
                        <w:rPr>
                          <w:rFonts w:hint="eastAsia"/>
                          <w:sz w:val="28"/>
                          <w:szCs w:val="28"/>
                        </w:rPr>
                        <w:t>时          间：</w:t>
                      </w:r>
                      <w:r>
                        <w:rPr>
                          <w:rFonts w:hint="eastAsia"/>
                          <w:sz w:val="28"/>
                          <w:szCs w:val="28"/>
                          <w:u w:val="single"/>
                        </w:rPr>
                        <w:t xml:space="preserve">        年       月      日</w:t>
                      </w:r>
                    </w:p>
                  </w:txbxContent>
                </v:textbox>
              </v:shape>
            </w:pict>
          </mc:Fallback>
        </mc:AlternateContent>
      </w: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pStyle w:val="9"/>
        <w:rPr>
          <w:rFonts w:ascii="宋体" w:hAnsi="宋体" w:cs="宋体"/>
        </w:rPr>
      </w:pPr>
    </w:p>
    <w:p>
      <w:pPr>
        <w:spacing w:line="460" w:lineRule="exact"/>
        <w:ind w:firstLine="482" w:firstLineChars="200"/>
        <w:jc w:val="center"/>
        <w:rPr>
          <w:rFonts w:ascii="宋体" w:hAnsi="宋体" w:cs="宋体"/>
          <w:b/>
          <w:sz w:val="24"/>
        </w:rPr>
      </w:pPr>
      <w:r>
        <w:rPr>
          <w:rFonts w:hint="eastAsia" w:ascii="宋体" w:hAnsi="宋体" w:cs="宋体"/>
          <w:b/>
          <w:sz w:val="24"/>
        </w:rPr>
        <w:t>投标文件副本封袋正面标识式样</w:t>
      </w:r>
    </w:p>
    <w:p>
      <w:pPr>
        <w:tabs>
          <w:tab w:val="left" w:pos="8280"/>
        </w:tabs>
        <w:spacing w:line="460" w:lineRule="exact"/>
        <w:ind w:firstLine="482" w:firstLineChars="200"/>
        <w:jc w:val="center"/>
        <w:rPr>
          <w:rFonts w:ascii="宋体" w:hAnsi="宋体" w:cs="宋体"/>
          <w:b/>
          <w:sz w:val="24"/>
        </w:rPr>
      </w:pPr>
    </w:p>
    <w:p>
      <w:pPr>
        <w:ind w:firstLine="420" w:firstLineChars="200"/>
        <w:jc w:val="center"/>
        <w:rPr>
          <w:rFonts w:ascii="宋体" w:hAnsi="宋体" w:cs="宋体"/>
        </w:rPr>
      </w:pPr>
      <w:r>
        <w:rPr>
          <w:rFonts w:hint="eastAsia" w:ascii="宋体" w:hAnsi="宋体" w:cs="宋体"/>
        </w:rPr>
        <mc:AlternateContent>
          <mc:Choice Requires="wps">
            <w:drawing>
              <wp:anchor distT="0" distB="0" distL="114300" distR="114300" simplePos="0" relativeHeight="251669504" behindDoc="0" locked="0" layoutInCell="1" allowOverlap="1">
                <wp:simplePos x="0" y="0"/>
                <wp:positionH relativeFrom="column">
                  <wp:posOffset>-314325</wp:posOffset>
                </wp:positionH>
                <wp:positionV relativeFrom="paragraph">
                  <wp:posOffset>69850</wp:posOffset>
                </wp:positionV>
                <wp:extent cx="5870575" cy="3223260"/>
                <wp:effectExtent l="4445" t="4445" r="11430" b="10795"/>
                <wp:wrapNone/>
                <wp:docPr id="6" name="Text Box 4"/>
                <wp:cNvGraphicFramePr/>
                <a:graphic xmlns:a="http://schemas.openxmlformats.org/drawingml/2006/main">
                  <a:graphicData uri="http://schemas.microsoft.com/office/word/2010/wordprocessingShape">
                    <wps:wsp>
                      <wps:cNvSpPr txBox="1"/>
                      <wps:spPr>
                        <a:xfrm>
                          <a:off x="0" y="0"/>
                          <a:ext cx="5825490" cy="3223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致：陕西卓佲项目管理有限公司         项目编号：</w:t>
                            </w:r>
                            <w:r>
                              <w:rPr>
                                <w:rFonts w:hint="eastAsia"/>
                                <w:sz w:val="28"/>
                                <w:szCs w:val="28"/>
                                <w:lang w:eastAsia="zh-CN"/>
                              </w:rPr>
                              <w:t>ZMZB2022YLZY-61</w:t>
                            </w:r>
                          </w:p>
                          <w:p>
                            <w:pPr>
                              <w:rPr>
                                <w:rFonts w:hint="eastAsia" w:eastAsia="宋体"/>
                                <w:sz w:val="28"/>
                                <w:szCs w:val="28"/>
                                <w:lang w:eastAsia="zh-CN"/>
                              </w:rPr>
                            </w:pPr>
                            <w:r>
                              <w:rPr>
                                <w:rFonts w:hint="eastAsia"/>
                                <w:sz w:val="28"/>
                                <w:szCs w:val="28"/>
                              </w:rPr>
                              <w:t>项目名称：</w:t>
                            </w:r>
                            <w:r>
                              <w:rPr>
                                <w:rFonts w:hint="eastAsia"/>
                                <w:sz w:val="28"/>
                                <w:szCs w:val="28"/>
                                <w:lang w:eastAsia="zh-CN"/>
                              </w:rPr>
                              <w:t>杨凌职业技术学院经济与贸易学院实验室建设项目</w:t>
                            </w:r>
                          </w:p>
                          <w:p>
                            <w:pPr>
                              <w:pStyle w:val="14"/>
                              <w:ind w:firstLine="2650" w:firstLineChars="600"/>
                              <w:jc w:val="left"/>
                              <w:rPr>
                                <w:sz w:val="28"/>
                                <w:szCs w:val="28"/>
                              </w:rPr>
                            </w:pPr>
                            <w:r>
                              <w:rPr>
                                <w:rFonts w:hint="eastAsia"/>
                                <w:b/>
                                <w:color w:val="auto"/>
                                <w:sz w:val="44"/>
                                <w:szCs w:val="44"/>
                              </w:rPr>
                              <w:t>投标文件（副本）</w:t>
                            </w:r>
                          </w:p>
                          <w:p>
                            <w:pPr>
                              <w:pStyle w:val="6"/>
                              <w:ind w:firstLine="3092" w:firstLineChars="1100"/>
                              <w:rPr>
                                <w:rFonts w:hint="default"/>
                              </w:rPr>
                            </w:pPr>
                            <w:r>
                              <w:rPr>
                                <w:sz w:val="28"/>
                                <w:szCs w:val="28"/>
                              </w:rPr>
                              <w:t>（非开标会议不得启封）</w:t>
                            </w:r>
                          </w:p>
                          <w:p>
                            <w:pPr>
                              <w:rPr>
                                <w:rFonts w:hint="eastAsia"/>
                                <w:sz w:val="28"/>
                                <w:szCs w:val="28"/>
                                <w:lang w:val="en-US" w:eastAsia="zh-CN"/>
                              </w:rPr>
                            </w:pPr>
                            <w:r>
                              <w:rPr>
                                <w:rFonts w:hint="eastAsia"/>
                                <w:sz w:val="28"/>
                                <w:szCs w:val="28"/>
                                <w:lang w:eastAsia="zh-CN"/>
                              </w:rPr>
                              <w:t>合同包号：合同包</w:t>
                            </w:r>
                            <w:r>
                              <w:rPr>
                                <w:rFonts w:hint="eastAsia"/>
                                <w:sz w:val="28"/>
                                <w:szCs w:val="28"/>
                                <w:lang w:val="en-US" w:eastAsia="zh-CN"/>
                              </w:rPr>
                              <w:t>X</w:t>
                            </w:r>
                          </w:p>
                          <w:p>
                            <w:pPr>
                              <w:rPr>
                                <w:sz w:val="28"/>
                                <w:szCs w:val="28"/>
                                <w:u w:val="single"/>
                              </w:rPr>
                            </w:pPr>
                            <w:r>
                              <w:rPr>
                                <w:rFonts w:hint="eastAsia"/>
                                <w:sz w:val="28"/>
                                <w:szCs w:val="28"/>
                              </w:rPr>
                              <w:t>供应商（公章）：</w:t>
                            </w:r>
                            <w:r>
                              <w:rPr>
                                <w:rFonts w:hint="eastAsia" w:ascii="宋体" w:hAnsi="宋体" w:cs="宋体"/>
                                <w:sz w:val="28"/>
                                <w:szCs w:val="28"/>
                              </w:rPr>
                              <w:t>______________________</w:t>
                            </w:r>
                          </w:p>
                          <w:p>
                            <w:pPr>
                              <w:adjustRightInd w:val="0"/>
                              <w:snapToGrid w:val="0"/>
                              <w:rPr>
                                <w:sz w:val="28"/>
                                <w:szCs w:val="28"/>
                                <w:u w:val="single"/>
                              </w:rPr>
                            </w:pPr>
                            <w:r>
                              <w:rPr>
                                <w:rFonts w:hint="eastAsia" w:ascii="宋体" w:hAnsi="宋体" w:cs="宋体"/>
                                <w:sz w:val="28"/>
                                <w:szCs w:val="28"/>
                              </w:rPr>
                              <w:t>法定代表人或被授权人（签字或盖章）：______________________</w:t>
                            </w:r>
                          </w:p>
                          <w:p>
                            <w:pPr>
                              <w:rPr>
                                <w:sz w:val="28"/>
                                <w:szCs w:val="28"/>
                              </w:rPr>
                            </w:pPr>
                            <w:r>
                              <w:rPr>
                                <w:rFonts w:hint="eastAsia"/>
                                <w:sz w:val="28"/>
                                <w:szCs w:val="28"/>
                              </w:rPr>
                              <w:t>时          间：</w:t>
                            </w:r>
                            <w:r>
                              <w:rPr>
                                <w:rFonts w:hint="eastAsia"/>
                                <w:sz w:val="28"/>
                                <w:szCs w:val="28"/>
                                <w:u w:val="single"/>
                              </w:rPr>
                              <w:t xml:space="preserve">        年       月      日</w:t>
                            </w:r>
                          </w:p>
                          <w:p>
                            <w:pPr>
                              <w:rPr>
                                <w:sz w:val="28"/>
                                <w:szCs w:val="28"/>
                              </w:rPr>
                            </w:pPr>
                          </w:p>
                        </w:txbxContent>
                      </wps:txbx>
                      <wps:bodyPr wrap="square" upright="1"/>
                    </wps:wsp>
                  </a:graphicData>
                </a:graphic>
              </wp:anchor>
            </w:drawing>
          </mc:Choice>
          <mc:Fallback>
            <w:pict>
              <v:shape id="Text Box 4" o:spid="_x0000_s1026" o:spt="202" type="#_x0000_t202" style="position:absolute;left:0pt;margin-left:-24.75pt;margin-top:5.5pt;height:253.8pt;width:462.25pt;z-index:251669504;mso-width-relative:page;mso-height-relative:page;" fillcolor="#FFFFFF" filled="t" stroked="t" coordsize="21600,21600" o:gfxdata="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mIO+/2QAAAAoBAAAPAAAAAAAAAAEA&#10;IAAAACIAAABkcnMvZG93bnJldi54bWxQSwECFAAUAAAACACHTuJAuJp10g4CAABSBAAADgAAAAAA&#10;AAABACAAAAAoAQAAZHJzL2Uyb0RvYy54bWxQSwUGAAAAAAYABgBZAQAAqAU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致：陕西卓佲项目管理有限公司         项目编号：</w:t>
                      </w:r>
                      <w:r>
                        <w:rPr>
                          <w:rFonts w:hint="eastAsia"/>
                          <w:sz w:val="28"/>
                          <w:szCs w:val="28"/>
                          <w:lang w:eastAsia="zh-CN"/>
                        </w:rPr>
                        <w:t>ZMZB2022YLZY-61</w:t>
                      </w:r>
                    </w:p>
                    <w:p>
                      <w:pPr>
                        <w:rPr>
                          <w:rFonts w:hint="eastAsia" w:eastAsia="宋体"/>
                          <w:sz w:val="28"/>
                          <w:szCs w:val="28"/>
                          <w:lang w:eastAsia="zh-CN"/>
                        </w:rPr>
                      </w:pPr>
                      <w:r>
                        <w:rPr>
                          <w:rFonts w:hint="eastAsia"/>
                          <w:sz w:val="28"/>
                          <w:szCs w:val="28"/>
                        </w:rPr>
                        <w:t>项目名称：</w:t>
                      </w:r>
                      <w:r>
                        <w:rPr>
                          <w:rFonts w:hint="eastAsia"/>
                          <w:sz w:val="28"/>
                          <w:szCs w:val="28"/>
                          <w:lang w:eastAsia="zh-CN"/>
                        </w:rPr>
                        <w:t>杨凌职业技术学院经济与贸易学院实验室建设项目</w:t>
                      </w:r>
                    </w:p>
                    <w:p>
                      <w:pPr>
                        <w:pStyle w:val="14"/>
                        <w:ind w:firstLine="2650" w:firstLineChars="600"/>
                        <w:jc w:val="left"/>
                        <w:rPr>
                          <w:sz w:val="28"/>
                          <w:szCs w:val="28"/>
                        </w:rPr>
                      </w:pPr>
                      <w:r>
                        <w:rPr>
                          <w:rFonts w:hint="eastAsia"/>
                          <w:b/>
                          <w:color w:val="auto"/>
                          <w:sz w:val="44"/>
                          <w:szCs w:val="44"/>
                        </w:rPr>
                        <w:t>投标文件（副本）</w:t>
                      </w:r>
                    </w:p>
                    <w:p>
                      <w:pPr>
                        <w:pStyle w:val="6"/>
                        <w:ind w:firstLine="3092" w:firstLineChars="1100"/>
                        <w:rPr>
                          <w:rFonts w:hint="default"/>
                        </w:rPr>
                      </w:pPr>
                      <w:r>
                        <w:rPr>
                          <w:sz w:val="28"/>
                          <w:szCs w:val="28"/>
                        </w:rPr>
                        <w:t>（非开标会议不得启封）</w:t>
                      </w:r>
                    </w:p>
                    <w:p>
                      <w:pPr>
                        <w:rPr>
                          <w:rFonts w:hint="eastAsia"/>
                          <w:sz w:val="28"/>
                          <w:szCs w:val="28"/>
                          <w:lang w:val="en-US" w:eastAsia="zh-CN"/>
                        </w:rPr>
                      </w:pPr>
                      <w:r>
                        <w:rPr>
                          <w:rFonts w:hint="eastAsia"/>
                          <w:sz w:val="28"/>
                          <w:szCs w:val="28"/>
                          <w:lang w:eastAsia="zh-CN"/>
                        </w:rPr>
                        <w:t>合同包号：合同包</w:t>
                      </w:r>
                      <w:r>
                        <w:rPr>
                          <w:rFonts w:hint="eastAsia"/>
                          <w:sz w:val="28"/>
                          <w:szCs w:val="28"/>
                          <w:lang w:val="en-US" w:eastAsia="zh-CN"/>
                        </w:rPr>
                        <w:t>X</w:t>
                      </w:r>
                    </w:p>
                    <w:p>
                      <w:pPr>
                        <w:rPr>
                          <w:sz w:val="28"/>
                          <w:szCs w:val="28"/>
                          <w:u w:val="single"/>
                        </w:rPr>
                      </w:pPr>
                      <w:r>
                        <w:rPr>
                          <w:rFonts w:hint="eastAsia"/>
                          <w:sz w:val="28"/>
                          <w:szCs w:val="28"/>
                        </w:rPr>
                        <w:t>供应商（公章）：</w:t>
                      </w:r>
                      <w:r>
                        <w:rPr>
                          <w:rFonts w:hint="eastAsia" w:ascii="宋体" w:hAnsi="宋体" w:cs="宋体"/>
                          <w:sz w:val="28"/>
                          <w:szCs w:val="28"/>
                        </w:rPr>
                        <w:t>______________________</w:t>
                      </w:r>
                    </w:p>
                    <w:p>
                      <w:pPr>
                        <w:adjustRightInd w:val="0"/>
                        <w:snapToGrid w:val="0"/>
                        <w:rPr>
                          <w:sz w:val="28"/>
                          <w:szCs w:val="28"/>
                          <w:u w:val="single"/>
                        </w:rPr>
                      </w:pPr>
                      <w:r>
                        <w:rPr>
                          <w:rFonts w:hint="eastAsia" w:ascii="宋体" w:hAnsi="宋体" w:cs="宋体"/>
                          <w:sz w:val="28"/>
                          <w:szCs w:val="28"/>
                        </w:rPr>
                        <w:t>法定代表人或被授权人（签字或盖章）：______________________</w:t>
                      </w:r>
                    </w:p>
                    <w:p>
                      <w:pPr>
                        <w:rPr>
                          <w:sz w:val="28"/>
                          <w:szCs w:val="28"/>
                        </w:rPr>
                      </w:pPr>
                      <w:r>
                        <w:rPr>
                          <w:rFonts w:hint="eastAsia"/>
                          <w:sz w:val="28"/>
                          <w:szCs w:val="28"/>
                        </w:rPr>
                        <w:t>时          间：</w:t>
                      </w:r>
                      <w:r>
                        <w:rPr>
                          <w:rFonts w:hint="eastAsia"/>
                          <w:sz w:val="28"/>
                          <w:szCs w:val="28"/>
                          <w:u w:val="single"/>
                        </w:rPr>
                        <w:t xml:space="preserve">        年       月      日</w:t>
                      </w:r>
                    </w:p>
                    <w:p>
                      <w:pPr>
                        <w:rPr>
                          <w:sz w:val="28"/>
                          <w:szCs w:val="28"/>
                        </w:rPr>
                      </w:pPr>
                    </w:p>
                  </w:txbxContent>
                </v:textbox>
              </v:shape>
            </w:pict>
          </mc:Fallback>
        </mc:AlternateContent>
      </w: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1004" w:firstLineChars="200"/>
        <w:jc w:val="center"/>
        <w:rPr>
          <w:rFonts w:ascii="宋体" w:hAnsi="宋体" w:cs="宋体"/>
          <w:b/>
          <w:sz w:val="50"/>
        </w:rPr>
      </w:pPr>
    </w:p>
    <w:p>
      <w:pPr>
        <w:widowControl/>
        <w:spacing w:line="460" w:lineRule="exact"/>
        <w:ind w:firstLine="480" w:firstLineChars="200"/>
        <w:jc w:val="center"/>
        <w:rPr>
          <w:rFonts w:ascii="宋体" w:hAnsi="宋体" w:cs="宋体"/>
          <w:sz w:val="24"/>
          <w:szCs w:val="28"/>
        </w:rPr>
        <w:sectPr>
          <w:footerReference r:id="rId23" w:type="default"/>
          <w:pgSz w:w="11906" w:h="16838"/>
          <w:pgMar w:top="1440" w:right="1803" w:bottom="1440" w:left="1803" w:header="851" w:footer="992" w:gutter="0"/>
          <w:pgNumType w:fmt="decimal"/>
          <w:cols w:space="720" w:num="1"/>
          <w:docGrid w:type="lines" w:linePitch="319" w:charSpace="0"/>
        </w:sectPr>
      </w:pPr>
    </w:p>
    <w:p>
      <w:pPr>
        <w:spacing w:line="460" w:lineRule="exact"/>
        <w:ind w:firstLine="482" w:firstLineChars="200"/>
        <w:jc w:val="center"/>
        <w:rPr>
          <w:rFonts w:ascii="宋体" w:hAnsi="宋体" w:cs="宋体"/>
          <w:b/>
          <w:sz w:val="24"/>
        </w:rPr>
      </w:pPr>
      <w:r>
        <w:rPr>
          <w:rFonts w:hint="eastAsia" w:ascii="宋体" w:hAnsi="宋体" w:cs="宋体"/>
          <w:b/>
          <w:sz w:val="24"/>
        </w:rPr>
        <w:t>报价一览表封袋正面标识式样</w:t>
      </w:r>
    </w:p>
    <w:p>
      <w:pPr>
        <w:spacing w:line="460" w:lineRule="exact"/>
        <w:ind w:firstLine="420" w:firstLineChars="200"/>
        <w:jc w:val="center"/>
        <w:rPr>
          <w:rFonts w:ascii="宋体" w:hAnsi="宋体" w:cs="宋体"/>
          <w:b/>
          <w:sz w:val="24"/>
        </w:rPr>
      </w:pPr>
      <w:r>
        <w:rPr>
          <w:rFonts w:hint="eastAsia" w:ascii="宋体" w:hAnsi="宋体" w:cs="宋体"/>
        </w:rPr>
        <mc:AlternateContent>
          <mc:Choice Requires="wps">
            <w:drawing>
              <wp:anchor distT="0" distB="0" distL="114300" distR="114300" simplePos="0" relativeHeight="251670528" behindDoc="0" locked="0" layoutInCell="1" allowOverlap="1">
                <wp:simplePos x="0" y="0"/>
                <wp:positionH relativeFrom="column">
                  <wp:posOffset>-325755</wp:posOffset>
                </wp:positionH>
                <wp:positionV relativeFrom="paragraph">
                  <wp:posOffset>191135</wp:posOffset>
                </wp:positionV>
                <wp:extent cx="5760085" cy="3110230"/>
                <wp:effectExtent l="5080" t="4445" r="6985" b="9525"/>
                <wp:wrapNone/>
                <wp:docPr id="11" name="Text Box 3"/>
                <wp:cNvGraphicFramePr/>
                <a:graphic xmlns:a="http://schemas.openxmlformats.org/drawingml/2006/main">
                  <a:graphicData uri="http://schemas.microsoft.com/office/word/2010/wordprocessingShape">
                    <wps:wsp>
                      <wps:cNvSpPr txBox="1"/>
                      <wps:spPr>
                        <a:xfrm>
                          <a:off x="0" y="0"/>
                          <a:ext cx="5706745" cy="31102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致：陕西卓佲项目管理有限公司       项目编号：</w:t>
                            </w:r>
                            <w:r>
                              <w:rPr>
                                <w:rFonts w:hint="eastAsia"/>
                                <w:sz w:val="28"/>
                                <w:szCs w:val="28"/>
                                <w:lang w:eastAsia="zh-CN"/>
                              </w:rPr>
                              <w:t>ZMZB2022YLZY-61</w:t>
                            </w:r>
                          </w:p>
                          <w:p>
                            <w:pPr>
                              <w:rPr>
                                <w:rFonts w:hint="eastAsia" w:eastAsia="宋体"/>
                                <w:sz w:val="28"/>
                                <w:szCs w:val="28"/>
                                <w:lang w:eastAsia="zh-CN"/>
                              </w:rPr>
                            </w:pPr>
                            <w:r>
                              <w:rPr>
                                <w:rFonts w:hint="eastAsia"/>
                                <w:sz w:val="28"/>
                                <w:szCs w:val="28"/>
                              </w:rPr>
                              <w:t>项目名称：</w:t>
                            </w:r>
                            <w:r>
                              <w:rPr>
                                <w:rFonts w:hint="eastAsia"/>
                                <w:sz w:val="28"/>
                                <w:szCs w:val="28"/>
                                <w:lang w:eastAsia="zh-CN"/>
                              </w:rPr>
                              <w:t>杨凌职业技术学院经济与贸易学院实验室建设项目</w:t>
                            </w:r>
                          </w:p>
                          <w:p>
                            <w:pPr>
                              <w:pStyle w:val="6"/>
                              <w:ind w:firstLine="3092" w:firstLineChars="700"/>
                              <w:jc w:val="both"/>
                              <w:rPr>
                                <w:rFonts w:hint="default"/>
                                <w:sz w:val="28"/>
                                <w:szCs w:val="28"/>
                              </w:rPr>
                            </w:pPr>
                            <w:r>
                              <w:rPr>
                                <w:sz w:val="44"/>
                                <w:szCs w:val="44"/>
                              </w:rPr>
                              <w:t>报价一览表</w:t>
                            </w:r>
                          </w:p>
                          <w:p>
                            <w:pPr>
                              <w:pStyle w:val="6"/>
                              <w:ind w:firstLine="2530" w:firstLineChars="900"/>
                              <w:jc w:val="both"/>
                              <w:rPr>
                                <w:rFonts w:hint="default"/>
                                <w:sz w:val="28"/>
                                <w:szCs w:val="28"/>
                              </w:rPr>
                            </w:pPr>
                            <w:r>
                              <w:rPr>
                                <w:sz w:val="28"/>
                                <w:szCs w:val="28"/>
                              </w:rPr>
                              <w:t>（非开标会议不得启封）</w:t>
                            </w:r>
                          </w:p>
                          <w:p>
                            <w:pPr>
                              <w:rPr>
                                <w:rFonts w:hint="eastAsia"/>
                                <w:sz w:val="28"/>
                                <w:szCs w:val="28"/>
                                <w:lang w:val="en-US" w:eastAsia="zh-CN"/>
                              </w:rPr>
                            </w:pPr>
                            <w:r>
                              <w:rPr>
                                <w:rFonts w:hint="eastAsia"/>
                                <w:sz w:val="28"/>
                                <w:szCs w:val="28"/>
                                <w:lang w:eastAsia="zh-CN"/>
                              </w:rPr>
                              <w:t>合同包号：合同包</w:t>
                            </w:r>
                            <w:r>
                              <w:rPr>
                                <w:rFonts w:hint="eastAsia"/>
                                <w:sz w:val="28"/>
                                <w:szCs w:val="28"/>
                                <w:lang w:val="en-US" w:eastAsia="zh-CN"/>
                              </w:rPr>
                              <w:t>X</w:t>
                            </w:r>
                          </w:p>
                          <w:p>
                            <w:pPr>
                              <w:rPr>
                                <w:sz w:val="28"/>
                                <w:szCs w:val="28"/>
                                <w:u w:val="single"/>
                              </w:rPr>
                            </w:pPr>
                            <w:r>
                              <w:rPr>
                                <w:rFonts w:hint="eastAsia"/>
                                <w:sz w:val="28"/>
                                <w:szCs w:val="28"/>
                              </w:rPr>
                              <w:t>供应商（公章）：</w:t>
                            </w:r>
                            <w:r>
                              <w:rPr>
                                <w:rFonts w:hint="eastAsia" w:ascii="宋体" w:hAnsi="宋体" w:cs="宋体"/>
                                <w:sz w:val="28"/>
                                <w:szCs w:val="28"/>
                              </w:rPr>
                              <w:t>______________________</w:t>
                            </w:r>
                          </w:p>
                          <w:p>
                            <w:pPr>
                              <w:adjustRightInd w:val="0"/>
                              <w:snapToGrid w:val="0"/>
                              <w:rPr>
                                <w:sz w:val="28"/>
                                <w:szCs w:val="28"/>
                                <w:u w:val="single"/>
                              </w:rPr>
                            </w:pPr>
                            <w:r>
                              <w:rPr>
                                <w:rFonts w:hint="eastAsia" w:ascii="宋体" w:hAnsi="宋体" w:cs="宋体"/>
                                <w:sz w:val="28"/>
                                <w:szCs w:val="28"/>
                              </w:rPr>
                              <w:t>法定代表人或被授权人（签字或盖章）：______________________</w:t>
                            </w:r>
                          </w:p>
                          <w:p>
                            <w:pPr>
                              <w:rPr>
                                <w:sz w:val="28"/>
                                <w:szCs w:val="28"/>
                              </w:rPr>
                            </w:pPr>
                            <w:r>
                              <w:rPr>
                                <w:rFonts w:hint="eastAsia"/>
                                <w:sz w:val="28"/>
                                <w:szCs w:val="28"/>
                              </w:rPr>
                              <w:t>时          间：</w:t>
                            </w:r>
                            <w:r>
                              <w:rPr>
                                <w:rFonts w:hint="eastAsia"/>
                                <w:sz w:val="28"/>
                                <w:szCs w:val="28"/>
                                <w:u w:val="single"/>
                              </w:rPr>
                              <w:t xml:space="preserve">        年       月      日</w:t>
                            </w:r>
                          </w:p>
                          <w:p>
                            <w:pPr>
                              <w:rPr>
                                <w:sz w:val="28"/>
                                <w:szCs w:val="28"/>
                              </w:rPr>
                            </w:pPr>
                          </w:p>
                        </w:txbxContent>
                      </wps:txbx>
                      <wps:bodyPr wrap="square" upright="1"/>
                    </wps:wsp>
                  </a:graphicData>
                </a:graphic>
              </wp:anchor>
            </w:drawing>
          </mc:Choice>
          <mc:Fallback>
            <w:pict>
              <v:shape id="Text Box 3" o:spid="_x0000_s1026" o:spt="202" type="#_x0000_t202" style="position:absolute;left:0pt;margin-left:-25.65pt;margin-top:15.05pt;height:244.9pt;width:453.55pt;z-index:251670528;mso-width-relative:page;mso-height-relative:page;" fillcolor="#FFFFFF" filled="t" stroked="t" coordsize="21600,21600" o:gfxdata="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HhSItkAAAAKAQAADwAAAAAAAAAB&#10;ACAAAAAiAAAAZHJzL2Rvd25yZXYueG1sUEsBAhQAFAAAAAgAh07iQK6sodAPAgAAUwQAAA4AAAAA&#10;AAAAAQAgAAAAKAEAAGRycy9lMm9Eb2MueG1sUEsFBgAAAAAGAAYAWQEAAKkFA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致：陕西卓佲项目管理有限公司       项目编号：</w:t>
                      </w:r>
                      <w:r>
                        <w:rPr>
                          <w:rFonts w:hint="eastAsia"/>
                          <w:sz w:val="28"/>
                          <w:szCs w:val="28"/>
                          <w:lang w:eastAsia="zh-CN"/>
                        </w:rPr>
                        <w:t>ZMZB2022YLZY-61</w:t>
                      </w:r>
                    </w:p>
                    <w:p>
                      <w:pPr>
                        <w:rPr>
                          <w:rFonts w:hint="eastAsia" w:eastAsia="宋体"/>
                          <w:sz w:val="28"/>
                          <w:szCs w:val="28"/>
                          <w:lang w:eastAsia="zh-CN"/>
                        </w:rPr>
                      </w:pPr>
                      <w:r>
                        <w:rPr>
                          <w:rFonts w:hint="eastAsia"/>
                          <w:sz w:val="28"/>
                          <w:szCs w:val="28"/>
                        </w:rPr>
                        <w:t>项目名称：</w:t>
                      </w:r>
                      <w:r>
                        <w:rPr>
                          <w:rFonts w:hint="eastAsia"/>
                          <w:sz w:val="28"/>
                          <w:szCs w:val="28"/>
                          <w:lang w:eastAsia="zh-CN"/>
                        </w:rPr>
                        <w:t>杨凌职业技术学院经济与贸易学院实验室建设项目</w:t>
                      </w:r>
                    </w:p>
                    <w:p>
                      <w:pPr>
                        <w:pStyle w:val="6"/>
                        <w:ind w:firstLine="3092" w:firstLineChars="700"/>
                        <w:jc w:val="both"/>
                        <w:rPr>
                          <w:rFonts w:hint="default"/>
                          <w:sz w:val="28"/>
                          <w:szCs w:val="28"/>
                        </w:rPr>
                      </w:pPr>
                      <w:r>
                        <w:rPr>
                          <w:sz w:val="44"/>
                          <w:szCs w:val="44"/>
                        </w:rPr>
                        <w:t>报价一览表</w:t>
                      </w:r>
                    </w:p>
                    <w:p>
                      <w:pPr>
                        <w:pStyle w:val="6"/>
                        <w:ind w:firstLine="2530" w:firstLineChars="900"/>
                        <w:jc w:val="both"/>
                        <w:rPr>
                          <w:rFonts w:hint="default"/>
                          <w:sz w:val="28"/>
                          <w:szCs w:val="28"/>
                        </w:rPr>
                      </w:pPr>
                      <w:r>
                        <w:rPr>
                          <w:sz w:val="28"/>
                          <w:szCs w:val="28"/>
                        </w:rPr>
                        <w:t>（非开标会议不得启封）</w:t>
                      </w:r>
                    </w:p>
                    <w:p>
                      <w:pPr>
                        <w:rPr>
                          <w:rFonts w:hint="eastAsia"/>
                          <w:sz w:val="28"/>
                          <w:szCs w:val="28"/>
                          <w:lang w:val="en-US" w:eastAsia="zh-CN"/>
                        </w:rPr>
                      </w:pPr>
                      <w:r>
                        <w:rPr>
                          <w:rFonts w:hint="eastAsia"/>
                          <w:sz w:val="28"/>
                          <w:szCs w:val="28"/>
                          <w:lang w:eastAsia="zh-CN"/>
                        </w:rPr>
                        <w:t>合同包号：合同包</w:t>
                      </w:r>
                      <w:r>
                        <w:rPr>
                          <w:rFonts w:hint="eastAsia"/>
                          <w:sz w:val="28"/>
                          <w:szCs w:val="28"/>
                          <w:lang w:val="en-US" w:eastAsia="zh-CN"/>
                        </w:rPr>
                        <w:t>X</w:t>
                      </w:r>
                    </w:p>
                    <w:p>
                      <w:pPr>
                        <w:rPr>
                          <w:sz w:val="28"/>
                          <w:szCs w:val="28"/>
                          <w:u w:val="single"/>
                        </w:rPr>
                      </w:pPr>
                      <w:r>
                        <w:rPr>
                          <w:rFonts w:hint="eastAsia"/>
                          <w:sz w:val="28"/>
                          <w:szCs w:val="28"/>
                        </w:rPr>
                        <w:t>供应商（公章）：</w:t>
                      </w:r>
                      <w:r>
                        <w:rPr>
                          <w:rFonts w:hint="eastAsia" w:ascii="宋体" w:hAnsi="宋体" w:cs="宋体"/>
                          <w:sz w:val="28"/>
                          <w:szCs w:val="28"/>
                        </w:rPr>
                        <w:t>______________________</w:t>
                      </w:r>
                    </w:p>
                    <w:p>
                      <w:pPr>
                        <w:adjustRightInd w:val="0"/>
                        <w:snapToGrid w:val="0"/>
                        <w:rPr>
                          <w:sz w:val="28"/>
                          <w:szCs w:val="28"/>
                          <w:u w:val="single"/>
                        </w:rPr>
                      </w:pPr>
                      <w:r>
                        <w:rPr>
                          <w:rFonts w:hint="eastAsia" w:ascii="宋体" w:hAnsi="宋体" w:cs="宋体"/>
                          <w:sz w:val="28"/>
                          <w:szCs w:val="28"/>
                        </w:rPr>
                        <w:t>法定代表人或被授权人（签字或盖章）：______________________</w:t>
                      </w:r>
                    </w:p>
                    <w:p>
                      <w:pPr>
                        <w:rPr>
                          <w:sz w:val="28"/>
                          <w:szCs w:val="28"/>
                        </w:rPr>
                      </w:pPr>
                      <w:r>
                        <w:rPr>
                          <w:rFonts w:hint="eastAsia"/>
                          <w:sz w:val="28"/>
                          <w:szCs w:val="28"/>
                        </w:rPr>
                        <w:t>时          间：</w:t>
                      </w:r>
                      <w:r>
                        <w:rPr>
                          <w:rFonts w:hint="eastAsia"/>
                          <w:sz w:val="28"/>
                          <w:szCs w:val="28"/>
                          <w:u w:val="single"/>
                        </w:rPr>
                        <w:t xml:space="preserve">        年       月      日</w:t>
                      </w:r>
                    </w:p>
                    <w:p>
                      <w:pPr>
                        <w:rPr>
                          <w:sz w:val="28"/>
                          <w:szCs w:val="28"/>
                        </w:rPr>
                      </w:pPr>
                    </w:p>
                  </w:txbxContent>
                </v:textbox>
              </v:shape>
            </w:pict>
          </mc:Fallback>
        </mc:AlternateContent>
      </w: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ind w:firstLine="482" w:firstLineChars="200"/>
        <w:jc w:val="center"/>
        <w:rPr>
          <w:rFonts w:ascii="宋体" w:hAnsi="宋体" w:cs="宋体"/>
          <w:b/>
          <w:sz w:val="24"/>
        </w:rPr>
      </w:pPr>
    </w:p>
    <w:p>
      <w:pPr>
        <w:spacing w:line="460" w:lineRule="exact"/>
        <w:jc w:val="center"/>
        <w:rPr>
          <w:rFonts w:ascii="宋体" w:hAnsi="宋体" w:cs="宋体"/>
          <w:b/>
          <w:sz w:val="24"/>
        </w:rPr>
      </w:pPr>
    </w:p>
    <w:p>
      <w:pPr>
        <w:spacing w:line="460" w:lineRule="exact"/>
        <w:jc w:val="center"/>
        <w:rPr>
          <w:rFonts w:ascii="宋体" w:hAnsi="宋体" w:cs="宋体"/>
          <w:b/>
          <w:sz w:val="24"/>
        </w:rPr>
      </w:pPr>
    </w:p>
    <w:p>
      <w:pPr>
        <w:spacing w:line="460" w:lineRule="exact"/>
        <w:jc w:val="center"/>
        <w:rPr>
          <w:rFonts w:ascii="宋体" w:hAnsi="宋体" w:cs="宋体"/>
          <w:b/>
          <w:sz w:val="24"/>
        </w:rPr>
      </w:pPr>
      <w:r>
        <w:rPr>
          <w:rFonts w:hint="eastAsia" w:ascii="宋体" w:hAnsi="宋体" w:cs="宋体"/>
          <w:b/>
          <w:sz w:val="24"/>
        </w:rPr>
        <w:t>电子文档封袋正面标识式样</w:t>
      </w:r>
    </w:p>
    <w:p>
      <w:pPr>
        <w:tabs>
          <w:tab w:val="left" w:pos="8280"/>
        </w:tabs>
        <w:spacing w:line="460" w:lineRule="exact"/>
        <w:ind w:firstLine="420" w:firstLineChars="200"/>
        <w:jc w:val="center"/>
        <w:rPr>
          <w:rFonts w:ascii="宋体" w:hAnsi="宋体" w:cs="宋体"/>
          <w:b/>
          <w:sz w:val="24"/>
        </w:rPr>
      </w:pPr>
      <w:r>
        <w:rPr>
          <w:rFonts w:hint="eastAsia" w:ascii="宋体" w:hAnsi="宋体" w:cs="宋体"/>
        </w:rPr>
        <mc:AlternateContent>
          <mc:Choice Requires="wps">
            <w:drawing>
              <wp:anchor distT="0" distB="0" distL="114300" distR="114300" simplePos="0" relativeHeight="251671552" behindDoc="0" locked="0" layoutInCell="1" allowOverlap="1">
                <wp:simplePos x="0" y="0"/>
                <wp:positionH relativeFrom="column">
                  <wp:posOffset>-331470</wp:posOffset>
                </wp:positionH>
                <wp:positionV relativeFrom="paragraph">
                  <wp:posOffset>142240</wp:posOffset>
                </wp:positionV>
                <wp:extent cx="5796280" cy="3162935"/>
                <wp:effectExtent l="4445" t="4445" r="9525" b="13970"/>
                <wp:wrapNone/>
                <wp:docPr id="10" name="Text Box 3"/>
                <wp:cNvGraphicFramePr/>
                <a:graphic xmlns:a="http://schemas.openxmlformats.org/drawingml/2006/main">
                  <a:graphicData uri="http://schemas.microsoft.com/office/word/2010/wordprocessingShape">
                    <wps:wsp>
                      <wps:cNvSpPr txBox="1"/>
                      <wps:spPr>
                        <a:xfrm>
                          <a:off x="0" y="0"/>
                          <a:ext cx="5750560" cy="31629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致：陕西卓佲项目管理有限公司        项目编号：</w:t>
                            </w:r>
                            <w:r>
                              <w:rPr>
                                <w:rFonts w:hint="eastAsia"/>
                                <w:sz w:val="28"/>
                                <w:szCs w:val="28"/>
                                <w:lang w:eastAsia="zh-CN"/>
                              </w:rPr>
                              <w:t>ZMZB2022YLZY-61</w:t>
                            </w:r>
                          </w:p>
                          <w:p>
                            <w:pPr>
                              <w:rPr>
                                <w:rFonts w:hint="eastAsia" w:eastAsia="宋体"/>
                                <w:sz w:val="28"/>
                                <w:szCs w:val="28"/>
                                <w:lang w:eastAsia="zh-CN"/>
                              </w:rPr>
                            </w:pPr>
                            <w:r>
                              <w:rPr>
                                <w:rFonts w:hint="eastAsia"/>
                                <w:sz w:val="28"/>
                                <w:szCs w:val="28"/>
                              </w:rPr>
                              <w:t>项目名称：</w:t>
                            </w:r>
                            <w:r>
                              <w:rPr>
                                <w:rFonts w:hint="eastAsia"/>
                                <w:sz w:val="28"/>
                                <w:szCs w:val="28"/>
                                <w:lang w:eastAsia="zh-CN"/>
                              </w:rPr>
                              <w:t>杨凌职业技术学院经济与贸易学院实验室建设项目</w:t>
                            </w:r>
                          </w:p>
                          <w:p>
                            <w:pPr>
                              <w:pStyle w:val="6"/>
                              <w:ind w:firstLine="3534" w:firstLineChars="800"/>
                              <w:jc w:val="both"/>
                              <w:rPr>
                                <w:rFonts w:hint="default"/>
                                <w:sz w:val="28"/>
                                <w:szCs w:val="28"/>
                              </w:rPr>
                            </w:pPr>
                            <w:r>
                              <w:rPr>
                                <w:sz w:val="44"/>
                                <w:szCs w:val="44"/>
                              </w:rPr>
                              <w:t>电子文档</w:t>
                            </w:r>
                          </w:p>
                          <w:p>
                            <w:pPr>
                              <w:ind w:firstLine="2800" w:firstLineChars="1000"/>
                              <w:rPr>
                                <w:sz w:val="28"/>
                                <w:szCs w:val="28"/>
                              </w:rPr>
                            </w:pPr>
                            <w:r>
                              <w:rPr>
                                <w:rFonts w:hint="eastAsia"/>
                                <w:sz w:val="28"/>
                                <w:szCs w:val="28"/>
                              </w:rPr>
                              <w:t>（非开标会议不得启封）</w:t>
                            </w:r>
                          </w:p>
                          <w:p>
                            <w:pPr>
                              <w:rPr>
                                <w:rFonts w:hint="eastAsia"/>
                                <w:sz w:val="28"/>
                                <w:szCs w:val="28"/>
                                <w:lang w:val="en-US" w:eastAsia="zh-CN"/>
                              </w:rPr>
                            </w:pPr>
                            <w:r>
                              <w:rPr>
                                <w:rFonts w:hint="eastAsia"/>
                                <w:sz w:val="28"/>
                                <w:szCs w:val="28"/>
                                <w:lang w:eastAsia="zh-CN"/>
                              </w:rPr>
                              <w:t>合同包号：合同包</w:t>
                            </w:r>
                            <w:r>
                              <w:rPr>
                                <w:rFonts w:hint="eastAsia"/>
                                <w:sz w:val="28"/>
                                <w:szCs w:val="28"/>
                                <w:lang w:val="en-US" w:eastAsia="zh-CN"/>
                              </w:rPr>
                              <w:t>X</w:t>
                            </w:r>
                          </w:p>
                          <w:p>
                            <w:pPr>
                              <w:rPr>
                                <w:sz w:val="28"/>
                                <w:szCs w:val="28"/>
                                <w:u w:val="single"/>
                              </w:rPr>
                            </w:pPr>
                            <w:r>
                              <w:rPr>
                                <w:rFonts w:hint="eastAsia"/>
                                <w:sz w:val="28"/>
                                <w:szCs w:val="28"/>
                              </w:rPr>
                              <w:t>供应商（公章）：</w:t>
                            </w:r>
                            <w:r>
                              <w:rPr>
                                <w:rFonts w:hint="eastAsia" w:ascii="宋体" w:hAnsi="宋体" w:cs="宋体"/>
                                <w:sz w:val="28"/>
                                <w:szCs w:val="28"/>
                              </w:rPr>
                              <w:t>______________________</w:t>
                            </w:r>
                          </w:p>
                          <w:p>
                            <w:pPr>
                              <w:adjustRightInd w:val="0"/>
                              <w:snapToGrid w:val="0"/>
                              <w:rPr>
                                <w:sz w:val="28"/>
                                <w:szCs w:val="28"/>
                                <w:u w:val="single"/>
                              </w:rPr>
                            </w:pPr>
                            <w:r>
                              <w:rPr>
                                <w:rFonts w:hint="eastAsia" w:ascii="宋体" w:hAnsi="宋体" w:cs="宋体"/>
                                <w:sz w:val="28"/>
                                <w:szCs w:val="28"/>
                              </w:rPr>
                              <w:t>法定代表人或被授权人（签字或盖章）：______________________</w:t>
                            </w:r>
                          </w:p>
                          <w:p>
                            <w:pPr>
                              <w:rPr>
                                <w:sz w:val="28"/>
                                <w:szCs w:val="28"/>
                              </w:rPr>
                            </w:pPr>
                            <w:r>
                              <w:rPr>
                                <w:rFonts w:hint="eastAsia"/>
                                <w:sz w:val="28"/>
                                <w:szCs w:val="28"/>
                              </w:rPr>
                              <w:t>时          间：</w:t>
                            </w:r>
                            <w:r>
                              <w:rPr>
                                <w:rFonts w:hint="eastAsia"/>
                                <w:sz w:val="28"/>
                                <w:szCs w:val="28"/>
                                <w:u w:val="single"/>
                              </w:rPr>
                              <w:t xml:space="preserve">        年       月      日</w:t>
                            </w:r>
                          </w:p>
                          <w:p/>
                          <w:p>
                            <w:pPr>
                              <w:rPr>
                                <w:sz w:val="28"/>
                                <w:szCs w:val="28"/>
                              </w:rPr>
                            </w:pPr>
                          </w:p>
                        </w:txbxContent>
                      </wps:txbx>
                      <wps:bodyPr wrap="square" upright="1"/>
                    </wps:wsp>
                  </a:graphicData>
                </a:graphic>
              </wp:anchor>
            </w:drawing>
          </mc:Choice>
          <mc:Fallback>
            <w:pict>
              <v:shape id="Text Box 3" o:spid="_x0000_s1026" o:spt="202" type="#_x0000_t202" style="position:absolute;left:0pt;margin-left:-26.1pt;margin-top:11.2pt;height:249.05pt;width:456.4pt;z-index:251671552;mso-width-relative:page;mso-height-relative:page;" fillcolor="#FFFFFF" filled="t" stroked="t" coordsize="21600,21600" o:gfxdata="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kxketoAAAAKAQAADwAAAAAAAAABACAA&#10;AAAiAAAAZHJzL2Rvd25yZXYueG1sUEsBAhQAFAAAAAgAh07iQBjqdLALAgAAUwQAAA4AAAAAAAAA&#10;AQAgAAAAKQEAAGRycy9lMm9Eb2MueG1sUEsFBgAAAAAGAAYAWQEAAKYFA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致：陕西卓佲项目管理有限公司        项目编号：</w:t>
                      </w:r>
                      <w:r>
                        <w:rPr>
                          <w:rFonts w:hint="eastAsia"/>
                          <w:sz w:val="28"/>
                          <w:szCs w:val="28"/>
                          <w:lang w:eastAsia="zh-CN"/>
                        </w:rPr>
                        <w:t>ZMZB2022YLZY-61</w:t>
                      </w:r>
                    </w:p>
                    <w:p>
                      <w:pPr>
                        <w:rPr>
                          <w:rFonts w:hint="eastAsia" w:eastAsia="宋体"/>
                          <w:sz w:val="28"/>
                          <w:szCs w:val="28"/>
                          <w:lang w:eastAsia="zh-CN"/>
                        </w:rPr>
                      </w:pPr>
                      <w:r>
                        <w:rPr>
                          <w:rFonts w:hint="eastAsia"/>
                          <w:sz w:val="28"/>
                          <w:szCs w:val="28"/>
                        </w:rPr>
                        <w:t>项目名称：</w:t>
                      </w:r>
                      <w:r>
                        <w:rPr>
                          <w:rFonts w:hint="eastAsia"/>
                          <w:sz w:val="28"/>
                          <w:szCs w:val="28"/>
                          <w:lang w:eastAsia="zh-CN"/>
                        </w:rPr>
                        <w:t>杨凌职业技术学院经济与贸易学院实验室建设项目</w:t>
                      </w:r>
                    </w:p>
                    <w:p>
                      <w:pPr>
                        <w:pStyle w:val="6"/>
                        <w:ind w:firstLine="3534" w:firstLineChars="800"/>
                        <w:jc w:val="both"/>
                        <w:rPr>
                          <w:rFonts w:hint="default"/>
                          <w:sz w:val="28"/>
                          <w:szCs w:val="28"/>
                        </w:rPr>
                      </w:pPr>
                      <w:r>
                        <w:rPr>
                          <w:sz w:val="44"/>
                          <w:szCs w:val="44"/>
                        </w:rPr>
                        <w:t>电子文档</w:t>
                      </w:r>
                    </w:p>
                    <w:p>
                      <w:pPr>
                        <w:ind w:firstLine="2800" w:firstLineChars="1000"/>
                        <w:rPr>
                          <w:sz w:val="28"/>
                          <w:szCs w:val="28"/>
                        </w:rPr>
                      </w:pPr>
                      <w:r>
                        <w:rPr>
                          <w:rFonts w:hint="eastAsia"/>
                          <w:sz w:val="28"/>
                          <w:szCs w:val="28"/>
                        </w:rPr>
                        <w:t>（非开标会议不得启封）</w:t>
                      </w:r>
                    </w:p>
                    <w:p>
                      <w:pPr>
                        <w:rPr>
                          <w:rFonts w:hint="eastAsia"/>
                          <w:sz w:val="28"/>
                          <w:szCs w:val="28"/>
                          <w:lang w:val="en-US" w:eastAsia="zh-CN"/>
                        </w:rPr>
                      </w:pPr>
                      <w:r>
                        <w:rPr>
                          <w:rFonts w:hint="eastAsia"/>
                          <w:sz w:val="28"/>
                          <w:szCs w:val="28"/>
                          <w:lang w:eastAsia="zh-CN"/>
                        </w:rPr>
                        <w:t>合同包号：合同包</w:t>
                      </w:r>
                      <w:r>
                        <w:rPr>
                          <w:rFonts w:hint="eastAsia"/>
                          <w:sz w:val="28"/>
                          <w:szCs w:val="28"/>
                          <w:lang w:val="en-US" w:eastAsia="zh-CN"/>
                        </w:rPr>
                        <w:t>X</w:t>
                      </w:r>
                    </w:p>
                    <w:p>
                      <w:pPr>
                        <w:rPr>
                          <w:sz w:val="28"/>
                          <w:szCs w:val="28"/>
                          <w:u w:val="single"/>
                        </w:rPr>
                      </w:pPr>
                      <w:r>
                        <w:rPr>
                          <w:rFonts w:hint="eastAsia"/>
                          <w:sz w:val="28"/>
                          <w:szCs w:val="28"/>
                        </w:rPr>
                        <w:t>供应商（公章）：</w:t>
                      </w:r>
                      <w:r>
                        <w:rPr>
                          <w:rFonts w:hint="eastAsia" w:ascii="宋体" w:hAnsi="宋体" w:cs="宋体"/>
                          <w:sz w:val="28"/>
                          <w:szCs w:val="28"/>
                        </w:rPr>
                        <w:t>______________________</w:t>
                      </w:r>
                    </w:p>
                    <w:p>
                      <w:pPr>
                        <w:adjustRightInd w:val="0"/>
                        <w:snapToGrid w:val="0"/>
                        <w:rPr>
                          <w:sz w:val="28"/>
                          <w:szCs w:val="28"/>
                          <w:u w:val="single"/>
                        </w:rPr>
                      </w:pPr>
                      <w:r>
                        <w:rPr>
                          <w:rFonts w:hint="eastAsia" w:ascii="宋体" w:hAnsi="宋体" w:cs="宋体"/>
                          <w:sz w:val="28"/>
                          <w:szCs w:val="28"/>
                        </w:rPr>
                        <w:t>法定代表人或被授权人（签字或盖章）：______________________</w:t>
                      </w:r>
                    </w:p>
                    <w:p>
                      <w:pPr>
                        <w:rPr>
                          <w:sz w:val="28"/>
                          <w:szCs w:val="28"/>
                        </w:rPr>
                      </w:pPr>
                      <w:r>
                        <w:rPr>
                          <w:rFonts w:hint="eastAsia"/>
                          <w:sz w:val="28"/>
                          <w:szCs w:val="28"/>
                        </w:rPr>
                        <w:t>时          间：</w:t>
                      </w:r>
                      <w:r>
                        <w:rPr>
                          <w:rFonts w:hint="eastAsia"/>
                          <w:sz w:val="28"/>
                          <w:szCs w:val="28"/>
                          <w:u w:val="single"/>
                        </w:rPr>
                        <w:t xml:space="preserve">        年       月      日</w:t>
                      </w:r>
                    </w:p>
                    <w:p/>
                    <w:p>
                      <w:pPr>
                        <w:rPr>
                          <w:sz w:val="28"/>
                          <w:szCs w:val="28"/>
                        </w:rPr>
                      </w:pPr>
                    </w:p>
                  </w:txbxContent>
                </v:textbox>
              </v:shape>
            </w:pict>
          </mc:Fallback>
        </mc:AlternateContent>
      </w: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420" w:firstLineChars="200"/>
        <w:jc w:val="center"/>
        <w:rPr>
          <w:rFonts w:ascii="宋体" w:hAnsi="宋体" w:cs="宋体"/>
        </w:rPr>
      </w:pPr>
    </w:p>
    <w:p>
      <w:pPr>
        <w:ind w:firstLine="1004" w:firstLineChars="200"/>
        <w:jc w:val="center"/>
        <w:rPr>
          <w:rFonts w:ascii="宋体" w:hAnsi="宋体" w:cs="宋体"/>
          <w:b/>
          <w:sz w:val="50"/>
        </w:rPr>
      </w:pPr>
    </w:p>
    <w:p>
      <w:pPr>
        <w:pageBreakBefore/>
        <w:spacing w:line="420" w:lineRule="auto"/>
        <w:jc w:val="center"/>
        <w:rPr>
          <w:rFonts w:ascii="宋体" w:hAnsi="宋体" w:cs="宋体"/>
          <w:b/>
          <w:bCs/>
          <w:sz w:val="36"/>
          <w:szCs w:val="36"/>
        </w:rPr>
        <w:sectPr>
          <w:pgSz w:w="11906" w:h="16838"/>
          <w:pgMar w:top="1440" w:right="1803" w:bottom="1440" w:left="1803" w:header="851" w:footer="992" w:gutter="0"/>
          <w:pgNumType w:fmt="decimal"/>
          <w:cols w:space="720" w:num="1"/>
          <w:docGrid w:type="lines" w:linePitch="319" w:charSpace="0"/>
        </w:sectPr>
      </w:pPr>
    </w:p>
    <w:p>
      <w:pPr>
        <w:pStyle w:val="5"/>
        <w:adjustRightInd w:val="0"/>
        <w:spacing w:line="416" w:lineRule="atLeast"/>
        <w:textAlignment w:val="baseline"/>
        <w:rPr>
          <w:rFonts w:ascii="宋体" w:hAnsi="宋体" w:cs="宋体"/>
        </w:rPr>
      </w:pPr>
      <w:bookmarkStart w:id="245" w:name="_Toc8177"/>
      <w:bookmarkStart w:id="246" w:name="_Toc3008"/>
      <w:bookmarkStart w:id="247" w:name="_Toc11632"/>
      <w:bookmarkStart w:id="248" w:name="_Toc2630"/>
      <w:bookmarkStart w:id="249" w:name="_Toc20088"/>
      <w:bookmarkStart w:id="250" w:name="_Toc1641"/>
      <w:bookmarkStart w:id="251" w:name="_Toc30485"/>
      <w:bookmarkStart w:id="252" w:name="_Toc18633"/>
      <w:bookmarkStart w:id="253" w:name="_Toc20374"/>
      <w:bookmarkStart w:id="254" w:name="_Toc27136"/>
      <w:bookmarkStart w:id="255" w:name="_Toc13028"/>
      <w:bookmarkStart w:id="256" w:name="_Toc30536"/>
      <w:bookmarkStart w:id="257" w:name="_Toc15467"/>
      <w:bookmarkStart w:id="258" w:name="_Toc30870"/>
      <w:r>
        <w:rPr>
          <w:rFonts w:hint="eastAsia" w:ascii="宋体" w:hAnsi="宋体" w:cs="宋体"/>
        </w:rPr>
        <w:t>附件二、中小企业申明</w:t>
      </w:r>
      <w:bookmarkEnd w:id="245"/>
      <w:bookmarkEnd w:id="246"/>
      <w:bookmarkEnd w:id="247"/>
      <w:bookmarkEnd w:id="248"/>
      <w:bookmarkEnd w:id="249"/>
      <w:bookmarkEnd w:id="250"/>
      <w:bookmarkEnd w:id="251"/>
      <w:bookmarkEnd w:id="252"/>
      <w:bookmarkEnd w:id="253"/>
      <w:r>
        <w:rPr>
          <w:rFonts w:hint="eastAsia" w:ascii="宋体" w:hAnsi="宋体" w:cs="宋体"/>
        </w:rPr>
        <w:t>（货物）</w:t>
      </w:r>
      <w:bookmarkEnd w:id="254"/>
      <w:bookmarkEnd w:id="255"/>
    </w:p>
    <w:p>
      <w:pPr>
        <w:spacing w:line="360" w:lineRule="auto"/>
        <w:ind w:right="140" w:firstLine="641"/>
        <w:rPr>
          <w:rFonts w:ascii="宋体" w:hAnsi="宋体" w:cs="宋体"/>
          <w:sz w:val="24"/>
          <w:szCs w:val="24"/>
        </w:rPr>
      </w:pPr>
      <w:bookmarkStart w:id="259" w:name="_Toc5814"/>
      <w:bookmarkStart w:id="260" w:name="_Toc21117"/>
      <w:bookmarkStart w:id="261" w:name="_Toc32438"/>
      <w:bookmarkStart w:id="262" w:name="_Toc11896"/>
      <w:bookmarkStart w:id="263" w:name="_Toc10807"/>
      <w:bookmarkStart w:id="264" w:name="_Toc6022"/>
      <w:bookmarkStart w:id="265" w:name="_Toc12531"/>
      <w:r>
        <w:rPr>
          <w:rFonts w:hint="eastAsia" w:ascii="宋体" w:hAnsi="宋体" w:cs="宋体"/>
          <w:sz w:val="24"/>
          <w:szCs w:val="24"/>
        </w:rPr>
        <w:t>本公司（联合体）郑重声明，根据《政府采购促进中小企业发展管理办法》（财库﹝2020﹞46 号）的规定，本公司（联合体）参加</w:t>
      </w:r>
      <w:r>
        <w:rPr>
          <w:rFonts w:hint="eastAsia" w:ascii="宋体" w:hAnsi="宋体" w:cs="宋体"/>
          <w:sz w:val="24"/>
          <w:szCs w:val="24"/>
          <w:u w:val="single"/>
        </w:rPr>
        <w:t>（单位名称）</w:t>
      </w:r>
      <w:r>
        <w:rPr>
          <w:rFonts w:hint="eastAsia" w:ascii="宋体" w:hAnsi="宋体" w:cs="宋体"/>
          <w:sz w:val="24"/>
          <w:szCs w:val="24"/>
        </w:rPr>
        <w:t>的</w:t>
      </w:r>
      <w:r>
        <w:rPr>
          <w:rFonts w:hint="eastAsia" w:ascii="宋体" w:hAnsi="宋体" w:cs="宋体"/>
          <w:sz w:val="24"/>
          <w:szCs w:val="24"/>
          <w:u w:val="single"/>
        </w:rPr>
        <w:t>（项目名称）</w:t>
      </w:r>
      <w:r>
        <w:rPr>
          <w:rFonts w:hint="eastAsia" w:ascii="宋体" w:hAnsi="宋体" w:cs="宋体"/>
          <w:sz w:val="24"/>
          <w:szCs w:val="24"/>
        </w:rPr>
        <w:t>采购活动，提供的货物全部由符合政策要求的中小企业制造。相关企业（含联合体中的中小企业、签订分包意向协议的中小企业）的具体情况如下：</w:t>
      </w:r>
    </w:p>
    <w:p>
      <w:pPr>
        <w:pStyle w:val="14"/>
        <w:numPr>
          <w:ilvl w:val="0"/>
          <w:numId w:val="32"/>
        </w:numPr>
        <w:spacing w:line="360" w:lineRule="auto"/>
        <w:rPr>
          <w:rFonts w:ascii="宋体" w:hAnsi="宋体" w:cs="宋体"/>
          <w:color w:val="auto"/>
          <w:w w:val="97"/>
        </w:rPr>
      </w:pPr>
      <w:r>
        <w:rPr>
          <w:rFonts w:hint="eastAsia" w:ascii="宋体" w:hAnsi="宋体" w:cs="宋体"/>
          <w:color w:val="auto"/>
          <w:w w:val="97"/>
          <w:u w:val="single"/>
        </w:rPr>
        <w:t xml:space="preserve">    （标的名称）</w:t>
      </w:r>
      <w:r>
        <w:rPr>
          <w:rFonts w:hint="eastAsia" w:ascii="宋体" w:hAnsi="宋体" w:cs="宋体"/>
          <w:color w:val="auto"/>
          <w:w w:val="97"/>
        </w:rPr>
        <w:t xml:space="preserve"> ，属于</w:t>
      </w:r>
      <w:r>
        <w:rPr>
          <w:rFonts w:hint="eastAsia" w:ascii="宋体" w:hAnsi="宋体" w:cs="宋体"/>
          <w:color w:val="auto"/>
          <w:w w:val="97"/>
          <w:u w:val="single"/>
        </w:rPr>
        <w:t xml:space="preserve">                （采购文件中明确的所属行业）            </w:t>
      </w:r>
    </w:p>
    <w:p>
      <w:pPr>
        <w:spacing w:line="360" w:lineRule="auto"/>
        <w:rPr>
          <w:rFonts w:ascii="宋体" w:hAnsi="宋体" w:cs="宋体"/>
          <w:w w:val="97"/>
          <w:sz w:val="24"/>
          <w:szCs w:val="24"/>
          <w:u w:val="single"/>
        </w:rPr>
      </w:pPr>
      <w:r>
        <w:rPr>
          <w:rFonts w:hint="eastAsia" w:ascii="宋体" w:hAnsi="宋体" w:cs="宋体"/>
          <w:w w:val="97"/>
          <w:sz w:val="24"/>
          <w:szCs w:val="24"/>
          <w:u w:val="single"/>
        </w:rPr>
        <w:t>行业；</w:t>
      </w:r>
      <w:r>
        <w:rPr>
          <w:rFonts w:hint="eastAsia" w:ascii="宋体" w:hAnsi="宋体" w:cs="宋体"/>
          <w:w w:val="97"/>
          <w:sz w:val="24"/>
          <w:szCs w:val="24"/>
        </w:rPr>
        <w:t xml:space="preserve">制造商为 </w:t>
      </w:r>
      <w:r>
        <w:rPr>
          <w:rFonts w:hint="eastAsia" w:ascii="宋体" w:hAnsi="宋体" w:cs="宋体"/>
          <w:w w:val="97"/>
          <w:sz w:val="24"/>
          <w:szCs w:val="24"/>
          <w:u w:val="single"/>
        </w:rPr>
        <w:t>（企业名称）      ，</w:t>
      </w:r>
      <w:r>
        <w:rPr>
          <w:rFonts w:hint="eastAsia" w:ascii="宋体" w:hAnsi="宋体" w:cs="宋体"/>
          <w:w w:val="97"/>
          <w:sz w:val="24"/>
          <w:szCs w:val="24"/>
        </w:rPr>
        <w:t>从业人员</w:t>
      </w:r>
      <w:r>
        <w:rPr>
          <w:rFonts w:hint="eastAsia" w:ascii="宋体" w:hAnsi="宋体" w:cs="宋体"/>
          <w:w w:val="97"/>
          <w:sz w:val="24"/>
          <w:szCs w:val="24"/>
          <w:u w:val="single"/>
        </w:rPr>
        <w:t xml:space="preserve">      </w:t>
      </w:r>
      <w:r>
        <w:rPr>
          <w:rFonts w:hint="eastAsia" w:ascii="宋体" w:hAnsi="宋体" w:cs="宋体"/>
          <w:w w:val="97"/>
          <w:sz w:val="24"/>
          <w:szCs w:val="24"/>
        </w:rPr>
        <w:t>人，营业收入为</w:t>
      </w:r>
      <w:r>
        <w:rPr>
          <w:rFonts w:hint="eastAsia" w:ascii="宋体" w:hAnsi="宋体" w:cs="宋体"/>
          <w:w w:val="97"/>
          <w:sz w:val="24"/>
          <w:szCs w:val="24"/>
          <w:u w:val="single"/>
        </w:rPr>
        <w:t xml:space="preserve">   </w:t>
      </w:r>
      <w:r>
        <w:rPr>
          <w:rFonts w:hint="eastAsia" w:ascii="宋体" w:hAnsi="宋体" w:cs="宋体"/>
          <w:w w:val="97"/>
          <w:sz w:val="24"/>
          <w:szCs w:val="24"/>
        </w:rPr>
        <w:t>万元，资产总额为</w:t>
      </w:r>
      <w:r>
        <w:rPr>
          <w:rFonts w:hint="eastAsia" w:ascii="宋体" w:hAnsi="宋体" w:cs="宋体"/>
          <w:w w:val="97"/>
          <w:sz w:val="24"/>
          <w:szCs w:val="24"/>
          <w:u w:val="single"/>
        </w:rPr>
        <w:t xml:space="preserve">     </w:t>
      </w:r>
      <w:r>
        <w:rPr>
          <w:rFonts w:hint="eastAsia" w:ascii="宋体" w:hAnsi="宋体" w:cs="宋体"/>
          <w:w w:val="97"/>
          <w:sz w:val="24"/>
          <w:szCs w:val="24"/>
        </w:rPr>
        <w:t>万元</w:t>
      </w:r>
      <w:r>
        <w:rPr>
          <w:rFonts w:hint="eastAsia" w:ascii="宋体" w:hAnsi="宋体" w:cs="宋体"/>
          <w:w w:val="97"/>
          <w:sz w:val="24"/>
          <w:szCs w:val="24"/>
          <w:vertAlign w:val="superscript"/>
        </w:rPr>
        <w:t>1</w:t>
      </w:r>
      <w:r>
        <w:rPr>
          <w:rFonts w:hint="eastAsia" w:ascii="宋体" w:hAnsi="宋体" w:cs="宋体"/>
          <w:w w:val="97"/>
          <w:sz w:val="24"/>
          <w:szCs w:val="24"/>
        </w:rPr>
        <w:t>，属于</w:t>
      </w:r>
      <w:r>
        <w:rPr>
          <w:rFonts w:hint="eastAsia" w:ascii="宋体" w:hAnsi="宋体" w:cs="宋体"/>
          <w:w w:val="97"/>
          <w:sz w:val="24"/>
          <w:szCs w:val="24"/>
          <w:u w:val="single"/>
        </w:rPr>
        <w:t>（中型企业、小型企业、微型企业）；</w:t>
      </w:r>
    </w:p>
    <w:p>
      <w:pPr>
        <w:pStyle w:val="14"/>
        <w:numPr>
          <w:ilvl w:val="0"/>
          <w:numId w:val="32"/>
        </w:numPr>
        <w:spacing w:line="360" w:lineRule="auto"/>
        <w:rPr>
          <w:rFonts w:ascii="宋体" w:hAnsi="宋体" w:cs="宋体"/>
          <w:color w:val="auto"/>
          <w:w w:val="97"/>
        </w:rPr>
      </w:pPr>
      <w:r>
        <w:rPr>
          <w:rFonts w:hint="eastAsia" w:ascii="宋体" w:hAnsi="宋体" w:cs="宋体"/>
          <w:color w:val="auto"/>
          <w:w w:val="97"/>
          <w:u w:val="single"/>
        </w:rPr>
        <w:t xml:space="preserve">    （标的名称）</w:t>
      </w:r>
      <w:r>
        <w:rPr>
          <w:rFonts w:hint="eastAsia" w:ascii="宋体" w:hAnsi="宋体" w:cs="宋体"/>
          <w:color w:val="auto"/>
          <w:w w:val="97"/>
        </w:rPr>
        <w:t xml:space="preserve"> ，属于</w:t>
      </w:r>
      <w:r>
        <w:rPr>
          <w:rFonts w:hint="eastAsia" w:ascii="宋体" w:hAnsi="宋体" w:cs="宋体"/>
          <w:color w:val="auto"/>
          <w:w w:val="97"/>
          <w:u w:val="single"/>
        </w:rPr>
        <w:t xml:space="preserve">                （采购文件中明确的所属行业）            </w:t>
      </w:r>
    </w:p>
    <w:p>
      <w:pPr>
        <w:spacing w:line="360" w:lineRule="auto"/>
        <w:rPr>
          <w:rFonts w:ascii="宋体" w:hAnsi="宋体" w:cs="宋体"/>
          <w:w w:val="97"/>
          <w:sz w:val="24"/>
          <w:szCs w:val="24"/>
          <w:u w:val="single"/>
        </w:rPr>
      </w:pPr>
      <w:r>
        <w:rPr>
          <w:rFonts w:hint="eastAsia" w:ascii="宋体" w:hAnsi="宋体" w:cs="宋体"/>
          <w:w w:val="97"/>
          <w:sz w:val="24"/>
          <w:szCs w:val="24"/>
          <w:u w:val="single"/>
        </w:rPr>
        <w:t>行业；</w:t>
      </w:r>
      <w:r>
        <w:rPr>
          <w:rFonts w:hint="eastAsia" w:ascii="宋体" w:hAnsi="宋体" w:cs="宋体"/>
          <w:w w:val="97"/>
          <w:sz w:val="24"/>
          <w:szCs w:val="24"/>
        </w:rPr>
        <w:t xml:space="preserve">制造商为 </w:t>
      </w:r>
      <w:r>
        <w:rPr>
          <w:rFonts w:hint="eastAsia" w:ascii="宋体" w:hAnsi="宋体" w:cs="宋体"/>
          <w:w w:val="97"/>
          <w:sz w:val="24"/>
          <w:szCs w:val="24"/>
          <w:u w:val="single"/>
        </w:rPr>
        <w:t>（企业名称）      ，</w:t>
      </w:r>
      <w:r>
        <w:rPr>
          <w:rFonts w:hint="eastAsia" w:ascii="宋体" w:hAnsi="宋体" w:cs="宋体"/>
          <w:w w:val="97"/>
          <w:sz w:val="24"/>
          <w:szCs w:val="24"/>
        </w:rPr>
        <w:t>从业人员</w:t>
      </w:r>
      <w:r>
        <w:rPr>
          <w:rFonts w:hint="eastAsia" w:ascii="宋体" w:hAnsi="宋体" w:cs="宋体"/>
          <w:w w:val="97"/>
          <w:sz w:val="24"/>
          <w:szCs w:val="24"/>
          <w:u w:val="single"/>
        </w:rPr>
        <w:t xml:space="preserve">      </w:t>
      </w:r>
      <w:r>
        <w:rPr>
          <w:rFonts w:hint="eastAsia" w:ascii="宋体" w:hAnsi="宋体" w:cs="宋体"/>
          <w:w w:val="97"/>
          <w:sz w:val="24"/>
          <w:szCs w:val="24"/>
        </w:rPr>
        <w:t>人，营业收入为</w:t>
      </w:r>
      <w:r>
        <w:rPr>
          <w:rFonts w:hint="eastAsia" w:ascii="宋体" w:hAnsi="宋体" w:cs="宋体"/>
          <w:w w:val="97"/>
          <w:sz w:val="24"/>
          <w:szCs w:val="24"/>
          <w:u w:val="single"/>
        </w:rPr>
        <w:t xml:space="preserve">   </w:t>
      </w:r>
      <w:r>
        <w:rPr>
          <w:rFonts w:hint="eastAsia" w:ascii="宋体" w:hAnsi="宋体" w:cs="宋体"/>
          <w:w w:val="97"/>
          <w:sz w:val="24"/>
          <w:szCs w:val="24"/>
        </w:rPr>
        <w:t>万元，资产总额为</w:t>
      </w:r>
      <w:r>
        <w:rPr>
          <w:rFonts w:hint="eastAsia" w:ascii="宋体" w:hAnsi="宋体" w:cs="宋体"/>
          <w:w w:val="97"/>
          <w:sz w:val="24"/>
          <w:szCs w:val="24"/>
          <w:u w:val="single"/>
        </w:rPr>
        <w:t xml:space="preserve">     </w:t>
      </w:r>
      <w:r>
        <w:rPr>
          <w:rFonts w:hint="eastAsia" w:ascii="宋体" w:hAnsi="宋体" w:cs="宋体"/>
          <w:w w:val="97"/>
          <w:sz w:val="24"/>
          <w:szCs w:val="24"/>
        </w:rPr>
        <w:t>万元</w:t>
      </w:r>
      <w:r>
        <w:rPr>
          <w:rFonts w:hint="eastAsia" w:ascii="宋体" w:hAnsi="宋体" w:cs="宋体"/>
          <w:w w:val="97"/>
          <w:sz w:val="24"/>
          <w:szCs w:val="24"/>
          <w:vertAlign w:val="superscript"/>
        </w:rPr>
        <w:t>1</w:t>
      </w:r>
      <w:r>
        <w:rPr>
          <w:rFonts w:hint="eastAsia" w:ascii="宋体" w:hAnsi="宋体" w:cs="宋体"/>
          <w:w w:val="97"/>
          <w:sz w:val="24"/>
          <w:szCs w:val="24"/>
        </w:rPr>
        <w:t>，属于</w:t>
      </w:r>
      <w:r>
        <w:rPr>
          <w:rFonts w:hint="eastAsia" w:ascii="宋体" w:hAnsi="宋体" w:cs="宋体"/>
          <w:w w:val="97"/>
          <w:sz w:val="24"/>
          <w:szCs w:val="24"/>
          <w:u w:val="single"/>
        </w:rPr>
        <w:t>（中型企业、小型企业、微型企业）；</w:t>
      </w:r>
    </w:p>
    <w:p>
      <w:pPr>
        <w:spacing w:line="360" w:lineRule="auto"/>
        <w:ind w:left="640"/>
        <w:rPr>
          <w:rFonts w:ascii="宋体" w:hAnsi="宋体" w:cs="宋体"/>
          <w:sz w:val="24"/>
          <w:szCs w:val="24"/>
        </w:rPr>
      </w:pPr>
      <w:r>
        <w:rPr>
          <w:rFonts w:hint="eastAsia" w:ascii="宋体" w:hAnsi="宋体" w:cs="宋体"/>
          <w:sz w:val="24"/>
          <w:szCs w:val="24"/>
        </w:rPr>
        <w:t>……</w:t>
      </w:r>
    </w:p>
    <w:p>
      <w:pPr>
        <w:spacing w:line="360" w:lineRule="auto"/>
        <w:ind w:right="160" w:firstLine="646"/>
        <w:rPr>
          <w:rFonts w:ascii="宋体" w:hAnsi="宋体" w:cs="宋体"/>
          <w:sz w:val="24"/>
          <w:szCs w:val="24"/>
        </w:rPr>
      </w:pPr>
      <w:r>
        <w:rPr>
          <w:rFonts w:hint="eastAsia" w:ascii="宋体" w:hAnsi="宋体" w:cs="宋体"/>
          <w:sz w:val="24"/>
          <w:szCs w:val="24"/>
        </w:rPr>
        <w:t>以上企业，不属于大企业的分支机构，不存在控股股东为大企业的情形，也不存在与大企业的负责人为同一人的情形。</w:t>
      </w:r>
    </w:p>
    <w:p>
      <w:pPr>
        <w:spacing w:line="360" w:lineRule="auto"/>
        <w:rPr>
          <w:rFonts w:ascii="宋体" w:hAnsi="宋体" w:cs="宋体"/>
          <w:sz w:val="24"/>
          <w:szCs w:val="24"/>
        </w:rPr>
      </w:pPr>
    </w:p>
    <w:p>
      <w:pPr>
        <w:spacing w:line="360" w:lineRule="auto"/>
        <w:ind w:right="160" w:firstLine="646"/>
        <w:rPr>
          <w:rFonts w:ascii="宋体" w:hAnsi="宋体" w:cs="宋体"/>
          <w:sz w:val="24"/>
          <w:szCs w:val="24"/>
        </w:rPr>
      </w:pPr>
      <w:r>
        <w:rPr>
          <w:rFonts w:hint="eastAsia" w:ascii="宋体" w:hAnsi="宋体" w:cs="宋体"/>
          <w:sz w:val="24"/>
          <w:szCs w:val="24"/>
        </w:rPr>
        <w:t>本企业对上述声明内容的真实性负责。如有虚假，将依法承担相应责任。</w:t>
      </w:r>
    </w:p>
    <w:p>
      <w:pPr>
        <w:spacing w:line="360" w:lineRule="auto"/>
        <w:rPr>
          <w:rFonts w:ascii="宋体" w:hAnsi="宋体" w:cs="宋体"/>
          <w:sz w:val="24"/>
          <w:szCs w:val="24"/>
        </w:rPr>
      </w:pPr>
    </w:p>
    <w:p>
      <w:pPr>
        <w:spacing w:line="360" w:lineRule="auto"/>
        <w:ind w:left="3840" w:right="1900"/>
        <w:rPr>
          <w:rFonts w:ascii="宋体" w:hAnsi="宋体" w:cs="宋体"/>
          <w:sz w:val="24"/>
          <w:szCs w:val="24"/>
        </w:rPr>
      </w:pPr>
      <w:r>
        <w:rPr>
          <w:rFonts w:hint="eastAsia" w:ascii="宋体" w:hAnsi="宋体" w:cs="宋体"/>
          <w:sz w:val="24"/>
          <w:szCs w:val="24"/>
        </w:rPr>
        <w:t>企业名称（盖章）：日期：</w:t>
      </w:r>
    </w:p>
    <w:p>
      <w:pPr>
        <w:rPr>
          <w:rFonts w:ascii="宋体" w:hAnsi="宋体"/>
          <w:sz w:val="18"/>
        </w:rPr>
      </w:pPr>
      <w:r>
        <w:rPr>
          <w:rFonts w:ascii="仿宋" w:hAnsi="仿宋" w:eastAsia="仿宋"/>
          <w:sz w:val="32"/>
        </w:rPr>
        <w:drawing>
          <wp:anchor distT="0" distB="0" distL="114300" distR="114300" simplePos="0" relativeHeight="251660288" behindDoc="1" locked="0" layoutInCell="0" allowOverlap="1">
            <wp:simplePos x="0" y="0"/>
            <wp:positionH relativeFrom="column">
              <wp:posOffset>0</wp:posOffset>
            </wp:positionH>
            <wp:positionV relativeFrom="paragraph">
              <wp:posOffset>224790</wp:posOffset>
            </wp:positionV>
            <wp:extent cx="1828800" cy="12700"/>
            <wp:effectExtent l="0" t="0" r="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4"/>
                    <a:stretch>
                      <a:fillRect/>
                    </a:stretch>
                  </pic:blipFill>
                  <pic:spPr>
                    <a:xfrm>
                      <a:off x="0" y="0"/>
                      <a:ext cx="1828800" cy="12700"/>
                    </a:xfrm>
                    <a:prstGeom prst="rect">
                      <a:avLst/>
                    </a:prstGeom>
                    <a:noFill/>
                    <a:ln>
                      <a:noFill/>
                    </a:ln>
                  </pic:spPr>
                </pic:pic>
              </a:graphicData>
            </a:graphic>
          </wp:anchor>
        </w:drawing>
      </w:r>
      <w:r>
        <w:rPr>
          <w:rFonts w:eastAsia="Times New Roman"/>
          <w:sz w:val="23"/>
          <w:vertAlign w:val="superscript"/>
        </w:rPr>
        <w:t>1</w:t>
      </w:r>
      <w:r>
        <w:rPr>
          <w:rFonts w:ascii="宋体" w:hAnsi="宋体"/>
          <w:sz w:val="18"/>
        </w:rPr>
        <w:t>从业人员、营业收入、资产总额填报上一年度数据，无上一年度数据的新成立企业可不填报。</w:t>
      </w:r>
    </w:p>
    <w:p>
      <w:pPr>
        <w:pStyle w:val="4"/>
        <w:keepNext w:val="0"/>
        <w:keepLines w:val="0"/>
        <w:widowControl/>
        <w:shd w:val="clear" w:color="auto" w:fill="FFFFFF"/>
        <w:spacing w:before="450" w:after="300" w:line="540" w:lineRule="atLeast"/>
        <w:jc w:val="both"/>
        <w:textAlignment w:val="baseline"/>
        <w:rPr>
          <w:rFonts w:ascii="微软雅黑" w:hAnsi="微软雅黑" w:eastAsia="微软雅黑" w:cs="微软雅黑"/>
          <w:color w:val="383940"/>
          <w:sz w:val="39"/>
          <w:szCs w:val="39"/>
          <w:shd w:val="clear" w:color="auto" w:fill="FFFFFF"/>
        </w:rPr>
        <w:sectPr>
          <w:footerReference r:id="rId24" w:type="default"/>
          <w:pgSz w:w="11906" w:h="16838"/>
          <w:pgMar w:top="1440" w:right="1803" w:bottom="1440" w:left="1803" w:header="851" w:footer="992" w:gutter="0"/>
          <w:pgNumType w:fmt="decimal"/>
          <w:cols w:space="720" w:num="1"/>
          <w:docGrid w:type="lines" w:linePitch="319" w:charSpace="0"/>
        </w:sectPr>
      </w:pPr>
    </w:p>
    <w:p>
      <w:pPr>
        <w:pStyle w:val="4"/>
        <w:keepNext w:val="0"/>
        <w:keepLines w:val="0"/>
        <w:widowControl/>
        <w:shd w:val="clear" w:color="auto" w:fill="FFFFFF"/>
        <w:spacing w:before="450" w:after="300" w:line="540" w:lineRule="atLeast"/>
        <w:jc w:val="center"/>
        <w:textAlignment w:val="baseline"/>
        <w:rPr>
          <w:rFonts w:ascii="微软雅黑" w:hAnsi="微软雅黑" w:eastAsia="微软雅黑" w:cs="微软雅黑"/>
          <w:color w:val="383940"/>
          <w:sz w:val="39"/>
          <w:szCs w:val="39"/>
        </w:rPr>
      </w:pPr>
      <w:r>
        <w:rPr>
          <w:rFonts w:hint="eastAsia" w:ascii="微软雅黑" w:hAnsi="微软雅黑" w:eastAsia="微软雅黑" w:cs="微软雅黑"/>
          <w:color w:val="383940"/>
          <w:sz w:val="39"/>
          <w:szCs w:val="39"/>
          <w:shd w:val="clear" w:color="auto" w:fill="FFFFFF"/>
        </w:rPr>
        <w:t>关于印发中小企业划型标准规定的通知</w:t>
      </w:r>
    </w:p>
    <w:p>
      <w:pPr>
        <w:pStyle w:val="25"/>
        <w:shd w:val="clear" w:color="auto" w:fill="FFFFFF"/>
        <w:rPr>
          <w:color w:val="000000"/>
        </w:rPr>
      </w:pPr>
      <w:r>
        <w:rPr>
          <w:rFonts w:hint="eastAsia"/>
          <w:color w:val="000000"/>
          <w:shd w:val="clear" w:color="auto" w:fill="FFFFFF"/>
        </w:rPr>
        <w:t>各省、自治区、直辖市人民政府，国务院各部委、各直属机构及有关单位：</w:t>
      </w:r>
      <w:r>
        <w:rPr>
          <w:rFonts w:hint="eastAsia"/>
          <w:color w:val="000000"/>
          <w:shd w:val="clear" w:color="auto" w:fill="FFFFFF"/>
        </w:rPr>
        <w:br w:type="textWrapping"/>
      </w:r>
      <w:r>
        <w:rPr>
          <w:rFonts w:hint="eastAsia"/>
          <w:color w:val="000000"/>
          <w:shd w:val="clear" w:color="auto" w:fill="FFFFFF"/>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r>
        <w:rPr>
          <w:rFonts w:hint="eastAsia"/>
          <w:color w:val="000000"/>
          <w:shd w:val="clear" w:color="auto" w:fill="FFFFFF"/>
        </w:rPr>
        <w:br w:type="textWrapping"/>
      </w:r>
      <w:r>
        <w:rPr>
          <w:rFonts w:hint="eastAsia"/>
          <w:color w:val="000000"/>
          <w:shd w:val="clear" w:color="auto" w:fill="FFFFFF"/>
        </w:rPr>
        <w:t>　　　　　　　　　　　　　　　　　　　　　工业和信息化部　国家统计局</w:t>
      </w:r>
      <w:r>
        <w:rPr>
          <w:rFonts w:hint="eastAsia"/>
          <w:color w:val="000000"/>
          <w:shd w:val="clear" w:color="auto" w:fill="FFFFFF"/>
        </w:rPr>
        <w:br w:type="textWrapping"/>
      </w:r>
      <w:r>
        <w:rPr>
          <w:rFonts w:hint="eastAsia"/>
          <w:color w:val="000000"/>
          <w:shd w:val="clear" w:color="auto" w:fill="FFFFFF"/>
        </w:rPr>
        <w:t>　　　　　　　　　　　　　　　　　　　　国家发展和改革委员会　财政部</w:t>
      </w:r>
      <w:r>
        <w:rPr>
          <w:rFonts w:hint="eastAsia"/>
          <w:color w:val="000000"/>
          <w:shd w:val="clear" w:color="auto" w:fill="FFFFFF"/>
        </w:rPr>
        <w:br w:type="textWrapping"/>
      </w:r>
      <w:r>
        <w:rPr>
          <w:rFonts w:hint="eastAsia"/>
          <w:color w:val="000000"/>
          <w:shd w:val="clear" w:color="auto" w:fill="FFFFFF"/>
        </w:rPr>
        <w:t>　　　　　　　　　　　　　　　　　　　　　　　　二○一一年六月十八日</w:t>
      </w:r>
    </w:p>
    <w:p>
      <w:pPr>
        <w:pStyle w:val="25"/>
        <w:shd w:val="clear" w:color="auto" w:fill="FFFFFF"/>
        <w:rPr>
          <w:color w:val="000000"/>
        </w:rPr>
      </w:pPr>
      <w:r>
        <w:rPr>
          <w:rFonts w:hint="eastAsia"/>
          <w:color w:val="000000"/>
          <w:shd w:val="clear" w:color="auto" w:fill="FFFFFF"/>
        </w:rPr>
        <w:t> </w:t>
      </w:r>
    </w:p>
    <w:p>
      <w:pPr>
        <w:pStyle w:val="25"/>
        <w:shd w:val="clear" w:color="auto" w:fill="FFFFFF"/>
        <w:jc w:val="center"/>
        <w:rPr>
          <w:rStyle w:val="32"/>
          <w:color w:val="000000"/>
          <w:sz w:val="36"/>
          <w:szCs w:val="36"/>
          <w:shd w:val="clear" w:color="auto" w:fill="FFFFFF"/>
        </w:rPr>
      </w:pPr>
      <w:r>
        <w:rPr>
          <w:rStyle w:val="32"/>
          <w:rFonts w:hint="eastAsia"/>
          <w:color w:val="000000"/>
          <w:sz w:val="36"/>
          <w:szCs w:val="36"/>
          <w:shd w:val="clear" w:color="auto" w:fill="FFFFFF"/>
        </w:rPr>
        <w:t>中小企业划型标准规定</w:t>
      </w:r>
    </w:p>
    <w:p>
      <w:pPr>
        <w:sectPr>
          <w:pgSz w:w="11906" w:h="16838"/>
          <w:pgMar w:top="1440" w:right="1803" w:bottom="1440" w:left="1803" w:header="851" w:footer="992" w:gutter="0"/>
          <w:pgNumType w:fmt="decimal"/>
          <w:cols w:space="720" w:num="1"/>
          <w:docGrid w:type="lines" w:linePitch="319" w:charSpace="0"/>
        </w:sectPr>
      </w:pPr>
      <w:r>
        <w:rPr>
          <w:rFonts w:hint="eastAsia" w:ascii="宋体" w:hAnsi="宋体" w:cs="宋体"/>
          <w:color w:val="000000"/>
          <w:sz w:val="24"/>
          <w:szCs w:val="24"/>
          <w:shd w:val="clear" w:color="auto" w:fill="FFFFFF"/>
        </w:rPr>
        <w:t>　　一、根据《中华人民共和国中小企业促进法》和《国务院关于进一步促进中小企业发展的若干意见》(国发〔2009〕36号)，制定本规定。</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二、中小企业划分为中型、小型、微型三种类型，具体标准根据企业从业人员、营业收入、资产总额等指标，结合行业特点制定。</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四、各行业划型标准为：</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（一）农、林、牧、渔业。营业收入20000万元以下的为中小微型企业。其中，营业收入500万元及以上的为中型企业，营业收入50万元及以上的为小型企业，营业收入50万元以下的为微型企业。</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（十六）其他未列明行业。从业人员300人以下的为中小微型企业。其中，从业人员100人及以上的为中型企业；从业人员10人及以上的为小型企业；从业人员10人以下的为微型企业。</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五、企业类型的划分以统计部门的统计数据为依据。</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六、本规定适用于在中华人民共和国境内依法设立的各类所有制和各种组织形式的企业。个体工商户和本规定以外的行业，参照本规定进行划型。</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七、本规定的中型企业标准上限即为大型企业标准的下限，国家统计部门据此制定大中小微型企业的统计分类。国务院有关部门据此进行相关数据分析，不得制定与本规定不一致的企业划型标准。</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八、本规定由工业和信息化部、国家统计局会同有关部门根据《国民经济行业分类》修订情况和企业发展变化情况适时修订。</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九、本规定由工业和信息化部、国家统计局会同有关部门负责解释。</w:t>
      </w:r>
      <w:r>
        <w:rPr>
          <w:rFonts w:hint="eastAsia" w:ascii="宋体" w:hAnsi="宋体" w:cs="宋体"/>
          <w:color w:val="000000"/>
          <w:sz w:val="24"/>
          <w:szCs w:val="24"/>
          <w:shd w:val="clear" w:color="auto" w:fill="FFFFFF"/>
        </w:rPr>
        <w:br w:type="textWrapping"/>
      </w:r>
      <w:r>
        <w:rPr>
          <w:rFonts w:hint="eastAsia" w:ascii="宋体" w:hAnsi="宋体" w:cs="宋体"/>
          <w:color w:val="000000"/>
          <w:sz w:val="24"/>
          <w:szCs w:val="24"/>
          <w:shd w:val="clear" w:color="auto" w:fill="FFFFFF"/>
        </w:rPr>
        <w:t>　　十、本规定自发布之日起执行，原国家经贸委、原国家计委、财政部和国家统计局2003年颁布的《中小企业标准暂行规定》同时废止。</w:t>
      </w:r>
    </w:p>
    <w:p>
      <w:pPr>
        <w:pStyle w:val="5"/>
        <w:rPr>
          <w:rFonts w:ascii="宋体" w:hAnsi="宋体" w:cs="宋体"/>
        </w:rPr>
      </w:pPr>
      <w:bookmarkStart w:id="266" w:name="_Toc4963"/>
      <w:bookmarkStart w:id="267" w:name="_Toc21327"/>
      <w:r>
        <w:rPr>
          <w:rFonts w:hint="eastAsia" w:ascii="宋体" w:hAnsi="宋体" w:cs="宋体"/>
        </w:rPr>
        <w:t>附件三、残疾人福利性单位声明</w:t>
      </w:r>
      <w:bookmarkEnd w:id="259"/>
      <w:bookmarkEnd w:id="260"/>
      <w:bookmarkEnd w:id="261"/>
      <w:bookmarkEnd w:id="262"/>
      <w:bookmarkEnd w:id="263"/>
      <w:bookmarkEnd w:id="264"/>
      <w:bookmarkEnd w:id="265"/>
      <w:bookmarkEnd w:id="266"/>
      <w:bookmarkEnd w:id="267"/>
    </w:p>
    <w:p>
      <w:pPr>
        <w:spacing w:line="588" w:lineRule="exact"/>
        <w:ind w:firstLine="504" w:firstLineChars="200"/>
        <w:rPr>
          <w:rFonts w:ascii="宋体" w:hAnsi="宋体" w:cs="宋体"/>
          <w:spacing w:val="6"/>
          <w:sz w:val="24"/>
        </w:rPr>
      </w:pPr>
      <w:r>
        <w:rPr>
          <w:rFonts w:hint="eastAsia" w:ascii="宋体" w:hAnsi="宋体" w:cs="宋体"/>
          <w:spacing w:val="6"/>
          <w:sz w:val="24"/>
        </w:rPr>
        <w:t>根据《三部门联合发布关于促进残疾人就业政府采购政策的通知》（财库〔2017〕141号）的规定，由供应商自行申明，并对申明真实性负责。如有虚假，将依法承担相应责任。</w:t>
      </w:r>
    </w:p>
    <w:p>
      <w:pPr>
        <w:rPr>
          <w:rFonts w:ascii="宋体" w:hAnsi="宋体" w:cs="宋体"/>
        </w:rPr>
      </w:pPr>
    </w:p>
    <w:p>
      <w:pPr>
        <w:pStyle w:val="5"/>
        <w:rPr>
          <w:rFonts w:ascii="宋体" w:hAnsi="宋体" w:cs="宋体"/>
        </w:rPr>
      </w:pPr>
      <w:bookmarkStart w:id="268" w:name="_Toc226"/>
      <w:bookmarkStart w:id="269" w:name="_Toc26509"/>
      <w:bookmarkStart w:id="270" w:name="_Toc2723"/>
      <w:bookmarkStart w:id="271" w:name="_Toc3053"/>
      <w:r>
        <w:rPr>
          <w:rFonts w:hint="eastAsia" w:ascii="宋体" w:hAnsi="宋体" w:cs="宋体"/>
        </w:rPr>
        <w:t>附件四、监狱企业证明文件</w:t>
      </w:r>
      <w:bookmarkEnd w:id="256"/>
      <w:bookmarkEnd w:id="257"/>
      <w:bookmarkEnd w:id="258"/>
      <w:bookmarkEnd w:id="268"/>
      <w:bookmarkEnd w:id="269"/>
      <w:bookmarkEnd w:id="270"/>
      <w:bookmarkEnd w:id="271"/>
    </w:p>
    <w:p>
      <w:pPr>
        <w:rPr>
          <w:rFonts w:ascii="宋体" w:hAnsi="宋体" w:cs="宋体"/>
        </w:rPr>
      </w:pPr>
    </w:p>
    <w:p>
      <w:pPr>
        <w:snapToGrid w:val="0"/>
        <w:spacing w:line="360" w:lineRule="auto"/>
        <w:ind w:firstLine="504" w:firstLineChars="200"/>
        <w:jc w:val="left"/>
        <w:rPr>
          <w:rFonts w:ascii="宋体" w:hAnsi="宋体" w:cs="宋体"/>
          <w:b/>
          <w:bCs/>
          <w:spacing w:val="48"/>
          <w:sz w:val="72"/>
          <w:szCs w:val="72"/>
        </w:rPr>
      </w:pPr>
      <w:r>
        <w:rPr>
          <w:rFonts w:hint="eastAsia" w:ascii="宋体" w:hAnsi="宋体" w:cs="宋体"/>
          <w:spacing w:val="6"/>
          <w:sz w:val="24"/>
          <w:szCs w:val="24"/>
        </w:rPr>
        <w:t>说明：根据</w:t>
      </w:r>
      <w:r>
        <w:rPr>
          <w:rFonts w:hint="eastAsia" w:ascii="宋体" w:hAnsi="宋体" w:cs="宋体"/>
          <w:sz w:val="24"/>
          <w:szCs w:val="24"/>
        </w:rPr>
        <w:t>《关于政府采购支持监狱企业发展有关问题的通知》（财库〔2014〕68号）的规定，监狱企业参加政府采购活动时，应当提供由省级以上监狱管理局、戒毒管理局（含新疆生产建设兵团）出具的属于监狱企业的证明文件。</w:t>
      </w:r>
    </w:p>
    <w:p>
      <w:pPr>
        <w:pStyle w:val="5"/>
        <w:adjustRightInd w:val="0"/>
        <w:spacing w:line="416" w:lineRule="atLeast"/>
        <w:textAlignment w:val="baseline"/>
        <w:rPr>
          <w:rFonts w:ascii="宋体" w:hAnsi="宋体" w:cs="宋体"/>
        </w:rPr>
      </w:pPr>
      <w:bookmarkStart w:id="272" w:name="_Toc563"/>
      <w:bookmarkStart w:id="273" w:name="_Toc13303"/>
      <w:bookmarkStart w:id="274" w:name="_Toc3267"/>
      <w:bookmarkStart w:id="275" w:name="_Toc13539"/>
      <w:bookmarkStart w:id="276" w:name="_Toc19198"/>
      <w:bookmarkStart w:id="277" w:name="_Toc11969"/>
      <w:bookmarkStart w:id="278" w:name="_Toc13122"/>
      <w:bookmarkStart w:id="279" w:name="_Toc2126"/>
      <w:r>
        <w:rPr>
          <w:rFonts w:hint="eastAsia" w:ascii="宋体" w:hAnsi="宋体" w:cs="宋体"/>
        </w:rPr>
        <w:t>附件五、“节能产品”，“环境标志产品”证明材料</w:t>
      </w:r>
      <w:bookmarkEnd w:id="272"/>
      <w:bookmarkEnd w:id="273"/>
      <w:bookmarkEnd w:id="274"/>
      <w:bookmarkEnd w:id="275"/>
      <w:bookmarkEnd w:id="276"/>
      <w:bookmarkEnd w:id="277"/>
      <w:bookmarkEnd w:id="278"/>
      <w:bookmarkEnd w:id="279"/>
    </w:p>
    <w:p>
      <w:pPr>
        <w:widowControl/>
        <w:spacing w:line="360" w:lineRule="auto"/>
        <w:ind w:firstLine="504" w:firstLineChars="200"/>
        <w:rPr>
          <w:rFonts w:ascii="宋体" w:hAnsi="宋体" w:cs="宋体"/>
          <w:spacing w:val="6"/>
          <w:sz w:val="24"/>
          <w:szCs w:val="24"/>
        </w:rPr>
      </w:pPr>
      <w:r>
        <w:rPr>
          <w:rFonts w:hint="eastAsia" w:ascii="宋体" w:hAnsi="宋体" w:cs="宋体"/>
          <w:spacing w:val="6"/>
          <w:sz w:val="24"/>
          <w:szCs w:val="24"/>
        </w:rPr>
        <w:t xml:space="preserve"> 1、供应商提供的产品属于“节能产品”，“环境标志产品”，应提供产品列入“节能产品”，“环境标志产品”相应产品的国家确定的认证机构出具的、处于有效期内的节能产品、环境标志产品认证证书。</w:t>
      </w:r>
    </w:p>
    <w:p>
      <w:pPr>
        <w:widowControl/>
        <w:spacing w:line="360" w:lineRule="auto"/>
        <w:ind w:left="420" w:leftChars="200"/>
        <w:rPr>
          <w:rFonts w:ascii="宋体" w:hAnsi="宋体" w:cs="宋体"/>
          <w:sz w:val="24"/>
          <w:szCs w:val="24"/>
        </w:rPr>
      </w:pPr>
      <w:r>
        <w:rPr>
          <w:rFonts w:hint="eastAsia" w:ascii="宋体" w:hAnsi="宋体" w:cs="宋体"/>
          <w:sz w:val="24"/>
          <w:szCs w:val="24"/>
        </w:rPr>
        <w:t>2、未按照上述要求提供的，评审时不予以考虑。</w:t>
      </w:r>
    </w:p>
    <w:p>
      <w:pPr>
        <w:snapToGrid w:val="0"/>
        <w:spacing w:line="360" w:lineRule="auto"/>
        <w:ind w:firstLine="480" w:firstLineChars="200"/>
        <w:rPr>
          <w:rFonts w:ascii="宋体" w:hAnsi="宋体" w:cs="宋体"/>
          <w:sz w:val="24"/>
          <w:szCs w:val="24"/>
        </w:rPr>
      </w:pPr>
    </w:p>
    <w:p>
      <w:pPr>
        <w:spacing w:line="588" w:lineRule="exact"/>
        <w:ind w:firstLine="504" w:firstLineChars="200"/>
        <w:rPr>
          <w:rFonts w:ascii="宋体" w:hAnsi="宋体" w:cs="宋体"/>
          <w:spacing w:val="6"/>
          <w:sz w:val="24"/>
          <w:szCs w:val="24"/>
        </w:rPr>
      </w:pPr>
    </w:p>
    <w:p>
      <w:pPr>
        <w:pStyle w:val="4"/>
        <w:adjustRightInd w:val="0"/>
        <w:spacing w:line="416" w:lineRule="atLeast"/>
        <w:textAlignment w:val="baseline"/>
        <w:rPr>
          <w:rFonts w:ascii="宋体" w:hAnsi="宋体" w:cs="宋体"/>
        </w:rPr>
        <w:sectPr>
          <w:pgSz w:w="11906" w:h="16838"/>
          <w:pgMar w:top="1440" w:right="1803" w:bottom="1440" w:left="1803" w:header="851" w:footer="992" w:gutter="0"/>
          <w:pgNumType w:fmt="decimal"/>
          <w:cols w:space="720" w:num="1"/>
          <w:docGrid w:type="lines" w:linePitch="319" w:charSpace="0"/>
        </w:sectPr>
      </w:pPr>
    </w:p>
    <w:p>
      <w:pPr>
        <w:pStyle w:val="5"/>
        <w:rPr>
          <w:rFonts w:ascii="宋体" w:hAnsi="宋体" w:cs="宋体"/>
        </w:rPr>
      </w:pPr>
      <w:bookmarkStart w:id="280" w:name="_Toc4414"/>
      <w:bookmarkStart w:id="281" w:name="_Toc24855"/>
      <w:bookmarkStart w:id="282" w:name="_Toc23799"/>
      <w:bookmarkStart w:id="283" w:name="_Toc19997"/>
      <w:bookmarkStart w:id="284" w:name="_Toc26392"/>
      <w:bookmarkStart w:id="285" w:name="_Toc26351"/>
      <w:bookmarkStart w:id="286" w:name="_Toc10027"/>
      <w:bookmarkStart w:id="287" w:name="_Toc11924"/>
      <w:bookmarkStart w:id="288" w:name="_Toc5338"/>
      <w:r>
        <w:rPr>
          <w:rFonts w:hint="eastAsia" w:ascii="宋体" w:hAnsi="宋体" w:cs="宋体"/>
        </w:rPr>
        <w:t>附件六、质疑函范本</w:t>
      </w:r>
      <w:bookmarkEnd w:id="280"/>
      <w:bookmarkEnd w:id="281"/>
      <w:bookmarkEnd w:id="282"/>
      <w:bookmarkEnd w:id="283"/>
      <w:bookmarkEnd w:id="284"/>
      <w:bookmarkEnd w:id="285"/>
    </w:p>
    <w:p>
      <w:pPr>
        <w:widowControl/>
        <w:spacing w:line="360" w:lineRule="auto"/>
        <w:ind w:left="420" w:leftChars="200"/>
        <w:rPr>
          <w:rFonts w:ascii="宋体" w:hAnsi="宋体" w:cs="宋体"/>
          <w:sz w:val="24"/>
          <w:szCs w:val="24"/>
        </w:rPr>
      </w:pPr>
      <w:r>
        <w:rPr>
          <w:rFonts w:hint="eastAsia" w:ascii="宋体" w:hAnsi="宋体" w:cs="宋体"/>
          <w:sz w:val="24"/>
          <w:szCs w:val="24"/>
        </w:rPr>
        <w:t>一、质疑供应商基本信息</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质疑供应商：                                        </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地址：                          邮编：                                                   </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联系人：                      联系电话：                              </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授权代表：                                          </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联系电话：                                            </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地址：                         邮编：                                                </w:t>
      </w:r>
    </w:p>
    <w:p>
      <w:pPr>
        <w:widowControl/>
        <w:spacing w:line="360" w:lineRule="auto"/>
        <w:ind w:left="420" w:leftChars="200"/>
        <w:rPr>
          <w:rFonts w:ascii="宋体" w:hAnsi="宋体" w:cs="宋体"/>
          <w:sz w:val="24"/>
          <w:szCs w:val="24"/>
        </w:rPr>
      </w:pPr>
      <w:r>
        <w:rPr>
          <w:rFonts w:hint="eastAsia" w:ascii="宋体" w:hAnsi="宋体" w:cs="宋体"/>
          <w:sz w:val="24"/>
          <w:szCs w:val="24"/>
        </w:rPr>
        <w:t>二、质疑项目基本情况</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质疑项目的名称：            包号：                          </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质疑项目的编号：                    </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采购人名称：                                         </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采购文件获取日期：                                           </w:t>
      </w:r>
    </w:p>
    <w:p>
      <w:pPr>
        <w:widowControl/>
        <w:spacing w:line="360" w:lineRule="auto"/>
        <w:ind w:left="420" w:leftChars="200"/>
        <w:rPr>
          <w:rFonts w:ascii="宋体" w:hAnsi="宋体" w:cs="宋体"/>
          <w:sz w:val="24"/>
          <w:szCs w:val="24"/>
        </w:rPr>
      </w:pPr>
      <w:r>
        <w:rPr>
          <w:rFonts w:hint="eastAsia" w:ascii="宋体" w:hAnsi="宋体" w:cs="宋体"/>
          <w:sz w:val="24"/>
          <w:szCs w:val="24"/>
        </w:rPr>
        <w:t>三、质疑事项具体内容</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质疑事项1：                                         </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事实依据：                                          </w:t>
      </w:r>
    </w:p>
    <w:p>
      <w:pPr>
        <w:widowControl/>
        <w:spacing w:line="360" w:lineRule="auto"/>
        <w:ind w:left="420" w:leftChars="200"/>
        <w:rPr>
          <w:rFonts w:ascii="宋体" w:hAnsi="宋体" w:cs="宋体"/>
          <w:sz w:val="24"/>
          <w:szCs w:val="24"/>
        </w:rPr>
      </w:pP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法律依据：                                          </w:t>
      </w:r>
    </w:p>
    <w:p>
      <w:pPr>
        <w:widowControl/>
        <w:spacing w:line="360" w:lineRule="auto"/>
        <w:ind w:left="420" w:leftChars="200"/>
        <w:rPr>
          <w:rFonts w:ascii="宋体" w:hAnsi="宋体" w:cs="宋体"/>
          <w:sz w:val="24"/>
          <w:szCs w:val="24"/>
        </w:rPr>
      </w:pPr>
    </w:p>
    <w:p>
      <w:pPr>
        <w:widowControl/>
        <w:spacing w:line="360" w:lineRule="auto"/>
        <w:ind w:left="420" w:leftChars="200"/>
        <w:rPr>
          <w:rFonts w:ascii="宋体" w:hAnsi="宋体" w:cs="宋体"/>
          <w:sz w:val="24"/>
          <w:szCs w:val="24"/>
        </w:rPr>
      </w:pPr>
      <w:r>
        <w:rPr>
          <w:rFonts w:hint="eastAsia" w:ascii="宋体" w:hAnsi="宋体" w:cs="宋体"/>
          <w:sz w:val="24"/>
          <w:szCs w:val="24"/>
        </w:rPr>
        <w:t>质疑事项2</w:t>
      </w:r>
    </w:p>
    <w:p>
      <w:pPr>
        <w:widowControl/>
        <w:spacing w:line="360" w:lineRule="auto"/>
        <w:ind w:left="420" w:leftChars="200"/>
        <w:rPr>
          <w:rFonts w:ascii="宋体" w:hAnsi="宋体" w:cs="宋体"/>
          <w:sz w:val="24"/>
          <w:szCs w:val="24"/>
        </w:rPr>
      </w:pPr>
      <w:r>
        <w:rPr>
          <w:rFonts w:hint="eastAsia" w:ascii="宋体" w:hAnsi="宋体" w:cs="宋体"/>
          <w:sz w:val="24"/>
          <w:szCs w:val="24"/>
        </w:rPr>
        <w:t>……</w:t>
      </w:r>
    </w:p>
    <w:p>
      <w:pPr>
        <w:widowControl/>
        <w:spacing w:line="360" w:lineRule="auto"/>
        <w:ind w:left="420" w:leftChars="200"/>
        <w:rPr>
          <w:rFonts w:ascii="宋体" w:hAnsi="宋体" w:cs="宋体"/>
          <w:sz w:val="24"/>
          <w:szCs w:val="24"/>
        </w:rPr>
      </w:pPr>
      <w:r>
        <w:rPr>
          <w:rFonts w:hint="eastAsia" w:ascii="宋体" w:hAnsi="宋体" w:cs="宋体"/>
          <w:sz w:val="24"/>
          <w:szCs w:val="24"/>
        </w:rPr>
        <w:t>四、与质疑事项相关的质疑请求</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请求：                                               </w:t>
      </w:r>
    </w:p>
    <w:p>
      <w:pPr>
        <w:widowControl/>
        <w:spacing w:line="360" w:lineRule="auto"/>
        <w:ind w:left="420" w:leftChars="200"/>
        <w:rPr>
          <w:rFonts w:ascii="宋体" w:hAnsi="宋体" w:cs="宋体"/>
          <w:sz w:val="24"/>
          <w:szCs w:val="24"/>
        </w:rPr>
      </w:pPr>
      <w:r>
        <w:rPr>
          <w:rFonts w:hint="eastAsia" w:ascii="宋体" w:hAnsi="宋体" w:cs="宋体"/>
          <w:sz w:val="24"/>
          <w:szCs w:val="24"/>
        </w:rPr>
        <w:t xml:space="preserve">签字(签章)：                   公章：                      </w:t>
      </w:r>
    </w:p>
    <w:p>
      <w:pPr>
        <w:widowControl/>
        <w:spacing w:line="360" w:lineRule="auto"/>
        <w:ind w:left="420" w:leftChars="200"/>
        <w:rPr>
          <w:rFonts w:ascii="宋体" w:hAnsi="宋体" w:cs="宋体"/>
        </w:rPr>
      </w:pPr>
      <w:r>
        <w:rPr>
          <w:rFonts w:hint="eastAsia" w:ascii="宋体" w:hAnsi="宋体" w:cs="宋体"/>
          <w:sz w:val="24"/>
          <w:szCs w:val="24"/>
        </w:rPr>
        <w:t xml:space="preserve">日期：    </w:t>
      </w:r>
    </w:p>
    <w:p>
      <w:pPr>
        <w:widowControl/>
        <w:spacing w:line="360" w:lineRule="auto"/>
        <w:rPr>
          <w:rFonts w:ascii="宋体" w:hAnsi="宋体" w:cs="宋体"/>
          <w:sz w:val="24"/>
          <w:szCs w:val="24"/>
        </w:rPr>
        <w:sectPr>
          <w:pgSz w:w="11906" w:h="16838"/>
          <w:pgMar w:top="1440" w:right="1803" w:bottom="1440" w:left="1803" w:header="851" w:footer="992" w:gutter="0"/>
          <w:pgNumType w:fmt="decimal"/>
          <w:cols w:space="720" w:num="1"/>
          <w:docGrid w:type="lines" w:linePitch="319" w:charSpace="0"/>
        </w:sectPr>
      </w:pPr>
    </w:p>
    <w:p>
      <w:pPr>
        <w:widowControl/>
        <w:spacing w:line="360" w:lineRule="auto"/>
        <w:ind w:left="420" w:leftChars="200"/>
        <w:rPr>
          <w:rFonts w:ascii="宋体" w:hAnsi="宋体" w:cs="宋体"/>
          <w:sz w:val="24"/>
          <w:szCs w:val="24"/>
        </w:rPr>
      </w:pPr>
      <w:r>
        <w:rPr>
          <w:rFonts w:hint="eastAsia" w:ascii="宋体" w:hAnsi="宋体" w:cs="宋体"/>
          <w:sz w:val="24"/>
          <w:szCs w:val="24"/>
        </w:rPr>
        <w:t>质疑函制作说明：</w:t>
      </w:r>
    </w:p>
    <w:p>
      <w:pPr>
        <w:widowControl/>
        <w:spacing w:line="360" w:lineRule="auto"/>
        <w:ind w:left="420" w:leftChars="200"/>
        <w:rPr>
          <w:rFonts w:ascii="宋体" w:hAnsi="宋体" w:cs="宋体"/>
          <w:sz w:val="24"/>
          <w:szCs w:val="24"/>
        </w:rPr>
      </w:pPr>
      <w:r>
        <w:rPr>
          <w:rFonts w:hint="eastAsia" w:ascii="宋体" w:hAnsi="宋体" w:cs="宋体"/>
          <w:sz w:val="24"/>
          <w:szCs w:val="24"/>
        </w:rPr>
        <w:t>1.供应商提出质疑时，应提交质疑函和必要的证明材料。</w:t>
      </w:r>
    </w:p>
    <w:p>
      <w:pPr>
        <w:widowControl/>
        <w:spacing w:line="360" w:lineRule="auto"/>
        <w:ind w:left="420" w:leftChars="200"/>
        <w:rPr>
          <w:rFonts w:ascii="宋体" w:hAnsi="宋体" w:cs="宋体"/>
          <w:sz w:val="24"/>
          <w:szCs w:val="24"/>
        </w:rPr>
      </w:pPr>
      <w:r>
        <w:rPr>
          <w:rFonts w:hint="eastAsia" w:ascii="宋体" w:hAnsi="宋体" w:cs="宋体"/>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widowControl/>
        <w:spacing w:line="360" w:lineRule="auto"/>
        <w:ind w:left="420" w:leftChars="200"/>
        <w:rPr>
          <w:rFonts w:ascii="宋体" w:hAnsi="宋体" w:cs="宋体"/>
          <w:sz w:val="24"/>
          <w:szCs w:val="24"/>
        </w:rPr>
      </w:pPr>
      <w:r>
        <w:rPr>
          <w:rFonts w:hint="eastAsia" w:ascii="宋体" w:hAnsi="宋体" w:cs="宋体"/>
          <w:sz w:val="24"/>
          <w:szCs w:val="24"/>
        </w:rPr>
        <w:t>3.质疑供应商若对项目的某一分包进行质疑，质疑函中应列明具体分包号。</w:t>
      </w:r>
    </w:p>
    <w:p>
      <w:pPr>
        <w:widowControl/>
        <w:spacing w:line="360" w:lineRule="auto"/>
        <w:ind w:left="420" w:leftChars="200"/>
        <w:rPr>
          <w:rFonts w:ascii="宋体" w:hAnsi="宋体" w:cs="宋体"/>
          <w:sz w:val="24"/>
          <w:szCs w:val="24"/>
        </w:rPr>
      </w:pPr>
      <w:r>
        <w:rPr>
          <w:rFonts w:hint="eastAsia" w:ascii="宋体" w:hAnsi="宋体" w:cs="宋体"/>
          <w:sz w:val="24"/>
          <w:szCs w:val="24"/>
        </w:rPr>
        <w:t>4.质疑函的质疑事项应具体、明确，并有必要的事实依据和法律依据。</w:t>
      </w:r>
    </w:p>
    <w:p>
      <w:pPr>
        <w:widowControl/>
        <w:spacing w:line="360" w:lineRule="auto"/>
        <w:ind w:left="420" w:leftChars="200"/>
        <w:rPr>
          <w:rFonts w:ascii="宋体" w:hAnsi="宋体" w:cs="宋体"/>
          <w:sz w:val="24"/>
          <w:szCs w:val="24"/>
        </w:rPr>
      </w:pPr>
      <w:r>
        <w:rPr>
          <w:rFonts w:hint="eastAsia" w:ascii="宋体" w:hAnsi="宋体" w:cs="宋体"/>
          <w:sz w:val="24"/>
          <w:szCs w:val="24"/>
        </w:rPr>
        <w:t>5.质疑函的质疑请求应与质疑事项相关。</w:t>
      </w:r>
    </w:p>
    <w:p>
      <w:pPr>
        <w:widowControl/>
        <w:spacing w:line="360" w:lineRule="auto"/>
        <w:ind w:left="420" w:leftChars="200"/>
        <w:rPr>
          <w:rFonts w:ascii="宋体" w:hAnsi="宋体" w:cs="宋体"/>
          <w:sz w:val="24"/>
          <w:szCs w:val="24"/>
        </w:rPr>
      </w:pPr>
      <w:r>
        <w:rPr>
          <w:rFonts w:hint="eastAsia" w:ascii="宋体" w:hAnsi="宋体" w:cs="宋体"/>
          <w:sz w:val="24"/>
          <w:szCs w:val="24"/>
        </w:rPr>
        <w:t>6.质疑供应商为自然人的，质疑函应由本人签字；质疑供应商为法人或者其他组织的，质疑函应由法定代表人、主要负责人，或者其授权代表签字或者盖章，并加盖公章。</w:t>
      </w:r>
    </w:p>
    <w:p>
      <w:pPr>
        <w:pStyle w:val="4"/>
        <w:adjustRightInd w:val="0"/>
        <w:spacing w:line="416" w:lineRule="atLeast"/>
        <w:jc w:val="both"/>
        <w:textAlignment w:val="baseline"/>
        <w:rPr>
          <w:rFonts w:ascii="宋体" w:hAnsi="宋体" w:cs="宋体"/>
        </w:rPr>
        <w:sectPr>
          <w:pgSz w:w="11906" w:h="16838"/>
          <w:pgMar w:top="1440" w:right="1803" w:bottom="1440" w:left="1803" w:header="851" w:footer="992" w:gutter="0"/>
          <w:pgNumType w:fmt="decimal"/>
          <w:cols w:space="720" w:num="1"/>
          <w:docGrid w:type="lines" w:linePitch="319" w:charSpace="0"/>
        </w:sectPr>
      </w:pPr>
    </w:p>
    <w:p>
      <w:pPr>
        <w:pStyle w:val="5"/>
        <w:adjustRightInd w:val="0"/>
        <w:spacing w:line="416" w:lineRule="atLeast"/>
        <w:textAlignment w:val="baseline"/>
        <w:rPr>
          <w:rFonts w:ascii="宋体" w:hAnsi="宋体" w:cs="宋体"/>
        </w:rPr>
      </w:pPr>
      <w:bookmarkStart w:id="289" w:name="_Toc21151"/>
      <w:bookmarkStart w:id="290" w:name="_Toc2686"/>
      <w:bookmarkStart w:id="291" w:name="_Toc23229"/>
      <w:bookmarkStart w:id="292" w:name="_Toc1200"/>
      <w:bookmarkStart w:id="293" w:name="_Toc19897"/>
      <w:r>
        <w:rPr>
          <w:rFonts w:hint="eastAsia" w:ascii="宋体" w:hAnsi="宋体" w:cs="宋体"/>
        </w:rPr>
        <w:t>附件七、保证金退还账户信息确认表</w:t>
      </w:r>
      <w:bookmarkEnd w:id="286"/>
      <w:bookmarkEnd w:id="287"/>
      <w:bookmarkEnd w:id="288"/>
      <w:bookmarkEnd w:id="289"/>
      <w:bookmarkEnd w:id="290"/>
      <w:bookmarkEnd w:id="291"/>
      <w:bookmarkEnd w:id="292"/>
      <w:bookmarkEnd w:id="293"/>
      <w:bookmarkStart w:id="294" w:name="_Toc378248335"/>
    </w:p>
    <w:p>
      <w:pPr>
        <w:rPr>
          <w:rFonts w:ascii="宋体" w:hAnsi="宋体" w:cs="宋体"/>
        </w:rPr>
      </w:pPr>
    </w:p>
    <w:p>
      <w:pPr>
        <w:rPr>
          <w:rFonts w:ascii="宋体" w:hAnsi="宋体" w:cs="宋体"/>
          <w:sz w:val="28"/>
          <w:szCs w:val="28"/>
        </w:rPr>
      </w:pPr>
      <w:bookmarkStart w:id="295" w:name="_Toc27416"/>
      <w:r>
        <w:rPr>
          <w:rFonts w:hint="eastAsia" w:ascii="宋体" w:hAnsi="宋体" w:cs="宋体"/>
          <w:sz w:val="28"/>
          <w:szCs w:val="28"/>
        </w:rPr>
        <w:t>项目名称：</w:t>
      </w:r>
      <w:r>
        <w:rPr>
          <w:rFonts w:hint="eastAsia" w:ascii="宋体" w:hAnsi="宋体" w:cs="宋体"/>
          <w:kern w:val="0"/>
          <w:sz w:val="24"/>
          <w:szCs w:val="24"/>
        </w:rPr>
        <w:t>_____________________________</w:t>
      </w:r>
      <w:bookmarkEnd w:id="295"/>
    </w:p>
    <w:p>
      <w:pPr>
        <w:tabs>
          <w:tab w:val="center" w:pos="4150"/>
        </w:tabs>
        <w:rPr>
          <w:rFonts w:ascii="宋体" w:hAnsi="宋体" w:cs="宋体"/>
          <w:sz w:val="28"/>
          <w:szCs w:val="28"/>
        </w:rPr>
      </w:pPr>
      <w:bookmarkStart w:id="296" w:name="_Toc14801"/>
      <w:r>
        <w:rPr>
          <w:rFonts w:hint="eastAsia" w:ascii="宋体" w:hAnsi="宋体" w:cs="宋体"/>
          <w:sz w:val="28"/>
          <w:szCs w:val="28"/>
        </w:rPr>
        <w:t>项目编号：</w:t>
      </w:r>
      <w:bookmarkEnd w:id="294"/>
      <w:r>
        <w:rPr>
          <w:rFonts w:hint="eastAsia" w:ascii="宋体" w:hAnsi="宋体" w:cs="宋体"/>
          <w:kern w:val="0"/>
          <w:sz w:val="24"/>
          <w:szCs w:val="24"/>
        </w:rPr>
        <w:t>_____________________________</w:t>
      </w:r>
      <w:bookmarkEnd w:id="296"/>
      <w:r>
        <w:rPr>
          <w:rFonts w:hint="eastAsia" w:ascii="宋体" w:hAnsi="宋体" w:cs="宋体"/>
          <w:sz w:val="28"/>
          <w:szCs w:val="28"/>
        </w:rPr>
        <w:tab/>
      </w:r>
    </w:p>
    <w:p>
      <w:pPr>
        <w:tabs>
          <w:tab w:val="center" w:pos="4150"/>
        </w:tabs>
        <w:rPr>
          <w:rFonts w:hint="eastAsia" w:ascii="宋体" w:hAnsi="宋体" w:eastAsia="宋体" w:cs="宋体"/>
          <w:sz w:val="28"/>
          <w:szCs w:val="28"/>
          <w:lang w:val="en-US" w:eastAsia="zh-CN"/>
        </w:rPr>
      </w:pPr>
      <w:r>
        <w:rPr>
          <w:rFonts w:hint="eastAsia" w:ascii="宋体" w:hAnsi="宋体" w:eastAsia="宋体" w:cs="宋体"/>
          <w:sz w:val="28"/>
          <w:szCs w:val="28"/>
          <w:lang w:eastAsia="zh-CN"/>
        </w:rPr>
        <w:t>合同包号：合同包</w:t>
      </w:r>
      <w:r>
        <w:rPr>
          <w:rFonts w:hint="eastAsia" w:ascii="宋体" w:hAnsi="宋体" w:eastAsia="宋体" w:cs="宋体"/>
          <w:sz w:val="28"/>
          <w:szCs w:val="28"/>
          <w:lang w:val="en-US" w:eastAsia="zh-CN"/>
        </w:rPr>
        <w:t>X</w:t>
      </w:r>
    </w:p>
    <w:p>
      <w:pPr>
        <w:pStyle w:val="28"/>
      </w:pPr>
    </w:p>
    <w:tbl>
      <w:tblPr>
        <w:tblStyle w:val="29"/>
        <w:tblW w:w="8640"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8"/>
        <w:gridCol w:w="2370"/>
        <w:gridCol w:w="40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2268" w:type="dxa"/>
            <w:vMerge w:val="restart"/>
            <w:vAlign w:val="center"/>
          </w:tcPr>
          <w:p>
            <w:pPr>
              <w:jc w:val="center"/>
              <w:rPr>
                <w:rFonts w:ascii="宋体" w:hAnsi="宋体" w:cs="宋体"/>
                <w:sz w:val="24"/>
                <w:szCs w:val="24"/>
              </w:rPr>
            </w:pPr>
            <w:r>
              <w:rPr>
                <w:rFonts w:hint="eastAsia" w:ascii="宋体" w:hAnsi="宋体" w:cs="宋体"/>
                <w:sz w:val="24"/>
                <w:szCs w:val="24"/>
              </w:rPr>
              <w:t>应退投标保证金</w:t>
            </w:r>
          </w:p>
        </w:tc>
        <w:tc>
          <w:tcPr>
            <w:tcW w:w="6372" w:type="dxa"/>
            <w:gridSpan w:val="2"/>
          </w:tcPr>
          <w:p>
            <w:pPr>
              <w:rPr>
                <w:rFonts w:ascii="宋体" w:hAnsi="宋体" w:cs="宋体"/>
                <w:sz w:val="24"/>
                <w:szCs w:val="24"/>
              </w:rPr>
            </w:pPr>
            <w:r>
              <w:rPr>
                <w:rFonts w:hint="eastAsia" w:ascii="宋体" w:hAnsi="宋体" w:cs="宋体"/>
                <w:sz w:val="24"/>
                <w:szCs w:val="24"/>
              </w:rPr>
              <w:t>小  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atLeast"/>
        </w:trPr>
        <w:tc>
          <w:tcPr>
            <w:tcW w:w="2268" w:type="dxa"/>
            <w:vMerge w:val="continue"/>
          </w:tcPr>
          <w:p>
            <w:pPr>
              <w:rPr>
                <w:rFonts w:ascii="宋体" w:hAnsi="宋体" w:cs="宋体"/>
                <w:sz w:val="24"/>
                <w:szCs w:val="24"/>
              </w:rPr>
            </w:pPr>
          </w:p>
        </w:tc>
        <w:tc>
          <w:tcPr>
            <w:tcW w:w="6372" w:type="dxa"/>
            <w:gridSpan w:val="2"/>
          </w:tcPr>
          <w:p>
            <w:pPr>
              <w:rPr>
                <w:rFonts w:ascii="宋体" w:hAnsi="宋体" w:cs="宋体"/>
                <w:sz w:val="24"/>
                <w:szCs w:val="24"/>
              </w:rPr>
            </w:pPr>
            <w:r>
              <w:rPr>
                <w:rFonts w:hint="eastAsia" w:ascii="宋体" w:hAnsi="宋体" w:cs="宋体"/>
                <w:sz w:val="24"/>
                <w:szCs w:val="24"/>
              </w:rPr>
              <w:t>大  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2" w:hRule="atLeast"/>
        </w:trPr>
        <w:tc>
          <w:tcPr>
            <w:tcW w:w="2268" w:type="dxa"/>
            <w:vMerge w:val="restart"/>
            <w:vAlign w:val="center"/>
          </w:tcPr>
          <w:p>
            <w:pPr>
              <w:rPr>
                <w:rFonts w:ascii="宋体" w:hAnsi="宋体" w:cs="宋体"/>
              </w:rPr>
            </w:pPr>
            <w:r>
              <w:rPr>
                <w:rFonts w:hint="eastAsia" w:ascii="宋体" w:hAnsi="宋体" w:cs="宋体"/>
              </w:rPr>
              <w:t>收款单位（盖章）</w:t>
            </w:r>
          </w:p>
        </w:tc>
        <w:tc>
          <w:tcPr>
            <w:tcW w:w="2370" w:type="dxa"/>
            <w:vAlign w:val="center"/>
          </w:tcPr>
          <w:p>
            <w:pPr>
              <w:jc w:val="center"/>
              <w:rPr>
                <w:rFonts w:ascii="宋体" w:hAnsi="宋体" w:cs="宋体"/>
                <w:sz w:val="24"/>
                <w:szCs w:val="24"/>
              </w:rPr>
            </w:pPr>
            <w:r>
              <w:rPr>
                <w:rFonts w:hint="eastAsia" w:ascii="宋体" w:hAnsi="宋体" w:cs="宋体"/>
                <w:sz w:val="24"/>
                <w:szCs w:val="24"/>
              </w:rPr>
              <w:t>单  位 名 称</w:t>
            </w:r>
          </w:p>
        </w:tc>
        <w:tc>
          <w:tcPr>
            <w:tcW w:w="4002" w:type="dxa"/>
          </w:tcPr>
          <w:p>
            <w:pPr>
              <w:rPr>
                <w:rFonts w:ascii="宋体" w:hAnsi="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2268" w:type="dxa"/>
            <w:vMerge w:val="continue"/>
          </w:tcPr>
          <w:p>
            <w:pPr>
              <w:rPr>
                <w:rFonts w:ascii="宋体" w:hAnsi="宋体" w:cs="宋体"/>
                <w:sz w:val="24"/>
                <w:szCs w:val="24"/>
              </w:rPr>
            </w:pPr>
          </w:p>
        </w:tc>
        <w:tc>
          <w:tcPr>
            <w:tcW w:w="2370" w:type="dxa"/>
            <w:vAlign w:val="center"/>
          </w:tcPr>
          <w:p>
            <w:pPr>
              <w:jc w:val="center"/>
              <w:rPr>
                <w:rFonts w:ascii="宋体" w:hAnsi="宋体" w:cs="宋体"/>
                <w:sz w:val="24"/>
                <w:szCs w:val="24"/>
              </w:rPr>
            </w:pPr>
            <w:r>
              <w:rPr>
                <w:rFonts w:hint="eastAsia" w:ascii="宋体" w:hAnsi="宋体" w:cs="宋体"/>
                <w:sz w:val="24"/>
                <w:szCs w:val="24"/>
              </w:rPr>
              <w:t>开   户   行</w:t>
            </w:r>
          </w:p>
        </w:tc>
        <w:tc>
          <w:tcPr>
            <w:tcW w:w="4002" w:type="dxa"/>
          </w:tcPr>
          <w:p>
            <w:pPr>
              <w:rPr>
                <w:rFonts w:ascii="宋体" w:hAnsi="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8" w:hRule="atLeast"/>
        </w:trPr>
        <w:tc>
          <w:tcPr>
            <w:tcW w:w="2268" w:type="dxa"/>
            <w:vMerge w:val="continue"/>
          </w:tcPr>
          <w:p>
            <w:pPr>
              <w:rPr>
                <w:rFonts w:ascii="宋体" w:hAnsi="宋体" w:cs="宋体"/>
                <w:sz w:val="24"/>
                <w:szCs w:val="24"/>
              </w:rPr>
            </w:pPr>
          </w:p>
        </w:tc>
        <w:tc>
          <w:tcPr>
            <w:tcW w:w="2370" w:type="dxa"/>
            <w:vAlign w:val="center"/>
          </w:tcPr>
          <w:p>
            <w:pPr>
              <w:jc w:val="center"/>
              <w:rPr>
                <w:rFonts w:ascii="宋体" w:hAnsi="宋体" w:cs="宋体"/>
                <w:sz w:val="24"/>
                <w:szCs w:val="24"/>
              </w:rPr>
            </w:pPr>
            <w:r>
              <w:rPr>
                <w:rFonts w:hint="eastAsia" w:ascii="宋体" w:hAnsi="宋体" w:cs="宋体"/>
                <w:sz w:val="24"/>
                <w:szCs w:val="24"/>
              </w:rPr>
              <w:t>账        号</w:t>
            </w:r>
          </w:p>
        </w:tc>
        <w:tc>
          <w:tcPr>
            <w:tcW w:w="4002" w:type="dxa"/>
          </w:tcPr>
          <w:p>
            <w:pPr>
              <w:rPr>
                <w:rFonts w:ascii="宋体" w:hAnsi="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2" w:hRule="atLeast"/>
        </w:trPr>
        <w:tc>
          <w:tcPr>
            <w:tcW w:w="2268" w:type="dxa"/>
            <w:vMerge w:val="continue"/>
          </w:tcPr>
          <w:p>
            <w:pPr>
              <w:rPr>
                <w:rFonts w:ascii="宋体" w:hAnsi="宋体" w:cs="宋体"/>
                <w:sz w:val="24"/>
                <w:szCs w:val="24"/>
              </w:rPr>
            </w:pPr>
          </w:p>
        </w:tc>
        <w:tc>
          <w:tcPr>
            <w:tcW w:w="2370" w:type="dxa"/>
            <w:vAlign w:val="center"/>
          </w:tcPr>
          <w:p>
            <w:pPr>
              <w:jc w:val="center"/>
              <w:rPr>
                <w:rFonts w:ascii="宋体" w:hAnsi="宋体" w:cs="宋体"/>
                <w:sz w:val="24"/>
                <w:szCs w:val="24"/>
              </w:rPr>
            </w:pPr>
            <w:r>
              <w:rPr>
                <w:rFonts w:hint="eastAsia" w:ascii="宋体" w:hAnsi="宋体" w:cs="宋体"/>
                <w:sz w:val="24"/>
                <w:szCs w:val="24"/>
              </w:rPr>
              <w:t>联系人及电话</w:t>
            </w:r>
          </w:p>
        </w:tc>
        <w:tc>
          <w:tcPr>
            <w:tcW w:w="4002" w:type="dxa"/>
          </w:tcPr>
          <w:p>
            <w:pPr>
              <w:rPr>
                <w:rFonts w:ascii="宋体" w:hAnsi="宋体" w:cs="宋体"/>
                <w:sz w:val="24"/>
                <w:szCs w:val="24"/>
              </w:rPr>
            </w:pPr>
          </w:p>
        </w:tc>
      </w:tr>
    </w:tbl>
    <w:p>
      <w:pPr>
        <w:keepNext/>
        <w:keepLines/>
        <w:adjustRightInd w:val="0"/>
        <w:spacing w:line="416" w:lineRule="atLeast"/>
        <w:textAlignment w:val="baseline"/>
        <w:rPr>
          <w:rFonts w:ascii="宋体" w:hAnsi="宋体" w:cs="宋体"/>
          <w:b/>
          <w:bCs/>
          <w:sz w:val="24"/>
          <w:szCs w:val="24"/>
        </w:rPr>
      </w:pPr>
      <w:r>
        <w:rPr>
          <w:rFonts w:hint="eastAsia" w:ascii="宋体" w:hAnsi="宋体" w:cs="宋体"/>
          <w:b/>
          <w:bCs/>
          <w:sz w:val="24"/>
          <w:szCs w:val="24"/>
        </w:rPr>
        <w:t>注：单位公章需清晰完整。（仅作为退还保证金时使用，需单独提供）</w:t>
      </w:r>
    </w:p>
    <w:p>
      <w:pPr>
        <w:adjustRightInd w:val="0"/>
        <w:snapToGrid w:val="0"/>
        <w:spacing w:line="360" w:lineRule="auto"/>
        <w:rPr>
          <w:rFonts w:ascii="宋体" w:hAnsi="宋体" w:cs="宋体"/>
          <w:b/>
          <w:bCs/>
          <w:sz w:val="24"/>
          <w:szCs w:val="24"/>
        </w:rPr>
      </w:pPr>
    </w:p>
    <w:p>
      <w:pPr>
        <w:adjustRightInd w:val="0"/>
        <w:snapToGrid w:val="0"/>
        <w:spacing w:line="360" w:lineRule="auto"/>
        <w:rPr>
          <w:rFonts w:ascii="宋体" w:hAnsi="宋体" w:cs="宋体"/>
          <w:b/>
          <w:bCs/>
          <w:sz w:val="24"/>
          <w:szCs w:val="24"/>
        </w:rPr>
      </w:pPr>
      <w:r>
        <w:rPr>
          <w:rFonts w:hint="eastAsia" w:ascii="宋体" w:hAnsi="宋体" w:cs="宋体"/>
          <w:b/>
          <w:bCs/>
          <w:sz w:val="24"/>
          <w:szCs w:val="24"/>
        </w:rPr>
        <w:t>供应商可在开标当天将保证金退还账户信息确认表与保证金汇款凭证复印件加盖公章一并交给工作人员，当天未提交保证金退还账户信息确认表与保证金汇款凭证复印件加盖公章的供应商，在开标后自行找财务办理保证金退还手续。</w:t>
      </w:r>
    </w:p>
    <w:p>
      <w:pPr>
        <w:jc w:val="left"/>
        <w:rPr>
          <w:rFonts w:ascii="宋体" w:hAnsi="宋体" w:cs="宋体"/>
          <w:b/>
          <w:bCs/>
          <w:spacing w:val="48"/>
          <w:sz w:val="72"/>
          <w:szCs w:val="72"/>
        </w:rPr>
      </w:pPr>
    </w:p>
    <w:p>
      <w:pPr>
        <w:rPr>
          <w:rFonts w:ascii="宋体" w:hAnsi="宋体" w:cs="宋体"/>
        </w:rPr>
      </w:pPr>
    </w:p>
    <w:p>
      <w:pPr>
        <w:jc w:val="left"/>
        <w:rPr>
          <w:rFonts w:ascii="宋体" w:hAnsi="宋体" w:cs="宋体"/>
          <w:b/>
          <w:bCs/>
          <w:spacing w:val="48"/>
          <w:sz w:val="72"/>
          <w:szCs w:val="72"/>
        </w:rPr>
      </w:pPr>
    </w:p>
    <w:p>
      <w:pPr>
        <w:rPr>
          <w:rFonts w:ascii="宋体" w:hAnsi="宋体" w:cs="宋体"/>
        </w:rPr>
      </w:pPr>
    </w:p>
    <w:p>
      <w:pPr>
        <w:rPr>
          <w:rFonts w:ascii="宋体" w:hAnsi="宋体" w:cs="宋体"/>
          <w:b/>
          <w:bCs/>
          <w:spacing w:val="48"/>
          <w:sz w:val="72"/>
          <w:szCs w:val="72"/>
        </w:rPr>
      </w:pPr>
    </w:p>
    <w:p>
      <w:pPr>
        <w:rPr>
          <w:rFonts w:ascii="宋体" w:hAnsi="宋体" w:cs="宋体"/>
        </w:rPr>
      </w:pPr>
    </w:p>
    <w:p>
      <w:pPr>
        <w:jc w:val="left"/>
        <w:rPr>
          <w:rFonts w:ascii="宋体" w:hAnsi="宋体" w:cs="宋体"/>
          <w:b/>
          <w:spacing w:val="48"/>
          <w:sz w:val="72"/>
          <w:szCs w:val="72"/>
        </w:rPr>
        <w:sectPr>
          <w:headerReference r:id="rId25" w:type="default"/>
          <w:footerReference r:id="rId26" w:type="default"/>
          <w:pgSz w:w="11906" w:h="16838"/>
          <w:pgMar w:top="1440" w:right="1803" w:bottom="1440" w:left="1803" w:header="851" w:footer="992" w:gutter="0"/>
          <w:pgNumType w:fmt="decimal"/>
          <w:cols w:space="720" w:num="1"/>
          <w:docGrid w:type="lines" w:linePitch="319" w:charSpace="0"/>
        </w:sectPr>
      </w:pPr>
    </w:p>
    <w:p>
      <w:pPr>
        <w:ind w:firstLine="819" w:firstLineChars="100"/>
        <w:jc w:val="left"/>
        <w:rPr>
          <w:rFonts w:ascii="宋体" w:hAnsi="宋体" w:cs="宋体"/>
          <w:b/>
          <w:spacing w:val="48"/>
          <w:sz w:val="72"/>
          <w:szCs w:val="72"/>
        </w:rPr>
      </w:pPr>
      <w:bookmarkStart w:id="297" w:name="_Toc25994"/>
    </w:p>
    <w:p>
      <w:pPr>
        <w:ind w:firstLine="819" w:firstLineChars="100"/>
        <w:jc w:val="left"/>
        <w:rPr>
          <w:rFonts w:ascii="宋体" w:hAnsi="宋体" w:cs="宋体"/>
          <w:b/>
          <w:spacing w:val="48"/>
          <w:sz w:val="72"/>
          <w:szCs w:val="72"/>
        </w:rPr>
      </w:pPr>
      <w:r>
        <w:rPr>
          <w:rFonts w:hint="eastAsia" w:ascii="宋体" w:hAnsi="宋体" w:cs="宋体"/>
          <w:b/>
          <w:spacing w:val="48"/>
          <w:sz w:val="72"/>
          <w:szCs w:val="72"/>
        </w:rPr>
        <w:t>公平       公正</w:t>
      </w:r>
      <w:bookmarkEnd w:id="297"/>
    </w:p>
    <w:p>
      <w:pPr>
        <w:jc w:val="left"/>
        <w:rPr>
          <w:rFonts w:ascii="宋体" w:hAnsi="宋体" w:cs="宋体"/>
          <w:b/>
          <w:spacing w:val="48"/>
          <w:sz w:val="72"/>
          <w:szCs w:val="72"/>
        </w:rPr>
      </w:pPr>
    </w:p>
    <w:p>
      <w:pPr>
        <w:rPr>
          <w:rFonts w:ascii="宋体" w:hAnsi="宋体" w:cs="宋体"/>
          <w:spacing w:val="48"/>
          <w:sz w:val="72"/>
          <w:szCs w:val="72"/>
        </w:rPr>
      </w:pPr>
    </w:p>
    <w:p>
      <w:pPr>
        <w:rPr>
          <w:rFonts w:ascii="宋体" w:hAnsi="宋体" w:cs="宋体"/>
        </w:rPr>
      </w:pPr>
    </w:p>
    <w:p>
      <w:pPr>
        <w:ind w:firstLine="819" w:firstLineChars="100"/>
        <w:rPr>
          <w:rFonts w:ascii="宋体" w:hAnsi="宋体" w:cs="宋体"/>
          <w:b/>
          <w:spacing w:val="48"/>
          <w:sz w:val="72"/>
          <w:szCs w:val="72"/>
        </w:rPr>
      </w:pPr>
      <w:bookmarkStart w:id="298" w:name="_Toc9946"/>
      <w:r>
        <w:rPr>
          <w:rFonts w:hint="eastAsia" w:ascii="宋体" w:hAnsi="宋体" w:cs="宋体"/>
          <w:b/>
          <w:spacing w:val="48"/>
          <w:sz w:val="72"/>
          <w:szCs w:val="72"/>
        </w:rPr>
        <w:t>专业       高效</w:t>
      </w:r>
      <w:bookmarkEnd w:id="298"/>
    </w:p>
    <w:p>
      <w:pPr>
        <w:rPr>
          <w:rFonts w:ascii="宋体" w:hAnsi="宋体" w:cs="宋体"/>
          <w:spacing w:val="48"/>
          <w:sz w:val="72"/>
          <w:szCs w:val="72"/>
        </w:rPr>
      </w:pPr>
    </w:p>
    <w:p>
      <w:pPr>
        <w:rPr>
          <w:rFonts w:ascii="宋体" w:hAnsi="宋体" w:cs="宋体"/>
          <w:b/>
          <w:spacing w:val="48"/>
          <w:sz w:val="72"/>
          <w:szCs w:val="72"/>
        </w:rPr>
      </w:pPr>
    </w:p>
    <w:p>
      <w:pPr>
        <w:rPr>
          <w:rFonts w:ascii="宋体" w:hAnsi="宋体" w:cs="宋体"/>
          <w:spacing w:val="48"/>
          <w:sz w:val="72"/>
          <w:szCs w:val="72"/>
        </w:rPr>
      </w:pPr>
    </w:p>
    <w:p>
      <w:pPr>
        <w:rPr>
          <w:rFonts w:ascii="宋体" w:hAnsi="宋体" w:cs="宋体"/>
          <w:spacing w:val="48"/>
          <w:sz w:val="72"/>
          <w:szCs w:val="72"/>
        </w:rPr>
      </w:pPr>
    </w:p>
    <w:p>
      <w:pPr>
        <w:rPr>
          <w:rFonts w:ascii="宋体" w:hAnsi="宋体" w:cs="宋体"/>
        </w:rPr>
      </w:pPr>
    </w:p>
    <w:p>
      <w:pPr>
        <w:rPr>
          <w:rFonts w:ascii="宋体" w:hAnsi="宋体" w:cs="宋体"/>
          <w:b/>
          <w:sz w:val="30"/>
          <w:szCs w:val="30"/>
        </w:rPr>
      </w:pPr>
    </w:p>
    <w:p>
      <w:pPr>
        <w:rPr>
          <w:rFonts w:ascii="宋体" w:hAnsi="宋体" w:cs="宋体"/>
          <w:b/>
          <w:sz w:val="30"/>
          <w:szCs w:val="30"/>
        </w:rPr>
      </w:pPr>
      <w:bookmarkStart w:id="299" w:name="_Toc32384"/>
      <w:r>
        <w:rPr>
          <w:rFonts w:hint="eastAsia" w:ascii="宋体" w:hAnsi="宋体" w:cs="宋体"/>
          <w:b/>
          <w:sz w:val="30"/>
          <w:szCs w:val="30"/>
        </w:rPr>
        <w:t>企业名称：陕西卓佲项目管理有限公司</w:t>
      </w:r>
      <w:bookmarkEnd w:id="299"/>
    </w:p>
    <w:p>
      <w:pPr>
        <w:rPr>
          <w:rFonts w:ascii="宋体" w:hAnsi="宋体" w:cs="宋体"/>
          <w:b/>
          <w:sz w:val="30"/>
          <w:szCs w:val="30"/>
        </w:rPr>
      </w:pPr>
      <w:bookmarkStart w:id="300" w:name="_Toc25918"/>
      <w:r>
        <w:rPr>
          <w:rFonts w:hint="eastAsia" w:ascii="宋体" w:hAnsi="宋体" w:cs="宋体"/>
          <w:b/>
          <w:sz w:val="30"/>
          <w:szCs w:val="30"/>
        </w:rPr>
        <w:t>地址：西安市雁塔区科技路十号华奥大厦A座20层2002室</w:t>
      </w:r>
      <w:bookmarkEnd w:id="300"/>
    </w:p>
    <w:p>
      <w:pPr>
        <w:rPr>
          <w:rFonts w:ascii="宋体" w:hAnsi="宋体" w:cs="宋体"/>
          <w:b/>
          <w:sz w:val="30"/>
          <w:szCs w:val="30"/>
        </w:rPr>
      </w:pPr>
      <w:bookmarkStart w:id="301" w:name="_Toc26276"/>
      <w:r>
        <w:rPr>
          <w:rFonts w:hint="eastAsia" w:ascii="宋体" w:hAnsi="宋体" w:cs="宋体"/>
          <w:b/>
          <w:sz w:val="30"/>
          <w:szCs w:val="30"/>
        </w:rPr>
        <w:t>邮政编码：710065</w:t>
      </w:r>
      <w:bookmarkEnd w:id="301"/>
    </w:p>
    <w:p>
      <w:pPr>
        <w:rPr>
          <w:rFonts w:ascii="宋体" w:hAnsi="宋体" w:cs="宋体"/>
          <w:b/>
          <w:sz w:val="30"/>
          <w:szCs w:val="30"/>
        </w:rPr>
      </w:pPr>
      <w:bookmarkStart w:id="302" w:name="_Toc1409"/>
      <w:r>
        <w:rPr>
          <w:rFonts w:hint="eastAsia" w:ascii="宋体" w:hAnsi="宋体" w:cs="宋体"/>
          <w:b/>
          <w:sz w:val="30"/>
          <w:szCs w:val="30"/>
        </w:rPr>
        <w:t>电话：029-88440695</w:t>
      </w:r>
      <w:bookmarkEnd w:id="302"/>
    </w:p>
    <w:p>
      <w:pPr>
        <w:rPr>
          <w:rFonts w:ascii="宋体" w:hAnsi="宋体" w:cs="宋体"/>
        </w:rPr>
      </w:pPr>
      <w:bookmarkStart w:id="303" w:name="_Toc13292"/>
      <w:r>
        <w:rPr>
          <w:rFonts w:hint="eastAsia" w:ascii="宋体" w:hAnsi="宋体" w:cs="宋体"/>
          <w:b/>
          <w:sz w:val="30"/>
          <w:szCs w:val="30"/>
        </w:rPr>
        <w:t>传真：029-88440695</w:t>
      </w:r>
      <w:bookmarkEnd w:id="303"/>
    </w:p>
    <w:p>
      <w:pPr>
        <w:rPr>
          <w:rFonts w:ascii="宋体" w:hAnsi="宋体" w:cs="宋体"/>
        </w:rPr>
      </w:pPr>
    </w:p>
    <w:bookmarkEnd w:id="0"/>
    <w:bookmarkEnd w:id="176"/>
    <w:bookmarkEnd w:id="177"/>
    <w:p>
      <w:pPr>
        <w:rPr>
          <w:rFonts w:ascii="宋体" w:hAnsi="宋体" w:cs="宋体"/>
        </w:rPr>
      </w:pPr>
    </w:p>
    <w:sectPr>
      <w:headerReference r:id="rId27" w:type="default"/>
      <w:footerReference r:id="rId28" w:type="default"/>
      <w:pgSz w:w="11906" w:h="16838"/>
      <w:pgMar w:top="1440" w:right="1803" w:bottom="1440" w:left="1803" w:header="851" w:footer="992" w:gutter="0"/>
      <w:pgNumType w:fmt="decimal"/>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pperplate Gothic Bold">
    <w:altName w:val="Segoe Print"/>
    <w:panose1 w:val="020E07050202060204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Helvetica Neue">
    <w:altName w:val="Corbel"/>
    <w:panose1 w:val="00000000000000000000"/>
    <w:charset w:val="00"/>
    <w:family w:val="auto"/>
    <w:pitch w:val="default"/>
    <w:sig w:usb0="00000000" w:usb1="00000000" w:usb2="00000010" w:usb3="00000000" w:csb0="00000000" w:csb1="00000000"/>
  </w:font>
  <w:font w:name="Corbel">
    <w:panose1 w:val="020B0503020204020204"/>
    <w:charset w:val="00"/>
    <w:family w:val="auto"/>
    <w:pitch w:val="default"/>
    <w:sig w:usb0="A00002EF" w:usb1="4000A44B"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PMingLiU">
    <w:panose1 w:val="02020500000000000000"/>
    <w:charset w:val="88"/>
    <w:family w:val="auto"/>
    <w:pitch w:val="default"/>
    <w:sig w:usb0="A00002FF" w:usb1="28CFFCFA" w:usb2="00000016" w:usb3="00000000" w:csb0="00100001"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rPr>
        <w:rFonts w:ascii="宋体" w:hAnsi="宋体" w:cs="宋体"/>
      </w:rPr>
    </w:pPr>
    <w:r>
      <w:rPr>
        <w:rFonts w:hint="eastAsia" w:ascii="宋体" w:hAnsi="宋体" w:cs="宋体"/>
      </w:rPr>
      <w:t>陕西卓佲项目管理有限公司</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rPr>
        <w:rFonts w:ascii="宋体"/>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93</w:t>
                    </w:r>
                    <w:r>
                      <w:fldChar w:fldCharType="end"/>
                    </w:r>
                    <w:r>
                      <w:t xml:space="preserve"> 页</w:t>
                    </w:r>
                  </w:p>
                </w:txbxContent>
              </v:textbox>
            </v:shape>
          </w:pict>
        </mc:Fallback>
      </mc:AlternateContent>
    </w:r>
    <w:r>
      <w:rPr>
        <w:rFonts w:hint="eastAsia" w:ascii="宋体" w:hAnsi="宋体" w:cs="宋体"/>
      </w:rPr>
      <w:t>陕西卓佲项目管理有限公司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4150"/>
        <w:tab w:val="right" w:pos="8420"/>
        <w:tab w:val="clear" w:pos="4153"/>
      </w:tabs>
      <w:rPr>
        <w:rFonts w:ascii="宋体"/>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110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110</w:t>
                    </w:r>
                    <w:r>
                      <w:fldChar w:fldCharType="end"/>
                    </w:r>
                    <w:r>
                      <w:t xml:space="preserve"> 页</w:t>
                    </w:r>
                  </w:p>
                </w:txbxContent>
              </v:textbox>
            </v:shape>
          </w:pict>
        </mc:Fallback>
      </mc:AlternateContent>
    </w:r>
    <w:r>
      <w:rPr>
        <w:rFonts w:ascii="宋体"/>
      </w:rPr>
      <w:tab/>
    </w:r>
    <w:r>
      <w:rPr>
        <w:rFonts w:ascii="宋体"/>
      </w:rPr>
      <w:tab/>
    </w:r>
    <w:r>
      <w:rPr>
        <w:rFonts w:hint="eastAsia" w:ascii="宋体" w:hAnsi="宋体" w:cs="宋体"/>
      </w:rPr>
      <w:t>陕西卓佲项目管理有限公司</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rPr>
        <w:rFonts w:ascii="宋体" w:cs="宋体"/>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108</w:t>
                    </w:r>
                    <w:r>
                      <w:fldChar w:fldCharType="end"/>
                    </w:r>
                    <w:r>
                      <w:t xml:space="preserve"> 页</w:t>
                    </w:r>
                  </w:p>
                </w:txbxContent>
              </v:textbox>
            </v:shape>
          </w:pict>
        </mc:Fallback>
      </mc:AlternateContent>
    </w:r>
    <w:r>
      <w:rPr>
        <w:rFonts w:hint="eastAsia" w:ascii="宋体" w:hAnsi="宋体" w:cs="宋体"/>
      </w:rPr>
      <w:t>陕西卓佲项目管理有限公司</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4150"/>
        <w:tab w:val="right" w:pos="8420"/>
        <w:tab w:val="clear" w:pos="4153"/>
      </w:tabs>
      <w:rPr>
        <w:rFonts w:ascii="宋体"/>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110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110</w:t>
                    </w:r>
                    <w:r>
                      <w:fldChar w:fldCharType="end"/>
                    </w:r>
                    <w:r>
                      <w:t xml:space="preserve"> 页</w:t>
                    </w:r>
                  </w:p>
                </w:txbxContent>
              </v:textbox>
            </v:shape>
          </w:pict>
        </mc:Fallback>
      </mc:AlternateContent>
    </w:r>
    <w:r>
      <w:rPr>
        <w:rFonts w:ascii="宋体"/>
      </w:rPr>
      <w:tab/>
    </w:r>
    <w:r>
      <w:rPr>
        <w:rFonts w:ascii="宋体"/>
      </w:rPr>
      <w:tab/>
    </w:r>
    <w:r>
      <w:rPr>
        <w:rFonts w:hint="eastAsia" w:ascii="宋体" w:hAnsi="宋体" w:cs="宋体"/>
      </w:rPr>
      <w:t>陕西卓佲项目管理有限公司</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117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117</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4150"/>
        <w:tab w:val="right" w:pos="8420"/>
        <w:tab w:val="clear" w:pos="4153"/>
      </w:tabs>
      <w:rPr>
        <w:rFonts w:ascii="宋体"/>
      </w:rPr>
    </w:pPr>
    <w:r>
      <w:rPr>
        <w:rFonts w:ascii="宋体"/>
      </w:rPr>
      <w:tab/>
    </w:r>
    <w:r>
      <w:rPr>
        <w:rFonts w:ascii="宋体"/>
      </w:rPr>
      <w:tab/>
    </w:r>
    <w:r>
      <w:rPr>
        <w:rFonts w:hint="eastAsia" w:ascii="宋体" w:hAnsi="宋体" w:cs="宋体"/>
      </w:rPr>
      <w:t>陕西卓佲项目管理有限公司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27</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13</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20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20</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27</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74</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87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87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jc w:val="left"/>
      <w:rPr>
        <w:rFonts w:hint="eastAsia" w:ascii="宋体" w:hAnsi="宋体" w:eastAsia="宋体" w:cs="宋体"/>
        <w:u w:val="single"/>
        <w:lang w:eastAsia="zh-C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jc w:val="left"/>
      <w:rPr>
        <w:rFonts w:hint="eastAsia" w:eastAsia="宋体"/>
        <w:lang w:eastAsia="zh-CN"/>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jc w:val="left"/>
      <w:rPr>
        <w:rFonts w:hint="eastAsia" w:eastAsia="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jc w:val="left"/>
      <w:rPr>
        <w:rFonts w:hint="eastAsia" w:eastAsia="宋体"/>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pacing w:line="360" w:lineRule="auto"/>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jc w:val="left"/>
      <w:rPr>
        <w:rFonts w:hint="eastAsia" w:eastAsia="宋体"/>
        <w:lang w:eastAsia="zh-C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jc w:val="left"/>
      <w:rPr>
        <w:rFonts w:hint="eastAsia" w:eastAsia="宋体"/>
        <w:lang w:eastAsia="zh-CN"/>
      </w:rPr>
    </w:pPr>
    <w:r>
      <w:rPr>
        <w:rFonts w:hint="eastAsia" w:ascii="宋体" w:hAnsi="宋体" w:cs="宋体"/>
        <w:sz w:val="15"/>
        <w:szCs w:val="15"/>
        <w:u w:val="single"/>
        <w:lang w:eastAsia="zh-CN"/>
      </w:rPr>
      <w:t>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jc w:val="left"/>
      <w:rPr>
        <w:rFonts w:hint="eastAsia" w:eastAsia="宋体"/>
        <w:lang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jc w:val="left"/>
      <w:rPr>
        <w:rFonts w:hint="eastAsia" w:eastAsia="宋体"/>
        <w:lang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line="360" w:lineRule="auto"/>
      <w:jc w:val="left"/>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442028"/>
    <w:multiLevelType w:val="singleLevel"/>
    <w:tmpl w:val="9F442028"/>
    <w:lvl w:ilvl="0" w:tentative="0">
      <w:start w:val="1"/>
      <w:numFmt w:val="decimal"/>
      <w:suff w:val="nothing"/>
      <w:lvlText w:val="%1、"/>
      <w:lvlJc w:val="left"/>
      <w:pPr>
        <w:ind w:firstLine="420"/>
      </w:pPr>
      <w:rPr>
        <w:rFonts w:hint="default" w:cs="Times New Roman"/>
      </w:rPr>
    </w:lvl>
  </w:abstractNum>
  <w:abstractNum w:abstractNumId="1">
    <w:nsid w:val="9F50FDD6"/>
    <w:multiLevelType w:val="singleLevel"/>
    <w:tmpl w:val="9F50FDD6"/>
    <w:lvl w:ilvl="0" w:tentative="0">
      <w:start w:val="1"/>
      <w:numFmt w:val="decimal"/>
      <w:suff w:val="nothing"/>
      <w:lvlText w:val="（%1）"/>
      <w:lvlJc w:val="left"/>
    </w:lvl>
  </w:abstractNum>
  <w:abstractNum w:abstractNumId="2">
    <w:nsid w:val="BE6163E7"/>
    <w:multiLevelType w:val="singleLevel"/>
    <w:tmpl w:val="BE6163E7"/>
    <w:lvl w:ilvl="0" w:tentative="0">
      <w:start w:val="1"/>
      <w:numFmt w:val="decimal"/>
      <w:lvlText w:val="%1."/>
      <w:lvlJc w:val="left"/>
      <w:pPr>
        <w:tabs>
          <w:tab w:val="left" w:pos="312"/>
        </w:tabs>
      </w:pPr>
    </w:lvl>
  </w:abstractNum>
  <w:abstractNum w:abstractNumId="3">
    <w:nsid w:val="C435DD92"/>
    <w:multiLevelType w:val="singleLevel"/>
    <w:tmpl w:val="C435DD92"/>
    <w:lvl w:ilvl="0" w:tentative="0">
      <w:start w:val="2"/>
      <w:numFmt w:val="chineseCounting"/>
      <w:suff w:val="nothing"/>
      <w:lvlText w:val="%1、"/>
      <w:lvlJc w:val="left"/>
      <w:rPr>
        <w:rFonts w:hint="eastAsia"/>
      </w:rPr>
    </w:lvl>
  </w:abstractNum>
  <w:abstractNum w:abstractNumId="4">
    <w:nsid w:val="C99BDCD1"/>
    <w:multiLevelType w:val="singleLevel"/>
    <w:tmpl w:val="C99BDCD1"/>
    <w:lvl w:ilvl="0" w:tentative="0">
      <w:start w:val="1"/>
      <w:numFmt w:val="chineseCounting"/>
      <w:suff w:val="nothing"/>
      <w:lvlText w:val="（%1）"/>
      <w:lvlJc w:val="left"/>
      <w:rPr>
        <w:rFonts w:hint="eastAsia"/>
      </w:rPr>
    </w:lvl>
  </w:abstractNum>
  <w:abstractNum w:abstractNumId="5">
    <w:nsid w:val="DF87DBDD"/>
    <w:multiLevelType w:val="singleLevel"/>
    <w:tmpl w:val="DF87DBDD"/>
    <w:lvl w:ilvl="0" w:tentative="0">
      <w:start w:val="1"/>
      <w:numFmt w:val="decimal"/>
      <w:suff w:val="nothing"/>
      <w:lvlText w:val="%1、"/>
      <w:lvlJc w:val="left"/>
      <w:pPr>
        <w:ind w:firstLine="420"/>
      </w:pPr>
      <w:rPr>
        <w:rFonts w:hint="default" w:cs="Times New Roman"/>
      </w:rPr>
    </w:lvl>
  </w:abstractNum>
  <w:abstractNum w:abstractNumId="6">
    <w:nsid w:val="F20ECAEB"/>
    <w:multiLevelType w:val="singleLevel"/>
    <w:tmpl w:val="F20ECAEB"/>
    <w:lvl w:ilvl="0" w:tentative="0">
      <w:start w:val="4"/>
      <w:numFmt w:val="chineseCounting"/>
      <w:suff w:val="space"/>
      <w:lvlText w:val="第%1部分"/>
      <w:lvlJc w:val="left"/>
      <w:rPr>
        <w:rFonts w:hint="eastAsia"/>
      </w:rPr>
    </w:lvl>
  </w:abstractNum>
  <w:abstractNum w:abstractNumId="7">
    <w:nsid w:val="0B78F726"/>
    <w:multiLevelType w:val="singleLevel"/>
    <w:tmpl w:val="0B78F726"/>
    <w:lvl w:ilvl="0" w:tentative="0">
      <w:start w:val="1"/>
      <w:numFmt w:val="decimal"/>
      <w:suff w:val="nothing"/>
      <w:lvlText w:val="%1、"/>
      <w:lvlJc w:val="left"/>
    </w:lvl>
  </w:abstractNum>
  <w:abstractNum w:abstractNumId="8">
    <w:nsid w:val="19B057FC"/>
    <w:multiLevelType w:val="singleLevel"/>
    <w:tmpl w:val="19B057FC"/>
    <w:lvl w:ilvl="0" w:tentative="0">
      <w:start w:val="1"/>
      <w:numFmt w:val="decimal"/>
      <w:suff w:val="nothing"/>
      <w:lvlText w:val="%1、"/>
      <w:lvlJc w:val="left"/>
      <w:pPr>
        <w:ind w:left="140" w:firstLine="0"/>
      </w:pPr>
    </w:lvl>
  </w:abstractNum>
  <w:abstractNum w:abstractNumId="9">
    <w:nsid w:val="3362439E"/>
    <w:multiLevelType w:val="singleLevel"/>
    <w:tmpl w:val="3362439E"/>
    <w:lvl w:ilvl="0" w:tentative="0">
      <w:start w:val="1"/>
      <w:numFmt w:val="decimal"/>
      <w:suff w:val="nothing"/>
      <w:lvlText w:val="%1、"/>
      <w:lvlJc w:val="left"/>
    </w:lvl>
  </w:abstractNum>
  <w:abstractNum w:abstractNumId="10">
    <w:nsid w:val="4422611F"/>
    <w:multiLevelType w:val="singleLevel"/>
    <w:tmpl w:val="4422611F"/>
    <w:lvl w:ilvl="0" w:tentative="0">
      <w:start w:val="1"/>
      <w:numFmt w:val="decimal"/>
      <w:suff w:val="nothing"/>
      <w:lvlText w:val="（%1）"/>
      <w:lvlJc w:val="left"/>
    </w:lvl>
  </w:abstractNum>
  <w:abstractNum w:abstractNumId="11">
    <w:nsid w:val="451D8B65"/>
    <w:multiLevelType w:val="singleLevel"/>
    <w:tmpl w:val="451D8B65"/>
    <w:lvl w:ilvl="0" w:tentative="0">
      <w:start w:val="1"/>
      <w:numFmt w:val="decimal"/>
      <w:suff w:val="nothing"/>
      <w:lvlText w:val="（%1）"/>
      <w:lvlJc w:val="left"/>
      <w:pPr>
        <w:ind w:left="0" w:firstLine="420"/>
      </w:pPr>
      <w:rPr>
        <w:rFonts w:hint="default"/>
      </w:rPr>
    </w:lvl>
  </w:abstractNum>
  <w:abstractNum w:abstractNumId="12">
    <w:nsid w:val="559A3852"/>
    <w:multiLevelType w:val="singleLevel"/>
    <w:tmpl w:val="559A3852"/>
    <w:lvl w:ilvl="0" w:tentative="0">
      <w:start w:val="1"/>
      <w:numFmt w:val="decimal"/>
      <w:suff w:val="nothing"/>
      <w:lvlText w:val="（%1）"/>
      <w:lvlJc w:val="left"/>
      <w:pPr>
        <w:ind w:left="0" w:firstLine="400"/>
      </w:pPr>
      <w:rPr>
        <w:rFonts w:hint="default"/>
      </w:rPr>
    </w:lvl>
  </w:abstractNum>
  <w:abstractNum w:abstractNumId="13">
    <w:nsid w:val="582C80F9"/>
    <w:multiLevelType w:val="singleLevel"/>
    <w:tmpl w:val="582C80F9"/>
    <w:lvl w:ilvl="0" w:tentative="0">
      <w:start w:val="3"/>
      <w:numFmt w:val="decimal"/>
      <w:suff w:val="nothing"/>
      <w:lvlText w:val="%1、"/>
      <w:lvlJc w:val="left"/>
    </w:lvl>
  </w:abstractNum>
  <w:abstractNum w:abstractNumId="14">
    <w:nsid w:val="58BE4A74"/>
    <w:multiLevelType w:val="singleLevel"/>
    <w:tmpl w:val="58BE4A74"/>
    <w:lvl w:ilvl="0" w:tentative="0">
      <w:start w:val="1"/>
      <w:numFmt w:val="chineseCounting"/>
      <w:suff w:val="nothing"/>
      <w:lvlText w:val="%1、"/>
      <w:lvlJc w:val="left"/>
      <w:pPr>
        <w:ind w:left="0" w:firstLine="420"/>
      </w:pPr>
      <w:rPr>
        <w:rFonts w:hint="eastAsia"/>
      </w:rPr>
    </w:lvl>
  </w:abstractNum>
  <w:abstractNum w:abstractNumId="15">
    <w:nsid w:val="58BE4ABA"/>
    <w:multiLevelType w:val="singleLevel"/>
    <w:tmpl w:val="58BE4ABA"/>
    <w:lvl w:ilvl="0" w:tentative="0">
      <w:start w:val="1"/>
      <w:numFmt w:val="decimal"/>
      <w:suff w:val="nothing"/>
      <w:lvlText w:val="%1、"/>
      <w:lvlJc w:val="left"/>
      <w:pPr>
        <w:ind w:left="0" w:firstLine="420"/>
      </w:pPr>
      <w:rPr>
        <w:rFonts w:hint="default"/>
      </w:rPr>
    </w:lvl>
  </w:abstractNum>
  <w:abstractNum w:abstractNumId="16">
    <w:nsid w:val="58BE4BC8"/>
    <w:multiLevelType w:val="singleLevel"/>
    <w:tmpl w:val="58BE4BC8"/>
    <w:lvl w:ilvl="0" w:tentative="0">
      <w:start w:val="1"/>
      <w:numFmt w:val="decimal"/>
      <w:suff w:val="nothing"/>
      <w:lvlText w:val="%1、"/>
      <w:lvlJc w:val="left"/>
      <w:pPr>
        <w:ind w:left="0" w:firstLine="420"/>
      </w:pPr>
      <w:rPr>
        <w:rFonts w:hint="default"/>
      </w:rPr>
    </w:lvl>
  </w:abstractNum>
  <w:abstractNum w:abstractNumId="17">
    <w:nsid w:val="58BE64F2"/>
    <w:multiLevelType w:val="singleLevel"/>
    <w:tmpl w:val="58BE64F2"/>
    <w:lvl w:ilvl="0" w:tentative="0">
      <w:start w:val="1"/>
      <w:numFmt w:val="decimal"/>
      <w:suff w:val="nothing"/>
      <w:lvlText w:val="%1、"/>
      <w:lvlJc w:val="left"/>
      <w:pPr>
        <w:ind w:left="0" w:firstLine="420"/>
      </w:pPr>
      <w:rPr>
        <w:rFonts w:hint="default"/>
      </w:rPr>
    </w:lvl>
  </w:abstractNum>
  <w:abstractNum w:abstractNumId="18">
    <w:nsid w:val="58BE6519"/>
    <w:multiLevelType w:val="singleLevel"/>
    <w:tmpl w:val="58BE6519"/>
    <w:lvl w:ilvl="0" w:tentative="0">
      <w:start w:val="1"/>
      <w:numFmt w:val="decimal"/>
      <w:suff w:val="nothing"/>
      <w:lvlText w:val="%1、"/>
      <w:lvlJc w:val="left"/>
      <w:pPr>
        <w:ind w:left="200" w:firstLine="420"/>
      </w:pPr>
      <w:rPr>
        <w:rFonts w:hint="default"/>
      </w:rPr>
    </w:lvl>
  </w:abstractNum>
  <w:abstractNum w:abstractNumId="19">
    <w:nsid w:val="58BE6CCA"/>
    <w:multiLevelType w:val="singleLevel"/>
    <w:tmpl w:val="58BE6CCA"/>
    <w:lvl w:ilvl="0" w:tentative="0">
      <w:start w:val="1"/>
      <w:numFmt w:val="decimal"/>
      <w:suff w:val="nothing"/>
      <w:lvlText w:val="%1、"/>
      <w:lvlJc w:val="left"/>
      <w:pPr>
        <w:ind w:left="0" w:firstLine="420"/>
      </w:pPr>
      <w:rPr>
        <w:rFonts w:hint="default"/>
      </w:rPr>
    </w:lvl>
  </w:abstractNum>
  <w:abstractNum w:abstractNumId="20">
    <w:nsid w:val="58C0AD6D"/>
    <w:multiLevelType w:val="singleLevel"/>
    <w:tmpl w:val="58C0AD6D"/>
    <w:lvl w:ilvl="0" w:tentative="0">
      <w:start w:val="1"/>
      <w:numFmt w:val="decimal"/>
      <w:suff w:val="nothing"/>
      <w:lvlText w:val="（%1）"/>
      <w:lvlJc w:val="left"/>
      <w:pPr>
        <w:ind w:left="0" w:firstLine="420"/>
      </w:pPr>
      <w:rPr>
        <w:rFonts w:hint="default"/>
      </w:rPr>
    </w:lvl>
  </w:abstractNum>
  <w:abstractNum w:abstractNumId="21">
    <w:nsid w:val="58E5B8A6"/>
    <w:multiLevelType w:val="singleLevel"/>
    <w:tmpl w:val="58E5B8A6"/>
    <w:lvl w:ilvl="0" w:tentative="0">
      <w:start w:val="1"/>
      <w:numFmt w:val="decimal"/>
      <w:suff w:val="nothing"/>
      <w:lvlText w:val="（%1）"/>
      <w:lvlJc w:val="left"/>
      <w:pPr>
        <w:ind w:left="0" w:firstLine="420"/>
      </w:pPr>
      <w:rPr>
        <w:rFonts w:hint="default"/>
      </w:rPr>
    </w:lvl>
  </w:abstractNum>
  <w:abstractNum w:abstractNumId="22">
    <w:nsid w:val="58E5C1FF"/>
    <w:multiLevelType w:val="singleLevel"/>
    <w:tmpl w:val="58E5C1FF"/>
    <w:lvl w:ilvl="0" w:tentative="0">
      <w:start w:val="1"/>
      <w:numFmt w:val="decimal"/>
      <w:suff w:val="nothing"/>
      <w:lvlText w:val="（%1）"/>
      <w:lvlJc w:val="left"/>
      <w:pPr>
        <w:ind w:left="0" w:firstLine="420"/>
      </w:pPr>
      <w:rPr>
        <w:rFonts w:hint="default"/>
      </w:rPr>
    </w:lvl>
  </w:abstractNum>
  <w:abstractNum w:abstractNumId="23">
    <w:nsid w:val="58E5CD31"/>
    <w:multiLevelType w:val="singleLevel"/>
    <w:tmpl w:val="58E5CD31"/>
    <w:lvl w:ilvl="0" w:tentative="0">
      <w:start w:val="1"/>
      <w:numFmt w:val="decimal"/>
      <w:suff w:val="nothing"/>
      <w:lvlText w:val="（%1）"/>
      <w:lvlJc w:val="left"/>
      <w:pPr>
        <w:ind w:left="0" w:firstLine="420"/>
      </w:pPr>
      <w:rPr>
        <w:rFonts w:hint="default"/>
      </w:rPr>
    </w:lvl>
  </w:abstractNum>
  <w:abstractNum w:abstractNumId="24">
    <w:nsid w:val="5902B6A7"/>
    <w:multiLevelType w:val="singleLevel"/>
    <w:tmpl w:val="5902B6A7"/>
    <w:lvl w:ilvl="0" w:tentative="0">
      <w:start w:val="1"/>
      <w:numFmt w:val="decimal"/>
      <w:pStyle w:val="8"/>
      <w:lvlText w:val="%1."/>
      <w:lvlJc w:val="left"/>
      <w:pPr>
        <w:tabs>
          <w:tab w:val="left" w:pos="360"/>
        </w:tabs>
        <w:ind w:left="360" w:hanging="360"/>
      </w:pPr>
    </w:lvl>
  </w:abstractNum>
  <w:abstractNum w:abstractNumId="25">
    <w:nsid w:val="59AF49DB"/>
    <w:multiLevelType w:val="singleLevel"/>
    <w:tmpl w:val="59AF49DB"/>
    <w:lvl w:ilvl="0" w:tentative="0">
      <w:start w:val="1"/>
      <w:numFmt w:val="decimal"/>
      <w:suff w:val="nothing"/>
      <w:lvlText w:val="%1、"/>
      <w:lvlJc w:val="left"/>
    </w:lvl>
  </w:abstractNum>
  <w:abstractNum w:abstractNumId="26">
    <w:nsid w:val="59C37D8F"/>
    <w:multiLevelType w:val="singleLevel"/>
    <w:tmpl w:val="59C37D8F"/>
    <w:lvl w:ilvl="0" w:tentative="0">
      <w:start w:val="7"/>
      <w:numFmt w:val="decimal"/>
      <w:suff w:val="nothing"/>
      <w:lvlText w:val="%1、"/>
      <w:lvlJc w:val="left"/>
    </w:lvl>
  </w:abstractNum>
  <w:abstractNum w:abstractNumId="27">
    <w:nsid w:val="59F098CD"/>
    <w:multiLevelType w:val="singleLevel"/>
    <w:tmpl w:val="59F098CD"/>
    <w:lvl w:ilvl="0" w:tentative="0">
      <w:start w:val="1"/>
      <w:numFmt w:val="decimal"/>
      <w:suff w:val="nothing"/>
      <w:lvlText w:val="（%1）"/>
      <w:lvlJc w:val="left"/>
      <w:pPr>
        <w:ind w:firstLine="420"/>
      </w:pPr>
      <w:rPr>
        <w:rFonts w:hint="default" w:cs="Times New Roman"/>
      </w:rPr>
    </w:lvl>
  </w:abstractNum>
  <w:abstractNum w:abstractNumId="28">
    <w:nsid w:val="5FB1E77F"/>
    <w:multiLevelType w:val="singleLevel"/>
    <w:tmpl w:val="5FB1E77F"/>
    <w:lvl w:ilvl="0" w:tentative="0">
      <w:start w:val="1"/>
      <w:numFmt w:val="decimal"/>
      <w:suff w:val="nothing"/>
      <w:lvlText w:val="%1、"/>
      <w:lvlJc w:val="left"/>
    </w:lvl>
  </w:abstractNum>
  <w:abstractNum w:abstractNumId="29">
    <w:nsid w:val="604094DA"/>
    <w:multiLevelType w:val="singleLevel"/>
    <w:tmpl w:val="604094DA"/>
    <w:lvl w:ilvl="0" w:tentative="0">
      <w:start w:val="1"/>
      <w:numFmt w:val="decimal"/>
      <w:suff w:val="space"/>
      <w:lvlText w:val="%1."/>
      <w:lvlJc w:val="left"/>
    </w:lvl>
  </w:abstractNum>
  <w:abstractNum w:abstractNumId="30">
    <w:nsid w:val="61F7CCE3"/>
    <w:multiLevelType w:val="singleLevel"/>
    <w:tmpl w:val="61F7CCE3"/>
    <w:lvl w:ilvl="0" w:tentative="0">
      <w:start w:val="2"/>
      <w:numFmt w:val="chineseCounting"/>
      <w:suff w:val="space"/>
      <w:lvlText w:val="第%1部分"/>
      <w:lvlJc w:val="left"/>
      <w:rPr>
        <w:rFonts w:hint="eastAsia"/>
      </w:rPr>
    </w:lvl>
  </w:abstractNum>
  <w:abstractNum w:abstractNumId="31">
    <w:nsid w:val="64402E50"/>
    <w:multiLevelType w:val="singleLevel"/>
    <w:tmpl w:val="64402E50"/>
    <w:lvl w:ilvl="0" w:tentative="0">
      <w:start w:val="8"/>
      <w:numFmt w:val="chineseCounting"/>
      <w:suff w:val="space"/>
      <w:lvlText w:val="第%1部分"/>
      <w:lvlJc w:val="left"/>
      <w:rPr>
        <w:rFonts w:hint="eastAsia"/>
      </w:rPr>
    </w:lvl>
  </w:abstractNum>
  <w:abstractNum w:abstractNumId="32">
    <w:nsid w:val="744D776A"/>
    <w:multiLevelType w:val="singleLevel"/>
    <w:tmpl w:val="744D776A"/>
    <w:lvl w:ilvl="0" w:tentative="0">
      <w:start w:val="2"/>
      <w:numFmt w:val="decimal"/>
      <w:suff w:val="nothing"/>
      <w:lvlText w:val="%1、"/>
      <w:lvlJc w:val="left"/>
    </w:lvl>
  </w:abstractNum>
  <w:num w:numId="1">
    <w:abstractNumId w:val="24"/>
  </w:num>
  <w:num w:numId="2">
    <w:abstractNumId w:val="10"/>
  </w:num>
  <w:num w:numId="3">
    <w:abstractNumId w:val="1"/>
  </w:num>
  <w:num w:numId="4">
    <w:abstractNumId w:val="4"/>
  </w:num>
  <w:num w:numId="5">
    <w:abstractNumId w:val="23"/>
  </w:num>
  <w:num w:numId="6">
    <w:abstractNumId w:val="9"/>
  </w:num>
  <w:num w:numId="7">
    <w:abstractNumId w:val="28"/>
  </w:num>
  <w:num w:numId="8">
    <w:abstractNumId w:val="32"/>
  </w:num>
  <w:num w:numId="9">
    <w:abstractNumId w:val="27"/>
  </w:num>
  <w:num w:numId="10">
    <w:abstractNumId w:val="5"/>
  </w:num>
  <w:num w:numId="11">
    <w:abstractNumId w:val="0"/>
  </w:num>
  <w:num w:numId="12">
    <w:abstractNumId w:val="15"/>
  </w:num>
  <w:num w:numId="13">
    <w:abstractNumId w:val="12"/>
  </w:num>
  <w:num w:numId="14">
    <w:abstractNumId w:val="3"/>
  </w:num>
  <w:num w:numId="15">
    <w:abstractNumId w:val="19"/>
  </w:num>
  <w:num w:numId="16">
    <w:abstractNumId w:val="20"/>
  </w:num>
  <w:num w:numId="17">
    <w:abstractNumId w:val="16"/>
  </w:num>
  <w:num w:numId="18">
    <w:abstractNumId w:val="21"/>
  </w:num>
  <w:num w:numId="19">
    <w:abstractNumId w:val="14"/>
  </w:num>
  <w:num w:numId="20">
    <w:abstractNumId w:val="17"/>
  </w:num>
  <w:num w:numId="21">
    <w:abstractNumId w:val="18"/>
  </w:num>
  <w:num w:numId="22">
    <w:abstractNumId w:val="22"/>
  </w:num>
  <w:num w:numId="23">
    <w:abstractNumId w:val="6"/>
  </w:num>
  <w:num w:numId="24">
    <w:abstractNumId w:val="25"/>
  </w:num>
  <w:num w:numId="25">
    <w:abstractNumId w:val="2"/>
  </w:num>
  <w:num w:numId="26">
    <w:abstractNumId w:val="7"/>
  </w:num>
  <w:num w:numId="27">
    <w:abstractNumId w:val="13"/>
  </w:num>
  <w:num w:numId="28">
    <w:abstractNumId w:val="26"/>
  </w:num>
  <w:num w:numId="29">
    <w:abstractNumId w:val="30"/>
  </w:num>
  <w:num w:numId="30">
    <w:abstractNumId w:val="8"/>
  </w:num>
  <w:num w:numId="31">
    <w:abstractNumId w:val="11"/>
  </w:num>
  <w:num w:numId="32">
    <w:abstractNumId w:val="29"/>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xYTA0NjEzNzRiZjFlNmM3ZmM1ZDMxNzJjMjc3Y2MifQ=="/>
  </w:docVars>
  <w:rsids>
    <w:rsidRoot w:val="00172A27"/>
    <w:rsid w:val="00010D1C"/>
    <w:rsid w:val="0002712E"/>
    <w:rsid w:val="00037E51"/>
    <w:rsid w:val="00042D40"/>
    <w:rsid w:val="00067B07"/>
    <w:rsid w:val="000743B6"/>
    <w:rsid w:val="00084A44"/>
    <w:rsid w:val="0009265D"/>
    <w:rsid w:val="000A3AD6"/>
    <w:rsid w:val="000A6804"/>
    <w:rsid w:val="000B17FB"/>
    <w:rsid w:val="000B2A5D"/>
    <w:rsid w:val="000B3DD4"/>
    <w:rsid w:val="000C0895"/>
    <w:rsid w:val="000C673D"/>
    <w:rsid w:val="000D7288"/>
    <w:rsid w:val="000E2734"/>
    <w:rsid w:val="000E37CB"/>
    <w:rsid w:val="000F3806"/>
    <w:rsid w:val="00102202"/>
    <w:rsid w:val="0011607E"/>
    <w:rsid w:val="00122D04"/>
    <w:rsid w:val="00126C11"/>
    <w:rsid w:val="00140E4D"/>
    <w:rsid w:val="001479C8"/>
    <w:rsid w:val="00152CAF"/>
    <w:rsid w:val="00167A28"/>
    <w:rsid w:val="001701D8"/>
    <w:rsid w:val="0017037F"/>
    <w:rsid w:val="00172A27"/>
    <w:rsid w:val="00180FA4"/>
    <w:rsid w:val="00192A67"/>
    <w:rsid w:val="00195B2A"/>
    <w:rsid w:val="001A00DF"/>
    <w:rsid w:val="001A439C"/>
    <w:rsid w:val="001A6727"/>
    <w:rsid w:val="001B0BC1"/>
    <w:rsid w:val="001B1459"/>
    <w:rsid w:val="001B3264"/>
    <w:rsid w:val="001C17E7"/>
    <w:rsid w:val="001C2786"/>
    <w:rsid w:val="001D44F7"/>
    <w:rsid w:val="001D4DBC"/>
    <w:rsid w:val="001D74E8"/>
    <w:rsid w:val="001D76B9"/>
    <w:rsid w:val="001E1FE3"/>
    <w:rsid w:val="001E5E5C"/>
    <w:rsid w:val="001E7E49"/>
    <w:rsid w:val="001F403A"/>
    <w:rsid w:val="00205EEF"/>
    <w:rsid w:val="00214BA5"/>
    <w:rsid w:val="00221202"/>
    <w:rsid w:val="00247C1D"/>
    <w:rsid w:val="0025657F"/>
    <w:rsid w:val="002647A7"/>
    <w:rsid w:val="0026628D"/>
    <w:rsid w:val="00274C97"/>
    <w:rsid w:val="00287CC7"/>
    <w:rsid w:val="00290135"/>
    <w:rsid w:val="002923DE"/>
    <w:rsid w:val="00295F6C"/>
    <w:rsid w:val="0029755A"/>
    <w:rsid w:val="002A2AC6"/>
    <w:rsid w:val="002A5E9A"/>
    <w:rsid w:val="002C54CF"/>
    <w:rsid w:val="002D2909"/>
    <w:rsid w:val="002D4DA4"/>
    <w:rsid w:val="002D7A6D"/>
    <w:rsid w:val="002E07BF"/>
    <w:rsid w:val="002F6FCA"/>
    <w:rsid w:val="003146F7"/>
    <w:rsid w:val="00326800"/>
    <w:rsid w:val="003322AB"/>
    <w:rsid w:val="00332CAB"/>
    <w:rsid w:val="00337601"/>
    <w:rsid w:val="0035235D"/>
    <w:rsid w:val="00360C09"/>
    <w:rsid w:val="00376929"/>
    <w:rsid w:val="003929E2"/>
    <w:rsid w:val="00395491"/>
    <w:rsid w:val="003A2D46"/>
    <w:rsid w:val="003A3201"/>
    <w:rsid w:val="003B290E"/>
    <w:rsid w:val="003B61AE"/>
    <w:rsid w:val="003C2DEE"/>
    <w:rsid w:val="003C2E0B"/>
    <w:rsid w:val="003C67F2"/>
    <w:rsid w:val="003D30BC"/>
    <w:rsid w:val="003D37C1"/>
    <w:rsid w:val="003E1DDF"/>
    <w:rsid w:val="003E65D8"/>
    <w:rsid w:val="003E7B81"/>
    <w:rsid w:val="003F04B9"/>
    <w:rsid w:val="003F169C"/>
    <w:rsid w:val="003F3D18"/>
    <w:rsid w:val="003F42BB"/>
    <w:rsid w:val="003F5518"/>
    <w:rsid w:val="003F64A7"/>
    <w:rsid w:val="004057C8"/>
    <w:rsid w:val="004456E2"/>
    <w:rsid w:val="00450476"/>
    <w:rsid w:val="004803E0"/>
    <w:rsid w:val="00480A2B"/>
    <w:rsid w:val="00482B14"/>
    <w:rsid w:val="004862AD"/>
    <w:rsid w:val="004958B6"/>
    <w:rsid w:val="004A1B24"/>
    <w:rsid w:val="004A2796"/>
    <w:rsid w:val="004B0BF8"/>
    <w:rsid w:val="004B1B7C"/>
    <w:rsid w:val="004B2DBF"/>
    <w:rsid w:val="004C2AF8"/>
    <w:rsid w:val="004D70C5"/>
    <w:rsid w:val="004D7702"/>
    <w:rsid w:val="004E4CF5"/>
    <w:rsid w:val="00501EEF"/>
    <w:rsid w:val="0050491F"/>
    <w:rsid w:val="00513C7F"/>
    <w:rsid w:val="00517E36"/>
    <w:rsid w:val="00520C66"/>
    <w:rsid w:val="005217F8"/>
    <w:rsid w:val="00522064"/>
    <w:rsid w:val="00523018"/>
    <w:rsid w:val="00530399"/>
    <w:rsid w:val="00536870"/>
    <w:rsid w:val="00541724"/>
    <w:rsid w:val="00561B5B"/>
    <w:rsid w:val="00571D17"/>
    <w:rsid w:val="00572154"/>
    <w:rsid w:val="00573ECA"/>
    <w:rsid w:val="00576A5F"/>
    <w:rsid w:val="005B0E59"/>
    <w:rsid w:val="005B3960"/>
    <w:rsid w:val="005B7D7A"/>
    <w:rsid w:val="005C1A4E"/>
    <w:rsid w:val="005C7704"/>
    <w:rsid w:val="005D7A12"/>
    <w:rsid w:val="005E1A4A"/>
    <w:rsid w:val="005F0772"/>
    <w:rsid w:val="005F5307"/>
    <w:rsid w:val="006055AF"/>
    <w:rsid w:val="0060689C"/>
    <w:rsid w:val="00613B65"/>
    <w:rsid w:val="00616F2D"/>
    <w:rsid w:val="006177A7"/>
    <w:rsid w:val="006258BB"/>
    <w:rsid w:val="00641FD9"/>
    <w:rsid w:val="0064781D"/>
    <w:rsid w:val="00651A97"/>
    <w:rsid w:val="00654B3E"/>
    <w:rsid w:val="006634A1"/>
    <w:rsid w:val="006657C9"/>
    <w:rsid w:val="0067039B"/>
    <w:rsid w:val="0067149C"/>
    <w:rsid w:val="00680400"/>
    <w:rsid w:val="00681782"/>
    <w:rsid w:val="006849A6"/>
    <w:rsid w:val="00695476"/>
    <w:rsid w:val="00696FBA"/>
    <w:rsid w:val="006A0541"/>
    <w:rsid w:val="006A3CA0"/>
    <w:rsid w:val="006A5684"/>
    <w:rsid w:val="006B535E"/>
    <w:rsid w:val="006C2460"/>
    <w:rsid w:val="006D761F"/>
    <w:rsid w:val="006E14CD"/>
    <w:rsid w:val="006E169C"/>
    <w:rsid w:val="006E46DF"/>
    <w:rsid w:val="006E7F0D"/>
    <w:rsid w:val="006E7F57"/>
    <w:rsid w:val="006F1FD6"/>
    <w:rsid w:val="007027C4"/>
    <w:rsid w:val="00705E51"/>
    <w:rsid w:val="00711C0F"/>
    <w:rsid w:val="0071294E"/>
    <w:rsid w:val="007359DA"/>
    <w:rsid w:val="00736362"/>
    <w:rsid w:val="00736BCC"/>
    <w:rsid w:val="0074281E"/>
    <w:rsid w:val="00743051"/>
    <w:rsid w:val="007447C1"/>
    <w:rsid w:val="00754F21"/>
    <w:rsid w:val="00766793"/>
    <w:rsid w:val="00770871"/>
    <w:rsid w:val="00770AB6"/>
    <w:rsid w:val="0077254B"/>
    <w:rsid w:val="00787642"/>
    <w:rsid w:val="00792491"/>
    <w:rsid w:val="007A3A90"/>
    <w:rsid w:val="007A4E4B"/>
    <w:rsid w:val="007B5F39"/>
    <w:rsid w:val="007C08C3"/>
    <w:rsid w:val="007C2279"/>
    <w:rsid w:val="007C2526"/>
    <w:rsid w:val="007D0BA4"/>
    <w:rsid w:val="007D15F9"/>
    <w:rsid w:val="007D308B"/>
    <w:rsid w:val="007E485E"/>
    <w:rsid w:val="0080064B"/>
    <w:rsid w:val="00811783"/>
    <w:rsid w:val="00812CEA"/>
    <w:rsid w:val="00813B07"/>
    <w:rsid w:val="00823C25"/>
    <w:rsid w:val="008259FA"/>
    <w:rsid w:val="00835960"/>
    <w:rsid w:val="00842CDF"/>
    <w:rsid w:val="00847A3B"/>
    <w:rsid w:val="008573C1"/>
    <w:rsid w:val="00857AD6"/>
    <w:rsid w:val="0086367E"/>
    <w:rsid w:val="00872924"/>
    <w:rsid w:val="00876C01"/>
    <w:rsid w:val="008866C0"/>
    <w:rsid w:val="00895737"/>
    <w:rsid w:val="008962A7"/>
    <w:rsid w:val="00896FC7"/>
    <w:rsid w:val="008A367A"/>
    <w:rsid w:val="008B3D72"/>
    <w:rsid w:val="008C650D"/>
    <w:rsid w:val="008D2AF0"/>
    <w:rsid w:val="008D379A"/>
    <w:rsid w:val="008D43F8"/>
    <w:rsid w:val="008E455E"/>
    <w:rsid w:val="008E7C81"/>
    <w:rsid w:val="008F5E34"/>
    <w:rsid w:val="008F6EFE"/>
    <w:rsid w:val="00900E76"/>
    <w:rsid w:val="009325F4"/>
    <w:rsid w:val="00934062"/>
    <w:rsid w:val="0093477B"/>
    <w:rsid w:val="00940DCC"/>
    <w:rsid w:val="00954CF1"/>
    <w:rsid w:val="00970225"/>
    <w:rsid w:val="00974733"/>
    <w:rsid w:val="00980469"/>
    <w:rsid w:val="00986403"/>
    <w:rsid w:val="00987EB4"/>
    <w:rsid w:val="009A6569"/>
    <w:rsid w:val="009B6BFE"/>
    <w:rsid w:val="009C319B"/>
    <w:rsid w:val="009C3D12"/>
    <w:rsid w:val="009E3BD2"/>
    <w:rsid w:val="009E7878"/>
    <w:rsid w:val="009F29DA"/>
    <w:rsid w:val="009F39F9"/>
    <w:rsid w:val="009F3EA2"/>
    <w:rsid w:val="009F5B52"/>
    <w:rsid w:val="00A02D64"/>
    <w:rsid w:val="00A057C5"/>
    <w:rsid w:val="00A12A43"/>
    <w:rsid w:val="00A245C5"/>
    <w:rsid w:val="00A248F4"/>
    <w:rsid w:val="00A368E5"/>
    <w:rsid w:val="00A50E8F"/>
    <w:rsid w:val="00A51FDF"/>
    <w:rsid w:val="00A55ABC"/>
    <w:rsid w:val="00A62024"/>
    <w:rsid w:val="00A63494"/>
    <w:rsid w:val="00A73408"/>
    <w:rsid w:val="00A73B47"/>
    <w:rsid w:val="00A8343C"/>
    <w:rsid w:val="00A9028E"/>
    <w:rsid w:val="00A921BA"/>
    <w:rsid w:val="00A924AE"/>
    <w:rsid w:val="00AB0730"/>
    <w:rsid w:val="00AB48BA"/>
    <w:rsid w:val="00AB4AD1"/>
    <w:rsid w:val="00AC0ACE"/>
    <w:rsid w:val="00AC33EA"/>
    <w:rsid w:val="00AC7625"/>
    <w:rsid w:val="00AD405A"/>
    <w:rsid w:val="00AD6709"/>
    <w:rsid w:val="00AF40F8"/>
    <w:rsid w:val="00B03B01"/>
    <w:rsid w:val="00B32079"/>
    <w:rsid w:val="00B356BE"/>
    <w:rsid w:val="00B420E2"/>
    <w:rsid w:val="00B51036"/>
    <w:rsid w:val="00B530E4"/>
    <w:rsid w:val="00B657CE"/>
    <w:rsid w:val="00B71E47"/>
    <w:rsid w:val="00B73E01"/>
    <w:rsid w:val="00B76303"/>
    <w:rsid w:val="00B76DB3"/>
    <w:rsid w:val="00BC1AB3"/>
    <w:rsid w:val="00BC6B73"/>
    <w:rsid w:val="00BD2757"/>
    <w:rsid w:val="00BD2877"/>
    <w:rsid w:val="00BF4AB5"/>
    <w:rsid w:val="00BF6A85"/>
    <w:rsid w:val="00C003AB"/>
    <w:rsid w:val="00C12CCF"/>
    <w:rsid w:val="00C21BE4"/>
    <w:rsid w:val="00C24C41"/>
    <w:rsid w:val="00C41E46"/>
    <w:rsid w:val="00C53048"/>
    <w:rsid w:val="00C5725C"/>
    <w:rsid w:val="00C7157F"/>
    <w:rsid w:val="00C72367"/>
    <w:rsid w:val="00C73C93"/>
    <w:rsid w:val="00C74D12"/>
    <w:rsid w:val="00C8216D"/>
    <w:rsid w:val="00C86249"/>
    <w:rsid w:val="00C87AC8"/>
    <w:rsid w:val="00C9521D"/>
    <w:rsid w:val="00C96F1D"/>
    <w:rsid w:val="00CA5BC4"/>
    <w:rsid w:val="00CB13A4"/>
    <w:rsid w:val="00CB53E0"/>
    <w:rsid w:val="00CE27E5"/>
    <w:rsid w:val="00CE65B1"/>
    <w:rsid w:val="00CF14E5"/>
    <w:rsid w:val="00D01247"/>
    <w:rsid w:val="00D021E4"/>
    <w:rsid w:val="00D101F6"/>
    <w:rsid w:val="00D17C17"/>
    <w:rsid w:val="00D2717E"/>
    <w:rsid w:val="00D33A75"/>
    <w:rsid w:val="00D55097"/>
    <w:rsid w:val="00D574E4"/>
    <w:rsid w:val="00D576EF"/>
    <w:rsid w:val="00D60EC1"/>
    <w:rsid w:val="00D620F7"/>
    <w:rsid w:val="00D67E55"/>
    <w:rsid w:val="00D73573"/>
    <w:rsid w:val="00D90775"/>
    <w:rsid w:val="00D961C4"/>
    <w:rsid w:val="00DA4229"/>
    <w:rsid w:val="00DB5A77"/>
    <w:rsid w:val="00DC1986"/>
    <w:rsid w:val="00DC44EE"/>
    <w:rsid w:val="00DC7FB0"/>
    <w:rsid w:val="00DD0388"/>
    <w:rsid w:val="00DE7E5C"/>
    <w:rsid w:val="00DF71E3"/>
    <w:rsid w:val="00E04145"/>
    <w:rsid w:val="00E07442"/>
    <w:rsid w:val="00E122B7"/>
    <w:rsid w:val="00E12838"/>
    <w:rsid w:val="00E13657"/>
    <w:rsid w:val="00E20E24"/>
    <w:rsid w:val="00E2372B"/>
    <w:rsid w:val="00E24AFE"/>
    <w:rsid w:val="00E2696A"/>
    <w:rsid w:val="00E27FDA"/>
    <w:rsid w:val="00E310F2"/>
    <w:rsid w:val="00E3370B"/>
    <w:rsid w:val="00E42FF4"/>
    <w:rsid w:val="00E448F4"/>
    <w:rsid w:val="00E55BD3"/>
    <w:rsid w:val="00E604D4"/>
    <w:rsid w:val="00E631A6"/>
    <w:rsid w:val="00E65904"/>
    <w:rsid w:val="00E736A5"/>
    <w:rsid w:val="00E73A32"/>
    <w:rsid w:val="00E809CE"/>
    <w:rsid w:val="00E921E3"/>
    <w:rsid w:val="00E96FE9"/>
    <w:rsid w:val="00E9724B"/>
    <w:rsid w:val="00EA1ECE"/>
    <w:rsid w:val="00EB6716"/>
    <w:rsid w:val="00EC1E3D"/>
    <w:rsid w:val="00EC5E7B"/>
    <w:rsid w:val="00EC6E7A"/>
    <w:rsid w:val="00ED35D5"/>
    <w:rsid w:val="00EE2BA1"/>
    <w:rsid w:val="00EE2BEF"/>
    <w:rsid w:val="00EE7A3A"/>
    <w:rsid w:val="00EF4C76"/>
    <w:rsid w:val="00F01B7A"/>
    <w:rsid w:val="00F15049"/>
    <w:rsid w:val="00F16A08"/>
    <w:rsid w:val="00F20B01"/>
    <w:rsid w:val="00F213BC"/>
    <w:rsid w:val="00F234ED"/>
    <w:rsid w:val="00F26B97"/>
    <w:rsid w:val="00F356A9"/>
    <w:rsid w:val="00F41A9D"/>
    <w:rsid w:val="00F55CEC"/>
    <w:rsid w:val="00F57027"/>
    <w:rsid w:val="00F57524"/>
    <w:rsid w:val="00F75245"/>
    <w:rsid w:val="00F85676"/>
    <w:rsid w:val="00F8728D"/>
    <w:rsid w:val="00F9354D"/>
    <w:rsid w:val="00F94DCB"/>
    <w:rsid w:val="00FA27A8"/>
    <w:rsid w:val="00FB05DA"/>
    <w:rsid w:val="00FC12C0"/>
    <w:rsid w:val="00FC3301"/>
    <w:rsid w:val="00FC6694"/>
    <w:rsid w:val="00FE167F"/>
    <w:rsid w:val="00FE2720"/>
    <w:rsid w:val="00FF2A69"/>
    <w:rsid w:val="00FF4B45"/>
    <w:rsid w:val="00FF4F56"/>
    <w:rsid w:val="01351C73"/>
    <w:rsid w:val="013A223F"/>
    <w:rsid w:val="013C2BBE"/>
    <w:rsid w:val="013F2FCF"/>
    <w:rsid w:val="014C6453"/>
    <w:rsid w:val="0154481A"/>
    <w:rsid w:val="01623C08"/>
    <w:rsid w:val="01631939"/>
    <w:rsid w:val="01752AFE"/>
    <w:rsid w:val="01813926"/>
    <w:rsid w:val="01832362"/>
    <w:rsid w:val="018727CA"/>
    <w:rsid w:val="01920D21"/>
    <w:rsid w:val="01B36AC8"/>
    <w:rsid w:val="01B56C27"/>
    <w:rsid w:val="01F90F7C"/>
    <w:rsid w:val="02064B47"/>
    <w:rsid w:val="02092073"/>
    <w:rsid w:val="02132B87"/>
    <w:rsid w:val="021D146B"/>
    <w:rsid w:val="02264FBE"/>
    <w:rsid w:val="022B6D52"/>
    <w:rsid w:val="023E4F05"/>
    <w:rsid w:val="02680857"/>
    <w:rsid w:val="026E269C"/>
    <w:rsid w:val="02701597"/>
    <w:rsid w:val="0277484A"/>
    <w:rsid w:val="02801AAD"/>
    <w:rsid w:val="02854F8C"/>
    <w:rsid w:val="0299229B"/>
    <w:rsid w:val="029C5E74"/>
    <w:rsid w:val="029D1C8E"/>
    <w:rsid w:val="02AF5F86"/>
    <w:rsid w:val="02CE7259"/>
    <w:rsid w:val="02DB4DF7"/>
    <w:rsid w:val="02F8646C"/>
    <w:rsid w:val="030A0C9E"/>
    <w:rsid w:val="03205381"/>
    <w:rsid w:val="036A1C71"/>
    <w:rsid w:val="036F1D46"/>
    <w:rsid w:val="037F6424"/>
    <w:rsid w:val="03802F70"/>
    <w:rsid w:val="039614B8"/>
    <w:rsid w:val="03A62FDF"/>
    <w:rsid w:val="03AD7A96"/>
    <w:rsid w:val="03B43B3F"/>
    <w:rsid w:val="03BE46A4"/>
    <w:rsid w:val="03BE51B8"/>
    <w:rsid w:val="03C25B44"/>
    <w:rsid w:val="03FA6DFF"/>
    <w:rsid w:val="041378F5"/>
    <w:rsid w:val="04201F87"/>
    <w:rsid w:val="04316655"/>
    <w:rsid w:val="04922828"/>
    <w:rsid w:val="04970E19"/>
    <w:rsid w:val="04AC6CA5"/>
    <w:rsid w:val="04B351C5"/>
    <w:rsid w:val="04BF5AD0"/>
    <w:rsid w:val="04C3210C"/>
    <w:rsid w:val="04E5250D"/>
    <w:rsid w:val="04F209CD"/>
    <w:rsid w:val="05290726"/>
    <w:rsid w:val="0535429B"/>
    <w:rsid w:val="05402991"/>
    <w:rsid w:val="054B32F0"/>
    <w:rsid w:val="054E1CE0"/>
    <w:rsid w:val="056101E8"/>
    <w:rsid w:val="057A7F6E"/>
    <w:rsid w:val="058469D6"/>
    <w:rsid w:val="0589504E"/>
    <w:rsid w:val="058C1707"/>
    <w:rsid w:val="05AC0A53"/>
    <w:rsid w:val="05AE40A3"/>
    <w:rsid w:val="05E740AF"/>
    <w:rsid w:val="05EF0793"/>
    <w:rsid w:val="05F66E7E"/>
    <w:rsid w:val="05FC494C"/>
    <w:rsid w:val="06007989"/>
    <w:rsid w:val="060454DB"/>
    <w:rsid w:val="0618781F"/>
    <w:rsid w:val="06610A08"/>
    <w:rsid w:val="06686B0C"/>
    <w:rsid w:val="066D1D57"/>
    <w:rsid w:val="068D7620"/>
    <w:rsid w:val="06926006"/>
    <w:rsid w:val="06937EB7"/>
    <w:rsid w:val="06B32FBA"/>
    <w:rsid w:val="06BE30D0"/>
    <w:rsid w:val="06EF35C6"/>
    <w:rsid w:val="070D73CC"/>
    <w:rsid w:val="072653F5"/>
    <w:rsid w:val="07806CC6"/>
    <w:rsid w:val="07996308"/>
    <w:rsid w:val="079B0B7D"/>
    <w:rsid w:val="079C7ECA"/>
    <w:rsid w:val="07A86445"/>
    <w:rsid w:val="07E654DD"/>
    <w:rsid w:val="07EC334E"/>
    <w:rsid w:val="08061DBD"/>
    <w:rsid w:val="080B471B"/>
    <w:rsid w:val="08186ED9"/>
    <w:rsid w:val="083512EB"/>
    <w:rsid w:val="085B6064"/>
    <w:rsid w:val="08667849"/>
    <w:rsid w:val="086F12F7"/>
    <w:rsid w:val="087D5CEF"/>
    <w:rsid w:val="08970B55"/>
    <w:rsid w:val="08B828C6"/>
    <w:rsid w:val="08D5284D"/>
    <w:rsid w:val="08D97EBA"/>
    <w:rsid w:val="08ED0768"/>
    <w:rsid w:val="090A42F6"/>
    <w:rsid w:val="090B1FA9"/>
    <w:rsid w:val="091F7003"/>
    <w:rsid w:val="092F0982"/>
    <w:rsid w:val="094F3136"/>
    <w:rsid w:val="09545334"/>
    <w:rsid w:val="09583F4A"/>
    <w:rsid w:val="096A27B4"/>
    <w:rsid w:val="096E6A8F"/>
    <w:rsid w:val="09892EA7"/>
    <w:rsid w:val="099B5A1C"/>
    <w:rsid w:val="09DA0789"/>
    <w:rsid w:val="09E86A45"/>
    <w:rsid w:val="09EA213D"/>
    <w:rsid w:val="0A003D7D"/>
    <w:rsid w:val="0A073DB5"/>
    <w:rsid w:val="0A08744C"/>
    <w:rsid w:val="0A0976BB"/>
    <w:rsid w:val="0A1608E8"/>
    <w:rsid w:val="0A1763FE"/>
    <w:rsid w:val="0A3E3F88"/>
    <w:rsid w:val="0A3E7542"/>
    <w:rsid w:val="0A4D39C2"/>
    <w:rsid w:val="0A583CC6"/>
    <w:rsid w:val="0A5E3784"/>
    <w:rsid w:val="0A672A35"/>
    <w:rsid w:val="0A726026"/>
    <w:rsid w:val="0A981C9A"/>
    <w:rsid w:val="0AA72862"/>
    <w:rsid w:val="0AA74B6E"/>
    <w:rsid w:val="0ADF7AEC"/>
    <w:rsid w:val="0B147FEF"/>
    <w:rsid w:val="0B167DBC"/>
    <w:rsid w:val="0B21105A"/>
    <w:rsid w:val="0B212724"/>
    <w:rsid w:val="0B2209A4"/>
    <w:rsid w:val="0B483C08"/>
    <w:rsid w:val="0B5D1A85"/>
    <w:rsid w:val="0B756EDB"/>
    <w:rsid w:val="0B834CF3"/>
    <w:rsid w:val="0B986F9F"/>
    <w:rsid w:val="0B9B6894"/>
    <w:rsid w:val="0BBE458A"/>
    <w:rsid w:val="0BCF5E37"/>
    <w:rsid w:val="0BD74A5E"/>
    <w:rsid w:val="0BD928E6"/>
    <w:rsid w:val="0BE92434"/>
    <w:rsid w:val="0BEC370D"/>
    <w:rsid w:val="0BF43265"/>
    <w:rsid w:val="0C090444"/>
    <w:rsid w:val="0C1D7DEF"/>
    <w:rsid w:val="0C2413F5"/>
    <w:rsid w:val="0C2C1105"/>
    <w:rsid w:val="0C4B1E57"/>
    <w:rsid w:val="0C545F5A"/>
    <w:rsid w:val="0C567D9E"/>
    <w:rsid w:val="0C571D0F"/>
    <w:rsid w:val="0C606202"/>
    <w:rsid w:val="0C662702"/>
    <w:rsid w:val="0C7F3BFC"/>
    <w:rsid w:val="0C8949E4"/>
    <w:rsid w:val="0C997EBB"/>
    <w:rsid w:val="0CB6728F"/>
    <w:rsid w:val="0CC31335"/>
    <w:rsid w:val="0CC455C5"/>
    <w:rsid w:val="0CE32B9C"/>
    <w:rsid w:val="0CF14B0E"/>
    <w:rsid w:val="0CF5585C"/>
    <w:rsid w:val="0CFB6A75"/>
    <w:rsid w:val="0CFD25BD"/>
    <w:rsid w:val="0D24297B"/>
    <w:rsid w:val="0D34678D"/>
    <w:rsid w:val="0D3A39B1"/>
    <w:rsid w:val="0D4A02A6"/>
    <w:rsid w:val="0D4D794B"/>
    <w:rsid w:val="0D607508"/>
    <w:rsid w:val="0D8A31A8"/>
    <w:rsid w:val="0D8F75BB"/>
    <w:rsid w:val="0D933F5C"/>
    <w:rsid w:val="0DA3517A"/>
    <w:rsid w:val="0DAB1B73"/>
    <w:rsid w:val="0E06783A"/>
    <w:rsid w:val="0E0C42FA"/>
    <w:rsid w:val="0E340C77"/>
    <w:rsid w:val="0E3656D6"/>
    <w:rsid w:val="0E387EC2"/>
    <w:rsid w:val="0E3A106D"/>
    <w:rsid w:val="0E502C29"/>
    <w:rsid w:val="0E676A23"/>
    <w:rsid w:val="0E6B4E26"/>
    <w:rsid w:val="0E734739"/>
    <w:rsid w:val="0E8B4F0A"/>
    <w:rsid w:val="0E9A15CB"/>
    <w:rsid w:val="0E9C201E"/>
    <w:rsid w:val="0EA727EB"/>
    <w:rsid w:val="0EB2717E"/>
    <w:rsid w:val="0EE26BE2"/>
    <w:rsid w:val="0F3C019D"/>
    <w:rsid w:val="0F4D0852"/>
    <w:rsid w:val="0F784044"/>
    <w:rsid w:val="0F823D5D"/>
    <w:rsid w:val="0F862A78"/>
    <w:rsid w:val="0F9937DA"/>
    <w:rsid w:val="0FA029A3"/>
    <w:rsid w:val="0FAB24D3"/>
    <w:rsid w:val="0FC00610"/>
    <w:rsid w:val="0FE973CA"/>
    <w:rsid w:val="0FFA5319"/>
    <w:rsid w:val="10005F5F"/>
    <w:rsid w:val="10063AFE"/>
    <w:rsid w:val="100B449D"/>
    <w:rsid w:val="10240FE0"/>
    <w:rsid w:val="103C445D"/>
    <w:rsid w:val="104B4EC7"/>
    <w:rsid w:val="105356D7"/>
    <w:rsid w:val="106252FB"/>
    <w:rsid w:val="107E5C87"/>
    <w:rsid w:val="108B226C"/>
    <w:rsid w:val="108E6DDE"/>
    <w:rsid w:val="109827F5"/>
    <w:rsid w:val="10B152EF"/>
    <w:rsid w:val="10D20FA3"/>
    <w:rsid w:val="10D54BEF"/>
    <w:rsid w:val="10FA43D2"/>
    <w:rsid w:val="10FD3277"/>
    <w:rsid w:val="112F26C0"/>
    <w:rsid w:val="113E52CA"/>
    <w:rsid w:val="114215F5"/>
    <w:rsid w:val="114542EA"/>
    <w:rsid w:val="1149117E"/>
    <w:rsid w:val="115A6DFB"/>
    <w:rsid w:val="116B59DD"/>
    <w:rsid w:val="117C761C"/>
    <w:rsid w:val="11A56A4F"/>
    <w:rsid w:val="11B361D3"/>
    <w:rsid w:val="11CF66B5"/>
    <w:rsid w:val="11D83639"/>
    <w:rsid w:val="11E63FFF"/>
    <w:rsid w:val="11E75F2F"/>
    <w:rsid w:val="120820C9"/>
    <w:rsid w:val="12137217"/>
    <w:rsid w:val="121E0F14"/>
    <w:rsid w:val="12415950"/>
    <w:rsid w:val="12440EBB"/>
    <w:rsid w:val="124A1C36"/>
    <w:rsid w:val="12650308"/>
    <w:rsid w:val="126E66D8"/>
    <w:rsid w:val="12766F68"/>
    <w:rsid w:val="12784E55"/>
    <w:rsid w:val="128A78E8"/>
    <w:rsid w:val="128C33F4"/>
    <w:rsid w:val="12993806"/>
    <w:rsid w:val="12BB4574"/>
    <w:rsid w:val="12BC24AE"/>
    <w:rsid w:val="12C6158F"/>
    <w:rsid w:val="12CB0E85"/>
    <w:rsid w:val="12CB2C15"/>
    <w:rsid w:val="12CB3E6D"/>
    <w:rsid w:val="12E40295"/>
    <w:rsid w:val="12FB01C6"/>
    <w:rsid w:val="13063EC1"/>
    <w:rsid w:val="13336A4D"/>
    <w:rsid w:val="13365AD3"/>
    <w:rsid w:val="133F5E2F"/>
    <w:rsid w:val="13451BDF"/>
    <w:rsid w:val="13487675"/>
    <w:rsid w:val="134E7BFD"/>
    <w:rsid w:val="13783B8A"/>
    <w:rsid w:val="137F4EEC"/>
    <w:rsid w:val="138D11BC"/>
    <w:rsid w:val="13972080"/>
    <w:rsid w:val="139D2FCC"/>
    <w:rsid w:val="13A05A9F"/>
    <w:rsid w:val="13A460CC"/>
    <w:rsid w:val="13AB6434"/>
    <w:rsid w:val="13BC75DB"/>
    <w:rsid w:val="13C62E93"/>
    <w:rsid w:val="13C96DAF"/>
    <w:rsid w:val="13D84C83"/>
    <w:rsid w:val="13F54EEA"/>
    <w:rsid w:val="14253493"/>
    <w:rsid w:val="1441058C"/>
    <w:rsid w:val="14565420"/>
    <w:rsid w:val="145E0E2B"/>
    <w:rsid w:val="14663755"/>
    <w:rsid w:val="14B53C19"/>
    <w:rsid w:val="14B629C7"/>
    <w:rsid w:val="14E26901"/>
    <w:rsid w:val="14E72B42"/>
    <w:rsid w:val="15265BC4"/>
    <w:rsid w:val="15285578"/>
    <w:rsid w:val="15550B09"/>
    <w:rsid w:val="155550C1"/>
    <w:rsid w:val="156234AA"/>
    <w:rsid w:val="156E26BA"/>
    <w:rsid w:val="157509B7"/>
    <w:rsid w:val="1588419E"/>
    <w:rsid w:val="15BE498C"/>
    <w:rsid w:val="15C56451"/>
    <w:rsid w:val="15C8772A"/>
    <w:rsid w:val="15D2021B"/>
    <w:rsid w:val="15ED5C46"/>
    <w:rsid w:val="160D697A"/>
    <w:rsid w:val="16162C58"/>
    <w:rsid w:val="1654287F"/>
    <w:rsid w:val="166B3507"/>
    <w:rsid w:val="166F313A"/>
    <w:rsid w:val="16922E1A"/>
    <w:rsid w:val="16967465"/>
    <w:rsid w:val="169754A7"/>
    <w:rsid w:val="16A5117D"/>
    <w:rsid w:val="16AA0B6A"/>
    <w:rsid w:val="16B25E6D"/>
    <w:rsid w:val="16BF6BE7"/>
    <w:rsid w:val="16DB3ACD"/>
    <w:rsid w:val="16E63F78"/>
    <w:rsid w:val="16F17C9B"/>
    <w:rsid w:val="172072CE"/>
    <w:rsid w:val="17411B66"/>
    <w:rsid w:val="17447531"/>
    <w:rsid w:val="17464982"/>
    <w:rsid w:val="17536E6E"/>
    <w:rsid w:val="17563FF8"/>
    <w:rsid w:val="177D7BBD"/>
    <w:rsid w:val="17821F33"/>
    <w:rsid w:val="178A477B"/>
    <w:rsid w:val="17907B2D"/>
    <w:rsid w:val="17B351C8"/>
    <w:rsid w:val="17CE0395"/>
    <w:rsid w:val="17E751D5"/>
    <w:rsid w:val="17F976EF"/>
    <w:rsid w:val="17FD76AA"/>
    <w:rsid w:val="180B3DC5"/>
    <w:rsid w:val="18170899"/>
    <w:rsid w:val="18180305"/>
    <w:rsid w:val="182D3C78"/>
    <w:rsid w:val="18444CBC"/>
    <w:rsid w:val="18603535"/>
    <w:rsid w:val="18656CB7"/>
    <w:rsid w:val="186A63EF"/>
    <w:rsid w:val="186C201D"/>
    <w:rsid w:val="186E1A30"/>
    <w:rsid w:val="18740800"/>
    <w:rsid w:val="18805667"/>
    <w:rsid w:val="18870D4A"/>
    <w:rsid w:val="188B1530"/>
    <w:rsid w:val="18921717"/>
    <w:rsid w:val="18E02502"/>
    <w:rsid w:val="18FA490E"/>
    <w:rsid w:val="191346B2"/>
    <w:rsid w:val="19275568"/>
    <w:rsid w:val="192F739D"/>
    <w:rsid w:val="19366E96"/>
    <w:rsid w:val="193D5954"/>
    <w:rsid w:val="194C04D8"/>
    <w:rsid w:val="19556FF9"/>
    <w:rsid w:val="195948F7"/>
    <w:rsid w:val="195E0E17"/>
    <w:rsid w:val="1971204D"/>
    <w:rsid w:val="1979475E"/>
    <w:rsid w:val="19805D37"/>
    <w:rsid w:val="19C639D9"/>
    <w:rsid w:val="19C82216"/>
    <w:rsid w:val="19CA4AD8"/>
    <w:rsid w:val="19D00B35"/>
    <w:rsid w:val="19D45248"/>
    <w:rsid w:val="1A105E9F"/>
    <w:rsid w:val="1A1C6F29"/>
    <w:rsid w:val="1A324F2D"/>
    <w:rsid w:val="1A407579"/>
    <w:rsid w:val="1A462475"/>
    <w:rsid w:val="1A710808"/>
    <w:rsid w:val="1A745370"/>
    <w:rsid w:val="1A7A0EF6"/>
    <w:rsid w:val="1A8B389F"/>
    <w:rsid w:val="1A997EE2"/>
    <w:rsid w:val="1AA35F36"/>
    <w:rsid w:val="1AAD5B72"/>
    <w:rsid w:val="1ABE5C90"/>
    <w:rsid w:val="1AE37041"/>
    <w:rsid w:val="1AE973E5"/>
    <w:rsid w:val="1AF67185"/>
    <w:rsid w:val="1B115D3C"/>
    <w:rsid w:val="1B1E0896"/>
    <w:rsid w:val="1B3E1F3A"/>
    <w:rsid w:val="1B464213"/>
    <w:rsid w:val="1B6A11E1"/>
    <w:rsid w:val="1B6A6896"/>
    <w:rsid w:val="1B6D6F30"/>
    <w:rsid w:val="1B785979"/>
    <w:rsid w:val="1B807337"/>
    <w:rsid w:val="1B99695D"/>
    <w:rsid w:val="1BA47A56"/>
    <w:rsid w:val="1BA47C58"/>
    <w:rsid w:val="1BB80F43"/>
    <w:rsid w:val="1BC170B5"/>
    <w:rsid w:val="1BC35954"/>
    <w:rsid w:val="1BC85289"/>
    <w:rsid w:val="1BCF0E71"/>
    <w:rsid w:val="1BD21379"/>
    <w:rsid w:val="1BDB5F9B"/>
    <w:rsid w:val="1BDC34D1"/>
    <w:rsid w:val="1BE64759"/>
    <w:rsid w:val="1BE84701"/>
    <w:rsid w:val="1BF010E9"/>
    <w:rsid w:val="1BF02765"/>
    <w:rsid w:val="1BF0529D"/>
    <w:rsid w:val="1C2E159D"/>
    <w:rsid w:val="1C326500"/>
    <w:rsid w:val="1C550846"/>
    <w:rsid w:val="1C60680C"/>
    <w:rsid w:val="1C63114B"/>
    <w:rsid w:val="1C6C08F4"/>
    <w:rsid w:val="1C763C77"/>
    <w:rsid w:val="1C7E1815"/>
    <w:rsid w:val="1C8747F8"/>
    <w:rsid w:val="1C9B7F2C"/>
    <w:rsid w:val="1CC22D92"/>
    <w:rsid w:val="1CC31868"/>
    <w:rsid w:val="1CD54AE5"/>
    <w:rsid w:val="1CEF4C58"/>
    <w:rsid w:val="1D1A5AAC"/>
    <w:rsid w:val="1D2073F3"/>
    <w:rsid w:val="1D385997"/>
    <w:rsid w:val="1D53469C"/>
    <w:rsid w:val="1D6B0D1C"/>
    <w:rsid w:val="1D714633"/>
    <w:rsid w:val="1D717C32"/>
    <w:rsid w:val="1D9E1ACD"/>
    <w:rsid w:val="1DB7132F"/>
    <w:rsid w:val="1DB74394"/>
    <w:rsid w:val="1DB775F0"/>
    <w:rsid w:val="1DD4019E"/>
    <w:rsid w:val="1DF636F7"/>
    <w:rsid w:val="1DF97E9A"/>
    <w:rsid w:val="1E0B46EC"/>
    <w:rsid w:val="1E106418"/>
    <w:rsid w:val="1E1438E8"/>
    <w:rsid w:val="1E1A49CB"/>
    <w:rsid w:val="1E213710"/>
    <w:rsid w:val="1E240C9D"/>
    <w:rsid w:val="1E2801FF"/>
    <w:rsid w:val="1E597123"/>
    <w:rsid w:val="1E635C85"/>
    <w:rsid w:val="1E6D42C6"/>
    <w:rsid w:val="1E6E1C3C"/>
    <w:rsid w:val="1EAF03E7"/>
    <w:rsid w:val="1EB12D5B"/>
    <w:rsid w:val="1ECA20B1"/>
    <w:rsid w:val="1ECA48AD"/>
    <w:rsid w:val="1EF350E8"/>
    <w:rsid w:val="1EFD2C6E"/>
    <w:rsid w:val="1F011883"/>
    <w:rsid w:val="1F177E2D"/>
    <w:rsid w:val="1F2540E6"/>
    <w:rsid w:val="1F3609F3"/>
    <w:rsid w:val="1F733EF9"/>
    <w:rsid w:val="1F7E0B62"/>
    <w:rsid w:val="1F8C1AB1"/>
    <w:rsid w:val="1F9C064C"/>
    <w:rsid w:val="1FB737DB"/>
    <w:rsid w:val="1FB818B3"/>
    <w:rsid w:val="1FC13F05"/>
    <w:rsid w:val="1FC4124F"/>
    <w:rsid w:val="1FC87E17"/>
    <w:rsid w:val="1FCB10F3"/>
    <w:rsid w:val="1FCB67E0"/>
    <w:rsid w:val="1FEA26D0"/>
    <w:rsid w:val="1FF44E35"/>
    <w:rsid w:val="1FFC0CD6"/>
    <w:rsid w:val="20477762"/>
    <w:rsid w:val="204E6680"/>
    <w:rsid w:val="205D49DE"/>
    <w:rsid w:val="20673EC4"/>
    <w:rsid w:val="206E1703"/>
    <w:rsid w:val="207D08E0"/>
    <w:rsid w:val="207E1154"/>
    <w:rsid w:val="208B64ED"/>
    <w:rsid w:val="20BD2B9D"/>
    <w:rsid w:val="20C47E79"/>
    <w:rsid w:val="20F40677"/>
    <w:rsid w:val="20FF648C"/>
    <w:rsid w:val="211D538B"/>
    <w:rsid w:val="214D7F75"/>
    <w:rsid w:val="21692402"/>
    <w:rsid w:val="218F01B7"/>
    <w:rsid w:val="219A7838"/>
    <w:rsid w:val="21A72AEE"/>
    <w:rsid w:val="21AC6C50"/>
    <w:rsid w:val="21B04A82"/>
    <w:rsid w:val="21B53414"/>
    <w:rsid w:val="21CC25D2"/>
    <w:rsid w:val="21D06BFB"/>
    <w:rsid w:val="21D278F8"/>
    <w:rsid w:val="21E17532"/>
    <w:rsid w:val="21E42164"/>
    <w:rsid w:val="21E96E19"/>
    <w:rsid w:val="21FE0428"/>
    <w:rsid w:val="220B1BC2"/>
    <w:rsid w:val="22292C54"/>
    <w:rsid w:val="223606BE"/>
    <w:rsid w:val="22736881"/>
    <w:rsid w:val="228826E5"/>
    <w:rsid w:val="229D2E2E"/>
    <w:rsid w:val="22B060DA"/>
    <w:rsid w:val="22C17C41"/>
    <w:rsid w:val="22DC1101"/>
    <w:rsid w:val="22DD2076"/>
    <w:rsid w:val="22E26D93"/>
    <w:rsid w:val="22FC5224"/>
    <w:rsid w:val="23536B7C"/>
    <w:rsid w:val="23A31B76"/>
    <w:rsid w:val="23AF484A"/>
    <w:rsid w:val="23B91130"/>
    <w:rsid w:val="23CD6F18"/>
    <w:rsid w:val="23E303FA"/>
    <w:rsid w:val="23F33D54"/>
    <w:rsid w:val="23F34FB7"/>
    <w:rsid w:val="23FB1111"/>
    <w:rsid w:val="2423604A"/>
    <w:rsid w:val="24292561"/>
    <w:rsid w:val="24373F6D"/>
    <w:rsid w:val="2448484C"/>
    <w:rsid w:val="24575A93"/>
    <w:rsid w:val="24673185"/>
    <w:rsid w:val="248255ED"/>
    <w:rsid w:val="24A32C9D"/>
    <w:rsid w:val="24BE2F37"/>
    <w:rsid w:val="24F50FAE"/>
    <w:rsid w:val="25030742"/>
    <w:rsid w:val="250A771D"/>
    <w:rsid w:val="251E7700"/>
    <w:rsid w:val="252614C9"/>
    <w:rsid w:val="252826CC"/>
    <w:rsid w:val="252E1698"/>
    <w:rsid w:val="25326A1A"/>
    <w:rsid w:val="25453397"/>
    <w:rsid w:val="25574B16"/>
    <w:rsid w:val="255F7AD2"/>
    <w:rsid w:val="256D4FBD"/>
    <w:rsid w:val="257E226E"/>
    <w:rsid w:val="25906F6C"/>
    <w:rsid w:val="259127F9"/>
    <w:rsid w:val="25960536"/>
    <w:rsid w:val="259D3142"/>
    <w:rsid w:val="25BD4B31"/>
    <w:rsid w:val="25D57A32"/>
    <w:rsid w:val="25F211DB"/>
    <w:rsid w:val="25F60C3B"/>
    <w:rsid w:val="25F65D0C"/>
    <w:rsid w:val="25FA3C32"/>
    <w:rsid w:val="25FA60CF"/>
    <w:rsid w:val="260C04D1"/>
    <w:rsid w:val="26145425"/>
    <w:rsid w:val="26230DF0"/>
    <w:rsid w:val="2627224F"/>
    <w:rsid w:val="263C4A01"/>
    <w:rsid w:val="263F5222"/>
    <w:rsid w:val="264B2FCC"/>
    <w:rsid w:val="26507C71"/>
    <w:rsid w:val="26541B7D"/>
    <w:rsid w:val="26657DD8"/>
    <w:rsid w:val="26794F20"/>
    <w:rsid w:val="2692615A"/>
    <w:rsid w:val="26CC079E"/>
    <w:rsid w:val="26D1505D"/>
    <w:rsid w:val="26E15169"/>
    <w:rsid w:val="26F267D1"/>
    <w:rsid w:val="270C7E7B"/>
    <w:rsid w:val="27180E6A"/>
    <w:rsid w:val="271E393C"/>
    <w:rsid w:val="2727416B"/>
    <w:rsid w:val="272D4984"/>
    <w:rsid w:val="27581696"/>
    <w:rsid w:val="276B26C0"/>
    <w:rsid w:val="278F4995"/>
    <w:rsid w:val="278F7628"/>
    <w:rsid w:val="279D08CA"/>
    <w:rsid w:val="27A872D6"/>
    <w:rsid w:val="27B92311"/>
    <w:rsid w:val="27CE4C4F"/>
    <w:rsid w:val="27DA6390"/>
    <w:rsid w:val="27E50D7B"/>
    <w:rsid w:val="27F513D0"/>
    <w:rsid w:val="281D1842"/>
    <w:rsid w:val="28223089"/>
    <w:rsid w:val="28515969"/>
    <w:rsid w:val="28556900"/>
    <w:rsid w:val="287C52A9"/>
    <w:rsid w:val="287F71CF"/>
    <w:rsid w:val="28891575"/>
    <w:rsid w:val="289711B8"/>
    <w:rsid w:val="28AA44A4"/>
    <w:rsid w:val="28B34564"/>
    <w:rsid w:val="28C246A0"/>
    <w:rsid w:val="28DB07EC"/>
    <w:rsid w:val="28EE7F0D"/>
    <w:rsid w:val="28FA13D4"/>
    <w:rsid w:val="29184803"/>
    <w:rsid w:val="294409BC"/>
    <w:rsid w:val="2967428C"/>
    <w:rsid w:val="29686931"/>
    <w:rsid w:val="29690D96"/>
    <w:rsid w:val="29746DFF"/>
    <w:rsid w:val="29783FB6"/>
    <w:rsid w:val="298076E2"/>
    <w:rsid w:val="29911DBB"/>
    <w:rsid w:val="299D5957"/>
    <w:rsid w:val="29B46D85"/>
    <w:rsid w:val="29C9235D"/>
    <w:rsid w:val="29CA3422"/>
    <w:rsid w:val="29DC316A"/>
    <w:rsid w:val="29E94C34"/>
    <w:rsid w:val="29F20DAE"/>
    <w:rsid w:val="29FB48F8"/>
    <w:rsid w:val="2A0D32E4"/>
    <w:rsid w:val="2A122647"/>
    <w:rsid w:val="2A4A0382"/>
    <w:rsid w:val="2A4B34A7"/>
    <w:rsid w:val="2A604683"/>
    <w:rsid w:val="2A641987"/>
    <w:rsid w:val="2A745AF1"/>
    <w:rsid w:val="2AA02867"/>
    <w:rsid w:val="2AB357E7"/>
    <w:rsid w:val="2ACD0A6A"/>
    <w:rsid w:val="2AE17A5A"/>
    <w:rsid w:val="2AF76423"/>
    <w:rsid w:val="2B0747FE"/>
    <w:rsid w:val="2B096C7A"/>
    <w:rsid w:val="2B0F15B2"/>
    <w:rsid w:val="2B1431BE"/>
    <w:rsid w:val="2B2144A5"/>
    <w:rsid w:val="2B2A3AC8"/>
    <w:rsid w:val="2B2D17EA"/>
    <w:rsid w:val="2B3167F0"/>
    <w:rsid w:val="2B395A62"/>
    <w:rsid w:val="2B421606"/>
    <w:rsid w:val="2B467033"/>
    <w:rsid w:val="2B63494F"/>
    <w:rsid w:val="2B6A6F02"/>
    <w:rsid w:val="2B6E40C9"/>
    <w:rsid w:val="2B93610E"/>
    <w:rsid w:val="2B9F615B"/>
    <w:rsid w:val="2BB23B01"/>
    <w:rsid w:val="2BC22732"/>
    <w:rsid w:val="2BC537D3"/>
    <w:rsid w:val="2BCB0143"/>
    <w:rsid w:val="2BE212BA"/>
    <w:rsid w:val="2BE43FF8"/>
    <w:rsid w:val="2BF64BF9"/>
    <w:rsid w:val="2C006AC9"/>
    <w:rsid w:val="2C1C5425"/>
    <w:rsid w:val="2C485018"/>
    <w:rsid w:val="2C594A5D"/>
    <w:rsid w:val="2CA07757"/>
    <w:rsid w:val="2CAC46BC"/>
    <w:rsid w:val="2CC9536F"/>
    <w:rsid w:val="2CD32354"/>
    <w:rsid w:val="2CF617E0"/>
    <w:rsid w:val="2D1F08A9"/>
    <w:rsid w:val="2D341634"/>
    <w:rsid w:val="2D354A38"/>
    <w:rsid w:val="2D454740"/>
    <w:rsid w:val="2D5807DA"/>
    <w:rsid w:val="2D59741D"/>
    <w:rsid w:val="2D61222D"/>
    <w:rsid w:val="2D6A3083"/>
    <w:rsid w:val="2D767628"/>
    <w:rsid w:val="2D8327B6"/>
    <w:rsid w:val="2DB0725B"/>
    <w:rsid w:val="2DBB723B"/>
    <w:rsid w:val="2DC37DF1"/>
    <w:rsid w:val="2DD560C3"/>
    <w:rsid w:val="2DDD4AFC"/>
    <w:rsid w:val="2DE43DE4"/>
    <w:rsid w:val="2DE72CC0"/>
    <w:rsid w:val="2E0D173F"/>
    <w:rsid w:val="2E825B76"/>
    <w:rsid w:val="2EB433C6"/>
    <w:rsid w:val="2ECB5D09"/>
    <w:rsid w:val="2EEC509E"/>
    <w:rsid w:val="2EF57EBC"/>
    <w:rsid w:val="2F0036B2"/>
    <w:rsid w:val="2F0B25ED"/>
    <w:rsid w:val="2F306712"/>
    <w:rsid w:val="2F3A4E14"/>
    <w:rsid w:val="2F4A1FBC"/>
    <w:rsid w:val="2F8932A3"/>
    <w:rsid w:val="2F984ABB"/>
    <w:rsid w:val="2FA74539"/>
    <w:rsid w:val="2FB154F2"/>
    <w:rsid w:val="2FCD489F"/>
    <w:rsid w:val="2FD91952"/>
    <w:rsid w:val="2FE32412"/>
    <w:rsid w:val="2FFB1CEA"/>
    <w:rsid w:val="30237284"/>
    <w:rsid w:val="30323073"/>
    <w:rsid w:val="30346EAA"/>
    <w:rsid w:val="30561692"/>
    <w:rsid w:val="306E03FB"/>
    <w:rsid w:val="307D7DB5"/>
    <w:rsid w:val="308A1A0F"/>
    <w:rsid w:val="309218B2"/>
    <w:rsid w:val="30981D92"/>
    <w:rsid w:val="309B6B2B"/>
    <w:rsid w:val="30AA13BF"/>
    <w:rsid w:val="30C20FF2"/>
    <w:rsid w:val="30CA54D9"/>
    <w:rsid w:val="30EF353D"/>
    <w:rsid w:val="30F10891"/>
    <w:rsid w:val="30F13338"/>
    <w:rsid w:val="310C4A4C"/>
    <w:rsid w:val="311444A1"/>
    <w:rsid w:val="31195802"/>
    <w:rsid w:val="31256870"/>
    <w:rsid w:val="314F19DE"/>
    <w:rsid w:val="316D40D2"/>
    <w:rsid w:val="31742E4E"/>
    <w:rsid w:val="31892206"/>
    <w:rsid w:val="31926D16"/>
    <w:rsid w:val="31974ED2"/>
    <w:rsid w:val="31A1306B"/>
    <w:rsid w:val="31AA13C8"/>
    <w:rsid w:val="31DF6482"/>
    <w:rsid w:val="32000348"/>
    <w:rsid w:val="320423B2"/>
    <w:rsid w:val="32396CA7"/>
    <w:rsid w:val="323B32BE"/>
    <w:rsid w:val="32406CFD"/>
    <w:rsid w:val="324E226E"/>
    <w:rsid w:val="32687B09"/>
    <w:rsid w:val="326B1A60"/>
    <w:rsid w:val="327B0EE3"/>
    <w:rsid w:val="32842723"/>
    <w:rsid w:val="32B15F25"/>
    <w:rsid w:val="32B82304"/>
    <w:rsid w:val="32B871AC"/>
    <w:rsid w:val="32C57B5B"/>
    <w:rsid w:val="32CB3041"/>
    <w:rsid w:val="32D4454C"/>
    <w:rsid w:val="32E81EDF"/>
    <w:rsid w:val="32F03294"/>
    <w:rsid w:val="32F341BB"/>
    <w:rsid w:val="32FE6DB5"/>
    <w:rsid w:val="32FF0428"/>
    <w:rsid w:val="32FF588D"/>
    <w:rsid w:val="330A5D26"/>
    <w:rsid w:val="333F4AEE"/>
    <w:rsid w:val="3341058C"/>
    <w:rsid w:val="33434A04"/>
    <w:rsid w:val="335C0F0C"/>
    <w:rsid w:val="338F5AA2"/>
    <w:rsid w:val="339A3AD7"/>
    <w:rsid w:val="33B166C9"/>
    <w:rsid w:val="33CA38C0"/>
    <w:rsid w:val="33DC601A"/>
    <w:rsid w:val="33F46435"/>
    <w:rsid w:val="33F62CD1"/>
    <w:rsid w:val="33FE76D9"/>
    <w:rsid w:val="3404140F"/>
    <w:rsid w:val="342B427E"/>
    <w:rsid w:val="344A3B15"/>
    <w:rsid w:val="344A5CAF"/>
    <w:rsid w:val="344D559D"/>
    <w:rsid w:val="34627E84"/>
    <w:rsid w:val="346678FC"/>
    <w:rsid w:val="34700CE5"/>
    <w:rsid w:val="34724319"/>
    <w:rsid w:val="34761B3D"/>
    <w:rsid w:val="347F31AC"/>
    <w:rsid w:val="34B70E92"/>
    <w:rsid w:val="34BC38A3"/>
    <w:rsid w:val="34BC47EE"/>
    <w:rsid w:val="34D33456"/>
    <w:rsid w:val="34ED2EF3"/>
    <w:rsid w:val="34FB6280"/>
    <w:rsid w:val="35096656"/>
    <w:rsid w:val="351274ED"/>
    <w:rsid w:val="35523A36"/>
    <w:rsid w:val="355C608F"/>
    <w:rsid w:val="35884C5D"/>
    <w:rsid w:val="358B16A6"/>
    <w:rsid w:val="359114B6"/>
    <w:rsid w:val="35DA1085"/>
    <w:rsid w:val="35F8503E"/>
    <w:rsid w:val="36065048"/>
    <w:rsid w:val="360E3D96"/>
    <w:rsid w:val="360F3340"/>
    <w:rsid w:val="36100B60"/>
    <w:rsid w:val="36240C2E"/>
    <w:rsid w:val="363A6CD2"/>
    <w:rsid w:val="36504388"/>
    <w:rsid w:val="366F798B"/>
    <w:rsid w:val="36845E45"/>
    <w:rsid w:val="36860188"/>
    <w:rsid w:val="3687528F"/>
    <w:rsid w:val="369E1856"/>
    <w:rsid w:val="369F5F8F"/>
    <w:rsid w:val="36AB53A8"/>
    <w:rsid w:val="36BF7024"/>
    <w:rsid w:val="36CB2A00"/>
    <w:rsid w:val="36D71B6D"/>
    <w:rsid w:val="36D72354"/>
    <w:rsid w:val="36D954F0"/>
    <w:rsid w:val="36DC22AB"/>
    <w:rsid w:val="370666E5"/>
    <w:rsid w:val="370C60A4"/>
    <w:rsid w:val="370F5BFD"/>
    <w:rsid w:val="371B6273"/>
    <w:rsid w:val="37323C4D"/>
    <w:rsid w:val="374375AF"/>
    <w:rsid w:val="374E58D6"/>
    <w:rsid w:val="376B6B46"/>
    <w:rsid w:val="377B22EA"/>
    <w:rsid w:val="37801AA2"/>
    <w:rsid w:val="3782361C"/>
    <w:rsid w:val="3797682D"/>
    <w:rsid w:val="37B30BED"/>
    <w:rsid w:val="37B91CA7"/>
    <w:rsid w:val="37CB1876"/>
    <w:rsid w:val="37E234BF"/>
    <w:rsid w:val="37F61754"/>
    <w:rsid w:val="380C7B3D"/>
    <w:rsid w:val="381730CC"/>
    <w:rsid w:val="38273F21"/>
    <w:rsid w:val="383A131B"/>
    <w:rsid w:val="3849652C"/>
    <w:rsid w:val="385C1B20"/>
    <w:rsid w:val="385F1A9D"/>
    <w:rsid w:val="38645417"/>
    <w:rsid w:val="386B0171"/>
    <w:rsid w:val="387979F1"/>
    <w:rsid w:val="387A17B8"/>
    <w:rsid w:val="387C2795"/>
    <w:rsid w:val="38881EBB"/>
    <w:rsid w:val="38942AAD"/>
    <w:rsid w:val="389712F2"/>
    <w:rsid w:val="38BC5D6B"/>
    <w:rsid w:val="38C63D66"/>
    <w:rsid w:val="38CA4FC5"/>
    <w:rsid w:val="38D26913"/>
    <w:rsid w:val="38D93327"/>
    <w:rsid w:val="38E21DE2"/>
    <w:rsid w:val="39215CC3"/>
    <w:rsid w:val="3935437F"/>
    <w:rsid w:val="393973DB"/>
    <w:rsid w:val="395550D1"/>
    <w:rsid w:val="398630C2"/>
    <w:rsid w:val="399805D2"/>
    <w:rsid w:val="39A03524"/>
    <w:rsid w:val="39B32851"/>
    <w:rsid w:val="39B611DA"/>
    <w:rsid w:val="39BB476A"/>
    <w:rsid w:val="39C70DF7"/>
    <w:rsid w:val="39CD7D12"/>
    <w:rsid w:val="39E21628"/>
    <w:rsid w:val="39E901AB"/>
    <w:rsid w:val="39E91C6F"/>
    <w:rsid w:val="39FD40D4"/>
    <w:rsid w:val="3A0462CC"/>
    <w:rsid w:val="3A1B3636"/>
    <w:rsid w:val="3A2959B1"/>
    <w:rsid w:val="3A8D3267"/>
    <w:rsid w:val="3A8E4793"/>
    <w:rsid w:val="3AB2321F"/>
    <w:rsid w:val="3ABB31FD"/>
    <w:rsid w:val="3ACC6A5F"/>
    <w:rsid w:val="3AD07C99"/>
    <w:rsid w:val="3AD30754"/>
    <w:rsid w:val="3ADC03FB"/>
    <w:rsid w:val="3AE267C9"/>
    <w:rsid w:val="3AE42D07"/>
    <w:rsid w:val="3AF67989"/>
    <w:rsid w:val="3B0F5D78"/>
    <w:rsid w:val="3B291F18"/>
    <w:rsid w:val="3B35149A"/>
    <w:rsid w:val="3B4F12B2"/>
    <w:rsid w:val="3B730A2C"/>
    <w:rsid w:val="3B8D15A9"/>
    <w:rsid w:val="3BB331F6"/>
    <w:rsid w:val="3BBD3970"/>
    <w:rsid w:val="3BD13837"/>
    <w:rsid w:val="3BD43349"/>
    <w:rsid w:val="3C0A04BB"/>
    <w:rsid w:val="3C1134A9"/>
    <w:rsid w:val="3C1278E0"/>
    <w:rsid w:val="3C2B2044"/>
    <w:rsid w:val="3C555015"/>
    <w:rsid w:val="3C583D72"/>
    <w:rsid w:val="3C5E386C"/>
    <w:rsid w:val="3C691DB4"/>
    <w:rsid w:val="3C7057AE"/>
    <w:rsid w:val="3C71272F"/>
    <w:rsid w:val="3C877F59"/>
    <w:rsid w:val="3CA8627B"/>
    <w:rsid w:val="3CA97F92"/>
    <w:rsid w:val="3CB07A2D"/>
    <w:rsid w:val="3CF177EF"/>
    <w:rsid w:val="3CF87315"/>
    <w:rsid w:val="3D1E45E5"/>
    <w:rsid w:val="3D3712B0"/>
    <w:rsid w:val="3D3B1D05"/>
    <w:rsid w:val="3D4B442E"/>
    <w:rsid w:val="3D6A0245"/>
    <w:rsid w:val="3D7263EA"/>
    <w:rsid w:val="3D7B54EF"/>
    <w:rsid w:val="3D7D48B2"/>
    <w:rsid w:val="3D8B6E52"/>
    <w:rsid w:val="3D9770C5"/>
    <w:rsid w:val="3DA70962"/>
    <w:rsid w:val="3DAF4BE0"/>
    <w:rsid w:val="3DB724DE"/>
    <w:rsid w:val="3DC70F93"/>
    <w:rsid w:val="3DE628EA"/>
    <w:rsid w:val="3DF41F1A"/>
    <w:rsid w:val="3E22369C"/>
    <w:rsid w:val="3E2258E7"/>
    <w:rsid w:val="3E2E431B"/>
    <w:rsid w:val="3E3660A4"/>
    <w:rsid w:val="3E4D5D4B"/>
    <w:rsid w:val="3E5755E5"/>
    <w:rsid w:val="3E5F3821"/>
    <w:rsid w:val="3E662C4E"/>
    <w:rsid w:val="3E6836C3"/>
    <w:rsid w:val="3E74486F"/>
    <w:rsid w:val="3E9D7D6C"/>
    <w:rsid w:val="3EA271E9"/>
    <w:rsid w:val="3EBE544B"/>
    <w:rsid w:val="3EC7628C"/>
    <w:rsid w:val="3EC774ED"/>
    <w:rsid w:val="3ED10D22"/>
    <w:rsid w:val="3ED309C1"/>
    <w:rsid w:val="3ED545DB"/>
    <w:rsid w:val="3ED613E3"/>
    <w:rsid w:val="3EDA619F"/>
    <w:rsid w:val="3EDC2981"/>
    <w:rsid w:val="3EE4471D"/>
    <w:rsid w:val="3EF75F01"/>
    <w:rsid w:val="3F0C2C0C"/>
    <w:rsid w:val="3F23004F"/>
    <w:rsid w:val="3F3C71CB"/>
    <w:rsid w:val="3F4F184E"/>
    <w:rsid w:val="3F597C70"/>
    <w:rsid w:val="3F5A50A4"/>
    <w:rsid w:val="3F86322C"/>
    <w:rsid w:val="3F8F2F70"/>
    <w:rsid w:val="3FA10922"/>
    <w:rsid w:val="3FA115F0"/>
    <w:rsid w:val="3FA46EF8"/>
    <w:rsid w:val="3FBF69C8"/>
    <w:rsid w:val="3FD4031B"/>
    <w:rsid w:val="3FDA0AC6"/>
    <w:rsid w:val="3FE47F77"/>
    <w:rsid w:val="3FFE53E9"/>
    <w:rsid w:val="40164160"/>
    <w:rsid w:val="40170374"/>
    <w:rsid w:val="4019218E"/>
    <w:rsid w:val="40270EDB"/>
    <w:rsid w:val="403F5839"/>
    <w:rsid w:val="40596BBF"/>
    <w:rsid w:val="4068082E"/>
    <w:rsid w:val="406A433E"/>
    <w:rsid w:val="40841FFE"/>
    <w:rsid w:val="40931401"/>
    <w:rsid w:val="40BD6A2F"/>
    <w:rsid w:val="40E517EC"/>
    <w:rsid w:val="40E724CE"/>
    <w:rsid w:val="41181D29"/>
    <w:rsid w:val="41303C39"/>
    <w:rsid w:val="413D1880"/>
    <w:rsid w:val="414B2E3E"/>
    <w:rsid w:val="414F19A5"/>
    <w:rsid w:val="414F74CB"/>
    <w:rsid w:val="4152668D"/>
    <w:rsid w:val="415B6654"/>
    <w:rsid w:val="417C2EE6"/>
    <w:rsid w:val="418515F9"/>
    <w:rsid w:val="41A0365E"/>
    <w:rsid w:val="41A5316F"/>
    <w:rsid w:val="41C92B51"/>
    <w:rsid w:val="41D301C3"/>
    <w:rsid w:val="41D623AF"/>
    <w:rsid w:val="41E618AB"/>
    <w:rsid w:val="41EC095F"/>
    <w:rsid w:val="41FB53EF"/>
    <w:rsid w:val="421F1BB6"/>
    <w:rsid w:val="422F49B3"/>
    <w:rsid w:val="42377BD9"/>
    <w:rsid w:val="425372A2"/>
    <w:rsid w:val="426A0418"/>
    <w:rsid w:val="426A1898"/>
    <w:rsid w:val="426C23E2"/>
    <w:rsid w:val="427330DF"/>
    <w:rsid w:val="427D7873"/>
    <w:rsid w:val="42802614"/>
    <w:rsid w:val="428B7594"/>
    <w:rsid w:val="42A853C7"/>
    <w:rsid w:val="42B01704"/>
    <w:rsid w:val="42CC4106"/>
    <w:rsid w:val="42E068CB"/>
    <w:rsid w:val="430274F1"/>
    <w:rsid w:val="43287BCC"/>
    <w:rsid w:val="43330CA7"/>
    <w:rsid w:val="433858A5"/>
    <w:rsid w:val="433E126A"/>
    <w:rsid w:val="433F10B4"/>
    <w:rsid w:val="43606EA0"/>
    <w:rsid w:val="43920E07"/>
    <w:rsid w:val="43951B04"/>
    <w:rsid w:val="43A7649F"/>
    <w:rsid w:val="43B41E3E"/>
    <w:rsid w:val="43BC110E"/>
    <w:rsid w:val="43D32426"/>
    <w:rsid w:val="43FC7E87"/>
    <w:rsid w:val="44210A17"/>
    <w:rsid w:val="44271441"/>
    <w:rsid w:val="4465559E"/>
    <w:rsid w:val="44712172"/>
    <w:rsid w:val="447734D9"/>
    <w:rsid w:val="44833414"/>
    <w:rsid w:val="4491600F"/>
    <w:rsid w:val="44984355"/>
    <w:rsid w:val="44A8226D"/>
    <w:rsid w:val="44C80955"/>
    <w:rsid w:val="44CC2C4F"/>
    <w:rsid w:val="44DC310A"/>
    <w:rsid w:val="44E27A7E"/>
    <w:rsid w:val="44F71504"/>
    <w:rsid w:val="44FB7340"/>
    <w:rsid w:val="451A55B3"/>
    <w:rsid w:val="451E0828"/>
    <w:rsid w:val="451E2AD9"/>
    <w:rsid w:val="4524498B"/>
    <w:rsid w:val="45461523"/>
    <w:rsid w:val="454817C9"/>
    <w:rsid w:val="454F0C0F"/>
    <w:rsid w:val="45687589"/>
    <w:rsid w:val="456909A8"/>
    <w:rsid w:val="456D3D22"/>
    <w:rsid w:val="457E1251"/>
    <w:rsid w:val="45900EC7"/>
    <w:rsid w:val="45995BB4"/>
    <w:rsid w:val="45B93063"/>
    <w:rsid w:val="45C23361"/>
    <w:rsid w:val="45C73FC5"/>
    <w:rsid w:val="45CA18A8"/>
    <w:rsid w:val="45CC3056"/>
    <w:rsid w:val="45FB5A7C"/>
    <w:rsid w:val="45FD3E50"/>
    <w:rsid w:val="4601483F"/>
    <w:rsid w:val="46163E05"/>
    <w:rsid w:val="461652E6"/>
    <w:rsid w:val="462569BC"/>
    <w:rsid w:val="46495B7D"/>
    <w:rsid w:val="464E3334"/>
    <w:rsid w:val="4650702B"/>
    <w:rsid w:val="46760020"/>
    <w:rsid w:val="468F7B5E"/>
    <w:rsid w:val="469D3DE5"/>
    <w:rsid w:val="46A34E08"/>
    <w:rsid w:val="46A7659A"/>
    <w:rsid w:val="46C24284"/>
    <w:rsid w:val="46C853F2"/>
    <w:rsid w:val="46CE53B7"/>
    <w:rsid w:val="46F722E3"/>
    <w:rsid w:val="472B3FFD"/>
    <w:rsid w:val="472E7B5B"/>
    <w:rsid w:val="4734684B"/>
    <w:rsid w:val="47353DAC"/>
    <w:rsid w:val="4740541B"/>
    <w:rsid w:val="47427099"/>
    <w:rsid w:val="47542182"/>
    <w:rsid w:val="476457C5"/>
    <w:rsid w:val="476A5FE9"/>
    <w:rsid w:val="477251CE"/>
    <w:rsid w:val="4780564D"/>
    <w:rsid w:val="478610F4"/>
    <w:rsid w:val="47A92D09"/>
    <w:rsid w:val="47CC1367"/>
    <w:rsid w:val="47D54BA7"/>
    <w:rsid w:val="47ED53FA"/>
    <w:rsid w:val="47F96739"/>
    <w:rsid w:val="48017210"/>
    <w:rsid w:val="48087FE3"/>
    <w:rsid w:val="481A3E81"/>
    <w:rsid w:val="482C5D39"/>
    <w:rsid w:val="484456C5"/>
    <w:rsid w:val="485B1902"/>
    <w:rsid w:val="48626892"/>
    <w:rsid w:val="48AF419F"/>
    <w:rsid w:val="48D75B88"/>
    <w:rsid w:val="48DB7360"/>
    <w:rsid w:val="48E33E5F"/>
    <w:rsid w:val="48FF5525"/>
    <w:rsid w:val="49001E86"/>
    <w:rsid w:val="490647BE"/>
    <w:rsid w:val="493618EF"/>
    <w:rsid w:val="494C4436"/>
    <w:rsid w:val="49556C92"/>
    <w:rsid w:val="495F5D36"/>
    <w:rsid w:val="49734683"/>
    <w:rsid w:val="497E5010"/>
    <w:rsid w:val="499250A4"/>
    <w:rsid w:val="49DF3A58"/>
    <w:rsid w:val="49EC0086"/>
    <w:rsid w:val="49EE6ECC"/>
    <w:rsid w:val="49F64E88"/>
    <w:rsid w:val="4A234FEC"/>
    <w:rsid w:val="4A2D2C3E"/>
    <w:rsid w:val="4A2F090E"/>
    <w:rsid w:val="4A2F5F49"/>
    <w:rsid w:val="4A320278"/>
    <w:rsid w:val="4A3E083B"/>
    <w:rsid w:val="4A467DEA"/>
    <w:rsid w:val="4A480B48"/>
    <w:rsid w:val="4A8307F4"/>
    <w:rsid w:val="4A8A57B2"/>
    <w:rsid w:val="4AA31EB3"/>
    <w:rsid w:val="4AB30EDE"/>
    <w:rsid w:val="4ABA38FB"/>
    <w:rsid w:val="4AD22CAE"/>
    <w:rsid w:val="4AFA1E51"/>
    <w:rsid w:val="4B242129"/>
    <w:rsid w:val="4B341F77"/>
    <w:rsid w:val="4B543C59"/>
    <w:rsid w:val="4B570601"/>
    <w:rsid w:val="4B6828A2"/>
    <w:rsid w:val="4B730590"/>
    <w:rsid w:val="4B7D207A"/>
    <w:rsid w:val="4B7F2485"/>
    <w:rsid w:val="4B7F482B"/>
    <w:rsid w:val="4B875EB6"/>
    <w:rsid w:val="4BA731AA"/>
    <w:rsid w:val="4BAD1EF1"/>
    <w:rsid w:val="4BAF7C51"/>
    <w:rsid w:val="4BB2318A"/>
    <w:rsid w:val="4BB961D0"/>
    <w:rsid w:val="4BBA6469"/>
    <w:rsid w:val="4BD73847"/>
    <w:rsid w:val="4BE136FC"/>
    <w:rsid w:val="4C000FEE"/>
    <w:rsid w:val="4C056FB7"/>
    <w:rsid w:val="4C160901"/>
    <w:rsid w:val="4C2A27C2"/>
    <w:rsid w:val="4C3F1AD6"/>
    <w:rsid w:val="4C6514B0"/>
    <w:rsid w:val="4C670BA8"/>
    <w:rsid w:val="4C6C0D90"/>
    <w:rsid w:val="4C6F4DDF"/>
    <w:rsid w:val="4C76404F"/>
    <w:rsid w:val="4C7D1FFD"/>
    <w:rsid w:val="4C7E7777"/>
    <w:rsid w:val="4CB7716D"/>
    <w:rsid w:val="4CE21E5B"/>
    <w:rsid w:val="4CED4287"/>
    <w:rsid w:val="4CF5763E"/>
    <w:rsid w:val="4CFC5A58"/>
    <w:rsid w:val="4D035F30"/>
    <w:rsid w:val="4D327A8F"/>
    <w:rsid w:val="4D350BEE"/>
    <w:rsid w:val="4D361E73"/>
    <w:rsid w:val="4D3F7CBF"/>
    <w:rsid w:val="4D48482F"/>
    <w:rsid w:val="4D62389D"/>
    <w:rsid w:val="4D677779"/>
    <w:rsid w:val="4D8B6E28"/>
    <w:rsid w:val="4DA8223C"/>
    <w:rsid w:val="4DBB5850"/>
    <w:rsid w:val="4DC46301"/>
    <w:rsid w:val="4DD225D9"/>
    <w:rsid w:val="4DF60896"/>
    <w:rsid w:val="4DFD5ECA"/>
    <w:rsid w:val="4DFE3CC8"/>
    <w:rsid w:val="4E025DB2"/>
    <w:rsid w:val="4E1630B6"/>
    <w:rsid w:val="4E25354C"/>
    <w:rsid w:val="4E4B405F"/>
    <w:rsid w:val="4E4E418E"/>
    <w:rsid w:val="4E655042"/>
    <w:rsid w:val="4E8D19A7"/>
    <w:rsid w:val="4EA345E7"/>
    <w:rsid w:val="4EB03F47"/>
    <w:rsid w:val="4EB66AEE"/>
    <w:rsid w:val="4EB9175E"/>
    <w:rsid w:val="4ED22709"/>
    <w:rsid w:val="4EF6108D"/>
    <w:rsid w:val="4EF8347E"/>
    <w:rsid w:val="4EFA23C6"/>
    <w:rsid w:val="4F0A7123"/>
    <w:rsid w:val="4F0F7608"/>
    <w:rsid w:val="4F172428"/>
    <w:rsid w:val="4F1C1A77"/>
    <w:rsid w:val="4F2A3762"/>
    <w:rsid w:val="4F2E0DB1"/>
    <w:rsid w:val="4F3517A8"/>
    <w:rsid w:val="4F422CA5"/>
    <w:rsid w:val="4F43009A"/>
    <w:rsid w:val="4F7119FF"/>
    <w:rsid w:val="4F756C5E"/>
    <w:rsid w:val="4F7A5394"/>
    <w:rsid w:val="4F992590"/>
    <w:rsid w:val="4FD412A3"/>
    <w:rsid w:val="4FD41C1D"/>
    <w:rsid w:val="4FD54DAA"/>
    <w:rsid w:val="4FD64014"/>
    <w:rsid w:val="4FE311D6"/>
    <w:rsid w:val="4FED2322"/>
    <w:rsid w:val="4FFD53C6"/>
    <w:rsid w:val="500B0D4B"/>
    <w:rsid w:val="501A4614"/>
    <w:rsid w:val="501F4A64"/>
    <w:rsid w:val="5030543D"/>
    <w:rsid w:val="503D1B16"/>
    <w:rsid w:val="5074268E"/>
    <w:rsid w:val="508E47DC"/>
    <w:rsid w:val="50A940E7"/>
    <w:rsid w:val="50AE3F83"/>
    <w:rsid w:val="50AE699A"/>
    <w:rsid w:val="50AF63AC"/>
    <w:rsid w:val="50B14097"/>
    <w:rsid w:val="50B32A80"/>
    <w:rsid w:val="50CF7A4B"/>
    <w:rsid w:val="50DE4A3D"/>
    <w:rsid w:val="50F911BB"/>
    <w:rsid w:val="51022777"/>
    <w:rsid w:val="510C092F"/>
    <w:rsid w:val="51162402"/>
    <w:rsid w:val="511D028B"/>
    <w:rsid w:val="512B1EE0"/>
    <w:rsid w:val="5137564E"/>
    <w:rsid w:val="5146011D"/>
    <w:rsid w:val="51545EBF"/>
    <w:rsid w:val="51585972"/>
    <w:rsid w:val="515C0CB9"/>
    <w:rsid w:val="516473A7"/>
    <w:rsid w:val="5165226A"/>
    <w:rsid w:val="516C1A4D"/>
    <w:rsid w:val="517721D1"/>
    <w:rsid w:val="51781492"/>
    <w:rsid w:val="517A5728"/>
    <w:rsid w:val="517E61CE"/>
    <w:rsid w:val="51A846EE"/>
    <w:rsid w:val="51C606E4"/>
    <w:rsid w:val="51C72B2F"/>
    <w:rsid w:val="51D22D16"/>
    <w:rsid w:val="51F10280"/>
    <w:rsid w:val="520923F4"/>
    <w:rsid w:val="5211020B"/>
    <w:rsid w:val="52187918"/>
    <w:rsid w:val="52347DE2"/>
    <w:rsid w:val="5241154F"/>
    <w:rsid w:val="524467AD"/>
    <w:rsid w:val="52550EE8"/>
    <w:rsid w:val="52592B52"/>
    <w:rsid w:val="527543BE"/>
    <w:rsid w:val="527B1047"/>
    <w:rsid w:val="52885691"/>
    <w:rsid w:val="529E7DC9"/>
    <w:rsid w:val="52A1157D"/>
    <w:rsid w:val="52B7492F"/>
    <w:rsid w:val="52C276E1"/>
    <w:rsid w:val="52F30525"/>
    <w:rsid w:val="53143DBE"/>
    <w:rsid w:val="532452B2"/>
    <w:rsid w:val="533D3764"/>
    <w:rsid w:val="53560A73"/>
    <w:rsid w:val="535B4CF0"/>
    <w:rsid w:val="53725B56"/>
    <w:rsid w:val="537323E7"/>
    <w:rsid w:val="53983C17"/>
    <w:rsid w:val="539A7F34"/>
    <w:rsid w:val="53A53D5A"/>
    <w:rsid w:val="53D60AA9"/>
    <w:rsid w:val="53E060A8"/>
    <w:rsid w:val="53E37C63"/>
    <w:rsid w:val="53E4696D"/>
    <w:rsid w:val="53E8598B"/>
    <w:rsid w:val="53EB7EF9"/>
    <w:rsid w:val="53F11E92"/>
    <w:rsid w:val="53F34C98"/>
    <w:rsid w:val="53F90D5A"/>
    <w:rsid w:val="5400093A"/>
    <w:rsid w:val="540D2227"/>
    <w:rsid w:val="543E150A"/>
    <w:rsid w:val="54640DD5"/>
    <w:rsid w:val="546829F9"/>
    <w:rsid w:val="54811A0B"/>
    <w:rsid w:val="549D2F6A"/>
    <w:rsid w:val="54DE453A"/>
    <w:rsid w:val="54FD05CF"/>
    <w:rsid w:val="550E2018"/>
    <w:rsid w:val="550E2430"/>
    <w:rsid w:val="551C0949"/>
    <w:rsid w:val="55245AF4"/>
    <w:rsid w:val="55332140"/>
    <w:rsid w:val="553515CF"/>
    <w:rsid w:val="5535226D"/>
    <w:rsid w:val="553B10B0"/>
    <w:rsid w:val="55411377"/>
    <w:rsid w:val="55684380"/>
    <w:rsid w:val="5569348D"/>
    <w:rsid w:val="556F0C82"/>
    <w:rsid w:val="55992746"/>
    <w:rsid w:val="55A8783C"/>
    <w:rsid w:val="55B70080"/>
    <w:rsid w:val="55C019F9"/>
    <w:rsid w:val="55C22D99"/>
    <w:rsid w:val="55C34875"/>
    <w:rsid w:val="55DA0671"/>
    <w:rsid w:val="55DE462D"/>
    <w:rsid w:val="56600C3C"/>
    <w:rsid w:val="566C6AAD"/>
    <w:rsid w:val="567B2F13"/>
    <w:rsid w:val="569549B7"/>
    <w:rsid w:val="569B59A6"/>
    <w:rsid w:val="569E768C"/>
    <w:rsid w:val="56D026DA"/>
    <w:rsid w:val="56F00AC2"/>
    <w:rsid w:val="56FF02B9"/>
    <w:rsid w:val="57030085"/>
    <w:rsid w:val="570407FA"/>
    <w:rsid w:val="5707087A"/>
    <w:rsid w:val="57132F95"/>
    <w:rsid w:val="572D56F6"/>
    <w:rsid w:val="57300244"/>
    <w:rsid w:val="57416FDD"/>
    <w:rsid w:val="574A3622"/>
    <w:rsid w:val="574B6AFB"/>
    <w:rsid w:val="5757511D"/>
    <w:rsid w:val="57633E93"/>
    <w:rsid w:val="5764383E"/>
    <w:rsid w:val="576D6289"/>
    <w:rsid w:val="57797419"/>
    <w:rsid w:val="57817915"/>
    <w:rsid w:val="57BA76D9"/>
    <w:rsid w:val="57C24315"/>
    <w:rsid w:val="57CA2EE6"/>
    <w:rsid w:val="57D069E1"/>
    <w:rsid w:val="57DE551D"/>
    <w:rsid w:val="57E74A4C"/>
    <w:rsid w:val="580A08CC"/>
    <w:rsid w:val="580C23E4"/>
    <w:rsid w:val="58191B0C"/>
    <w:rsid w:val="5827740E"/>
    <w:rsid w:val="58315B21"/>
    <w:rsid w:val="58424C7E"/>
    <w:rsid w:val="58430210"/>
    <w:rsid w:val="585320E4"/>
    <w:rsid w:val="5863214C"/>
    <w:rsid w:val="58717162"/>
    <w:rsid w:val="587B41B2"/>
    <w:rsid w:val="587E2FB0"/>
    <w:rsid w:val="587F4E33"/>
    <w:rsid w:val="587F6BA5"/>
    <w:rsid w:val="58915138"/>
    <w:rsid w:val="589A70FA"/>
    <w:rsid w:val="58A228DA"/>
    <w:rsid w:val="58B8618D"/>
    <w:rsid w:val="58F663EC"/>
    <w:rsid w:val="592A378F"/>
    <w:rsid w:val="593740EF"/>
    <w:rsid w:val="5939592A"/>
    <w:rsid w:val="59536DE1"/>
    <w:rsid w:val="595C4CF9"/>
    <w:rsid w:val="597F2884"/>
    <w:rsid w:val="598B393C"/>
    <w:rsid w:val="59CE222A"/>
    <w:rsid w:val="59CE6281"/>
    <w:rsid w:val="59D022CD"/>
    <w:rsid w:val="59DF31C4"/>
    <w:rsid w:val="5A2B0D3B"/>
    <w:rsid w:val="5A341255"/>
    <w:rsid w:val="5A3571BF"/>
    <w:rsid w:val="5A400973"/>
    <w:rsid w:val="5A44572C"/>
    <w:rsid w:val="5A455381"/>
    <w:rsid w:val="5A8A6ADB"/>
    <w:rsid w:val="5A936EBE"/>
    <w:rsid w:val="5AA549B2"/>
    <w:rsid w:val="5ADF3379"/>
    <w:rsid w:val="5B0416C7"/>
    <w:rsid w:val="5B1A400E"/>
    <w:rsid w:val="5B316F94"/>
    <w:rsid w:val="5B45691B"/>
    <w:rsid w:val="5B5104F9"/>
    <w:rsid w:val="5B562BF6"/>
    <w:rsid w:val="5B6950AB"/>
    <w:rsid w:val="5B6A7A00"/>
    <w:rsid w:val="5B6B014D"/>
    <w:rsid w:val="5B823CDC"/>
    <w:rsid w:val="5B8857E6"/>
    <w:rsid w:val="5B8F4879"/>
    <w:rsid w:val="5B933B49"/>
    <w:rsid w:val="5B936B9D"/>
    <w:rsid w:val="5BAC4E3A"/>
    <w:rsid w:val="5BC849D6"/>
    <w:rsid w:val="5BF32F12"/>
    <w:rsid w:val="5BF7148A"/>
    <w:rsid w:val="5BFA025E"/>
    <w:rsid w:val="5C2D1687"/>
    <w:rsid w:val="5C362AF4"/>
    <w:rsid w:val="5C3E4720"/>
    <w:rsid w:val="5C4668A9"/>
    <w:rsid w:val="5C526BB4"/>
    <w:rsid w:val="5C620538"/>
    <w:rsid w:val="5C7A7CF8"/>
    <w:rsid w:val="5C802FB3"/>
    <w:rsid w:val="5CB033FC"/>
    <w:rsid w:val="5CC34110"/>
    <w:rsid w:val="5CCF01A6"/>
    <w:rsid w:val="5D024954"/>
    <w:rsid w:val="5D05489E"/>
    <w:rsid w:val="5D0A579A"/>
    <w:rsid w:val="5D28094E"/>
    <w:rsid w:val="5D3873C1"/>
    <w:rsid w:val="5D4741D2"/>
    <w:rsid w:val="5D4A7B65"/>
    <w:rsid w:val="5D5515B5"/>
    <w:rsid w:val="5D6871F6"/>
    <w:rsid w:val="5D7727EC"/>
    <w:rsid w:val="5D7C1CCD"/>
    <w:rsid w:val="5D806973"/>
    <w:rsid w:val="5D8E4670"/>
    <w:rsid w:val="5D9E31C3"/>
    <w:rsid w:val="5DB22A59"/>
    <w:rsid w:val="5DB30A1E"/>
    <w:rsid w:val="5DD07349"/>
    <w:rsid w:val="5DE47236"/>
    <w:rsid w:val="5DE95B3D"/>
    <w:rsid w:val="5DEF4402"/>
    <w:rsid w:val="5DFC469C"/>
    <w:rsid w:val="5E074110"/>
    <w:rsid w:val="5E1C0FFA"/>
    <w:rsid w:val="5E203806"/>
    <w:rsid w:val="5E401FD5"/>
    <w:rsid w:val="5E430067"/>
    <w:rsid w:val="5E58634F"/>
    <w:rsid w:val="5E7A4A4B"/>
    <w:rsid w:val="5E7B4EF1"/>
    <w:rsid w:val="5EC52109"/>
    <w:rsid w:val="5EDC6635"/>
    <w:rsid w:val="5EDF242A"/>
    <w:rsid w:val="5EEC4CC9"/>
    <w:rsid w:val="5F2C5614"/>
    <w:rsid w:val="5F334632"/>
    <w:rsid w:val="5F387DD8"/>
    <w:rsid w:val="5F3D46C8"/>
    <w:rsid w:val="5F610F9A"/>
    <w:rsid w:val="5F723B9C"/>
    <w:rsid w:val="5F740D96"/>
    <w:rsid w:val="5FAB1E22"/>
    <w:rsid w:val="5FAE7B2D"/>
    <w:rsid w:val="5FEF51B4"/>
    <w:rsid w:val="5FFD47CB"/>
    <w:rsid w:val="600F713A"/>
    <w:rsid w:val="601B3A75"/>
    <w:rsid w:val="60295475"/>
    <w:rsid w:val="602976E5"/>
    <w:rsid w:val="602B5CAC"/>
    <w:rsid w:val="60352928"/>
    <w:rsid w:val="604069C8"/>
    <w:rsid w:val="60442474"/>
    <w:rsid w:val="605308B8"/>
    <w:rsid w:val="60536876"/>
    <w:rsid w:val="606C21F5"/>
    <w:rsid w:val="606E421F"/>
    <w:rsid w:val="607A502C"/>
    <w:rsid w:val="608B55D8"/>
    <w:rsid w:val="608D3579"/>
    <w:rsid w:val="609B3534"/>
    <w:rsid w:val="609C3B6D"/>
    <w:rsid w:val="60A50722"/>
    <w:rsid w:val="60CA7929"/>
    <w:rsid w:val="60D31A6F"/>
    <w:rsid w:val="60D325C8"/>
    <w:rsid w:val="6116450B"/>
    <w:rsid w:val="611651BB"/>
    <w:rsid w:val="61191BB6"/>
    <w:rsid w:val="61902044"/>
    <w:rsid w:val="61A83C0D"/>
    <w:rsid w:val="61AD0E69"/>
    <w:rsid w:val="61AE2894"/>
    <w:rsid w:val="61B42655"/>
    <w:rsid w:val="61B64AE6"/>
    <w:rsid w:val="61B95A3D"/>
    <w:rsid w:val="61CA338F"/>
    <w:rsid w:val="61DD55E6"/>
    <w:rsid w:val="61E30170"/>
    <w:rsid w:val="61E5752D"/>
    <w:rsid w:val="61EB04E9"/>
    <w:rsid w:val="622F4266"/>
    <w:rsid w:val="623C143F"/>
    <w:rsid w:val="62462A72"/>
    <w:rsid w:val="624B3781"/>
    <w:rsid w:val="625F13E8"/>
    <w:rsid w:val="6275441F"/>
    <w:rsid w:val="62A565F5"/>
    <w:rsid w:val="62B93485"/>
    <w:rsid w:val="62E015FC"/>
    <w:rsid w:val="62E21A96"/>
    <w:rsid w:val="62E333FD"/>
    <w:rsid w:val="62F673DB"/>
    <w:rsid w:val="62F76DDA"/>
    <w:rsid w:val="6301006C"/>
    <w:rsid w:val="63030F14"/>
    <w:rsid w:val="635E40F3"/>
    <w:rsid w:val="636173F7"/>
    <w:rsid w:val="6384416F"/>
    <w:rsid w:val="638B7104"/>
    <w:rsid w:val="639076DF"/>
    <w:rsid w:val="63923F11"/>
    <w:rsid w:val="63D20FF4"/>
    <w:rsid w:val="63DD7C86"/>
    <w:rsid w:val="63F427DF"/>
    <w:rsid w:val="640C3504"/>
    <w:rsid w:val="64121615"/>
    <w:rsid w:val="641341B5"/>
    <w:rsid w:val="642011FC"/>
    <w:rsid w:val="643125C3"/>
    <w:rsid w:val="64323CBE"/>
    <w:rsid w:val="645513CC"/>
    <w:rsid w:val="645B5B40"/>
    <w:rsid w:val="645C0EE4"/>
    <w:rsid w:val="64797C89"/>
    <w:rsid w:val="648B66BA"/>
    <w:rsid w:val="64902B7A"/>
    <w:rsid w:val="64A036C7"/>
    <w:rsid w:val="64A04E14"/>
    <w:rsid w:val="64AE2DC0"/>
    <w:rsid w:val="64EC5F80"/>
    <w:rsid w:val="65037271"/>
    <w:rsid w:val="651E6389"/>
    <w:rsid w:val="65312AB4"/>
    <w:rsid w:val="653A1465"/>
    <w:rsid w:val="654235AD"/>
    <w:rsid w:val="654E6126"/>
    <w:rsid w:val="656B6764"/>
    <w:rsid w:val="6577447A"/>
    <w:rsid w:val="657A65E0"/>
    <w:rsid w:val="657C4F3A"/>
    <w:rsid w:val="65870560"/>
    <w:rsid w:val="65A12770"/>
    <w:rsid w:val="65B070B7"/>
    <w:rsid w:val="65BD72CE"/>
    <w:rsid w:val="65F14EE8"/>
    <w:rsid w:val="661462F7"/>
    <w:rsid w:val="66167837"/>
    <w:rsid w:val="663A65CE"/>
    <w:rsid w:val="66474639"/>
    <w:rsid w:val="666274B9"/>
    <w:rsid w:val="667128E4"/>
    <w:rsid w:val="66740D91"/>
    <w:rsid w:val="669C6912"/>
    <w:rsid w:val="66A85798"/>
    <w:rsid w:val="66E30E48"/>
    <w:rsid w:val="66EA4259"/>
    <w:rsid w:val="66F26EF2"/>
    <w:rsid w:val="66FB71D3"/>
    <w:rsid w:val="67010AE3"/>
    <w:rsid w:val="67075894"/>
    <w:rsid w:val="672112E1"/>
    <w:rsid w:val="672659F3"/>
    <w:rsid w:val="67293668"/>
    <w:rsid w:val="67420EC9"/>
    <w:rsid w:val="67465655"/>
    <w:rsid w:val="67545C6E"/>
    <w:rsid w:val="676778F6"/>
    <w:rsid w:val="67685576"/>
    <w:rsid w:val="67686F27"/>
    <w:rsid w:val="67711348"/>
    <w:rsid w:val="67740C3E"/>
    <w:rsid w:val="6781543A"/>
    <w:rsid w:val="67983015"/>
    <w:rsid w:val="679D7A01"/>
    <w:rsid w:val="67A75C44"/>
    <w:rsid w:val="67C119C7"/>
    <w:rsid w:val="67C373D8"/>
    <w:rsid w:val="67D76C53"/>
    <w:rsid w:val="67E70630"/>
    <w:rsid w:val="68002120"/>
    <w:rsid w:val="6804255B"/>
    <w:rsid w:val="680D1350"/>
    <w:rsid w:val="68347656"/>
    <w:rsid w:val="683977E8"/>
    <w:rsid w:val="683A2EED"/>
    <w:rsid w:val="6842615A"/>
    <w:rsid w:val="68450B02"/>
    <w:rsid w:val="684E3240"/>
    <w:rsid w:val="68A13355"/>
    <w:rsid w:val="68A42834"/>
    <w:rsid w:val="68CE58E6"/>
    <w:rsid w:val="68CF2A69"/>
    <w:rsid w:val="68E814B4"/>
    <w:rsid w:val="68F91EAB"/>
    <w:rsid w:val="69142EFB"/>
    <w:rsid w:val="69154D60"/>
    <w:rsid w:val="692B56B7"/>
    <w:rsid w:val="692F6F57"/>
    <w:rsid w:val="694A6DBA"/>
    <w:rsid w:val="696F09AF"/>
    <w:rsid w:val="698E764A"/>
    <w:rsid w:val="69915568"/>
    <w:rsid w:val="69951D6A"/>
    <w:rsid w:val="69BC7777"/>
    <w:rsid w:val="69C64C75"/>
    <w:rsid w:val="69CA6202"/>
    <w:rsid w:val="69CD7FDE"/>
    <w:rsid w:val="69CF6EC4"/>
    <w:rsid w:val="69D05FDB"/>
    <w:rsid w:val="69DA551E"/>
    <w:rsid w:val="69DE5E8A"/>
    <w:rsid w:val="69E00D11"/>
    <w:rsid w:val="69F0389C"/>
    <w:rsid w:val="69F453FE"/>
    <w:rsid w:val="6A1379AE"/>
    <w:rsid w:val="6A3828E1"/>
    <w:rsid w:val="6A3E49CA"/>
    <w:rsid w:val="6A6468A5"/>
    <w:rsid w:val="6A727EED"/>
    <w:rsid w:val="6A783CBE"/>
    <w:rsid w:val="6A8755D3"/>
    <w:rsid w:val="6AA36DF7"/>
    <w:rsid w:val="6AA54025"/>
    <w:rsid w:val="6AC52BD0"/>
    <w:rsid w:val="6AC9111D"/>
    <w:rsid w:val="6ADD40D7"/>
    <w:rsid w:val="6AE2354A"/>
    <w:rsid w:val="6AE91398"/>
    <w:rsid w:val="6AF80E24"/>
    <w:rsid w:val="6AFA140D"/>
    <w:rsid w:val="6B0914DC"/>
    <w:rsid w:val="6B0F3217"/>
    <w:rsid w:val="6B1529A0"/>
    <w:rsid w:val="6B22477C"/>
    <w:rsid w:val="6B2B6B35"/>
    <w:rsid w:val="6B320A31"/>
    <w:rsid w:val="6B3525D9"/>
    <w:rsid w:val="6B467AE6"/>
    <w:rsid w:val="6B491DA4"/>
    <w:rsid w:val="6B563D11"/>
    <w:rsid w:val="6B5D28FD"/>
    <w:rsid w:val="6B5E4D2E"/>
    <w:rsid w:val="6B6508C2"/>
    <w:rsid w:val="6B6B0456"/>
    <w:rsid w:val="6B837812"/>
    <w:rsid w:val="6B875B60"/>
    <w:rsid w:val="6BA45627"/>
    <w:rsid w:val="6BBE54E5"/>
    <w:rsid w:val="6BBE7BEB"/>
    <w:rsid w:val="6BD10E4A"/>
    <w:rsid w:val="6BD15D59"/>
    <w:rsid w:val="6BE116D3"/>
    <w:rsid w:val="6BFE01CD"/>
    <w:rsid w:val="6C084F5B"/>
    <w:rsid w:val="6C27645D"/>
    <w:rsid w:val="6C2A7865"/>
    <w:rsid w:val="6C2D715B"/>
    <w:rsid w:val="6C5207BE"/>
    <w:rsid w:val="6C562931"/>
    <w:rsid w:val="6C566E6B"/>
    <w:rsid w:val="6C5D5B6B"/>
    <w:rsid w:val="6C625544"/>
    <w:rsid w:val="6C6A54FD"/>
    <w:rsid w:val="6C7D01C0"/>
    <w:rsid w:val="6C7D32EB"/>
    <w:rsid w:val="6C82426E"/>
    <w:rsid w:val="6C98158A"/>
    <w:rsid w:val="6CC21518"/>
    <w:rsid w:val="6CE06EE3"/>
    <w:rsid w:val="6CE16E6B"/>
    <w:rsid w:val="6CE64DA0"/>
    <w:rsid w:val="6D0E0C03"/>
    <w:rsid w:val="6D1E0EC9"/>
    <w:rsid w:val="6D1F6156"/>
    <w:rsid w:val="6D257859"/>
    <w:rsid w:val="6D301B26"/>
    <w:rsid w:val="6D3549DB"/>
    <w:rsid w:val="6D4123A1"/>
    <w:rsid w:val="6D555633"/>
    <w:rsid w:val="6D572015"/>
    <w:rsid w:val="6D5864F7"/>
    <w:rsid w:val="6D805F6C"/>
    <w:rsid w:val="6D9B002E"/>
    <w:rsid w:val="6DA301E3"/>
    <w:rsid w:val="6DB166DC"/>
    <w:rsid w:val="6DB70CB4"/>
    <w:rsid w:val="6DE242AA"/>
    <w:rsid w:val="6DFC6FEC"/>
    <w:rsid w:val="6E094352"/>
    <w:rsid w:val="6E200223"/>
    <w:rsid w:val="6E3E2358"/>
    <w:rsid w:val="6E424BD5"/>
    <w:rsid w:val="6E6A27E1"/>
    <w:rsid w:val="6E6D358E"/>
    <w:rsid w:val="6EC266E7"/>
    <w:rsid w:val="6ECB70B1"/>
    <w:rsid w:val="6F023957"/>
    <w:rsid w:val="6F077F6F"/>
    <w:rsid w:val="6F1C37FF"/>
    <w:rsid w:val="6F7209F9"/>
    <w:rsid w:val="6F815117"/>
    <w:rsid w:val="6F8C3D1F"/>
    <w:rsid w:val="6FB04A52"/>
    <w:rsid w:val="6FB36977"/>
    <w:rsid w:val="6FBA66BD"/>
    <w:rsid w:val="6FBC2C44"/>
    <w:rsid w:val="6FD67F20"/>
    <w:rsid w:val="6FD9564E"/>
    <w:rsid w:val="6FDB0700"/>
    <w:rsid w:val="6FF65032"/>
    <w:rsid w:val="70222F03"/>
    <w:rsid w:val="702A2DF0"/>
    <w:rsid w:val="70385CF1"/>
    <w:rsid w:val="704A1802"/>
    <w:rsid w:val="706F095A"/>
    <w:rsid w:val="70702B1B"/>
    <w:rsid w:val="708B6298"/>
    <w:rsid w:val="708F3F4F"/>
    <w:rsid w:val="70AF29BB"/>
    <w:rsid w:val="70CD73A6"/>
    <w:rsid w:val="70D17379"/>
    <w:rsid w:val="70E34A11"/>
    <w:rsid w:val="70EC1752"/>
    <w:rsid w:val="70FA6A76"/>
    <w:rsid w:val="71016664"/>
    <w:rsid w:val="71102541"/>
    <w:rsid w:val="71144AD3"/>
    <w:rsid w:val="71173E45"/>
    <w:rsid w:val="71287EBB"/>
    <w:rsid w:val="7131211A"/>
    <w:rsid w:val="7137018B"/>
    <w:rsid w:val="7137369D"/>
    <w:rsid w:val="719E503F"/>
    <w:rsid w:val="71AC3D91"/>
    <w:rsid w:val="71BB1304"/>
    <w:rsid w:val="71BF09ED"/>
    <w:rsid w:val="71C13A31"/>
    <w:rsid w:val="71D62B72"/>
    <w:rsid w:val="71ED03B4"/>
    <w:rsid w:val="71FF0740"/>
    <w:rsid w:val="71FF0BB1"/>
    <w:rsid w:val="7205522D"/>
    <w:rsid w:val="72247F14"/>
    <w:rsid w:val="723A4899"/>
    <w:rsid w:val="72401DE3"/>
    <w:rsid w:val="72506C47"/>
    <w:rsid w:val="72521192"/>
    <w:rsid w:val="72660F67"/>
    <w:rsid w:val="72740981"/>
    <w:rsid w:val="727E488A"/>
    <w:rsid w:val="728733AE"/>
    <w:rsid w:val="728A466C"/>
    <w:rsid w:val="729A404B"/>
    <w:rsid w:val="72CB47D7"/>
    <w:rsid w:val="72D3059A"/>
    <w:rsid w:val="72FE12FE"/>
    <w:rsid w:val="73013FCC"/>
    <w:rsid w:val="7305661E"/>
    <w:rsid w:val="730967FD"/>
    <w:rsid w:val="730B40D5"/>
    <w:rsid w:val="730C18EF"/>
    <w:rsid w:val="73147453"/>
    <w:rsid w:val="73497518"/>
    <w:rsid w:val="73547991"/>
    <w:rsid w:val="736938A6"/>
    <w:rsid w:val="736B7CB7"/>
    <w:rsid w:val="737A7971"/>
    <w:rsid w:val="737A7FF3"/>
    <w:rsid w:val="73891BFD"/>
    <w:rsid w:val="738B6948"/>
    <w:rsid w:val="73904D90"/>
    <w:rsid w:val="739169F9"/>
    <w:rsid w:val="73A93B13"/>
    <w:rsid w:val="73B76D83"/>
    <w:rsid w:val="73C347BF"/>
    <w:rsid w:val="73F328B4"/>
    <w:rsid w:val="740E561C"/>
    <w:rsid w:val="74324CC1"/>
    <w:rsid w:val="7433686E"/>
    <w:rsid w:val="74375F03"/>
    <w:rsid w:val="743A39BF"/>
    <w:rsid w:val="74523D2E"/>
    <w:rsid w:val="746B439E"/>
    <w:rsid w:val="746E5CAF"/>
    <w:rsid w:val="7471367E"/>
    <w:rsid w:val="7474255D"/>
    <w:rsid w:val="747648A7"/>
    <w:rsid w:val="749E119A"/>
    <w:rsid w:val="749F7F31"/>
    <w:rsid w:val="74AE17EE"/>
    <w:rsid w:val="74BB3D0A"/>
    <w:rsid w:val="74C508AE"/>
    <w:rsid w:val="74D33EF6"/>
    <w:rsid w:val="7505631A"/>
    <w:rsid w:val="75317252"/>
    <w:rsid w:val="753D0120"/>
    <w:rsid w:val="7545306E"/>
    <w:rsid w:val="75645C23"/>
    <w:rsid w:val="756F79DE"/>
    <w:rsid w:val="75887F63"/>
    <w:rsid w:val="75925EFC"/>
    <w:rsid w:val="75992D53"/>
    <w:rsid w:val="75A2439F"/>
    <w:rsid w:val="75A91967"/>
    <w:rsid w:val="75C32B15"/>
    <w:rsid w:val="75C56AEC"/>
    <w:rsid w:val="75D94171"/>
    <w:rsid w:val="75E12807"/>
    <w:rsid w:val="75EE6F1B"/>
    <w:rsid w:val="75FB22F9"/>
    <w:rsid w:val="76023178"/>
    <w:rsid w:val="760A68D4"/>
    <w:rsid w:val="7614520D"/>
    <w:rsid w:val="761A6A1B"/>
    <w:rsid w:val="763165DE"/>
    <w:rsid w:val="76346F66"/>
    <w:rsid w:val="76390822"/>
    <w:rsid w:val="764C3D78"/>
    <w:rsid w:val="76661857"/>
    <w:rsid w:val="7668647B"/>
    <w:rsid w:val="76784C8D"/>
    <w:rsid w:val="767A50C2"/>
    <w:rsid w:val="7698243C"/>
    <w:rsid w:val="769D4442"/>
    <w:rsid w:val="76AF515A"/>
    <w:rsid w:val="76B80C7F"/>
    <w:rsid w:val="76C75DB3"/>
    <w:rsid w:val="76E85855"/>
    <w:rsid w:val="76EC12E2"/>
    <w:rsid w:val="76F03075"/>
    <w:rsid w:val="76F658FD"/>
    <w:rsid w:val="76F6644C"/>
    <w:rsid w:val="772B3F12"/>
    <w:rsid w:val="772D0C87"/>
    <w:rsid w:val="773D64AD"/>
    <w:rsid w:val="774A4881"/>
    <w:rsid w:val="775A0279"/>
    <w:rsid w:val="77616EF2"/>
    <w:rsid w:val="77663478"/>
    <w:rsid w:val="777703EE"/>
    <w:rsid w:val="777E2C3B"/>
    <w:rsid w:val="777F21C3"/>
    <w:rsid w:val="7789020C"/>
    <w:rsid w:val="778C3F53"/>
    <w:rsid w:val="778F32FA"/>
    <w:rsid w:val="7798025B"/>
    <w:rsid w:val="77CA5641"/>
    <w:rsid w:val="77D46871"/>
    <w:rsid w:val="77D86A80"/>
    <w:rsid w:val="77DD019D"/>
    <w:rsid w:val="77F16BB1"/>
    <w:rsid w:val="77F82B38"/>
    <w:rsid w:val="780C3DBA"/>
    <w:rsid w:val="780D4DDE"/>
    <w:rsid w:val="78203AD8"/>
    <w:rsid w:val="78307537"/>
    <w:rsid w:val="783A582F"/>
    <w:rsid w:val="78484DE5"/>
    <w:rsid w:val="78636907"/>
    <w:rsid w:val="78780CEE"/>
    <w:rsid w:val="78807E7F"/>
    <w:rsid w:val="788A489C"/>
    <w:rsid w:val="7899691A"/>
    <w:rsid w:val="78A37D7C"/>
    <w:rsid w:val="78C83AD2"/>
    <w:rsid w:val="794037B5"/>
    <w:rsid w:val="79455F0D"/>
    <w:rsid w:val="7945643C"/>
    <w:rsid w:val="795C6137"/>
    <w:rsid w:val="795E77E1"/>
    <w:rsid w:val="79746DD5"/>
    <w:rsid w:val="79755663"/>
    <w:rsid w:val="797845D9"/>
    <w:rsid w:val="797A48CF"/>
    <w:rsid w:val="797D5665"/>
    <w:rsid w:val="798A5C60"/>
    <w:rsid w:val="79A07515"/>
    <w:rsid w:val="79A1229B"/>
    <w:rsid w:val="7A00729F"/>
    <w:rsid w:val="7A135A7D"/>
    <w:rsid w:val="7A1B2D1C"/>
    <w:rsid w:val="7A2E15EF"/>
    <w:rsid w:val="7A374B1F"/>
    <w:rsid w:val="7A382897"/>
    <w:rsid w:val="7A392CE7"/>
    <w:rsid w:val="7A3E2F80"/>
    <w:rsid w:val="7A7C38B0"/>
    <w:rsid w:val="7A7E1079"/>
    <w:rsid w:val="7A9861CB"/>
    <w:rsid w:val="7AAB2866"/>
    <w:rsid w:val="7AAE3E65"/>
    <w:rsid w:val="7ACA5466"/>
    <w:rsid w:val="7AD45C10"/>
    <w:rsid w:val="7AD537D1"/>
    <w:rsid w:val="7ADC5436"/>
    <w:rsid w:val="7AE3328E"/>
    <w:rsid w:val="7AE959D4"/>
    <w:rsid w:val="7B0077C8"/>
    <w:rsid w:val="7B0A6A9B"/>
    <w:rsid w:val="7B0D2818"/>
    <w:rsid w:val="7B1254BB"/>
    <w:rsid w:val="7B1306E3"/>
    <w:rsid w:val="7B2750E0"/>
    <w:rsid w:val="7B795F0A"/>
    <w:rsid w:val="7B81556A"/>
    <w:rsid w:val="7B8301FB"/>
    <w:rsid w:val="7B8D4E9E"/>
    <w:rsid w:val="7B8E1EA6"/>
    <w:rsid w:val="7B94060C"/>
    <w:rsid w:val="7B994E29"/>
    <w:rsid w:val="7BA73227"/>
    <w:rsid w:val="7BA838BD"/>
    <w:rsid w:val="7BB75777"/>
    <w:rsid w:val="7BC266AD"/>
    <w:rsid w:val="7BCC6F60"/>
    <w:rsid w:val="7BD41347"/>
    <w:rsid w:val="7BD63B6E"/>
    <w:rsid w:val="7BE45584"/>
    <w:rsid w:val="7BF22378"/>
    <w:rsid w:val="7C291216"/>
    <w:rsid w:val="7C2B048D"/>
    <w:rsid w:val="7C362CAE"/>
    <w:rsid w:val="7C44237D"/>
    <w:rsid w:val="7C460013"/>
    <w:rsid w:val="7C4B4317"/>
    <w:rsid w:val="7C627441"/>
    <w:rsid w:val="7C66565C"/>
    <w:rsid w:val="7C884F07"/>
    <w:rsid w:val="7C8D1BCF"/>
    <w:rsid w:val="7C8D43AB"/>
    <w:rsid w:val="7C8F1DDB"/>
    <w:rsid w:val="7C99511D"/>
    <w:rsid w:val="7C996138"/>
    <w:rsid w:val="7CB82DCD"/>
    <w:rsid w:val="7CBD31D9"/>
    <w:rsid w:val="7CE3614E"/>
    <w:rsid w:val="7CFB0787"/>
    <w:rsid w:val="7CFB2AE8"/>
    <w:rsid w:val="7CFD06A4"/>
    <w:rsid w:val="7D635745"/>
    <w:rsid w:val="7D6D0647"/>
    <w:rsid w:val="7D984607"/>
    <w:rsid w:val="7DA9460F"/>
    <w:rsid w:val="7DB02E07"/>
    <w:rsid w:val="7DC6049B"/>
    <w:rsid w:val="7DDF08AD"/>
    <w:rsid w:val="7DE65FBE"/>
    <w:rsid w:val="7DFD3D7D"/>
    <w:rsid w:val="7DFF6F70"/>
    <w:rsid w:val="7E0B4334"/>
    <w:rsid w:val="7E1640FB"/>
    <w:rsid w:val="7E1D725E"/>
    <w:rsid w:val="7E232692"/>
    <w:rsid w:val="7E345DFF"/>
    <w:rsid w:val="7E3B2283"/>
    <w:rsid w:val="7E4B0118"/>
    <w:rsid w:val="7E5871FA"/>
    <w:rsid w:val="7E5B49B5"/>
    <w:rsid w:val="7E6C6EF8"/>
    <w:rsid w:val="7E7145B3"/>
    <w:rsid w:val="7E7B3986"/>
    <w:rsid w:val="7E826950"/>
    <w:rsid w:val="7E88183C"/>
    <w:rsid w:val="7E9064E4"/>
    <w:rsid w:val="7E9E2C4F"/>
    <w:rsid w:val="7E9F4D2C"/>
    <w:rsid w:val="7EA30CDC"/>
    <w:rsid w:val="7EC30BBA"/>
    <w:rsid w:val="7ED8373F"/>
    <w:rsid w:val="7EDD57F4"/>
    <w:rsid w:val="7EED0F0A"/>
    <w:rsid w:val="7EF32DF2"/>
    <w:rsid w:val="7EF82D86"/>
    <w:rsid w:val="7EFB1E9B"/>
    <w:rsid w:val="7F096F96"/>
    <w:rsid w:val="7F182FE7"/>
    <w:rsid w:val="7F220E8A"/>
    <w:rsid w:val="7F5828CA"/>
    <w:rsid w:val="7F651FE6"/>
    <w:rsid w:val="7F7405C7"/>
    <w:rsid w:val="7F8A7F3B"/>
    <w:rsid w:val="7F8B15A9"/>
    <w:rsid w:val="7F925810"/>
    <w:rsid w:val="7FF45605"/>
    <w:rsid w:val="7FFA2F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40"/>
    <w:qFormat/>
    <w:uiPriority w:val="0"/>
    <w:pPr>
      <w:keepNext/>
      <w:keepLines/>
      <w:spacing w:line="576" w:lineRule="auto"/>
      <w:jc w:val="center"/>
      <w:outlineLvl w:val="0"/>
    </w:pPr>
    <w:rPr>
      <w:b/>
      <w:kern w:val="44"/>
      <w:sz w:val="32"/>
      <w:szCs w:val="20"/>
    </w:rPr>
  </w:style>
  <w:style w:type="paragraph" w:styleId="4">
    <w:name w:val="heading 2"/>
    <w:basedOn w:val="1"/>
    <w:next w:val="1"/>
    <w:qFormat/>
    <w:uiPriority w:val="0"/>
    <w:pPr>
      <w:keepNext/>
      <w:keepLines/>
      <w:spacing w:line="413" w:lineRule="auto"/>
      <w:jc w:val="left"/>
      <w:outlineLvl w:val="1"/>
    </w:pPr>
    <w:rPr>
      <w:rFonts w:ascii="Arial" w:hAnsi="Arial"/>
      <w:b/>
      <w:sz w:val="28"/>
    </w:rPr>
  </w:style>
  <w:style w:type="paragraph" w:styleId="5">
    <w:name w:val="heading 3"/>
    <w:basedOn w:val="1"/>
    <w:next w:val="1"/>
    <w:qFormat/>
    <w:uiPriority w:val="0"/>
    <w:pPr>
      <w:keepNext/>
      <w:keepLines/>
      <w:spacing w:line="413" w:lineRule="auto"/>
      <w:outlineLvl w:val="2"/>
    </w:pPr>
    <w:rPr>
      <w:b/>
      <w:sz w:val="28"/>
    </w:rPr>
  </w:style>
  <w:style w:type="paragraph" w:styleId="6">
    <w:name w:val="heading 4"/>
    <w:basedOn w:val="1"/>
    <w:next w:val="1"/>
    <w:qFormat/>
    <w:uiPriority w:val="0"/>
    <w:pPr>
      <w:keepNext/>
      <w:keepLines/>
      <w:jc w:val="left"/>
      <w:outlineLvl w:val="3"/>
    </w:pPr>
    <w:rPr>
      <w:rFonts w:hint="eastAsia" w:ascii="Arial" w:hAnsi="Arial"/>
      <w:b/>
      <w:sz w:val="32"/>
    </w:rPr>
  </w:style>
  <w:style w:type="paragraph" w:styleId="7">
    <w:name w:val="heading 6"/>
    <w:basedOn w:val="1"/>
    <w:next w:val="1"/>
    <w:unhideWhenUsed/>
    <w:qFormat/>
    <w:uiPriority w:val="0"/>
    <w:pPr>
      <w:spacing w:beforeAutospacing="1" w:afterAutospacing="1"/>
      <w:jc w:val="left"/>
      <w:outlineLvl w:val="5"/>
    </w:pPr>
    <w:rPr>
      <w:rFonts w:hint="eastAsia" w:ascii="宋体" w:hAnsi="宋体"/>
      <w:b/>
      <w:bCs/>
      <w:kern w:val="0"/>
      <w:sz w:val="15"/>
      <w:szCs w:val="15"/>
    </w:rPr>
  </w:style>
  <w:style w:type="character" w:default="1" w:styleId="31">
    <w:name w:val="Default Paragraph Font"/>
    <w:unhideWhenUsed/>
    <w:qFormat/>
    <w:uiPriority w:val="1"/>
  </w:style>
  <w:style w:type="table" w:default="1" w:styleId="29">
    <w:name w:val="Normal Table"/>
    <w:unhideWhenUsed/>
    <w:qFormat/>
    <w:uiPriority w:val="99"/>
    <w:tblPr>
      <w:tblCellMar>
        <w:top w:w="0" w:type="dxa"/>
        <w:left w:w="108" w:type="dxa"/>
        <w:bottom w:w="0" w:type="dxa"/>
        <w:right w:w="108" w:type="dxa"/>
      </w:tblCellMar>
    </w:tblPr>
  </w:style>
  <w:style w:type="paragraph" w:styleId="2">
    <w:name w:val="toc 1"/>
    <w:basedOn w:val="1"/>
    <w:next w:val="1"/>
    <w:qFormat/>
    <w:uiPriority w:val="0"/>
  </w:style>
  <w:style w:type="paragraph" w:styleId="8">
    <w:name w:val="List Number"/>
    <w:basedOn w:val="1"/>
    <w:qFormat/>
    <w:uiPriority w:val="0"/>
    <w:pPr>
      <w:numPr>
        <w:ilvl w:val="0"/>
        <w:numId w:val="1"/>
      </w:numPr>
    </w:pPr>
  </w:style>
  <w:style w:type="paragraph" w:styleId="9">
    <w:name w:val="Normal Indent"/>
    <w:basedOn w:val="1"/>
    <w:next w:val="10"/>
    <w:qFormat/>
    <w:uiPriority w:val="0"/>
    <w:pPr>
      <w:ind w:firstLine="420"/>
    </w:pPr>
    <w:rPr>
      <w:szCs w:val="20"/>
    </w:rPr>
  </w:style>
  <w:style w:type="paragraph" w:styleId="10">
    <w:name w:val="Body Text First Indent 2"/>
    <w:basedOn w:val="11"/>
    <w:unhideWhenUsed/>
    <w:qFormat/>
    <w:uiPriority w:val="0"/>
    <w:pPr>
      <w:ind w:firstLine="420" w:firstLineChars="200"/>
    </w:pPr>
    <w:rPr>
      <w:szCs w:val="20"/>
    </w:rPr>
  </w:style>
  <w:style w:type="paragraph" w:styleId="11">
    <w:name w:val="Body Text Indent"/>
    <w:basedOn w:val="1"/>
    <w:qFormat/>
    <w:uiPriority w:val="0"/>
    <w:pPr>
      <w:ind w:left="420" w:leftChars="200"/>
    </w:pPr>
  </w:style>
  <w:style w:type="paragraph" w:styleId="12">
    <w:name w:val="Document Map"/>
    <w:basedOn w:val="1"/>
    <w:link w:val="41"/>
    <w:qFormat/>
    <w:uiPriority w:val="0"/>
    <w:rPr>
      <w:rFonts w:ascii="宋体" w:hAnsi="Calibri"/>
      <w:sz w:val="18"/>
      <w:szCs w:val="18"/>
    </w:rPr>
  </w:style>
  <w:style w:type="paragraph" w:styleId="13">
    <w:name w:val="annotation text"/>
    <w:basedOn w:val="1"/>
    <w:link w:val="42"/>
    <w:qFormat/>
    <w:uiPriority w:val="0"/>
    <w:pPr>
      <w:jc w:val="left"/>
    </w:pPr>
    <w:rPr>
      <w:rFonts w:ascii="宋体" w:hAnsi="Calibri"/>
      <w:kern w:val="0"/>
      <w:sz w:val="34"/>
    </w:rPr>
  </w:style>
  <w:style w:type="paragraph" w:styleId="14">
    <w:name w:val="Body Text"/>
    <w:basedOn w:val="1"/>
    <w:next w:val="1"/>
    <w:link w:val="39"/>
    <w:qFormat/>
    <w:uiPriority w:val="0"/>
    <w:rPr>
      <w:color w:val="993300"/>
      <w:kern w:val="0"/>
      <w:sz w:val="24"/>
      <w:szCs w:val="24"/>
    </w:rPr>
  </w:style>
  <w:style w:type="paragraph" w:styleId="15">
    <w:name w:val="toc 3"/>
    <w:basedOn w:val="1"/>
    <w:next w:val="1"/>
    <w:qFormat/>
    <w:uiPriority w:val="0"/>
    <w:pPr>
      <w:ind w:left="840" w:leftChars="400"/>
    </w:pPr>
  </w:style>
  <w:style w:type="paragraph" w:styleId="16">
    <w:name w:val="Plain Text"/>
    <w:basedOn w:val="1"/>
    <w:qFormat/>
    <w:uiPriority w:val="0"/>
    <w:pPr>
      <w:spacing w:line="324" w:lineRule="auto"/>
    </w:pPr>
    <w:rPr>
      <w:rFonts w:ascii="宋体" w:hAnsi="Courier New" w:cs="Courier New"/>
      <w:szCs w:val="21"/>
    </w:rPr>
  </w:style>
  <w:style w:type="paragraph" w:styleId="17">
    <w:name w:val="Date"/>
    <w:basedOn w:val="1"/>
    <w:next w:val="1"/>
    <w:qFormat/>
    <w:uiPriority w:val="0"/>
    <w:rPr>
      <w:rFonts w:ascii="Copperplate Gothic Bold" w:hAnsi="Copperplate Gothic Bold"/>
      <w:sz w:val="32"/>
      <w:szCs w:val="20"/>
    </w:rPr>
  </w:style>
  <w:style w:type="paragraph" w:styleId="18">
    <w:name w:val="Body Text Indent 2"/>
    <w:basedOn w:val="1"/>
    <w:qFormat/>
    <w:uiPriority w:val="0"/>
    <w:pPr>
      <w:spacing w:after="120" w:line="480" w:lineRule="auto"/>
      <w:ind w:left="420" w:leftChars="200"/>
    </w:pPr>
  </w:style>
  <w:style w:type="paragraph" w:styleId="19">
    <w:name w:val="Balloon Text"/>
    <w:basedOn w:val="1"/>
    <w:link w:val="43"/>
    <w:qFormat/>
    <w:uiPriority w:val="0"/>
    <w:rPr>
      <w:rFonts w:ascii="Calibri" w:hAnsi="Calibri"/>
      <w:sz w:val="18"/>
      <w:szCs w:val="18"/>
    </w:rPr>
  </w:style>
  <w:style w:type="paragraph" w:styleId="20">
    <w:name w:val="footer"/>
    <w:basedOn w:val="1"/>
    <w:qFormat/>
    <w:uiPriority w:val="0"/>
    <w:pPr>
      <w:tabs>
        <w:tab w:val="center" w:pos="4153"/>
        <w:tab w:val="right" w:pos="8306"/>
      </w:tabs>
      <w:snapToGrid w:val="0"/>
      <w:jc w:val="left"/>
    </w:pPr>
    <w:rPr>
      <w:sz w:val="18"/>
      <w:szCs w:val="18"/>
    </w:rPr>
  </w:style>
  <w:style w:type="paragraph" w:styleId="2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2">
    <w:name w:val="toc 2"/>
    <w:basedOn w:val="1"/>
    <w:next w:val="1"/>
    <w:qFormat/>
    <w:uiPriority w:val="0"/>
    <w:pPr>
      <w:ind w:left="420" w:leftChars="200"/>
    </w:pPr>
  </w:style>
  <w:style w:type="paragraph" w:styleId="23">
    <w:name w:val="toc 9"/>
    <w:basedOn w:val="1"/>
    <w:next w:val="1"/>
    <w:qFormat/>
    <w:uiPriority w:val="0"/>
    <w:pPr>
      <w:wordWrap w:val="0"/>
      <w:ind w:left="2975"/>
    </w:pPr>
  </w:style>
  <w:style w:type="paragraph" w:styleId="24">
    <w:name w:val="Body Text 2"/>
    <w:basedOn w:val="1"/>
    <w:qFormat/>
    <w:uiPriority w:val="0"/>
    <w:pPr>
      <w:jc w:val="center"/>
    </w:pPr>
    <w:rPr>
      <w:b/>
      <w:spacing w:val="-20"/>
      <w:w w:val="130"/>
      <w:sz w:val="48"/>
      <w:szCs w:val="20"/>
    </w:rPr>
  </w:style>
  <w:style w:type="paragraph" w:styleId="2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6">
    <w:name w:val="Title"/>
    <w:basedOn w:val="1"/>
    <w:qFormat/>
    <w:uiPriority w:val="0"/>
    <w:pPr>
      <w:jc w:val="center"/>
    </w:pPr>
    <w:rPr>
      <w:sz w:val="30"/>
      <w:szCs w:val="24"/>
    </w:rPr>
  </w:style>
  <w:style w:type="paragraph" w:styleId="27">
    <w:name w:val="annotation subject"/>
    <w:basedOn w:val="13"/>
    <w:next w:val="13"/>
    <w:link w:val="44"/>
    <w:qFormat/>
    <w:uiPriority w:val="0"/>
    <w:rPr>
      <w:rFonts w:ascii="Calibri"/>
      <w:b/>
      <w:bCs/>
      <w:kern w:val="2"/>
      <w:sz w:val="21"/>
    </w:rPr>
  </w:style>
  <w:style w:type="paragraph" w:styleId="28">
    <w:name w:val="Body Text First Indent"/>
    <w:basedOn w:val="14"/>
    <w:next w:val="1"/>
    <w:link w:val="90"/>
    <w:qFormat/>
    <w:uiPriority w:val="0"/>
    <w:rPr>
      <w:rFonts w:hAnsi="宋体"/>
      <w:sz w:val="18"/>
      <w:szCs w:val="18"/>
    </w:rPr>
  </w:style>
  <w:style w:type="table" w:styleId="30">
    <w:name w:val="Table Grid"/>
    <w:basedOn w:val="29"/>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0"/>
    <w:rPr>
      <w:b/>
      <w:sz w:val="24"/>
      <w:szCs w:val="24"/>
    </w:rPr>
  </w:style>
  <w:style w:type="character" w:styleId="33">
    <w:name w:val="page number"/>
    <w:qFormat/>
    <w:uiPriority w:val="0"/>
  </w:style>
  <w:style w:type="character" w:styleId="34">
    <w:name w:val="FollowedHyperlink"/>
    <w:qFormat/>
    <w:uiPriority w:val="0"/>
    <w:rPr>
      <w:rFonts w:hint="eastAsia" w:ascii="宋体" w:hAnsi="宋体" w:eastAsia="宋体" w:cs="宋体"/>
      <w:color w:val="000000"/>
      <w:sz w:val="18"/>
      <w:szCs w:val="18"/>
      <w:u w:val="none"/>
    </w:rPr>
  </w:style>
  <w:style w:type="character" w:styleId="35">
    <w:name w:val="Emphasis"/>
    <w:qFormat/>
    <w:uiPriority w:val="0"/>
    <w:rPr>
      <w:i/>
      <w:iCs/>
    </w:rPr>
  </w:style>
  <w:style w:type="character" w:styleId="36">
    <w:name w:val="Hyperlink"/>
    <w:qFormat/>
    <w:uiPriority w:val="0"/>
    <w:rPr>
      <w:color w:val="0000FF"/>
      <w:u w:val="single"/>
    </w:rPr>
  </w:style>
  <w:style w:type="character" w:styleId="37">
    <w:name w:val="annotation reference"/>
    <w:qFormat/>
    <w:uiPriority w:val="99"/>
    <w:rPr>
      <w:sz w:val="21"/>
      <w:szCs w:val="21"/>
    </w:rPr>
  </w:style>
  <w:style w:type="character" w:styleId="38">
    <w:name w:val="HTML Cite"/>
    <w:qFormat/>
    <w:uiPriority w:val="0"/>
    <w:rPr>
      <w:sz w:val="24"/>
      <w:szCs w:val="24"/>
    </w:rPr>
  </w:style>
  <w:style w:type="character" w:customStyle="1" w:styleId="39">
    <w:name w:val="正文文本 字符"/>
    <w:link w:val="14"/>
    <w:qFormat/>
    <w:uiPriority w:val="0"/>
    <w:rPr>
      <w:rFonts w:hint="default" w:ascii="Times New Roman" w:hAnsi="Times New Roman" w:eastAsia="宋体" w:cs="Times New Roman"/>
      <w:color w:val="993300"/>
      <w:sz w:val="24"/>
      <w:szCs w:val="24"/>
    </w:rPr>
  </w:style>
  <w:style w:type="character" w:customStyle="1" w:styleId="40">
    <w:name w:val="标题 1 字符"/>
    <w:link w:val="3"/>
    <w:qFormat/>
    <w:uiPriority w:val="9"/>
    <w:rPr>
      <w:rFonts w:ascii="Times New Roman" w:hAnsi="Times New Roman" w:eastAsia="宋体"/>
      <w:b/>
      <w:kern w:val="44"/>
      <w:sz w:val="32"/>
    </w:rPr>
  </w:style>
  <w:style w:type="character" w:customStyle="1" w:styleId="41">
    <w:name w:val="文档结构图 字符"/>
    <w:link w:val="12"/>
    <w:qFormat/>
    <w:uiPriority w:val="0"/>
    <w:rPr>
      <w:rFonts w:ascii="宋体" w:hAnsi="Calibri" w:cs="Times New Roman"/>
      <w:kern w:val="2"/>
      <w:sz w:val="18"/>
      <w:szCs w:val="18"/>
    </w:rPr>
  </w:style>
  <w:style w:type="character" w:customStyle="1" w:styleId="42">
    <w:name w:val="批注文字 字符"/>
    <w:link w:val="13"/>
    <w:qFormat/>
    <w:uiPriority w:val="99"/>
    <w:rPr>
      <w:rFonts w:ascii="宋体" w:hAnsi="Calibri" w:eastAsia="宋体" w:cs="Times New Roman"/>
      <w:sz w:val="34"/>
      <w:szCs w:val="22"/>
    </w:rPr>
  </w:style>
  <w:style w:type="character" w:customStyle="1" w:styleId="43">
    <w:name w:val="批注框文本 字符"/>
    <w:link w:val="19"/>
    <w:qFormat/>
    <w:uiPriority w:val="0"/>
    <w:rPr>
      <w:rFonts w:ascii="Calibri" w:hAnsi="Calibri" w:eastAsia="宋体" w:cs="Times New Roman"/>
      <w:kern w:val="2"/>
      <w:sz w:val="18"/>
      <w:szCs w:val="18"/>
    </w:rPr>
  </w:style>
  <w:style w:type="character" w:customStyle="1" w:styleId="44">
    <w:name w:val="批注主题 字符"/>
    <w:link w:val="27"/>
    <w:qFormat/>
    <w:uiPriority w:val="0"/>
    <w:rPr>
      <w:rFonts w:ascii="Calibri" w:hAnsi="Calibri" w:eastAsia="宋体" w:cs="Times New Roman"/>
      <w:b/>
      <w:bCs/>
      <w:kern w:val="2"/>
      <w:sz w:val="21"/>
      <w:szCs w:val="22"/>
    </w:rPr>
  </w:style>
  <w:style w:type="character" w:customStyle="1" w:styleId="45">
    <w:name w:val="font11"/>
    <w:qFormat/>
    <w:uiPriority w:val="0"/>
    <w:rPr>
      <w:rFonts w:hint="eastAsia" w:ascii="宋体" w:hAnsi="宋体" w:eastAsia="宋体" w:cs="宋体"/>
      <w:color w:val="000000"/>
      <w:sz w:val="22"/>
      <w:szCs w:val="22"/>
      <w:u w:val="none"/>
    </w:rPr>
  </w:style>
  <w:style w:type="character" w:customStyle="1" w:styleId="46">
    <w:name w:val="15"/>
    <w:qFormat/>
    <w:uiPriority w:val="0"/>
    <w:rPr>
      <w:rFonts w:hint="default" w:ascii="Calibri" w:hAnsi="Calibri"/>
      <w:i/>
      <w:iCs/>
    </w:rPr>
  </w:style>
  <w:style w:type="character" w:customStyle="1" w:styleId="47">
    <w:name w:val="font01"/>
    <w:qFormat/>
    <w:uiPriority w:val="0"/>
    <w:rPr>
      <w:rFonts w:hint="eastAsia" w:ascii="宋体" w:hAnsi="宋体" w:eastAsia="宋体" w:cs="宋体"/>
      <w:b/>
      <w:color w:val="000000"/>
      <w:sz w:val="24"/>
      <w:szCs w:val="24"/>
      <w:u w:val="none"/>
    </w:rPr>
  </w:style>
  <w:style w:type="character" w:customStyle="1" w:styleId="48">
    <w:name w:val="del2"/>
    <w:qFormat/>
    <w:uiPriority w:val="0"/>
    <w:rPr>
      <w:vanish/>
    </w:rPr>
  </w:style>
  <w:style w:type="character" w:customStyle="1" w:styleId="49">
    <w:name w:val="apple-style-span"/>
    <w:qFormat/>
    <w:uiPriority w:val="0"/>
  </w:style>
  <w:style w:type="character" w:customStyle="1" w:styleId="50">
    <w:name w:val="del3"/>
    <w:qFormat/>
    <w:uiPriority w:val="0"/>
    <w:rPr>
      <w:vanish/>
    </w:rPr>
  </w:style>
  <w:style w:type="character" w:customStyle="1" w:styleId="51">
    <w:name w:val="font61"/>
    <w:qFormat/>
    <w:uiPriority w:val="0"/>
    <w:rPr>
      <w:rFonts w:hint="default" w:ascii="Tahoma" w:hAnsi="Tahoma" w:eastAsia="Tahoma" w:cs="Tahoma"/>
      <w:color w:val="000000"/>
      <w:sz w:val="22"/>
      <w:szCs w:val="22"/>
      <w:u w:val="none"/>
    </w:rPr>
  </w:style>
  <w:style w:type="character" w:customStyle="1" w:styleId="52">
    <w:name w:val="del"/>
    <w:qFormat/>
    <w:uiPriority w:val="0"/>
  </w:style>
  <w:style w:type="character" w:customStyle="1" w:styleId="53">
    <w:name w:val="10"/>
    <w:qFormat/>
    <w:uiPriority w:val="0"/>
    <w:rPr>
      <w:rFonts w:hint="default" w:ascii="Calibri" w:hAnsi="Calibri"/>
    </w:rPr>
  </w:style>
  <w:style w:type="character" w:customStyle="1" w:styleId="54">
    <w:name w:val="del1"/>
    <w:qFormat/>
    <w:uiPriority w:val="0"/>
    <w:rPr>
      <w:vanish/>
      <w:color w:val="666666"/>
      <w:sz w:val="18"/>
      <w:szCs w:val="18"/>
      <w:u w:val="single"/>
    </w:rPr>
  </w:style>
  <w:style w:type="paragraph" w:customStyle="1" w:styleId="55">
    <w:name w:val="样式 宋体 小四 首行缩进:  0.93 厘米 段前: 11.15 磅 段后: 11.15 磅1"/>
    <w:basedOn w:val="1"/>
    <w:qFormat/>
    <w:uiPriority w:val="0"/>
    <w:pPr>
      <w:ind w:left="200"/>
    </w:pPr>
    <w:rPr>
      <w:rFonts w:hint="eastAsia" w:ascii="宋体" w:hAnsi="宋体"/>
      <w:color w:val="000000"/>
      <w:kern w:val="1"/>
      <w:sz w:val="24"/>
      <w:szCs w:val="20"/>
    </w:rPr>
  </w:style>
  <w:style w:type="paragraph" w:customStyle="1" w:styleId="56">
    <w:name w:val="列出段落3"/>
    <w:basedOn w:val="1"/>
    <w:qFormat/>
    <w:uiPriority w:val="0"/>
    <w:pPr>
      <w:ind w:firstLine="420" w:firstLineChars="200"/>
    </w:pPr>
    <w:rPr>
      <w:rFonts w:ascii="宋体"/>
      <w:sz w:val="28"/>
    </w:rPr>
  </w:style>
  <w:style w:type="paragraph" w:customStyle="1" w:styleId="57">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58">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59">
    <w:name w:val="表格样式 2"/>
    <w:qFormat/>
    <w:uiPriority w:val="0"/>
    <w:rPr>
      <w:rFonts w:ascii="Helvetica Neue" w:hAnsi="Helvetica Neue" w:eastAsia="Helvetica Neue" w:cs="Helvetica Neue"/>
      <w:color w:val="000000"/>
      <w:lang w:val="en-US" w:eastAsia="zh-CN" w:bidi="ar-SA"/>
    </w:rPr>
  </w:style>
  <w:style w:type="paragraph" w:customStyle="1" w:styleId="60">
    <w:name w:val="TableHeader"/>
    <w:qFormat/>
    <w:uiPriority w:val="1"/>
    <w:pPr>
      <w:spacing w:before="40" w:after="40"/>
      <w:jc w:val="center"/>
    </w:pPr>
    <w:rPr>
      <w:rFonts w:ascii="Arial" w:hAnsi="Arial" w:eastAsia="宋体" w:cs="Times New Roman"/>
      <w:b/>
      <w:bCs/>
      <w:kern w:val="44"/>
      <w:sz w:val="18"/>
      <w:szCs w:val="44"/>
      <w:lang w:val="en-US" w:eastAsia="zh-CN" w:bidi="ar-SA"/>
    </w:rPr>
  </w:style>
  <w:style w:type="paragraph" w:customStyle="1" w:styleId="61">
    <w:name w:val="页眉与页脚"/>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62">
    <w:name w:val="正文框"/>
    <w:basedOn w:val="1"/>
    <w:qFormat/>
    <w:uiPriority w:val="0"/>
    <w:pPr>
      <w:widowControl/>
      <w:adjustRightInd w:val="0"/>
      <w:spacing w:line="312" w:lineRule="atLeast"/>
      <w:jc w:val="left"/>
      <w:textAlignment w:val="baseline"/>
    </w:pPr>
    <w:rPr>
      <w:sz w:val="24"/>
    </w:rPr>
  </w:style>
  <w:style w:type="paragraph" w:customStyle="1" w:styleId="63">
    <w:name w:val="List Paragraph"/>
    <w:basedOn w:val="1"/>
    <w:qFormat/>
    <w:uiPriority w:val="99"/>
    <w:pPr>
      <w:ind w:firstLine="420" w:firstLineChars="200"/>
    </w:pPr>
  </w:style>
  <w:style w:type="paragraph" w:customStyle="1" w:styleId="64">
    <w:name w:val="列出段落1"/>
    <w:basedOn w:val="1"/>
    <w:qFormat/>
    <w:uiPriority w:val="99"/>
    <w:pPr>
      <w:ind w:firstLine="420" w:firstLineChars="200"/>
    </w:pPr>
  </w:style>
  <w:style w:type="paragraph" w:customStyle="1" w:styleId="65">
    <w:name w:val="列出段落6"/>
    <w:basedOn w:val="1"/>
    <w:qFormat/>
    <w:uiPriority w:val="34"/>
    <w:pPr>
      <w:widowControl/>
      <w:spacing w:after="200" w:line="276" w:lineRule="auto"/>
      <w:ind w:left="720"/>
      <w:contextualSpacing/>
      <w:jc w:val="left"/>
    </w:pPr>
    <w:rPr>
      <w:kern w:val="0"/>
      <w:sz w:val="22"/>
    </w:rPr>
  </w:style>
  <w:style w:type="paragraph" w:customStyle="1" w:styleId="66">
    <w:name w:val="表格样式 1"/>
    <w:qFormat/>
    <w:uiPriority w:val="0"/>
    <w:rPr>
      <w:rFonts w:ascii="Helvetica Neue" w:hAnsi="Helvetica Neue" w:eastAsia="Helvetica Neue" w:cs="Helvetica Neue"/>
      <w:b/>
      <w:bCs/>
      <w:color w:val="000000"/>
      <w:lang w:val="en-US" w:eastAsia="zh-CN" w:bidi="ar-SA"/>
    </w:rPr>
  </w:style>
  <w:style w:type="paragraph" w:customStyle="1" w:styleId="67">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8">
    <w:name w:val="Char"/>
    <w:basedOn w:val="1"/>
    <w:qFormat/>
    <w:uiPriority w:val="0"/>
    <w:pPr>
      <w:jc w:val="left"/>
    </w:pPr>
    <w:rPr>
      <w:rFonts w:ascii="Tahoma" w:hAnsi="Tahoma"/>
      <w:sz w:val="24"/>
      <w:szCs w:val="20"/>
    </w:rPr>
  </w:style>
  <w:style w:type="paragraph" w:customStyle="1" w:styleId="69">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70">
    <w:name w:val="列出段落2"/>
    <w:basedOn w:val="1"/>
    <w:qFormat/>
    <w:uiPriority w:val="0"/>
    <w:pPr>
      <w:ind w:firstLine="420" w:firstLineChars="200"/>
    </w:pPr>
    <w:rPr>
      <w:rFonts w:ascii="宋体"/>
      <w:sz w:val="28"/>
    </w:rPr>
  </w:style>
  <w:style w:type="paragraph" w:customStyle="1" w:styleId="71">
    <w:name w:val="默认"/>
    <w:qFormat/>
    <w:uiPriority w:val="0"/>
    <w:rPr>
      <w:rFonts w:hint="eastAsia" w:ascii="Arial Unicode MS" w:hAnsi="Arial Unicode MS" w:eastAsia="Helvetica Neue" w:cs="Arial Unicode MS"/>
      <w:color w:val="000000"/>
      <w:sz w:val="22"/>
      <w:szCs w:val="22"/>
      <w:lang w:val="zh-CN" w:eastAsia="zh-CN" w:bidi="ar-SA"/>
    </w:rPr>
  </w:style>
  <w:style w:type="paragraph" w:customStyle="1" w:styleId="72">
    <w:name w:val="普通(网站)1"/>
    <w:basedOn w:val="1"/>
    <w:qFormat/>
    <w:uiPriority w:val="0"/>
    <w:pPr>
      <w:widowControl/>
      <w:spacing w:before="100" w:beforeAutospacing="1" w:after="100" w:afterAutospacing="1" w:line="360" w:lineRule="auto"/>
      <w:ind w:firstLine="200" w:firstLineChars="200"/>
      <w:jc w:val="left"/>
    </w:pPr>
    <w:rPr>
      <w:rFonts w:ascii="宋体"/>
      <w:kern w:val="0"/>
      <w:sz w:val="24"/>
      <w:szCs w:val="20"/>
    </w:rPr>
  </w:style>
  <w:style w:type="paragraph" w:customStyle="1" w:styleId="73">
    <w:name w:val="小标题"/>
    <w:next w:val="1"/>
    <w:qFormat/>
    <w:uiPriority w:val="0"/>
    <w:pPr>
      <w:keepNext/>
      <w:outlineLvl w:val="0"/>
    </w:pPr>
    <w:rPr>
      <w:rFonts w:ascii="Helvetica Neue" w:hAnsi="Helvetica Neue" w:eastAsia="Helvetica Neue" w:cs="Helvetica Neue"/>
      <w:b/>
      <w:bCs/>
      <w:color w:val="000000"/>
      <w:sz w:val="36"/>
      <w:szCs w:val="36"/>
      <w:lang w:val="en-US" w:eastAsia="zh-CN" w:bidi="ar-SA"/>
    </w:rPr>
  </w:style>
  <w:style w:type="paragraph" w:customStyle="1" w:styleId="74">
    <w:name w:val="list number ＋left spaceing"/>
    <w:basedOn w:val="8"/>
    <w:qFormat/>
    <w:uiPriority w:val="0"/>
    <w:pPr>
      <w:widowControl/>
      <w:tabs>
        <w:tab w:val="left" w:pos="839"/>
      </w:tabs>
      <w:ind w:left="0" w:firstLine="0"/>
      <w:jc w:val="left"/>
    </w:pPr>
    <w:rPr>
      <w:kern w:val="0"/>
    </w:rPr>
  </w:style>
  <w:style w:type="paragraph" w:customStyle="1" w:styleId="75">
    <w:name w:val="列出段落4"/>
    <w:basedOn w:val="1"/>
    <w:qFormat/>
    <w:uiPriority w:val="34"/>
    <w:pPr>
      <w:ind w:firstLine="420" w:firstLineChars="200"/>
    </w:pPr>
  </w:style>
  <w:style w:type="paragraph" w:customStyle="1" w:styleId="76">
    <w:name w:val="Char2 Char Char Char"/>
    <w:basedOn w:val="1"/>
    <w:qFormat/>
    <w:uiPriority w:val="0"/>
    <w:rPr>
      <w:rFonts w:ascii="Tahoma" w:hAnsi="Tahoma"/>
      <w:sz w:val="24"/>
      <w:szCs w:val="20"/>
    </w:rPr>
  </w:style>
  <w:style w:type="paragraph" w:customStyle="1" w:styleId="77">
    <w:name w:val="列出段落61"/>
    <w:basedOn w:val="1"/>
    <w:qFormat/>
    <w:uiPriority w:val="34"/>
    <w:pPr>
      <w:widowControl/>
      <w:spacing w:after="200" w:line="276" w:lineRule="auto"/>
      <w:ind w:left="720"/>
      <w:contextualSpacing/>
      <w:jc w:val="left"/>
    </w:pPr>
    <w:rPr>
      <w:kern w:val="0"/>
      <w:sz w:val="22"/>
    </w:rPr>
  </w:style>
  <w:style w:type="paragraph" w:customStyle="1" w:styleId="78">
    <w:name w:val="表格内文字"/>
    <w:basedOn w:val="1"/>
    <w:qFormat/>
    <w:uiPriority w:val="0"/>
    <w:pPr>
      <w:keepLines/>
      <w:widowControl/>
      <w:spacing w:before="40" w:after="40"/>
    </w:pPr>
    <w:rPr>
      <w:rFonts w:ascii="Arial" w:hAnsi="Arial" w:cs="宋体"/>
      <w:color w:val="008ED3"/>
      <w:kern w:val="0"/>
      <w:sz w:val="18"/>
      <w:szCs w:val="18"/>
    </w:rPr>
  </w:style>
  <w:style w:type="paragraph" w:customStyle="1" w:styleId="79">
    <w:name w:val="_Style 2"/>
    <w:basedOn w:val="1"/>
    <w:qFormat/>
    <w:uiPriority w:val="34"/>
    <w:pPr>
      <w:ind w:firstLine="420" w:firstLineChars="200"/>
    </w:pPr>
  </w:style>
  <w:style w:type="paragraph" w:customStyle="1" w:styleId="80">
    <w:name w:val="列出段落111"/>
    <w:basedOn w:val="1"/>
    <w:unhideWhenUsed/>
    <w:qFormat/>
    <w:uiPriority w:val="0"/>
    <w:pPr>
      <w:ind w:firstLine="420" w:firstLineChars="200"/>
    </w:pPr>
  </w:style>
  <w:style w:type="paragraph" w:customStyle="1" w:styleId="81">
    <w:name w:val="列出段落11"/>
    <w:basedOn w:val="1"/>
    <w:qFormat/>
    <w:uiPriority w:val="99"/>
    <w:pPr>
      <w:ind w:firstLine="420" w:firstLineChars="200"/>
    </w:pPr>
  </w:style>
  <w:style w:type="paragraph" w:customStyle="1" w:styleId="82">
    <w:name w:val="No Spacing1"/>
    <w:qFormat/>
    <w:uiPriority w:val="0"/>
    <w:pPr>
      <w:widowControl w:val="0"/>
      <w:jc w:val="both"/>
    </w:pPr>
    <w:rPr>
      <w:rFonts w:ascii="Times New Roman" w:hAnsi="Times New Roman" w:eastAsia="宋体" w:cs="Calibri"/>
      <w:kern w:val="2"/>
      <w:sz w:val="21"/>
      <w:szCs w:val="21"/>
      <w:lang w:val="en-US" w:eastAsia="zh-CN" w:bidi="ar-SA"/>
    </w:rPr>
  </w:style>
  <w:style w:type="paragraph" w:customStyle="1" w:styleId="83">
    <w:name w:val="Body text|21"/>
    <w:basedOn w:val="1"/>
    <w:qFormat/>
    <w:uiPriority w:val="0"/>
    <w:pPr>
      <w:shd w:val="clear" w:color="auto" w:fill="FFFFFF"/>
      <w:spacing w:before="240" w:after="340" w:line="200" w:lineRule="exact"/>
      <w:ind w:hanging="480"/>
      <w:jc w:val="left"/>
    </w:pPr>
    <w:rPr>
      <w:rFonts w:ascii="PMingLiU" w:hAnsi="PMingLiU" w:eastAsia="PMingLiU" w:cs="PMingLiU"/>
      <w:spacing w:val="10"/>
      <w:kern w:val="0"/>
      <w:sz w:val="20"/>
      <w:szCs w:val="20"/>
    </w:rPr>
  </w:style>
  <w:style w:type="paragraph" w:customStyle="1" w:styleId="84">
    <w:name w:val="列出段落5"/>
    <w:basedOn w:val="1"/>
    <w:unhideWhenUsed/>
    <w:qFormat/>
    <w:uiPriority w:val="99"/>
    <w:pPr>
      <w:ind w:firstLine="420" w:firstLineChars="200"/>
    </w:pPr>
  </w:style>
  <w:style w:type="table" w:customStyle="1" w:styleId="85">
    <w:name w:val="Table Normal"/>
    <w:qFormat/>
    <w:uiPriority w:val="0"/>
    <w:tblPr>
      <w:tblCellMar>
        <w:top w:w="0" w:type="dxa"/>
        <w:left w:w="0" w:type="dxa"/>
        <w:bottom w:w="0" w:type="dxa"/>
        <w:right w:w="0" w:type="dxa"/>
      </w:tblCellMar>
    </w:tblPr>
  </w:style>
  <w:style w:type="paragraph" w:customStyle="1" w:styleId="86">
    <w:name w:val="Default"/>
    <w:qFormat/>
    <w:uiPriority w:val="0"/>
    <w:pPr>
      <w:widowControl w:val="0"/>
      <w:autoSpaceDE w:val="0"/>
      <w:autoSpaceDN w:val="0"/>
      <w:adjustRightInd w:val="0"/>
    </w:pPr>
    <w:rPr>
      <w:rFonts w:ascii="华文仿宋" w:hAnsi="华文仿宋" w:eastAsia="宋体" w:cs="华文仿宋"/>
      <w:color w:val="000000"/>
      <w:sz w:val="24"/>
      <w:szCs w:val="24"/>
      <w:lang w:val="en-US" w:eastAsia="zh-CN" w:bidi="ar-SA"/>
    </w:rPr>
  </w:style>
  <w:style w:type="paragraph" w:customStyle="1" w:styleId="87">
    <w:name w:val="Table Paragraph"/>
    <w:basedOn w:val="1"/>
    <w:qFormat/>
    <w:uiPriority w:val="0"/>
    <w:pPr>
      <w:autoSpaceDE w:val="0"/>
      <w:autoSpaceDN w:val="0"/>
      <w:jc w:val="left"/>
    </w:pPr>
    <w:rPr>
      <w:rFonts w:hint="eastAsia" w:ascii="宋体" w:hAnsi="宋体"/>
      <w:kern w:val="0"/>
      <w:sz w:val="22"/>
    </w:rPr>
  </w:style>
  <w:style w:type="character" w:customStyle="1" w:styleId="88">
    <w:name w:val="font21"/>
    <w:qFormat/>
    <w:uiPriority w:val="0"/>
    <w:rPr>
      <w:rFonts w:hint="eastAsia" w:ascii="宋体" w:hAnsi="宋体" w:eastAsia="宋体" w:cs="宋体"/>
      <w:color w:val="000000"/>
      <w:sz w:val="21"/>
      <w:szCs w:val="21"/>
      <w:u w:val="none"/>
    </w:rPr>
  </w:style>
  <w:style w:type="paragraph" w:customStyle="1" w:styleId="89">
    <w:name w:val="修订1"/>
    <w:hidden/>
    <w:semiHidden/>
    <w:qFormat/>
    <w:uiPriority w:val="99"/>
    <w:rPr>
      <w:rFonts w:ascii="Times New Roman" w:hAnsi="Times New Roman" w:eastAsia="宋体" w:cs="Times New Roman"/>
      <w:kern w:val="2"/>
      <w:sz w:val="21"/>
      <w:szCs w:val="22"/>
      <w:lang w:val="en-US" w:eastAsia="zh-CN" w:bidi="ar-SA"/>
    </w:rPr>
  </w:style>
  <w:style w:type="character" w:customStyle="1" w:styleId="90">
    <w:name w:val="正文首行缩进 字符"/>
    <w:link w:val="28"/>
    <w:qFormat/>
    <w:uiPriority w:val="0"/>
    <w:rPr>
      <w:rFonts w:hAnsi="宋体"/>
      <w:sz w:val="18"/>
      <w:szCs w:val="18"/>
    </w:rPr>
  </w:style>
  <w:style w:type="paragraph" w:customStyle="1" w:styleId="91">
    <w:name w:val="WPSOffice手动目录 1"/>
    <w:qFormat/>
    <w:uiPriority w:val="0"/>
    <w:rPr>
      <w:rFonts w:ascii="Times New Roman" w:hAnsi="Times New Roman" w:eastAsia="宋体" w:cs="Times New Roman"/>
      <w:lang w:val="en-US" w:eastAsia="zh-CN" w:bidi="ar-SA"/>
    </w:rPr>
  </w:style>
  <w:style w:type="paragraph" w:customStyle="1" w:styleId="9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93">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94">
    <w:name w:val="正文 New New New New"/>
    <w:qFormat/>
    <w:uiPriority w:val="99"/>
    <w:pPr>
      <w:widowControl w:val="0"/>
      <w:jc w:val="both"/>
    </w:pPr>
    <w:rPr>
      <w:rFonts w:ascii="Times New Roman" w:hAnsi="Times New Roman" w:eastAsia="宋体" w:cs="Times New Roman"/>
      <w:szCs w:val="24"/>
      <w:lang w:val="en-US" w:eastAsia="zh-CN" w:bidi="ar-SA"/>
    </w:rPr>
  </w:style>
  <w:style w:type="paragraph" w:customStyle="1" w:styleId="95">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15.jpeg"/><Relationship Id="rId43" Type="http://schemas.openxmlformats.org/officeDocument/2006/relationships/image" Target="media/image14.png"/><Relationship Id="rId42" Type="http://schemas.openxmlformats.org/officeDocument/2006/relationships/image" Target="media/image13.png"/><Relationship Id="rId41" Type="http://schemas.openxmlformats.org/officeDocument/2006/relationships/image" Target="media/image12.png"/><Relationship Id="rId40" Type="http://schemas.openxmlformats.org/officeDocument/2006/relationships/image" Target="media/image11.png"/><Relationship Id="rId4" Type="http://schemas.openxmlformats.org/officeDocument/2006/relationships/header" Target="header2.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jpe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5.xml"/><Relationship Id="rId27" Type="http://schemas.openxmlformats.org/officeDocument/2006/relationships/header" Target="header11.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http://www.windows89.com</Company>
  <Pages>159</Pages>
  <Words>79785</Words>
  <Characters>87090</Characters>
  <Lines>284</Lines>
  <Paragraphs>80</Paragraphs>
  <TotalTime>99</TotalTime>
  <ScaleCrop>false</ScaleCrop>
  <LinksUpToDate>false</LinksUpToDate>
  <CharactersWithSpaces>89940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2022-03-18T13:06:00Z</dcterms:created>
  <dc:creator>Administrator</dc:creator>
  <cp:lastModifiedBy>じ☆veSunny</cp:lastModifiedBy>
  <cp:lastPrinted>2022-07-18T10:10:00Z</cp:lastPrinted>
  <dcterms:modified xsi:type="dcterms:W3CDTF">2022-07-20T09:50:23Z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7C7E86F0362A494C93DB53B0C2BB8837</vt:lpwstr>
  </property>
</Properties>
</file>