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right"/>
        <w:rPr>
          <w:color w:val="000000" w:themeColor="text1"/>
          <w14:textFill>
            <w14:solidFill>
              <w14:schemeClr w14:val="tx1"/>
            </w14:solidFill>
          </w14:textFill>
        </w:rPr>
      </w:pPr>
      <w:r>
        <w:rPr>
          <w:rFonts w:hint="eastAsia" w:ascii="宋体" w:hAnsi="宋体" w:cs="宋体"/>
          <w:b/>
          <w:bCs/>
          <w:color w:val="000000" w:themeColor="text1"/>
          <w:sz w:val="32"/>
          <w:bdr w:val="single" w:color="auto" w:sz="4" w:space="0"/>
          <w14:textFill>
            <w14:solidFill>
              <w14:schemeClr w14:val="tx1"/>
            </w14:solidFill>
          </w14:textFill>
        </w:rPr>
        <w:t>政府采购项目</w:t>
      </w:r>
      <w:r>
        <w:rPr>
          <w:rFonts w:hint="eastAsia" w:ascii="宋体" w:hAnsi="宋体" w:cs="宋体"/>
          <w:b/>
          <w:bCs/>
          <w:color w:val="000000" w:themeColor="text1"/>
          <w:kern w:val="0"/>
          <w:sz w:val="30"/>
          <w:szCs w:val="30"/>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Ansi="宋体" w:cs="宋体"/>
          <w:b/>
          <w:bCs/>
          <w:color w:val="000000" w:themeColor="text1"/>
          <w:sz w:val="44"/>
          <w:szCs w:val="44"/>
          <w14:textFill>
            <w14:solidFill>
              <w14:schemeClr w14:val="tx1"/>
            </w14:solidFill>
          </w14:textFill>
        </w:rPr>
      </w:pPr>
      <w:r>
        <w:rPr>
          <w:rFonts w:hint="eastAsia" w:hAnsi="宋体" w:cs="宋体"/>
          <w:b/>
          <w:bCs/>
          <w:sz w:val="48"/>
          <w:szCs w:val="36"/>
        </w:rPr>
        <w:t>咸阳师范学院专业认证管理系统及教学质量保障监控一体化监测平台建设项目</w:t>
      </w:r>
    </w:p>
    <w:p>
      <w:pPr>
        <w:jc w:val="center"/>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项目编号：ZHZB-2022-GK-0527</w:t>
      </w:r>
    </w:p>
    <w:p>
      <w:pPr>
        <w:pStyle w:val="2"/>
        <w:rPr>
          <w:rFonts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jc w:val="center"/>
        <w:rPr>
          <w:rFonts w:hAnsi="宋体" w:cs="宋体"/>
          <w:b/>
          <w:color w:val="000000" w:themeColor="text1"/>
          <w:sz w:val="84"/>
          <w:szCs w:val="84"/>
          <w14:textFill>
            <w14:solidFill>
              <w14:schemeClr w14:val="tx1"/>
            </w14:solidFill>
          </w14:textFill>
        </w:rPr>
      </w:pPr>
      <w:r>
        <w:rPr>
          <w:rFonts w:hint="eastAsia" w:hAnsi="宋体" w:cs="宋体"/>
          <w:b/>
          <w:color w:val="000000" w:themeColor="text1"/>
          <w:sz w:val="84"/>
          <w:szCs w:val="84"/>
          <w14:textFill>
            <w14:solidFill>
              <w14:schemeClr w14:val="tx1"/>
            </w14:solidFill>
          </w14:textFill>
        </w:rPr>
        <w:t>招标文件</w:t>
      </w:r>
    </w:p>
    <w:p>
      <w:pPr>
        <w:jc w:val="center"/>
        <w:rPr>
          <w:rFonts w:hAnsi="宋体" w:cs="宋体"/>
          <w:b/>
          <w:color w:val="000000" w:themeColor="text1"/>
          <w:sz w:val="21"/>
          <w:szCs w:val="21"/>
          <w14:textFill>
            <w14:solidFill>
              <w14:schemeClr w14:val="tx1"/>
            </w14:solidFill>
          </w14:textFill>
        </w:rPr>
      </w:pPr>
    </w:p>
    <w:p>
      <w:pPr>
        <w:jc w:val="center"/>
        <w:rPr>
          <w:rFonts w:hAnsi="宋体" w:cs="宋体"/>
          <w:color w:val="000000" w:themeColor="text1"/>
          <w:sz w:val="72"/>
          <w:szCs w:val="72"/>
          <w14:textFill>
            <w14:solidFill>
              <w14:schemeClr w14:val="tx1"/>
            </w14:solidFill>
          </w14:textFill>
        </w:rPr>
      </w:pPr>
      <w:r>
        <w:rPr>
          <w:rFonts w:hint="eastAsia" w:hAnsi="宋体" w:cs="宋体"/>
          <w:b/>
          <w:color w:val="000000" w:themeColor="text1"/>
          <w:sz w:val="21"/>
          <w:szCs w:val="21"/>
          <w14:textFill>
            <w14:solidFill>
              <w14:schemeClr w14:val="tx1"/>
            </w14:solidFill>
          </w14:textFill>
        </w:rPr>
        <w:br w:type="textWrapping"/>
      </w:r>
      <w:r>
        <w:rPr>
          <w:rFonts w:hint="eastAsia" w:hAnsi="宋体" w:cs="宋体"/>
          <w:color w:val="000000" w:themeColor="text1"/>
          <w14:textFill>
            <w14:solidFill>
              <w14:schemeClr w14:val="tx1"/>
            </w14:solidFill>
          </w14:textFill>
        </w:rPr>
        <w:drawing>
          <wp:inline distT="0" distB="0" distL="114300" distR="114300">
            <wp:extent cx="2265045" cy="2265045"/>
            <wp:effectExtent l="0" t="0" r="1905" b="1905"/>
            <wp:docPr id="4" name="图片 1" descr="不带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不带字"/>
                    <pic:cNvPicPr>
                      <a:picLocks noChangeAspect="1"/>
                    </pic:cNvPicPr>
                  </pic:nvPicPr>
                  <pic:blipFill>
                    <a:blip r:embed="rId15"/>
                    <a:stretch>
                      <a:fillRect/>
                    </a:stretch>
                  </pic:blipFill>
                  <pic:spPr>
                    <a:xfrm>
                      <a:off x="0" y="0"/>
                      <a:ext cx="2265045" cy="2265045"/>
                    </a:xfrm>
                    <a:prstGeom prst="rect">
                      <a:avLst/>
                    </a:prstGeom>
                    <a:noFill/>
                    <a:ln>
                      <a:noFill/>
                    </a:ln>
                  </pic:spPr>
                </pic:pic>
              </a:graphicData>
            </a:graphic>
          </wp:inline>
        </w:drawing>
      </w:r>
    </w:p>
    <w:p>
      <w:pPr>
        <w:spacing w:line="480" w:lineRule="auto"/>
        <w:rPr>
          <w:rFonts w:hAnsi="宋体" w:cs="宋体"/>
          <w:b/>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360" w:lineRule="auto"/>
        <w:ind w:firstLine="1285" w:firstLineChars="400"/>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采   购   人：</w:t>
      </w:r>
      <w:r>
        <w:rPr>
          <w:rFonts w:hint="eastAsia" w:hAnsi="宋体" w:cs="宋体"/>
          <w:b/>
          <w:color w:val="000000" w:themeColor="text1"/>
          <w:sz w:val="32"/>
          <w:szCs w:val="32"/>
          <w:u w:val="single"/>
          <w14:textFill>
            <w14:solidFill>
              <w14:schemeClr w14:val="tx1"/>
            </w14:solidFill>
          </w14:textFill>
        </w:rPr>
        <w:t xml:space="preserve">    咸阳师范学院     </w:t>
      </w:r>
    </w:p>
    <w:p>
      <w:pPr>
        <w:spacing w:line="360" w:lineRule="auto"/>
        <w:ind w:firstLine="1285" w:firstLineChars="400"/>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采购代理机构:</w:t>
      </w:r>
      <w:r>
        <w:rPr>
          <w:rFonts w:hint="eastAsia" w:hAnsi="宋体" w:cs="宋体"/>
          <w:b/>
          <w:color w:val="000000" w:themeColor="text1"/>
          <w:sz w:val="32"/>
          <w:szCs w:val="32"/>
          <w:u w:val="single"/>
          <w14:textFill>
            <w14:solidFill>
              <w14:schemeClr w14:val="tx1"/>
            </w14:solidFill>
          </w14:textFill>
        </w:rPr>
        <w:t xml:space="preserve"> 陕西正鸿招标有限公司 </w:t>
      </w:r>
    </w:p>
    <w:p>
      <w:pPr>
        <w:snapToGrid w:val="0"/>
        <w:spacing w:line="360" w:lineRule="auto"/>
        <w:ind w:firstLine="3373" w:firstLineChars="1050"/>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2022年5月</w:t>
      </w:r>
    </w:p>
    <w:p>
      <w:pPr>
        <w:spacing w:line="360" w:lineRule="auto"/>
        <w:rPr>
          <w:color w:val="000000" w:themeColor="text1"/>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440" w:bottom="1440" w:left="1440" w:header="992" w:footer="992" w:gutter="170"/>
          <w:pgNumType w:start="1"/>
          <w:cols w:space="0" w:num="1"/>
          <w:docGrid w:type="lines" w:linePitch="340" w:charSpace="0"/>
        </w:sectPr>
      </w:pPr>
    </w:p>
    <w:p>
      <w:pPr>
        <w:spacing w:before="170" w:beforeLines="50" w:line="360" w:lineRule="auto"/>
        <w:jc w:val="center"/>
        <w:rPr>
          <w:rFonts w:hAnsi="宋体" w:cs="宋体"/>
          <w:b/>
          <w:color w:val="000000" w:themeColor="text1"/>
          <w:sz w:val="44"/>
          <w:szCs w:val="44"/>
          <w14:textFill>
            <w14:solidFill>
              <w14:schemeClr w14:val="tx1"/>
            </w14:solidFill>
          </w14:textFill>
        </w:rPr>
      </w:pPr>
      <w:r>
        <w:rPr>
          <w:rFonts w:hint="eastAsia" w:hAnsi="宋体" w:cs="宋体"/>
          <w:b/>
          <w:color w:val="000000" w:themeColor="text1"/>
          <w:sz w:val="48"/>
          <w:szCs w:val="48"/>
          <w14:textFill>
            <w14:solidFill>
              <w14:schemeClr w14:val="tx1"/>
            </w14:solidFill>
          </w14:textFill>
        </w:rPr>
        <w:t>目   录</w:t>
      </w:r>
    </w:p>
    <w:p>
      <w:pPr>
        <w:pStyle w:val="17"/>
        <w:tabs>
          <w:tab w:val="right" w:leader="dot" w:pos="8856"/>
          <w:tab w:val="clear" w:pos="1418"/>
          <w:tab w:val="clear" w:pos="8302"/>
        </w:tabs>
      </w:pPr>
      <w:bookmarkStart w:id="0" w:name="_Toc5293"/>
      <w:bookmarkStart w:id="1" w:name="_Toc16218"/>
      <w:bookmarkStart w:id="2" w:name="_Toc389582033"/>
      <w:bookmarkStart w:id="3" w:name="_Toc19886"/>
      <w:bookmarkStart w:id="4" w:name="_Toc426457691"/>
      <w:bookmarkStart w:id="5" w:name="_Toc21518"/>
      <w:bookmarkStart w:id="6" w:name="_Toc20652"/>
      <w:bookmarkStart w:id="7" w:name="_Toc20858"/>
      <w:bookmarkStart w:id="8" w:name="_Toc403077638"/>
      <w:bookmarkStart w:id="9" w:name="_Toc363473971"/>
      <w:bookmarkStart w:id="10" w:name="_Toc363474016"/>
      <w:r>
        <w:rPr>
          <w:rFonts w:hint="eastAsia" w:cs="宋体"/>
          <w:color w:val="000000" w:themeColor="text1"/>
          <w14:textFill>
            <w14:solidFill>
              <w14:schemeClr w14:val="tx1"/>
            </w14:solidFill>
          </w14:textFill>
        </w:rPr>
        <w:fldChar w:fldCharType="begin"/>
      </w:r>
      <w:r>
        <w:rPr>
          <w:rFonts w:hint="eastAsia" w:cs="宋体"/>
          <w:color w:val="000000" w:themeColor="text1"/>
          <w14:textFill>
            <w14:solidFill>
              <w14:schemeClr w14:val="tx1"/>
            </w14:solidFill>
          </w14:textFill>
        </w:rPr>
        <w:instrText xml:space="preserve">TOC \o "1-1" \h \u </w:instrText>
      </w:r>
      <w:r>
        <w:rPr>
          <w:rFonts w:hint="eastAsia" w:cs="宋体"/>
          <w:color w:val="000000" w:themeColor="text1"/>
          <w14:textFill>
            <w14:solidFill>
              <w14:schemeClr w14:val="tx1"/>
            </w14:solidFill>
          </w14:textFill>
        </w:rPr>
        <w:fldChar w:fldCharType="separate"/>
      </w:r>
      <w:r>
        <w:rPr>
          <w:rFonts w:hint="eastAsia" w:cs="宋体"/>
          <w:color w:val="000000" w:themeColor="text1"/>
          <w14:textFill>
            <w14:solidFill>
              <w14:schemeClr w14:val="tx1"/>
            </w14:solidFill>
          </w14:textFill>
        </w:rPr>
        <w:fldChar w:fldCharType="begin"/>
      </w:r>
      <w:r>
        <w:rPr>
          <w:rFonts w:hint="eastAsia" w:cs="宋体"/>
        </w:rPr>
        <w:instrText xml:space="preserve"> HYPERLINK \l _Toc16814 </w:instrText>
      </w:r>
      <w:r>
        <w:rPr>
          <w:rFonts w:hint="eastAsia" w:cs="宋体"/>
        </w:rPr>
        <w:fldChar w:fldCharType="separate"/>
      </w:r>
      <w:r>
        <w:rPr>
          <w:rFonts w:hint="eastAsia"/>
        </w:rPr>
        <w:t>第一章  招标公告</w:t>
      </w:r>
      <w:r>
        <w:tab/>
      </w:r>
      <w:r>
        <w:fldChar w:fldCharType="begin"/>
      </w:r>
      <w:r>
        <w:instrText xml:space="preserve"> PAGEREF _Toc16814 \h </w:instrText>
      </w:r>
      <w:r>
        <w:fldChar w:fldCharType="separate"/>
      </w:r>
      <w:r>
        <w:t>2</w:t>
      </w:r>
      <w:r>
        <w:fldChar w:fldCharType="end"/>
      </w:r>
      <w:r>
        <w:rPr>
          <w:rFonts w:hint="eastAsia" w:cs="宋体"/>
          <w:color w:val="000000" w:themeColor="text1"/>
          <w14:textFill>
            <w14:solidFill>
              <w14:schemeClr w14:val="tx1"/>
            </w14:solidFill>
          </w14:textFill>
        </w:rPr>
        <w:fldChar w:fldCharType="end"/>
      </w:r>
    </w:p>
    <w:p>
      <w:pPr>
        <w:pStyle w:val="17"/>
        <w:tabs>
          <w:tab w:val="right" w:leader="dot" w:pos="8856"/>
          <w:tab w:val="clear" w:pos="1418"/>
          <w:tab w:val="clear" w:pos="8302"/>
        </w:tabs>
      </w:pPr>
      <w:r>
        <w:rPr>
          <w:rFonts w:hint="eastAsia" w:cs="宋体"/>
          <w:color w:val="000000" w:themeColor="text1"/>
          <w14:textFill>
            <w14:solidFill>
              <w14:schemeClr w14:val="tx1"/>
            </w14:solidFill>
          </w14:textFill>
        </w:rPr>
        <w:fldChar w:fldCharType="begin"/>
      </w:r>
      <w:r>
        <w:rPr>
          <w:rFonts w:hint="eastAsia" w:cs="宋体"/>
        </w:rPr>
        <w:instrText xml:space="preserve"> HYPERLINK \l _Toc2793 </w:instrText>
      </w:r>
      <w:r>
        <w:rPr>
          <w:rFonts w:hint="eastAsia" w:cs="宋体"/>
        </w:rPr>
        <w:fldChar w:fldCharType="separate"/>
      </w:r>
      <w:r>
        <w:rPr>
          <w:rFonts w:hint="eastAsia"/>
          <w:szCs w:val="36"/>
        </w:rPr>
        <w:t>第二章  投标人须知</w:t>
      </w:r>
      <w:r>
        <w:tab/>
      </w:r>
      <w:r>
        <w:fldChar w:fldCharType="begin"/>
      </w:r>
      <w:r>
        <w:instrText xml:space="preserve"> PAGEREF _Toc2793 \h </w:instrText>
      </w:r>
      <w:r>
        <w:fldChar w:fldCharType="separate"/>
      </w:r>
      <w:r>
        <w:t>5</w:t>
      </w:r>
      <w:r>
        <w:fldChar w:fldCharType="end"/>
      </w:r>
      <w:r>
        <w:rPr>
          <w:rFonts w:hint="eastAsia" w:cs="宋体"/>
          <w:color w:val="000000" w:themeColor="text1"/>
          <w14:textFill>
            <w14:solidFill>
              <w14:schemeClr w14:val="tx1"/>
            </w14:solidFill>
          </w14:textFill>
        </w:rPr>
        <w:fldChar w:fldCharType="end"/>
      </w:r>
    </w:p>
    <w:p>
      <w:pPr>
        <w:pStyle w:val="17"/>
        <w:tabs>
          <w:tab w:val="right" w:leader="dot" w:pos="8856"/>
          <w:tab w:val="clear" w:pos="1418"/>
          <w:tab w:val="clear" w:pos="8302"/>
        </w:tabs>
      </w:pPr>
      <w:r>
        <w:rPr>
          <w:rFonts w:hint="eastAsia" w:cs="宋体"/>
          <w:color w:val="000000" w:themeColor="text1"/>
          <w14:textFill>
            <w14:solidFill>
              <w14:schemeClr w14:val="tx1"/>
            </w14:solidFill>
          </w14:textFill>
        </w:rPr>
        <w:fldChar w:fldCharType="begin"/>
      </w:r>
      <w:r>
        <w:rPr>
          <w:rFonts w:hint="eastAsia" w:cs="宋体"/>
        </w:rPr>
        <w:instrText xml:space="preserve"> HYPERLINK \l _Toc20025 </w:instrText>
      </w:r>
      <w:r>
        <w:rPr>
          <w:rFonts w:hint="eastAsia" w:cs="宋体"/>
        </w:rPr>
        <w:fldChar w:fldCharType="separate"/>
      </w:r>
      <w:r>
        <w:rPr>
          <w:rFonts w:hint="eastAsia"/>
        </w:rPr>
        <w:t>第三章  商务及合同主要条款</w:t>
      </w:r>
      <w:r>
        <w:tab/>
      </w:r>
      <w:r>
        <w:fldChar w:fldCharType="begin"/>
      </w:r>
      <w:r>
        <w:instrText xml:space="preserve"> PAGEREF _Toc20025 \h </w:instrText>
      </w:r>
      <w:r>
        <w:fldChar w:fldCharType="separate"/>
      </w:r>
      <w:r>
        <w:t>23</w:t>
      </w:r>
      <w:r>
        <w:fldChar w:fldCharType="end"/>
      </w:r>
      <w:r>
        <w:rPr>
          <w:rFonts w:hint="eastAsia" w:cs="宋体"/>
          <w:color w:val="000000" w:themeColor="text1"/>
          <w14:textFill>
            <w14:solidFill>
              <w14:schemeClr w14:val="tx1"/>
            </w14:solidFill>
          </w14:textFill>
        </w:rPr>
        <w:fldChar w:fldCharType="end"/>
      </w:r>
    </w:p>
    <w:p>
      <w:pPr>
        <w:pStyle w:val="17"/>
        <w:tabs>
          <w:tab w:val="right" w:leader="dot" w:pos="8856"/>
          <w:tab w:val="clear" w:pos="1418"/>
          <w:tab w:val="clear" w:pos="8302"/>
        </w:tabs>
      </w:pPr>
      <w:r>
        <w:rPr>
          <w:rFonts w:hint="eastAsia" w:cs="宋体"/>
          <w:color w:val="000000" w:themeColor="text1"/>
          <w14:textFill>
            <w14:solidFill>
              <w14:schemeClr w14:val="tx1"/>
            </w14:solidFill>
          </w14:textFill>
        </w:rPr>
        <w:fldChar w:fldCharType="begin"/>
      </w:r>
      <w:r>
        <w:rPr>
          <w:rFonts w:hint="eastAsia" w:cs="宋体"/>
        </w:rPr>
        <w:instrText xml:space="preserve"> HYPERLINK \l _Toc4724 </w:instrText>
      </w:r>
      <w:r>
        <w:rPr>
          <w:rFonts w:hint="eastAsia" w:cs="宋体"/>
        </w:rPr>
        <w:fldChar w:fldCharType="separate"/>
      </w:r>
      <w:r>
        <w:rPr>
          <w:rFonts w:hint="eastAsia"/>
          <w:szCs w:val="36"/>
        </w:rPr>
        <w:t>第四章  采购内容及技术要求</w:t>
      </w:r>
      <w:r>
        <w:tab/>
      </w:r>
      <w:r>
        <w:fldChar w:fldCharType="begin"/>
      </w:r>
      <w:r>
        <w:instrText xml:space="preserve"> PAGEREF _Toc4724 \h </w:instrText>
      </w:r>
      <w:r>
        <w:fldChar w:fldCharType="separate"/>
      </w:r>
      <w:r>
        <w:t>26</w:t>
      </w:r>
      <w:r>
        <w:fldChar w:fldCharType="end"/>
      </w:r>
      <w:r>
        <w:rPr>
          <w:rFonts w:hint="eastAsia" w:cs="宋体"/>
          <w:color w:val="000000" w:themeColor="text1"/>
          <w14:textFill>
            <w14:solidFill>
              <w14:schemeClr w14:val="tx1"/>
            </w14:solidFill>
          </w14:textFill>
        </w:rPr>
        <w:fldChar w:fldCharType="end"/>
      </w:r>
    </w:p>
    <w:p>
      <w:pPr>
        <w:pStyle w:val="17"/>
        <w:tabs>
          <w:tab w:val="right" w:leader="dot" w:pos="8856"/>
          <w:tab w:val="clear" w:pos="1418"/>
          <w:tab w:val="clear" w:pos="8302"/>
        </w:tabs>
      </w:pPr>
      <w:r>
        <w:rPr>
          <w:rFonts w:hint="eastAsia" w:cs="宋体"/>
          <w:color w:val="000000" w:themeColor="text1"/>
          <w14:textFill>
            <w14:solidFill>
              <w14:schemeClr w14:val="tx1"/>
            </w14:solidFill>
          </w14:textFill>
        </w:rPr>
        <w:fldChar w:fldCharType="begin"/>
      </w:r>
      <w:r>
        <w:rPr>
          <w:rFonts w:hint="eastAsia" w:cs="宋体"/>
        </w:rPr>
        <w:instrText xml:space="preserve"> HYPERLINK \l _Toc6572 </w:instrText>
      </w:r>
      <w:r>
        <w:rPr>
          <w:rFonts w:hint="eastAsia" w:cs="宋体"/>
        </w:rPr>
        <w:fldChar w:fldCharType="separate"/>
      </w:r>
      <w:r>
        <w:rPr>
          <w:rFonts w:hint="eastAsia"/>
        </w:rPr>
        <w:t>第五章  评标办法</w:t>
      </w:r>
      <w:r>
        <w:tab/>
      </w:r>
      <w:r>
        <w:fldChar w:fldCharType="begin"/>
      </w:r>
      <w:r>
        <w:instrText xml:space="preserve"> PAGEREF _Toc6572 \h </w:instrText>
      </w:r>
      <w:r>
        <w:fldChar w:fldCharType="separate"/>
      </w:r>
      <w:r>
        <w:t>34</w:t>
      </w:r>
      <w:r>
        <w:fldChar w:fldCharType="end"/>
      </w:r>
      <w:r>
        <w:rPr>
          <w:rFonts w:hint="eastAsia" w:cs="宋体"/>
          <w:color w:val="000000" w:themeColor="text1"/>
          <w14:textFill>
            <w14:solidFill>
              <w14:schemeClr w14:val="tx1"/>
            </w14:solidFill>
          </w14:textFill>
        </w:rPr>
        <w:fldChar w:fldCharType="end"/>
      </w:r>
    </w:p>
    <w:p>
      <w:pPr>
        <w:pStyle w:val="17"/>
        <w:tabs>
          <w:tab w:val="right" w:leader="dot" w:pos="8856"/>
          <w:tab w:val="clear" w:pos="1418"/>
          <w:tab w:val="clear" w:pos="8302"/>
        </w:tabs>
      </w:pPr>
      <w:r>
        <w:rPr>
          <w:rFonts w:hint="eastAsia" w:cs="宋体"/>
          <w:color w:val="000000" w:themeColor="text1"/>
          <w14:textFill>
            <w14:solidFill>
              <w14:schemeClr w14:val="tx1"/>
            </w14:solidFill>
          </w14:textFill>
        </w:rPr>
        <w:fldChar w:fldCharType="begin"/>
      </w:r>
      <w:r>
        <w:rPr>
          <w:rFonts w:hint="eastAsia" w:cs="宋体"/>
        </w:rPr>
        <w:instrText xml:space="preserve"> HYPERLINK \l _Toc19704 </w:instrText>
      </w:r>
      <w:r>
        <w:rPr>
          <w:rFonts w:hint="eastAsia" w:cs="宋体"/>
        </w:rPr>
        <w:fldChar w:fldCharType="separate"/>
      </w:r>
      <w:r>
        <w:rPr>
          <w:rFonts w:hint="eastAsia" w:cs="宋体"/>
          <w:kern w:val="2"/>
        </w:rPr>
        <w:t>第六章  投标文件构成及格式</w:t>
      </w:r>
      <w:r>
        <w:tab/>
      </w:r>
      <w:r>
        <w:fldChar w:fldCharType="begin"/>
      </w:r>
      <w:r>
        <w:instrText xml:space="preserve"> PAGEREF _Toc19704 \h </w:instrText>
      </w:r>
      <w:r>
        <w:fldChar w:fldCharType="separate"/>
      </w:r>
      <w:r>
        <w:t>42</w:t>
      </w:r>
      <w:r>
        <w:fldChar w:fldCharType="end"/>
      </w:r>
      <w:r>
        <w:rPr>
          <w:rFonts w:hint="eastAsia" w:cs="宋体"/>
          <w:color w:val="000000" w:themeColor="text1"/>
          <w14:textFill>
            <w14:solidFill>
              <w14:schemeClr w14:val="tx1"/>
            </w14:solidFill>
          </w14:textFill>
        </w:rPr>
        <w:fldChar w:fldCharType="end"/>
      </w:r>
    </w:p>
    <w:p>
      <w:pPr>
        <w:pStyle w:val="17"/>
        <w:spacing w:line="72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fldChar w:fldCharType="end"/>
      </w:r>
    </w:p>
    <w:p>
      <w:pPr>
        <w:tabs>
          <w:tab w:val="left" w:pos="525"/>
        </w:tabs>
        <w:spacing w:line="560" w:lineRule="exact"/>
        <w:jc w:val="center"/>
        <w:rPr>
          <w:rFonts w:hAnsi="宋体" w:cs="宋体"/>
          <w:color w:val="000000" w:themeColor="text1"/>
          <w14:textFill>
            <w14:solidFill>
              <w14:schemeClr w14:val="tx1"/>
            </w14:solidFill>
          </w14:textFill>
        </w:rPr>
        <w:sectPr>
          <w:headerReference r:id="rId8" w:type="first"/>
          <w:footerReference r:id="rId10" w:type="first"/>
          <w:headerReference r:id="rId7" w:type="default"/>
          <w:footerReference r:id="rId9" w:type="default"/>
          <w:pgSz w:w="11906" w:h="16838"/>
          <w:pgMar w:top="1440" w:right="1440" w:bottom="1440" w:left="1440" w:header="992" w:footer="992" w:gutter="170"/>
          <w:pgNumType w:start="1"/>
          <w:cols w:space="0" w:num="1"/>
          <w:docGrid w:type="lines" w:linePitch="340" w:charSpace="0"/>
        </w:sectPr>
      </w:pPr>
    </w:p>
    <w:bookmarkEnd w:id="0"/>
    <w:bookmarkEnd w:id="1"/>
    <w:bookmarkEnd w:id="2"/>
    <w:bookmarkEnd w:id="3"/>
    <w:bookmarkEnd w:id="4"/>
    <w:bookmarkEnd w:id="5"/>
    <w:bookmarkEnd w:id="6"/>
    <w:bookmarkEnd w:id="7"/>
    <w:p>
      <w:pPr>
        <w:pStyle w:val="3"/>
        <w:spacing w:before="340"/>
        <w:rPr>
          <w:color w:val="000000" w:themeColor="text1"/>
          <w14:textFill>
            <w14:solidFill>
              <w14:schemeClr w14:val="tx1"/>
            </w14:solidFill>
          </w14:textFill>
        </w:rPr>
      </w:pPr>
      <w:bookmarkStart w:id="11" w:name="_Toc16814"/>
      <w:bookmarkStart w:id="12" w:name="_Toc30205"/>
      <w:r>
        <w:rPr>
          <w:rFonts w:hint="eastAsia"/>
          <w:color w:val="000000" w:themeColor="text1"/>
          <w14:textFill>
            <w14:solidFill>
              <w14:schemeClr w14:val="tx1"/>
            </w14:solidFill>
          </w14:textFill>
        </w:rPr>
        <w:t>第一章  招标公告</w:t>
      </w:r>
      <w:bookmarkEnd w:id="11"/>
      <w:bookmarkEnd w:id="12"/>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b/>
          <w:bCs/>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专业认证管理系统及教学质量保障监控一体化监测平台建设项目招标项目的潜在投标人应在陕西省西安市雁塔区南二环东段凯森盛世一号A座4层408室获取招标文件，并于2022年06月21日 14时45分</w:t>
      </w:r>
      <w:bookmarkStart w:id="315" w:name="_GoBack"/>
      <w:bookmarkEnd w:id="315"/>
      <w:r>
        <w:rPr>
          <w:rFonts w:hint="eastAsia" w:cs="Times New Roman"/>
          <w:b/>
          <w:bCs/>
          <w:color w:val="000000" w:themeColor="text1"/>
          <w14:textFill>
            <w14:solidFill>
              <w14:schemeClr w14:val="tx1"/>
            </w14:solidFill>
          </w14:textFill>
        </w:rPr>
        <w:t>（北京时间）前递交投标文件。</w:t>
      </w:r>
    </w:p>
    <w:p>
      <w:pPr>
        <w:pStyle w:val="18"/>
        <w:spacing w:before="0" w:beforeAutospacing="0" w:after="0" w:afterAutospacing="0" w:line="510" w:lineRule="atLeast"/>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一、项目基本情况：</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项目编号：ZHZB-2022-GK-0527</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项目名称：专业认证管理系统及教学质量保障监控一体化监测平台建设项目</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采购方式：公开招标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预算金额：1,200,000.00元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采购需求：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合同包1(咸阳师范学院专业认证管理系统及教学质量保障监控一体化监测平台建设项目):</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合同包预算金额：1,200,000.00元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合同包最高限价：1,200,000.00元</w:t>
      </w:r>
    </w:p>
    <w:tbl>
      <w:tblPr>
        <w:tblStyle w:val="19"/>
        <w:tblW w:w="97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4"/>
        <w:gridCol w:w="1215"/>
        <w:gridCol w:w="2725"/>
        <w:gridCol w:w="770"/>
        <w:gridCol w:w="1112"/>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3" w:hRule="atLeast"/>
          <w:tblHeader/>
        </w:trPr>
        <w:tc>
          <w:tcPr>
            <w:tcW w:w="6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lang w:val="en-US" w:eastAsia="zh-CN" w:bidi="ar"/>
              </w:rPr>
              <w:t>品目号</w:t>
            </w:r>
          </w:p>
        </w:tc>
        <w:tc>
          <w:tcPr>
            <w:tcW w:w="2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lang w:val="en-US" w:eastAsia="zh-CN" w:bidi="ar"/>
              </w:rPr>
              <w:t>品目名称</w:t>
            </w:r>
          </w:p>
        </w:tc>
        <w:tc>
          <w:tcPr>
            <w:tcW w:w="26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lang w:val="en-US" w:eastAsia="zh-CN" w:bidi="ar"/>
              </w:rPr>
              <w:t>采购标的</w:t>
            </w:r>
          </w:p>
        </w:tc>
        <w:tc>
          <w:tcPr>
            <w:tcW w:w="7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lang w:val="en-US" w:eastAsia="zh-CN" w:bidi="ar"/>
              </w:rPr>
              <w:t>数量（单位）</w:t>
            </w:r>
          </w:p>
        </w:tc>
        <w:tc>
          <w:tcPr>
            <w:tcW w:w="15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lang w:val="en-US" w:eastAsia="zh-CN" w:bidi="ar"/>
              </w:rPr>
              <w:t>技术规格、参数及要求</w:t>
            </w:r>
          </w:p>
        </w:tc>
        <w:tc>
          <w:tcPr>
            <w:tcW w:w="9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lang w:val="en-US" w:eastAsia="zh-CN" w:bidi="ar"/>
              </w:rPr>
              <w:t>品目预算(元)</w:t>
            </w:r>
          </w:p>
        </w:tc>
        <w:tc>
          <w:tcPr>
            <w:tcW w:w="9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lang w:val="en-US" w:eastAsia="zh-CN" w:bidi="ar"/>
              </w:rPr>
              <w:t>行业应用软件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lang w:val="en-US" w:eastAsia="zh-CN" w:bidi="ar"/>
              </w:rPr>
              <w:t>专业认证管理系统及教学质量保障监控一体化监测平台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lang w:val="en-US" w:eastAsia="zh-CN" w:bidi="ar"/>
              </w:rPr>
              <w:t>1(套)</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4"/>
                <w:szCs w:val="24"/>
              </w:rPr>
            </w:pPr>
            <w:r>
              <w:rPr>
                <w:rFonts w:ascii="宋体" w:hAnsi="宋体" w:eastAsia="宋体" w:cs="宋体"/>
                <w:color w:val="auto"/>
                <w:kern w:val="0"/>
                <w:sz w:val="24"/>
                <w:szCs w:val="24"/>
                <w:lang w:val="en-US" w:eastAsia="zh-CN" w:bidi="ar"/>
              </w:rPr>
              <w:t>1,200,000.00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4"/>
                <w:szCs w:val="24"/>
              </w:rPr>
            </w:pPr>
            <w:r>
              <w:rPr>
                <w:rFonts w:ascii="宋体" w:hAnsi="宋体" w:eastAsia="宋体" w:cs="宋体"/>
                <w:color w:val="auto"/>
                <w:kern w:val="0"/>
                <w:sz w:val="24"/>
                <w:szCs w:val="24"/>
                <w:lang w:val="en-US" w:eastAsia="zh-CN" w:bidi="ar"/>
              </w:rPr>
              <w:t>1,200,000.00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合同履行期限：无</w:t>
      </w:r>
    </w:p>
    <w:p>
      <w:pPr>
        <w:pStyle w:val="18"/>
        <w:spacing w:before="0" w:beforeAutospacing="0" w:after="0" w:afterAutospacing="0" w:line="510" w:lineRule="atLeast"/>
        <w:rPr>
          <w:rFonts w:hint="eastAsia" w:cs="Times New Roman"/>
          <w:b/>
          <w:bCs/>
          <w:color w:val="000000" w:themeColor="text1"/>
          <w:sz w:val="24"/>
          <w:szCs w:val="24"/>
          <w14:textFill>
            <w14:solidFill>
              <w14:schemeClr w14:val="tx1"/>
            </w14:solidFill>
          </w14:textFill>
        </w:rPr>
      </w:pPr>
      <w:r>
        <w:rPr>
          <w:rFonts w:hint="eastAsia" w:cs="Times New Roman"/>
          <w:b/>
          <w:bCs/>
          <w:color w:val="000000" w:themeColor="text1"/>
          <w:sz w:val="24"/>
          <w:szCs w:val="24"/>
          <w14:textFill>
            <w14:solidFill>
              <w14:schemeClr w14:val="tx1"/>
            </w14:solidFill>
          </w14:textFill>
        </w:rPr>
        <w:t>二、申请人的资格要求：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1.满足《中华人民共和国政府采购法》第二十二条规定;</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2.落实政府采购政策需满足的资格要求：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合同包1(咸阳师范学院专业认证管理系统及教学质量保障监控一体化监测平台建设项目)落实政府采购政策需满足的资格要求如下: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480" w:right="0" w:firstLine="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依据《中华人民共和国政府采购法》和《中华人民共和国政府采购法实施条例》的有关规定，落实政府采购政策，详见招标文件。</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1）《政府采购促进中小企业发展管理办法》（财库﹝2020﹞46 号）；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3）残疾人福利性单位应符合《财政部、民政部、中国残疾人联合会关于促进残疾人就业政府采购政策的通知》（财库[2017]141号）文件规定；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4）《财政部国家发展改革委关于印发(节能产品政府采购实施意见)的通知》(库(2004)185号)；</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5）《国务院办公厅关于建立政府强制采购节能产品制度的通知》(国办发(2007)51号)；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6）《财政部环保总局关于环境标志产品政府采购实施的意见》(财库(2006)90号)；</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7）《财政部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8）《财政部办公厅关于政府采购进口产品管理有关问题的通知》（财办库[2008]248号）；</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9）陕西省财政厅关于印发《陕西省中小企业政府采购信用融资办法》（陕财办采〔2018〕23号）。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若享受以上政策优惠的企业，提供相应声明函或产品目录。</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3.本项目的特定资格要求：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合同包1(咸阳师范学院专业认证管理系统及教学质量保障监控一体化监测平台建设项目)特定资格要求如下: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480" w:right="0" w:firstLine="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1）法定代表人授权书（附法定代表人、被授权人身份证复印件）、被授权人身份证（法定代表人直接参加投标，须提供法定代表人身份证明及身份证原件）；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2）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3）投标保证金缴纳凭证或担保机构出具的保函；</w:t>
      </w:r>
    </w:p>
    <w:p>
      <w:pPr>
        <w:pStyle w:val="18"/>
        <w:spacing w:before="0" w:beforeAutospacing="0" w:after="0" w:afterAutospacing="0" w:line="360" w:lineRule="auto"/>
        <w:rPr>
          <w:rFonts w:hint="eastAsia" w:cs="Times New Roman"/>
          <w:b/>
          <w:bCs/>
          <w:color w:val="000000" w:themeColor="text1"/>
          <w:sz w:val="24"/>
          <w:szCs w:val="24"/>
          <w14:textFill>
            <w14:solidFill>
              <w14:schemeClr w14:val="tx1"/>
            </w14:solidFill>
          </w14:textFill>
        </w:rPr>
      </w:pPr>
      <w:r>
        <w:rPr>
          <w:rFonts w:hint="eastAsia" w:cs="Times New Roman"/>
          <w:b/>
          <w:bCs/>
          <w:color w:val="000000" w:themeColor="text1"/>
          <w:sz w:val="24"/>
          <w:szCs w:val="24"/>
          <w14:textFill>
            <w14:solidFill>
              <w14:schemeClr w14:val="tx1"/>
            </w14:solidFill>
          </w14:textFill>
        </w:rPr>
        <w:t>三、获取招标文件</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时间： 2022年05月3</w:t>
      </w:r>
      <w:r>
        <w:rPr>
          <w:rFonts w:hint="eastAsia" w:ascii="微软雅黑" w:hAnsi="微软雅黑" w:eastAsia="微软雅黑" w:cs="微软雅黑"/>
          <w:i w:val="0"/>
          <w:iCs w:val="0"/>
          <w:caps w:val="0"/>
          <w:color w:val="auto"/>
          <w:spacing w:val="0"/>
          <w:sz w:val="24"/>
          <w:szCs w:val="24"/>
          <w:shd w:val="clear" w:fill="FFFFFF"/>
          <w:lang w:val="en-US" w:eastAsia="zh-CN"/>
        </w:rPr>
        <w:t>1</w:t>
      </w:r>
      <w:r>
        <w:rPr>
          <w:rFonts w:hint="eastAsia" w:ascii="微软雅黑" w:hAnsi="微软雅黑" w:eastAsia="微软雅黑" w:cs="微软雅黑"/>
          <w:i w:val="0"/>
          <w:iCs w:val="0"/>
          <w:caps w:val="0"/>
          <w:color w:val="auto"/>
          <w:spacing w:val="0"/>
          <w:sz w:val="24"/>
          <w:szCs w:val="24"/>
          <w:shd w:val="clear" w:fill="FFFFFF"/>
        </w:rPr>
        <w:t>日 至 2022年06月0</w:t>
      </w:r>
      <w:r>
        <w:rPr>
          <w:rFonts w:hint="eastAsia" w:ascii="微软雅黑" w:hAnsi="微软雅黑" w:eastAsia="微软雅黑" w:cs="微软雅黑"/>
          <w:i w:val="0"/>
          <w:iCs w:val="0"/>
          <w:caps w:val="0"/>
          <w:color w:val="auto"/>
          <w:spacing w:val="0"/>
          <w:sz w:val="24"/>
          <w:szCs w:val="24"/>
          <w:shd w:val="clear" w:fill="FFFFFF"/>
          <w:lang w:val="en-US" w:eastAsia="zh-CN"/>
        </w:rPr>
        <w:t>8</w:t>
      </w:r>
      <w:r>
        <w:rPr>
          <w:rFonts w:hint="eastAsia" w:ascii="微软雅黑" w:hAnsi="微软雅黑" w:eastAsia="微软雅黑" w:cs="微软雅黑"/>
          <w:i w:val="0"/>
          <w:iCs w:val="0"/>
          <w:caps w:val="0"/>
          <w:color w:val="auto"/>
          <w:spacing w:val="0"/>
          <w:sz w:val="24"/>
          <w:szCs w:val="24"/>
          <w:shd w:val="clear" w:fill="FFFFFF"/>
        </w:rPr>
        <w:t>日 ，每天上午 09:00:00 至 12:00:00 ，下午 14:00:00 至 17:00:00 （北京时间,法定节假日除外）</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地点：陕西省西安市雁塔区南二环东段凯森盛世一号A座4层408室</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方式：现场获取</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default"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shd w:val="clear" w:fill="FFFFFF"/>
        </w:rPr>
        <w:t>售价： 500元</w:t>
      </w:r>
      <w:r>
        <w:rPr>
          <w:rFonts w:hint="eastAsia" w:ascii="微软雅黑" w:hAnsi="微软雅黑" w:eastAsia="微软雅黑" w:cs="微软雅黑"/>
          <w:i w:val="0"/>
          <w:iCs w:val="0"/>
          <w:caps w:val="0"/>
          <w:color w:val="auto"/>
          <w:spacing w:val="0"/>
          <w:sz w:val="24"/>
          <w:szCs w:val="24"/>
          <w:shd w:val="clear" w:fill="FFFFFF"/>
          <w:lang w:val="en-US" w:eastAsia="zh-CN"/>
        </w:rPr>
        <w:t>/套</w:t>
      </w:r>
    </w:p>
    <w:p>
      <w:pPr>
        <w:pStyle w:val="18"/>
        <w:spacing w:before="0" w:beforeAutospacing="0" w:after="0" w:afterAutospacing="0" w:line="360" w:lineRule="auto"/>
        <w:rPr>
          <w:rFonts w:hint="eastAsia" w:cs="Times New Roman"/>
          <w:b/>
          <w:bCs/>
          <w:color w:val="000000" w:themeColor="text1"/>
          <w:sz w:val="24"/>
          <w:szCs w:val="24"/>
          <w14:textFill>
            <w14:solidFill>
              <w14:schemeClr w14:val="tx1"/>
            </w14:solidFill>
          </w14:textFill>
        </w:rPr>
      </w:pPr>
      <w:r>
        <w:rPr>
          <w:rFonts w:hint="eastAsia" w:cs="Times New Roman"/>
          <w:b/>
          <w:bCs/>
          <w:color w:val="000000" w:themeColor="text1"/>
          <w:sz w:val="24"/>
          <w:szCs w:val="24"/>
          <w14:textFill>
            <w14:solidFill>
              <w14:schemeClr w14:val="tx1"/>
            </w14:solidFill>
          </w14:textFill>
        </w:rPr>
        <w:t>四、提交投标文件截止时间、开标时间和地点</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2022年06月21日 14时45分00秒 （北京时间）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地点：陕西省西安市雁塔区南二环东段凯森盛世一号A座4层408室</w:t>
      </w:r>
    </w:p>
    <w:p>
      <w:pPr>
        <w:pStyle w:val="18"/>
        <w:spacing w:before="0" w:beforeAutospacing="0" w:after="0" w:afterAutospacing="0" w:line="360" w:lineRule="auto"/>
        <w:rPr>
          <w:rFonts w:hint="eastAsia" w:cs="Times New Roman"/>
          <w:b/>
          <w:bCs/>
          <w:color w:val="000000" w:themeColor="text1"/>
          <w:sz w:val="24"/>
          <w:szCs w:val="24"/>
          <w14:textFill>
            <w14:solidFill>
              <w14:schemeClr w14:val="tx1"/>
            </w14:solidFill>
          </w14:textFill>
        </w:rPr>
      </w:pPr>
      <w:r>
        <w:rPr>
          <w:rFonts w:hint="eastAsia" w:cs="Times New Roman"/>
          <w:b/>
          <w:bCs/>
          <w:color w:val="000000" w:themeColor="text1"/>
          <w:sz w:val="24"/>
          <w:szCs w:val="24"/>
          <w14:textFill>
            <w14:solidFill>
              <w14:schemeClr w14:val="tx1"/>
            </w14:solidFill>
          </w14:textFill>
        </w:rPr>
        <w:t>五、公告期限</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自本公告发布之日起5个工作日。</w:t>
      </w:r>
    </w:p>
    <w:p>
      <w:pPr>
        <w:pStyle w:val="18"/>
        <w:spacing w:before="0" w:beforeAutospacing="0" w:after="0" w:afterAutospacing="0" w:line="360" w:lineRule="auto"/>
        <w:rPr>
          <w:rFonts w:hint="eastAsia" w:cs="Times New Roman"/>
          <w:b/>
          <w:bCs/>
          <w:color w:val="000000" w:themeColor="text1"/>
          <w:sz w:val="24"/>
          <w:szCs w:val="24"/>
          <w14:textFill>
            <w14:solidFill>
              <w14:schemeClr w14:val="tx1"/>
            </w14:solidFill>
          </w14:textFill>
        </w:rPr>
      </w:pPr>
      <w:r>
        <w:rPr>
          <w:rFonts w:hint="eastAsia" w:cs="Times New Roman"/>
          <w:b/>
          <w:bCs/>
          <w:color w:val="000000" w:themeColor="text1"/>
          <w:sz w:val="24"/>
          <w:szCs w:val="24"/>
          <w14:textFill>
            <w14:solidFill>
              <w14:schemeClr w14:val="tx1"/>
            </w14:solidFill>
          </w14:textFill>
        </w:rPr>
        <w:t>六、其他补充事宜</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本项目开标地点：陕西省西安市雁塔区南二环东段凯森盛世一号A座4层408室会议室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360" w:lineRule="auto"/>
        <w:ind w:left="0" w:right="0"/>
        <w:jc w:val="left"/>
        <w:rPr>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注：（1）时间：上午09:00-12:00，下午14:00-17:00。（2）售价：500元/套，售后不退。（3）线上购买：在招标文件获取时间内通过电子邮箱发送电子版报名资料的方式获取招标文件（单位介绍信及加盖投标人公章的经办人身份证描件件发送至1406023669@qq.com邮箱，请备注联系人及电话、邮箱）；待报名资料审核通过后，我司通过邮箱告知银行账号等信息，审核通过后供应商将文件费付款凭证发送到1406023669@qq.com邮箱，我司收到付款凭证后即发出电子版招标文件。（4）现场购买：携带以上资料现场购买。</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请供应商按照陕西省财政厅关于政府采购供应商注册登记有关事项的通知中的要求，通过陕西省政府采购网（http://www.ccgp-shaanxi.gov.cn/）注册登记加入陕西省政府采购供应商库。</w:t>
      </w:r>
    </w:p>
    <w:p>
      <w:pPr>
        <w:pStyle w:val="18"/>
        <w:spacing w:before="0" w:beforeAutospacing="0" w:after="0" w:afterAutospacing="0" w:line="360" w:lineRule="auto"/>
        <w:rPr>
          <w:rFonts w:hint="eastAsia" w:cs="Times New Roman"/>
          <w:b/>
          <w:bCs/>
          <w:color w:val="000000" w:themeColor="text1"/>
          <w:sz w:val="24"/>
          <w:szCs w:val="24"/>
          <w14:textFill>
            <w14:solidFill>
              <w14:schemeClr w14:val="tx1"/>
            </w14:solidFill>
          </w14:textFill>
        </w:rPr>
      </w:pPr>
      <w:r>
        <w:rPr>
          <w:rFonts w:hint="eastAsia" w:cs="Times New Roman"/>
          <w:b/>
          <w:bCs/>
          <w:color w:val="000000" w:themeColor="text1"/>
          <w:sz w:val="24"/>
          <w:szCs w:val="24"/>
          <w14:textFill>
            <w14:solidFill>
              <w14:schemeClr w14:val="tx1"/>
            </w14:solidFill>
          </w14:textFill>
        </w:rPr>
        <w:t>七、对本次招标提出询问，请按以下方式联系。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jc w:val="left"/>
        <w:rPr>
          <w:b w:val="0"/>
          <w:bCs w:val="0"/>
          <w:color w:val="auto"/>
          <w:sz w:val="24"/>
          <w:szCs w:val="24"/>
        </w:rPr>
      </w:pPr>
      <w:r>
        <w:rPr>
          <w:b w:val="0"/>
          <w:bCs w:val="0"/>
          <w:i w:val="0"/>
          <w:iCs w:val="0"/>
          <w:caps w:val="0"/>
          <w:color w:val="auto"/>
          <w:spacing w:val="0"/>
          <w:sz w:val="24"/>
          <w:szCs w:val="24"/>
          <w:shd w:val="clear" w:fill="FFFFFF"/>
        </w:rPr>
        <w:t>1.采购人信息</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名称：咸阳师范学院</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地址：咸阳市文林路</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联系方式：029-33720069</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jc w:val="left"/>
        <w:rPr>
          <w:b w:val="0"/>
          <w:bCs w:val="0"/>
          <w:color w:val="auto"/>
          <w:sz w:val="24"/>
          <w:szCs w:val="24"/>
        </w:rPr>
      </w:pPr>
      <w:r>
        <w:rPr>
          <w:b w:val="0"/>
          <w:bCs w:val="0"/>
          <w:i w:val="0"/>
          <w:iCs w:val="0"/>
          <w:caps w:val="0"/>
          <w:color w:val="auto"/>
          <w:spacing w:val="0"/>
          <w:sz w:val="24"/>
          <w:szCs w:val="24"/>
          <w:shd w:val="clear" w:fill="FFFFFF"/>
        </w:rPr>
        <w:t>2.采购代理机构信息</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名称：陕西正鸿招标有限公司</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地址：陕西省西安市雁塔区南二环凯森盛世一号A座4层408室</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联系方式：029-89338755/81511576转804</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jc w:val="left"/>
        <w:rPr>
          <w:b w:val="0"/>
          <w:bCs w:val="0"/>
          <w:color w:val="auto"/>
          <w:sz w:val="24"/>
          <w:szCs w:val="24"/>
        </w:rPr>
      </w:pPr>
      <w:r>
        <w:rPr>
          <w:b w:val="0"/>
          <w:bCs w:val="0"/>
          <w:i w:val="0"/>
          <w:iCs w:val="0"/>
          <w:caps w:val="0"/>
          <w:color w:val="auto"/>
          <w:spacing w:val="0"/>
          <w:sz w:val="24"/>
          <w:szCs w:val="24"/>
          <w:shd w:val="clear" w:fill="FFFFFF"/>
        </w:rPr>
        <w:t>3.项目联系方式</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项目联系人：王倩倩、魏国力</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电话：029-89338755/81511576转804</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right"/>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陕西正鸿招标有限公司</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righ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2022年0</w:t>
      </w:r>
      <w:r>
        <w:rPr>
          <w:rFonts w:hint="eastAsia" w:ascii="微软雅黑" w:hAnsi="微软雅黑" w:eastAsia="微软雅黑" w:cs="微软雅黑"/>
          <w:i w:val="0"/>
          <w:iCs w:val="0"/>
          <w:caps w:val="0"/>
          <w:color w:val="auto"/>
          <w:spacing w:val="0"/>
          <w:sz w:val="24"/>
          <w:szCs w:val="24"/>
          <w:shd w:val="clear" w:fill="FFFFFF"/>
          <w:lang w:val="en-US" w:eastAsia="zh-CN"/>
        </w:rPr>
        <w:t>5</w:t>
      </w:r>
      <w:r>
        <w:rPr>
          <w:rFonts w:hint="eastAsia" w:ascii="微软雅黑" w:hAnsi="微软雅黑" w:eastAsia="微软雅黑" w:cs="微软雅黑"/>
          <w:i w:val="0"/>
          <w:iCs w:val="0"/>
          <w:caps w:val="0"/>
          <w:color w:val="auto"/>
          <w:spacing w:val="0"/>
          <w:sz w:val="24"/>
          <w:szCs w:val="24"/>
          <w:shd w:val="clear" w:fill="FFFFFF"/>
        </w:rPr>
        <w:t>月</w:t>
      </w:r>
      <w:r>
        <w:rPr>
          <w:rFonts w:hint="eastAsia" w:ascii="微软雅黑" w:hAnsi="微软雅黑" w:eastAsia="微软雅黑" w:cs="微软雅黑"/>
          <w:i w:val="0"/>
          <w:iCs w:val="0"/>
          <w:caps w:val="0"/>
          <w:color w:val="auto"/>
          <w:spacing w:val="0"/>
          <w:sz w:val="24"/>
          <w:szCs w:val="24"/>
          <w:shd w:val="clear" w:fill="FFFFFF"/>
          <w:lang w:val="en-US" w:eastAsia="zh-CN"/>
        </w:rPr>
        <w:t>30</w:t>
      </w:r>
      <w:r>
        <w:rPr>
          <w:rFonts w:hint="eastAsia" w:ascii="微软雅黑" w:hAnsi="微软雅黑" w:eastAsia="微软雅黑" w:cs="微软雅黑"/>
          <w:i w:val="0"/>
          <w:iCs w:val="0"/>
          <w:caps w:val="0"/>
          <w:color w:val="auto"/>
          <w:spacing w:val="0"/>
          <w:sz w:val="24"/>
          <w:szCs w:val="24"/>
          <w:shd w:val="clear" w:fill="FFFFFF"/>
        </w:rPr>
        <w:t>日</w:t>
      </w:r>
    </w:p>
    <w:p>
      <w:pPr>
        <w:jc w:val="center"/>
        <w:rPr>
          <w:rFonts w:hAnsi="宋体" w:cs="宋体"/>
          <w:color w:val="000000" w:themeColor="text1"/>
          <w14:textFill>
            <w14:solidFill>
              <w14:schemeClr w14:val="tx1"/>
            </w14:solidFill>
          </w14:textFill>
        </w:rPr>
      </w:pPr>
    </w:p>
    <w:p>
      <w:pPr>
        <w:rPr>
          <w:rStyle w:val="25"/>
          <w:rFonts w:hint="eastAsia"/>
          <w:b/>
          <w:color w:val="000000" w:themeColor="text1"/>
          <w:sz w:val="36"/>
          <w:szCs w:val="36"/>
          <w14:textFill>
            <w14:solidFill>
              <w14:schemeClr w14:val="tx1"/>
            </w14:solidFill>
          </w14:textFill>
        </w:rPr>
      </w:pPr>
      <w:bookmarkStart w:id="13" w:name="_Toc2929"/>
      <w:bookmarkStart w:id="14" w:name="_Toc389582035"/>
      <w:bookmarkStart w:id="15" w:name="_Toc426457692"/>
      <w:bookmarkStart w:id="16" w:name="_Toc2793"/>
      <w:bookmarkStart w:id="17" w:name="_Toc18964"/>
      <w:bookmarkStart w:id="18" w:name="_Toc30304"/>
      <w:r>
        <w:rPr>
          <w:rStyle w:val="25"/>
          <w:rFonts w:hint="eastAsia"/>
          <w:b/>
          <w:color w:val="000000" w:themeColor="text1"/>
          <w:sz w:val="36"/>
          <w:szCs w:val="36"/>
          <w14:textFill>
            <w14:solidFill>
              <w14:schemeClr w14:val="tx1"/>
            </w14:solidFill>
          </w14:textFill>
        </w:rPr>
        <w:br w:type="page"/>
      </w:r>
    </w:p>
    <w:p>
      <w:pPr>
        <w:pStyle w:val="3"/>
        <w:spacing w:before="340"/>
        <w:rPr>
          <w:rStyle w:val="25"/>
          <w:b/>
          <w:color w:val="000000" w:themeColor="text1"/>
          <w:sz w:val="36"/>
          <w:szCs w:val="36"/>
          <w14:textFill>
            <w14:solidFill>
              <w14:schemeClr w14:val="tx1"/>
            </w14:solidFill>
          </w14:textFill>
        </w:rPr>
      </w:pPr>
      <w:r>
        <w:rPr>
          <w:rStyle w:val="25"/>
          <w:rFonts w:hint="eastAsia"/>
          <w:b/>
          <w:color w:val="000000" w:themeColor="text1"/>
          <w:sz w:val="36"/>
          <w:szCs w:val="36"/>
          <w14:textFill>
            <w14:solidFill>
              <w14:schemeClr w14:val="tx1"/>
            </w14:solidFill>
          </w14:textFill>
        </w:rPr>
        <w:t xml:space="preserve">第二章  </w:t>
      </w:r>
      <w:bookmarkEnd w:id="13"/>
      <w:bookmarkEnd w:id="14"/>
      <w:r>
        <w:rPr>
          <w:rStyle w:val="25"/>
          <w:rFonts w:hint="eastAsia"/>
          <w:b/>
          <w:color w:val="000000" w:themeColor="text1"/>
          <w:sz w:val="36"/>
          <w:szCs w:val="36"/>
          <w14:textFill>
            <w14:solidFill>
              <w14:schemeClr w14:val="tx1"/>
            </w14:solidFill>
          </w14:textFill>
        </w:rPr>
        <w:t>投标人须知</w:t>
      </w:r>
      <w:bookmarkEnd w:id="15"/>
      <w:bookmarkEnd w:id="16"/>
    </w:p>
    <w:bookmarkEnd w:id="17"/>
    <w:bookmarkEnd w:id="18"/>
    <w:p>
      <w:pPr>
        <w:pStyle w:val="4"/>
        <w:rPr>
          <w:color w:val="000000" w:themeColor="text1"/>
          <w14:textFill>
            <w14:solidFill>
              <w14:schemeClr w14:val="tx1"/>
            </w14:solidFill>
          </w14:textFill>
        </w:rPr>
      </w:pPr>
      <w:bookmarkStart w:id="19" w:name="_Toc30222"/>
      <w:bookmarkStart w:id="20" w:name="_Toc426457693"/>
      <w:bookmarkStart w:id="21" w:name="_Toc7400"/>
      <w:bookmarkStart w:id="22" w:name="_Toc11975"/>
      <w:bookmarkStart w:id="23" w:name="_Toc13421"/>
      <w:bookmarkStart w:id="24" w:name="_Toc23108"/>
      <w:r>
        <w:rPr>
          <w:rFonts w:hint="eastAsia"/>
          <w:color w:val="000000" w:themeColor="text1"/>
          <w14:textFill>
            <w14:solidFill>
              <w14:schemeClr w14:val="tx1"/>
            </w14:solidFill>
          </w14:textFill>
        </w:rPr>
        <w:t>投标人须知前附表</w:t>
      </w:r>
      <w:bookmarkEnd w:id="19"/>
      <w:bookmarkEnd w:id="20"/>
      <w:bookmarkEnd w:id="21"/>
      <w:bookmarkEnd w:id="22"/>
      <w:bookmarkEnd w:id="23"/>
      <w:bookmarkEnd w:id="24"/>
    </w:p>
    <w:tbl>
      <w:tblPr>
        <w:tblStyle w:val="19"/>
        <w:tblW w:w="93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1826"/>
        <w:gridCol w:w="66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blHeader/>
          <w:jc w:val="center"/>
        </w:trPr>
        <w:tc>
          <w:tcPr>
            <w:tcW w:w="840" w:type="dxa"/>
            <w:vAlign w:val="center"/>
          </w:tcPr>
          <w:p>
            <w:pPr>
              <w:pStyle w:val="29"/>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条款号</w:t>
            </w:r>
          </w:p>
        </w:tc>
        <w:tc>
          <w:tcPr>
            <w:tcW w:w="1826" w:type="dxa"/>
            <w:vAlign w:val="center"/>
          </w:tcPr>
          <w:p>
            <w:pPr>
              <w:pStyle w:val="29"/>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条款内容</w:t>
            </w:r>
          </w:p>
        </w:tc>
        <w:tc>
          <w:tcPr>
            <w:tcW w:w="6677" w:type="dxa"/>
            <w:vAlign w:val="center"/>
          </w:tcPr>
          <w:p>
            <w:pPr>
              <w:pStyle w:val="29"/>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2"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6677" w:type="dxa"/>
          </w:tcPr>
          <w:p>
            <w:pPr>
              <w:pStyle w:val="29"/>
              <w:spacing w:line="360" w:lineRule="auto"/>
              <w:jc w:val="left"/>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咸阳师范学院专业认证管理系统及教学质量保障监控一体化监测平台建设项目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采购人</w:t>
            </w:r>
          </w:p>
        </w:tc>
        <w:tc>
          <w:tcPr>
            <w:tcW w:w="6677" w:type="dxa"/>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名称：咸阳师范学院</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地址：咸阳市文林路</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联系人：乔老师</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联系方式：029-33720069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采购代理机构</w:t>
            </w:r>
          </w:p>
        </w:tc>
        <w:tc>
          <w:tcPr>
            <w:tcW w:w="6677" w:type="dxa"/>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名称：陕西正鸿招标有限公司</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地址：陕西省西安市雁塔区南二环东段凯森盛世一号A座4层408室</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联系人：王倩倩、魏国力</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联系方式：029-89338755/81511576转804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监督机构</w:t>
            </w:r>
          </w:p>
        </w:tc>
        <w:tc>
          <w:tcPr>
            <w:tcW w:w="6677" w:type="dxa"/>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咸阳师范学院招投标办公室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8"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采购代理机构答疑的时间</w:t>
            </w:r>
          </w:p>
        </w:tc>
        <w:tc>
          <w:tcPr>
            <w:tcW w:w="6677" w:type="dxa"/>
            <w:vAlign w:val="center"/>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对于投标人在规定时间内依法提出的询问，采购代理机构将在三个工作日内答复询问。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公告发布</w:t>
            </w:r>
          </w:p>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媒介</w:t>
            </w:r>
          </w:p>
        </w:tc>
        <w:tc>
          <w:tcPr>
            <w:tcW w:w="6677" w:type="dxa"/>
            <w:vAlign w:val="center"/>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陕西省政府采购网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1"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资金性质</w:t>
            </w:r>
          </w:p>
        </w:tc>
        <w:tc>
          <w:tcPr>
            <w:tcW w:w="6677" w:type="dxa"/>
            <w:vAlign w:val="center"/>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财政资金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1"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预算金额</w:t>
            </w:r>
          </w:p>
        </w:tc>
        <w:tc>
          <w:tcPr>
            <w:tcW w:w="6677" w:type="dxa"/>
            <w:vAlign w:val="center"/>
          </w:tcPr>
          <w:p>
            <w:pPr>
              <w:pStyle w:val="18"/>
              <w:spacing w:before="0" w:beforeAutospacing="0" w:after="0" w:afterAutospacing="0" w:line="510" w:lineRule="atLeast"/>
              <w:rPr>
                <w:rFonts w:cs="宋体"/>
                <w:color w:val="000000" w:themeColor="text1"/>
                <w14:textFill>
                  <w14:solidFill>
                    <w14:schemeClr w14:val="tx1"/>
                  </w14:solidFill>
                </w14:textFill>
              </w:rPr>
            </w:pPr>
            <w:r>
              <w:rPr>
                <w:rFonts w:hint="eastAsia"/>
                <w:color w:val="000000" w:themeColor="text1"/>
                <w14:textFill>
                  <w14:solidFill>
                    <w14:schemeClr w14:val="tx1"/>
                  </w14:solidFill>
                </w14:textFill>
              </w:rPr>
              <w:t>1,200,000.00元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采购内容</w:t>
            </w:r>
          </w:p>
        </w:tc>
        <w:tc>
          <w:tcPr>
            <w:tcW w:w="6677" w:type="dxa"/>
            <w:vAlign w:val="center"/>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咸阳师范学院专业认证管理系统及教学质量保障监控一体化监测平台建设项目，详见</w:t>
            </w:r>
            <w:r>
              <w:rPr>
                <w:rFonts w:hint="eastAsia"/>
              </w:rPr>
              <w:t>第四章“采购内容及技术要求”</w:t>
            </w:r>
            <w:r>
              <w:rPr>
                <w:rFonts w:hint="eastAsia"/>
                <w:color w:val="000000" w:themeColor="text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4" w:hRule="atLeast"/>
          <w:jc w:val="center"/>
        </w:trPr>
        <w:tc>
          <w:tcPr>
            <w:tcW w:w="840" w:type="dxa"/>
            <w:vAlign w:val="center"/>
          </w:tcPr>
          <w:p>
            <w:pPr>
              <w:pStyle w:val="29"/>
              <w:spacing w:line="360" w:lineRule="auto"/>
              <w:ind w:firstLine="240" w:firstLineChars="1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供货地点</w:t>
            </w:r>
          </w:p>
        </w:tc>
        <w:tc>
          <w:tcPr>
            <w:tcW w:w="6677" w:type="dxa"/>
            <w:vAlign w:val="center"/>
          </w:tcPr>
          <w:p>
            <w:pPr>
              <w:pStyle w:val="29"/>
              <w:spacing w:line="360" w:lineRule="auto"/>
              <w:jc w:val="left"/>
              <w:rPr>
                <w:color w:val="000000" w:themeColor="text1"/>
                <w14:textFill>
                  <w14:solidFill>
                    <w14:schemeClr w14:val="tx1"/>
                  </w14:solidFill>
                </w14:textFill>
              </w:rPr>
            </w:pPr>
            <w:r>
              <w:rPr>
                <w:rFonts w:hint="eastAsia"/>
              </w:rPr>
              <w:t>咸阳师范学院指定地点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4"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交付期</w:t>
            </w:r>
          </w:p>
        </w:tc>
        <w:tc>
          <w:tcPr>
            <w:tcW w:w="6677" w:type="dxa"/>
            <w:vAlign w:val="center"/>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合同签订后10个工作日内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1"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质保期</w:t>
            </w:r>
          </w:p>
        </w:tc>
        <w:tc>
          <w:tcPr>
            <w:tcW w:w="6677" w:type="dxa"/>
            <w:vAlign w:val="center"/>
          </w:tcPr>
          <w:p>
            <w:p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系统终身免费升级。免费质保期不少于三年，在质保期内免费升级并提供技术支持及服务。三年后服务费双方商议确定。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付款方式</w:t>
            </w:r>
          </w:p>
        </w:tc>
        <w:tc>
          <w:tcPr>
            <w:tcW w:w="6677" w:type="dxa"/>
            <w:vAlign w:val="center"/>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合同签订前，乙方支付甲方合同总金额的5%作为履约保证金，乙方安排技术人员完成系统平台的安装与调试，项目实施完毕，甲方组织终验合格后支付合同总金额的100%，同时之前支付的履约保证金转为质保金，项目质保期满后甲方退还乙方质保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0"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售后服务</w:t>
            </w:r>
          </w:p>
        </w:tc>
        <w:tc>
          <w:tcPr>
            <w:tcW w:w="6677" w:type="dxa"/>
            <w:vAlign w:val="center"/>
          </w:tcPr>
          <w:p>
            <w:p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提供良好的技术培训，包括各种类型培训与个性化指导，使学校老师能正确掌握系统的使用功能，遇到问题公司能快速响应，一般问题须在24小时内解决，特殊或紧急情况中标人的技术服务人员必须在3小时内到达学校，及时解决学校在项目实施及系统使用过程中遇到的各类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0"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服务期</w:t>
            </w:r>
          </w:p>
        </w:tc>
        <w:tc>
          <w:tcPr>
            <w:tcW w:w="6677" w:type="dxa"/>
            <w:vAlign w:val="center"/>
          </w:tcPr>
          <w:p>
            <w:p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自合同签订之日起3年，永久免费升级。三年后服务费双方商议确定。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0"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履约保证金</w:t>
            </w:r>
          </w:p>
        </w:tc>
        <w:tc>
          <w:tcPr>
            <w:tcW w:w="6677" w:type="dxa"/>
            <w:vAlign w:val="center"/>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合同签订后，乙方支付甲方合同总金额的5%作为履约保证金，项目质保期满后甲方退还乙方质保金。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是否允许备选方案</w:t>
            </w:r>
          </w:p>
        </w:tc>
        <w:tc>
          <w:tcPr>
            <w:tcW w:w="6677" w:type="dxa"/>
            <w:vAlign w:val="center"/>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本次投标的最小单元</w:t>
            </w:r>
          </w:p>
        </w:tc>
        <w:tc>
          <w:tcPr>
            <w:tcW w:w="6677" w:type="dxa"/>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本次投标的最小单元为“项目”。任何不完全的投标将按照无效投标处理。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19</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投标报价</w:t>
            </w:r>
          </w:p>
        </w:tc>
        <w:tc>
          <w:tcPr>
            <w:tcW w:w="6677" w:type="dxa"/>
          </w:tcPr>
          <w:p>
            <w:pPr>
              <w:pStyle w:val="29"/>
              <w:spacing w:line="360" w:lineRule="auto"/>
              <w:jc w:val="left"/>
            </w:pPr>
            <w:r>
              <w:rPr>
                <w:rFonts w:hint="eastAsia"/>
              </w:rPr>
              <w:t>投标人应在投标报价表中标明完成本次招标所要求的货物、服务且验收合格的所有费用，包括但不限于产品费（含相关配件、附件、安装材料）、安装调试费、运杂费（含保险）、仓储保管费、技术培训费、检测费、招标代理服务费、税金等其他一切相关费用。投标人所报的价格应考虑到可能发生的所有与完成本项目相关服务及履行合同义务有关的一切费用，任何有选择的报价将不予接受，按无效投标处理。</w:t>
            </w:r>
          </w:p>
          <w:p>
            <w:pPr>
              <w:pStyle w:val="29"/>
              <w:spacing w:line="360" w:lineRule="auto"/>
              <w:jc w:val="left"/>
            </w:pPr>
            <w:r>
              <w:rPr>
                <w:rFonts w:hint="eastAsia"/>
                <w:color w:val="000000" w:themeColor="text1"/>
                <w14:textFill>
                  <w14:solidFill>
                    <w14:schemeClr w14:val="tx1"/>
                  </w14:solidFill>
                </w14:textFill>
              </w:rPr>
              <w:t>软件安装调试所需要的人工、工具等均由中标人负责提供，所需费用包含在投标总报价内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1826" w:type="dxa"/>
            <w:vAlign w:val="center"/>
          </w:tcPr>
          <w:p>
            <w:pPr>
              <w:pStyle w:val="29"/>
              <w:spacing w:line="360" w:lineRule="auto"/>
              <w:rPr>
                <w:color w:val="000000" w:themeColor="text1"/>
                <w14:textFill>
                  <w14:solidFill>
                    <w14:schemeClr w14:val="tx1"/>
                  </w14:solidFill>
                </w14:textFill>
              </w:rPr>
            </w:pPr>
          </w:p>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投标人资格证明文件</w:t>
            </w:r>
          </w:p>
        </w:tc>
        <w:tc>
          <w:tcPr>
            <w:tcW w:w="6677" w:type="dxa"/>
          </w:tcPr>
          <w:p>
            <w:pPr>
              <w:pStyle w:val="29"/>
              <w:spacing w:line="360" w:lineRule="auto"/>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（1）基本资格条件：</w:t>
            </w:r>
            <w:r>
              <w:rPr>
                <w:rFonts w:hint="eastAsia"/>
                <w:color w:val="000000" w:themeColor="text1"/>
                <w14:textFill>
                  <w14:solidFill>
                    <w14:schemeClr w14:val="tx1"/>
                  </w14:solidFill>
                </w14:textFill>
              </w:rPr>
              <w:t>符合《中华人民共和国政府采购法》第二十二条的规定，并提供以下资料；</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1）提供合格有效的法人或者其他组织的营业执照等证明文件，自然人的身份证明；投标人是法人或其他组织的应提供营业执照等证明文件，投标人是自然人的应提供有效的自然人身份证明。</w:t>
            </w:r>
          </w:p>
          <w:p>
            <w:pPr>
              <w:pStyle w:val="11"/>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2）提供</w:t>
            </w:r>
            <w:r>
              <w:rPr>
                <w:rFonts w:hint="eastAsia"/>
              </w:rPr>
              <w:t>2020或2021年度</w:t>
            </w:r>
            <w:r>
              <w:rPr>
                <w:rFonts w:hint="eastAsia" w:hAnsi="宋体" w:cs="宋体"/>
                <w:color w:val="000000" w:themeColor="text1"/>
                <w14:textFill>
                  <w14:solidFill>
                    <w14:schemeClr w14:val="tx1"/>
                  </w14:solidFill>
                </w14:textFill>
              </w:rPr>
              <w:t>经审计的财务报告（成立时间至提交投标文件截止时间不足一年的可提供成立后任意时段的资产负债表），或其基本存款账户开户银行出具的资信证明及基本存款账户开户许可证（基本账户信息表）；</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3）提供具有履行合同所必需的设备和专业技术能力的承诺函； </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4）提供投标截止日前一年内已缴纳的至少一个月的纳税证明或完税证明，依法免税的单位应提供相关证明材料；</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5）提供投标截止日前一年内已缴存的至少一个月的社会保障资金缴存单据或社保机构开具的社会保险参保缴费情况证明，依法不需要缴纳社会保障资金的单位应提供相关证明材料；</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6）参加政府采购活动前3年内，在经营活动中没有重大违法记录的书面声明； </w:t>
            </w:r>
          </w:p>
          <w:p>
            <w:pPr>
              <w:pStyle w:val="29"/>
              <w:spacing w:line="360" w:lineRule="auto"/>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（2）特定资格条件：</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1）法定代表人授权书（附法定代表人、被授权人身份证复印件）、被授权人身份证（法定代表人直接参加投标，须提供法定代表人身份证明及身份证原件）； </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3）投标保证金缴纳凭证或担保机构出具的保函；</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说明：本项目不接受联合体参与投标。</w:t>
            </w:r>
          </w:p>
          <w:p>
            <w:pPr>
              <w:pStyle w:val="29"/>
              <w:spacing w:line="360" w:lineRule="auto"/>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注：以上为必备资格条件，缺一项或某项达不到要求，按无效文件处理。资格审查时以投标文件中所附证明材料（信用中国和中国政府采购网信用记录可不提供，由代理机构查询并留存）为准，原件备查。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21</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投标保证金</w:t>
            </w:r>
          </w:p>
        </w:tc>
        <w:tc>
          <w:tcPr>
            <w:tcW w:w="6677" w:type="dxa"/>
          </w:tcPr>
          <w:p>
            <w:pPr>
              <w:pStyle w:val="29"/>
              <w:bidi w:val="0"/>
              <w:jc w:val="left"/>
              <w:rPr>
                <w:rFonts w:hint="eastAsia" w:ascii="宋体" w:hAnsi="宋体" w:eastAsia="宋体" w:cs="宋体"/>
                <w:color w:val="FF0000"/>
                <w:lang w:val="en-US" w:eastAsia="zh-CN"/>
              </w:rPr>
            </w:pPr>
            <w:r>
              <w:rPr>
                <w:rFonts w:hint="eastAsia" w:ascii="宋体" w:hAnsi="宋体" w:eastAsia="宋体" w:cs="宋体"/>
                <w:b/>
                <w:bCs/>
                <w:color w:val="auto"/>
                <w:highlight w:val="none"/>
              </w:rPr>
              <w:t>保证金</w:t>
            </w:r>
            <w:r>
              <w:rPr>
                <w:rFonts w:hint="eastAsia" w:ascii="宋体" w:hAnsi="宋体" w:eastAsia="宋体" w:cs="宋体"/>
                <w:b/>
                <w:bCs/>
                <w:color w:val="auto"/>
                <w:highlight w:val="none"/>
                <w:lang w:val="en-US" w:eastAsia="zh-CN"/>
              </w:rPr>
              <w:t>金额：</w:t>
            </w:r>
            <w:r>
              <w:rPr>
                <w:rFonts w:hint="eastAsia" w:ascii="宋体" w:hAnsi="宋体" w:eastAsia="宋体" w:cs="宋体"/>
                <w:color w:val="auto"/>
                <w:lang w:val="en-US" w:eastAsia="zh-CN"/>
              </w:rPr>
              <w:t>人民币贰万肆仟元整（￥24000.00元）</w:t>
            </w:r>
          </w:p>
          <w:p>
            <w:pPr>
              <w:pStyle w:val="29"/>
              <w:bidi w:val="0"/>
              <w:jc w:val="left"/>
              <w:rPr>
                <w:rFonts w:hint="eastAsia" w:ascii="宋体" w:hAnsi="宋体" w:eastAsia="宋体" w:cs="宋体"/>
                <w:color w:val="auto"/>
                <w:highlight w:val="none"/>
              </w:rPr>
            </w:pPr>
            <w:r>
              <w:rPr>
                <w:rFonts w:hint="eastAsia" w:ascii="宋体" w:hAnsi="宋体" w:eastAsia="宋体" w:cs="宋体"/>
                <w:b/>
                <w:bCs/>
                <w:color w:val="auto"/>
                <w:highlight w:val="none"/>
              </w:rPr>
              <w:t>交纳方式：</w:t>
            </w:r>
            <w:r>
              <w:rPr>
                <w:rFonts w:hint="eastAsia" w:ascii="宋体" w:hAnsi="宋体" w:eastAsia="宋体" w:cs="宋体"/>
                <w:color w:val="auto"/>
                <w:highlight w:val="none"/>
                <w:lang w:eastAsia="zh-CN"/>
              </w:rPr>
              <w:t>谈判</w:t>
            </w:r>
            <w:r>
              <w:rPr>
                <w:rFonts w:hint="eastAsia" w:ascii="宋体" w:hAnsi="宋体" w:eastAsia="宋体" w:cs="宋体"/>
                <w:color w:val="auto"/>
                <w:highlight w:val="none"/>
              </w:rPr>
              <w:t>响应保证金应当采用支票、汇票、本票、银行转账、电汇或者金融机构、担保机构出具的保函等非现金形式交纳。</w:t>
            </w:r>
          </w:p>
          <w:p>
            <w:pPr>
              <w:pStyle w:val="29"/>
              <w:jc w:val="left"/>
              <w:rPr>
                <w:rFonts w:hint="eastAsia" w:ascii="宋体" w:hAnsi="宋体" w:eastAsia="宋体" w:cs="宋体"/>
                <w:color w:val="auto"/>
                <w:highlight w:val="none"/>
              </w:rPr>
            </w:pPr>
            <w:r>
              <w:rPr>
                <w:rFonts w:hint="eastAsia" w:ascii="宋体" w:hAnsi="宋体" w:eastAsia="宋体" w:cs="宋体"/>
                <w:b/>
                <w:bCs/>
                <w:color w:val="auto"/>
                <w:highlight w:val="none"/>
              </w:rPr>
              <w:t>有效期</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lang w:val="en-US" w:eastAsia="zh-CN"/>
              </w:rPr>
              <w:t>同</w:t>
            </w:r>
            <w:r>
              <w:rPr>
                <w:rFonts w:hint="eastAsia" w:ascii="宋体" w:hAnsi="宋体" w:eastAsia="宋体" w:cs="宋体"/>
                <w:color w:val="auto"/>
                <w:highlight w:val="none"/>
                <w:lang w:eastAsia="zh-CN"/>
              </w:rPr>
              <w:t>谈判响应有效期</w:t>
            </w:r>
            <w:r>
              <w:rPr>
                <w:rFonts w:hint="eastAsia" w:ascii="宋体" w:hAnsi="宋体" w:eastAsia="宋体" w:cs="宋体"/>
                <w:color w:val="auto"/>
                <w:highlight w:val="none"/>
              </w:rPr>
              <w:t>。</w:t>
            </w:r>
          </w:p>
          <w:p>
            <w:pPr>
              <w:pStyle w:val="29"/>
              <w:jc w:val="left"/>
              <w:rPr>
                <w:rFonts w:hint="eastAsia" w:ascii="宋体" w:hAnsi="宋体" w:eastAsia="宋体" w:cs="宋体"/>
                <w:color w:val="auto"/>
                <w:highlight w:val="none"/>
              </w:rPr>
            </w:pPr>
            <w:r>
              <w:rPr>
                <w:rFonts w:hint="eastAsia" w:ascii="宋体" w:hAnsi="宋体" w:eastAsia="宋体" w:cs="宋体"/>
                <w:b/>
                <w:bCs/>
                <w:color w:val="auto"/>
                <w:highlight w:val="none"/>
              </w:rPr>
              <w:t>交纳截止时间：</w:t>
            </w:r>
            <w:r>
              <w:rPr>
                <w:rFonts w:hint="eastAsia" w:ascii="宋体" w:hAnsi="宋体" w:eastAsia="宋体" w:cs="宋体"/>
                <w:color w:val="auto"/>
                <w:highlight w:val="none"/>
              </w:rPr>
              <w:t>竞争性</w:t>
            </w:r>
            <w:r>
              <w:rPr>
                <w:rFonts w:hint="eastAsia" w:ascii="宋体" w:hAnsi="宋体" w:eastAsia="宋体" w:cs="宋体"/>
                <w:color w:val="auto"/>
                <w:highlight w:val="none"/>
                <w:lang w:eastAsia="zh-CN"/>
              </w:rPr>
              <w:t>谈判</w:t>
            </w:r>
            <w:r>
              <w:rPr>
                <w:rFonts w:hint="eastAsia" w:ascii="宋体" w:hAnsi="宋体" w:eastAsia="宋体" w:cs="宋体"/>
                <w:color w:val="auto"/>
                <w:highlight w:val="none"/>
              </w:rPr>
              <w:t>响应文件递交截止时间，必须在此时间之前到达指定账户。</w:t>
            </w:r>
          </w:p>
          <w:p>
            <w:pPr>
              <w:pStyle w:val="29"/>
              <w:jc w:val="left"/>
              <w:rPr>
                <w:rFonts w:hint="eastAsia" w:ascii="宋体" w:hAnsi="宋体" w:eastAsia="宋体" w:cs="宋体"/>
                <w:color w:val="auto"/>
                <w:highlight w:val="none"/>
              </w:rPr>
            </w:pPr>
            <w:r>
              <w:rPr>
                <w:rFonts w:hint="eastAsia" w:ascii="宋体" w:hAnsi="宋体" w:eastAsia="宋体" w:cs="宋体"/>
                <w:color w:val="auto"/>
                <w:highlight w:val="none"/>
              </w:rPr>
              <w:t>接受</w:t>
            </w:r>
            <w:r>
              <w:rPr>
                <w:rFonts w:hint="eastAsia" w:ascii="宋体" w:hAnsi="宋体" w:eastAsia="宋体" w:cs="宋体"/>
                <w:color w:val="auto"/>
                <w:highlight w:val="none"/>
                <w:lang w:eastAsia="zh-CN"/>
              </w:rPr>
              <w:t>谈判</w:t>
            </w:r>
            <w:r>
              <w:rPr>
                <w:rFonts w:hint="eastAsia" w:ascii="宋体" w:hAnsi="宋体" w:eastAsia="宋体" w:cs="宋体"/>
                <w:color w:val="auto"/>
                <w:highlight w:val="none"/>
              </w:rPr>
              <w:t>响应保证金单位名称：陕西正鸿招标有限公司</w:t>
            </w:r>
          </w:p>
          <w:p>
            <w:pPr>
              <w:pStyle w:val="29"/>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开户行名称：</w:t>
            </w:r>
            <w:r>
              <w:rPr>
                <w:rFonts w:hint="eastAsia" w:ascii="宋体" w:hAnsi="宋体" w:eastAsia="宋体" w:cs="宋体"/>
                <w:color w:val="auto"/>
                <w:highlight w:val="none"/>
                <w:lang w:eastAsia="zh-CN"/>
              </w:rPr>
              <w:t>交通银行股份有限公司西安大雁塔支行</w:t>
            </w:r>
          </w:p>
          <w:p>
            <w:pPr>
              <w:pStyle w:val="29"/>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账    号：</w:t>
            </w:r>
            <w:r>
              <w:rPr>
                <w:rFonts w:hint="eastAsia" w:ascii="宋体" w:hAnsi="宋体" w:eastAsia="宋体" w:cs="宋体"/>
                <w:color w:val="auto"/>
                <w:highlight w:val="none"/>
                <w:lang w:eastAsia="zh-CN"/>
              </w:rPr>
              <w:t>611301053018010099844</w:t>
            </w:r>
          </w:p>
          <w:p>
            <w:pPr>
              <w:pStyle w:val="29"/>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备注内容</w:t>
            </w:r>
            <w:r>
              <w:rPr>
                <w:rFonts w:hint="eastAsia" w:ascii="宋体" w:hAnsi="宋体" w:eastAsia="宋体" w:cs="宋体"/>
                <w:color w:val="auto"/>
                <w:highlight w:val="none"/>
                <w:lang w:eastAsia="zh-CN"/>
              </w:rPr>
              <w:t>：ZHZB-2022-GK-0527</w:t>
            </w:r>
            <w:r>
              <w:rPr>
                <w:rFonts w:hint="eastAsia" w:ascii="宋体" w:hAnsi="宋体" w:eastAsia="宋体" w:cs="宋体"/>
                <w:lang w:val="en-US" w:eastAsia="zh-CN"/>
              </w:rPr>
              <w:t>保证金</w:t>
            </w:r>
          </w:p>
          <w:p>
            <w:pPr>
              <w:pStyle w:val="29"/>
              <w:jc w:val="left"/>
              <w:rPr>
                <w:rFonts w:hint="eastAsia" w:ascii="宋体" w:hAnsi="宋体" w:eastAsia="宋体" w:cs="宋体"/>
                <w:color w:val="auto"/>
                <w:highlight w:val="none"/>
              </w:rPr>
            </w:pPr>
            <w:r>
              <w:rPr>
                <w:rFonts w:hint="eastAsia" w:ascii="宋体" w:hAnsi="宋体" w:eastAsia="宋体" w:cs="宋体"/>
                <w:color w:val="auto"/>
                <w:highlight w:val="none"/>
              </w:rPr>
              <w:t>备注：</w:t>
            </w:r>
          </w:p>
          <w:p>
            <w:pPr>
              <w:pStyle w:val="29"/>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谈判</w:t>
            </w:r>
            <w:r>
              <w:rPr>
                <w:rFonts w:hint="eastAsia" w:ascii="宋体" w:hAnsi="宋体" w:eastAsia="宋体" w:cs="宋体"/>
                <w:color w:val="auto"/>
                <w:highlight w:val="none"/>
              </w:rPr>
              <w:t>响应保证金如以个人名义支付，将被拒绝，视为自动放弃此次</w:t>
            </w:r>
            <w:r>
              <w:rPr>
                <w:rFonts w:hint="eastAsia" w:ascii="宋体" w:hAnsi="宋体" w:eastAsia="宋体" w:cs="宋体"/>
                <w:color w:val="auto"/>
                <w:highlight w:val="none"/>
                <w:lang w:eastAsia="zh-CN"/>
              </w:rPr>
              <w:t>谈判</w:t>
            </w:r>
            <w:r>
              <w:rPr>
                <w:rFonts w:hint="eastAsia" w:ascii="宋体" w:hAnsi="宋体" w:eastAsia="宋体" w:cs="宋体"/>
                <w:color w:val="auto"/>
                <w:highlight w:val="none"/>
              </w:rPr>
              <w:t>响应权利（该个人是</w:t>
            </w:r>
            <w:r>
              <w:rPr>
                <w:rFonts w:hint="eastAsia" w:cs="宋体"/>
                <w:color w:val="auto"/>
                <w:highlight w:val="none"/>
                <w:lang w:eastAsia="zh-CN"/>
              </w:rPr>
              <w:t>供应商</w:t>
            </w:r>
            <w:r>
              <w:rPr>
                <w:rFonts w:hint="eastAsia" w:ascii="宋体" w:hAnsi="宋体" w:eastAsia="宋体" w:cs="宋体"/>
                <w:color w:val="auto"/>
                <w:highlight w:val="none"/>
              </w:rPr>
              <w:t>的情形除外）；</w:t>
            </w:r>
          </w:p>
          <w:p>
            <w:pPr>
              <w:pStyle w:val="29"/>
              <w:jc w:val="lef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谈判</w:t>
            </w:r>
            <w:r>
              <w:rPr>
                <w:rFonts w:hint="eastAsia" w:ascii="宋体" w:hAnsi="宋体" w:eastAsia="宋体" w:cs="宋体"/>
                <w:color w:val="auto"/>
                <w:highlight w:val="none"/>
              </w:rPr>
              <w:t>响应保证金的提交数量、形式、时间不满足响应文件要求的，视为</w:t>
            </w:r>
            <w:r>
              <w:rPr>
                <w:rFonts w:hint="eastAsia" w:ascii="宋体" w:hAnsi="宋体" w:eastAsia="宋体" w:cs="宋体"/>
                <w:color w:val="auto"/>
                <w:highlight w:val="none"/>
                <w:lang w:eastAsia="zh-CN"/>
              </w:rPr>
              <w:t>谈判</w:t>
            </w:r>
            <w:r>
              <w:rPr>
                <w:rFonts w:hint="eastAsia" w:ascii="宋体" w:hAnsi="宋体" w:eastAsia="宋体" w:cs="宋体"/>
                <w:color w:val="auto"/>
                <w:highlight w:val="none"/>
              </w:rPr>
              <w:t>响应无效；</w:t>
            </w:r>
          </w:p>
          <w:p>
            <w:pPr>
              <w:pStyle w:val="29"/>
              <w:jc w:val="left"/>
              <w:rPr>
                <w:rFonts w:hint="eastAsia" w:ascii="宋体" w:hAnsi="宋体" w:eastAsia="宋体" w:cs="宋体"/>
                <w:color w:val="auto"/>
                <w:highlight w:val="none"/>
              </w:rPr>
            </w:pPr>
            <w:r>
              <w:rPr>
                <w:rFonts w:hint="eastAsia" w:ascii="宋体" w:hAnsi="宋体" w:eastAsia="宋体" w:cs="宋体"/>
                <w:color w:val="auto"/>
                <w:highlight w:val="none"/>
              </w:rPr>
              <w:t>3、由于转账当天不一定能够到账，为避免因保证金未到账或延迟到账而导致响应文件被拒绝，建议至少提前1个工作日到账；如提交保函，建议至少提前一个工作日将保函正本送至</w:t>
            </w:r>
            <w:r>
              <w:rPr>
                <w:rFonts w:hint="eastAsia" w:cs="宋体"/>
                <w:color w:val="auto"/>
                <w:highlight w:val="none"/>
                <w:lang w:eastAsia="zh-CN"/>
              </w:rPr>
              <w:t>采购代理机构</w:t>
            </w:r>
            <w:r>
              <w:rPr>
                <w:rFonts w:hint="eastAsia" w:ascii="宋体" w:hAnsi="宋体" w:eastAsia="宋体" w:cs="宋体"/>
                <w:color w:val="auto"/>
                <w:highlight w:val="none"/>
              </w:rPr>
              <w:t>。</w:t>
            </w:r>
          </w:p>
          <w:p>
            <w:pPr>
              <w:pStyle w:val="29"/>
              <w:spacing w:line="360" w:lineRule="auto"/>
              <w:jc w:val="left"/>
              <w:rPr>
                <w:color w:val="000000" w:themeColor="text1"/>
                <w14:textFill>
                  <w14:solidFill>
                    <w14:schemeClr w14:val="tx1"/>
                  </w14:solidFill>
                </w14:textFill>
              </w:rPr>
            </w:pPr>
            <w:r>
              <w:rPr>
                <w:rFonts w:hint="eastAsia" w:ascii="宋体" w:hAnsi="宋体" w:eastAsia="宋体" w:cs="宋体"/>
                <w:b/>
                <w:bCs/>
                <w:color w:val="auto"/>
                <w:highlight w:val="none"/>
              </w:rPr>
              <w:t>4、响应文件中附</w:t>
            </w:r>
            <w:r>
              <w:rPr>
                <w:rFonts w:hint="eastAsia" w:ascii="宋体" w:hAnsi="宋体" w:eastAsia="宋体" w:cs="宋体"/>
                <w:b/>
                <w:bCs/>
                <w:color w:val="auto"/>
                <w:highlight w:val="none"/>
                <w:lang w:eastAsia="zh-CN"/>
              </w:rPr>
              <w:t>谈判</w:t>
            </w:r>
            <w:r>
              <w:rPr>
                <w:rFonts w:hint="eastAsia" w:ascii="宋体" w:hAnsi="宋体" w:eastAsia="宋体" w:cs="宋体"/>
                <w:b/>
                <w:bCs/>
                <w:color w:val="auto"/>
                <w:highlight w:val="none"/>
              </w:rPr>
              <w:t>响应保证金交纳凭证（或担保函正本）复印件。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7"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22</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投标有效期</w:t>
            </w:r>
          </w:p>
        </w:tc>
        <w:tc>
          <w:tcPr>
            <w:tcW w:w="6677" w:type="dxa"/>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投标文件的递交截止之日起90天。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23</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投标文件的份数及要求</w:t>
            </w:r>
          </w:p>
        </w:tc>
        <w:tc>
          <w:tcPr>
            <w:tcW w:w="6677" w:type="dxa"/>
            <w:vAlign w:val="center"/>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正本的份数：壹份；</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副本的份数：贰份；</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开标一览表：壹份；</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电子版（U盘）：壹份（需在盘面上标注投标人全称、项目名称、项目编号）。</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电子版包括：</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（1）word版投标文件；</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（2）投标文件正本签字盖章后的PDF格式扫描件，与正本具有同等法律效力。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24</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投标文件的制作装订</w:t>
            </w:r>
          </w:p>
        </w:tc>
        <w:tc>
          <w:tcPr>
            <w:tcW w:w="6677" w:type="dxa"/>
            <w:vAlign w:val="center"/>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投标文件制作规范、目录清晰、页码标注、对应精准、双面打印。</w:t>
            </w:r>
          </w:p>
          <w:p>
            <w:pPr>
              <w:pStyle w:val="29"/>
              <w:spacing w:line="360" w:lineRule="auto"/>
              <w:jc w:val="left"/>
              <w:rPr>
                <w:color w:val="000000" w:themeColor="text1"/>
                <w14:textFill>
                  <w14:solidFill>
                    <w14:schemeClr w14:val="tx1"/>
                  </w14:solidFill>
                </w14:textFill>
              </w:rPr>
            </w:pPr>
            <w:r>
              <w:rPr>
                <w:rFonts w:hint="eastAsia"/>
              </w:rPr>
              <w:t>不可字迹潦草、表</w:t>
            </w:r>
            <w:r>
              <w:rPr>
                <w:rFonts w:hint="eastAsia"/>
                <w:color w:val="000000" w:themeColor="text1"/>
                <w14:textFill>
                  <w14:solidFill>
                    <w14:schemeClr w14:val="tx1"/>
                  </w14:solidFill>
                </w14:textFill>
              </w:rPr>
              <w:t>达不清、未按要求填写而导致非唯一理解。</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投标文件应胶装成册，不可插页抽页。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投标文件的签字、盖章要求</w:t>
            </w:r>
          </w:p>
        </w:tc>
        <w:tc>
          <w:tcPr>
            <w:tcW w:w="6677" w:type="dxa"/>
            <w:vAlign w:val="center"/>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投标文件封面、投标函及其它有要求处必须加盖投标人公章并经法定代表人或其委托代理人签字或盖章。委托代理人签字的，投标文件应附法定代表人签署的授权委托书。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26</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投标文件的密封和标记</w:t>
            </w:r>
          </w:p>
        </w:tc>
        <w:tc>
          <w:tcPr>
            <w:tcW w:w="6677" w:type="dxa"/>
            <w:vAlign w:val="center"/>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1、密封包装方式：</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投标人应将投标文件正本、所有的副本、电子版本、开标一览表分别单独密封在封袋中（封袋不得有破损）。封袋应加贴封条，并在封线处加盖投标人公章。</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2、外层包装请按以下要求标记：</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 投标人的全称；</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（2）投标项目名称、项目编号</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（3）正本、副本、“电子版本”、“开标一览表”、及“请勿在＿＿＿＿＿(开标时间)之前启封”。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27</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投标文件的递交</w:t>
            </w:r>
          </w:p>
        </w:tc>
        <w:tc>
          <w:tcPr>
            <w:tcW w:w="6677" w:type="dxa"/>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投标文件递交截止时间：详见招标公告。</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投标文件递交地址：详见招标公告。</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投标文件接收人：陕西正鸿招标有限公司。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28</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开标时间和地点</w:t>
            </w:r>
          </w:p>
        </w:tc>
        <w:tc>
          <w:tcPr>
            <w:tcW w:w="6677" w:type="dxa"/>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开标时间：详见招标公告。</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开标地点：详见招标公告。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7"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29</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评标委员会的组建</w:t>
            </w:r>
          </w:p>
        </w:tc>
        <w:tc>
          <w:tcPr>
            <w:tcW w:w="6677" w:type="dxa"/>
            <w:vAlign w:val="center"/>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评标委员会构成：共5人。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4"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评标办法</w:t>
            </w:r>
          </w:p>
        </w:tc>
        <w:tc>
          <w:tcPr>
            <w:tcW w:w="6677" w:type="dxa"/>
            <w:vAlign w:val="center"/>
          </w:tcPr>
          <w:p>
            <w:pPr>
              <w:pStyle w:val="29"/>
              <w:spacing w:line="360" w:lineRule="auto"/>
              <w:jc w:val="left"/>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综合评分法（详见《第五章 </w:t>
            </w:r>
            <w:r>
              <w:rPr>
                <w:rFonts w:hint="eastAsia"/>
                <w:b/>
                <w:bCs/>
                <w:color w:val="000000" w:themeColor="text1"/>
                <w:szCs w:val="36"/>
                <w14:textFill>
                  <w14:solidFill>
                    <w14:schemeClr w14:val="tx1"/>
                  </w14:solidFill>
                </w14:textFill>
              </w:rPr>
              <w:t>评标办法</w:t>
            </w:r>
            <w:r>
              <w:rPr>
                <w:rFonts w:hint="eastAsia"/>
                <w:b/>
                <w:color w:val="000000" w:themeColor="text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31</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招标代理服务费</w:t>
            </w:r>
          </w:p>
        </w:tc>
        <w:tc>
          <w:tcPr>
            <w:tcW w:w="6677" w:type="dxa"/>
            <w:vAlign w:val="center"/>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参照国家计委颁发的《招标代理服务收费管理暂行办法》（计价格[2002]1980号）和国家发展改革委员会办公厅颁发的《关于招标代理服务收费有关问题的通知》（发改办价格[2003]857号）的有关规定下浮10%执行。</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中标单位在领取中标通知书前，须向采购代理机构一次性支付招标代理服务费。</w:t>
            </w:r>
          </w:p>
          <w:p>
            <w:pPr>
              <w:pStyle w:val="29"/>
              <w:spacing w:line="360" w:lineRule="auto"/>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本项目类型：货物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32</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保证金及招标代理服务费账户</w:t>
            </w:r>
          </w:p>
        </w:tc>
        <w:tc>
          <w:tcPr>
            <w:tcW w:w="6677" w:type="dxa"/>
            <w:vAlign w:val="center"/>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户名：陕西正鸿招标有限公司</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开户行：交通银行股份有限公司西安大雁塔支行</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账号：611301053018010099844</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请各投标人按照要求将保证金转入以上指定账户，如因自身原因发生错误，产生的不利后果均由投标人自行承担。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33</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核心产品</w:t>
            </w:r>
          </w:p>
        </w:tc>
        <w:tc>
          <w:tcPr>
            <w:tcW w:w="6677" w:type="dxa"/>
            <w:vAlign w:val="center"/>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840"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34</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进口产品</w:t>
            </w:r>
          </w:p>
        </w:tc>
        <w:tc>
          <w:tcPr>
            <w:tcW w:w="6677" w:type="dxa"/>
            <w:vAlign w:val="center"/>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jc w:val="center"/>
        </w:trPr>
        <w:tc>
          <w:tcPr>
            <w:tcW w:w="840" w:type="dxa"/>
            <w:vAlign w:val="center"/>
          </w:tcPr>
          <w:p>
            <w:pPr>
              <w:pStyle w:val="29"/>
              <w:spacing w:line="360" w:lineRule="auto"/>
              <w:rPr>
                <w:color w:val="000000" w:themeColor="text1"/>
                <w14:textFill>
                  <w14:solidFill>
                    <w14:schemeClr w14:val="tx1"/>
                  </w14:solidFill>
                </w14:textFill>
              </w:rPr>
            </w:pPr>
            <w:bookmarkStart w:id="25" w:name="_Toc15533"/>
            <w:bookmarkStart w:id="26" w:name="_Toc6935"/>
            <w:bookmarkStart w:id="27" w:name="_Toc363473972"/>
            <w:bookmarkStart w:id="28" w:name="_Toc363474017"/>
            <w:bookmarkStart w:id="29" w:name="_Toc403077639"/>
            <w:r>
              <w:rPr>
                <w:rFonts w:hint="eastAsia"/>
                <w:color w:val="000000" w:themeColor="text1"/>
                <w14:textFill>
                  <w14:solidFill>
                    <w14:schemeClr w14:val="tx1"/>
                  </w14:solidFill>
                </w14:textFill>
              </w:rPr>
              <w:t>35</w:t>
            </w:r>
          </w:p>
        </w:tc>
        <w:tc>
          <w:tcPr>
            <w:tcW w:w="1826" w:type="dxa"/>
            <w:vAlign w:val="center"/>
          </w:tcPr>
          <w:p>
            <w:pPr>
              <w:pStyle w:val="2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一致性</w:t>
            </w:r>
          </w:p>
        </w:tc>
        <w:tc>
          <w:tcPr>
            <w:tcW w:w="6677" w:type="dxa"/>
            <w:vAlign w:val="center"/>
          </w:tcPr>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投标人须知前附表和须知不一致的地方，以前附表为准。</w:t>
            </w:r>
          </w:p>
        </w:tc>
      </w:tr>
      <w:bookmarkEnd w:id="8"/>
      <w:bookmarkEnd w:id="9"/>
      <w:bookmarkEnd w:id="10"/>
    </w:tbl>
    <w:p>
      <w:pPr>
        <w:rPr>
          <w:rStyle w:val="30"/>
          <w:color w:val="000000" w:themeColor="text1"/>
          <w14:textFill>
            <w14:solidFill>
              <w14:schemeClr w14:val="tx1"/>
            </w14:solidFill>
          </w14:textFill>
        </w:rPr>
      </w:pPr>
      <w:r>
        <w:rPr>
          <w:rStyle w:val="30"/>
          <w:rFonts w:hint="eastAsia"/>
          <w:color w:val="000000" w:themeColor="text1"/>
          <w14:textFill>
            <w14:solidFill>
              <w14:schemeClr w14:val="tx1"/>
            </w14:solidFill>
          </w14:textFill>
        </w:rPr>
        <w:br w:type="page"/>
      </w:r>
    </w:p>
    <w:p>
      <w:pPr>
        <w:pStyle w:val="4"/>
        <w:rPr>
          <w:rStyle w:val="30"/>
          <w:b/>
          <w:bCs/>
          <w:color w:val="000000" w:themeColor="text1"/>
          <w14:textFill>
            <w14:solidFill>
              <w14:schemeClr w14:val="tx1"/>
            </w14:solidFill>
          </w14:textFill>
        </w:rPr>
      </w:pPr>
      <w:r>
        <w:rPr>
          <w:rStyle w:val="30"/>
          <w:rFonts w:hint="eastAsia"/>
          <w:b/>
          <w:bCs/>
          <w:color w:val="000000" w:themeColor="text1"/>
          <w14:textFill>
            <w14:solidFill>
              <w14:schemeClr w14:val="tx1"/>
            </w14:solidFill>
          </w14:textFill>
        </w:rPr>
        <w:t>一.总  则</w:t>
      </w:r>
      <w:bookmarkEnd w:id="25"/>
      <w:bookmarkEnd w:id="26"/>
      <w:bookmarkEnd w:id="27"/>
      <w:bookmarkEnd w:id="28"/>
      <w:bookmarkEnd w:id="29"/>
    </w:p>
    <w:p>
      <w:pPr>
        <w:pStyle w:val="6"/>
        <w:rPr>
          <w:color w:val="000000" w:themeColor="text1"/>
          <w14:textFill>
            <w14:solidFill>
              <w14:schemeClr w14:val="tx1"/>
            </w14:solidFill>
          </w14:textFill>
        </w:rPr>
      </w:pPr>
      <w:bookmarkStart w:id="30" w:name="_Toc23273"/>
      <w:bookmarkStart w:id="31" w:name="_Toc30734"/>
      <w:r>
        <w:rPr>
          <w:rFonts w:hint="eastAsia"/>
          <w:color w:val="000000" w:themeColor="text1"/>
          <w14:textFill>
            <w14:solidFill>
              <w14:schemeClr w14:val="tx1"/>
            </w14:solidFill>
          </w14:textFill>
        </w:rPr>
        <w:t>1.资金来源</w:t>
      </w:r>
      <w:bookmarkEnd w:id="30"/>
      <w:bookmarkEnd w:id="31"/>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1.1本次招标采购所签合同使用财政资金支付，资金已落实到位。</w:t>
      </w:r>
    </w:p>
    <w:p>
      <w:pPr>
        <w:pStyle w:val="6"/>
        <w:rPr>
          <w:color w:val="000000" w:themeColor="text1"/>
          <w14:textFill>
            <w14:solidFill>
              <w14:schemeClr w14:val="tx1"/>
            </w14:solidFill>
          </w14:textFill>
        </w:rPr>
      </w:pPr>
      <w:bookmarkStart w:id="32" w:name="_Toc20780"/>
      <w:bookmarkStart w:id="33" w:name="_Toc15117"/>
      <w:r>
        <w:rPr>
          <w:rFonts w:hint="eastAsia"/>
          <w:color w:val="000000" w:themeColor="text1"/>
          <w14:textFill>
            <w14:solidFill>
              <w14:schemeClr w14:val="tx1"/>
            </w14:solidFill>
          </w14:textFill>
        </w:rPr>
        <w:t>2.名词解释</w:t>
      </w:r>
      <w:bookmarkEnd w:id="32"/>
      <w:bookmarkEnd w:id="33"/>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2.1采购人：见投标人须知前附表。</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2.2采购代理机构：见投标人须知前附表。</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2.3监督机构：见投标人须知前附表。</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2.4投标人：是指响应和符合招标文件规定资格条件且参与投标竞争的法人、其他组织或者自然人。</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2.5产品是指本招标文件中第四章所述所有产品。</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2.6服务是指投标人为满足招标文件要求而提供的服务。</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2.7节能产品或者环保产品是指依据国家确定的认证机构出具的、处于有效期之内的具有节能产品、环境标志产品认证证书的产品。</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2.8进口产品是指通过中国海关报关验放进入中国境内且产自关境外的产品，详见《关于政府采购进口产品管理有关问题的通知》(财库[2007]119号)。</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2.9中小企业是指符合《工业和信息化部、国家统计局、国家发展和改革委员会、财政部关于印发中小企业划型标准规定的通知》（工信部联企业[2011]300号）规定的对中小企业的划分标准的企业。</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2.11残疾人福利性单位是指符合《三部门联合发布关于促进残疾人就业政府采购政策的通知》财库〔2017〕141号规定的对残疾人福利性单位划分标准的单位。</w:t>
      </w:r>
    </w:p>
    <w:p>
      <w:pPr>
        <w:pStyle w:val="6"/>
        <w:rPr>
          <w:color w:val="000000" w:themeColor="text1"/>
          <w14:textFill>
            <w14:solidFill>
              <w14:schemeClr w14:val="tx1"/>
            </w14:solidFill>
          </w14:textFill>
        </w:rPr>
      </w:pPr>
      <w:bookmarkStart w:id="34" w:name="_Toc796"/>
      <w:bookmarkStart w:id="35" w:name="_Toc22955"/>
      <w:r>
        <w:rPr>
          <w:rFonts w:hint="eastAsia"/>
          <w:color w:val="000000" w:themeColor="text1"/>
          <w14:textFill>
            <w14:solidFill>
              <w14:schemeClr w14:val="tx1"/>
            </w14:solidFill>
          </w14:textFill>
        </w:rPr>
        <w:t>3.合格的投标人</w:t>
      </w:r>
      <w:bookmarkEnd w:id="34"/>
      <w:bookmarkEnd w:id="35"/>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3.1《政府采购法》第二十二条第一款规定的投标人基本资格条件：</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（1）具有独立承担民事责任的能力；</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（2）具有良好的商业信誉和健全的财务会计制度；</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（3）具有履行合同所必需的设备和专业技术能力；</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（4）有依法缴纳税收和社会保障资金的良好记录；</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（5）参加政府采购活动前三年内，在经营活动中没有重大违法记录；</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（6）法律、行政法规规定的其他条件。</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3.2根据本次采购项目的特殊要求，规定的投标人特殊条件（见投标人须知前附表）。</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3.3单位负责人为同一人或者存在直接控股、管理关系的不同投标人，不得参加同一合同项下的政府采购活动。</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除单一来源采购项目外，为采购项目提供整体设计、规范编制或者项目管理、监理、检测等服务的投标人，不得再参加该采购项目的其他采购活动，否则均为无效投标。</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3.4投标人必须在陕西正鸿招标有限公司购买招标文件，方可参加投标。招标文件售后不退。</w:t>
      </w:r>
    </w:p>
    <w:p>
      <w:pPr>
        <w:pStyle w:val="9"/>
        <w:ind w:firstLine="480"/>
        <w:rPr>
          <w:color w:val="000000" w:themeColor="text1"/>
          <w14:textFill>
            <w14:solidFill>
              <w14:schemeClr w14:val="tx1"/>
            </w14:solidFill>
          </w14:textFill>
        </w:rPr>
      </w:pPr>
      <w:bookmarkStart w:id="36" w:name="OLE_LINK33"/>
      <w:bookmarkStart w:id="37" w:name="_Toc26236"/>
      <w:bookmarkStart w:id="38" w:name="_Toc6408"/>
      <w:r>
        <w:rPr>
          <w:rFonts w:hint="eastAsia"/>
          <w:color w:val="000000" w:themeColor="text1"/>
          <w14:textFill>
            <w14:solidFill>
              <w14:schemeClr w14:val="tx1"/>
            </w14:solidFill>
          </w14:textFill>
        </w:rPr>
        <w:t>3.</w:t>
      </w:r>
      <w:bookmarkEnd w:id="36"/>
      <w:r>
        <w:rPr>
          <w:rFonts w:hint="eastAsia"/>
          <w:color w:val="000000" w:themeColor="text1"/>
          <w14:textFill>
            <w14:solidFill>
              <w14:schemeClr w14:val="tx1"/>
            </w14:solidFill>
          </w14:textFill>
        </w:rPr>
        <w:t>5联合体投标</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3.5.1如果在招标文件中接受联合体投标（见投标人须知前附表），则两个以上投标人可以组成一个投标联合体，以一个投标人的身份投标。以联合体形式参加投标的，联合体各方均应当符合《中华人民共和国政府采购法》及实施条例规定的条件。采购人根据采购项目的特殊要求规定投标人特定条件的，联合体各方中至少应当有一方符合采购人规定的特定条件。</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3.5.2联合体各方之间应当签订共同投标协议，明确约定联合体各方承担的工作和相应的责任，并将共同投标协议连同投标文件一并提交采购代理机构。联合体各方签订共同投标协议后，不得再以自己名义单独在同一项目中投标，也不得组成新的联合体参加同一项目投标。</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3.5.3联合体各方应当共同与采购人签订采购合同，就采购合同约定的事项对采购人承担连带责任。</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3.6投标费用自理。不论投标的结果如何，投标人均应自行承担所有与参加投标有关的费用。</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4.合格的货物（产品）和服务</w:t>
      </w:r>
      <w:bookmarkEnd w:id="37"/>
      <w:bookmarkEnd w:id="38"/>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投标人提供的所有货物和服务，必须是合法生产、合法来源（提供产品来源渠道合法的证明文件：包括但不限于销售协议、代理协议、原厂授权等），符合国家有关标准要求，并满足招标文件规定的规格、参数、质量、价格、有效期、售后服务及投标人须承担的运输、安装、技术支持、培训和招标文件规定的其它伴随服务等要求。</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4.2采购人有权拒绝接受任何不合格的产品和服务，由此产生的费用及相关后果均由投标人自行承担。</w:t>
      </w:r>
    </w:p>
    <w:p>
      <w:pPr>
        <w:pStyle w:val="6"/>
        <w:rPr>
          <w:color w:val="000000" w:themeColor="text1"/>
          <w14:textFill>
            <w14:solidFill>
              <w14:schemeClr w14:val="tx1"/>
            </w14:solidFill>
          </w14:textFill>
        </w:rPr>
      </w:pPr>
      <w:bookmarkStart w:id="39" w:name="_Toc16465"/>
      <w:bookmarkStart w:id="40" w:name="_Toc32166"/>
      <w:r>
        <w:rPr>
          <w:rFonts w:hint="eastAsia"/>
          <w:color w:val="000000" w:themeColor="text1"/>
          <w14:textFill>
            <w14:solidFill>
              <w14:schemeClr w14:val="tx1"/>
            </w14:solidFill>
          </w14:textFill>
        </w:rPr>
        <w:t>5.投标人信用记录查询及使用</w:t>
      </w:r>
      <w:bookmarkEnd w:id="39"/>
      <w:bookmarkEnd w:id="40"/>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5.1“信用中国”网站（</w:t>
      </w:r>
      <w:r>
        <w:rPr>
          <w:rFonts w:hint="eastAsia"/>
        </w:rPr>
        <w:t>www.creditchina.gov.cn</w:t>
      </w:r>
      <w:r>
        <w:rPr>
          <w:rFonts w:hint="eastAsia"/>
          <w:color w:val="000000" w:themeColor="text1"/>
          <w14:textFill>
            <w14:solidFill>
              <w14:schemeClr w14:val="tx1"/>
            </w14:solidFill>
          </w14:textFill>
        </w:rPr>
        <w:t xml:space="preserve">）和“中国政府采购网”（ccgp.gov.cn）为投标人信用信息查询渠道，如果投标人被查实在投标截止时间前已列入失信被执行人、重大税收违法案件当事人名单、政府采购严重违法失信行为记录名单，其投标为无效。采购代理机构将打印查询记录作为证据留存。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5.2投标人在参加政府采购活动前3年内因违法经营被禁止在一定期限内参加政府采购活动，期限届满的，可以参加政府采购活动的，但投标人应提供相关证明材料。</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6.投标文件内容的真实性</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6.1投标人应保证其投标文件中所提供的所有投标资料、信息是真实的，并且来源于合法的渠道。因投标文件中所提供的投标资料、信息不真实或者其来源不合法而导致的所有法律责任，由投标人自行承担。</w:t>
      </w:r>
    </w:p>
    <w:p>
      <w:pPr>
        <w:pStyle w:val="4"/>
        <w:rPr>
          <w:color w:val="000000" w:themeColor="text1"/>
          <w14:textFill>
            <w14:solidFill>
              <w14:schemeClr w14:val="tx1"/>
            </w14:solidFill>
          </w14:textFill>
        </w:rPr>
      </w:pPr>
      <w:bookmarkStart w:id="41" w:name="_Toc403077640"/>
      <w:bookmarkStart w:id="42" w:name="_Toc363474018"/>
      <w:bookmarkStart w:id="43" w:name="_Toc363473973"/>
      <w:bookmarkStart w:id="44" w:name="_Toc22646"/>
      <w:bookmarkStart w:id="45" w:name="_Toc2698"/>
      <w:r>
        <w:rPr>
          <w:rFonts w:hint="eastAsia"/>
          <w:color w:val="000000" w:themeColor="text1"/>
          <w14:textFill>
            <w14:solidFill>
              <w14:schemeClr w14:val="tx1"/>
            </w14:solidFill>
          </w14:textFill>
        </w:rPr>
        <w:t>二.招标文件</w:t>
      </w:r>
      <w:bookmarkEnd w:id="41"/>
      <w:bookmarkEnd w:id="42"/>
      <w:bookmarkEnd w:id="43"/>
      <w:bookmarkEnd w:id="44"/>
      <w:bookmarkEnd w:id="45"/>
    </w:p>
    <w:p>
      <w:pPr>
        <w:pStyle w:val="6"/>
        <w:rPr>
          <w:color w:val="000000" w:themeColor="text1"/>
          <w14:textFill>
            <w14:solidFill>
              <w14:schemeClr w14:val="tx1"/>
            </w14:solidFill>
          </w14:textFill>
        </w:rPr>
      </w:pPr>
      <w:bookmarkStart w:id="46" w:name="_Toc23312"/>
      <w:bookmarkStart w:id="47" w:name="_Toc31372"/>
      <w:r>
        <w:rPr>
          <w:rFonts w:hint="eastAsia"/>
          <w:color w:val="000000" w:themeColor="text1"/>
          <w14:textFill>
            <w14:solidFill>
              <w14:schemeClr w14:val="tx1"/>
            </w14:solidFill>
          </w14:textFill>
        </w:rPr>
        <w:t>7.招标文件构成</w:t>
      </w:r>
      <w:bookmarkEnd w:id="46"/>
      <w:bookmarkEnd w:id="47"/>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7.1 招标文件要求提供的货物、服务，招标程序和合同条件在招标文件中均有说明。招标文件共六章，内容如下：</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第一章 招标公告</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第二章 投标人须知</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第三章 商务及合同主要条款</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第四章 采购内容及技术要求</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第五章 评标办法</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第六章 投标文件构成及格式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7.2投标人应认真阅读招标文件中所有的事项、格式、条款和规范等要求。如果投标人没有按照招标文件要求提交全部资料，或者投标文件没有对招标文件在各方面都做出实质性响应，由此带来不利于投标人的评标结果，其风险由投标人承担。</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7.3本招标文件的解释权归陕西正鸿招标有限公司，如发现招标文件内容与现行法律法规不相符的情况，以现行法律法规为准。</w:t>
      </w:r>
    </w:p>
    <w:p>
      <w:pPr>
        <w:pStyle w:val="6"/>
        <w:rPr>
          <w:color w:val="000000" w:themeColor="text1"/>
          <w14:textFill>
            <w14:solidFill>
              <w14:schemeClr w14:val="tx1"/>
            </w14:solidFill>
          </w14:textFill>
        </w:rPr>
      </w:pPr>
      <w:bookmarkStart w:id="48" w:name="_Toc19868"/>
      <w:bookmarkStart w:id="49" w:name="_Toc616"/>
      <w:r>
        <w:rPr>
          <w:rFonts w:hint="eastAsia"/>
          <w:color w:val="000000" w:themeColor="text1"/>
          <w14:textFill>
            <w14:solidFill>
              <w14:schemeClr w14:val="tx1"/>
            </w14:solidFill>
          </w14:textFill>
        </w:rPr>
        <w:t>8.招标文件的澄清修改及询问</w:t>
      </w:r>
      <w:bookmarkEnd w:id="48"/>
      <w:bookmarkEnd w:id="49"/>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8.1采购人或采购代理机构如果对已发出的招标文件进行必要的澄清或者修改，将在原公告发布媒体上发布澄清公告。澄清或者修改的内容为招标文件的组成部分。</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8.2澄清或者修改的内容可能影响投标文件编制的，采购代理机构将在投标截止时间至少15日前，以书面形式通知所有获取招标文件的潜在投标人；不足15日的，采购代理机构将顺延提交投标文件的截止时间。</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8.3已经购买招标文件的投标人对招标文件有疑问的，均应在购买招标文件后7个工作日内以书面形式向采购代理机构提出，采购代理机构将在3个工作日内采用适当方式予以澄清或以书面形式予以答复。</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8.4投标人在收到上述通知后，应立即向采购代理机构回函确认。</w:t>
      </w:r>
    </w:p>
    <w:p>
      <w:pPr>
        <w:pStyle w:val="4"/>
        <w:rPr>
          <w:color w:val="000000" w:themeColor="text1"/>
          <w14:textFill>
            <w14:solidFill>
              <w14:schemeClr w14:val="tx1"/>
            </w14:solidFill>
          </w14:textFill>
        </w:rPr>
      </w:pPr>
      <w:bookmarkStart w:id="50" w:name="_Toc363474019"/>
      <w:bookmarkStart w:id="51" w:name="_Toc20329"/>
      <w:bookmarkStart w:id="52" w:name="_Toc403077641"/>
      <w:bookmarkStart w:id="53" w:name="_Toc13455"/>
      <w:bookmarkStart w:id="54" w:name="_Toc363473974"/>
      <w:r>
        <w:rPr>
          <w:rFonts w:hint="eastAsia"/>
          <w:color w:val="000000" w:themeColor="text1"/>
          <w14:textFill>
            <w14:solidFill>
              <w14:schemeClr w14:val="tx1"/>
            </w14:solidFill>
          </w14:textFill>
        </w:rPr>
        <w:t>三.投标文件的编制</w:t>
      </w:r>
      <w:bookmarkEnd w:id="50"/>
      <w:bookmarkEnd w:id="51"/>
      <w:bookmarkEnd w:id="52"/>
      <w:bookmarkEnd w:id="53"/>
      <w:bookmarkEnd w:id="54"/>
    </w:p>
    <w:p>
      <w:pPr>
        <w:pStyle w:val="6"/>
        <w:rPr>
          <w:color w:val="000000" w:themeColor="text1"/>
          <w14:textFill>
            <w14:solidFill>
              <w14:schemeClr w14:val="tx1"/>
            </w14:solidFill>
          </w14:textFill>
        </w:rPr>
      </w:pPr>
      <w:bookmarkStart w:id="55" w:name="_Toc17188"/>
      <w:bookmarkStart w:id="56" w:name="_Toc28123"/>
      <w:r>
        <w:rPr>
          <w:rFonts w:hint="eastAsia"/>
          <w:color w:val="000000" w:themeColor="text1"/>
          <w14:textFill>
            <w14:solidFill>
              <w14:schemeClr w14:val="tx1"/>
            </w14:solidFill>
          </w14:textFill>
        </w:rPr>
        <w:t>9. 投标语言和投标货币</w:t>
      </w:r>
      <w:bookmarkEnd w:id="55"/>
      <w:bookmarkEnd w:id="56"/>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9.1投标人提交的投标文件以及投标人与采购代理机构就有关投标的所有来往函电均应使用中文。</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9.2投标应以人民币报价。任何包含非人民币报价的投标将按无效投标处理。</w:t>
      </w:r>
    </w:p>
    <w:p>
      <w:pPr>
        <w:pStyle w:val="6"/>
        <w:rPr>
          <w:color w:val="000000" w:themeColor="text1"/>
          <w14:textFill>
            <w14:solidFill>
              <w14:schemeClr w14:val="tx1"/>
            </w14:solidFill>
          </w14:textFill>
        </w:rPr>
      </w:pPr>
      <w:bookmarkStart w:id="57" w:name="_Toc3979"/>
      <w:bookmarkStart w:id="58" w:name="_Toc10386"/>
      <w:r>
        <w:rPr>
          <w:rFonts w:hint="eastAsia"/>
          <w:color w:val="000000" w:themeColor="text1"/>
          <w14:textFill>
            <w14:solidFill>
              <w14:schemeClr w14:val="tx1"/>
            </w14:solidFill>
          </w14:textFill>
        </w:rPr>
        <w:t>10.投标文件的构成</w:t>
      </w:r>
      <w:bookmarkEnd w:id="57"/>
      <w:bookmarkEnd w:id="58"/>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 投标人提交的投标文件应包括下列部分的内容：</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（1）按照投标人须知的要求和招标文件规定的格式填写的投标函、投标报价表。</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按照招标文件的要求编制的投标方案说明书，内容至少应包括组织实施计划和服务的详细说明，技术响应偏离表，生产厂家确认的、相应的产品功能证明材料（包括但不限于测试报告、官网和功能截图等），质量保证，安装调试方案说明，人员配备和售后服务承诺等；</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（3）按照投标人须知的要求和招标文件规定的格式填写的商务条款偏离表。</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（4）按照招标文件投标人须知前附表的要求提交的资格证明文件；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（5）投标人承诺书；</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（6）招标文件中要求的其他资料。</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10.2 如果在招标文件中没有允许提供备选方案，则每个投标人只允许提交一个投标方案，否则，其投标将按照无效投标处理。</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 本次投标的</w:t>
      </w:r>
      <w:r>
        <w:rPr>
          <w:rFonts w:hint="eastAsia"/>
        </w:rPr>
        <w:t>最小单元：见投标人须知前附表，</w:t>
      </w:r>
      <w:r>
        <w:rPr>
          <w:rFonts w:hint="eastAsia"/>
          <w:color w:val="000000" w:themeColor="text1"/>
          <w14:textFill>
            <w14:solidFill>
              <w14:schemeClr w14:val="tx1"/>
            </w14:solidFill>
          </w14:textFill>
        </w:rPr>
        <w:t>投标人可根据自身的资质情况和经营范围进行投标，但不得将其子目自行分解或针对品目进行不完全投标，任何不完全的投标将按无效投标处理。</w:t>
      </w:r>
    </w:p>
    <w:p>
      <w:pPr>
        <w:pStyle w:val="6"/>
        <w:rPr>
          <w:color w:val="000000" w:themeColor="text1"/>
          <w14:textFill>
            <w14:solidFill>
              <w14:schemeClr w14:val="tx1"/>
            </w14:solidFill>
          </w14:textFill>
        </w:rPr>
      </w:pPr>
      <w:bookmarkStart w:id="59" w:name="_Toc762"/>
      <w:bookmarkStart w:id="60" w:name="_Toc14995"/>
      <w:r>
        <w:rPr>
          <w:rFonts w:hint="eastAsia"/>
          <w:color w:val="000000" w:themeColor="text1"/>
          <w14:textFill>
            <w14:solidFill>
              <w14:schemeClr w14:val="tx1"/>
            </w14:solidFill>
          </w14:textFill>
        </w:rPr>
        <w:t>11.投标文件格式</w:t>
      </w:r>
      <w:bookmarkEnd w:id="59"/>
      <w:bookmarkEnd w:id="60"/>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11.1 投标人应按照招标文件中第六章所提供的格式和要求制作投标文件，明确表达投标意愿，详细说明投标方案、承诺及价格。</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11.2投标人应完整地提供招标文件要求的所有数据和资料。</w:t>
      </w:r>
    </w:p>
    <w:p>
      <w:pPr>
        <w:pStyle w:val="6"/>
        <w:rPr>
          <w:color w:val="000000" w:themeColor="text1"/>
          <w14:textFill>
            <w14:solidFill>
              <w14:schemeClr w14:val="tx1"/>
            </w14:solidFill>
          </w14:textFill>
        </w:rPr>
      </w:pPr>
      <w:bookmarkStart w:id="61" w:name="_Toc24246"/>
      <w:bookmarkStart w:id="62" w:name="_Toc11786"/>
      <w:r>
        <w:rPr>
          <w:rFonts w:hint="eastAsia"/>
          <w:color w:val="000000" w:themeColor="text1"/>
          <w14:textFill>
            <w14:solidFill>
              <w14:schemeClr w14:val="tx1"/>
            </w14:solidFill>
          </w14:textFill>
        </w:rPr>
        <w:t>12.投标报价</w:t>
      </w:r>
      <w:bookmarkEnd w:id="61"/>
      <w:bookmarkEnd w:id="62"/>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12.1投标报价：见投标人须知前附表。</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12.2投标报价表中标明的价格应为履行合同的固定价格，不得以任何理由予以变更。以可调整的价格提交的投标文件将按无效投标处理。</w:t>
      </w:r>
    </w:p>
    <w:p>
      <w:pPr>
        <w:pStyle w:val="6"/>
        <w:rPr>
          <w:color w:val="000000" w:themeColor="text1"/>
          <w14:textFill>
            <w14:solidFill>
              <w14:schemeClr w14:val="tx1"/>
            </w14:solidFill>
          </w14:textFill>
        </w:rPr>
      </w:pPr>
      <w:bookmarkStart w:id="63" w:name="_Toc12340"/>
      <w:bookmarkStart w:id="64" w:name="_Toc16591"/>
      <w:r>
        <w:rPr>
          <w:rFonts w:hint="eastAsia"/>
          <w:color w:val="000000" w:themeColor="text1"/>
          <w14:textFill>
            <w14:solidFill>
              <w14:schemeClr w14:val="tx1"/>
            </w14:solidFill>
          </w14:textFill>
        </w:rPr>
        <w:t>13.证明投标人合格和资格的文件</w:t>
      </w:r>
      <w:bookmarkEnd w:id="63"/>
      <w:bookmarkEnd w:id="64"/>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13.1投标人应按照招标文件“投标人须知前附表”的要求，在投标文件中提交合格的资格证明文件。如果资格证明文件不齐全或不合格的，其投标将按无效投标处理。</w:t>
      </w:r>
    </w:p>
    <w:p>
      <w:pPr>
        <w:pStyle w:val="6"/>
        <w:rPr>
          <w:color w:val="000000" w:themeColor="text1"/>
          <w14:textFill>
            <w14:solidFill>
              <w14:schemeClr w14:val="tx1"/>
            </w14:solidFill>
          </w14:textFill>
        </w:rPr>
      </w:pPr>
      <w:bookmarkStart w:id="65" w:name="_Toc13420"/>
      <w:bookmarkStart w:id="66" w:name="_Toc18707"/>
      <w:r>
        <w:rPr>
          <w:rFonts w:hint="eastAsia"/>
          <w:color w:val="000000" w:themeColor="text1"/>
          <w14:textFill>
            <w14:solidFill>
              <w14:schemeClr w14:val="tx1"/>
            </w14:solidFill>
          </w14:textFill>
        </w:rPr>
        <w:t>14.证明货物（含伴随服务）符合招标文件规定的文件</w:t>
      </w:r>
      <w:bookmarkEnd w:id="65"/>
      <w:bookmarkEnd w:id="66"/>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14.1投标人应在投标文件中提交产品和服务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14.2上述证明文件可以是文字资料、图纸、图片、数据、宣传彩页等，所有证明文件表达意思必须统一（如需投标人提供样品，样品必须与投标文件的表述完全符合）。包括：</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（1)产品主要技术指标和性能的详细说明；</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（2）生产厂家出具的、相应的产品功能证明材料（包括但不限于测试报告、官网和功能截图等）；</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（3)逐条对招标文件提出的技术要求和商务要求进行应答，说明所提供的产品和服务对招标的技术和商务要求是否做出了实质性响应并提供支持文件；</w:t>
      </w:r>
    </w:p>
    <w:p>
      <w:pPr>
        <w:pStyle w:val="9"/>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（4）供货范围和服务内容的详细说明。</w:t>
      </w:r>
      <w:bookmarkStart w:id="67" w:name="_Toc12595"/>
      <w:bookmarkStart w:id="68" w:name="_Toc22340"/>
      <w:bookmarkStart w:id="69" w:name="_Toc403077642"/>
      <w:bookmarkStart w:id="70" w:name="_Toc363474020"/>
      <w:bookmarkStart w:id="71" w:name="_Toc363473975"/>
    </w:p>
    <w:p>
      <w:pPr>
        <w:pStyle w:val="6"/>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15.投标保证金（如有）</w:t>
      </w:r>
    </w:p>
    <w:p>
      <w:pPr>
        <w:pStyle w:val="9"/>
        <w:ind w:firstLine="480"/>
        <w:rPr>
          <w:rFonts w:hint="eastAsia"/>
          <w:lang w:val="en-US" w:eastAsia="zh-CN"/>
        </w:rPr>
      </w:pPr>
      <w:r>
        <w:rPr>
          <w:rFonts w:hint="eastAsia"/>
          <w:lang w:val="en-US" w:eastAsia="zh-CN"/>
        </w:rPr>
        <w:t>15.1投标人在投标时应向陕西正鸿招标有限公司提交“投标人须知前附表”规定数额的投标保证金,并作为其投标的一部分。</w:t>
      </w:r>
    </w:p>
    <w:p>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15.2投标保证金是为了保护招标人和招标代理机构免遭因投标人的行为而蒙受损失。招标人在因投标人的行为受到损害时可根据15.8条的规定没收投标人的投标保证金。</w:t>
      </w:r>
    </w:p>
    <w:p>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15.3投标保证金可采取“投标人须知前附表”规定的任何一种形式；</w:t>
      </w:r>
    </w:p>
    <w:p>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15.4投标保证金必须按照招标文件 “投标人须知前附表”中规定的缴纳金额及方式办理。</w:t>
      </w:r>
    </w:p>
    <w:p>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15.5开标后经审查，未提交投标保证金、未按时间提交投标保证金、投标保证金金额不足、未将保函正本原件在规定时间内到招标代理机构备案、投标保证金缴纳凭证复印件或担保机构出具的保函正本复印件未附在投标文件内的投标将按无效投标处理。</w:t>
      </w:r>
    </w:p>
    <w:p>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15.6未中标人的投标保证金，将在中标通知书发出后五个工作日内按原账户退还；中标人的投标保证金，在采购合同签订后五个工作日内退还（退还时，须向招标代理机构提供采购合同原件（及扫描件）壹份及保证金缴纳凭证复印件）。</w:t>
      </w:r>
    </w:p>
    <w:p>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15.7投标人以担保机构保函形式缴纳投标保证金的，招标结束之后将担保机构保函正本（原件）退回（退还时间参照15.6条款）。投标人领取担保机构保函正本原件时需携带法定代表人授权书原件。</w:t>
      </w:r>
    </w:p>
    <w:p>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15.8下列任何情况发生时，视为投标人违约，其投标保证金将被没收：</w:t>
      </w:r>
    </w:p>
    <w:p>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1)投标人在递交投标文件截止时间后，撤回投标文件的或者擅自退出招标投标活动的。</w:t>
      </w:r>
    </w:p>
    <w:p>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2)投标人中标后放弃中标或未能按规定签订合同、无正当理由不与招标人签订合同的或未能按规定交纳招标代理服务费或由于投标人的原因导致中标无效的。</w:t>
      </w:r>
    </w:p>
    <w:p>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3）投标人在投标文件中提供伪造、套改、虚假资料参加招标投标的。</w:t>
      </w:r>
    </w:p>
    <w:p>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4）投标人不按法定程序进行质疑和投诉,捏造事实，查无实据，造成恶劣影响，导致采购活动无法正常进行的。</w:t>
      </w:r>
    </w:p>
    <w:p>
      <w:pPr>
        <w:pStyle w:val="9"/>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5）投标人与招标人、其它投标人或者招标代理机构恶意串通的。</w:t>
      </w:r>
      <w:r>
        <w:rPr>
          <w:rFonts w:hint="eastAsia" w:ascii="宋体" w:hAnsi="宋体" w:eastAsia="宋体" w:cs="宋体"/>
          <w:color w:val="000000" w:themeColor="text1"/>
          <w14:textFill>
            <w14:solidFill>
              <w14:schemeClr w14:val="tx1"/>
            </w14:solidFill>
          </w14:textFill>
        </w:rPr>
        <w:t>16.投标有效期</w:t>
      </w:r>
      <w:bookmarkEnd w:id="67"/>
      <w:bookmarkEnd w:id="68"/>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16.1投标有效期：见投标人须知前附表。投标文件应在投标有效期内保持有效。投标有效期不满足规定有效期的投标文件将被视为无效投标而拒绝。</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16.2特殊情况下，在原投标有效期期满之前，采购代理机构可向投标人提出延长投标有效期的要求。这种要求与答复均应以书面的形式。投标人可以拒绝采购代理机构的这种要求,其投标保证金（如有）也不被没收。同意延长的投标人既不能要求也不允许修改其投标文件，但要相应延长其投标保证金（如有）的有效期。在这种情况下，本章第15条有关投标保证金（如有）的退还和没收的规定将在延长了的有效期内继续有效。</w:t>
      </w:r>
    </w:p>
    <w:p>
      <w:pPr>
        <w:pStyle w:val="6"/>
        <w:rPr>
          <w:color w:val="000000" w:themeColor="text1"/>
          <w14:textFill>
            <w14:solidFill>
              <w14:schemeClr w14:val="tx1"/>
            </w14:solidFill>
          </w14:textFill>
        </w:rPr>
      </w:pPr>
      <w:bookmarkStart w:id="72" w:name="_Toc4703"/>
      <w:bookmarkStart w:id="73" w:name="_Toc23636"/>
      <w:r>
        <w:rPr>
          <w:rFonts w:hint="eastAsia"/>
          <w:color w:val="000000" w:themeColor="text1"/>
          <w14:textFill>
            <w14:solidFill>
              <w14:schemeClr w14:val="tx1"/>
            </w14:solidFill>
          </w14:textFill>
        </w:rPr>
        <w:t>17.投标文件的式样和签署</w:t>
      </w:r>
      <w:bookmarkEnd w:id="72"/>
      <w:bookmarkEnd w:id="73"/>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17.1投标文件份数及要求详见“投标人须知前附表”。</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17.2投标文件应由投标人的法定代表人或被授权人按招标文件的规定签署（招标文件要求投标文件中签章的统一为签字或盖章）。</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17.3任何行间插字、涂改和增删，必须由投标人的法定代表人或其被授权人在旁边签字方有效。</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17.4 投标文件正本和副本按照招标文件第六章规定的顺序编排、并应</w:t>
      </w:r>
      <w:r>
        <w:rPr>
          <w:rFonts w:hint="eastAsia"/>
          <w:color w:val="000000" w:themeColor="text1"/>
          <w:lang w:val="zh-CN"/>
          <w14:textFill>
            <w14:solidFill>
              <w14:schemeClr w14:val="tx1"/>
            </w14:solidFill>
          </w14:textFill>
        </w:rPr>
        <w:t>编制目录，</w:t>
      </w:r>
      <w:r>
        <w:rPr>
          <w:rFonts w:hint="eastAsia"/>
          <w:color w:val="000000" w:themeColor="text1"/>
          <w14:textFill>
            <w14:solidFill>
              <w14:schemeClr w14:val="tx1"/>
            </w14:solidFill>
          </w14:textFill>
        </w:rPr>
        <w:t>逐页标注连续页码，并分别</w:t>
      </w:r>
      <w:r>
        <w:rPr>
          <w:rFonts w:hint="eastAsia"/>
          <w:color w:val="000000" w:themeColor="text1"/>
          <w:lang w:val="zh-CN"/>
          <w14:textFill>
            <w14:solidFill>
              <w14:schemeClr w14:val="tx1"/>
            </w14:solidFill>
          </w14:textFill>
        </w:rPr>
        <w:t>胶装成册</w:t>
      </w:r>
      <w:r>
        <w:rPr>
          <w:rFonts w:hint="eastAsia"/>
          <w:color w:val="000000" w:themeColor="text1"/>
          <w14:textFill>
            <w14:solidFill>
              <w14:schemeClr w14:val="tx1"/>
            </w14:solidFill>
          </w14:textFill>
        </w:rPr>
        <w:t>。</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17.5因字迹潦草、表述不清或不按招标文件格式编制的投标文件，所引起的对投标人不利的后果，由投标人自行负责。</w:t>
      </w:r>
    </w:p>
    <w:p>
      <w:pPr>
        <w:pStyle w:val="4"/>
        <w:rPr>
          <w:color w:val="000000" w:themeColor="text1"/>
          <w14:textFill>
            <w14:solidFill>
              <w14:schemeClr w14:val="tx1"/>
            </w14:solidFill>
          </w14:textFill>
        </w:rPr>
      </w:pPr>
      <w:bookmarkStart w:id="74" w:name="_Toc28453"/>
      <w:bookmarkStart w:id="75" w:name="_Toc16202"/>
      <w:r>
        <w:rPr>
          <w:rFonts w:hint="eastAsia"/>
          <w:color w:val="000000" w:themeColor="text1"/>
          <w14:textFill>
            <w14:solidFill>
              <w14:schemeClr w14:val="tx1"/>
            </w14:solidFill>
          </w14:textFill>
        </w:rPr>
        <w:t>四.投标文件的递交</w:t>
      </w:r>
      <w:bookmarkEnd w:id="69"/>
      <w:bookmarkEnd w:id="70"/>
      <w:bookmarkEnd w:id="71"/>
      <w:bookmarkEnd w:id="74"/>
      <w:bookmarkEnd w:id="75"/>
    </w:p>
    <w:p>
      <w:pPr>
        <w:pStyle w:val="6"/>
        <w:rPr>
          <w:color w:val="000000" w:themeColor="text1"/>
          <w14:textFill>
            <w14:solidFill>
              <w14:schemeClr w14:val="tx1"/>
            </w14:solidFill>
          </w14:textFill>
        </w:rPr>
      </w:pPr>
      <w:bookmarkStart w:id="76" w:name="_Toc2184"/>
      <w:bookmarkStart w:id="77" w:name="_Toc4290"/>
      <w:r>
        <w:rPr>
          <w:rFonts w:hint="eastAsia"/>
          <w:color w:val="000000" w:themeColor="text1"/>
          <w14:textFill>
            <w14:solidFill>
              <w14:schemeClr w14:val="tx1"/>
            </w14:solidFill>
          </w14:textFill>
        </w:rPr>
        <w:t>18．投标文件的密封和标记</w:t>
      </w:r>
      <w:bookmarkEnd w:id="76"/>
      <w:bookmarkEnd w:id="77"/>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18.1投标文件的密封和标记：详见“投标人须知前附表”。</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18.2如果投标人未对投标文件按要求进行密封、标记，由此产生的不利后果由投标人自行承担。</w:t>
      </w:r>
    </w:p>
    <w:p>
      <w:pPr>
        <w:pStyle w:val="6"/>
        <w:rPr>
          <w:color w:val="000000" w:themeColor="text1"/>
          <w14:textFill>
            <w14:solidFill>
              <w14:schemeClr w14:val="tx1"/>
            </w14:solidFill>
          </w14:textFill>
        </w:rPr>
      </w:pPr>
      <w:bookmarkStart w:id="78" w:name="_Toc15552"/>
      <w:bookmarkStart w:id="79" w:name="_Toc6576"/>
      <w:r>
        <w:rPr>
          <w:rFonts w:hint="eastAsia"/>
          <w:color w:val="000000" w:themeColor="text1"/>
          <w14:textFill>
            <w14:solidFill>
              <w14:schemeClr w14:val="tx1"/>
            </w14:solidFill>
          </w14:textFill>
        </w:rPr>
        <w:t>19．投标文件的递交</w:t>
      </w:r>
      <w:bookmarkEnd w:id="78"/>
      <w:bookmarkEnd w:id="79"/>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19.1投标人应按照招标公告中规定的时间、地点，在规定的投标文件递交截止时间前将全部投标文件和投标资料递交至投标文件接收人。</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19.2采购代理机构在招标文件规定的投标文件递交截止时间前，只负责投标文件的接收、清点、造册登记工作，对其有效性不负任何责任。</w:t>
      </w:r>
    </w:p>
    <w:p>
      <w:pPr>
        <w:pStyle w:val="6"/>
        <w:rPr>
          <w:color w:val="000000" w:themeColor="text1"/>
          <w14:textFill>
            <w14:solidFill>
              <w14:schemeClr w14:val="tx1"/>
            </w14:solidFill>
          </w14:textFill>
        </w:rPr>
      </w:pPr>
      <w:bookmarkStart w:id="80" w:name="_Toc12399"/>
      <w:bookmarkStart w:id="81" w:name="_Toc455"/>
      <w:r>
        <w:rPr>
          <w:rFonts w:hint="eastAsia"/>
          <w:color w:val="000000" w:themeColor="text1"/>
          <w14:textFill>
            <w14:solidFill>
              <w14:schemeClr w14:val="tx1"/>
            </w14:solidFill>
          </w14:textFill>
        </w:rPr>
        <w:t>20．迟交的投标文件</w:t>
      </w:r>
      <w:bookmarkEnd w:id="80"/>
      <w:bookmarkEnd w:id="81"/>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20.1按照招标文件的规定，在递交投标文件的截止时间之后送达的投标文件，为无效投标文件，采购代理机构将拒绝接收。</w:t>
      </w:r>
    </w:p>
    <w:p>
      <w:pPr>
        <w:pStyle w:val="6"/>
        <w:rPr>
          <w:color w:val="000000" w:themeColor="text1"/>
          <w14:textFill>
            <w14:solidFill>
              <w14:schemeClr w14:val="tx1"/>
            </w14:solidFill>
          </w14:textFill>
        </w:rPr>
      </w:pPr>
      <w:bookmarkStart w:id="82" w:name="_Toc7249"/>
      <w:bookmarkStart w:id="83" w:name="_Toc9159"/>
      <w:r>
        <w:rPr>
          <w:rFonts w:hint="eastAsia"/>
          <w:color w:val="000000" w:themeColor="text1"/>
          <w14:textFill>
            <w14:solidFill>
              <w14:schemeClr w14:val="tx1"/>
            </w14:solidFill>
          </w14:textFill>
        </w:rPr>
        <w:t>21．投标的修改与撤回</w:t>
      </w:r>
      <w:bookmarkEnd w:id="82"/>
      <w:bookmarkEnd w:id="83"/>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21.1 投标人在递交投标文件后，可以修改或撤回其投标文件，也可以提出价格变动声明，但投标人必须在规定的投标文件递交截止时间之前将修改或撤回或变动价格的书面通知文件递交到陕西正鸿招标有限公司。</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21.2 投标人的修改或撤回或变动价格的通知应按本须知第17条、18条、19条的规定编制、密封、标记和递交。</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21.3 在投标文件递交截止时间之后，投标人不得对其投标做任何修改或撤回。</w:t>
      </w:r>
    </w:p>
    <w:p>
      <w:pPr>
        <w:pStyle w:val="4"/>
        <w:rPr>
          <w:color w:val="000000" w:themeColor="text1"/>
          <w14:textFill>
            <w14:solidFill>
              <w14:schemeClr w14:val="tx1"/>
            </w14:solidFill>
          </w14:textFill>
        </w:rPr>
      </w:pPr>
      <w:bookmarkStart w:id="84" w:name="_Toc500"/>
      <w:bookmarkStart w:id="85" w:name="_Toc8259"/>
      <w:bookmarkStart w:id="86" w:name="_Toc363474021"/>
      <w:bookmarkStart w:id="87" w:name="_Toc363473976"/>
      <w:bookmarkStart w:id="88" w:name="_Toc403077643"/>
      <w:r>
        <w:rPr>
          <w:rFonts w:hint="eastAsia"/>
          <w:color w:val="000000" w:themeColor="text1"/>
          <w14:textFill>
            <w14:solidFill>
              <w14:schemeClr w14:val="tx1"/>
            </w14:solidFill>
          </w14:textFill>
        </w:rPr>
        <w:t>五.开标与评标</w:t>
      </w:r>
      <w:bookmarkEnd w:id="84"/>
      <w:bookmarkEnd w:id="85"/>
      <w:bookmarkEnd w:id="86"/>
      <w:bookmarkEnd w:id="87"/>
      <w:bookmarkEnd w:id="88"/>
    </w:p>
    <w:p>
      <w:pPr>
        <w:pStyle w:val="6"/>
        <w:rPr>
          <w:color w:val="000000" w:themeColor="text1"/>
          <w14:textFill>
            <w14:solidFill>
              <w14:schemeClr w14:val="tx1"/>
            </w14:solidFill>
          </w14:textFill>
        </w:rPr>
      </w:pPr>
      <w:bookmarkStart w:id="89" w:name="_Toc8761"/>
      <w:bookmarkStart w:id="90" w:name="_Toc26680"/>
      <w:bookmarkStart w:id="91" w:name="_Toc27949"/>
      <w:bookmarkStart w:id="92" w:name="_Toc15204"/>
      <w:r>
        <w:rPr>
          <w:rFonts w:hint="eastAsia"/>
          <w:color w:val="000000" w:themeColor="text1"/>
          <w14:textFill>
            <w14:solidFill>
              <w14:schemeClr w14:val="tx1"/>
            </w14:solidFill>
          </w14:textFill>
        </w:rPr>
        <w:t>22. 开标</w:t>
      </w:r>
      <w:bookmarkEnd w:id="89"/>
      <w:bookmarkEnd w:id="90"/>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22.1 采购代理机构在规定的时间和地点组织公开开标。</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22.2 开标时，由监标人和投标人或者其推选的代表检查投标文件的密封情况。检查完毕后，采购代理机构当众宣读投标人名称、投标价格、修改或撤回或变动价格的书面通知（如果有），以及采购代理机构认为合适的其他内容。未在开标时宣读的投标价格，评标时不予承认。</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22.3只有在开标时唱出的价格和价格变动声明，评标时才能考虑。</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22.4 采购代理机构将做开标记录，存档备查。</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22.5投标人未参加开标的，视同认可开标结果。</w:t>
      </w:r>
    </w:p>
    <w:p>
      <w:pPr>
        <w:pStyle w:val="6"/>
        <w:rPr>
          <w:color w:val="000000" w:themeColor="text1"/>
          <w14:textFill>
            <w14:solidFill>
              <w14:schemeClr w14:val="tx1"/>
            </w14:solidFill>
          </w14:textFill>
        </w:rPr>
      </w:pPr>
      <w:bookmarkStart w:id="93" w:name="_Toc1352"/>
      <w:bookmarkStart w:id="94" w:name="_Toc2836"/>
      <w:r>
        <w:rPr>
          <w:rFonts w:hint="eastAsia"/>
          <w:color w:val="000000" w:themeColor="text1"/>
          <w14:textFill>
            <w14:solidFill>
              <w14:schemeClr w14:val="tx1"/>
            </w14:solidFill>
          </w14:textFill>
        </w:rPr>
        <w:t>23．评标组织及评标原则</w:t>
      </w:r>
      <w:bookmarkEnd w:id="93"/>
      <w:bookmarkEnd w:id="94"/>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23.1按照《中华人民共和国政府采购法》、中华人民共和国2015年第658号国务院令--《中华人民共和国政府采购法实施条例》和中华人民共和国财政部2017年第87号部长令--《政府采购</w:t>
      </w:r>
      <w:r>
        <w:rPr>
          <w:rFonts w:hint="eastAsia"/>
          <w:color w:val="000000" w:themeColor="text1"/>
          <w:lang w:val="en-US" w:eastAsia="zh-CN"/>
          <w14:textFill>
            <w14:solidFill>
              <w14:schemeClr w14:val="tx1"/>
            </w14:solidFill>
          </w14:textFill>
        </w:rPr>
        <w:t>货物</w:t>
      </w:r>
      <w:r>
        <w:rPr>
          <w:rFonts w:hint="eastAsia"/>
          <w:color w:val="000000" w:themeColor="text1"/>
          <w14:textFill>
            <w14:solidFill>
              <w14:schemeClr w14:val="tx1"/>
            </w14:solidFill>
          </w14:textFill>
        </w:rPr>
        <w:t>和服务招标投标管理办法》的规定，依法组建评标委员会，评标委员会由有关技术、经济等方面的专家组成。评标委员会成员人数以及技术、经济等方面专家的确定方式见投标人须知前附表。评标委员会按照招标文件规定的评标办法独立进行评标工作。</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23.2招标文件和投标文件是评标的依据。在评标中，不得改变招标文件中规定的评标标准、方法和中标条件。投标人不得在开标后使用任何方式对投标文件的实质性内容做任何更改。</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23.3在评标期间，对于投标文件中含义不明确、同类问题表述不一致或者有明显文字和计算错误的内容，评标委员会应当以书面形式（由评标委员会专家签字）要求投标人做出必要的澄清、说明或者纠正。投标人的澄清、说明或者补正应当采用书面形式，并由其法人代表或授权代表签署全名。投标人的澄清、说明或者补正不得超出投标文件的范围或者改变投标文件的实质性内容。</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23.4如果投标人在规定时限内，未能答复或拒绝答复评委会提出的澄清、说明或者补正的要求，将由评委会根据其投标文件按最大风险进行评标。</w:t>
      </w:r>
    </w:p>
    <w:p>
      <w:pPr>
        <w:pStyle w:val="6"/>
        <w:rPr>
          <w:color w:val="000000" w:themeColor="text1"/>
          <w14:textFill>
            <w14:solidFill>
              <w14:schemeClr w14:val="tx1"/>
            </w14:solidFill>
          </w14:textFill>
        </w:rPr>
      </w:pPr>
      <w:bookmarkStart w:id="95" w:name="_Toc29623"/>
      <w:bookmarkStart w:id="96" w:name="_Toc11682"/>
      <w:r>
        <w:rPr>
          <w:rFonts w:hint="eastAsia"/>
          <w:color w:val="000000" w:themeColor="text1"/>
          <w14:textFill>
            <w14:solidFill>
              <w14:schemeClr w14:val="tx1"/>
            </w14:solidFill>
          </w14:textFill>
        </w:rPr>
        <w:t>24．评标过程的保密</w:t>
      </w:r>
      <w:bookmarkEnd w:id="95"/>
      <w:bookmarkEnd w:id="96"/>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24.1评标委员会成员和与评标活动有关的工作人员不得泄露有关投标文件的评审和比较、中标候选人的推荐以及与评标有关的其他情况。</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24.2在评标过程中，如果投标人试图在投标文件的评审和比较、中标候选人的推荐以及与评标有关的其他方面，向评标人、采购人和采购代理机构施加任何影响，其投标应做无效投标处理。</w:t>
      </w:r>
    </w:p>
    <w:p>
      <w:pPr>
        <w:pStyle w:val="6"/>
        <w:rPr>
          <w:color w:val="000000" w:themeColor="text1"/>
          <w14:textFill>
            <w14:solidFill>
              <w14:schemeClr w14:val="tx1"/>
            </w14:solidFill>
          </w14:textFill>
        </w:rPr>
      </w:pPr>
      <w:bookmarkStart w:id="97" w:name="_Toc12700"/>
      <w:bookmarkStart w:id="98" w:name="_Toc10826"/>
      <w:r>
        <w:rPr>
          <w:rFonts w:hint="eastAsia"/>
          <w:color w:val="000000" w:themeColor="text1"/>
          <w14:textFill>
            <w14:solidFill>
              <w14:schemeClr w14:val="tx1"/>
            </w14:solidFill>
          </w14:textFill>
        </w:rPr>
        <w:t>25．评标办法</w:t>
      </w:r>
      <w:bookmarkEnd w:id="97"/>
      <w:bookmarkEnd w:id="98"/>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25.1按照《中华人民共和国政府采购法实施条例》和《政府采购</w:t>
      </w:r>
      <w:r>
        <w:rPr>
          <w:rFonts w:hint="eastAsia"/>
          <w:color w:val="000000" w:themeColor="text1"/>
          <w:lang w:val="en-US" w:eastAsia="zh-CN"/>
          <w14:textFill>
            <w14:solidFill>
              <w14:schemeClr w14:val="tx1"/>
            </w14:solidFill>
          </w14:textFill>
        </w:rPr>
        <w:t>货物</w:t>
      </w:r>
      <w:r>
        <w:rPr>
          <w:rFonts w:hint="eastAsia"/>
          <w:color w:val="000000" w:themeColor="text1"/>
          <w14:textFill>
            <w14:solidFill>
              <w14:schemeClr w14:val="tx1"/>
            </w14:solidFill>
          </w14:textFill>
        </w:rPr>
        <w:t>和服务招标投标管理办法》的规定，本次评标采用综合评分法。综合评分法，是指投标文件满足招标文件全部实质性要求，且按照评审因素的量化指标评审得分排序由高到低的投标人为中标候选人的评标办法。</w:t>
      </w:r>
    </w:p>
    <w:p>
      <w:pPr>
        <w:pStyle w:val="6"/>
        <w:rPr>
          <w:color w:val="000000" w:themeColor="text1"/>
          <w14:textFill>
            <w14:solidFill>
              <w14:schemeClr w14:val="tx1"/>
            </w14:solidFill>
          </w14:textFill>
        </w:rPr>
      </w:pPr>
      <w:bookmarkStart w:id="99" w:name="_Toc26334"/>
      <w:bookmarkStart w:id="100" w:name="_Toc10459"/>
      <w:r>
        <w:rPr>
          <w:rFonts w:hint="eastAsia"/>
          <w:color w:val="000000" w:themeColor="text1"/>
          <w14:textFill>
            <w14:solidFill>
              <w14:schemeClr w14:val="tx1"/>
            </w14:solidFill>
          </w14:textFill>
        </w:rPr>
        <w:t>26．评标程序</w:t>
      </w:r>
      <w:bookmarkEnd w:id="99"/>
      <w:bookmarkEnd w:id="100"/>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按照投标文件初审、澄清有关问题、比较与评价、推荐中标候选人名单的工作程序进行评标。在上一步评审中投标人被认定无效投标者，不进入下一步的评审。</w:t>
      </w:r>
    </w:p>
    <w:p>
      <w:pPr>
        <w:pStyle w:val="4"/>
        <w:rPr>
          <w:color w:val="000000" w:themeColor="text1"/>
          <w14:textFill>
            <w14:solidFill>
              <w14:schemeClr w14:val="tx1"/>
            </w14:solidFill>
          </w14:textFill>
        </w:rPr>
      </w:pPr>
      <w:bookmarkStart w:id="101" w:name="_Toc7785"/>
      <w:bookmarkStart w:id="102" w:name="_Toc363474022"/>
      <w:bookmarkStart w:id="103" w:name="_Toc363473977"/>
      <w:bookmarkStart w:id="104" w:name="_Toc11014"/>
      <w:bookmarkStart w:id="105" w:name="_Toc403077644"/>
      <w:r>
        <w:rPr>
          <w:rFonts w:hint="eastAsia"/>
          <w:color w:val="000000" w:themeColor="text1"/>
          <w14:textFill>
            <w14:solidFill>
              <w14:schemeClr w14:val="tx1"/>
            </w14:solidFill>
          </w14:textFill>
        </w:rPr>
        <w:t>六.定标、中标通知与签约</w:t>
      </w:r>
      <w:bookmarkEnd w:id="101"/>
      <w:bookmarkEnd w:id="102"/>
      <w:bookmarkEnd w:id="103"/>
      <w:bookmarkEnd w:id="104"/>
      <w:bookmarkEnd w:id="105"/>
    </w:p>
    <w:p>
      <w:pPr>
        <w:pStyle w:val="6"/>
        <w:rPr>
          <w:color w:val="000000" w:themeColor="text1"/>
          <w14:textFill>
            <w14:solidFill>
              <w14:schemeClr w14:val="tx1"/>
            </w14:solidFill>
          </w14:textFill>
        </w:rPr>
      </w:pPr>
      <w:bookmarkStart w:id="106" w:name="_Toc17765"/>
      <w:bookmarkStart w:id="107" w:name="_Toc22655"/>
      <w:r>
        <w:rPr>
          <w:rFonts w:hint="eastAsia"/>
          <w:color w:val="000000" w:themeColor="text1"/>
          <w14:textFill>
            <w14:solidFill>
              <w14:schemeClr w14:val="tx1"/>
            </w14:solidFill>
          </w14:textFill>
        </w:rPr>
        <w:t>27．定标程序</w:t>
      </w:r>
      <w:bookmarkEnd w:id="106"/>
      <w:bookmarkEnd w:id="107"/>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27.1评标委员会根据评标办法的规定对投标人进行评审排序，推荐3名中标候选人，作为评标结果。评标结果由评标委员会成员签字确认。</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27.2采购代理机构在评标结束后2个工作日内将评标报告送采购人。采购人应当在收到评标报告后5个工作日内，按照评标报告中推荐的中标候选人顺序和有关规定确定中标人</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27.3确定的中标候选人放弃中标、在规定期限内未能签订合同、因不可抗力不能履行合同、不按照招标文件要求提交履约保证金（如有），或者被查实存在影响中标结果的违法行为等情形，不符合中标条件的，采购人可以按照评标委员会提出的中标候选人名单排序依次确定其他中标候选人为中标人，也可以重新招标。</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27.4采购人也可以授权评标委员会评标后直接确定中标人。</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27.5中标人确定之后，中标结果将在财政部门指定的政府采购信息发布媒体上公告。</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27.6投标人或者其他利害关系人对评标结果有异议的，应当在法律规定的时间内提出。</w:t>
      </w:r>
    </w:p>
    <w:p>
      <w:pPr>
        <w:pStyle w:val="6"/>
        <w:rPr>
          <w:color w:val="000000" w:themeColor="text1"/>
          <w14:textFill>
            <w14:solidFill>
              <w14:schemeClr w14:val="tx1"/>
            </w14:solidFill>
          </w14:textFill>
        </w:rPr>
      </w:pPr>
      <w:bookmarkStart w:id="108" w:name="_Toc26443"/>
      <w:bookmarkStart w:id="109" w:name="_Toc12566"/>
      <w:r>
        <w:rPr>
          <w:rFonts w:hint="eastAsia"/>
          <w:color w:val="000000" w:themeColor="text1"/>
          <w14:textFill>
            <w14:solidFill>
              <w14:schemeClr w14:val="tx1"/>
            </w14:solidFill>
          </w14:textFill>
        </w:rPr>
        <w:t>28．中标和落标通知</w:t>
      </w:r>
      <w:bookmarkEnd w:id="108"/>
      <w:bookmarkEnd w:id="109"/>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28.1 采购代理机构在发布中标公告后，向中标人发出《中标通知书》。</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28.2中标通知书对采购人和中标人具有同等法律效力。中标通知书发出之后，采购人改变中标结果，或者中标人放弃中标，应当承担相应的法律责任。</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28.3中标公告发布后，未中标投标人可致电采购代理机构获知本单位的评审得分与排序。</w:t>
      </w:r>
    </w:p>
    <w:p>
      <w:pPr>
        <w:pStyle w:val="6"/>
        <w:rPr>
          <w:color w:val="000000" w:themeColor="text1"/>
          <w14:textFill>
            <w14:solidFill>
              <w14:schemeClr w14:val="tx1"/>
            </w14:solidFill>
          </w14:textFill>
        </w:rPr>
      </w:pPr>
      <w:bookmarkStart w:id="110" w:name="_Toc19838"/>
      <w:bookmarkStart w:id="111" w:name="_Toc32248"/>
      <w:r>
        <w:rPr>
          <w:rFonts w:hint="eastAsia"/>
          <w:color w:val="000000" w:themeColor="text1"/>
          <w14:textFill>
            <w14:solidFill>
              <w14:schemeClr w14:val="tx1"/>
            </w14:solidFill>
          </w14:textFill>
        </w:rPr>
        <w:t>29. 中标合同的签订</w:t>
      </w:r>
      <w:bookmarkEnd w:id="110"/>
      <w:bookmarkEnd w:id="111"/>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29.1采购人应当自中标通知书发出之日起三十日内，按照招标文件和中标人投标文件（包括评标中形成的澄清文件）的约定，与中标人签订书面合同。所签订的合同不得对招标文件和中标人的投标文件（包括评标中形成的澄清文件）作实质性修改。</w:t>
      </w:r>
    </w:p>
    <w:p>
      <w:pPr>
        <w:pStyle w:val="6"/>
        <w:rPr>
          <w:color w:val="000000" w:themeColor="text1"/>
          <w14:textFill>
            <w14:solidFill>
              <w14:schemeClr w14:val="tx1"/>
            </w14:solidFill>
          </w14:textFill>
        </w:rPr>
      </w:pPr>
      <w:bookmarkStart w:id="112" w:name="_Toc16904"/>
      <w:bookmarkStart w:id="113" w:name="_Toc27180"/>
      <w:r>
        <w:rPr>
          <w:rFonts w:hint="eastAsia"/>
          <w:color w:val="000000" w:themeColor="text1"/>
          <w14:textFill>
            <w14:solidFill>
              <w14:schemeClr w14:val="tx1"/>
            </w14:solidFill>
          </w14:textFill>
        </w:rPr>
        <w:t>30．招标代理服务费</w:t>
      </w:r>
      <w:bookmarkEnd w:id="112"/>
      <w:bookmarkEnd w:id="113"/>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30.1按国家计委颁发的《招标代理服务收费管理暂行办法》（计价格[2002]1980号）和国家发展改革委员会办公厅颁发的《关于招标代理服务收费有关问题的通知》（发改办价格[2003]857号）的有关规定执行。</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30.2中标人承担招标代理服务费，中标人在领取中标通知书前，须向采购代理机构一次性支付招标代理服务费。（见前附表）</w:t>
      </w:r>
    </w:p>
    <w:p>
      <w:pPr>
        <w:pStyle w:val="6"/>
        <w:rPr>
          <w:color w:val="000000" w:themeColor="text1"/>
          <w14:textFill>
            <w14:solidFill>
              <w14:schemeClr w14:val="tx1"/>
            </w14:solidFill>
          </w14:textFill>
        </w:rPr>
      </w:pPr>
      <w:bookmarkStart w:id="114" w:name="_Toc20770"/>
      <w:bookmarkStart w:id="115" w:name="_Toc23244"/>
      <w:r>
        <w:rPr>
          <w:rFonts w:hint="eastAsia"/>
          <w:color w:val="000000" w:themeColor="text1"/>
          <w14:textFill>
            <w14:solidFill>
              <w14:schemeClr w14:val="tx1"/>
            </w14:solidFill>
          </w14:textFill>
        </w:rPr>
        <w:t>31.质疑</w:t>
      </w:r>
      <w:bookmarkEnd w:id="114"/>
      <w:bookmarkEnd w:id="115"/>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31.1投标人认为招标文件、招标过程、中标结果使自己的权益受到损害的，可以在知道或者应知其权益受到损害之日起7个工作日内，以书面形式向采购人、采购代理机构提出质疑。</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31.2投标人必须在法定质疑期内一次性提出针对同一采购程序环节的质疑。</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31.4以联合体形式参加政府采购活动的，其质疑应当由组成联合体的所有投标人共同提出。</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31.5投标人提出质疑应当提交质疑函和必要的证明材料。质疑函应当包括下列内容：</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31.5.1投标人的姓名或者名称、地址、邮编、联系人及联系电话；</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31.5.2质疑项目的名称、编号；</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31.5.3具体、明确的质疑事项和与质疑事项相关的请求；</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31.5.4事实依据；</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31.5.5必要的法律依据；</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31.5.6提出质疑的日期。</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31.6有下列情形之一的，属于无效质疑，采购代理机构和采购人不予受理：</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31.6.1质疑投标人不是参与本次政府采购项目的投标人；</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31.6.2质疑投标人与质疑事项不存在利害关系的；</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31.6.3未在法定期限内提出质疑的；</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31.6.4质疑未以书面形式提出，或质疑函主要内容构成不完整的；</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31.6.5应当提交授权书而未提交的；</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31.6.6以非法手段取得证据、材料的；</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31.6.7质疑答复后，同一质疑人就同一事项或同一采购程序环节再次提出质疑的；</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31.6.8不符合法律、法规、规章和政府采购监管机构规定的其他条件的。</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31.7质疑答复</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31.7.1采购人或采购代理机构在收到质疑函后7个工作日内作出答复，并以书面形式通知质疑投标人和其他有关投标人。</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31.7.2质疑投标人对采购人、采购代理机构的答复不满意，或者采购人、采购代理机构未在规定时间内作出答复的，可以在答复期满后15个工作日内向同级人民政府财政部门提起投诉。</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31.8其他需要说明的事项</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31.8.1质疑函须按财政部《质疑函范本》给定的格式进行填写，范本下载详见【财政部国库司（gks.mof.gov.cn）】网站〖首页·政府采购管理〗栏目中的《政府采购投标人质疑函范本》。《政府采购投标人质疑函范本》链接地址：</w:t>
      </w:r>
    </w:p>
    <w:p>
      <w:pPr>
        <w:pStyle w:val="9"/>
        <w:ind w:firstLine="0" w:firstLineChars="0"/>
      </w:pPr>
      <w:r>
        <w:rPr>
          <w:rFonts w:hint="eastAsia"/>
        </w:rPr>
        <w:t>http：//gks.mof.gov.cn/zhengfucaigouguanli/201804/t20180401_2804589.html</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31.8.2接收质疑函的方式：书面形式</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31.8.3联系人：王倩倩  魏国力</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31.8.4联系电话：</w:t>
      </w:r>
      <w:r>
        <w:rPr>
          <w:color w:val="000000" w:themeColor="text1"/>
          <w14:textFill>
            <w14:solidFill>
              <w14:schemeClr w14:val="tx1"/>
            </w14:solidFill>
          </w14:textFill>
        </w:rPr>
        <w:t>029-89338755</w:t>
      </w:r>
      <w:r>
        <w:rPr>
          <w:rFonts w:hint="eastAsia"/>
          <w:color w:val="000000" w:themeColor="text1"/>
          <w14:textFill>
            <w14:solidFill>
              <w14:schemeClr w14:val="tx1"/>
            </w14:solidFill>
          </w14:textFill>
        </w:rPr>
        <w:t>/81511576转804</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31.8.5通讯地址：</w:t>
      </w:r>
      <w:r>
        <w:rPr>
          <w:rFonts w:hint="eastAsia"/>
        </w:rPr>
        <w:t>陕西省西安市雁塔区南二环东段凯森盛世一号A座4层408室</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32.政府采购信用担保及信用融资政策</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为充分发挥政府采购政策功能，扶持和促进中小企业发展，进一步解决中小微企业融资难、融资贵的问题，根据《政府采购促进中小企业发展管理办法》（财库﹝2020﹞46 号）和《陕西省财政厅关于加快推进我省中小企业政府采购信用融资工作的通知》（陕财办采〔2020〕15 号）有关要求，投标人在缴纳投标保证金（如有）及中标投标人缴纳履约保证金（如有）时可自愿选择通过担保机构保函的形式缴纳；中标投标人如果需要融资贷款服务的，可凭中标通知书、政府采购合同等相关资料，按照文件规定的程序申请办理，具体规定可登陆陕西省政府采购网</w:t>
      </w:r>
      <w:r>
        <w:rPr>
          <w:rFonts w:hint="eastAsia"/>
        </w:rPr>
        <w:t>(www.ccgp-shaanxi.gov.cn/)</w:t>
      </w:r>
      <w:r>
        <w:rPr>
          <w:rFonts w:hint="eastAsia"/>
          <w:color w:val="000000" w:themeColor="text1"/>
          <w14:textFill>
            <w14:solidFill>
              <w14:schemeClr w14:val="tx1"/>
            </w14:solidFill>
          </w14:textFill>
        </w:rPr>
        <w:t>重要通知专栏中查询了解。</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33.其他</w:t>
      </w:r>
      <w:bookmarkEnd w:id="91"/>
      <w:bookmarkEnd w:id="92"/>
    </w:p>
    <w:p>
      <w:pPr>
        <w:pStyle w:val="9"/>
        <w:ind w:firstLine="480"/>
        <w:rPr>
          <w:color w:val="000000" w:themeColor="text1"/>
          <w14:textFill>
            <w14:solidFill>
              <w14:schemeClr w14:val="tx1"/>
            </w14:solidFill>
          </w14:textFill>
        </w:rPr>
      </w:pPr>
      <w:bookmarkStart w:id="116" w:name="_Toc363474023"/>
      <w:r>
        <w:rPr>
          <w:rFonts w:hint="eastAsia"/>
          <w:color w:val="000000" w:themeColor="text1"/>
          <w14:textFill>
            <w14:solidFill>
              <w14:schemeClr w14:val="tx1"/>
            </w14:solidFill>
          </w14:textFill>
        </w:rPr>
        <w:t>33.1 废标的情形</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33.1.1招标采购中，出现下列情形之一的，应予以废标：</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（1）符合专业条件的投标人或者对招标文件作实质响应的投标人不足3家的；</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（2）出现影响采购公正的违法、违规行为的；</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（3）投标人的报价均超过了采购预算，采购人不能支付的；</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（4）因重大变故，采购任务取消的。</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33.1.2废标后，采购代理机构应在财政部门指定采购网上公告，并公告废标的详细理由。</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33.2变更采购方式</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33.2.1存在下列情形之一的，除采购任务取消情形外，采购人经同级财政部门同意后，可按《政府采购货物和服务招标投标管理办法》（财政部87号令）第四十三条规定的方式处理：</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（1）投标截止后参加投标的人不足3家的；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（2）通过资格审查的投标人不足3家的；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（3）通过符合性审查的投标人不足3家的。</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33.2.2通过符合性审查的投标人只有2家时，采购人经同级财政部门同意后，可以按《政府采购非招标采购方式管理办法》（财政部第74号令）的规定与该2家投标人进行竞争性谈判采购。</w:t>
      </w:r>
    </w:p>
    <w:p>
      <w:pPr>
        <w:pStyle w:val="10"/>
        <w:ind w:left="1440"/>
        <w:rPr>
          <w:color w:val="000000" w:themeColor="text1"/>
          <w:highlight w:val="red"/>
          <w14:textFill>
            <w14:solidFill>
              <w14:schemeClr w14:val="tx1"/>
            </w14:solidFill>
          </w14:textFill>
        </w:rPr>
      </w:pPr>
    </w:p>
    <w:p>
      <w:pPr>
        <w:pStyle w:val="3"/>
        <w:spacing w:before="340"/>
        <w:rPr>
          <w:color w:val="000000" w:themeColor="text1"/>
          <w14:textFill>
            <w14:solidFill>
              <w14:schemeClr w14:val="tx1"/>
            </w14:solidFill>
          </w14:textFill>
        </w:rPr>
      </w:pPr>
      <w:bookmarkStart w:id="117" w:name="_Toc11810"/>
      <w:bookmarkStart w:id="118" w:name="_Toc3798"/>
      <w:bookmarkStart w:id="119" w:name="_Toc15898"/>
      <w:bookmarkStart w:id="120" w:name="_Toc403077645"/>
      <w:bookmarkStart w:id="121" w:name="_Toc426457694"/>
      <w:r>
        <w:rPr>
          <w:rFonts w:hint="eastAsia"/>
          <w:color w:val="000000" w:themeColor="text1"/>
          <w14:textFill>
            <w14:solidFill>
              <w14:schemeClr w14:val="tx1"/>
            </w14:solidFill>
          </w14:textFill>
        </w:rPr>
        <w:br w:type="page"/>
      </w:r>
      <w:bookmarkStart w:id="122" w:name="_Toc20025"/>
      <w:r>
        <w:rPr>
          <w:rFonts w:hint="eastAsia"/>
          <w:color w:val="000000" w:themeColor="text1"/>
          <w14:textFill>
            <w14:solidFill>
              <w14:schemeClr w14:val="tx1"/>
            </w14:solidFill>
          </w14:textFill>
        </w:rPr>
        <w:t xml:space="preserve">第三章  </w:t>
      </w:r>
      <w:bookmarkEnd w:id="117"/>
      <w:bookmarkEnd w:id="118"/>
      <w:bookmarkEnd w:id="119"/>
      <w:bookmarkEnd w:id="120"/>
      <w:bookmarkEnd w:id="121"/>
      <w:r>
        <w:rPr>
          <w:rFonts w:hint="eastAsia"/>
          <w:color w:val="000000" w:themeColor="text1"/>
          <w14:textFill>
            <w14:solidFill>
              <w14:schemeClr w14:val="tx1"/>
            </w14:solidFill>
          </w14:textFill>
        </w:rPr>
        <w:t>商务及合同主要条款</w:t>
      </w:r>
      <w:bookmarkEnd w:id="122"/>
    </w:p>
    <w:p>
      <w:pPr>
        <w:pStyle w:val="6"/>
      </w:pPr>
      <w:bookmarkStart w:id="123" w:name="_Toc19199"/>
      <w:bookmarkStart w:id="124" w:name="_Toc20109"/>
      <w:bookmarkStart w:id="125" w:name="_Toc426457696"/>
      <w:bookmarkStart w:id="126" w:name="_Toc29888"/>
      <w:bookmarkStart w:id="127" w:name="_Toc19246"/>
      <w:bookmarkStart w:id="128" w:name="_Toc20230"/>
      <w:bookmarkStart w:id="129" w:name="_Toc26595"/>
      <w:bookmarkStart w:id="130" w:name="_Toc31520"/>
      <w:bookmarkStart w:id="131" w:name="_Toc9053"/>
      <w:bookmarkStart w:id="132" w:name="_Toc8333"/>
      <w:bookmarkStart w:id="133" w:name="_Toc389582037"/>
      <w:bookmarkStart w:id="134" w:name="_Toc31683"/>
      <w:r>
        <w:rPr>
          <w:rFonts w:hint="eastAsia"/>
        </w:rPr>
        <w:t>一、商务要求</w:t>
      </w:r>
    </w:p>
    <w:p>
      <w:pPr>
        <w:pStyle w:val="9"/>
        <w:ind w:firstLine="480"/>
      </w:pPr>
      <w:r>
        <w:rPr>
          <w:rFonts w:hint="eastAsia"/>
        </w:rPr>
        <w:t>（一）交付期：合同签订后10个工作日内。</w:t>
      </w:r>
    </w:p>
    <w:p>
      <w:pPr>
        <w:pStyle w:val="9"/>
        <w:ind w:firstLine="480"/>
      </w:pPr>
      <w:r>
        <w:rPr>
          <w:rFonts w:hint="eastAsia"/>
        </w:rPr>
        <w:t>（二）交货地点：咸阳师范学院指定地点。</w:t>
      </w:r>
    </w:p>
    <w:p>
      <w:pPr>
        <w:pStyle w:val="9"/>
        <w:ind w:firstLine="480"/>
      </w:pPr>
      <w:r>
        <w:rPr>
          <w:rFonts w:hint="eastAsia"/>
        </w:rPr>
        <w:t>（三）质保期：系统终身免费升级。免费质保期不少于三年，在质保期内免费升级并提供技术支持及服务。</w:t>
      </w:r>
    </w:p>
    <w:p>
      <w:pPr>
        <w:pStyle w:val="9"/>
        <w:ind w:firstLine="480"/>
      </w:pPr>
      <w:r>
        <w:rPr>
          <w:rFonts w:hint="eastAsia"/>
        </w:rPr>
        <w:t>（四）付款方式：合同签订前，乙方支付甲方合同总金额的5%作为履约保证金，乙方安排技术人员完成系统平台的安装与调试，项目实施完毕，甲方组织终验合格后支付合同总金额的100%，同时之前支付的履约保证金转为质保金，项目质保期满后甲方退还乙方质保金。</w:t>
      </w:r>
    </w:p>
    <w:p>
      <w:pPr>
        <w:pStyle w:val="9"/>
        <w:ind w:firstLine="480"/>
      </w:pPr>
      <w:r>
        <w:rPr>
          <w:rFonts w:hint="eastAsia"/>
        </w:rPr>
        <w:t>（五）售后服务：提供良好的技术培训，包括各种类型培训与个性化指导，使学校老师能正确掌握系统的使用功能，遇到问题公司能快速响应，一般问题须在24小时内解决，特殊或紧急情况中标人的技术服务人员必须在3小时内到达学校，及时解决学校在项目实施及系统使用过程中遇到的各类问题。</w:t>
      </w:r>
    </w:p>
    <w:p>
      <w:pPr>
        <w:pStyle w:val="9"/>
        <w:ind w:firstLine="480"/>
      </w:pPr>
      <w:r>
        <w:rPr>
          <w:rFonts w:hint="eastAsia"/>
        </w:rPr>
        <w:t>（六）价格说明：软件安装调试所需要的人工、工具等均由中标人负责提供，所需费用包含在投标总报价内。</w:t>
      </w:r>
    </w:p>
    <w:p>
      <w:pPr>
        <w:pStyle w:val="6"/>
      </w:pPr>
      <w:r>
        <w:rPr>
          <w:rFonts w:hint="eastAsia"/>
        </w:rPr>
        <w:t>二、质量保证</w:t>
      </w:r>
    </w:p>
    <w:p>
      <w:pPr>
        <w:pStyle w:val="9"/>
        <w:ind w:firstLine="480"/>
      </w:pPr>
      <w:r>
        <w:rPr>
          <w:rFonts w:hint="eastAsia"/>
        </w:rPr>
        <w:t>1.采购标的需执行的国家相关标准、行业标准、地方标准或者其他标准、规范：符合国家相关标准；</w:t>
      </w:r>
    </w:p>
    <w:p>
      <w:pPr>
        <w:pStyle w:val="9"/>
        <w:ind w:firstLine="480"/>
      </w:pPr>
      <w:r>
        <w:rPr>
          <w:rFonts w:hint="eastAsia"/>
        </w:rPr>
        <w:t>2.采购标的需满足的质量、安全、技术规格、物理特性等要求：设备质量、安全合格,技术规格、物理特性满足招标文件要求。</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二、合同主要条款（此合同只作为参考，最终签订的合同以采购人确定的合同内容为准）</w:t>
      </w:r>
    </w:p>
    <w:p>
      <w:pPr>
        <w:spacing w:line="360" w:lineRule="auto"/>
        <w:ind w:firstLine="482" w:firstLineChars="200"/>
        <w:rPr>
          <w:rFonts w:hAnsi="宋体" w:cs="宋体"/>
          <w:b/>
          <w:bCs/>
          <w:color w:val="000000" w:themeColor="text1"/>
          <w:kern w:val="2"/>
          <w:szCs w:val="24"/>
          <w14:textFill>
            <w14:solidFill>
              <w14:schemeClr w14:val="tx1"/>
            </w14:solidFill>
          </w14:textFill>
        </w:rPr>
      </w:pPr>
      <w:r>
        <w:rPr>
          <w:rFonts w:hint="eastAsia" w:hAnsi="宋体" w:cs="宋体"/>
          <w:b/>
          <w:bCs/>
          <w:color w:val="000000" w:themeColor="text1"/>
          <w:kern w:val="2"/>
          <w:szCs w:val="24"/>
          <w14:textFill>
            <w14:solidFill>
              <w14:schemeClr w14:val="tx1"/>
            </w14:solidFill>
          </w14:textFill>
        </w:rPr>
        <w:t xml:space="preserve">1.服务条件 </w:t>
      </w:r>
    </w:p>
    <w:p>
      <w:pPr>
        <w:spacing w:line="360" w:lineRule="auto"/>
        <w:ind w:firstLine="480" w:firstLineChars="200"/>
        <w:rPr>
          <w:rFonts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 xml:space="preserve">（1）服务地点：采购人指定地点； </w:t>
      </w:r>
    </w:p>
    <w:p>
      <w:pPr>
        <w:spacing w:line="360" w:lineRule="auto"/>
        <w:ind w:firstLine="480" w:firstLineChars="200"/>
        <w:rPr>
          <w:rFonts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（2）服务期：自合同签订之日起不少于3年，永久免费升级。服务期满后服务费双方商议确定。</w:t>
      </w:r>
    </w:p>
    <w:p>
      <w:pPr>
        <w:spacing w:line="360" w:lineRule="auto"/>
        <w:ind w:firstLine="482" w:firstLineChars="200"/>
        <w:rPr>
          <w:rFonts w:hAnsi="宋体" w:cs="宋体"/>
          <w:b/>
          <w:bCs/>
          <w:color w:val="000000" w:themeColor="text1"/>
          <w:kern w:val="2"/>
          <w:szCs w:val="24"/>
          <w14:textFill>
            <w14:solidFill>
              <w14:schemeClr w14:val="tx1"/>
            </w14:solidFill>
          </w14:textFill>
        </w:rPr>
      </w:pPr>
      <w:r>
        <w:rPr>
          <w:rFonts w:hint="eastAsia" w:hAnsi="宋体" w:cs="宋体"/>
          <w:b/>
          <w:bCs/>
          <w:color w:val="000000" w:themeColor="text1"/>
          <w:kern w:val="2"/>
          <w:szCs w:val="24"/>
          <w14:textFill>
            <w14:solidFill>
              <w14:schemeClr w14:val="tx1"/>
            </w14:solidFill>
          </w14:textFill>
        </w:rPr>
        <w:t xml:space="preserve">2.合同价款 </w:t>
      </w:r>
    </w:p>
    <w:p>
      <w:pPr>
        <w:spacing w:line="360" w:lineRule="auto"/>
        <w:ind w:firstLine="480" w:firstLineChars="200"/>
        <w:rPr>
          <w:rFonts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合同总价一次性包死，不受市场价格变化因素的影响。</w:t>
      </w:r>
    </w:p>
    <w:p>
      <w:pPr>
        <w:spacing w:line="360" w:lineRule="auto"/>
        <w:ind w:firstLine="482" w:firstLineChars="200"/>
        <w:rPr>
          <w:rFonts w:hAnsi="宋体" w:cs="宋体"/>
          <w:b/>
          <w:bCs/>
          <w:color w:val="000000" w:themeColor="text1"/>
          <w:kern w:val="2"/>
          <w:szCs w:val="24"/>
          <w14:textFill>
            <w14:solidFill>
              <w14:schemeClr w14:val="tx1"/>
            </w14:solidFill>
          </w14:textFill>
        </w:rPr>
      </w:pPr>
      <w:r>
        <w:rPr>
          <w:rFonts w:hint="eastAsia" w:hAnsi="宋体" w:cs="宋体"/>
          <w:b/>
          <w:bCs/>
          <w:color w:val="000000" w:themeColor="text1"/>
          <w:kern w:val="2"/>
          <w:szCs w:val="24"/>
          <w14:textFill>
            <w14:solidFill>
              <w14:schemeClr w14:val="tx1"/>
            </w14:solidFill>
          </w14:textFill>
        </w:rPr>
        <w:t xml:space="preserve">3.款项结算 </w:t>
      </w:r>
    </w:p>
    <w:p>
      <w:pPr>
        <w:spacing w:line="360" w:lineRule="auto"/>
        <w:ind w:firstLine="480" w:firstLineChars="200"/>
        <w:rPr>
          <w:rFonts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 xml:space="preserve">（1）支付方式：银行转账 </w:t>
      </w:r>
    </w:p>
    <w:p>
      <w:pPr>
        <w:spacing w:line="360" w:lineRule="auto"/>
        <w:ind w:firstLine="480" w:firstLineChars="200"/>
        <w:rPr>
          <w:rFonts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 xml:space="preserve">（2）货币单位：人民币 </w:t>
      </w:r>
    </w:p>
    <w:p>
      <w:pPr>
        <w:spacing w:line="360" w:lineRule="auto"/>
        <w:ind w:firstLine="480" w:firstLineChars="200"/>
        <w:rPr>
          <w:rFonts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 xml:space="preserve">（3）结算方式：合同签订前，乙方支付甲方合同总金额的5%作为履约保证金，乙方安排技术人员完成系统平台的安装与调试，项目实施完毕，甲方组织终验合格后支付合同总金额的100%，同时之前支付的履约保证金转为质保金，项目质保期满后甲方退还乙方质保金。年底和年初因受财政预算影响，可提前或推后付款。 </w:t>
      </w:r>
    </w:p>
    <w:p>
      <w:pPr>
        <w:spacing w:line="360" w:lineRule="auto"/>
        <w:ind w:firstLine="482" w:firstLineChars="200"/>
        <w:rPr>
          <w:rFonts w:hAnsi="宋体" w:cs="宋体"/>
          <w:b/>
          <w:bCs/>
          <w:color w:val="000000" w:themeColor="text1"/>
          <w:kern w:val="2"/>
          <w:szCs w:val="24"/>
          <w14:textFill>
            <w14:solidFill>
              <w14:schemeClr w14:val="tx1"/>
            </w14:solidFill>
          </w14:textFill>
        </w:rPr>
      </w:pPr>
      <w:r>
        <w:rPr>
          <w:rFonts w:hint="eastAsia" w:hAnsi="宋体" w:cs="宋体"/>
          <w:b/>
          <w:bCs/>
          <w:color w:val="000000" w:themeColor="text1"/>
          <w:kern w:val="2"/>
          <w:szCs w:val="24"/>
          <w14:textFill>
            <w14:solidFill>
              <w14:schemeClr w14:val="tx1"/>
            </w14:solidFill>
          </w14:textFill>
        </w:rPr>
        <w:t xml:space="preserve">4.服务承诺 </w:t>
      </w:r>
    </w:p>
    <w:p>
      <w:pPr>
        <w:spacing w:line="360" w:lineRule="auto"/>
        <w:ind w:firstLine="480" w:firstLineChars="200"/>
        <w:rPr>
          <w:rFonts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 xml:space="preserve">以投标文件、澄清表（函）、合同和随服务的相关文件为准。 </w:t>
      </w:r>
    </w:p>
    <w:p>
      <w:pPr>
        <w:spacing w:line="360" w:lineRule="auto"/>
        <w:ind w:firstLine="482" w:firstLineChars="200"/>
        <w:rPr>
          <w:rFonts w:hAnsi="宋体" w:cs="宋体"/>
          <w:b/>
          <w:bCs/>
          <w:color w:val="000000" w:themeColor="text1"/>
          <w:kern w:val="2"/>
          <w:szCs w:val="24"/>
          <w14:textFill>
            <w14:solidFill>
              <w14:schemeClr w14:val="tx1"/>
            </w14:solidFill>
          </w14:textFill>
        </w:rPr>
      </w:pPr>
      <w:r>
        <w:rPr>
          <w:rFonts w:hint="eastAsia" w:hAnsi="宋体" w:cs="宋体"/>
          <w:b/>
          <w:bCs/>
          <w:color w:val="000000" w:themeColor="text1"/>
          <w:kern w:val="2"/>
          <w:szCs w:val="24"/>
          <w14:textFill>
            <w14:solidFill>
              <w14:schemeClr w14:val="tx1"/>
            </w14:solidFill>
          </w14:textFill>
        </w:rPr>
        <w:t xml:space="preserve">5.违约责任 </w:t>
      </w:r>
    </w:p>
    <w:p>
      <w:pPr>
        <w:spacing w:line="360" w:lineRule="auto"/>
        <w:ind w:firstLine="480" w:firstLineChars="200"/>
        <w:rPr>
          <w:rFonts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 xml:space="preserve">（1）按《民法典》中的相关条款执行。 </w:t>
      </w:r>
    </w:p>
    <w:p>
      <w:pPr>
        <w:spacing w:line="360" w:lineRule="auto"/>
        <w:ind w:firstLine="480" w:firstLineChars="200"/>
        <w:rPr>
          <w:rFonts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（2）未按合同要求提供服务或服务质量不能满足合同要求，采购人有权依据《民法典》有关条款及合同约定终止合同，并要求供应商承担违约责任。</w:t>
      </w:r>
    </w:p>
    <w:p>
      <w:pPr>
        <w:spacing w:line="360" w:lineRule="auto"/>
        <w:ind w:firstLine="482" w:firstLineChars="200"/>
        <w:rPr>
          <w:rFonts w:hAnsi="宋体" w:cs="宋体"/>
          <w:b/>
          <w:bCs/>
          <w:color w:val="000000" w:themeColor="text1"/>
          <w:kern w:val="2"/>
          <w:szCs w:val="24"/>
          <w14:textFill>
            <w14:solidFill>
              <w14:schemeClr w14:val="tx1"/>
            </w14:solidFill>
          </w14:textFill>
        </w:rPr>
      </w:pPr>
      <w:r>
        <w:rPr>
          <w:rFonts w:hint="eastAsia" w:hAnsi="宋体" w:cs="宋体"/>
          <w:b/>
          <w:bCs/>
          <w:color w:val="000000" w:themeColor="text1"/>
          <w:kern w:val="2"/>
          <w:szCs w:val="24"/>
          <w14:textFill>
            <w14:solidFill>
              <w14:schemeClr w14:val="tx1"/>
            </w14:solidFill>
          </w14:textFill>
        </w:rPr>
        <w:t xml:space="preserve">6.争议解决 </w:t>
      </w:r>
    </w:p>
    <w:p>
      <w:pPr>
        <w:spacing w:line="360" w:lineRule="auto"/>
        <w:ind w:firstLine="480" w:firstLineChars="200"/>
        <w:rPr>
          <w:rFonts w:ascii="仿宋_GB2312" w:hAnsi="仿宋_GB2312" w:eastAsia="仿宋_GB2312" w:cs="华文仿宋"/>
          <w:szCs w:val="24"/>
        </w:rPr>
      </w:pPr>
      <w:r>
        <w:rPr>
          <w:rFonts w:hint="eastAsia" w:hAnsi="宋体" w:cs="宋体"/>
          <w:color w:val="000000" w:themeColor="text1"/>
          <w:kern w:val="2"/>
          <w:szCs w:val="24"/>
          <w14:textFill>
            <w14:solidFill>
              <w14:schemeClr w14:val="tx1"/>
            </w14:solidFill>
          </w14:textFill>
        </w:rPr>
        <w:t xml:space="preserve">执行本合同中产生纠纷，由采购人与中标供应商双方协商解决；协商不成，向有管辖权的人民法院提起诉讼。 </w:t>
      </w:r>
    </w:p>
    <w:p>
      <w:pPr>
        <w:spacing w:line="360" w:lineRule="auto"/>
        <w:ind w:firstLine="482" w:firstLineChars="200"/>
        <w:rPr>
          <w:rFonts w:hAnsi="宋体" w:cs="宋体"/>
          <w:b/>
          <w:bCs/>
          <w:color w:val="000000" w:themeColor="text1"/>
          <w:kern w:val="2"/>
          <w:szCs w:val="24"/>
          <w14:textFill>
            <w14:solidFill>
              <w14:schemeClr w14:val="tx1"/>
            </w14:solidFill>
          </w14:textFill>
        </w:rPr>
      </w:pPr>
      <w:r>
        <w:rPr>
          <w:rFonts w:hint="eastAsia" w:hAnsi="宋体" w:cs="宋体"/>
          <w:b/>
          <w:bCs/>
          <w:color w:val="000000" w:themeColor="text1"/>
          <w:kern w:val="2"/>
          <w:szCs w:val="24"/>
          <w14:textFill>
            <w14:solidFill>
              <w14:schemeClr w14:val="tx1"/>
            </w14:solidFill>
          </w14:textFill>
        </w:rPr>
        <w:t xml:space="preserve">7.解除合同 </w:t>
      </w:r>
    </w:p>
    <w:p>
      <w:pPr>
        <w:spacing w:line="360" w:lineRule="auto"/>
        <w:ind w:firstLine="480" w:firstLineChars="200"/>
        <w:rPr>
          <w:rFonts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 xml:space="preserve">如发生下列任意一项，采购人有权责令整改并向上级主管部门报备解除合同,并要求中标供应商赔偿相关损失及承担相关法律责任。 </w:t>
      </w:r>
    </w:p>
    <w:p>
      <w:pPr>
        <w:spacing w:line="360" w:lineRule="auto"/>
        <w:ind w:firstLine="480" w:firstLineChars="200"/>
        <w:rPr>
          <w:rFonts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 xml:space="preserve">（1）拒不改正、影响服务质量或损害国家利益的。 </w:t>
      </w:r>
    </w:p>
    <w:p>
      <w:pPr>
        <w:spacing w:line="360" w:lineRule="auto"/>
        <w:ind w:firstLine="480" w:firstLineChars="200"/>
        <w:rPr>
          <w:rFonts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 xml:space="preserve">（2）因中标供应商原因导致重大火灾、伤亡、档案丢失等。 </w:t>
      </w:r>
    </w:p>
    <w:p>
      <w:pPr>
        <w:spacing w:line="360" w:lineRule="auto"/>
        <w:ind w:firstLine="480" w:firstLineChars="200"/>
        <w:rPr>
          <w:rFonts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 xml:space="preserve">（3）发生重大安全事件隐瞒不报。 </w:t>
      </w:r>
    </w:p>
    <w:p>
      <w:pPr>
        <w:spacing w:line="360" w:lineRule="auto"/>
        <w:ind w:firstLine="480" w:firstLineChars="200"/>
        <w:rPr>
          <w:rFonts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 xml:space="preserve">（4）其他违反法律、法规和规章制度行为，造成恶劣影响的。 </w:t>
      </w:r>
    </w:p>
    <w:p>
      <w:pPr>
        <w:spacing w:line="360" w:lineRule="auto"/>
        <w:ind w:firstLine="480" w:firstLineChars="200"/>
        <w:rPr>
          <w:rFonts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5）未按本项目合同要求提供服务或服务质量不能满足合同要求，采购人应当将服务违约的情况以及拟按合同约定以书面形式报政府采购监管部门，根据政府采购监管部门的处理意见，采购人有权依据《民法典》有关条款及合同约定终止合同，并要求服务商承担违约责任。同时，政府采购监管部门有权依据《政府采购法》及相关法律法规对服务商的违法行为进行相应的处罚。</w:t>
      </w:r>
    </w:p>
    <w:p>
      <w:pPr>
        <w:spacing w:line="360" w:lineRule="auto"/>
        <w:ind w:firstLine="482" w:firstLineChars="200"/>
        <w:rPr>
          <w:rFonts w:ascii="仿宋_GB2312" w:hAnsi="仿宋_GB2312" w:eastAsia="仿宋_GB2312" w:cs="华文仿宋"/>
          <w:b/>
          <w:bCs/>
          <w:szCs w:val="24"/>
        </w:rPr>
      </w:pPr>
      <w:r>
        <w:rPr>
          <w:rFonts w:hint="eastAsia" w:hAnsi="宋体" w:cs="宋体"/>
          <w:b/>
          <w:bCs/>
          <w:color w:val="000000" w:themeColor="text1"/>
          <w:kern w:val="2"/>
          <w:szCs w:val="24"/>
          <w14:textFill>
            <w14:solidFill>
              <w14:schemeClr w14:val="tx1"/>
            </w14:solidFill>
          </w14:textFill>
        </w:rPr>
        <w:t>8.合同生效及其他</w:t>
      </w:r>
      <w:r>
        <w:rPr>
          <w:rFonts w:hint="eastAsia" w:ascii="仿宋_GB2312" w:hAnsi="仿宋_GB2312" w:eastAsia="仿宋_GB2312" w:cs="华文仿宋"/>
          <w:b/>
          <w:bCs/>
          <w:szCs w:val="24"/>
        </w:rPr>
        <w:t xml:space="preserve"> </w:t>
      </w:r>
    </w:p>
    <w:p>
      <w:pPr>
        <w:spacing w:line="360" w:lineRule="auto"/>
        <w:ind w:firstLine="480" w:firstLineChars="200"/>
        <w:rPr>
          <w:rFonts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 xml:space="preserve">（1）本合同自签订之日起生效。 </w:t>
      </w:r>
    </w:p>
    <w:p>
      <w:pPr>
        <w:spacing w:line="360" w:lineRule="auto"/>
        <w:ind w:firstLine="480" w:firstLineChars="200"/>
        <w:rPr>
          <w:rFonts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 xml:space="preserve">（2）合同份数由采购人和中标供应商具体商定，陕西省省级单位政府采 </w:t>
      </w:r>
    </w:p>
    <w:p>
      <w:pPr>
        <w:spacing w:line="360" w:lineRule="auto"/>
        <w:ind w:firstLine="480" w:firstLineChars="200"/>
        <w:rPr>
          <w:rFonts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 xml:space="preserve">购中心留存合同原件一份（用于办理中标供应商的投标保证金退还事宜）。 </w:t>
      </w:r>
    </w:p>
    <w:p>
      <w:pPr>
        <w:spacing w:line="360" w:lineRule="auto"/>
        <w:ind w:firstLine="480" w:firstLineChars="200"/>
        <w:rPr>
          <w:rFonts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（3）未尽事宜由双方在签订合同时具体明确。</w:t>
      </w:r>
    </w:p>
    <w:p>
      <w:pPr>
        <w:rPr>
          <w:color w:val="000000" w:themeColor="text1"/>
          <w14:textFill>
            <w14:solidFill>
              <w14:schemeClr w14:val="tx1"/>
            </w14:solidFill>
          </w14:textFill>
        </w:rPr>
      </w:pPr>
    </w:p>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8"/>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甲  方</w:t>
            </w: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（盖章）</w:t>
            </w: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中标人全称</w:t>
            </w:r>
          </w:p>
          <w:p>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地址：</w:t>
            </w: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邮编：</w:t>
            </w: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vMerge w:val="restart"/>
            <w:tcBorders>
              <w:top w:val="single" w:color="auto" w:sz="4" w:space="0"/>
              <w:left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全权代表：（签字）</w:t>
            </w: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628" w:type="dxa"/>
            <w:vMerge w:val="continue"/>
            <w:tcBorders>
              <w:left w:val="single" w:color="auto" w:sz="4" w:space="0"/>
              <w:bottom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被授权代表：（签字）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电话：</w:t>
            </w: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传真：</w:t>
            </w: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日期：  年   月   日</w:t>
            </w: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日期：  年   月   日</w:t>
            </w:r>
          </w:p>
        </w:tc>
      </w:tr>
    </w:tbl>
    <w:p>
      <w:pPr>
        <w:adjustRightInd w:val="0"/>
        <w:snapToGrid w:val="0"/>
        <w:spacing w:line="360" w:lineRule="auto"/>
        <w:rPr>
          <w:rFonts w:hAnsi="宋体" w:cs="宋体"/>
          <w:color w:val="000000" w:themeColor="text1"/>
          <w:szCs w:val="24"/>
          <w14:textFill>
            <w14:solidFill>
              <w14:schemeClr w14:val="tx1"/>
            </w14:solidFill>
          </w14:textFill>
        </w:rPr>
      </w:pPr>
    </w:p>
    <w:p>
      <w:pPr>
        <w:rPr>
          <w:color w:val="000000" w:themeColor="text1"/>
          <w14:textFill>
            <w14:solidFill>
              <w14:schemeClr w14:val="tx1"/>
            </w14:solidFill>
          </w14:textFill>
        </w:rPr>
      </w:pPr>
    </w:p>
    <w:p>
      <w:pPr>
        <w:pStyle w:val="3"/>
        <w:spacing w:before="340"/>
        <w:rPr>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35" w:name="_Toc4724"/>
      <w:r>
        <w:rPr>
          <w:rFonts w:hint="eastAsia"/>
          <w:color w:val="000000" w:themeColor="text1"/>
          <w:sz w:val="36"/>
          <w:szCs w:val="36"/>
          <w14:textFill>
            <w14:solidFill>
              <w14:schemeClr w14:val="tx1"/>
            </w14:solidFill>
          </w14:textFill>
        </w:rPr>
        <w:t>第四章  采购内容及技术要求</w:t>
      </w:r>
      <w:bookmarkEnd w:id="123"/>
      <w:bookmarkEnd w:id="124"/>
      <w:bookmarkEnd w:id="125"/>
      <w:bookmarkEnd w:id="126"/>
      <w:bookmarkEnd w:id="127"/>
      <w:bookmarkEnd w:id="128"/>
      <w:bookmarkEnd w:id="129"/>
      <w:bookmarkEnd w:id="130"/>
      <w:bookmarkEnd w:id="131"/>
      <w:bookmarkEnd w:id="132"/>
      <w:bookmarkEnd w:id="133"/>
      <w:bookmarkEnd w:id="134"/>
      <w:bookmarkEnd w:id="135"/>
      <w:bookmarkStart w:id="136" w:name="_Toc317530110"/>
      <w:bookmarkStart w:id="137" w:name="_Toc20481"/>
      <w:bookmarkStart w:id="138" w:name="_Toc23856"/>
      <w:bookmarkStart w:id="139" w:name="_Toc4053"/>
      <w:bookmarkStart w:id="140" w:name="_Toc389582038"/>
      <w:bookmarkStart w:id="141" w:name="_Toc11450"/>
      <w:bookmarkStart w:id="142" w:name="_Toc1025"/>
      <w:bookmarkStart w:id="143" w:name="_Toc2711"/>
    </w:p>
    <w:bookmarkEnd w:id="136"/>
    <w:p>
      <w:pPr>
        <w:pStyle w:val="6"/>
      </w:pPr>
      <w:bookmarkStart w:id="144" w:name="_Toc2203"/>
      <w:bookmarkStart w:id="145" w:name="_Toc25607"/>
      <w:bookmarkStart w:id="146" w:name="_Toc18238"/>
      <w:bookmarkStart w:id="147" w:name="_Toc426457697"/>
      <w:bookmarkStart w:id="148" w:name="_Toc1462"/>
      <w:r>
        <w:rPr>
          <w:rFonts w:hint="eastAsia"/>
        </w:rPr>
        <w:t>一、技术要求</w:t>
      </w:r>
    </w:p>
    <w:p>
      <w:pPr>
        <w:pStyle w:val="9"/>
        <w:ind w:firstLine="482"/>
        <w:rPr>
          <w:b/>
          <w:bCs/>
        </w:rPr>
      </w:pPr>
      <w:r>
        <w:rPr>
          <w:rFonts w:hint="eastAsia"/>
          <w:b/>
          <w:bCs/>
        </w:rPr>
        <w:t>（一）项目建设目标</w:t>
      </w:r>
    </w:p>
    <w:p>
      <w:pPr>
        <w:pStyle w:val="9"/>
        <w:ind w:firstLine="480"/>
      </w:pPr>
      <w:r>
        <w:rPr>
          <w:rFonts w:hint="eastAsia"/>
        </w:rPr>
        <w:t>为建立健全我校教学质量保障体系，计划建设专业认证管理系统及教学质量保障监控一体化监测平台，其中包含三大子系统</w:t>
      </w:r>
      <w:r>
        <w:rPr>
          <w:rFonts w:hint="eastAsia"/>
          <w:color w:val="FF0000"/>
        </w:rPr>
        <w:t>所含的功能</w:t>
      </w:r>
      <w:r>
        <w:rPr>
          <w:rFonts w:hint="eastAsia"/>
        </w:rPr>
        <w:t>，包括教学基本状态数据库子系统、教学质量保障子系统、专业认证管理子系统，详细内容如下：</w:t>
      </w:r>
    </w:p>
    <w:tbl>
      <w:tblPr>
        <w:tblStyle w:val="19"/>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2582"/>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5" w:type="dxa"/>
          </w:tcPr>
          <w:p>
            <w:pPr>
              <w:pStyle w:val="29"/>
            </w:pPr>
            <w:r>
              <w:rPr>
                <w:rFonts w:hint="eastAsia"/>
              </w:rPr>
              <w:t>项目名称</w:t>
            </w:r>
          </w:p>
        </w:tc>
        <w:tc>
          <w:tcPr>
            <w:tcW w:w="2582" w:type="dxa"/>
          </w:tcPr>
          <w:p>
            <w:pPr>
              <w:pStyle w:val="29"/>
            </w:pPr>
            <w:r>
              <w:rPr>
                <w:rFonts w:hint="eastAsia"/>
              </w:rPr>
              <w:t>分项内容</w:t>
            </w:r>
          </w:p>
        </w:tc>
        <w:tc>
          <w:tcPr>
            <w:tcW w:w="4064" w:type="dxa"/>
          </w:tcPr>
          <w:p>
            <w:pPr>
              <w:pStyle w:val="29"/>
            </w:pPr>
            <w:r>
              <w:rPr>
                <w:rFonts w:hint="eastAsia"/>
              </w:rPr>
              <w:t>具体功能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5" w:type="dxa"/>
            <w:vMerge w:val="restart"/>
          </w:tcPr>
          <w:p>
            <w:pPr>
              <w:pStyle w:val="29"/>
            </w:pPr>
          </w:p>
          <w:p>
            <w:pPr>
              <w:pStyle w:val="29"/>
            </w:pPr>
          </w:p>
          <w:p>
            <w:pPr>
              <w:pStyle w:val="29"/>
            </w:pPr>
          </w:p>
          <w:p>
            <w:pPr>
              <w:pStyle w:val="29"/>
            </w:pPr>
          </w:p>
          <w:p>
            <w:pPr>
              <w:pStyle w:val="29"/>
            </w:pPr>
          </w:p>
          <w:p>
            <w:pPr>
              <w:pStyle w:val="29"/>
            </w:pPr>
          </w:p>
          <w:p>
            <w:pPr>
              <w:pStyle w:val="29"/>
            </w:pPr>
          </w:p>
          <w:p>
            <w:pPr>
              <w:pStyle w:val="29"/>
            </w:pPr>
            <w:r>
              <w:rPr>
                <w:rFonts w:hint="eastAsia"/>
              </w:rPr>
              <w:t>专业认证管理系统及教学质量保障监控一体化监测平台</w:t>
            </w:r>
          </w:p>
        </w:tc>
        <w:tc>
          <w:tcPr>
            <w:tcW w:w="2582" w:type="dxa"/>
            <w:vMerge w:val="restart"/>
            <w:vAlign w:val="center"/>
          </w:tcPr>
          <w:p>
            <w:pPr>
              <w:pStyle w:val="29"/>
            </w:pPr>
            <w:r>
              <w:rPr>
                <w:rFonts w:hint="eastAsia"/>
              </w:rPr>
              <w:t>教学基本状态数据库子系统</w:t>
            </w:r>
          </w:p>
        </w:tc>
        <w:tc>
          <w:tcPr>
            <w:tcW w:w="4064" w:type="dxa"/>
          </w:tcPr>
          <w:p>
            <w:pPr>
              <w:pStyle w:val="29"/>
            </w:pPr>
            <w:r>
              <w:rPr>
                <w:rFonts w:hint="eastAsia"/>
              </w:rPr>
              <w:t>数据仓库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5" w:type="dxa"/>
            <w:vMerge w:val="continue"/>
          </w:tcPr>
          <w:p>
            <w:pPr>
              <w:pStyle w:val="29"/>
            </w:pPr>
          </w:p>
        </w:tc>
        <w:tc>
          <w:tcPr>
            <w:tcW w:w="2582" w:type="dxa"/>
            <w:vMerge w:val="continue"/>
          </w:tcPr>
          <w:p>
            <w:pPr>
              <w:pStyle w:val="29"/>
            </w:pPr>
          </w:p>
        </w:tc>
        <w:tc>
          <w:tcPr>
            <w:tcW w:w="4064" w:type="dxa"/>
          </w:tcPr>
          <w:p>
            <w:pPr>
              <w:pStyle w:val="29"/>
            </w:pPr>
            <w:r>
              <w:rPr>
                <w:rFonts w:hint="eastAsia"/>
              </w:rPr>
              <w:t>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5" w:type="dxa"/>
            <w:vMerge w:val="continue"/>
          </w:tcPr>
          <w:p>
            <w:pPr>
              <w:pStyle w:val="29"/>
            </w:pPr>
          </w:p>
        </w:tc>
        <w:tc>
          <w:tcPr>
            <w:tcW w:w="2582" w:type="dxa"/>
            <w:vMerge w:val="continue"/>
          </w:tcPr>
          <w:p>
            <w:pPr>
              <w:pStyle w:val="29"/>
            </w:pPr>
          </w:p>
        </w:tc>
        <w:tc>
          <w:tcPr>
            <w:tcW w:w="4064" w:type="dxa"/>
          </w:tcPr>
          <w:p>
            <w:pPr>
              <w:pStyle w:val="29"/>
            </w:pPr>
            <w:r>
              <w:rPr>
                <w:rFonts w:hint="eastAsia"/>
              </w:rPr>
              <w:t>教育教学审核评估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5" w:type="dxa"/>
            <w:vMerge w:val="continue"/>
          </w:tcPr>
          <w:p>
            <w:pPr>
              <w:pStyle w:val="29"/>
            </w:pPr>
          </w:p>
        </w:tc>
        <w:tc>
          <w:tcPr>
            <w:tcW w:w="2582" w:type="dxa"/>
            <w:vMerge w:val="continue"/>
          </w:tcPr>
          <w:p>
            <w:pPr>
              <w:pStyle w:val="29"/>
            </w:pPr>
          </w:p>
        </w:tc>
        <w:tc>
          <w:tcPr>
            <w:tcW w:w="4064" w:type="dxa"/>
          </w:tcPr>
          <w:p>
            <w:pPr>
              <w:pStyle w:val="29"/>
            </w:pPr>
            <w:r>
              <w:rPr>
                <w:rFonts w:hint="eastAsia"/>
              </w:rPr>
              <w:t>专业评估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5" w:type="dxa"/>
            <w:vMerge w:val="continue"/>
          </w:tcPr>
          <w:p>
            <w:pPr>
              <w:pStyle w:val="29"/>
            </w:pPr>
          </w:p>
        </w:tc>
        <w:tc>
          <w:tcPr>
            <w:tcW w:w="2582" w:type="dxa"/>
            <w:vMerge w:val="continue"/>
          </w:tcPr>
          <w:p>
            <w:pPr>
              <w:pStyle w:val="29"/>
            </w:pPr>
          </w:p>
        </w:tc>
        <w:tc>
          <w:tcPr>
            <w:tcW w:w="4064" w:type="dxa"/>
          </w:tcPr>
          <w:p>
            <w:pPr>
              <w:pStyle w:val="29"/>
            </w:pPr>
            <w:r>
              <w:rPr>
                <w:rFonts w:hint="eastAsia"/>
              </w:rPr>
              <w:t>学院考核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5" w:type="dxa"/>
            <w:vMerge w:val="continue"/>
          </w:tcPr>
          <w:p>
            <w:pPr>
              <w:pStyle w:val="29"/>
            </w:pPr>
          </w:p>
        </w:tc>
        <w:tc>
          <w:tcPr>
            <w:tcW w:w="2582" w:type="dxa"/>
            <w:vMerge w:val="continue"/>
          </w:tcPr>
          <w:p>
            <w:pPr>
              <w:pStyle w:val="29"/>
            </w:pPr>
          </w:p>
        </w:tc>
        <w:tc>
          <w:tcPr>
            <w:tcW w:w="4064" w:type="dxa"/>
          </w:tcPr>
          <w:p>
            <w:pPr>
              <w:pStyle w:val="29"/>
            </w:pPr>
            <w:r>
              <w:rPr>
                <w:rFonts w:hint="eastAsia"/>
              </w:rPr>
              <w:t>课程评估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5" w:type="dxa"/>
            <w:vMerge w:val="continue"/>
          </w:tcPr>
          <w:p>
            <w:pPr>
              <w:pStyle w:val="29"/>
            </w:pPr>
          </w:p>
        </w:tc>
        <w:tc>
          <w:tcPr>
            <w:tcW w:w="2582" w:type="dxa"/>
            <w:vMerge w:val="continue"/>
          </w:tcPr>
          <w:p>
            <w:pPr>
              <w:pStyle w:val="29"/>
            </w:pPr>
          </w:p>
        </w:tc>
        <w:tc>
          <w:tcPr>
            <w:tcW w:w="4064" w:type="dxa"/>
          </w:tcPr>
          <w:p>
            <w:pPr>
              <w:pStyle w:val="29"/>
            </w:pPr>
            <w:r>
              <w:rPr>
                <w:rFonts w:hint="eastAsia"/>
              </w:rPr>
              <w:t>监控分析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5" w:type="dxa"/>
            <w:vMerge w:val="continue"/>
          </w:tcPr>
          <w:p>
            <w:pPr>
              <w:pStyle w:val="29"/>
            </w:pPr>
          </w:p>
        </w:tc>
        <w:tc>
          <w:tcPr>
            <w:tcW w:w="2582" w:type="dxa"/>
            <w:vMerge w:val="restart"/>
            <w:vAlign w:val="center"/>
          </w:tcPr>
          <w:p>
            <w:pPr>
              <w:pStyle w:val="29"/>
            </w:pPr>
            <w:r>
              <w:rPr>
                <w:rFonts w:hint="eastAsia"/>
              </w:rPr>
              <w:t>教学质量保障子系统</w:t>
            </w:r>
          </w:p>
        </w:tc>
        <w:tc>
          <w:tcPr>
            <w:tcW w:w="4064" w:type="dxa"/>
          </w:tcPr>
          <w:p>
            <w:pPr>
              <w:pStyle w:val="29"/>
            </w:pPr>
            <w:r>
              <w:rPr>
                <w:rFonts w:hint="eastAsia"/>
              </w:rPr>
              <w:t>听课评价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5" w:type="dxa"/>
            <w:vMerge w:val="continue"/>
          </w:tcPr>
          <w:p>
            <w:pPr>
              <w:pStyle w:val="29"/>
            </w:pPr>
          </w:p>
        </w:tc>
        <w:tc>
          <w:tcPr>
            <w:tcW w:w="2582" w:type="dxa"/>
            <w:vMerge w:val="continue"/>
          </w:tcPr>
          <w:p>
            <w:pPr>
              <w:pStyle w:val="29"/>
            </w:pPr>
          </w:p>
        </w:tc>
        <w:tc>
          <w:tcPr>
            <w:tcW w:w="4064" w:type="dxa"/>
          </w:tcPr>
          <w:p>
            <w:pPr>
              <w:pStyle w:val="29"/>
            </w:pPr>
            <w:r>
              <w:rPr>
                <w:rFonts w:hint="eastAsia"/>
              </w:rPr>
              <w:t>学生评教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5" w:type="dxa"/>
            <w:vMerge w:val="continue"/>
          </w:tcPr>
          <w:p>
            <w:pPr>
              <w:pStyle w:val="29"/>
            </w:pPr>
          </w:p>
        </w:tc>
        <w:tc>
          <w:tcPr>
            <w:tcW w:w="2582" w:type="dxa"/>
            <w:vMerge w:val="continue"/>
          </w:tcPr>
          <w:p>
            <w:pPr>
              <w:pStyle w:val="29"/>
            </w:pPr>
          </w:p>
        </w:tc>
        <w:tc>
          <w:tcPr>
            <w:tcW w:w="4064" w:type="dxa"/>
          </w:tcPr>
          <w:p>
            <w:pPr>
              <w:pStyle w:val="29"/>
            </w:pPr>
            <w:r>
              <w:rPr>
                <w:rFonts w:hint="eastAsia"/>
              </w:rPr>
              <w:t>教师评学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5" w:type="dxa"/>
            <w:vMerge w:val="continue"/>
          </w:tcPr>
          <w:p>
            <w:pPr>
              <w:pStyle w:val="29"/>
            </w:pPr>
          </w:p>
        </w:tc>
        <w:tc>
          <w:tcPr>
            <w:tcW w:w="2582" w:type="dxa"/>
            <w:vMerge w:val="continue"/>
          </w:tcPr>
          <w:p>
            <w:pPr>
              <w:pStyle w:val="29"/>
            </w:pPr>
          </w:p>
        </w:tc>
        <w:tc>
          <w:tcPr>
            <w:tcW w:w="4064" w:type="dxa"/>
          </w:tcPr>
          <w:p>
            <w:pPr>
              <w:pStyle w:val="29"/>
            </w:pPr>
            <w:r>
              <w:rPr>
                <w:rFonts w:hint="eastAsia"/>
              </w:rPr>
              <w:t>信息员反馈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5" w:type="dxa"/>
            <w:vMerge w:val="continue"/>
          </w:tcPr>
          <w:p>
            <w:pPr>
              <w:pStyle w:val="29"/>
            </w:pPr>
          </w:p>
        </w:tc>
        <w:tc>
          <w:tcPr>
            <w:tcW w:w="2582" w:type="dxa"/>
            <w:vMerge w:val="continue"/>
          </w:tcPr>
          <w:p>
            <w:pPr>
              <w:pStyle w:val="29"/>
            </w:pPr>
          </w:p>
        </w:tc>
        <w:tc>
          <w:tcPr>
            <w:tcW w:w="4064" w:type="dxa"/>
          </w:tcPr>
          <w:p>
            <w:pPr>
              <w:pStyle w:val="29"/>
            </w:pPr>
            <w:r>
              <w:rPr>
                <w:rFonts w:hint="eastAsia"/>
              </w:rPr>
              <w:t>教学质量问卷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5" w:type="dxa"/>
            <w:vMerge w:val="continue"/>
          </w:tcPr>
          <w:p>
            <w:pPr>
              <w:pStyle w:val="29"/>
            </w:pPr>
          </w:p>
        </w:tc>
        <w:tc>
          <w:tcPr>
            <w:tcW w:w="2582" w:type="dxa"/>
            <w:vMerge w:val="continue"/>
          </w:tcPr>
          <w:p>
            <w:pPr>
              <w:pStyle w:val="29"/>
            </w:pPr>
          </w:p>
        </w:tc>
        <w:tc>
          <w:tcPr>
            <w:tcW w:w="4064" w:type="dxa"/>
          </w:tcPr>
          <w:p>
            <w:pPr>
              <w:pStyle w:val="29"/>
            </w:pPr>
            <w:r>
              <w:rPr>
                <w:rFonts w:hint="eastAsia"/>
              </w:rPr>
              <w:t>教师教学质量考核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5" w:type="dxa"/>
            <w:vMerge w:val="continue"/>
          </w:tcPr>
          <w:p>
            <w:pPr>
              <w:pStyle w:val="29"/>
            </w:pPr>
          </w:p>
        </w:tc>
        <w:tc>
          <w:tcPr>
            <w:tcW w:w="2582" w:type="dxa"/>
            <w:vMerge w:val="continue"/>
          </w:tcPr>
          <w:p>
            <w:pPr>
              <w:pStyle w:val="29"/>
            </w:pPr>
          </w:p>
        </w:tc>
        <w:tc>
          <w:tcPr>
            <w:tcW w:w="4064" w:type="dxa"/>
          </w:tcPr>
          <w:p>
            <w:pPr>
              <w:pStyle w:val="29"/>
            </w:pPr>
            <w:r>
              <w:rPr>
                <w:rFonts w:hint="eastAsia"/>
              </w:rPr>
              <w:t>移动终端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5" w:type="dxa"/>
            <w:vMerge w:val="continue"/>
          </w:tcPr>
          <w:p>
            <w:pPr>
              <w:pStyle w:val="29"/>
            </w:pPr>
          </w:p>
        </w:tc>
        <w:tc>
          <w:tcPr>
            <w:tcW w:w="2582" w:type="dxa"/>
            <w:vMerge w:val="continue"/>
          </w:tcPr>
          <w:p>
            <w:pPr>
              <w:pStyle w:val="29"/>
            </w:pPr>
          </w:p>
        </w:tc>
        <w:tc>
          <w:tcPr>
            <w:tcW w:w="4064" w:type="dxa"/>
          </w:tcPr>
          <w:p>
            <w:pPr>
              <w:pStyle w:val="29"/>
            </w:pPr>
            <w:r>
              <w:rPr>
                <w:rFonts w:hint="eastAsia"/>
              </w:rPr>
              <w:t>可视化大屏展示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5" w:type="dxa"/>
            <w:vMerge w:val="continue"/>
          </w:tcPr>
          <w:p>
            <w:pPr>
              <w:pStyle w:val="29"/>
            </w:pPr>
          </w:p>
        </w:tc>
        <w:tc>
          <w:tcPr>
            <w:tcW w:w="2582" w:type="dxa"/>
            <w:vMerge w:val="restart"/>
            <w:vAlign w:val="center"/>
          </w:tcPr>
          <w:p>
            <w:pPr>
              <w:pStyle w:val="29"/>
            </w:pPr>
            <w:r>
              <w:rPr>
                <w:rFonts w:hint="eastAsia"/>
              </w:rPr>
              <w:t>专业认证管理子系统</w:t>
            </w:r>
          </w:p>
        </w:tc>
        <w:tc>
          <w:tcPr>
            <w:tcW w:w="4064" w:type="dxa"/>
          </w:tcPr>
          <w:p>
            <w:pPr>
              <w:pStyle w:val="29"/>
            </w:pPr>
            <w:r>
              <w:rPr>
                <w:rFonts w:hint="eastAsia"/>
              </w:rPr>
              <w:t>专业认证管理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5" w:type="dxa"/>
            <w:vMerge w:val="continue"/>
          </w:tcPr>
          <w:p>
            <w:pPr>
              <w:pStyle w:val="29"/>
            </w:pPr>
          </w:p>
        </w:tc>
        <w:tc>
          <w:tcPr>
            <w:tcW w:w="2582" w:type="dxa"/>
            <w:vMerge w:val="continue"/>
          </w:tcPr>
          <w:p>
            <w:pPr>
              <w:pStyle w:val="29"/>
            </w:pPr>
          </w:p>
        </w:tc>
        <w:tc>
          <w:tcPr>
            <w:tcW w:w="4064" w:type="dxa"/>
          </w:tcPr>
          <w:p>
            <w:pPr>
              <w:pStyle w:val="29"/>
            </w:pPr>
            <w:r>
              <w:rPr>
                <w:rFonts w:hint="eastAsia"/>
              </w:rPr>
              <w:t>专业状态数据库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5" w:type="dxa"/>
            <w:vMerge w:val="continue"/>
          </w:tcPr>
          <w:p>
            <w:pPr>
              <w:pStyle w:val="29"/>
            </w:pPr>
          </w:p>
        </w:tc>
        <w:tc>
          <w:tcPr>
            <w:tcW w:w="2582" w:type="dxa"/>
            <w:vMerge w:val="continue"/>
          </w:tcPr>
          <w:p>
            <w:pPr>
              <w:pStyle w:val="29"/>
            </w:pPr>
          </w:p>
        </w:tc>
        <w:tc>
          <w:tcPr>
            <w:tcW w:w="4064" w:type="dxa"/>
          </w:tcPr>
          <w:p>
            <w:pPr>
              <w:pStyle w:val="29"/>
            </w:pPr>
            <w:r>
              <w:rPr>
                <w:rFonts w:hint="eastAsia"/>
              </w:rPr>
              <w:t>培养方案管理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5" w:type="dxa"/>
            <w:vMerge w:val="continue"/>
          </w:tcPr>
          <w:p>
            <w:pPr>
              <w:pStyle w:val="29"/>
            </w:pPr>
          </w:p>
        </w:tc>
        <w:tc>
          <w:tcPr>
            <w:tcW w:w="2582" w:type="dxa"/>
            <w:vMerge w:val="continue"/>
          </w:tcPr>
          <w:p>
            <w:pPr>
              <w:pStyle w:val="29"/>
            </w:pPr>
          </w:p>
        </w:tc>
        <w:tc>
          <w:tcPr>
            <w:tcW w:w="4064" w:type="dxa"/>
          </w:tcPr>
          <w:p>
            <w:pPr>
              <w:pStyle w:val="29"/>
            </w:pPr>
            <w:r>
              <w:rPr>
                <w:rFonts w:hint="eastAsia"/>
              </w:rPr>
              <w:t>课程教学管理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5" w:type="dxa"/>
            <w:vMerge w:val="continue"/>
          </w:tcPr>
          <w:p>
            <w:pPr>
              <w:pStyle w:val="29"/>
            </w:pPr>
          </w:p>
        </w:tc>
        <w:tc>
          <w:tcPr>
            <w:tcW w:w="2582" w:type="dxa"/>
            <w:vMerge w:val="continue"/>
          </w:tcPr>
          <w:p>
            <w:pPr>
              <w:pStyle w:val="29"/>
            </w:pPr>
          </w:p>
        </w:tc>
        <w:tc>
          <w:tcPr>
            <w:tcW w:w="4064" w:type="dxa"/>
          </w:tcPr>
          <w:p>
            <w:pPr>
              <w:pStyle w:val="29"/>
            </w:pPr>
            <w:r>
              <w:rPr>
                <w:rFonts w:hint="eastAsia"/>
              </w:rPr>
              <w:t>专业持续改进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85" w:type="dxa"/>
            <w:vMerge w:val="continue"/>
          </w:tcPr>
          <w:p>
            <w:pPr>
              <w:pStyle w:val="29"/>
            </w:pPr>
          </w:p>
        </w:tc>
        <w:tc>
          <w:tcPr>
            <w:tcW w:w="2582" w:type="dxa"/>
            <w:vMerge w:val="continue"/>
          </w:tcPr>
          <w:p>
            <w:pPr>
              <w:pStyle w:val="29"/>
            </w:pPr>
          </w:p>
        </w:tc>
        <w:tc>
          <w:tcPr>
            <w:tcW w:w="4064" w:type="dxa"/>
          </w:tcPr>
          <w:p>
            <w:pPr>
              <w:pStyle w:val="29"/>
            </w:pPr>
            <w:r>
              <w:rPr>
                <w:rFonts w:hint="eastAsia"/>
              </w:rPr>
              <w:t>数据监测与分析报告</w:t>
            </w:r>
          </w:p>
        </w:tc>
      </w:tr>
    </w:tbl>
    <w:p>
      <w:pPr>
        <w:spacing w:line="360" w:lineRule="auto"/>
        <w:ind w:firstLine="480" w:firstLineChars="200"/>
        <w:rPr>
          <w:rFonts w:hAnsi="宋体" w:cs="宋体"/>
          <w:kern w:val="2"/>
          <w:szCs w:val="24"/>
        </w:rPr>
      </w:pPr>
    </w:p>
    <w:p>
      <w:pPr>
        <w:pStyle w:val="9"/>
        <w:ind w:firstLine="482"/>
        <w:rPr>
          <w:b/>
          <w:bCs/>
        </w:rPr>
      </w:pPr>
      <w:r>
        <w:rPr>
          <w:rFonts w:hint="eastAsia"/>
          <w:b/>
          <w:bCs/>
        </w:rPr>
        <w:t>（二）总体技术要求</w:t>
      </w:r>
    </w:p>
    <w:p>
      <w:pPr>
        <w:pStyle w:val="9"/>
        <w:ind w:firstLine="480"/>
      </w:pPr>
      <w:r>
        <w:rPr>
          <w:rFonts w:hint="eastAsia"/>
        </w:rPr>
        <w:t>1.架构：采用B/S架构，能运行于正版及其它各类浏览器。</w:t>
      </w:r>
    </w:p>
    <w:p>
      <w:pPr>
        <w:pStyle w:val="9"/>
        <w:ind w:firstLine="480"/>
      </w:pPr>
      <w:r>
        <w:rPr>
          <w:rFonts w:hint="eastAsia"/>
        </w:rPr>
        <w:t>2.数据库：兼容主流数据库，以满足对安全及性能的要求，可安装运行于Unix、Linux、windows等高安全性操作系统。</w:t>
      </w:r>
    </w:p>
    <w:p>
      <w:pPr>
        <w:pStyle w:val="9"/>
        <w:ind w:firstLine="480"/>
      </w:pPr>
      <w:r>
        <w:rPr>
          <w:rFonts w:hint="eastAsia"/>
        </w:rPr>
        <w:t>3.安全性：以用户为基础，控制对系统的访问，用户密码管理符合业界通用的规范，提供日志及审计功能。监控敏感数据的访问和修改，防止任何通过网络进行的非授权访问。</w:t>
      </w:r>
    </w:p>
    <w:p>
      <w:pPr>
        <w:pStyle w:val="9"/>
        <w:ind w:firstLine="480"/>
      </w:pPr>
      <w:r>
        <w:rPr>
          <w:rFonts w:hint="eastAsia"/>
        </w:rPr>
        <w:t>4.灵活性：能够实现多级管理，系统具备数据指标扩展灵活、响应灵敏度高及操作方便等特点。</w:t>
      </w:r>
    </w:p>
    <w:p>
      <w:pPr>
        <w:pStyle w:val="9"/>
        <w:ind w:firstLine="480"/>
      </w:pPr>
      <w:r>
        <w:rPr>
          <w:rFonts w:hint="eastAsia"/>
        </w:rPr>
        <w:t xml:space="preserve">5.可靠性：系统不间断工作、无故障率达到99%以上，系统年平均故障时间不超过10小时，连续故障时间不超过4小时。   </w:t>
      </w:r>
    </w:p>
    <w:p>
      <w:pPr>
        <w:pStyle w:val="9"/>
        <w:ind w:firstLine="480"/>
      </w:pPr>
      <w:r>
        <w:rPr>
          <w:rFonts w:hint="eastAsia"/>
        </w:rPr>
        <w:t>6.易用性：界面设计应该美观实用，方便用户操作，图标无歧义。界面的分辨率设计应该采用目前主流的设置。</w:t>
      </w:r>
    </w:p>
    <w:p>
      <w:pPr>
        <w:pStyle w:val="9"/>
        <w:ind w:firstLine="480"/>
      </w:pPr>
      <w:r>
        <w:rPr>
          <w:rFonts w:hint="eastAsia"/>
        </w:rPr>
        <w:t>7.系统集成要求：按照学校要求开放接口，支持与智慧校园基础平台及校内各应用系统集成和对接数据。</w:t>
      </w:r>
    </w:p>
    <w:p>
      <w:pPr>
        <w:pStyle w:val="9"/>
        <w:ind w:firstLine="482"/>
        <w:rPr>
          <w:b/>
          <w:bCs/>
        </w:rPr>
      </w:pPr>
      <w:r>
        <w:rPr>
          <w:rFonts w:hint="eastAsia"/>
          <w:b/>
          <w:bCs/>
        </w:rPr>
        <w:t>（三）详细功能和服务要求</w:t>
      </w:r>
    </w:p>
    <w:p>
      <w:pPr>
        <w:pStyle w:val="9"/>
        <w:ind w:firstLine="482"/>
        <w:rPr>
          <w:b/>
          <w:bCs/>
        </w:rPr>
      </w:pPr>
      <w:bookmarkStart w:id="149" w:name="_Hlk485046011"/>
      <w:r>
        <w:rPr>
          <w:rFonts w:hint="eastAsia"/>
          <w:b/>
          <w:bCs/>
        </w:rPr>
        <w:t>1.教学基本状态数据库子系统</w:t>
      </w:r>
    </w:p>
    <w:p>
      <w:pPr>
        <w:pStyle w:val="9"/>
        <w:ind w:firstLine="482"/>
      </w:pPr>
      <w:r>
        <w:rPr>
          <w:rFonts w:hint="eastAsia"/>
          <w:b/>
          <w:bCs/>
        </w:rPr>
        <w:t>1.1数据仓库：</w:t>
      </w:r>
    </w:p>
    <w:p>
      <w:pPr>
        <w:pStyle w:val="9"/>
        <w:ind w:firstLine="480"/>
      </w:pPr>
      <w:r>
        <w:rPr>
          <w:rFonts w:hint="eastAsia"/>
        </w:rPr>
        <w:t>（1）平台涵盖“高等教育质量监测国家数据平台”最新要求所有表格，并支持自定义建表，在线进行字段设计和设置校验规则，并具备支撑材料管理功能。</w:t>
      </w:r>
    </w:p>
    <w:p>
      <w:pPr>
        <w:pStyle w:val="9"/>
        <w:ind w:firstLine="480"/>
      </w:pPr>
      <w:r>
        <w:rPr>
          <w:rFonts w:hint="eastAsia"/>
        </w:rPr>
        <w:t>（2）表权限设置一张表方便分配不同部门去填报，同一张表不同字段也可以分配给不同的部门去填报，可选择优先级录入。</w:t>
      </w:r>
    </w:p>
    <w:p>
      <w:pPr>
        <w:pStyle w:val="10"/>
        <w:ind w:left="0" w:leftChars="0" w:firstLine="480" w:firstLineChars="200"/>
      </w:pPr>
      <w:r>
        <w:rPr>
          <w:rFonts w:hint="eastAsia"/>
        </w:rPr>
        <w:t>（3）支持教学支持教学文档管理功能，各个职能部门可以上传和管理各类制度文件或其他材料，文档类型不限。</w:t>
      </w:r>
    </w:p>
    <w:bookmarkEnd w:id="149"/>
    <w:p>
      <w:pPr>
        <w:pStyle w:val="9"/>
        <w:ind w:firstLine="482"/>
        <w:rPr>
          <w:b/>
          <w:bCs/>
        </w:rPr>
      </w:pPr>
      <w:r>
        <w:rPr>
          <w:rFonts w:hint="eastAsia"/>
          <w:b/>
          <w:bCs/>
        </w:rPr>
        <w:t>1.2数据采集：</w:t>
      </w:r>
    </w:p>
    <w:p>
      <w:pPr>
        <w:pStyle w:val="9"/>
        <w:ind w:firstLine="480"/>
      </w:pPr>
      <w:r>
        <w:rPr>
          <w:rFonts w:hint="eastAsia"/>
        </w:rPr>
        <w:t>（1）新建数据采集任务时可自定义任务、校验规则、数据采集与审核流程，具备多级审核设置功能。</w:t>
      </w:r>
      <w:bookmarkStart w:id="150" w:name="_Hlk482716521"/>
      <w:r>
        <w:rPr>
          <w:rFonts w:hint="eastAsia"/>
        </w:rPr>
        <w:t>采集员支持在线填写、下载模板导入或一键复制历史数据修改提交上传等多种方式录入数据，能够实时查看进度，方便退回。</w:t>
      </w:r>
    </w:p>
    <w:p>
      <w:pPr>
        <w:pStyle w:val="9"/>
        <w:ind w:firstLine="480"/>
      </w:pPr>
      <w:r>
        <w:rPr>
          <w:rFonts w:hint="eastAsia"/>
        </w:rPr>
        <w:t>★（2）数据审核：数据审核员进行审核，可以查看并导出入库数据，且支持对入库数据选择多个字段进行统计分析，并导出统计结果，审核通过即入库。</w:t>
      </w:r>
    </w:p>
    <w:bookmarkEnd w:id="150"/>
    <w:p>
      <w:pPr>
        <w:pStyle w:val="9"/>
        <w:ind w:firstLine="482"/>
        <w:rPr>
          <w:b/>
          <w:bCs/>
        </w:rPr>
      </w:pPr>
      <w:r>
        <w:rPr>
          <w:rFonts w:hint="eastAsia"/>
          <w:b/>
          <w:bCs/>
        </w:rPr>
        <w:t>1.3教育教学审核评估</w:t>
      </w:r>
    </w:p>
    <w:p>
      <w:pPr>
        <w:pStyle w:val="9"/>
        <w:ind w:firstLine="480"/>
      </w:pPr>
      <w:r>
        <w:rPr>
          <w:rFonts w:hint="eastAsia"/>
        </w:rPr>
        <w:t>■（1）发布评估任务时能够选择评估标准，设置指标对应负责人，配置专家查阅权限，上传自评报告。完成评估工作后支持一键导出评估指标对应的支撑材料和评价结果。</w:t>
      </w:r>
    </w:p>
    <w:p>
      <w:pPr>
        <w:pStyle w:val="9"/>
        <w:ind w:firstLine="480"/>
      </w:pPr>
      <w:r>
        <w:rPr>
          <w:rFonts w:hint="eastAsia"/>
        </w:rPr>
        <w:t xml:space="preserve"> ★（2）评估指标内涵分解：能够将审核评估三级指标进行内涵分解，分别落实到对应的责任部门和责任人，责任人可基于指标上传材料，具备多级审核机制，方便开展自评自建工作，实时掌握评估进度。</w:t>
      </w:r>
    </w:p>
    <w:p>
      <w:pPr>
        <w:pStyle w:val="9"/>
        <w:ind w:firstLine="480"/>
      </w:pPr>
      <w:r>
        <w:rPr>
          <w:rFonts w:hint="eastAsia"/>
        </w:rPr>
        <w:t>■（3）评估问题整改：根据自评自建和预评估过程中发现的问题能够进行整改，至少涵盖存在问题、整改时限和措施、以及负责人，能够记录整改过程，对各部门整改情况进行跟踪反馈和对比分析，建立问题清单。</w:t>
      </w:r>
    </w:p>
    <w:p>
      <w:pPr>
        <w:pStyle w:val="9"/>
        <w:ind w:firstLine="480"/>
      </w:pPr>
      <w:r>
        <w:rPr>
          <w:rFonts w:hint="eastAsia"/>
        </w:rPr>
        <w:t>★（4）专家在线评估系统：系统内置各类评估评价细则标准，可在平台完成自评材料审读、线上深度考察、查看反馈信息、问题清单汇总等工作。</w:t>
      </w:r>
    </w:p>
    <w:p>
      <w:pPr>
        <w:pStyle w:val="9"/>
        <w:ind w:firstLine="480"/>
      </w:pPr>
      <w:r>
        <w:rPr>
          <w:rFonts w:hint="eastAsia"/>
        </w:rPr>
        <w:t>（5）审核评估校级数据分析报告：基于学校数据自动生成审核评估数据分析报告，包括学校概要数据、学校量化指标常模对比数据、审核评估监测数据。</w:t>
      </w:r>
    </w:p>
    <w:p>
      <w:pPr>
        <w:pStyle w:val="9"/>
        <w:ind w:firstLine="480"/>
      </w:pPr>
      <w:r>
        <w:rPr>
          <w:rFonts w:hint="eastAsia"/>
        </w:rPr>
        <w:t xml:space="preserve">■（6）可视化大屏展示：提供基于审核评估指标的可视化大屏展示，能够进行数据对比，可选择纵向对比和横向对比，支持指标的分类展示。可视化大屏能够配置在专家登录门户界面，分类查阅学校核心指标近三年数据的变化趋势，关键指标能够逐层下钻，直至关联指标原始数据，并支持查阅算法说明。 </w:t>
      </w:r>
    </w:p>
    <w:p>
      <w:pPr>
        <w:pStyle w:val="9"/>
        <w:ind w:firstLine="482"/>
        <w:rPr>
          <w:b/>
          <w:bCs/>
        </w:rPr>
      </w:pPr>
      <w:r>
        <w:rPr>
          <w:rFonts w:hint="eastAsia"/>
          <w:b/>
          <w:bCs/>
        </w:rPr>
        <w:t>1.4专业评估：</w:t>
      </w:r>
    </w:p>
    <w:p>
      <w:pPr>
        <w:pStyle w:val="9"/>
        <w:ind w:firstLine="480"/>
      </w:pPr>
      <w:r>
        <w:rPr>
          <w:rFonts w:hint="eastAsia"/>
        </w:rPr>
        <w:t>（1）支持评估指标体系的自定义，评分方法可选择全部专家主观评，定性专家评、定量系统自动计算等多种方式。</w:t>
      </w:r>
    </w:p>
    <w:p>
      <w:pPr>
        <w:pStyle w:val="9"/>
        <w:ind w:firstLine="480"/>
      </w:pPr>
      <w:r>
        <w:rPr>
          <w:rFonts w:hint="eastAsia"/>
        </w:rPr>
        <w:t>（2）专家能够在线对专业进行评价、填写意见，系统根据观测点自动显示相关支撑材料，定量指标按照算法和数据来源计分。对于评估的专业能够自动统计形成数据分析结果，对同一指标体系下不同专业评估结果进行横向对比。</w:t>
      </w:r>
    </w:p>
    <w:p>
      <w:pPr>
        <w:pStyle w:val="9"/>
        <w:ind w:firstLine="482"/>
        <w:rPr>
          <w:b/>
          <w:bCs/>
        </w:rPr>
      </w:pPr>
      <w:r>
        <w:rPr>
          <w:rFonts w:hint="eastAsia"/>
          <w:b/>
          <w:bCs/>
        </w:rPr>
        <w:t>1.5学院考核</w:t>
      </w:r>
    </w:p>
    <w:p>
      <w:pPr>
        <w:pStyle w:val="9"/>
        <w:ind w:firstLine="480"/>
      </w:pPr>
      <w:r>
        <w:rPr>
          <w:rFonts w:hint="eastAsia"/>
        </w:rPr>
        <w:t>（1）具备指标库管理功能，可辅助完成对学院教学相关工作的年终考核。</w:t>
      </w:r>
    </w:p>
    <w:p>
      <w:pPr>
        <w:pStyle w:val="9"/>
        <w:ind w:firstLine="480"/>
      </w:pPr>
      <w:r>
        <w:rPr>
          <w:rFonts w:hint="eastAsia"/>
        </w:rPr>
        <w:t xml:space="preserve">（2）指标能够通过向导方式、自定义SQL方式设置数据来源，设置对应权重和分数，指标分值能够进行换算，生成评分总表。 </w:t>
      </w:r>
    </w:p>
    <w:p>
      <w:pPr>
        <w:pStyle w:val="9"/>
        <w:ind w:firstLine="480"/>
      </w:pPr>
      <w:r>
        <w:rPr>
          <w:rFonts w:hint="eastAsia"/>
        </w:rPr>
        <w:t>（3）能够生成学院版的数据分析报告，按照不同统计时间、学院分项导出。</w:t>
      </w:r>
    </w:p>
    <w:p>
      <w:pPr>
        <w:pStyle w:val="9"/>
        <w:ind w:firstLine="482"/>
        <w:rPr>
          <w:b/>
          <w:bCs/>
        </w:rPr>
      </w:pPr>
      <w:r>
        <w:rPr>
          <w:rFonts w:hint="eastAsia"/>
          <w:b/>
          <w:bCs/>
        </w:rPr>
        <w:t>1.6课程评估</w:t>
      </w:r>
    </w:p>
    <w:p>
      <w:pPr>
        <w:pStyle w:val="9"/>
        <w:ind w:firstLine="480"/>
      </w:pPr>
      <w:r>
        <w:rPr>
          <w:rFonts w:hint="eastAsia"/>
        </w:rPr>
        <w:t>（1）具备校院两级管理功能，能够实时展示学校、各学院评估进度和详情，提供代办事项提醒，学院可推荐参评课程和上报参与专家。</w:t>
      </w:r>
    </w:p>
    <w:p>
      <w:pPr>
        <w:pStyle w:val="9"/>
        <w:ind w:firstLine="480"/>
      </w:pPr>
      <w:r>
        <w:rPr>
          <w:rFonts w:hint="eastAsia"/>
        </w:rPr>
        <w:t>（2）发布任务时设置抽评比例、评价标准和等级，能够对课程按照学科类别进行自动分组或手动分组。方便设置专家评估起止时间、评估材料上传起止时间和自评报告上传起止时间等等。</w:t>
      </w:r>
    </w:p>
    <w:p>
      <w:pPr>
        <w:pStyle w:val="9"/>
        <w:ind w:firstLine="480"/>
      </w:pPr>
      <w:r>
        <w:rPr>
          <w:rFonts w:hint="eastAsia"/>
        </w:rPr>
        <w:t>（3）课程评估分为初评和复评两种类型，能够设置评价等级，复评可自定义设置次数，采取网上评估与现场考查相结合的方式。</w:t>
      </w:r>
    </w:p>
    <w:p>
      <w:pPr>
        <w:pStyle w:val="9"/>
        <w:ind w:firstLine="480"/>
      </w:pPr>
      <w:r>
        <w:rPr>
          <w:rFonts w:hint="eastAsia"/>
        </w:rPr>
        <w:t>（4）评估安排时可通过excel导入参评课程，也可通过手动筛选或按照开课单位、课程类别等条件自动筛选抽评方式添加被评课程。可以设置被评课程组，按照专家学科背景对专家进行分组，设置组长，评估时可指派专家和秘书。</w:t>
      </w:r>
    </w:p>
    <w:p>
      <w:pPr>
        <w:pStyle w:val="9"/>
        <w:ind w:firstLine="480"/>
      </w:pPr>
      <w:r>
        <w:rPr>
          <w:rFonts w:hint="eastAsia"/>
        </w:rPr>
        <w:t>（5）专家组组长能够自主筛选添加专家组成员，专家成员能够在线基于每项指标查阅对应的支撑材料，支撑材料内容含文件、外部链接等多种形式，并能够在线打分并填写意见，系统根据分数自动判定等级。</w:t>
      </w:r>
    </w:p>
    <w:p>
      <w:pPr>
        <w:pStyle w:val="9"/>
        <w:ind w:firstLine="480"/>
      </w:pPr>
      <w:r>
        <w:rPr>
          <w:rFonts w:hint="eastAsia"/>
        </w:rPr>
        <w:t>（6）评估结果能够方便查看，自动统计分析课程评估结果，集中展示校级评估课程和院级评估课程的优良率、学校优秀课程排名、学校优秀课程排名等。</w:t>
      </w:r>
    </w:p>
    <w:p>
      <w:pPr>
        <w:pStyle w:val="9"/>
        <w:ind w:firstLine="482"/>
        <w:rPr>
          <w:b/>
          <w:bCs/>
        </w:rPr>
      </w:pPr>
      <w:r>
        <w:rPr>
          <w:rFonts w:hint="eastAsia"/>
          <w:b/>
          <w:bCs/>
        </w:rPr>
        <w:t>1.7监控分析：</w:t>
      </w:r>
    </w:p>
    <w:p>
      <w:pPr>
        <w:pStyle w:val="9"/>
        <w:ind w:firstLine="480"/>
      </w:pPr>
      <w:r>
        <w:rPr>
          <w:rFonts w:hint="eastAsia"/>
        </w:rPr>
        <w:t>（1）为校、院系部门领导提供独立门户，提供不同主题分析，可以逐层钻取至明细信息。支持全库检索、全文检索、表关联查询功能。</w:t>
      </w:r>
    </w:p>
    <w:p>
      <w:pPr>
        <w:pStyle w:val="9"/>
        <w:ind w:firstLine="480"/>
      </w:pPr>
      <w:bookmarkStart w:id="151" w:name="_Hlk485837608"/>
      <w:r>
        <w:rPr>
          <w:rFonts w:hint="eastAsia"/>
        </w:rPr>
        <w:t>（2）</w:t>
      </w:r>
      <w:bookmarkEnd w:id="151"/>
      <w:r>
        <w:rPr>
          <w:rFonts w:hint="eastAsia"/>
        </w:rPr>
        <w:t>按照相关国家</w:t>
      </w:r>
      <w:r>
        <w:rPr>
          <w:rFonts w:hint="eastAsia"/>
          <w:color w:val="FF0000"/>
        </w:rPr>
        <w:t>标准</w:t>
      </w:r>
      <w:r>
        <w:rPr>
          <w:rFonts w:hint="eastAsia"/>
        </w:rPr>
        <w:t>对数据指标进行动态监测和预警，可新建、修改、删除，灵活配置新的指标，设置合格标准和预警值，满足院校专业三级日常监控分析。</w:t>
      </w:r>
    </w:p>
    <w:p>
      <w:pPr>
        <w:pStyle w:val="9"/>
        <w:ind w:firstLine="482"/>
        <w:rPr>
          <w:b/>
          <w:bCs/>
        </w:rPr>
      </w:pPr>
      <w:r>
        <w:rPr>
          <w:rFonts w:hint="eastAsia"/>
          <w:b/>
          <w:bCs/>
        </w:rPr>
        <w:t>2.教学质量保障子系统</w:t>
      </w:r>
    </w:p>
    <w:p>
      <w:pPr>
        <w:pStyle w:val="9"/>
        <w:ind w:firstLine="482"/>
        <w:rPr>
          <w:b/>
          <w:bCs/>
        </w:rPr>
      </w:pPr>
      <w:r>
        <w:rPr>
          <w:rFonts w:hint="eastAsia"/>
          <w:b/>
          <w:bCs/>
        </w:rPr>
        <w:t>2.1基本要求：</w:t>
      </w:r>
    </w:p>
    <w:p>
      <w:pPr>
        <w:pStyle w:val="9"/>
        <w:ind w:firstLine="480"/>
      </w:pPr>
      <w:r>
        <w:rPr>
          <w:rFonts w:hint="eastAsia"/>
        </w:rPr>
        <w:t>（1）为方便使用，要求能够将系统页面全屏显示，调整字体大小，更换主题风格，查阅通知和待办事宜，且支持用户根据身份方便切换角色和任务。</w:t>
      </w:r>
    </w:p>
    <w:p>
      <w:pPr>
        <w:pStyle w:val="9"/>
        <w:ind w:firstLine="480"/>
      </w:pPr>
      <w:r>
        <w:rPr>
          <w:rFonts w:hint="eastAsia"/>
        </w:rPr>
        <w:t>（2）评价标准有历史指标和当前指标，可按照课程属性、对应角色新建标准，也可复制历史指标修改形成新指标，对设定的指标可进行预览。</w:t>
      </w:r>
    </w:p>
    <w:p>
      <w:pPr>
        <w:pStyle w:val="9"/>
        <w:ind w:firstLine="482"/>
        <w:rPr>
          <w:b/>
          <w:bCs/>
        </w:rPr>
      </w:pPr>
      <w:r>
        <w:rPr>
          <w:rFonts w:hint="eastAsia"/>
          <w:b/>
          <w:bCs/>
        </w:rPr>
        <w:t>2.2听课评价：</w:t>
      </w:r>
    </w:p>
    <w:p>
      <w:pPr>
        <w:pStyle w:val="9"/>
        <w:ind w:firstLine="480"/>
      </w:pPr>
      <w:r>
        <w:rPr>
          <w:rFonts w:hint="eastAsia"/>
        </w:rPr>
        <w:t>■（1）支持校、院两级管理，自定义听课任务和范围，支持申请预约听课，能够自定义审核流程。</w:t>
      </w:r>
    </w:p>
    <w:p>
      <w:pPr>
        <w:pStyle w:val="9"/>
        <w:ind w:firstLine="480"/>
      </w:pPr>
      <w:r>
        <w:rPr>
          <w:rFonts w:hint="eastAsia"/>
        </w:rPr>
        <w:t>★（2）手机端筛选课程时可按照开课学院等基本条件筛选，也可按历史评价分数段智能筛选听课，方便在线听课评价、填写意见、上传照片等。</w:t>
      </w:r>
    </w:p>
    <w:p>
      <w:pPr>
        <w:pStyle w:val="9"/>
        <w:ind w:firstLine="480"/>
      </w:pPr>
      <w:r>
        <w:rPr>
          <w:rFonts w:hint="eastAsia"/>
        </w:rPr>
        <w:t>■（3）具备“听课质量跟踪池”功能，对于评价结果较差的老师进行持续评价帮扶，对于较好的老师也便于推荐同行观摩。管理员可批量导入重点关注对象，也可以手动添加，能够实时显示教师被跟踪评价次数。</w:t>
      </w:r>
    </w:p>
    <w:p>
      <w:pPr>
        <w:pStyle w:val="9"/>
        <w:ind w:firstLine="480"/>
      </w:pPr>
      <w:r>
        <w:rPr>
          <w:rFonts w:hint="eastAsia"/>
        </w:rPr>
        <w:t>（4）管理员可设置各角色听课数量、跟踪听课数量、重点关注角色等，并能够实时查阅各角色听课工作完成情况、听课评价结果。</w:t>
      </w:r>
    </w:p>
    <w:p>
      <w:pPr>
        <w:pStyle w:val="9"/>
        <w:ind w:firstLine="480"/>
      </w:pPr>
      <w:r>
        <w:rPr>
          <w:rFonts w:hint="eastAsia"/>
        </w:rPr>
        <w:t>（5）教学改进报告能够汇总呈现，评价结果能够进行现状、趋势、预警分析，且能够自动生成听课评价数据分析报告，分学院导出。</w:t>
      </w:r>
    </w:p>
    <w:p>
      <w:pPr>
        <w:pStyle w:val="9"/>
        <w:ind w:firstLine="482"/>
        <w:rPr>
          <w:b/>
          <w:bCs/>
        </w:rPr>
      </w:pPr>
      <w:r>
        <w:rPr>
          <w:rFonts w:hint="eastAsia"/>
          <w:b/>
          <w:bCs/>
        </w:rPr>
        <w:t>2.3学生评教：</w:t>
      </w:r>
    </w:p>
    <w:p>
      <w:pPr>
        <w:pStyle w:val="9"/>
        <w:ind w:firstLine="480"/>
      </w:pPr>
      <w:r>
        <w:rPr>
          <w:rFonts w:hint="eastAsia"/>
        </w:rPr>
        <w:t>★（1）支持发布评教任务，支持直接打分、直接排名、问答方式和分档排名打分等多种方式，其中分档排名打分法功能必须具备，且便于实际操作。</w:t>
      </w:r>
    </w:p>
    <w:p>
      <w:pPr>
        <w:pStyle w:val="9"/>
        <w:ind w:firstLine="480"/>
      </w:pPr>
      <w:r>
        <w:rPr>
          <w:rFonts w:hint="eastAsia"/>
        </w:rPr>
        <w:t>（2）能够自定义评教任务，设置参评和不参评对象，实时查阅评教进度和参评率，导出评教结果，如评教原始评价数据、加权平均分、开放性评价意见等。</w:t>
      </w:r>
    </w:p>
    <w:p>
      <w:pPr>
        <w:pStyle w:val="9"/>
        <w:ind w:firstLine="480"/>
      </w:pPr>
      <w:r>
        <w:rPr>
          <w:rFonts w:hint="eastAsia"/>
        </w:rPr>
        <w:t>（3）学生可在线通过pc端或手机端打分或填写意见，评教结束后系统能够自动统计评教进度和参评率，也能够导出未参评学生名单。</w:t>
      </w:r>
    </w:p>
    <w:p>
      <w:pPr>
        <w:pStyle w:val="9"/>
        <w:ind w:firstLine="480"/>
      </w:pPr>
      <w:r>
        <w:rPr>
          <w:rFonts w:hint="eastAsia"/>
        </w:rPr>
        <w:t>■（4）评教结果可进行在线数据处理，自定义条件计算有效值，如去除最低、最高无效值，设置参评比例有效值。</w:t>
      </w:r>
    </w:p>
    <w:p>
      <w:pPr>
        <w:pStyle w:val="9"/>
        <w:ind w:firstLine="480"/>
      </w:pPr>
      <w:r>
        <w:rPr>
          <w:rFonts w:hint="eastAsia"/>
        </w:rPr>
        <w:t>（5）能够实时展示并导出评教结果，能够进行现状、趋势和预警分析，统计全校或全院top前10名或后10名，自动生成评教数据分析报告。</w:t>
      </w:r>
    </w:p>
    <w:p>
      <w:pPr>
        <w:pStyle w:val="9"/>
        <w:ind w:firstLine="482"/>
        <w:rPr>
          <w:b/>
          <w:bCs/>
        </w:rPr>
      </w:pPr>
      <w:r>
        <w:rPr>
          <w:rFonts w:hint="eastAsia"/>
          <w:b/>
          <w:bCs/>
        </w:rPr>
        <w:t>2.4教师评学：</w:t>
      </w:r>
    </w:p>
    <w:p>
      <w:pPr>
        <w:pStyle w:val="9"/>
        <w:ind w:firstLine="480"/>
      </w:pPr>
      <w:r>
        <w:rPr>
          <w:rFonts w:hint="eastAsia"/>
        </w:rPr>
        <w:t>（1）可发布评学任务，教师对整个授课班级进行评价，方便查询学院评学情况，分专业评学得分，班级评学排行榜等。此外功能扩充需支持教师自评。</w:t>
      </w:r>
    </w:p>
    <w:p>
      <w:pPr>
        <w:pStyle w:val="9"/>
        <w:ind w:firstLine="482"/>
        <w:rPr>
          <w:b/>
          <w:bCs/>
        </w:rPr>
      </w:pPr>
      <w:r>
        <w:rPr>
          <w:rFonts w:hint="eastAsia"/>
          <w:b/>
          <w:bCs/>
        </w:rPr>
        <w:t>2.5信息员课堂反馈：</w:t>
      </w:r>
    </w:p>
    <w:p>
      <w:pPr>
        <w:pStyle w:val="9"/>
        <w:ind w:firstLine="480"/>
      </w:pPr>
      <w:r>
        <w:rPr>
          <w:rFonts w:hint="eastAsia"/>
        </w:rPr>
        <w:t>（1）管理员手动设置或Excel模板批量设置信息员，信息员可以文字、图片、文件方式填写或上传反馈给质量部门。</w:t>
      </w:r>
    </w:p>
    <w:p>
      <w:pPr>
        <w:pStyle w:val="9"/>
        <w:ind w:firstLine="480"/>
      </w:pPr>
      <w:r>
        <w:rPr>
          <w:rFonts w:hint="eastAsia"/>
        </w:rPr>
        <w:t>★（2）信息员反馈内容主要分为课堂意见反馈和其他意见反馈，能够实时展示反馈状态如处理状态、紧急程度等，具备审核流程。</w:t>
      </w:r>
    </w:p>
    <w:p>
      <w:pPr>
        <w:pStyle w:val="9"/>
        <w:ind w:firstLine="482"/>
        <w:rPr>
          <w:b/>
          <w:bCs/>
        </w:rPr>
      </w:pPr>
      <w:r>
        <w:rPr>
          <w:rFonts w:hint="eastAsia"/>
          <w:b/>
          <w:bCs/>
        </w:rPr>
        <w:t>2.6教学质量问卷：</w:t>
      </w:r>
    </w:p>
    <w:p>
      <w:pPr>
        <w:pStyle w:val="9"/>
        <w:ind w:firstLine="480"/>
      </w:pPr>
      <w:r>
        <w:rPr>
          <w:rFonts w:hint="eastAsia"/>
        </w:rPr>
        <w:t>（1）支持自定义新建校、院、个人多级问卷，题型多样。具备模板库和回收站功能，创建问卷可引用模板库模板。</w:t>
      </w:r>
    </w:p>
    <w:p>
      <w:pPr>
        <w:pStyle w:val="9"/>
        <w:ind w:firstLine="480"/>
      </w:pPr>
      <w:r>
        <w:rPr>
          <w:rFonts w:hint="eastAsia"/>
        </w:rPr>
        <w:t xml:space="preserve">（2）pc端和移动端均可发布和填写问卷，完成问卷后能够生成对应的统计分析报告，并支持导出。 </w:t>
      </w:r>
    </w:p>
    <w:p>
      <w:pPr>
        <w:pStyle w:val="9"/>
        <w:ind w:firstLine="480"/>
      </w:pPr>
      <w:r>
        <w:rPr>
          <w:rFonts w:hint="eastAsia"/>
        </w:rPr>
        <w:t>2.7教师教学质量考核</w:t>
      </w:r>
    </w:p>
    <w:p>
      <w:pPr>
        <w:pStyle w:val="9"/>
        <w:ind w:firstLine="480"/>
      </w:pPr>
      <w:r>
        <w:rPr>
          <w:rFonts w:hint="eastAsia"/>
        </w:rPr>
        <w:t>■（1）新建考核任务时可设置任务时间、数据提交起止时间、结果开放时间、考核数据范围，考核内容支持自定义，且支持按照学院设置调整数据权限内容。</w:t>
      </w:r>
    </w:p>
    <w:p>
      <w:pPr>
        <w:pStyle w:val="9"/>
        <w:ind w:firstLine="480"/>
      </w:pPr>
      <w:r>
        <w:rPr>
          <w:rFonts w:hint="eastAsia"/>
        </w:rPr>
        <w:t>（2）具备多级审核机制，支持自定义，能够批量设置不参与考核的老师，导出学院各教师的考核结果及排名，查看指定考核任务下，教师的得分状况。</w:t>
      </w:r>
    </w:p>
    <w:p>
      <w:pPr>
        <w:pStyle w:val="9"/>
        <w:ind w:firstLine="480"/>
      </w:pPr>
      <w:r>
        <w:rPr>
          <w:rFonts w:hint="eastAsia"/>
        </w:rPr>
        <w:t>（3）可将历史评教、听评课结果同步过来作为基础数据，学院若调整数据时可填写原因申请修改，系统将自动呈现教师被各类角色原始听课评价结果和最终结果，且能够自主设定教师是否参与考核。</w:t>
      </w:r>
    </w:p>
    <w:p>
      <w:pPr>
        <w:pStyle w:val="9"/>
        <w:ind w:firstLine="482"/>
        <w:rPr>
          <w:b/>
          <w:bCs/>
        </w:rPr>
      </w:pPr>
      <w:r>
        <w:rPr>
          <w:rFonts w:hint="eastAsia"/>
          <w:b/>
          <w:bCs/>
        </w:rPr>
        <w:t>2.8移动终端</w:t>
      </w:r>
    </w:p>
    <w:p>
      <w:pPr>
        <w:pStyle w:val="9"/>
        <w:ind w:firstLine="480"/>
      </w:pPr>
      <w:r>
        <w:rPr>
          <w:rFonts w:hint="eastAsia"/>
        </w:rPr>
        <w:t>（1）提供基于ios、android等的app，微信的小程序，以及移动端可集成到学校企业微信或校级app内，增强移动端易用性增强，及时推送消息。</w:t>
      </w:r>
    </w:p>
    <w:p>
      <w:pPr>
        <w:pStyle w:val="9"/>
        <w:ind w:firstLine="482"/>
        <w:rPr>
          <w:b/>
          <w:bCs/>
        </w:rPr>
      </w:pPr>
      <w:r>
        <w:rPr>
          <w:rFonts w:hint="eastAsia"/>
          <w:b/>
          <w:bCs/>
        </w:rPr>
        <w:t>2.9可视化大屏展示</w:t>
      </w:r>
    </w:p>
    <w:p>
      <w:pPr>
        <w:pStyle w:val="9"/>
        <w:ind w:firstLine="480"/>
      </w:pPr>
      <w:r>
        <w:rPr>
          <w:rFonts w:hint="eastAsia"/>
        </w:rPr>
        <w:t>（1）提供基于教学质量评价结果数据的大屏展示。展示维度如听课评价、学生评教、教师评学、调查问卷、学生信息员反馈情况等等。</w:t>
      </w:r>
    </w:p>
    <w:p>
      <w:pPr>
        <w:pStyle w:val="9"/>
        <w:ind w:firstLine="482"/>
        <w:rPr>
          <w:b/>
          <w:bCs/>
        </w:rPr>
      </w:pPr>
      <w:r>
        <w:rPr>
          <w:rFonts w:hint="eastAsia"/>
          <w:b/>
          <w:bCs/>
        </w:rPr>
        <w:t>3.专业认证管理子系统</w:t>
      </w:r>
    </w:p>
    <w:p>
      <w:pPr>
        <w:pStyle w:val="9"/>
        <w:ind w:firstLine="482"/>
        <w:rPr>
          <w:b/>
          <w:bCs/>
        </w:rPr>
      </w:pPr>
      <w:r>
        <w:rPr>
          <w:rFonts w:hint="eastAsia"/>
          <w:b/>
          <w:bCs/>
        </w:rPr>
        <w:t>3.1专业认证管理</w:t>
      </w:r>
    </w:p>
    <w:p>
      <w:pPr>
        <w:pStyle w:val="9"/>
        <w:ind w:firstLine="480"/>
      </w:pPr>
      <w:r>
        <w:rPr>
          <w:rFonts w:hint="eastAsia"/>
        </w:rPr>
        <w:t>（1）支持多种认证模式，包括师范类专业认证、工程教育专业认证。具备学习资料管理、标准管理等功能，能够对核心指标进行监控预警。</w:t>
      </w:r>
    </w:p>
    <w:p>
      <w:pPr>
        <w:pStyle w:val="9"/>
        <w:ind w:firstLine="480"/>
      </w:pPr>
      <w:r>
        <w:rPr>
          <w:rFonts w:hint="eastAsia"/>
        </w:rPr>
        <w:t xml:space="preserve">■（2）学校、学院管理员可以查阅各专业认证开展的情况，数据录入进度，方便按照专业认证类型和专业名称分类查询和导出，也能够点击查阅详细的培养方案、教学大纲等。 </w:t>
      </w:r>
    </w:p>
    <w:p>
      <w:pPr>
        <w:pStyle w:val="9"/>
        <w:ind w:firstLine="482"/>
        <w:rPr>
          <w:b/>
          <w:bCs/>
        </w:rPr>
      </w:pPr>
      <w:bookmarkStart w:id="152" w:name="_Toc16816"/>
      <w:r>
        <w:rPr>
          <w:rFonts w:hint="eastAsia"/>
          <w:b/>
          <w:bCs/>
        </w:rPr>
        <w:t>3.2专业状态数据仓库</w:t>
      </w:r>
      <w:bookmarkEnd w:id="152"/>
    </w:p>
    <w:p>
      <w:pPr>
        <w:pStyle w:val="9"/>
        <w:ind w:firstLine="480"/>
      </w:pPr>
      <w:r>
        <w:rPr>
          <w:rFonts w:hint="eastAsia"/>
        </w:rPr>
        <w:t>（1）能够自定义创建数据表，构建“专业基本状态数据库”，满足校级、院级、专业三级的支撑材料管理，避免数据和材料混乱。</w:t>
      </w:r>
    </w:p>
    <w:p>
      <w:pPr>
        <w:pStyle w:val="9"/>
        <w:ind w:firstLine="482"/>
        <w:rPr>
          <w:b/>
          <w:bCs/>
        </w:rPr>
      </w:pPr>
      <w:bookmarkStart w:id="153" w:name="_Toc31855"/>
      <w:r>
        <w:rPr>
          <w:rFonts w:hint="eastAsia"/>
          <w:b/>
          <w:bCs/>
        </w:rPr>
        <w:t>3.3培养方案管理</w:t>
      </w:r>
      <w:bookmarkEnd w:id="153"/>
    </w:p>
    <w:p>
      <w:pPr>
        <w:pStyle w:val="9"/>
        <w:ind w:firstLine="480"/>
      </w:pPr>
      <w:bookmarkStart w:id="154" w:name="_Toc5741"/>
      <w:r>
        <w:rPr>
          <w:rFonts w:hint="eastAsia"/>
        </w:rPr>
        <w:t>（1）提供多个版本培养方案的对比功能，能够详细查阅不同版本培养方案的培养目标、毕业要求、课程体系和教学大纲，具备复制历史版本功能。</w:t>
      </w:r>
    </w:p>
    <w:p>
      <w:pPr>
        <w:pStyle w:val="9"/>
        <w:ind w:firstLine="480"/>
      </w:pPr>
      <w:r>
        <w:rPr>
          <w:rFonts w:hint="eastAsia"/>
        </w:rPr>
        <w:t>（2）培养目标管理：系统内置培养目标编写要求，支持培养目标的修正和修订功能，能够上传支撑材料，具备版本管理。</w:t>
      </w:r>
    </w:p>
    <w:p>
      <w:pPr>
        <w:pStyle w:val="9"/>
        <w:ind w:firstLine="480"/>
      </w:pPr>
      <w:r>
        <w:rPr>
          <w:rFonts w:hint="eastAsia"/>
        </w:rPr>
        <w:t>★（3）毕业要求管理：支持毕业要求与认证标准、培养目标关系对应，支持毕业要求的分解。毕业要求达成度设置必须同时支持指标点最低值展示或通过各指标点权重换算展示。</w:t>
      </w:r>
    </w:p>
    <w:p>
      <w:pPr>
        <w:pStyle w:val="9"/>
        <w:ind w:firstLine="480"/>
      </w:pPr>
      <w:r>
        <w:rPr>
          <w:rFonts w:hint="eastAsia"/>
        </w:rPr>
        <w:t>★（4）课程体系管理：能够编写或导入课程信息，预警课程体系中学分要求是否达标。可以设置课程对毕业要求的支撑矩阵，能够对课程与毕业要求指标点的权重支撑是否达成进行预警，并具备矩阵校验功能。</w:t>
      </w:r>
    </w:p>
    <w:p>
      <w:pPr>
        <w:pStyle w:val="9"/>
        <w:ind w:firstLine="480"/>
      </w:pPr>
      <w:r>
        <w:rPr>
          <w:rFonts w:hint="eastAsia"/>
        </w:rPr>
        <w:t>（5）课程体系能够进行修订和修正，对选修课属性进行设置，添加选修课类别，定义选修课支撑关系（取达成度最低课程、最高课程或平均值）。支持课程按类打包，用于支撑毕业要求，满足学校选修课、限选课课程对毕业要求能力达成评价全样本覆盖。</w:t>
      </w:r>
    </w:p>
    <w:p>
      <w:pPr>
        <w:pStyle w:val="9"/>
        <w:ind w:firstLine="482"/>
        <w:rPr>
          <w:b/>
          <w:bCs/>
        </w:rPr>
      </w:pPr>
      <w:r>
        <w:rPr>
          <w:rFonts w:hint="eastAsia"/>
          <w:b/>
          <w:bCs/>
        </w:rPr>
        <w:t>3.4</w:t>
      </w:r>
      <w:bookmarkEnd w:id="154"/>
      <w:r>
        <w:rPr>
          <w:rFonts w:hint="eastAsia"/>
        </w:rPr>
        <w:t xml:space="preserve"> </w:t>
      </w:r>
      <w:r>
        <w:rPr>
          <w:rFonts w:hint="eastAsia"/>
          <w:b/>
        </w:rPr>
        <w:t>OBE课程教学辅助</w:t>
      </w:r>
    </w:p>
    <w:p>
      <w:pPr>
        <w:pStyle w:val="9"/>
        <w:ind w:firstLine="480"/>
      </w:pPr>
      <w:r>
        <w:rPr>
          <w:rFonts w:hint="eastAsia"/>
        </w:rPr>
        <w:t>（1）课程大纲管理，具备分解课程目标，关联毕业要求指标点和课程教学功能。系统内置各类考核方式，支持自定义设置，且考核方式支撑分解，分解后能够设置子项负责人，方便录入各考核方式下的评价标准。</w:t>
      </w:r>
    </w:p>
    <w:p>
      <w:pPr>
        <w:pStyle w:val="9"/>
        <w:ind w:firstLine="480"/>
      </w:pPr>
      <w:r>
        <w:rPr>
          <w:rFonts w:hint="eastAsia"/>
        </w:rPr>
        <w:t>（2）可以对各考核方式分解进行合理性分析，确保教学目标权重偏离值不超过设定区间，与大纲中占比一致。并具备成绩管理，可设置是否纳入达成度计算、特殊原因填写功能，用于排除某些因特殊原因无效成绩的学生。</w:t>
      </w:r>
    </w:p>
    <w:p>
      <w:pPr>
        <w:pStyle w:val="9"/>
        <w:ind w:firstLine="480"/>
      </w:pPr>
      <w:r>
        <w:rPr>
          <w:rFonts w:hint="eastAsia"/>
        </w:rPr>
        <w:t>（3）学生可以查看自己的培养方案，查看自己所上课程的能力达成情况，专业能力达成情况，与同班、同学院、不同年级进行达成情况差距，本学期各门课程教学目标达成情况。</w:t>
      </w:r>
      <w:bookmarkStart w:id="155" w:name="_Toc8275"/>
    </w:p>
    <w:p>
      <w:pPr>
        <w:pStyle w:val="9"/>
        <w:ind w:firstLine="482"/>
        <w:rPr>
          <w:b/>
          <w:bCs/>
        </w:rPr>
      </w:pPr>
      <w:r>
        <w:rPr>
          <w:rFonts w:hint="eastAsia"/>
          <w:b/>
          <w:bCs/>
        </w:rPr>
        <w:t>3.5专业持续改进</w:t>
      </w:r>
      <w:bookmarkEnd w:id="155"/>
    </w:p>
    <w:p>
      <w:pPr>
        <w:pStyle w:val="9"/>
        <w:ind w:firstLine="480"/>
      </w:pPr>
      <w:r>
        <w:rPr>
          <w:rFonts w:hint="eastAsia"/>
        </w:rPr>
        <w:t>■（1）能够持续改进过程中针对毕业要求达成进行质量监控，如分析毕业要求各指标点达成情况，分析课程达成情况、学生能力达成情况，数据可以逐层下钻，找出问题根源，并能够生成毕业要求质量监控预警分析报告。</w:t>
      </w:r>
    </w:p>
    <w:p>
      <w:pPr>
        <w:pStyle w:val="9"/>
        <w:ind w:firstLine="480"/>
      </w:pPr>
      <w:r>
        <w:rPr>
          <w:rFonts w:hint="eastAsia"/>
        </w:rPr>
        <w:t>★（2）能够快速创建改进计划，进行问题描述、改进预期目标、改进措施、改进效果等内容的记录和保存，并能够以图表分析挖掘的形式通过对多届毕业生的横向分析和比对，如比较在不同专业方向或不同年级下的改进效果。</w:t>
      </w:r>
    </w:p>
    <w:p>
      <w:pPr>
        <w:pStyle w:val="9"/>
        <w:ind w:firstLine="482"/>
        <w:rPr>
          <w:b/>
          <w:bCs/>
        </w:rPr>
      </w:pPr>
      <w:bookmarkStart w:id="156" w:name="_Toc19345"/>
      <w:r>
        <w:rPr>
          <w:rFonts w:hint="eastAsia"/>
          <w:b/>
          <w:bCs/>
        </w:rPr>
        <w:t>3.6数据监测与分析报告</w:t>
      </w:r>
      <w:bookmarkEnd w:id="156"/>
    </w:p>
    <w:p>
      <w:pPr>
        <w:pStyle w:val="9"/>
        <w:ind w:firstLine="480"/>
      </w:pPr>
      <w:r>
        <w:rPr>
          <w:rFonts w:hint="eastAsia"/>
        </w:rPr>
        <w:t>★（1）构建一套完整的专业数据画像，总览专业基本情况，并提供培养目标、毕业要求、课程体系、持续改进等分项分析和对核心指标进行预警，借助其标签化、信息化、可视化的属性向学校呈现专业的现状、发展趋势和预警点。</w:t>
      </w:r>
    </w:p>
    <w:p>
      <w:pPr>
        <w:pStyle w:val="9"/>
        <w:ind w:firstLine="480"/>
      </w:pPr>
      <w:r>
        <w:rPr>
          <w:rFonts w:hint="eastAsia"/>
        </w:rPr>
        <w:t>（2）自动生成课程目标达成度分析报告，含课程考核的合理性分析、成绩分析、试卷分析、达成度分析等内容，可按不同学期不同年级导出。</w:t>
      </w:r>
    </w:p>
    <w:p>
      <w:pPr>
        <w:pStyle w:val="9"/>
        <w:ind w:firstLine="480"/>
      </w:pPr>
      <w:r>
        <w:rPr>
          <w:rFonts w:hint="eastAsia"/>
        </w:rPr>
        <w:t>■（3）自动生成专业学期能力达成分析报告，针对当前年级学生，系统每学期结束后生成专业学期能力达成度分析报告，当前学期所上课程达成、试卷分析、毕业要求达成分析，课程预警等维度发现问题所在；</w:t>
      </w:r>
    </w:p>
    <w:p>
      <w:pPr>
        <w:pStyle w:val="9"/>
        <w:ind w:firstLine="480"/>
      </w:pPr>
      <w:r>
        <w:rPr>
          <w:rFonts w:hint="eastAsia"/>
        </w:rPr>
        <w:t>（4）能够生成师范类专业认证一级监测报告和二级认证数据分析报告，报告以图表形式呈现专业认证标准的相关联数据，能够辅助各专业进行提前摸底。</w:t>
      </w:r>
    </w:p>
    <w:p>
      <w:pPr>
        <w:pStyle w:val="9"/>
        <w:ind w:firstLine="480"/>
      </w:pPr>
      <w:r>
        <w:rPr>
          <w:rFonts w:hint="eastAsia"/>
        </w:rPr>
        <w:t>（5）提供一个师范类专业的专业认证咨询服务，包含申请书、自评报告撰写咨询服务、培养方案修订、OBE课程教学落地的咨询及培训、调查问卷服务。</w:t>
      </w:r>
    </w:p>
    <w:p>
      <w:pPr>
        <w:pStyle w:val="9"/>
        <w:ind w:firstLine="482"/>
        <w:rPr>
          <w:rFonts w:ascii="Arial" w:hAnsi="Arial"/>
          <w:b/>
        </w:rPr>
      </w:pPr>
      <w:r>
        <w:rPr>
          <w:rFonts w:hint="eastAsia" w:ascii="Arial" w:hAnsi="Arial"/>
          <w:b/>
        </w:rPr>
        <w:t>注：</w:t>
      </w:r>
    </w:p>
    <w:p>
      <w:pPr>
        <w:pStyle w:val="9"/>
        <w:ind w:firstLine="482"/>
        <w:rPr>
          <w:rFonts w:ascii="Arial" w:hAnsi="Arial"/>
          <w:b/>
        </w:rPr>
      </w:pPr>
      <w:r>
        <w:rPr>
          <w:rFonts w:hint="eastAsia" w:ascii="Arial" w:hAnsi="Arial"/>
          <w:b/>
        </w:rPr>
        <w:t>标注“</w:t>
      </w:r>
      <w:r>
        <w:rPr>
          <w:rFonts w:hint="eastAsia" w:ascii="Arial" w:hAnsi="Arial"/>
          <w:b/>
          <w:kern w:val="0"/>
          <w:lang w:bidi="ar"/>
        </w:rPr>
        <w:t>■</w:t>
      </w:r>
      <w:r>
        <w:rPr>
          <w:rFonts w:hint="eastAsia" w:ascii="Arial" w:hAnsi="Arial"/>
          <w:b/>
        </w:rPr>
        <w:t>”号的重要技术参数需进行产品演示，这些重要技术参数未演示将导致扣分，扣分标准详见评标办法。现场演示需使用真实系统逐条演示，不能使用PPT或静态页面。</w:t>
      </w:r>
    </w:p>
    <w:p>
      <w:pPr>
        <w:pStyle w:val="9"/>
        <w:ind w:firstLine="482"/>
        <w:rPr>
          <w:rFonts w:ascii="Arial" w:hAnsi="Arial"/>
          <w:b/>
        </w:rPr>
      </w:pPr>
      <w:r>
        <w:rPr>
          <w:rFonts w:hint="eastAsia" w:ascii="Arial" w:hAnsi="Arial"/>
          <w:b/>
        </w:rPr>
        <w:t>对上述标注“★”的参数必须提供制造商技术资料支持证明。技术资料支持证明可以是生产商提供的技术文件、生产商印制的产品彩页等印刷资料、或生产商的技术说明书、或检测机构出具的产品检验报告等。未提供的，评标时不予认可。提供了的但与“技术响应偏离表”中的填写内容不符的，视为负偏离。</w:t>
      </w:r>
    </w:p>
    <w:p>
      <w:pPr>
        <w:spacing w:line="360" w:lineRule="auto"/>
        <w:ind w:firstLine="480" w:firstLineChars="200"/>
        <w:rPr>
          <w:rFonts w:hAnsi="宋体" w:cs="宋体"/>
          <w:color w:val="000000" w:themeColor="text1"/>
          <w:kern w:val="2"/>
          <w:szCs w:val="24"/>
          <w14:textFill>
            <w14:solidFill>
              <w14:schemeClr w14:val="tx1"/>
            </w14:solidFill>
          </w14:textFill>
        </w:rPr>
      </w:pPr>
    </w:p>
    <w:p>
      <w:pPr>
        <w:pStyle w:val="9"/>
        <w:ind w:firstLine="480"/>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3"/>
        <w:spacing w:before="340"/>
      </w:pPr>
      <w:bookmarkStart w:id="157" w:name="_Toc6572"/>
      <w:r>
        <w:rPr>
          <w:rFonts w:hint="eastAsia"/>
        </w:rPr>
        <w:t>第五章  评标办法</w:t>
      </w:r>
      <w:bookmarkEnd w:id="144"/>
      <w:bookmarkEnd w:id="145"/>
      <w:bookmarkEnd w:id="146"/>
      <w:bookmarkEnd w:id="147"/>
      <w:bookmarkEnd w:id="148"/>
      <w:bookmarkEnd w:id="157"/>
    </w:p>
    <w:p>
      <w:pPr>
        <w:pStyle w:val="6"/>
        <w:rPr>
          <w:color w:val="000000" w:themeColor="text1"/>
          <w14:textFill>
            <w14:solidFill>
              <w14:schemeClr w14:val="tx1"/>
            </w14:solidFill>
          </w14:textFill>
        </w:rPr>
      </w:pPr>
      <w:bookmarkStart w:id="158" w:name="_Toc12882"/>
      <w:bookmarkStart w:id="159" w:name="_Toc363463332"/>
      <w:bookmarkStart w:id="160" w:name="_Toc10474"/>
      <w:r>
        <w:rPr>
          <w:rFonts w:hint="eastAsia"/>
          <w:color w:val="000000" w:themeColor="text1"/>
          <w14:textFill>
            <w14:solidFill>
              <w14:schemeClr w14:val="tx1"/>
            </w14:solidFill>
          </w14:textFill>
        </w:rPr>
        <w:t>一．评标办法</w:t>
      </w:r>
      <w:bookmarkEnd w:id="158"/>
      <w:bookmarkEnd w:id="159"/>
      <w:bookmarkEnd w:id="160"/>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按照《中华人民共和国政府采购法》、中华人民共和国2015年第658号国务院令--《中华人民共和国政府采购法实施条例》和中华人民共和国财政部2017年第87号部长令--《政府采购</w:t>
      </w:r>
      <w:r>
        <w:rPr>
          <w:rFonts w:hint="eastAsia"/>
          <w:color w:val="000000" w:themeColor="text1"/>
          <w:lang w:val="en-US" w:eastAsia="zh-CN"/>
          <w14:textFill>
            <w14:solidFill>
              <w14:schemeClr w14:val="tx1"/>
            </w14:solidFill>
          </w14:textFill>
        </w:rPr>
        <w:t>货物</w:t>
      </w:r>
      <w:r>
        <w:rPr>
          <w:rFonts w:hint="eastAsia"/>
          <w:color w:val="000000" w:themeColor="text1"/>
          <w14:textFill>
            <w14:solidFill>
              <w14:schemeClr w14:val="tx1"/>
            </w14:solidFill>
          </w14:textFill>
        </w:rPr>
        <w:t>和服务招标投标管理办法》的规定，</w:t>
      </w:r>
      <w:r>
        <w:rPr>
          <w:rFonts w:hint="eastAsia"/>
          <w:b/>
          <w:color w:val="000000" w:themeColor="text1"/>
          <w14:textFill>
            <w14:solidFill>
              <w14:schemeClr w14:val="tx1"/>
            </w14:solidFill>
          </w14:textFill>
        </w:rPr>
        <w:t>本次评标采用综合评分法-</w:t>
      </w:r>
      <w:r>
        <w:rPr>
          <w:rFonts w:hint="eastAsia"/>
          <w:color w:val="000000" w:themeColor="text1"/>
          <w14:textFill>
            <w14:solidFill>
              <w14:schemeClr w14:val="tx1"/>
            </w14:solidFill>
          </w14:textFill>
        </w:rPr>
        <w:t>-投标文件满足招标文件全部实质性要求，且按照评审因素的量化指标评审得分最高的投标人为中标候选人。（最低折扣不是中标的唯一标准）。</w:t>
      </w:r>
    </w:p>
    <w:p>
      <w:pPr>
        <w:pStyle w:val="6"/>
        <w:rPr>
          <w:color w:val="000000" w:themeColor="text1"/>
          <w14:textFill>
            <w14:solidFill>
              <w14:schemeClr w14:val="tx1"/>
            </w14:solidFill>
          </w14:textFill>
        </w:rPr>
      </w:pPr>
      <w:bookmarkStart w:id="161" w:name="_Toc27037"/>
      <w:bookmarkStart w:id="162" w:name="_Toc20618"/>
      <w:r>
        <w:rPr>
          <w:rFonts w:hint="eastAsia"/>
          <w:color w:val="000000" w:themeColor="text1"/>
          <w14:textFill>
            <w14:solidFill>
              <w14:schemeClr w14:val="tx1"/>
            </w14:solidFill>
          </w14:textFill>
        </w:rPr>
        <w:t>二．评标委员会负责具体评标事务，并独立履行下列职责：</w:t>
      </w:r>
      <w:bookmarkEnd w:id="161"/>
      <w:bookmarkEnd w:id="162"/>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2.1审查、评价投标文件是否符合招标文件的商务、技术、合同条款等实质性要求；</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2.2要求投标人对投标文件有关事项作出澄清或者说明；</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2.3对投标文件进行比较和评价；</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2.4确定中标候选人名单，以及根据采购人委托直接确定中标人；</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2.5向采购人、采购代理机构或者有关部门报告评标中发现的违法行为。</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三．投标人存在下列情况之一的，投标无效：</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3.1未按照招标文件的规定提交投标保证金的；</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3.2投标文件未按招标文件要求签署、盖章的；</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3.3不具备招标文件中规定的资格要求的；</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3.4报价超过招标文件中规定的预算金额或者最高限价的；</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3.5投标文件含有采购人不能接受的附加条件的；</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3.6无投标有效期或有效期达不到招标文件要求的；</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3.7单位负责人为同一人或者存在直接控股、管理关系的不同投标人，参加本项目同一合同项下的投标的；</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3.8为本采购项目提供整体设计、规范编制或者项目管理、监理、检测等服务的投标人，参加本采购项目投标的；</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3.9提供虚假投标文件和资料的。</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3.10法律、法规和招标文件规定的其他无效情形。</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四．投标人有下列情形之一的，视为投标人串通投标，其投标无效：</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4.1不同投标人的投标文件由同一单位或者个人编制；</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4.2不同投标人委托同一单位或者个人办理投标事宜；</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4.3不同投标人的投标文件载明的项目管理成员或者联系人员为同一人；</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4.4不同投标人的投标文件异常一致或者投标报价呈规律性差异；</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4.5不同投标人的投标文件相互混装；</w:t>
      </w:r>
    </w:p>
    <w:p>
      <w:pPr>
        <w:pStyle w:val="9"/>
        <w:ind w:firstLine="480"/>
        <w:rPr>
          <w:color w:val="000000" w:themeColor="text1"/>
          <w:spacing w:val="4"/>
          <w:szCs w:val="21"/>
          <w14:textFill>
            <w14:solidFill>
              <w14:schemeClr w14:val="tx1"/>
            </w14:solidFill>
          </w14:textFill>
        </w:rPr>
      </w:pPr>
      <w:r>
        <w:rPr>
          <w:rFonts w:hint="eastAsia"/>
          <w:color w:val="000000" w:themeColor="text1"/>
          <w14:textFill>
            <w14:solidFill>
              <w14:schemeClr w14:val="tx1"/>
            </w14:solidFill>
          </w14:textFill>
        </w:rPr>
        <w:t>4.6不同投标人的投标保证金从同一单位或者个人的账户转出。</w:t>
      </w:r>
    </w:p>
    <w:p>
      <w:pPr>
        <w:pStyle w:val="6"/>
        <w:rPr>
          <w:color w:val="000000" w:themeColor="text1"/>
          <w14:textFill>
            <w14:solidFill>
              <w14:schemeClr w14:val="tx1"/>
            </w14:solidFill>
          </w14:textFill>
        </w:rPr>
      </w:pPr>
      <w:bookmarkStart w:id="163" w:name="_Toc363463333"/>
      <w:bookmarkStart w:id="164" w:name="_Toc27272"/>
      <w:bookmarkStart w:id="165" w:name="_Toc31251"/>
      <w:r>
        <w:rPr>
          <w:rFonts w:hint="eastAsia"/>
          <w:color w:val="000000" w:themeColor="text1"/>
          <w14:textFill>
            <w14:solidFill>
              <w14:schemeClr w14:val="tx1"/>
            </w14:solidFill>
          </w14:textFill>
        </w:rPr>
        <w:t>五．评审程序</w:t>
      </w:r>
      <w:bookmarkEnd w:id="163"/>
      <w:bookmarkEnd w:id="164"/>
      <w:bookmarkEnd w:id="165"/>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按照投标文件初审、澄清有关问题、比较与评价、推荐中标候选人名单的工作程序进行评标。在上一步评审中被认定为无效投标者，不进入下一步的评审。</w:t>
      </w:r>
    </w:p>
    <w:p>
      <w:pPr>
        <w:pStyle w:val="9"/>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5.1投标文件初审</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资格性审查：采购人或其出具授权委托采购代理机构依据法律法规和招标文件规定的评审标准（投标人须知前附表：投标人资格证明文件）对投标人进行资格性审查。有一项不符合评审标准的，将被视为未实质性响应招标文件，其投标文件将按无效文件处理。</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符合性审查：评标委员会将依据招标文件规定的评审标准对投标文件进行符合性审查。有一项不符合评审标准的，将被视为未实质性响应招标文件，其投标文件将按无效文件处理。其内容包括但不限于以下部分：</w:t>
      </w:r>
    </w:p>
    <w:tbl>
      <w:tblPr>
        <w:tblStyle w:val="1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907"/>
        <w:gridCol w:w="2340"/>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39" w:type="dxa"/>
            <w:vMerge w:val="restart"/>
            <w:vAlign w:val="center"/>
          </w:tcPr>
          <w:p>
            <w:pPr>
              <w:pStyle w:val="29"/>
              <w:rPr>
                <w:color w:val="000000" w:themeColor="text1"/>
                <w14:textFill>
                  <w14:solidFill>
                    <w14:schemeClr w14:val="tx1"/>
                  </w14:solidFill>
                </w14:textFill>
              </w:rPr>
            </w:pPr>
          </w:p>
          <w:p>
            <w:pPr>
              <w:pStyle w:val="29"/>
              <w:rPr>
                <w:color w:val="000000" w:themeColor="text1"/>
                <w14:textFill>
                  <w14:solidFill>
                    <w14:schemeClr w14:val="tx1"/>
                  </w14:solidFill>
                </w14:textFill>
              </w:rPr>
            </w:pPr>
          </w:p>
          <w:p>
            <w:pPr>
              <w:pStyle w:val="29"/>
              <w:rPr>
                <w:color w:val="000000" w:themeColor="text1"/>
                <w14:textFill>
                  <w14:solidFill>
                    <w14:schemeClr w14:val="tx1"/>
                  </w14:solidFill>
                </w14:textFill>
              </w:rPr>
            </w:pPr>
          </w:p>
          <w:p>
            <w:pPr>
              <w:pStyle w:val="29"/>
              <w:rPr>
                <w:color w:val="000000" w:themeColor="text1"/>
                <w14:textFill>
                  <w14:solidFill>
                    <w14:schemeClr w14:val="tx1"/>
                  </w14:solidFill>
                </w14:textFill>
              </w:rPr>
            </w:pPr>
          </w:p>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符合性评审标准</w:t>
            </w:r>
          </w:p>
        </w:tc>
        <w:tc>
          <w:tcPr>
            <w:tcW w:w="907" w:type="dxa"/>
            <w:vMerge w:val="restart"/>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有效性审查</w:t>
            </w:r>
          </w:p>
        </w:tc>
        <w:tc>
          <w:tcPr>
            <w:tcW w:w="2340"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投标文件的签署盖章</w:t>
            </w:r>
          </w:p>
        </w:tc>
        <w:tc>
          <w:tcPr>
            <w:tcW w:w="5069" w:type="dxa"/>
            <w:vAlign w:val="center"/>
          </w:tcPr>
          <w:p>
            <w:pPr>
              <w:pStyle w:val="2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投标文件上法定代表人或被授权人的签字合理并加盖公章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439" w:type="dxa"/>
            <w:vMerge w:val="continue"/>
          </w:tcPr>
          <w:p>
            <w:pPr>
              <w:pStyle w:val="29"/>
              <w:rPr>
                <w:color w:val="000000" w:themeColor="text1"/>
                <w14:textFill>
                  <w14:solidFill>
                    <w14:schemeClr w14:val="tx1"/>
                  </w14:solidFill>
                </w14:textFill>
              </w:rPr>
            </w:pPr>
          </w:p>
        </w:tc>
        <w:tc>
          <w:tcPr>
            <w:tcW w:w="907" w:type="dxa"/>
            <w:vMerge w:val="continue"/>
          </w:tcPr>
          <w:p>
            <w:pPr>
              <w:pStyle w:val="29"/>
              <w:rPr>
                <w:color w:val="000000" w:themeColor="text1"/>
                <w14:textFill>
                  <w14:solidFill>
                    <w14:schemeClr w14:val="tx1"/>
                  </w14:solidFill>
                </w14:textFill>
              </w:rPr>
            </w:pPr>
          </w:p>
        </w:tc>
        <w:tc>
          <w:tcPr>
            <w:tcW w:w="2340"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报价唯一</w:t>
            </w:r>
          </w:p>
        </w:tc>
        <w:tc>
          <w:tcPr>
            <w:tcW w:w="5069" w:type="dxa"/>
            <w:vAlign w:val="center"/>
          </w:tcPr>
          <w:p>
            <w:pPr>
              <w:pStyle w:val="2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只能有一个有效报价，不得提交选择性报价，且报价不超过采购预算金额或最高限价。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dxa"/>
            <w:vMerge w:val="continue"/>
            <w:vAlign w:val="center"/>
          </w:tcPr>
          <w:p>
            <w:pPr>
              <w:pStyle w:val="29"/>
              <w:rPr>
                <w:color w:val="000000" w:themeColor="text1"/>
                <w14:textFill>
                  <w14:solidFill>
                    <w14:schemeClr w14:val="tx1"/>
                  </w14:solidFill>
                </w14:textFill>
              </w:rPr>
            </w:pPr>
          </w:p>
        </w:tc>
        <w:tc>
          <w:tcPr>
            <w:tcW w:w="907" w:type="dxa"/>
            <w:vMerge w:val="restart"/>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完整性审查</w:t>
            </w:r>
          </w:p>
        </w:tc>
        <w:tc>
          <w:tcPr>
            <w:tcW w:w="2340"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投标文件份数</w:t>
            </w:r>
          </w:p>
        </w:tc>
        <w:tc>
          <w:tcPr>
            <w:tcW w:w="5069" w:type="dxa"/>
            <w:vAlign w:val="center"/>
          </w:tcPr>
          <w:p>
            <w:pPr>
              <w:pStyle w:val="2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应符合“供应商须知前附表”规定的正本、副本、电子文件数量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dxa"/>
            <w:vMerge w:val="continue"/>
          </w:tcPr>
          <w:p>
            <w:pPr>
              <w:pStyle w:val="29"/>
              <w:rPr>
                <w:color w:val="000000" w:themeColor="text1"/>
                <w14:textFill>
                  <w14:solidFill>
                    <w14:schemeClr w14:val="tx1"/>
                  </w14:solidFill>
                </w14:textFill>
              </w:rPr>
            </w:pPr>
          </w:p>
        </w:tc>
        <w:tc>
          <w:tcPr>
            <w:tcW w:w="907" w:type="dxa"/>
            <w:vMerge w:val="continue"/>
          </w:tcPr>
          <w:p>
            <w:pPr>
              <w:pStyle w:val="29"/>
              <w:rPr>
                <w:color w:val="000000" w:themeColor="text1"/>
                <w14:textFill>
                  <w14:solidFill>
                    <w14:schemeClr w14:val="tx1"/>
                  </w14:solidFill>
                </w14:textFill>
              </w:rPr>
            </w:pPr>
          </w:p>
        </w:tc>
        <w:tc>
          <w:tcPr>
            <w:tcW w:w="2340"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投标文件内容</w:t>
            </w:r>
          </w:p>
        </w:tc>
        <w:tc>
          <w:tcPr>
            <w:tcW w:w="5069" w:type="dxa"/>
            <w:vAlign w:val="center"/>
          </w:tcPr>
          <w:p>
            <w:pPr>
              <w:pStyle w:val="2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dxa"/>
            <w:vMerge w:val="continue"/>
            <w:vAlign w:val="center"/>
          </w:tcPr>
          <w:p>
            <w:pPr>
              <w:pStyle w:val="29"/>
              <w:rPr>
                <w:color w:val="000000" w:themeColor="text1"/>
                <w14:textFill>
                  <w14:solidFill>
                    <w14:schemeClr w14:val="tx1"/>
                  </w14:solidFill>
                </w14:textFill>
              </w:rPr>
            </w:pPr>
          </w:p>
        </w:tc>
        <w:tc>
          <w:tcPr>
            <w:tcW w:w="907" w:type="dxa"/>
            <w:vMerge w:val="restart"/>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响应性审查</w:t>
            </w:r>
          </w:p>
        </w:tc>
        <w:tc>
          <w:tcPr>
            <w:tcW w:w="2340"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对招标文件响应程度</w:t>
            </w:r>
          </w:p>
        </w:tc>
        <w:tc>
          <w:tcPr>
            <w:tcW w:w="5069" w:type="dxa"/>
            <w:vAlign w:val="center"/>
          </w:tcPr>
          <w:p>
            <w:pPr>
              <w:pStyle w:val="2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要求实质性条款全部响应，不能有采购人不能接受的附加条件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dxa"/>
            <w:vMerge w:val="continue"/>
          </w:tcPr>
          <w:p>
            <w:pPr>
              <w:pStyle w:val="29"/>
              <w:rPr>
                <w:color w:val="000000" w:themeColor="text1"/>
                <w14:textFill>
                  <w14:solidFill>
                    <w14:schemeClr w14:val="tx1"/>
                  </w14:solidFill>
                </w14:textFill>
              </w:rPr>
            </w:pPr>
          </w:p>
        </w:tc>
        <w:tc>
          <w:tcPr>
            <w:tcW w:w="907" w:type="dxa"/>
            <w:vMerge w:val="continue"/>
          </w:tcPr>
          <w:p>
            <w:pPr>
              <w:pStyle w:val="29"/>
              <w:rPr>
                <w:color w:val="000000" w:themeColor="text1"/>
                <w14:textFill>
                  <w14:solidFill>
                    <w14:schemeClr w14:val="tx1"/>
                  </w14:solidFill>
                </w14:textFill>
              </w:rPr>
            </w:pPr>
          </w:p>
        </w:tc>
        <w:tc>
          <w:tcPr>
            <w:tcW w:w="2340"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交付期</w:t>
            </w:r>
          </w:p>
        </w:tc>
        <w:tc>
          <w:tcPr>
            <w:tcW w:w="5069" w:type="dxa"/>
            <w:vAlign w:val="center"/>
          </w:tcPr>
          <w:p>
            <w:pPr>
              <w:pStyle w:val="2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应满足招标文件中要求的交付期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dxa"/>
            <w:vMerge w:val="continue"/>
          </w:tcPr>
          <w:p>
            <w:pPr>
              <w:pStyle w:val="29"/>
              <w:rPr>
                <w:color w:val="000000" w:themeColor="text1"/>
                <w14:textFill>
                  <w14:solidFill>
                    <w14:schemeClr w14:val="tx1"/>
                  </w14:solidFill>
                </w14:textFill>
              </w:rPr>
            </w:pPr>
          </w:p>
        </w:tc>
        <w:tc>
          <w:tcPr>
            <w:tcW w:w="907" w:type="dxa"/>
            <w:vMerge w:val="continue"/>
          </w:tcPr>
          <w:p>
            <w:pPr>
              <w:pStyle w:val="29"/>
              <w:rPr>
                <w:color w:val="000000" w:themeColor="text1"/>
                <w14:textFill>
                  <w14:solidFill>
                    <w14:schemeClr w14:val="tx1"/>
                  </w14:solidFill>
                </w14:textFill>
              </w:rPr>
            </w:pPr>
          </w:p>
        </w:tc>
        <w:tc>
          <w:tcPr>
            <w:tcW w:w="2340"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质保期</w:t>
            </w:r>
          </w:p>
        </w:tc>
        <w:tc>
          <w:tcPr>
            <w:tcW w:w="5069" w:type="dxa"/>
            <w:vAlign w:val="center"/>
          </w:tcPr>
          <w:p>
            <w:pPr>
              <w:pStyle w:val="2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应满足招标文件中要求的质保期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dxa"/>
            <w:vMerge w:val="continue"/>
          </w:tcPr>
          <w:p>
            <w:pPr>
              <w:pStyle w:val="29"/>
              <w:rPr>
                <w:color w:val="000000" w:themeColor="text1"/>
                <w14:textFill>
                  <w14:solidFill>
                    <w14:schemeClr w14:val="tx1"/>
                  </w14:solidFill>
                </w14:textFill>
              </w:rPr>
            </w:pPr>
          </w:p>
        </w:tc>
        <w:tc>
          <w:tcPr>
            <w:tcW w:w="907" w:type="dxa"/>
            <w:vMerge w:val="continue"/>
          </w:tcPr>
          <w:p>
            <w:pPr>
              <w:pStyle w:val="29"/>
              <w:rPr>
                <w:color w:val="000000" w:themeColor="text1"/>
                <w14:textFill>
                  <w14:solidFill>
                    <w14:schemeClr w14:val="tx1"/>
                  </w14:solidFill>
                </w14:textFill>
              </w:rPr>
            </w:pPr>
          </w:p>
        </w:tc>
        <w:tc>
          <w:tcPr>
            <w:tcW w:w="2340"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投标有效期</w:t>
            </w:r>
          </w:p>
        </w:tc>
        <w:tc>
          <w:tcPr>
            <w:tcW w:w="5069" w:type="dxa"/>
            <w:vAlign w:val="center"/>
          </w:tcPr>
          <w:p>
            <w:pPr>
              <w:pStyle w:val="2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应满足招标文件中的规定</w:t>
            </w:r>
          </w:p>
        </w:tc>
      </w:tr>
    </w:tbl>
    <w:p>
      <w:pPr>
        <w:pStyle w:val="9"/>
        <w:ind w:firstLine="480"/>
        <w:rPr>
          <w:color w:val="000000" w:themeColor="text1"/>
          <w14:textFill>
            <w14:solidFill>
              <w14:schemeClr w14:val="tx1"/>
            </w14:solidFill>
          </w14:textFill>
        </w:rPr>
      </w:pP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（3）在资格性审查阶段，不符合招标文件要求的，不得进入符合性审查，在符合性审查时未通过的，不得进入后续评审环节。</w:t>
      </w:r>
    </w:p>
    <w:p>
      <w:pPr>
        <w:pStyle w:val="9"/>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5.2投标文件的澄清</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5.2.1为有助于投标文件的审查、比较和评价，评标委员会可要求投标人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被授权人签字。投标人的澄清、说明或者补正不得超出投标文件的范围或者改变投标文件的实质性内容。评标委员会不接受投标人主动提出的澄清、说明。</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5.2.2有效的书面澄清材料，是投标文件的补充材料，成为投标文件的组成部分。</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9"/>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5.3投标文件比较与评价</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5.3.1评委会应按照招标文件《评标因素及权重分值表》规定的评标办法和标准，对资格性检查和符合性检查合格的投标文件进行商务和技术评估，综合比较与评价。</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5.3.2评标委员会根据《评标因素及权重分值表》进行综合比较，独立评审、自主打分，按最后得分由高到低汇总排序。评标委员会根据评标结果写出评标报告。评标委员会成员对需要共同认定的事项存在争议的，应当按照少数服从多数的原则作出结论。持不同意见的评标委员会成员应当在评标报告上签署不同意见及理由，否则视为同意评标报告。</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5.3.3评标委员会成员须对畸高、畸低的重大差异评分进行复核或书面说明理由。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5.3.4如果投标文件没有实质性响应招标文件的要求，评委会将予以拒绝。投标人不得通过修正或撤销不合要求的偏离或保留，从而使其投标成为实质性响应的投标。</w:t>
      </w:r>
    </w:p>
    <w:p>
      <w:pPr>
        <w:pStyle w:val="6"/>
        <w:rPr>
          <w:color w:val="000000" w:themeColor="text1"/>
          <w14:textFill>
            <w14:solidFill>
              <w14:schemeClr w14:val="tx1"/>
            </w14:solidFill>
          </w14:textFill>
        </w:rPr>
      </w:pPr>
      <w:bookmarkStart w:id="166" w:name="_Toc20533"/>
      <w:bookmarkStart w:id="167" w:name="_Toc23931"/>
      <w:r>
        <w:rPr>
          <w:rFonts w:hint="eastAsia"/>
          <w:color w:val="000000" w:themeColor="text1"/>
          <w14:textFill>
            <w14:solidFill>
              <w14:schemeClr w14:val="tx1"/>
            </w14:solidFill>
          </w14:textFill>
        </w:rPr>
        <w:t>六．政策性扣减</w:t>
      </w:r>
      <w:bookmarkEnd w:id="166"/>
      <w:bookmarkEnd w:id="167"/>
    </w:p>
    <w:p>
      <w:pPr>
        <w:pStyle w:val="9"/>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6.1政策性扣减范围</w:t>
      </w:r>
    </w:p>
    <w:p>
      <w:pPr>
        <w:pStyle w:val="9"/>
        <w:ind w:firstLine="480"/>
      </w:pPr>
      <w:r>
        <w:rPr>
          <w:rFonts w:hint="eastAsia"/>
        </w:rPr>
        <w:t>6.1.1投标人符合小型、微型企业或监狱企业、残疾人福利性单位条件的，其投标报价价格评审时将按相应比例进行扣减。</w:t>
      </w:r>
    </w:p>
    <w:p>
      <w:pPr>
        <w:pStyle w:val="9"/>
        <w:ind w:firstLine="480"/>
      </w:pPr>
      <w:r>
        <w:rPr>
          <w:rFonts w:hint="eastAsia"/>
        </w:rPr>
        <w:t>6.1.2投标人符合《政府采购促进中小企业发展管理办法》（财库﹝2020﹞46 号）条件的，其投标报价价格评审时将按相应比例进行扣减。</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6.1.3采购人拟采购产品属于优先采购节能、环境标志产品范围的，应当优先采购节能、环境标志产品；拟采购产品符合政府采购强制采购政策的，实行强制采购。</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（1）采购人依据节能产品、环境标志产品品目清单和节能、环境标志产品认证证书实施政府优先采购和强制采购。</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6.1.4监狱企业参加政府采购活动时，应当提供由省级以上监狱管理局、戒毒管理局(含新疆生产建设兵团)出具的属于监狱企业的证明文件。监狱企业参加政府采购活动时，视同小型、微型企业。</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pStyle w:val="9"/>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6.2政策性扣减方式：</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6.2.1在投标报价的基础上，对小微企业、监狱企业、残疾人福利性单位，按“投标报价×6%”进行扣减；</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6.2.2投标人为联合体参与投标，且联合协议中约定小型或微型企业的协议合同金额占到联合体协议合同总金额30％以上的，按“投标报价×2%”进行扣减；</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6.2.3小微企业、监狱企业、残疾人福利性单位不重复享受优惠政策；</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6.2.4投标人享受支持中小型企业发展政策优惠的，可以同时享受节能、环境标志产品优先采购政策。</w:t>
      </w:r>
    </w:p>
    <w:p>
      <w:pPr>
        <w:pStyle w:val="9"/>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6.3节能、环境标志产品的报价折扣幅度标准：</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6.3.</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投标投标人在投标文件中对所采购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6.3.</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参与投标的所有投标产品进入节能清单（有效期内）的，按“投标报价×2%”进行扣减。（注：若节能清单内的产品仅是构成采购产品的部件、组件或零件的，则该投标产品不享受此项鼓励优惠政策）</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6.3.</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参与投标的所有投标产品进入环境标志产品清单（有效期内）的，按“投标报价×1%”进行扣减。（注：若环境标志清单内的产品仅是构成采购产品的部件、组件或零件的，则该投标产品不享受此项鼓励优惠政策）</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注：以上情况不累计扣减。</w:t>
      </w:r>
    </w:p>
    <w:p>
      <w:pPr>
        <w:pStyle w:val="9"/>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6.4中标价格=中标投标人的有效投标报价。</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七．</w:t>
      </w:r>
      <w:bookmarkStart w:id="168" w:name="_Toc19618"/>
      <w:bookmarkStart w:id="169" w:name="_Toc21804"/>
      <w:r>
        <w:rPr>
          <w:color w:val="000000" w:themeColor="text1"/>
          <w14:textFill>
            <w14:solidFill>
              <w14:schemeClr w14:val="tx1"/>
            </w14:solidFill>
          </w14:textFill>
        </w:rPr>
        <w:t>特殊情况的处理</w:t>
      </w:r>
      <w:bookmarkEnd w:id="168"/>
      <w:bookmarkEnd w:id="169"/>
    </w:p>
    <w:p>
      <w:pPr>
        <w:pStyle w:val="9"/>
        <w:ind w:firstLine="480"/>
        <w:rPr>
          <w:color w:val="000000" w:themeColor="text1"/>
          <w14:textFill>
            <w14:solidFill>
              <w14:schemeClr w14:val="tx1"/>
            </w14:solidFill>
          </w14:textFill>
        </w:rPr>
      </w:pPr>
      <w:r>
        <w:rPr>
          <w:color w:val="000000" w:themeColor="text1"/>
          <w14:textFill>
            <w14:solidFill>
              <w14:schemeClr w14:val="tx1"/>
            </w14:solidFill>
          </w14:textFill>
        </w:rPr>
        <w:t>7.1单一产品采购项目中，提供相同品牌的产品的不同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参加同一合同项下投标的，按以下方法处理：</w:t>
      </w:r>
    </w:p>
    <w:p>
      <w:pPr>
        <w:pStyle w:val="9"/>
        <w:ind w:firstLine="480"/>
        <w:rPr>
          <w:color w:val="000000" w:themeColor="text1"/>
          <w14:textFill>
            <w14:solidFill>
              <w14:schemeClr w14:val="tx1"/>
            </w14:solidFill>
          </w14:textFill>
        </w:rPr>
      </w:pPr>
      <w:r>
        <w:rPr>
          <w:color w:val="000000" w:themeColor="text1"/>
          <w14:textFill>
            <w14:solidFill>
              <w14:schemeClr w14:val="tx1"/>
            </w14:solidFill>
          </w14:textFill>
        </w:rPr>
        <w:t>7.1.1使用最低评标价法的采购项目，提供相同品牌产品的不同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参加同一合同项下投标的，以其中通过资格审查、符合性审查且报价最低的参加评标；报价相同的，由采购人及评标委员会按照技术方案、售后服务等内容择优选择确定一个参加评标的</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，其他投标无效。</w:t>
      </w:r>
    </w:p>
    <w:p>
      <w:pPr>
        <w:pStyle w:val="9"/>
        <w:ind w:firstLine="480"/>
        <w:rPr>
          <w:color w:val="000000" w:themeColor="text1"/>
          <w14:textFill>
            <w14:solidFill>
              <w14:schemeClr w14:val="tx1"/>
            </w14:solidFill>
          </w14:textFill>
        </w:rPr>
      </w:pPr>
      <w:r>
        <w:rPr>
          <w:color w:val="000000" w:themeColor="text1"/>
          <w14:textFill>
            <w14:solidFill>
              <w14:schemeClr w14:val="tx1"/>
            </w14:solidFill>
          </w14:textFill>
        </w:rPr>
        <w:t>7.1.2使用综合评分法的采购项目，提供相同品牌产品且通过资格审查、符合性审查的不同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参加同一合同项下投标的，按一家</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计算，评审后得分最高的同品牌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获得中标人推荐资格；评审得分相同的，由采购人及评标委员会按照投标报价最低的方式确定一个</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获得中标人推荐资格，其他同品牌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不作为中标候选人。</w:t>
      </w:r>
    </w:p>
    <w:p>
      <w:pPr>
        <w:pStyle w:val="9"/>
        <w:ind w:firstLine="480"/>
        <w:rPr>
          <w:color w:val="000000" w:themeColor="text1"/>
          <w14:textFill>
            <w14:solidFill>
              <w14:schemeClr w14:val="tx1"/>
            </w14:solidFill>
          </w14:textFill>
        </w:rPr>
      </w:pPr>
      <w:r>
        <w:rPr>
          <w:color w:val="000000" w:themeColor="text1"/>
          <w14:textFill>
            <w14:solidFill>
              <w14:schemeClr w14:val="tx1"/>
            </w14:solidFill>
          </w14:textFill>
        </w:rPr>
        <w:t>7.2非单一产品采购项目中，提供相同品牌的核心产品的不同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参加同一合同项下投标的，按以下方法处理：</w:t>
      </w:r>
    </w:p>
    <w:p>
      <w:pPr>
        <w:pStyle w:val="9"/>
        <w:ind w:firstLine="480"/>
        <w:rPr>
          <w:color w:val="000000" w:themeColor="text1"/>
          <w14:textFill>
            <w14:solidFill>
              <w14:schemeClr w14:val="tx1"/>
            </w14:solidFill>
          </w14:textFill>
        </w:rPr>
      </w:pPr>
      <w:r>
        <w:rPr>
          <w:color w:val="000000" w:themeColor="text1"/>
          <w14:textFill>
            <w14:solidFill>
              <w14:schemeClr w14:val="tx1"/>
            </w14:solidFill>
          </w14:textFill>
        </w:rPr>
        <w:t>7.2.1使用最低评标价法的采购项目，提供相同品牌核心产品的不同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参加同一合同项下投标的，以其中通过资格审查、符合性审查且投标报价最低的参加评标；投标报价相同的，由采购人及评标委员会按照技术方案、售后服务等内容择优选择确定一个参加评标的</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，其他投标无效。</w:t>
      </w:r>
    </w:p>
    <w:p>
      <w:pPr>
        <w:pStyle w:val="9"/>
        <w:ind w:firstLine="480"/>
        <w:rPr>
          <w:color w:val="000000" w:themeColor="text1"/>
          <w14:textFill>
            <w14:solidFill>
              <w14:schemeClr w14:val="tx1"/>
            </w14:solidFill>
          </w14:textFill>
        </w:rPr>
      </w:pPr>
      <w:r>
        <w:rPr>
          <w:color w:val="000000" w:themeColor="text1"/>
          <w14:textFill>
            <w14:solidFill>
              <w14:schemeClr w14:val="tx1"/>
            </w14:solidFill>
          </w14:textFill>
        </w:rPr>
        <w:t>7.2.2使用综合评分法的采购项目，提供相同品牌核心产品且通过资格审查、符合性审查的不同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参加同一合同项下投标的，按一家</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计算，评审后得分最高的同品牌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获得中标人推荐资格；评审得分相同的，由采购人及评标委员会按照投标报价最低的方式确定一个</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获得中标人推荐资格，其他同品牌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不作为中标候选人。</w:t>
      </w:r>
    </w:p>
    <w:p>
      <w:pPr>
        <w:pStyle w:val="9"/>
        <w:ind w:firstLine="480"/>
        <w:rPr>
          <w:color w:val="000000" w:themeColor="text1"/>
          <w14:textFill>
            <w14:solidFill>
              <w14:schemeClr w14:val="tx1"/>
            </w14:solidFill>
          </w14:textFill>
        </w:rPr>
      </w:pPr>
      <w:r>
        <w:rPr>
          <w:color w:val="000000" w:themeColor="text1"/>
          <w14:textFill>
            <w14:solidFill>
              <w14:schemeClr w14:val="tx1"/>
            </w14:solidFill>
          </w14:textFill>
        </w:rPr>
        <w:t>7.2.3核心产品为两个及以上时，当所有核心产品品牌均相同时，在评审时按同一</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计算；部分核心产品品牌相同时按不同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计算。</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7.3投标文件报价出现前后不一致的，按照下列规定修正：</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投标文件中开标一览表(报价表)内容与投标文件中相应内容不一致的，以开标一览表(报价表)为准；如果单独密封的开标一览表(报价表)与投标文件正本的开标一览表(报价表)不一致，以单独密封的开标一览表(报价表)为准。</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（2）投标文件的大写金额和小写金额不一致的，以大写金额为准；</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（3）单价金额小数点或者百分比有明显错位的，以单独密封的开标一览表的总价为准，并修改单价；</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（4）总价金额与按单价汇总金额不一致的，以单价金额计算结果为准。</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按上述修正的顺序和方法调整的投标报价应对投标人具有约束力。如果投标人不接受修正后的价格，其投标将按无效投标处理。</w:t>
      </w:r>
    </w:p>
    <w:p>
      <w:pPr>
        <w:pStyle w:val="6"/>
        <w:rPr>
          <w:color w:val="000000" w:themeColor="text1"/>
          <w14:textFill>
            <w14:solidFill>
              <w14:schemeClr w14:val="tx1"/>
            </w14:solidFill>
          </w14:textFill>
        </w:rPr>
      </w:pPr>
      <w:bookmarkStart w:id="170" w:name="_Toc24337"/>
      <w:bookmarkStart w:id="171" w:name="_Toc3952"/>
      <w:r>
        <w:rPr>
          <w:rFonts w:hint="eastAsia"/>
          <w:color w:val="000000" w:themeColor="text1"/>
          <w14:textFill>
            <w14:solidFill>
              <w14:schemeClr w14:val="tx1"/>
            </w14:solidFill>
          </w14:textFill>
        </w:rPr>
        <w:t>八．定标</w:t>
      </w:r>
      <w:bookmarkEnd w:id="170"/>
      <w:bookmarkEnd w:id="171"/>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8.1评标结果由全体评标委员会成员签字确认。</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8.2采购人根据评标报告中推荐的中标候选人排列顺序确定中标人，以复函通知采购代理机构。</w:t>
      </w:r>
    </w:p>
    <w:p>
      <w:pPr>
        <w:rPr>
          <w:rStyle w:val="36"/>
          <w:color w:val="000000" w:themeColor="text1"/>
          <w14:textFill>
            <w14:solidFill>
              <w14:schemeClr w14:val="tx1"/>
            </w14:solidFill>
          </w14:textFill>
        </w:rPr>
      </w:pPr>
      <w:r>
        <w:rPr>
          <w:rStyle w:val="36"/>
          <w:rFonts w:hint="eastAsia"/>
          <w:color w:val="000000" w:themeColor="text1"/>
          <w14:textFill>
            <w14:solidFill>
              <w14:schemeClr w14:val="tx1"/>
            </w14:solidFill>
          </w14:textFill>
        </w:rPr>
        <w:br w:type="page"/>
      </w:r>
    </w:p>
    <w:bookmarkEnd w:id="116"/>
    <w:bookmarkEnd w:id="137"/>
    <w:bookmarkEnd w:id="138"/>
    <w:bookmarkEnd w:id="139"/>
    <w:bookmarkEnd w:id="140"/>
    <w:bookmarkEnd w:id="141"/>
    <w:bookmarkEnd w:id="142"/>
    <w:bookmarkEnd w:id="143"/>
    <w:p>
      <w:pPr>
        <w:pStyle w:val="29"/>
        <w:rPr>
          <w:b/>
          <w:bCs/>
        </w:rPr>
      </w:pPr>
      <w:bookmarkStart w:id="172" w:name="_Toc22538"/>
      <w:bookmarkStart w:id="173" w:name="_Toc8830"/>
      <w:bookmarkStart w:id="174" w:name="_Toc363474025"/>
      <w:bookmarkStart w:id="175" w:name="_Toc426457698"/>
      <w:bookmarkStart w:id="176" w:name="_Toc28411"/>
      <w:r>
        <w:rPr>
          <w:b/>
          <w:bCs/>
        </w:rPr>
        <w:t>评审要素及分值一览表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1250"/>
        <w:gridCol w:w="6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222" w:type="dxa"/>
            <w:vAlign w:val="center"/>
          </w:tcPr>
          <w:p>
            <w:pPr>
              <w:pStyle w:val="29"/>
              <w:rPr>
                <w:b/>
                <w:bCs/>
              </w:rPr>
            </w:pPr>
            <w:r>
              <w:rPr>
                <w:rFonts w:hint="eastAsia"/>
                <w:b/>
                <w:bCs/>
              </w:rPr>
              <w:t>评分因素及权值（%）</w:t>
            </w:r>
          </w:p>
        </w:tc>
        <w:tc>
          <w:tcPr>
            <w:tcW w:w="1250" w:type="dxa"/>
            <w:vAlign w:val="center"/>
          </w:tcPr>
          <w:p>
            <w:pPr>
              <w:pStyle w:val="29"/>
              <w:rPr>
                <w:b/>
                <w:bCs/>
              </w:rPr>
            </w:pPr>
            <w:r>
              <w:rPr>
                <w:rFonts w:hint="eastAsia"/>
                <w:b/>
                <w:bCs/>
              </w:rPr>
              <w:t>分值</w:t>
            </w:r>
          </w:p>
        </w:tc>
        <w:tc>
          <w:tcPr>
            <w:tcW w:w="6466" w:type="dxa"/>
            <w:vAlign w:val="center"/>
          </w:tcPr>
          <w:p>
            <w:pPr>
              <w:pStyle w:val="29"/>
              <w:rPr>
                <w:b/>
                <w:bCs/>
              </w:rPr>
            </w:pPr>
            <w:r>
              <w:rPr>
                <w:rFonts w:hint="eastAsia"/>
                <w:b/>
                <w:bC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1222" w:type="dxa"/>
            <w:vAlign w:val="center"/>
          </w:tcPr>
          <w:p>
            <w:pPr>
              <w:pStyle w:val="29"/>
            </w:pPr>
            <w:r>
              <w:rPr>
                <w:rFonts w:hint="eastAsia"/>
              </w:rPr>
              <w:t>价格</w:t>
            </w:r>
          </w:p>
          <w:p>
            <w:pPr>
              <w:pStyle w:val="29"/>
            </w:pPr>
            <w:r>
              <w:rPr>
                <w:rFonts w:hint="eastAsia"/>
              </w:rPr>
              <w:t>（30）</w:t>
            </w:r>
          </w:p>
        </w:tc>
        <w:tc>
          <w:tcPr>
            <w:tcW w:w="1250" w:type="dxa"/>
            <w:vAlign w:val="center"/>
          </w:tcPr>
          <w:p>
            <w:pPr>
              <w:pStyle w:val="29"/>
            </w:pPr>
            <w:r>
              <w:rPr>
                <w:rFonts w:hint="eastAsia"/>
              </w:rPr>
              <w:t>30分</w:t>
            </w:r>
          </w:p>
        </w:tc>
        <w:tc>
          <w:tcPr>
            <w:tcW w:w="6466" w:type="dxa"/>
            <w:vAlign w:val="center"/>
          </w:tcPr>
          <w:p>
            <w:pPr>
              <w:pStyle w:val="29"/>
              <w:jc w:val="left"/>
            </w:pPr>
            <w:r>
              <w:rPr>
                <w:rFonts w:hint="eastAsia"/>
              </w:rPr>
              <w:t>经初审合格的响应文件，其磋商报价为有效报价，对符合政策性扣减的供应商的有效价格进行政策性扣减，并依据扣减后的价格（评审价格）进行价格评审。</w:t>
            </w:r>
          </w:p>
          <w:p>
            <w:pPr>
              <w:pStyle w:val="29"/>
              <w:jc w:val="left"/>
            </w:pPr>
            <w:r>
              <w:rPr>
                <w:rFonts w:hint="eastAsia"/>
              </w:rPr>
              <w:t>满足磋商文件实质性要求且评审价格最低的供应商的价格为评标基准价，其价格分为满分。</w:t>
            </w:r>
          </w:p>
          <w:p>
            <w:pPr>
              <w:pStyle w:val="29"/>
              <w:jc w:val="left"/>
            </w:pPr>
            <w:r>
              <w:rPr>
                <w:rFonts w:hint="eastAsia"/>
              </w:rPr>
              <w:t>报价得分=（评标基准价/评审价格）×30的公式计算得分。</w:t>
            </w:r>
          </w:p>
          <w:p>
            <w:pPr>
              <w:pStyle w:val="29"/>
              <w:jc w:val="left"/>
            </w:pPr>
            <w:r>
              <w:rPr>
                <w:rFonts w:hint="eastAsia"/>
              </w:rPr>
              <w:t>报价不完整的，不进入评标基准价的计算，本项得0分</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222" w:type="dxa"/>
            <w:vMerge w:val="restart"/>
            <w:vAlign w:val="center"/>
          </w:tcPr>
          <w:p>
            <w:pPr>
              <w:pStyle w:val="29"/>
            </w:pPr>
            <w:r>
              <w:rPr>
                <w:rFonts w:hint="eastAsia"/>
              </w:rPr>
              <w:t>技术指标及方案</w:t>
            </w:r>
          </w:p>
          <w:p>
            <w:pPr>
              <w:pStyle w:val="29"/>
            </w:pPr>
            <w:r>
              <w:rPr>
                <w:rFonts w:hint="eastAsia"/>
              </w:rPr>
              <w:t>（28）</w:t>
            </w:r>
          </w:p>
        </w:tc>
        <w:tc>
          <w:tcPr>
            <w:tcW w:w="1250" w:type="dxa"/>
            <w:vAlign w:val="center"/>
          </w:tcPr>
          <w:p>
            <w:pPr>
              <w:pStyle w:val="29"/>
            </w:pPr>
            <w:r>
              <w:rPr>
                <w:rFonts w:hint="eastAsia"/>
                <w:szCs w:val="24"/>
              </w:rPr>
              <w:t>其它指标（18分）</w:t>
            </w:r>
          </w:p>
        </w:tc>
        <w:tc>
          <w:tcPr>
            <w:tcW w:w="6466" w:type="dxa"/>
            <w:vAlign w:val="center"/>
          </w:tcPr>
          <w:p>
            <w:pPr>
              <w:pStyle w:val="29"/>
              <w:jc w:val="left"/>
              <w:rPr>
                <w:szCs w:val="24"/>
              </w:rPr>
            </w:pPr>
            <w:r>
              <w:rPr>
                <w:rFonts w:hint="eastAsia"/>
                <w:szCs w:val="24"/>
              </w:rPr>
              <w:t>投标人投标内容完全符合《招标文件》第四章“采购内容及技术要求”非“★”和“■”项，没有负偏离得基本分18分；每有1项负偏离的扣0.5分，扣完为止。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222" w:type="dxa"/>
            <w:vMerge w:val="continue"/>
            <w:vAlign w:val="center"/>
          </w:tcPr>
          <w:p>
            <w:pPr>
              <w:pStyle w:val="29"/>
            </w:pPr>
          </w:p>
        </w:tc>
        <w:tc>
          <w:tcPr>
            <w:tcW w:w="1250" w:type="dxa"/>
            <w:vAlign w:val="center"/>
          </w:tcPr>
          <w:p>
            <w:pPr>
              <w:pStyle w:val="29"/>
              <w:rPr>
                <w:szCs w:val="24"/>
              </w:rPr>
            </w:pPr>
            <w:r>
              <w:rPr>
                <w:rFonts w:hint="eastAsia"/>
                <w:szCs w:val="24"/>
              </w:rPr>
              <w:t>技术响应（10分）</w:t>
            </w:r>
          </w:p>
        </w:tc>
        <w:tc>
          <w:tcPr>
            <w:tcW w:w="6466" w:type="dxa"/>
            <w:vAlign w:val="center"/>
          </w:tcPr>
          <w:p>
            <w:pPr>
              <w:pStyle w:val="29"/>
              <w:jc w:val="left"/>
              <w:rPr>
                <w:szCs w:val="24"/>
              </w:rPr>
            </w:pPr>
            <w:r>
              <w:rPr>
                <w:rFonts w:hint="eastAsia"/>
                <w:szCs w:val="24"/>
              </w:rPr>
              <w:t>投标人投标内容完全符合《招标文件》第四章“采购内容及技术要求”标“★”项，没有负偏离得基本分10分；每有1项负偏离的扣1分，扣完为止。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22" w:type="dxa"/>
            <w:vAlign w:val="center"/>
          </w:tcPr>
          <w:p>
            <w:pPr>
              <w:tabs>
                <w:tab w:val="left" w:pos="474"/>
              </w:tabs>
              <w:spacing w:line="288" w:lineRule="auto"/>
              <w:jc w:val="center"/>
            </w:pPr>
            <w:r>
              <w:rPr>
                <w:rFonts w:hint="eastAsia" w:hAnsi="宋体" w:cs="宋体"/>
                <w:szCs w:val="24"/>
              </w:rPr>
              <w:t>现场演示（15）</w:t>
            </w:r>
          </w:p>
        </w:tc>
        <w:tc>
          <w:tcPr>
            <w:tcW w:w="1250" w:type="dxa"/>
            <w:vAlign w:val="center"/>
          </w:tcPr>
          <w:p>
            <w:pPr>
              <w:spacing w:line="288" w:lineRule="auto"/>
              <w:jc w:val="both"/>
            </w:pPr>
            <w:r>
              <w:rPr>
                <w:rFonts w:hint="eastAsia" w:hAnsi="宋体" w:cs="宋体"/>
                <w:szCs w:val="24"/>
              </w:rPr>
              <w:t xml:space="preserve">  15分</w:t>
            </w:r>
          </w:p>
        </w:tc>
        <w:tc>
          <w:tcPr>
            <w:tcW w:w="6466" w:type="dxa"/>
            <w:vAlign w:val="center"/>
          </w:tcPr>
          <w:p>
            <w:pPr>
              <w:spacing w:line="288" w:lineRule="auto"/>
            </w:pPr>
            <w:r>
              <w:rPr>
                <w:rFonts w:hint="eastAsia" w:cs="宋体"/>
                <w:szCs w:val="24"/>
              </w:rPr>
              <w:t>投标人根据</w:t>
            </w:r>
            <w:r>
              <w:rPr>
                <w:rFonts w:hint="eastAsia" w:hAnsi="宋体" w:cs="宋体"/>
                <w:szCs w:val="24"/>
              </w:rPr>
              <w:t>《招标文件》第四章“采购内容及技术要求”</w:t>
            </w:r>
            <w:r>
              <w:rPr>
                <w:rFonts w:hint="eastAsia"/>
                <w:szCs w:val="24"/>
              </w:rPr>
              <w:t>标“■”项</w:t>
            </w:r>
            <w:r>
              <w:rPr>
                <w:rFonts w:hint="eastAsia" w:hAnsi="宋体" w:cs="宋体"/>
                <w:szCs w:val="24"/>
              </w:rPr>
              <w:t>内容进行逐条演示，演示时间不超过15分钟</w:t>
            </w:r>
            <w:r>
              <w:rPr>
                <w:rFonts w:hint="eastAsia" w:cs="宋体"/>
                <w:szCs w:val="24"/>
              </w:rPr>
              <w:t>，根据现场演示效果，每演示一项得1-1.5分，未演示不得分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1" w:hRule="atLeast"/>
        </w:trPr>
        <w:tc>
          <w:tcPr>
            <w:tcW w:w="1222" w:type="dxa"/>
            <w:vAlign w:val="center"/>
          </w:tcPr>
          <w:p>
            <w:pPr>
              <w:pStyle w:val="29"/>
            </w:pPr>
            <w:r>
              <w:rPr>
                <w:rFonts w:hint="eastAsia"/>
                <w:szCs w:val="24"/>
              </w:rPr>
              <w:t>技术方案（10）</w:t>
            </w:r>
          </w:p>
        </w:tc>
        <w:tc>
          <w:tcPr>
            <w:tcW w:w="1250" w:type="dxa"/>
            <w:vAlign w:val="center"/>
          </w:tcPr>
          <w:p>
            <w:pPr>
              <w:pStyle w:val="29"/>
            </w:pPr>
            <w:r>
              <w:rPr>
                <w:rFonts w:hint="eastAsia"/>
              </w:rPr>
              <w:t>10分</w:t>
            </w:r>
          </w:p>
        </w:tc>
        <w:tc>
          <w:tcPr>
            <w:tcW w:w="6466" w:type="dxa"/>
            <w:vAlign w:val="center"/>
          </w:tcPr>
          <w:p>
            <w:pPr>
              <w:pStyle w:val="29"/>
              <w:jc w:val="left"/>
            </w:pPr>
            <w:r>
              <w:rPr>
                <w:rFonts w:hint="eastAsia"/>
              </w:rPr>
              <w:t>根据供应商提供的系统设计与整体解决方案进行计分：</w:t>
            </w:r>
          </w:p>
          <w:p>
            <w:pPr>
              <w:pStyle w:val="29"/>
              <w:jc w:val="left"/>
            </w:pPr>
            <w:r>
              <w:rPr>
                <w:rFonts w:hint="eastAsia"/>
              </w:rPr>
              <w:t>完全符合学校整体质保体系整体规划方案的设计思路和当前业务需求，并符合当前业务需求支持后续业务拓展与延伸，模块功能分配合理，得7.1-10分；</w:t>
            </w:r>
          </w:p>
          <w:p>
            <w:pPr>
              <w:pStyle w:val="29"/>
              <w:jc w:val="left"/>
            </w:pPr>
            <w:r>
              <w:rPr>
                <w:rFonts w:hint="eastAsia"/>
              </w:rPr>
              <w:t>较符合学校整体质保体系整体规划方案的设计思路和当前业务需求，较符合当前业务需求支持后续业务拓展与延伸，模块功能分配较合理，得4.1-7分；</w:t>
            </w:r>
          </w:p>
          <w:p>
            <w:pPr>
              <w:pStyle w:val="29"/>
              <w:jc w:val="left"/>
            </w:pPr>
            <w:r>
              <w:rPr>
                <w:rFonts w:hint="eastAsia"/>
              </w:rPr>
              <w:t>不符合学校整体质保体系整体规划方案的设计思路和当前业务需求，不符合当前业务需求支持后续业务拓展与延伸，模块功能分配不合理，或三大系统中有重大功能缺失得1-4分；</w:t>
            </w:r>
          </w:p>
          <w:p>
            <w:pPr>
              <w:pStyle w:val="29"/>
              <w:jc w:val="left"/>
            </w:pPr>
            <w:r>
              <w:rPr>
                <w:rFonts w:hint="eastAsia"/>
              </w:rPr>
              <w:t>没有提供方案的不计分。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222" w:type="dxa"/>
            <w:vAlign w:val="center"/>
          </w:tcPr>
          <w:p>
            <w:pPr>
              <w:pStyle w:val="29"/>
            </w:pPr>
            <w:r>
              <w:rPr>
                <w:rFonts w:hint="eastAsia"/>
                <w:szCs w:val="24"/>
              </w:rPr>
              <w:t>进货渠道（2）</w:t>
            </w:r>
          </w:p>
        </w:tc>
        <w:tc>
          <w:tcPr>
            <w:tcW w:w="1250" w:type="dxa"/>
            <w:vAlign w:val="center"/>
          </w:tcPr>
          <w:p>
            <w:pPr>
              <w:pStyle w:val="29"/>
            </w:pPr>
            <w:r>
              <w:rPr>
                <w:rFonts w:hint="eastAsia"/>
              </w:rPr>
              <w:t>2分</w:t>
            </w:r>
          </w:p>
        </w:tc>
        <w:tc>
          <w:tcPr>
            <w:tcW w:w="6466" w:type="dxa"/>
            <w:vAlign w:val="center"/>
          </w:tcPr>
          <w:p>
            <w:pPr>
              <w:pStyle w:val="29"/>
              <w:jc w:val="left"/>
            </w:pPr>
            <w:r>
              <w:rPr>
                <w:rFonts w:hint="eastAsia"/>
                <w:szCs w:val="24"/>
              </w:rPr>
              <w:t>产品进货渠道正规，提供相关证明材料（包括销售协议或代理协议或原厂授权等），根据响应程度计0-2分（原件备查）。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222" w:type="dxa"/>
            <w:vMerge w:val="restart"/>
            <w:vAlign w:val="center"/>
          </w:tcPr>
          <w:p>
            <w:pPr>
              <w:pStyle w:val="29"/>
            </w:pPr>
            <w:r>
              <w:rPr>
                <w:rFonts w:hint="eastAsia"/>
                <w:szCs w:val="24"/>
              </w:rPr>
              <w:t>售后服务及培训（9）</w:t>
            </w:r>
          </w:p>
        </w:tc>
        <w:tc>
          <w:tcPr>
            <w:tcW w:w="1250" w:type="dxa"/>
            <w:vAlign w:val="center"/>
          </w:tcPr>
          <w:p>
            <w:pPr>
              <w:pStyle w:val="29"/>
            </w:pPr>
            <w:r>
              <w:rPr>
                <w:rFonts w:hint="eastAsia"/>
              </w:rPr>
              <w:t>售后服务（5分）</w:t>
            </w:r>
          </w:p>
        </w:tc>
        <w:tc>
          <w:tcPr>
            <w:tcW w:w="6466" w:type="dxa"/>
            <w:vAlign w:val="center"/>
          </w:tcPr>
          <w:p>
            <w:pPr>
              <w:jc w:val="left"/>
              <w:rPr>
                <w:rFonts w:hAnsi="宋体"/>
              </w:rPr>
            </w:pPr>
            <w:r>
              <w:rPr>
                <w:rFonts w:hint="eastAsia" w:hAnsi="宋体"/>
              </w:rPr>
              <w:t>1.售后服务方案详细、具体、可行（包括供应商售后服务网点的设定、维护、拟投入售后服务人员配置情况、项目交付用户后出现故障响应时间等），按其响应程度得0-5分；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222" w:type="dxa"/>
            <w:vMerge w:val="continue"/>
            <w:vAlign w:val="center"/>
          </w:tcPr>
          <w:p>
            <w:pPr>
              <w:pStyle w:val="29"/>
            </w:pPr>
          </w:p>
        </w:tc>
        <w:tc>
          <w:tcPr>
            <w:tcW w:w="1250" w:type="dxa"/>
            <w:vAlign w:val="center"/>
          </w:tcPr>
          <w:p>
            <w:pPr>
              <w:pStyle w:val="29"/>
              <w:rPr>
                <w:rFonts w:hint="eastAsia"/>
              </w:rPr>
            </w:pPr>
            <w:r>
              <w:rPr>
                <w:rFonts w:hint="eastAsia"/>
              </w:rPr>
              <w:t>本地化服务</w:t>
            </w:r>
          </w:p>
          <w:p>
            <w:pPr>
              <w:pStyle w:val="29"/>
            </w:pPr>
            <w:r>
              <w:rPr>
                <w:rFonts w:hint="eastAsia"/>
              </w:rPr>
              <w:t>（1分）</w:t>
            </w:r>
          </w:p>
        </w:tc>
        <w:tc>
          <w:tcPr>
            <w:tcW w:w="6466" w:type="dxa"/>
            <w:vAlign w:val="center"/>
          </w:tcPr>
          <w:p>
            <w:pPr>
              <w:pStyle w:val="29"/>
              <w:jc w:val="both"/>
            </w:pPr>
            <w:r>
              <w:rPr>
                <w:rFonts w:hint="eastAsia"/>
              </w:rPr>
              <w:t>2.</w:t>
            </w:r>
            <w:r>
              <w:rPr>
                <w:rFonts w:hint="eastAsia"/>
                <w:szCs w:val="24"/>
              </w:rPr>
              <w:t>为了快速满足学校售后运维服务要求，供应商具备本地化服务能力，在西安市或咸阳市内具有运维服务机构，得1分，需提供营业执照或房屋租赁合同，不提供不得分。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222" w:type="dxa"/>
            <w:vMerge w:val="continue"/>
            <w:vAlign w:val="center"/>
          </w:tcPr>
          <w:p>
            <w:pPr>
              <w:pStyle w:val="29"/>
            </w:pPr>
          </w:p>
        </w:tc>
        <w:tc>
          <w:tcPr>
            <w:tcW w:w="1250" w:type="dxa"/>
            <w:vAlign w:val="center"/>
          </w:tcPr>
          <w:p>
            <w:pPr>
              <w:pStyle w:val="29"/>
              <w:rPr>
                <w:rFonts w:hint="eastAsia"/>
                <w:szCs w:val="24"/>
              </w:rPr>
            </w:pPr>
            <w:r>
              <w:rPr>
                <w:rFonts w:hint="eastAsia"/>
                <w:szCs w:val="24"/>
              </w:rPr>
              <w:t>培训</w:t>
            </w:r>
          </w:p>
          <w:p>
            <w:pPr>
              <w:pStyle w:val="29"/>
            </w:pPr>
            <w:r>
              <w:rPr>
                <w:rFonts w:hint="eastAsia"/>
                <w:szCs w:val="24"/>
              </w:rPr>
              <w:t>（3分）</w:t>
            </w:r>
          </w:p>
        </w:tc>
        <w:tc>
          <w:tcPr>
            <w:tcW w:w="6466" w:type="dxa"/>
            <w:vAlign w:val="center"/>
          </w:tcPr>
          <w:p>
            <w:pPr>
              <w:pStyle w:val="29"/>
              <w:jc w:val="left"/>
            </w:pPr>
            <w:r>
              <w:rPr>
                <w:rFonts w:hint="eastAsia"/>
                <w:szCs w:val="24"/>
              </w:rPr>
              <w:t>3.</w:t>
            </w:r>
            <w:r>
              <w:rPr>
                <w:rFonts w:hint="eastAsia"/>
                <w:kern w:val="2"/>
                <w:szCs w:val="24"/>
              </w:rPr>
              <w:t>根据投标人提供的培训方案进行评审，包括但不限于投标人培训对象、培训人员、培训次数等培训计划，完全满足以上内容及采购人需求的得1.6-3分；部分满足的得0.1-1.5分；不满足或未提供的得0分。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222" w:type="dxa"/>
            <w:vAlign w:val="center"/>
          </w:tcPr>
          <w:p>
            <w:pPr>
              <w:pStyle w:val="29"/>
            </w:pPr>
            <w:r>
              <w:rPr>
                <w:rFonts w:hint="eastAsia"/>
              </w:rPr>
              <w:t>业绩</w:t>
            </w:r>
          </w:p>
          <w:p>
            <w:pPr>
              <w:pStyle w:val="29"/>
            </w:pPr>
            <w:r>
              <w:rPr>
                <w:rFonts w:hint="eastAsia"/>
              </w:rPr>
              <w:t>（6）</w:t>
            </w:r>
          </w:p>
        </w:tc>
        <w:tc>
          <w:tcPr>
            <w:tcW w:w="1250" w:type="dxa"/>
            <w:vAlign w:val="center"/>
          </w:tcPr>
          <w:p>
            <w:pPr>
              <w:pStyle w:val="29"/>
            </w:pPr>
            <w:r>
              <w:rPr>
                <w:rFonts w:hint="eastAsia"/>
              </w:rPr>
              <w:t>6分</w:t>
            </w:r>
          </w:p>
        </w:tc>
        <w:tc>
          <w:tcPr>
            <w:tcW w:w="6466" w:type="dxa"/>
            <w:vAlign w:val="center"/>
          </w:tcPr>
          <w:p>
            <w:pPr>
              <w:pStyle w:val="29"/>
              <w:jc w:val="left"/>
              <w:rPr>
                <w:szCs w:val="24"/>
              </w:rPr>
            </w:pPr>
            <w:r>
              <w:rPr>
                <w:rFonts w:hint="eastAsia"/>
                <w:szCs w:val="24"/>
              </w:rPr>
              <w:t>投标人提供2019年5月1日至今同类项目业绩，</w:t>
            </w:r>
            <w:r>
              <w:rPr>
                <w:rFonts w:hint="eastAsia"/>
                <w:kern w:val="2"/>
                <w:szCs w:val="24"/>
              </w:rPr>
              <w:t>须提供清晰有效的合同复印件并加盖单位公章，每提供一份得1.5分，最高6分，不提供或提供不清晰者本项不得分。</w:t>
            </w:r>
          </w:p>
        </w:tc>
      </w:tr>
    </w:tbl>
    <w:p>
      <w:pPr>
        <w:pStyle w:val="3"/>
        <w:spacing w:before="340"/>
        <w:rPr>
          <w:rStyle w:val="25"/>
          <w:b/>
          <w:color w:val="000000" w:themeColor="text1"/>
          <w14:textFill>
            <w14:solidFill>
              <w14:schemeClr w14:val="tx1"/>
            </w14:solidFill>
          </w14:textFill>
        </w:rPr>
      </w:pPr>
      <w:r>
        <w:rPr>
          <w:rFonts w:hint="eastAsia"/>
          <w:bCs/>
          <w:color w:val="FF0000"/>
          <w:sz w:val="36"/>
          <w:szCs w:val="36"/>
        </w:rPr>
        <w:br w:type="page"/>
      </w:r>
      <w:bookmarkStart w:id="177" w:name="_Toc19704"/>
      <w:bookmarkStart w:id="178" w:name="_Toc26074"/>
      <w:r>
        <w:rPr>
          <w:rFonts w:hint="eastAsia"/>
          <w:color w:val="000000" w:themeColor="text1"/>
          <w14:textFill>
            <w14:solidFill>
              <w14:schemeClr w14:val="tx1"/>
            </w14:solidFill>
          </w14:textFill>
        </w:rPr>
        <w:t>第六章  投标文件构成及格式</w:t>
      </w:r>
      <w:bookmarkEnd w:id="172"/>
      <w:bookmarkEnd w:id="173"/>
      <w:bookmarkEnd w:id="174"/>
      <w:bookmarkEnd w:id="175"/>
      <w:bookmarkEnd w:id="176"/>
      <w:bookmarkEnd w:id="177"/>
      <w:bookmarkEnd w:id="178"/>
    </w:p>
    <w:p>
      <w:pPr>
        <w:rPr>
          <w:rFonts w:hAnsi="宋体" w:cs="宋体"/>
          <w:color w:val="000000" w:themeColor="text1"/>
          <w14:textFill>
            <w14:solidFill>
              <w14:schemeClr w14:val="tx1"/>
            </w14:solidFill>
          </w14:textFill>
        </w:rPr>
      </w:pPr>
    </w:p>
    <w:p>
      <w:pPr>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项目编号：ZHZB-2022-GK-0527</w:t>
      </w:r>
    </w:p>
    <w:p>
      <w:pPr>
        <w:jc w:val="right"/>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（正本或副本）</w:t>
      </w:r>
    </w:p>
    <w:p>
      <w:pPr>
        <w:pStyle w:val="2"/>
        <w:rPr>
          <w:color w:val="000000" w:themeColor="text1"/>
          <w14:textFill>
            <w14:solidFill>
              <w14:schemeClr w14:val="tx1"/>
            </w14:solidFill>
          </w14:textFill>
        </w:rPr>
      </w:pPr>
    </w:p>
    <w:p>
      <w:pPr>
        <w:jc w:val="center"/>
        <w:rPr>
          <w:rFonts w:hAnsi="宋体" w:cs="宋体"/>
          <w:b/>
          <w:color w:val="000000" w:themeColor="text1"/>
          <w:sz w:val="48"/>
          <w:szCs w:val="48"/>
          <w14:textFill>
            <w14:solidFill>
              <w14:schemeClr w14:val="tx1"/>
            </w14:solidFill>
          </w14:textFill>
        </w:rPr>
      </w:pPr>
    </w:p>
    <w:p>
      <w:pPr>
        <w:pStyle w:val="2"/>
        <w:jc w:val="center"/>
        <w:rPr>
          <w:color w:val="000000" w:themeColor="text1"/>
          <w:sz w:val="36"/>
          <w:szCs w:val="36"/>
          <w14:textFill>
            <w14:solidFill>
              <w14:schemeClr w14:val="tx1"/>
            </w14:solidFill>
          </w14:textFill>
        </w:rPr>
      </w:pPr>
      <w:r>
        <w:rPr>
          <w:rFonts w:hint="eastAsia" w:hAnsi="宋体" w:cs="宋体"/>
          <w:b/>
          <w:color w:val="000000" w:themeColor="text1"/>
          <w:sz w:val="44"/>
          <w:szCs w:val="44"/>
          <w14:textFill>
            <w14:solidFill>
              <w14:schemeClr w14:val="tx1"/>
            </w14:solidFill>
          </w14:textFill>
        </w:rPr>
        <w:t>咸阳师范学院专业认证管理系统及教学质量保障监控一体化监测平台建设项目</w:t>
      </w:r>
    </w:p>
    <w:p>
      <w:pPr>
        <w:rPr>
          <w:rFonts w:hAnsi="宋体" w:cs="宋体"/>
          <w:b/>
          <w:color w:val="000000" w:themeColor="text1"/>
          <w:sz w:val="48"/>
          <w:szCs w:val="48"/>
          <w14:textFill>
            <w14:solidFill>
              <w14:schemeClr w14:val="tx1"/>
            </w14:solidFill>
          </w14:textFill>
        </w:rPr>
      </w:pPr>
    </w:p>
    <w:p>
      <w:pPr>
        <w:jc w:val="center"/>
        <w:rPr>
          <w:rFonts w:hAnsi="宋体" w:cs="宋体"/>
          <w:b/>
          <w:color w:val="000000" w:themeColor="text1"/>
          <w:sz w:val="72"/>
          <w:szCs w:val="72"/>
          <w14:textFill>
            <w14:solidFill>
              <w14:schemeClr w14:val="tx1"/>
            </w14:solidFill>
          </w14:textFill>
        </w:rPr>
      </w:pPr>
      <w:r>
        <w:rPr>
          <w:rFonts w:hint="eastAsia" w:hAnsi="宋体" w:cs="宋体"/>
          <w:b/>
          <w:color w:val="000000" w:themeColor="text1"/>
          <w:sz w:val="72"/>
          <w:szCs w:val="72"/>
          <w14:textFill>
            <w14:solidFill>
              <w14:schemeClr w14:val="tx1"/>
            </w14:solidFill>
          </w14:textFill>
        </w:rPr>
        <w:t>投 标 文 件</w:t>
      </w:r>
    </w:p>
    <w:p>
      <w:pPr>
        <w:jc w:val="center"/>
        <w:rPr>
          <w:rFonts w:hAnsi="宋体" w:cs="宋体"/>
          <w:b/>
          <w:color w:val="000000" w:themeColor="text1"/>
          <w:sz w:val="72"/>
          <w:szCs w:val="72"/>
          <w14:textFill>
            <w14:solidFill>
              <w14:schemeClr w14:val="tx1"/>
            </w14:solidFill>
          </w14:textFill>
        </w:rPr>
      </w:pPr>
    </w:p>
    <w:p>
      <w:pPr>
        <w:pStyle w:val="2"/>
        <w:rPr>
          <w:color w:val="000000" w:themeColor="text1"/>
          <w14:textFill>
            <w14:solidFill>
              <w14:schemeClr w14:val="tx1"/>
            </w14:solidFill>
          </w14:textFill>
        </w:rPr>
      </w:pPr>
    </w:p>
    <w:p>
      <w:pPr>
        <w:pStyle w:val="2"/>
        <w:rPr>
          <w:rFonts w:ascii="宋体" w:hAnsi="宋体" w:cs="宋体"/>
          <w:b/>
          <w:color w:val="000000" w:themeColor="text1"/>
          <w:sz w:val="36"/>
          <w:szCs w:val="36"/>
          <w14:textFill>
            <w14:solidFill>
              <w14:schemeClr w14:val="tx1"/>
            </w14:solidFill>
          </w14:textFill>
        </w:rPr>
      </w:pPr>
    </w:p>
    <w:p>
      <w:pPr>
        <w:spacing w:line="720" w:lineRule="auto"/>
        <w:ind w:firstLine="1205" w:firstLineChars="400"/>
        <w:rPr>
          <w:rFonts w:hAnsi="宋体" w:cs="宋体"/>
          <w:b/>
          <w:bCs/>
          <w:color w:val="000000" w:themeColor="text1"/>
          <w:sz w:val="30"/>
          <w:szCs w:val="30"/>
          <w14:textFill>
            <w14:solidFill>
              <w14:schemeClr w14:val="tx1"/>
            </w14:solidFill>
          </w14:textFill>
        </w:rPr>
      </w:pPr>
    </w:p>
    <w:p>
      <w:pPr>
        <w:spacing w:line="720" w:lineRule="auto"/>
        <w:ind w:firstLine="1205" w:firstLineChars="400"/>
        <w:rPr>
          <w:rFonts w:hAnsi="宋体" w:cs="宋体"/>
          <w:b/>
          <w:bCs/>
          <w:color w:val="000000" w:themeColor="text1"/>
          <w:sz w:val="30"/>
          <w:szCs w:val="30"/>
          <w:u w:val="single"/>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投标人（盖章）：</w:t>
      </w:r>
      <w:r>
        <w:rPr>
          <w:rFonts w:hint="eastAsia" w:hAnsi="宋体" w:cs="宋体"/>
          <w:b/>
          <w:bCs/>
          <w:color w:val="000000" w:themeColor="text1"/>
          <w:sz w:val="30"/>
          <w:szCs w:val="30"/>
          <w:u w:val="single"/>
          <w14:textFill>
            <w14:solidFill>
              <w14:schemeClr w14:val="tx1"/>
            </w14:solidFill>
          </w14:textFill>
        </w:rPr>
        <w:t xml:space="preserve">                              </w:t>
      </w:r>
    </w:p>
    <w:p>
      <w:pPr>
        <w:spacing w:line="720" w:lineRule="auto"/>
        <w:ind w:firstLine="1205" w:firstLineChars="400"/>
        <w:rPr>
          <w:rFonts w:hAnsi="宋体" w:cs="宋体"/>
          <w:b/>
          <w:bCs/>
          <w:color w:val="000000" w:themeColor="text1"/>
          <w:sz w:val="30"/>
          <w:szCs w:val="30"/>
          <w:u w:val="single"/>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法定代表人或授权代表（签字或盖章）：</w:t>
      </w:r>
      <w:r>
        <w:rPr>
          <w:rFonts w:hint="eastAsia" w:hAnsi="宋体" w:cs="宋体"/>
          <w:b/>
          <w:bCs/>
          <w:color w:val="000000" w:themeColor="text1"/>
          <w:sz w:val="30"/>
          <w:szCs w:val="30"/>
          <w:u w:val="single"/>
          <w14:textFill>
            <w14:solidFill>
              <w14:schemeClr w14:val="tx1"/>
            </w14:solidFill>
          </w14:textFill>
        </w:rPr>
        <w:t xml:space="preserve">          </w:t>
      </w:r>
    </w:p>
    <w:p>
      <w:pPr>
        <w:spacing w:line="720" w:lineRule="auto"/>
        <w:ind w:firstLine="1205" w:firstLineChars="400"/>
        <w:rPr>
          <w:rFonts w:hAnsi="宋体" w:cs="宋体"/>
          <w:color w:val="000000" w:themeColor="text1"/>
          <w:sz w:val="30"/>
          <w:szCs w:val="30"/>
          <w:u w:val="single"/>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日        期 ：</w:t>
      </w:r>
      <w:r>
        <w:rPr>
          <w:rFonts w:hint="eastAsia" w:hAnsi="宋体" w:cs="宋体"/>
          <w:b/>
          <w:bCs/>
          <w:color w:val="000000" w:themeColor="text1"/>
          <w:sz w:val="30"/>
          <w:szCs w:val="30"/>
          <w:u w:val="single"/>
          <w14:textFill>
            <w14:solidFill>
              <w14:schemeClr w14:val="tx1"/>
            </w14:solidFill>
          </w14:textFill>
        </w:rPr>
        <w:t xml:space="preserve">       </w:t>
      </w:r>
      <w:r>
        <w:rPr>
          <w:rFonts w:hint="eastAsia" w:hAnsi="宋体" w:cs="宋体"/>
          <w:b/>
          <w:bCs/>
          <w:color w:val="000000" w:themeColor="text1"/>
          <w:sz w:val="30"/>
          <w:szCs w:val="30"/>
          <w14:textFill>
            <w14:solidFill>
              <w14:schemeClr w14:val="tx1"/>
            </w14:solidFill>
          </w14:textFill>
        </w:rPr>
        <w:t>年</w:t>
      </w:r>
      <w:r>
        <w:rPr>
          <w:rFonts w:hint="eastAsia" w:hAnsi="宋体" w:cs="宋体"/>
          <w:b/>
          <w:bCs/>
          <w:color w:val="000000" w:themeColor="text1"/>
          <w:sz w:val="30"/>
          <w:szCs w:val="30"/>
          <w:u w:val="single"/>
          <w14:textFill>
            <w14:solidFill>
              <w14:schemeClr w14:val="tx1"/>
            </w14:solidFill>
          </w14:textFill>
        </w:rPr>
        <w:t xml:space="preserve">     </w:t>
      </w:r>
      <w:r>
        <w:rPr>
          <w:rFonts w:hint="eastAsia" w:hAnsi="宋体" w:cs="宋体"/>
          <w:b/>
          <w:bCs/>
          <w:color w:val="000000" w:themeColor="text1"/>
          <w:sz w:val="30"/>
          <w:szCs w:val="30"/>
          <w14:textFill>
            <w14:solidFill>
              <w14:schemeClr w14:val="tx1"/>
            </w14:solidFill>
          </w14:textFill>
        </w:rPr>
        <w:t>月</w:t>
      </w:r>
      <w:r>
        <w:rPr>
          <w:rFonts w:hint="eastAsia" w:hAnsi="宋体" w:cs="宋体"/>
          <w:b/>
          <w:bCs/>
          <w:color w:val="000000" w:themeColor="text1"/>
          <w:sz w:val="30"/>
          <w:szCs w:val="30"/>
          <w:u w:val="single"/>
          <w14:textFill>
            <w14:solidFill>
              <w14:schemeClr w14:val="tx1"/>
            </w14:solidFill>
          </w14:textFill>
        </w:rPr>
        <w:t xml:space="preserve">     </w:t>
      </w:r>
      <w:r>
        <w:rPr>
          <w:rFonts w:hint="eastAsia" w:hAnsi="宋体" w:cs="宋体"/>
          <w:b/>
          <w:bCs/>
          <w:color w:val="000000" w:themeColor="text1"/>
          <w:sz w:val="30"/>
          <w:szCs w:val="30"/>
          <w14:textFill>
            <w14:solidFill>
              <w14:schemeClr w14:val="tx1"/>
            </w14:solidFill>
          </w14:textFill>
        </w:rPr>
        <w:t>日</w:t>
      </w:r>
    </w:p>
    <w:p>
      <w:pPr>
        <w:rPr>
          <w:rFonts w:hAnsi="宋体" w:cs="宋体"/>
          <w:b/>
          <w:bCs/>
          <w:color w:val="000000" w:themeColor="text1"/>
          <w:sz w:val="32"/>
          <w:szCs w:val="32"/>
          <w14:textFill>
            <w14:solidFill>
              <w14:schemeClr w14:val="tx1"/>
            </w14:solidFill>
          </w14:textFill>
        </w:rPr>
      </w:pPr>
      <w:bookmarkStart w:id="179" w:name="_Toc30983"/>
      <w:bookmarkStart w:id="180" w:name="_Toc403077647"/>
      <w:bookmarkStart w:id="181" w:name="_Toc22537"/>
      <w:bookmarkStart w:id="182" w:name="_Toc363474026"/>
      <w:bookmarkStart w:id="183" w:name="_Toc426457699"/>
      <w:bookmarkStart w:id="184" w:name="_Toc23267"/>
      <w:bookmarkStart w:id="185" w:name="_Toc17702"/>
      <w:bookmarkStart w:id="186" w:name="_Toc23850"/>
      <w:r>
        <w:rPr>
          <w:rFonts w:hint="eastAsia" w:hAnsi="宋体" w:cs="宋体"/>
          <w:b/>
          <w:bCs/>
          <w:color w:val="000000" w:themeColor="text1"/>
          <w:sz w:val="32"/>
          <w:szCs w:val="32"/>
          <w14:textFill>
            <w14:solidFill>
              <w14:schemeClr w14:val="tx1"/>
            </w14:solidFill>
          </w14:textFill>
        </w:rPr>
        <w:br w:type="page"/>
      </w:r>
    </w:p>
    <w:p>
      <w:pPr>
        <w:spacing w:line="720" w:lineRule="auto"/>
        <w:jc w:val="center"/>
        <w:rPr>
          <w:rFonts w:hAnsi="宋体" w:cs="宋体"/>
          <w:b/>
          <w:bCs/>
          <w:color w:val="000000" w:themeColor="text1"/>
          <w:sz w:val="32"/>
          <w:szCs w:val="32"/>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t>目    录</w:t>
      </w:r>
      <w:bookmarkEnd w:id="179"/>
      <w:bookmarkEnd w:id="180"/>
      <w:bookmarkEnd w:id="181"/>
      <w:bookmarkEnd w:id="182"/>
      <w:bookmarkEnd w:id="183"/>
      <w:bookmarkEnd w:id="184"/>
      <w:bookmarkEnd w:id="185"/>
      <w:bookmarkEnd w:id="186"/>
    </w:p>
    <w:p>
      <w:pPr>
        <w:pStyle w:val="9"/>
        <w:numPr>
          <w:ilvl w:val="0"/>
          <w:numId w:val="1"/>
        </w:numPr>
        <w:spacing w:line="48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投标函</w:t>
      </w:r>
    </w:p>
    <w:p>
      <w:pPr>
        <w:pStyle w:val="9"/>
        <w:numPr>
          <w:ilvl w:val="0"/>
          <w:numId w:val="1"/>
        </w:numPr>
        <w:spacing w:line="48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投标报价表</w:t>
      </w:r>
    </w:p>
    <w:p>
      <w:pPr>
        <w:pStyle w:val="9"/>
        <w:numPr>
          <w:ilvl w:val="0"/>
          <w:numId w:val="1"/>
        </w:numPr>
        <w:spacing w:line="48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投标方案说明书</w:t>
      </w:r>
    </w:p>
    <w:p>
      <w:pPr>
        <w:pStyle w:val="9"/>
        <w:numPr>
          <w:ilvl w:val="0"/>
          <w:numId w:val="1"/>
        </w:numPr>
        <w:spacing w:line="48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商务条款偏离表</w:t>
      </w:r>
    </w:p>
    <w:p>
      <w:pPr>
        <w:pStyle w:val="9"/>
        <w:numPr>
          <w:ilvl w:val="0"/>
          <w:numId w:val="1"/>
        </w:numPr>
        <w:spacing w:line="48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资格证明文件</w:t>
      </w:r>
    </w:p>
    <w:p>
      <w:pPr>
        <w:pStyle w:val="9"/>
        <w:numPr>
          <w:ilvl w:val="0"/>
          <w:numId w:val="1"/>
        </w:numPr>
        <w:spacing w:line="480" w:lineRule="auto"/>
        <w:ind w:firstLine="480"/>
      </w:pPr>
      <w:r>
        <w:rPr>
          <w:rFonts w:hint="eastAsia"/>
          <w:color w:val="000000" w:themeColor="text1"/>
          <w14:textFill>
            <w14:solidFill>
              <w14:schemeClr w14:val="tx1"/>
            </w14:solidFill>
          </w14:textFill>
        </w:rPr>
        <w:t>投标人承诺书</w:t>
      </w:r>
    </w:p>
    <w:p>
      <w:pPr>
        <w:pStyle w:val="9"/>
        <w:numPr>
          <w:ilvl w:val="0"/>
          <w:numId w:val="1"/>
        </w:numPr>
        <w:spacing w:line="48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其他资料</w:t>
      </w:r>
    </w:p>
    <w:p>
      <w:pPr>
        <w:pStyle w:val="4"/>
        <w:rPr>
          <w:color w:val="000000" w:themeColor="text1"/>
          <w14:textFill>
            <w14:solidFill>
              <w14:schemeClr w14:val="tx1"/>
            </w14:solidFill>
          </w14:textFill>
        </w:rPr>
      </w:pPr>
      <w:bookmarkStart w:id="187" w:name="_Toc426457700"/>
      <w:bookmarkStart w:id="188" w:name="_Toc13414"/>
      <w:bookmarkStart w:id="189" w:name="_Toc403077648"/>
      <w:bookmarkStart w:id="190" w:name="_Toc28404"/>
      <w:bookmarkStart w:id="191" w:name="_Toc363474027"/>
      <w:bookmarkStart w:id="192" w:name="_Toc14057"/>
      <w:bookmarkStart w:id="193" w:name="_Toc23702"/>
      <w:bookmarkStart w:id="194" w:name="_Toc18434"/>
      <w:bookmarkStart w:id="195" w:name="_Toc24231"/>
      <w:bookmarkStart w:id="196" w:name="_Toc23833"/>
      <w:bookmarkStart w:id="197" w:name="_Toc4930"/>
      <w:r>
        <w:rPr>
          <w:rFonts w:hint="eastAsia"/>
          <w:color w:val="000000" w:themeColor="text1"/>
          <w14:textFill>
            <w14:solidFill>
              <w14:schemeClr w14:val="tx1"/>
            </w14:solidFill>
          </w14:textFill>
        </w:rPr>
        <w:br w:type="page"/>
      </w:r>
      <w:bookmarkEnd w:id="187"/>
      <w:bookmarkEnd w:id="188"/>
      <w:bookmarkEnd w:id="189"/>
      <w:bookmarkEnd w:id="190"/>
      <w:bookmarkEnd w:id="191"/>
      <w:bookmarkEnd w:id="192"/>
      <w:bookmarkEnd w:id="193"/>
      <w:bookmarkEnd w:id="194"/>
      <w:bookmarkEnd w:id="195"/>
      <w:bookmarkEnd w:id="196"/>
      <w:bookmarkEnd w:id="197"/>
      <w:r>
        <w:rPr>
          <w:rFonts w:hint="eastAsia"/>
          <w:color w:val="000000" w:themeColor="text1"/>
          <w14:textFill>
            <w14:solidFill>
              <w14:schemeClr w14:val="tx1"/>
            </w14:solidFill>
          </w14:textFill>
        </w:rPr>
        <w:t>一、投标函</w:t>
      </w:r>
    </w:p>
    <w:p>
      <w:pPr>
        <w:pStyle w:val="9"/>
        <w:ind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致：</w:t>
      </w:r>
      <w:r>
        <w:rPr>
          <w:rFonts w:hint="eastAsia"/>
          <w:b/>
          <w:bCs/>
          <w:color w:val="000000" w:themeColor="text1"/>
          <w:u w:val="single"/>
          <w14:textFill>
            <w14:solidFill>
              <w14:schemeClr w14:val="tx1"/>
            </w14:solidFill>
          </w14:textFill>
        </w:rPr>
        <w:t>（采购人名称）陕西正鸿招标有限公司</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根据贵方</w:t>
      </w:r>
      <w:r>
        <w:rPr>
          <w:rFonts w:hint="eastAsia"/>
          <w:color w:val="000000" w:themeColor="text1"/>
          <w:u w:val="single"/>
          <w14:textFill>
            <w14:solidFill>
              <w14:schemeClr w14:val="tx1"/>
            </w14:solidFill>
          </w14:textFill>
        </w:rPr>
        <w:t>“       项目名称                 ”</w:t>
      </w:r>
      <w:r>
        <w:rPr>
          <w:rFonts w:hint="eastAsia"/>
          <w:color w:val="000000" w:themeColor="text1"/>
          <w14:textFill>
            <w14:solidFill>
              <w14:schemeClr w14:val="tx1"/>
            </w14:solidFill>
          </w14:textFill>
        </w:rPr>
        <w:t>的招标文件</w:t>
      </w:r>
      <w:r>
        <w:rPr>
          <w:rFonts w:hint="eastAsia"/>
          <w:color w:val="000000" w:themeColor="text1"/>
          <w:u w:val="single"/>
          <w14:textFill>
            <w14:solidFill>
              <w14:schemeClr w14:val="tx1"/>
            </w14:solidFill>
          </w14:textFill>
        </w:rPr>
        <w:t>(编号：        )</w:t>
      </w:r>
      <w:r>
        <w:rPr>
          <w:rFonts w:hint="eastAsia"/>
          <w:color w:val="000000" w:themeColor="text1"/>
          <w14:textFill>
            <w14:solidFill>
              <w14:schemeClr w14:val="tx1"/>
            </w14:solidFill>
          </w14:textFill>
        </w:rPr>
        <w:t>，签字代表</w:t>
      </w:r>
      <w:r>
        <w:rPr>
          <w:rFonts w:hint="eastAsia"/>
          <w:color w:val="000000" w:themeColor="text1"/>
          <w:u w:val="single"/>
          <w14:textFill>
            <w14:solidFill>
              <w14:schemeClr w14:val="tx1"/>
            </w14:solidFill>
          </w14:textFill>
        </w:rPr>
        <w:t>（全名、职务）</w:t>
      </w:r>
      <w:r>
        <w:rPr>
          <w:rFonts w:hint="eastAsia"/>
          <w:color w:val="000000" w:themeColor="text1"/>
          <w14:textFill>
            <w14:solidFill>
              <w14:schemeClr w14:val="tx1"/>
            </w14:solidFill>
          </w14:textFill>
        </w:rPr>
        <w:t>经正式授权并代表投标人</w:t>
      </w:r>
      <w:r>
        <w:rPr>
          <w:rFonts w:hint="eastAsia"/>
          <w:color w:val="000000" w:themeColor="text1"/>
          <w:u w:val="single"/>
          <w14:textFill>
            <w14:solidFill>
              <w14:schemeClr w14:val="tx1"/>
            </w14:solidFill>
          </w14:textFill>
        </w:rPr>
        <w:t xml:space="preserve">(投标人名称、地址) </w:t>
      </w:r>
      <w:r>
        <w:rPr>
          <w:rFonts w:hint="eastAsia"/>
          <w:color w:val="000000" w:themeColor="text1"/>
          <w14:textFill>
            <w14:solidFill>
              <w14:schemeClr w14:val="tx1"/>
            </w14:solidFill>
          </w14:textFill>
        </w:rPr>
        <w:t>提交投标文件正本</w:t>
      </w:r>
      <w:r>
        <w:rPr>
          <w:rFonts w:hint="eastAsia"/>
          <w:color w:val="000000" w:themeColor="text1"/>
          <w:u w:val="single"/>
          <w14:textFill>
            <w14:solidFill>
              <w14:schemeClr w14:val="tx1"/>
            </w14:solidFill>
          </w14:textFill>
        </w:rPr>
        <w:t>壹</w:t>
      </w:r>
      <w:r>
        <w:rPr>
          <w:rFonts w:hint="eastAsia"/>
          <w:color w:val="000000" w:themeColor="text1"/>
          <w14:textFill>
            <w14:solidFill>
              <w14:schemeClr w14:val="tx1"/>
            </w14:solidFill>
          </w14:textFill>
        </w:rPr>
        <w:t>份、副本一式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份、报价一览表</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份、电子版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份。并提交投标保证金，金额为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我方承诺如下：</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rPr>
        <w:t>投标报价为小写：</w:t>
      </w:r>
      <w:r>
        <w:rPr>
          <w:rFonts w:hint="eastAsia"/>
          <w:u w:val="single"/>
        </w:rPr>
        <w:t xml:space="preserve">         </w:t>
      </w:r>
      <w:r>
        <w:rPr>
          <w:rFonts w:hint="eastAsia"/>
        </w:rPr>
        <w:t>（大写：</w:t>
      </w:r>
      <w:r>
        <w:rPr>
          <w:rFonts w:hint="eastAsia"/>
          <w:u w:val="single"/>
        </w:rPr>
        <w:t xml:space="preserve">         </w:t>
      </w:r>
      <w:r>
        <w:rPr>
          <w:rFonts w:hint="eastAsia"/>
        </w:rPr>
        <w:t>）。</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（2）如果中标，我们根据招标文件的规定，履行合同的责任和义务。</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（3）我们已详细阅读和审核全部招标文件（含修改部分，如有的话）及有关附件，我们知道必须放弃提出含糊不清或误解的问题的权利。</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（4）我们同意在投标有效期内（自开标之日起</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天），本投标函对我方具有约束力。</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（5）如果在开标后规定的投标有效期内撤回投标，我们的投标保证金可被贵方没收。</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（6）同意提供贵方可能另外要求的与本投标有关的任何证据和资料。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（7）我们同意，如果中标，向陕西正鸿招标有限公司交纳招标代理服务费。</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（8）与本投标有关的一切正式往来通讯为：</w:t>
      </w:r>
    </w:p>
    <w:p>
      <w:pPr>
        <w:pStyle w:val="9"/>
        <w:ind w:firstLine="480"/>
        <w:rPr>
          <w:color w:val="000000" w:themeColor="text1"/>
          <w14:textFill>
            <w14:solidFill>
              <w14:schemeClr w14:val="tx1"/>
            </w14:solidFill>
          </w14:textFill>
        </w:rPr>
      </w:pPr>
    </w:p>
    <w:p>
      <w:pPr>
        <w:pStyle w:val="9"/>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联系地址：</w:t>
      </w:r>
      <w:r>
        <w:rPr>
          <w:rFonts w:hint="eastAsia"/>
          <w:color w:val="000000" w:themeColor="text1"/>
          <w:u w:val="single"/>
          <w14:textFill>
            <w14:solidFill>
              <w14:schemeClr w14:val="tx1"/>
            </w14:solidFill>
          </w14:textFill>
        </w:rPr>
        <w:t xml:space="preserve">                 </w:t>
      </w:r>
    </w:p>
    <w:p>
      <w:pPr>
        <w:pStyle w:val="9"/>
        <w:ind w:firstLine="480"/>
        <w:rPr>
          <w:b/>
          <w:bCs/>
          <w:color w:val="000000" w:themeColor="text1"/>
          <w14:textFill>
            <w14:solidFill>
              <w14:schemeClr w14:val="tx1"/>
            </w14:solidFill>
          </w14:textFill>
        </w:rPr>
      </w:pPr>
      <w:r>
        <w:rPr>
          <w:rFonts w:hint="eastAsia"/>
          <w:color w:val="000000" w:themeColor="text1"/>
          <w14:textFill>
            <w14:solidFill>
              <w14:schemeClr w14:val="tx1"/>
            </w14:solidFill>
          </w14:textFill>
        </w:rPr>
        <w:t>邮政编码：</w:t>
      </w:r>
      <w:r>
        <w:rPr>
          <w:rFonts w:hint="eastAsia"/>
          <w:color w:val="000000" w:themeColor="text1"/>
          <w:u w:val="single"/>
          <w14:textFill>
            <w14:solidFill>
              <w14:schemeClr w14:val="tx1"/>
            </w14:solidFill>
          </w14:textFill>
        </w:rPr>
        <w:t xml:space="preserve">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电    话：</w:t>
      </w:r>
      <w:r>
        <w:rPr>
          <w:rFonts w:hint="eastAsia"/>
          <w:color w:val="000000" w:themeColor="text1"/>
          <w:u w:val="single"/>
          <w14:textFill>
            <w14:solidFill>
              <w14:schemeClr w14:val="tx1"/>
            </w14:solidFill>
          </w14:textFill>
        </w:rPr>
        <w:t xml:space="preserve">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传    真：</w:t>
      </w:r>
      <w:r>
        <w:rPr>
          <w:rFonts w:hint="eastAsia"/>
          <w:color w:val="000000" w:themeColor="text1"/>
          <w:u w:val="single"/>
          <w14:textFill>
            <w14:solidFill>
              <w14:schemeClr w14:val="tx1"/>
            </w14:solidFill>
          </w14:textFill>
        </w:rPr>
        <w:t xml:space="preserve">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（盖单位公章）</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法定代表人或被授权人：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（签字或盖章）</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pStyle w:val="4"/>
        <w:rPr>
          <w:rStyle w:val="30"/>
          <w:b/>
          <w:bCs/>
          <w:color w:val="000000" w:themeColor="text1"/>
          <w14:textFill>
            <w14:solidFill>
              <w14:schemeClr w14:val="tx1"/>
            </w14:solidFill>
          </w14:textFill>
        </w:rPr>
      </w:pPr>
      <w:r>
        <w:rPr>
          <w:rFonts w:hint="eastAsia"/>
          <w:color w:val="000000" w:themeColor="text1"/>
          <w:sz w:val="28"/>
          <w14:textFill>
            <w14:solidFill>
              <w14:schemeClr w14:val="tx1"/>
            </w14:solidFill>
          </w14:textFill>
        </w:rPr>
        <w:br w:type="page"/>
      </w:r>
      <w:bookmarkStart w:id="198" w:name="_Toc403077651"/>
      <w:bookmarkStart w:id="199" w:name="_Toc29025"/>
      <w:bookmarkStart w:id="200" w:name="_Toc17802"/>
      <w:bookmarkStart w:id="201" w:name="_Toc15042"/>
      <w:bookmarkStart w:id="202" w:name="_Toc363474030"/>
      <w:bookmarkStart w:id="203" w:name="_Toc27599"/>
      <w:bookmarkStart w:id="204" w:name="_Toc4332"/>
      <w:bookmarkStart w:id="205" w:name="_Toc426457703"/>
      <w:bookmarkStart w:id="206" w:name="_Toc21967"/>
      <w:bookmarkStart w:id="207" w:name="_Toc21319"/>
      <w:bookmarkStart w:id="208" w:name="_Toc13499"/>
      <w:r>
        <w:rPr>
          <w:rStyle w:val="30"/>
          <w:rFonts w:hint="eastAsia"/>
          <w:b/>
          <w:bCs/>
          <w:color w:val="000000" w:themeColor="text1"/>
          <w14:textFill>
            <w14:solidFill>
              <w14:schemeClr w14:val="tx1"/>
            </w14:solidFill>
          </w14:textFill>
        </w:rPr>
        <w:t>二、投标报价表</w:t>
      </w:r>
      <w:bookmarkEnd w:id="198"/>
      <w:bookmarkEnd w:id="199"/>
      <w:bookmarkEnd w:id="200"/>
      <w:bookmarkEnd w:id="201"/>
      <w:bookmarkEnd w:id="202"/>
      <w:bookmarkEnd w:id="203"/>
      <w:bookmarkEnd w:id="204"/>
      <w:bookmarkEnd w:id="205"/>
      <w:bookmarkEnd w:id="206"/>
      <w:bookmarkEnd w:id="207"/>
      <w:bookmarkEnd w:id="208"/>
    </w:p>
    <w:p>
      <w:pPr>
        <w:pStyle w:val="5"/>
        <w:spacing w:before="680" w:after="680"/>
      </w:pPr>
      <w:r>
        <w:rPr>
          <w:rFonts w:hint="eastAsia"/>
        </w:rPr>
        <w:t>2.1开标一览表</w:t>
      </w:r>
    </w:p>
    <w:p>
      <w:pPr>
        <w:pStyle w:val="9"/>
        <w:ind w:firstLine="0" w:firstLineChars="0"/>
      </w:pPr>
      <w:r>
        <w:rPr>
          <w:rFonts w:hint="eastAsia"/>
        </w:rPr>
        <w:t>项目名称：</w:t>
      </w:r>
    </w:p>
    <w:p>
      <w:pPr>
        <w:pStyle w:val="9"/>
        <w:ind w:firstLine="0" w:firstLineChars="0"/>
        <w:rPr>
          <w:bCs/>
        </w:rPr>
      </w:pPr>
      <w:r>
        <w:rPr>
          <w:rFonts w:hint="eastAsia"/>
        </w:rPr>
        <w:t xml:space="preserve">项目编号： </w:t>
      </w:r>
      <w:r>
        <w:rPr>
          <w:rFonts w:hint="eastAsia"/>
          <w:bCs/>
        </w:rPr>
        <w:t xml:space="preserve">                        </w:t>
      </w:r>
    </w:p>
    <w:tbl>
      <w:tblPr>
        <w:tblStyle w:val="19"/>
        <w:tblpPr w:leftFromText="180" w:rightFromText="180" w:vertAnchor="text" w:horzAnchor="page" w:tblpX="1618" w:tblpY="3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2449"/>
        <w:gridCol w:w="1655"/>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515" w:type="dxa"/>
            <w:vAlign w:val="center"/>
          </w:tcPr>
          <w:p>
            <w:pPr>
              <w:pStyle w:val="29"/>
            </w:pPr>
            <w:r>
              <w:rPr>
                <w:rFonts w:hint="eastAsia"/>
              </w:rPr>
              <w:t>投标报价</w:t>
            </w:r>
          </w:p>
          <w:p>
            <w:pPr>
              <w:pStyle w:val="29"/>
            </w:pPr>
            <w:r>
              <w:rPr>
                <w:rFonts w:hint="eastAsia"/>
              </w:rPr>
              <w:t>（元）</w:t>
            </w:r>
          </w:p>
        </w:tc>
        <w:tc>
          <w:tcPr>
            <w:tcW w:w="2449" w:type="dxa"/>
            <w:vAlign w:val="center"/>
          </w:tcPr>
          <w:p>
            <w:pPr>
              <w:pStyle w:val="29"/>
            </w:pPr>
            <w:r>
              <w:rPr>
                <w:rFonts w:hint="eastAsia"/>
              </w:rPr>
              <w:t>交付期</w:t>
            </w:r>
          </w:p>
        </w:tc>
        <w:tc>
          <w:tcPr>
            <w:tcW w:w="1655" w:type="dxa"/>
            <w:vAlign w:val="center"/>
          </w:tcPr>
          <w:p>
            <w:pPr>
              <w:pStyle w:val="29"/>
            </w:pPr>
            <w:r>
              <w:rPr>
                <w:rFonts w:hint="eastAsia"/>
              </w:rPr>
              <w:t>质保期</w:t>
            </w:r>
          </w:p>
          <w:p>
            <w:pPr>
              <w:pStyle w:val="29"/>
            </w:pPr>
            <w:r>
              <w:rPr>
                <w:rFonts w:hint="eastAsia"/>
              </w:rPr>
              <w:t>（年）</w:t>
            </w:r>
          </w:p>
        </w:tc>
        <w:tc>
          <w:tcPr>
            <w:tcW w:w="2281" w:type="dxa"/>
            <w:vAlign w:val="center"/>
          </w:tcPr>
          <w:p>
            <w:pPr>
              <w:pStyle w:val="29"/>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515" w:type="dxa"/>
            <w:vAlign w:val="center"/>
          </w:tcPr>
          <w:p>
            <w:pPr>
              <w:pStyle w:val="29"/>
            </w:pPr>
          </w:p>
        </w:tc>
        <w:tc>
          <w:tcPr>
            <w:tcW w:w="2449" w:type="dxa"/>
            <w:vAlign w:val="center"/>
          </w:tcPr>
          <w:p>
            <w:pPr>
              <w:pStyle w:val="29"/>
            </w:pPr>
          </w:p>
        </w:tc>
        <w:tc>
          <w:tcPr>
            <w:tcW w:w="1655" w:type="dxa"/>
            <w:vAlign w:val="center"/>
          </w:tcPr>
          <w:p>
            <w:pPr>
              <w:pStyle w:val="29"/>
            </w:pPr>
          </w:p>
        </w:tc>
        <w:tc>
          <w:tcPr>
            <w:tcW w:w="2281" w:type="dxa"/>
            <w:vAlign w:val="center"/>
          </w:tcPr>
          <w:p>
            <w:pPr>
              <w:pStyle w:val="29"/>
            </w:pPr>
          </w:p>
        </w:tc>
      </w:tr>
    </w:tbl>
    <w:p>
      <w:pPr>
        <w:tabs>
          <w:tab w:val="left" w:pos="7200"/>
          <w:tab w:val="left" w:pos="8504"/>
        </w:tabs>
        <w:spacing w:line="360" w:lineRule="auto"/>
        <w:ind w:right="-1"/>
        <w:rPr>
          <w:rFonts w:hAnsi="宋体" w:cs="宋体"/>
        </w:rPr>
      </w:pPr>
    </w:p>
    <w:p>
      <w:pPr>
        <w:spacing w:line="120" w:lineRule="exact"/>
        <w:rPr>
          <w:rFonts w:hAnsi="宋体" w:cs="宋体"/>
        </w:rPr>
      </w:pPr>
    </w:p>
    <w:p>
      <w:pPr>
        <w:pStyle w:val="9"/>
        <w:ind w:firstLine="0" w:firstLineChars="0"/>
      </w:pPr>
      <w:r>
        <w:rPr>
          <w:rFonts w:hint="eastAsia"/>
        </w:rPr>
        <w:t>投标人名称：</w:t>
      </w:r>
      <w:r>
        <w:rPr>
          <w:rFonts w:hint="eastAsia"/>
          <w:u w:val="single"/>
        </w:rPr>
        <w:t xml:space="preserve">                   </w:t>
      </w:r>
      <w:r>
        <w:rPr>
          <w:rFonts w:hint="eastAsia"/>
        </w:rPr>
        <w:t>（盖单位公章）</w:t>
      </w:r>
    </w:p>
    <w:p>
      <w:pPr>
        <w:pStyle w:val="9"/>
        <w:ind w:firstLine="0" w:firstLineChars="0"/>
      </w:pPr>
    </w:p>
    <w:p>
      <w:pPr>
        <w:pStyle w:val="9"/>
        <w:ind w:firstLine="0" w:firstLineChars="0"/>
      </w:pPr>
      <w:r>
        <w:rPr>
          <w:rFonts w:hint="eastAsia"/>
        </w:rPr>
        <w:t>法定代表人或被授权人：</w:t>
      </w:r>
      <w:r>
        <w:rPr>
          <w:rFonts w:hint="eastAsia"/>
          <w:u w:val="single"/>
        </w:rPr>
        <w:t xml:space="preserve">         </w:t>
      </w:r>
      <w:r>
        <w:rPr>
          <w:rFonts w:hint="eastAsia"/>
        </w:rPr>
        <w:t>（签字或盖章）</w:t>
      </w:r>
    </w:p>
    <w:p>
      <w:pPr>
        <w:pStyle w:val="9"/>
        <w:ind w:firstLine="0" w:firstLineChars="0"/>
      </w:pPr>
    </w:p>
    <w:p>
      <w:pPr>
        <w:pStyle w:val="9"/>
        <w:ind w:firstLine="0" w:firstLineChars="0"/>
        <w:rPr>
          <w:b/>
          <w:bCs/>
        </w:rPr>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rPr>
          <w:rFonts w:hAnsi="宋体" w:cs="宋体"/>
        </w:rPr>
      </w:pPr>
      <w:r>
        <w:rPr>
          <w:rFonts w:hAnsi="宋体" w:cs="宋体"/>
        </w:rPr>
        <w:br w:type="page"/>
      </w:r>
    </w:p>
    <w:p>
      <w:pPr>
        <w:pStyle w:val="5"/>
        <w:spacing w:before="680" w:after="680"/>
      </w:pPr>
      <w:r>
        <w:rPr>
          <w:rFonts w:hint="eastAsia"/>
        </w:rPr>
        <w:t>2.2投标分项报价表</w:t>
      </w:r>
    </w:p>
    <w:p>
      <w:pPr>
        <w:spacing w:line="360" w:lineRule="auto"/>
        <w:rPr>
          <w:rFonts w:hAnsi="宋体" w:cs="宋体"/>
          <w:szCs w:val="24"/>
          <w:u w:val="single"/>
        </w:rPr>
      </w:pPr>
      <w:r>
        <w:rPr>
          <w:rFonts w:hint="eastAsia" w:hAnsi="宋体" w:cs="宋体"/>
          <w:szCs w:val="24"/>
        </w:rPr>
        <w:t>项目名称：</w:t>
      </w:r>
      <w:r>
        <w:rPr>
          <w:rFonts w:hint="eastAsia" w:hAnsi="宋体" w:cs="宋体"/>
          <w:szCs w:val="24"/>
          <w:u w:val="single"/>
        </w:rPr>
        <w:t xml:space="preserve">                                  </w:t>
      </w:r>
    </w:p>
    <w:p>
      <w:pPr>
        <w:spacing w:line="360" w:lineRule="auto"/>
        <w:rPr>
          <w:rFonts w:hAnsi="宋体" w:cs="宋体"/>
          <w:szCs w:val="24"/>
          <w:u w:val="single"/>
        </w:rPr>
      </w:pPr>
      <w:r>
        <w:rPr>
          <w:rFonts w:hint="eastAsia" w:hAnsi="宋体" w:cs="宋体"/>
          <w:szCs w:val="24"/>
        </w:rPr>
        <w:t>项目编号：</w:t>
      </w:r>
      <w:r>
        <w:rPr>
          <w:rFonts w:hint="eastAsia" w:hAnsi="宋体" w:cs="宋体"/>
          <w:szCs w:val="24"/>
          <w:u w:val="single"/>
        </w:rPr>
        <w:t xml:space="preserve">                                  </w:t>
      </w:r>
    </w:p>
    <w:p>
      <w:pPr>
        <w:pStyle w:val="15"/>
      </w:pPr>
    </w:p>
    <w:p>
      <w:r>
        <w:rPr>
          <w:rFonts w:hint="eastAsia"/>
        </w:rPr>
        <w:t xml:space="preserve">           </w:t>
      </w:r>
    </w:p>
    <w:tbl>
      <w:tblPr>
        <w:tblStyle w:val="19"/>
        <w:tblW w:w="9474" w:type="dxa"/>
        <w:jc w:val="center"/>
        <w:tblLayout w:type="fixed"/>
        <w:tblCellMar>
          <w:top w:w="0" w:type="dxa"/>
          <w:left w:w="28" w:type="dxa"/>
          <w:bottom w:w="0" w:type="dxa"/>
          <w:right w:w="28" w:type="dxa"/>
        </w:tblCellMar>
      </w:tblPr>
      <w:tblGrid>
        <w:gridCol w:w="701"/>
        <w:gridCol w:w="2330"/>
        <w:gridCol w:w="1553"/>
        <w:gridCol w:w="777"/>
        <w:gridCol w:w="888"/>
        <w:gridCol w:w="1075"/>
        <w:gridCol w:w="1075"/>
        <w:gridCol w:w="1075"/>
      </w:tblGrid>
      <w:tr>
        <w:tblPrEx>
          <w:tblCellMar>
            <w:top w:w="0" w:type="dxa"/>
            <w:left w:w="28" w:type="dxa"/>
            <w:bottom w:w="0" w:type="dxa"/>
            <w:right w:w="28" w:type="dxa"/>
          </w:tblCellMar>
        </w:tblPrEx>
        <w:trPr>
          <w:trHeight w:val="816" w:hRule="atLeast"/>
          <w:jc w:val="center"/>
        </w:trPr>
        <w:tc>
          <w:tcPr>
            <w:tcW w:w="701" w:type="dxa"/>
            <w:tcBorders>
              <w:top w:val="single" w:color="auto" w:sz="6" w:space="0"/>
              <w:left w:val="single" w:color="auto" w:sz="4" w:space="0"/>
              <w:bottom w:val="single" w:color="auto" w:sz="6" w:space="0"/>
            </w:tcBorders>
            <w:vAlign w:val="center"/>
          </w:tcPr>
          <w:p>
            <w:pPr>
              <w:pStyle w:val="29"/>
              <w:rPr>
                <w:b/>
                <w:bCs/>
              </w:rPr>
            </w:pPr>
            <w:r>
              <w:rPr>
                <w:rFonts w:hint="eastAsia"/>
                <w:b/>
                <w:bCs/>
              </w:rPr>
              <w:t>序号</w:t>
            </w:r>
          </w:p>
        </w:tc>
        <w:tc>
          <w:tcPr>
            <w:tcW w:w="2330" w:type="dxa"/>
            <w:tcBorders>
              <w:top w:val="single" w:color="auto" w:sz="6" w:space="0"/>
              <w:left w:val="single" w:color="auto" w:sz="6" w:space="0"/>
              <w:bottom w:val="single" w:color="auto" w:sz="6" w:space="0"/>
              <w:right w:val="single" w:color="auto" w:sz="6" w:space="0"/>
            </w:tcBorders>
            <w:vAlign w:val="center"/>
          </w:tcPr>
          <w:p>
            <w:pPr>
              <w:pStyle w:val="29"/>
              <w:rPr>
                <w:b/>
                <w:bCs/>
              </w:rPr>
            </w:pPr>
            <w:r>
              <w:rPr>
                <w:rFonts w:hint="eastAsia"/>
                <w:b/>
                <w:bCs/>
              </w:rPr>
              <w:t>名称</w:t>
            </w:r>
          </w:p>
        </w:tc>
        <w:tc>
          <w:tcPr>
            <w:tcW w:w="1553" w:type="dxa"/>
            <w:tcBorders>
              <w:top w:val="single" w:color="auto" w:sz="6" w:space="0"/>
              <w:left w:val="single" w:color="auto" w:sz="6" w:space="0"/>
              <w:bottom w:val="single" w:color="auto" w:sz="6" w:space="0"/>
              <w:right w:val="single" w:color="auto" w:sz="4" w:space="0"/>
            </w:tcBorders>
            <w:vAlign w:val="center"/>
          </w:tcPr>
          <w:p>
            <w:pPr>
              <w:pStyle w:val="29"/>
              <w:rPr>
                <w:b/>
                <w:bCs/>
              </w:rPr>
            </w:pPr>
            <w:r>
              <w:rPr>
                <w:rFonts w:hint="eastAsia"/>
                <w:b/>
                <w:bCs/>
              </w:rPr>
              <w:t>数量</w:t>
            </w:r>
          </w:p>
        </w:tc>
        <w:tc>
          <w:tcPr>
            <w:tcW w:w="777" w:type="dxa"/>
            <w:tcBorders>
              <w:top w:val="single" w:color="auto" w:sz="6" w:space="0"/>
              <w:left w:val="single" w:color="auto" w:sz="4" w:space="0"/>
              <w:bottom w:val="single" w:color="auto" w:sz="6" w:space="0"/>
              <w:right w:val="single" w:color="auto" w:sz="6" w:space="0"/>
            </w:tcBorders>
            <w:vAlign w:val="center"/>
          </w:tcPr>
          <w:p>
            <w:pPr>
              <w:pStyle w:val="29"/>
              <w:rPr>
                <w:b/>
                <w:bCs/>
              </w:rPr>
            </w:pPr>
            <w:r>
              <w:rPr>
                <w:rFonts w:hint="eastAsia"/>
                <w:b/>
                <w:bCs/>
              </w:rPr>
              <w:t>单位</w:t>
            </w:r>
          </w:p>
        </w:tc>
        <w:tc>
          <w:tcPr>
            <w:tcW w:w="888" w:type="dxa"/>
            <w:tcBorders>
              <w:top w:val="single" w:color="auto" w:sz="6" w:space="0"/>
              <w:left w:val="single" w:color="auto" w:sz="6" w:space="0"/>
              <w:bottom w:val="single" w:color="auto" w:sz="6" w:space="0"/>
              <w:right w:val="single" w:color="auto" w:sz="6" w:space="0"/>
            </w:tcBorders>
            <w:vAlign w:val="center"/>
          </w:tcPr>
          <w:p>
            <w:pPr>
              <w:pStyle w:val="29"/>
              <w:rPr>
                <w:b/>
                <w:bCs/>
              </w:rPr>
            </w:pPr>
            <w:r>
              <w:rPr>
                <w:rFonts w:hint="eastAsia"/>
                <w:b/>
                <w:bCs/>
              </w:rPr>
              <w:t>单价</w:t>
            </w:r>
          </w:p>
          <w:p>
            <w:pPr>
              <w:pStyle w:val="29"/>
              <w:rPr>
                <w:b/>
                <w:bCs/>
              </w:rPr>
            </w:pPr>
            <w:r>
              <w:rPr>
                <w:rFonts w:hint="eastAsia"/>
                <w:b/>
                <w:bCs/>
              </w:rPr>
              <w:t>（元）</w:t>
            </w:r>
          </w:p>
        </w:tc>
        <w:tc>
          <w:tcPr>
            <w:tcW w:w="1075" w:type="dxa"/>
            <w:tcBorders>
              <w:top w:val="single" w:color="auto" w:sz="6" w:space="0"/>
              <w:left w:val="single" w:color="auto" w:sz="6" w:space="0"/>
              <w:bottom w:val="single" w:color="auto" w:sz="6" w:space="0"/>
              <w:right w:val="single" w:color="auto" w:sz="6" w:space="0"/>
            </w:tcBorders>
            <w:vAlign w:val="center"/>
          </w:tcPr>
          <w:p>
            <w:pPr>
              <w:pStyle w:val="29"/>
              <w:rPr>
                <w:b/>
                <w:bCs/>
              </w:rPr>
            </w:pPr>
            <w:r>
              <w:rPr>
                <w:rFonts w:hint="eastAsia"/>
                <w:b/>
                <w:bCs/>
              </w:rPr>
              <w:t>合价</w:t>
            </w:r>
          </w:p>
          <w:p>
            <w:pPr>
              <w:pStyle w:val="29"/>
              <w:rPr>
                <w:b/>
                <w:bCs/>
              </w:rPr>
            </w:pPr>
            <w:r>
              <w:rPr>
                <w:rFonts w:hint="eastAsia"/>
                <w:b/>
                <w:bCs/>
              </w:rPr>
              <w:t>（元）</w:t>
            </w:r>
          </w:p>
        </w:tc>
        <w:tc>
          <w:tcPr>
            <w:tcW w:w="1075" w:type="dxa"/>
            <w:tcBorders>
              <w:top w:val="single" w:color="auto" w:sz="6" w:space="0"/>
              <w:left w:val="single" w:color="auto" w:sz="6" w:space="0"/>
              <w:bottom w:val="single" w:color="auto" w:sz="6" w:space="0"/>
              <w:right w:val="single" w:color="auto" w:sz="6" w:space="0"/>
            </w:tcBorders>
            <w:vAlign w:val="center"/>
          </w:tcPr>
          <w:p>
            <w:pPr>
              <w:pStyle w:val="29"/>
              <w:rPr>
                <w:b/>
                <w:bCs/>
              </w:rPr>
            </w:pPr>
            <w:r>
              <w:rPr>
                <w:rFonts w:hint="eastAsia"/>
                <w:b/>
                <w:bCs/>
              </w:rPr>
              <w:t>政策功能编码</w:t>
            </w:r>
          </w:p>
        </w:tc>
        <w:tc>
          <w:tcPr>
            <w:tcW w:w="1075" w:type="dxa"/>
            <w:tcBorders>
              <w:top w:val="single" w:color="auto" w:sz="6" w:space="0"/>
              <w:left w:val="single" w:color="auto" w:sz="6" w:space="0"/>
              <w:bottom w:val="single" w:color="auto" w:sz="6" w:space="0"/>
              <w:right w:val="single" w:color="auto" w:sz="6" w:space="0"/>
            </w:tcBorders>
            <w:vAlign w:val="center"/>
          </w:tcPr>
          <w:p>
            <w:pPr>
              <w:pStyle w:val="29"/>
              <w:rPr>
                <w:b/>
                <w:bCs/>
              </w:rPr>
            </w:pPr>
            <w:r>
              <w:rPr>
                <w:rFonts w:hint="eastAsia"/>
                <w:b/>
                <w:bCs/>
              </w:rPr>
              <w:t>备注</w:t>
            </w:r>
          </w:p>
        </w:tc>
      </w:tr>
      <w:tr>
        <w:tblPrEx>
          <w:tblCellMar>
            <w:top w:w="0" w:type="dxa"/>
            <w:left w:w="28" w:type="dxa"/>
            <w:bottom w:w="0" w:type="dxa"/>
            <w:right w:w="28" w:type="dxa"/>
          </w:tblCellMar>
        </w:tblPrEx>
        <w:trPr>
          <w:trHeight w:val="427" w:hRule="atLeast"/>
          <w:jc w:val="center"/>
        </w:trPr>
        <w:tc>
          <w:tcPr>
            <w:tcW w:w="701" w:type="dxa"/>
            <w:tcBorders>
              <w:top w:val="single" w:color="auto" w:sz="6" w:space="0"/>
              <w:left w:val="single" w:color="auto" w:sz="4" w:space="0"/>
              <w:bottom w:val="single" w:color="auto" w:sz="4" w:space="0"/>
            </w:tcBorders>
            <w:vAlign w:val="center"/>
          </w:tcPr>
          <w:p>
            <w:pPr>
              <w:pStyle w:val="29"/>
            </w:pPr>
            <w:r>
              <w:rPr>
                <w:rFonts w:hint="eastAsia"/>
              </w:rPr>
              <w:t>1</w:t>
            </w:r>
          </w:p>
        </w:tc>
        <w:tc>
          <w:tcPr>
            <w:tcW w:w="2330" w:type="dxa"/>
            <w:tcBorders>
              <w:top w:val="single" w:color="auto" w:sz="6" w:space="0"/>
              <w:left w:val="single" w:color="auto" w:sz="6" w:space="0"/>
              <w:bottom w:val="single" w:color="auto" w:sz="4" w:space="0"/>
              <w:right w:val="single" w:color="auto" w:sz="6" w:space="0"/>
            </w:tcBorders>
            <w:vAlign w:val="center"/>
          </w:tcPr>
          <w:p>
            <w:pPr>
              <w:pStyle w:val="29"/>
            </w:pPr>
            <w:r>
              <w:rPr>
                <w:rFonts w:hint="eastAsia"/>
              </w:rPr>
              <w:t>…</w:t>
            </w:r>
          </w:p>
        </w:tc>
        <w:tc>
          <w:tcPr>
            <w:tcW w:w="1553" w:type="dxa"/>
            <w:tcBorders>
              <w:top w:val="single" w:color="auto" w:sz="6" w:space="0"/>
              <w:left w:val="single" w:color="auto" w:sz="6" w:space="0"/>
              <w:bottom w:val="single" w:color="auto" w:sz="4" w:space="0"/>
              <w:right w:val="single" w:color="auto" w:sz="4" w:space="0"/>
            </w:tcBorders>
            <w:vAlign w:val="center"/>
          </w:tcPr>
          <w:p>
            <w:pPr>
              <w:pStyle w:val="29"/>
            </w:pPr>
          </w:p>
        </w:tc>
        <w:tc>
          <w:tcPr>
            <w:tcW w:w="777" w:type="dxa"/>
            <w:tcBorders>
              <w:top w:val="single" w:color="auto" w:sz="6" w:space="0"/>
              <w:left w:val="single" w:color="auto" w:sz="4" w:space="0"/>
              <w:bottom w:val="single" w:color="auto" w:sz="4" w:space="0"/>
              <w:right w:val="single" w:color="auto" w:sz="6" w:space="0"/>
            </w:tcBorders>
            <w:vAlign w:val="center"/>
          </w:tcPr>
          <w:p>
            <w:pPr>
              <w:pStyle w:val="29"/>
            </w:pPr>
          </w:p>
        </w:tc>
        <w:tc>
          <w:tcPr>
            <w:tcW w:w="888" w:type="dxa"/>
            <w:tcBorders>
              <w:top w:val="single" w:color="auto" w:sz="6" w:space="0"/>
              <w:left w:val="single" w:color="auto" w:sz="6" w:space="0"/>
              <w:bottom w:val="single" w:color="auto" w:sz="4" w:space="0"/>
              <w:right w:val="single" w:color="auto" w:sz="6" w:space="0"/>
            </w:tcBorders>
            <w:vAlign w:val="center"/>
          </w:tcPr>
          <w:p>
            <w:pPr>
              <w:pStyle w:val="29"/>
            </w:pPr>
          </w:p>
        </w:tc>
        <w:tc>
          <w:tcPr>
            <w:tcW w:w="1075" w:type="dxa"/>
            <w:tcBorders>
              <w:top w:val="single" w:color="auto" w:sz="6" w:space="0"/>
              <w:left w:val="single" w:color="auto" w:sz="6" w:space="0"/>
              <w:bottom w:val="single" w:color="auto" w:sz="4" w:space="0"/>
              <w:right w:val="single" w:color="auto" w:sz="6" w:space="0"/>
            </w:tcBorders>
            <w:vAlign w:val="center"/>
          </w:tcPr>
          <w:p>
            <w:pPr>
              <w:pStyle w:val="29"/>
            </w:pPr>
          </w:p>
        </w:tc>
        <w:tc>
          <w:tcPr>
            <w:tcW w:w="1075" w:type="dxa"/>
            <w:tcBorders>
              <w:top w:val="single" w:color="auto" w:sz="6" w:space="0"/>
              <w:left w:val="single" w:color="auto" w:sz="6" w:space="0"/>
              <w:bottom w:val="single" w:color="auto" w:sz="4" w:space="0"/>
              <w:right w:val="single" w:color="auto" w:sz="6" w:space="0"/>
            </w:tcBorders>
            <w:vAlign w:val="center"/>
          </w:tcPr>
          <w:p>
            <w:pPr>
              <w:pStyle w:val="29"/>
            </w:pPr>
          </w:p>
        </w:tc>
        <w:tc>
          <w:tcPr>
            <w:tcW w:w="1075" w:type="dxa"/>
            <w:tcBorders>
              <w:top w:val="single" w:color="auto" w:sz="6" w:space="0"/>
              <w:left w:val="single" w:color="auto" w:sz="6" w:space="0"/>
              <w:bottom w:val="single" w:color="auto" w:sz="4" w:space="0"/>
              <w:right w:val="single" w:color="auto" w:sz="6" w:space="0"/>
            </w:tcBorders>
            <w:vAlign w:val="center"/>
          </w:tcPr>
          <w:p>
            <w:pPr>
              <w:pStyle w:val="29"/>
            </w:pPr>
          </w:p>
        </w:tc>
      </w:tr>
      <w:tr>
        <w:tblPrEx>
          <w:tblCellMar>
            <w:top w:w="0" w:type="dxa"/>
            <w:left w:w="28" w:type="dxa"/>
            <w:bottom w:w="0" w:type="dxa"/>
            <w:right w:w="28" w:type="dxa"/>
          </w:tblCellMar>
        </w:tblPrEx>
        <w:trPr>
          <w:trHeight w:val="444" w:hRule="atLeast"/>
          <w:jc w:val="center"/>
        </w:trPr>
        <w:tc>
          <w:tcPr>
            <w:tcW w:w="701" w:type="dxa"/>
            <w:tcBorders>
              <w:top w:val="single" w:color="auto" w:sz="4" w:space="0"/>
              <w:left w:val="single" w:color="auto" w:sz="4" w:space="0"/>
              <w:bottom w:val="single" w:color="auto" w:sz="6" w:space="0"/>
            </w:tcBorders>
            <w:vAlign w:val="center"/>
          </w:tcPr>
          <w:p>
            <w:pPr>
              <w:pStyle w:val="29"/>
            </w:pPr>
            <w:r>
              <w:rPr>
                <w:rFonts w:hint="eastAsia"/>
              </w:rPr>
              <w:t>2</w:t>
            </w:r>
          </w:p>
        </w:tc>
        <w:tc>
          <w:tcPr>
            <w:tcW w:w="2330" w:type="dxa"/>
            <w:tcBorders>
              <w:top w:val="single" w:color="auto" w:sz="4" w:space="0"/>
              <w:left w:val="single" w:color="auto" w:sz="6" w:space="0"/>
              <w:bottom w:val="single" w:color="auto" w:sz="6" w:space="0"/>
              <w:right w:val="single" w:color="auto" w:sz="6" w:space="0"/>
            </w:tcBorders>
            <w:vAlign w:val="center"/>
          </w:tcPr>
          <w:p>
            <w:pPr>
              <w:pStyle w:val="29"/>
            </w:pPr>
          </w:p>
        </w:tc>
        <w:tc>
          <w:tcPr>
            <w:tcW w:w="1553" w:type="dxa"/>
            <w:tcBorders>
              <w:top w:val="single" w:color="auto" w:sz="4" w:space="0"/>
              <w:left w:val="single" w:color="auto" w:sz="6" w:space="0"/>
              <w:bottom w:val="single" w:color="auto" w:sz="6" w:space="0"/>
              <w:right w:val="single" w:color="auto" w:sz="4" w:space="0"/>
            </w:tcBorders>
            <w:vAlign w:val="center"/>
          </w:tcPr>
          <w:p>
            <w:pPr>
              <w:pStyle w:val="29"/>
            </w:pPr>
          </w:p>
        </w:tc>
        <w:tc>
          <w:tcPr>
            <w:tcW w:w="777" w:type="dxa"/>
            <w:tcBorders>
              <w:top w:val="single" w:color="auto" w:sz="4" w:space="0"/>
              <w:left w:val="single" w:color="auto" w:sz="4" w:space="0"/>
              <w:bottom w:val="single" w:color="auto" w:sz="6" w:space="0"/>
              <w:right w:val="single" w:color="auto" w:sz="6" w:space="0"/>
            </w:tcBorders>
            <w:vAlign w:val="center"/>
          </w:tcPr>
          <w:p>
            <w:pPr>
              <w:pStyle w:val="29"/>
            </w:pPr>
          </w:p>
        </w:tc>
        <w:tc>
          <w:tcPr>
            <w:tcW w:w="888"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r>
      <w:tr>
        <w:tblPrEx>
          <w:tblCellMar>
            <w:top w:w="0" w:type="dxa"/>
            <w:left w:w="28" w:type="dxa"/>
            <w:bottom w:w="0" w:type="dxa"/>
            <w:right w:w="28" w:type="dxa"/>
          </w:tblCellMar>
        </w:tblPrEx>
        <w:trPr>
          <w:trHeight w:val="450" w:hRule="atLeast"/>
          <w:jc w:val="center"/>
        </w:trPr>
        <w:tc>
          <w:tcPr>
            <w:tcW w:w="701" w:type="dxa"/>
            <w:tcBorders>
              <w:top w:val="single" w:color="auto" w:sz="4" w:space="0"/>
              <w:left w:val="single" w:color="auto" w:sz="4" w:space="0"/>
              <w:bottom w:val="single" w:color="auto" w:sz="6" w:space="0"/>
            </w:tcBorders>
            <w:vAlign w:val="center"/>
          </w:tcPr>
          <w:p>
            <w:pPr>
              <w:pStyle w:val="29"/>
            </w:pPr>
            <w:r>
              <w:rPr>
                <w:rFonts w:hint="eastAsia"/>
              </w:rPr>
              <w:t>3</w:t>
            </w:r>
          </w:p>
        </w:tc>
        <w:tc>
          <w:tcPr>
            <w:tcW w:w="2330" w:type="dxa"/>
            <w:tcBorders>
              <w:top w:val="single" w:color="auto" w:sz="4" w:space="0"/>
              <w:left w:val="single" w:color="auto" w:sz="6" w:space="0"/>
              <w:bottom w:val="single" w:color="auto" w:sz="6" w:space="0"/>
              <w:right w:val="single" w:color="auto" w:sz="6" w:space="0"/>
            </w:tcBorders>
            <w:vAlign w:val="center"/>
          </w:tcPr>
          <w:p>
            <w:pPr>
              <w:pStyle w:val="29"/>
            </w:pPr>
          </w:p>
        </w:tc>
        <w:tc>
          <w:tcPr>
            <w:tcW w:w="1553" w:type="dxa"/>
            <w:tcBorders>
              <w:top w:val="single" w:color="auto" w:sz="4" w:space="0"/>
              <w:left w:val="single" w:color="auto" w:sz="6" w:space="0"/>
              <w:bottom w:val="single" w:color="auto" w:sz="6" w:space="0"/>
              <w:right w:val="single" w:color="auto" w:sz="4" w:space="0"/>
            </w:tcBorders>
            <w:vAlign w:val="center"/>
          </w:tcPr>
          <w:p>
            <w:pPr>
              <w:pStyle w:val="29"/>
            </w:pPr>
          </w:p>
        </w:tc>
        <w:tc>
          <w:tcPr>
            <w:tcW w:w="777" w:type="dxa"/>
            <w:tcBorders>
              <w:top w:val="single" w:color="auto" w:sz="4" w:space="0"/>
              <w:left w:val="single" w:color="auto" w:sz="4" w:space="0"/>
              <w:bottom w:val="single" w:color="auto" w:sz="6" w:space="0"/>
              <w:right w:val="single" w:color="auto" w:sz="6" w:space="0"/>
            </w:tcBorders>
            <w:vAlign w:val="center"/>
          </w:tcPr>
          <w:p>
            <w:pPr>
              <w:pStyle w:val="29"/>
            </w:pPr>
          </w:p>
        </w:tc>
        <w:tc>
          <w:tcPr>
            <w:tcW w:w="888"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r>
      <w:tr>
        <w:tblPrEx>
          <w:tblCellMar>
            <w:top w:w="0" w:type="dxa"/>
            <w:left w:w="28" w:type="dxa"/>
            <w:bottom w:w="0" w:type="dxa"/>
            <w:right w:w="28" w:type="dxa"/>
          </w:tblCellMar>
        </w:tblPrEx>
        <w:trPr>
          <w:trHeight w:val="450" w:hRule="atLeast"/>
          <w:jc w:val="center"/>
        </w:trPr>
        <w:tc>
          <w:tcPr>
            <w:tcW w:w="701" w:type="dxa"/>
            <w:tcBorders>
              <w:top w:val="single" w:color="auto" w:sz="4" w:space="0"/>
              <w:left w:val="single" w:color="auto" w:sz="4" w:space="0"/>
              <w:bottom w:val="single" w:color="auto" w:sz="6" w:space="0"/>
            </w:tcBorders>
            <w:vAlign w:val="center"/>
          </w:tcPr>
          <w:p>
            <w:pPr>
              <w:pStyle w:val="29"/>
            </w:pPr>
            <w:r>
              <w:rPr>
                <w:rFonts w:hint="eastAsia"/>
              </w:rPr>
              <w:t>4</w:t>
            </w:r>
          </w:p>
        </w:tc>
        <w:tc>
          <w:tcPr>
            <w:tcW w:w="2330" w:type="dxa"/>
            <w:tcBorders>
              <w:top w:val="single" w:color="auto" w:sz="4" w:space="0"/>
              <w:left w:val="single" w:color="auto" w:sz="6" w:space="0"/>
              <w:bottom w:val="single" w:color="auto" w:sz="6" w:space="0"/>
              <w:right w:val="single" w:color="auto" w:sz="6" w:space="0"/>
            </w:tcBorders>
            <w:vAlign w:val="center"/>
          </w:tcPr>
          <w:p>
            <w:pPr>
              <w:pStyle w:val="29"/>
            </w:pPr>
          </w:p>
        </w:tc>
        <w:tc>
          <w:tcPr>
            <w:tcW w:w="1553" w:type="dxa"/>
            <w:tcBorders>
              <w:top w:val="single" w:color="auto" w:sz="4" w:space="0"/>
              <w:left w:val="single" w:color="auto" w:sz="6" w:space="0"/>
              <w:bottom w:val="single" w:color="auto" w:sz="6" w:space="0"/>
              <w:right w:val="single" w:color="auto" w:sz="4" w:space="0"/>
            </w:tcBorders>
            <w:vAlign w:val="center"/>
          </w:tcPr>
          <w:p>
            <w:pPr>
              <w:pStyle w:val="29"/>
            </w:pPr>
          </w:p>
        </w:tc>
        <w:tc>
          <w:tcPr>
            <w:tcW w:w="777" w:type="dxa"/>
            <w:tcBorders>
              <w:top w:val="single" w:color="auto" w:sz="4" w:space="0"/>
              <w:left w:val="single" w:color="auto" w:sz="4" w:space="0"/>
              <w:bottom w:val="single" w:color="auto" w:sz="6" w:space="0"/>
              <w:right w:val="single" w:color="auto" w:sz="6" w:space="0"/>
            </w:tcBorders>
            <w:vAlign w:val="center"/>
          </w:tcPr>
          <w:p>
            <w:pPr>
              <w:pStyle w:val="29"/>
            </w:pPr>
          </w:p>
        </w:tc>
        <w:tc>
          <w:tcPr>
            <w:tcW w:w="888"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r>
      <w:tr>
        <w:tblPrEx>
          <w:tblCellMar>
            <w:top w:w="0" w:type="dxa"/>
            <w:left w:w="28" w:type="dxa"/>
            <w:bottom w:w="0" w:type="dxa"/>
            <w:right w:w="28" w:type="dxa"/>
          </w:tblCellMar>
        </w:tblPrEx>
        <w:trPr>
          <w:trHeight w:val="450" w:hRule="atLeast"/>
          <w:jc w:val="center"/>
        </w:trPr>
        <w:tc>
          <w:tcPr>
            <w:tcW w:w="701" w:type="dxa"/>
            <w:tcBorders>
              <w:top w:val="single" w:color="auto" w:sz="4" w:space="0"/>
              <w:left w:val="single" w:color="auto" w:sz="4" w:space="0"/>
              <w:bottom w:val="single" w:color="auto" w:sz="6" w:space="0"/>
            </w:tcBorders>
            <w:vAlign w:val="center"/>
          </w:tcPr>
          <w:p>
            <w:pPr>
              <w:pStyle w:val="29"/>
            </w:pPr>
            <w:r>
              <w:rPr>
                <w:rFonts w:hint="eastAsia"/>
              </w:rPr>
              <w:t>5</w:t>
            </w:r>
          </w:p>
        </w:tc>
        <w:tc>
          <w:tcPr>
            <w:tcW w:w="2330" w:type="dxa"/>
            <w:tcBorders>
              <w:top w:val="single" w:color="auto" w:sz="4" w:space="0"/>
              <w:left w:val="single" w:color="auto" w:sz="6" w:space="0"/>
              <w:bottom w:val="single" w:color="auto" w:sz="6" w:space="0"/>
              <w:right w:val="single" w:color="auto" w:sz="6" w:space="0"/>
            </w:tcBorders>
            <w:vAlign w:val="center"/>
          </w:tcPr>
          <w:p>
            <w:pPr>
              <w:pStyle w:val="29"/>
            </w:pPr>
          </w:p>
        </w:tc>
        <w:tc>
          <w:tcPr>
            <w:tcW w:w="1553" w:type="dxa"/>
            <w:tcBorders>
              <w:top w:val="single" w:color="auto" w:sz="4" w:space="0"/>
              <w:left w:val="single" w:color="auto" w:sz="6" w:space="0"/>
              <w:bottom w:val="single" w:color="auto" w:sz="6" w:space="0"/>
              <w:right w:val="single" w:color="auto" w:sz="4" w:space="0"/>
            </w:tcBorders>
            <w:vAlign w:val="center"/>
          </w:tcPr>
          <w:p>
            <w:pPr>
              <w:pStyle w:val="29"/>
            </w:pPr>
          </w:p>
        </w:tc>
        <w:tc>
          <w:tcPr>
            <w:tcW w:w="777" w:type="dxa"/>
            <w:tcBorders>
              <w:top w:val="single" w:color="auto" w:sz="4" w:space="0"/>
              <w:left w:val="single" w:color="auto" w:sz="4" w:space="0"/>
              <w:bottom w:val="single" w:color="auto" w:sz="6" w:space="0"/>
              <w:right w:val="single" w:color="auto" w:sz="6" w:space="0"/>
            </w:tcBorders>
            <w:vAlign w:val="center"/>
          </w:tcPr>
          <w:p>
            <w:pPr>
              <w:pStyle w:val="29"/>
            </w:pPr>
          </w:p>
        </w:tc>
        <w:tc>
          <w:tcPr>
            <w:tcW w:w="888"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r>
      <w:tr>
        <w:tblPrEx>
          <w:tblCellMar>
            <w:top w:w="0" w:type="dxa"/>
            <w:left w:w="28" w:type="dxa"/>
            <w:bottom w:w="0" w:type="dxa"/>
            <w:right w:w="28" w:type="dxa"/>
          </w:tblCellMar>
        </w:tblPrEx>
        <w:trPr>
          <w:trHeight w:val="450" w:hRule="atLeast"/>
          <w:jc w:val="center"/>
        </w:trPr>
        <w:tc>
          <w:tcPr>
            <w:tcW w:w="701" w:type="dxa"/>
            <w:tcBorders>
              <w:top w:val="single" w:color="auto" w:sz="4" w:space="0"/>
              <w:left w:val="single" w:color="auto" w:sz="4" w:space="0"/>
              <w:bottom w:val="single" w:color="auto" w:sz="6" w:space="0"/>
            </w:tcBorders>
            <w:vAlign w:val="center"/>
          </w:tcPr>
          <w:p>
            <w:pPr>
              <w:pStyle w:val="29"/>
            </w:pPr>
            <w:r>
              <w:rPr>
                <w:rFonts w:hint="eastAsia"/>
              </w:rPr>
              <w:t>6</w:t>
            </w:r>
          </w:p>
        </w:tc>
        <w:tc>
          <w:tcPr>
            <w:tcW w:w="2330" w:type="dxa"/>
            <w:tcBorders>
              <w:top w:val="single" w:color="auto" w:sz="4" w:space="0"/>
              <w:left w:val="single" w:color="auto" w:sz="6" w:space="0"/>
              <w:bottom w:val="single" w:color="auto" w:sz="6" w:space="0"/>
              <w:right w:val="single" w:color="auto" w:sz="6" w:space="0"/>
            </w:tcBorders>
            <w:vAlign w:val="center"/>
          </w:tcPr>
          <w:p>
            <w:pPr>
              <w:pStyle w:val="29"/>
            </w:pPr>
          </w:p>
        </w:tc>
        <w:tc>
          <w:tcPr>
            <w:tcW w:w="1553" w:type="dxa"/>
            <w:tcBorders>
              <w:top w:val="single" w:color="auto" w:sz="4" w:space="0"/>
              <w:left w:val="single" w:color="auto" w:sz="6" w:space="0"/>
              <w:bottom w:val="single" w:color="auto" w:sz="6" w:space="0"/>
              <w:right w:val="single" w:color="auto" w:sz="4" w:space="0"/>
            </w:tcBorders>
            <w:vAlign w:val="center"/>
          </w:tcPr>
          <w:p>
            <w:pPr>
              <w:pStyle w:val="29"/>
            </w:pPr>
          </w:p>
        </w:tc>
        <w:tc>
          <w:tcPr>
            <w:tcW w:w="777" w:type="dxa"/>
            <w:tcBorders>
              <w:top w:val="single" w:color="auto" w:sz="4" w:space="0"/>
              <w:left w:val="single" w:color="auto" w:sz="4" w:space="0"/>
              <w:bottom w:val="single" w:color="auto" w:sz="6" w:space="0"/>
              <w:right w:val="single" w:color="auto" w:sz="6" w:space="0"/>
            </w:tcBorders>
            <w:vAlign w:val="center"/>
          </w:tcPr>
          <w:p>
            <w:pPr>
              <w:pStyle w:val="29"/>
            </w:pPr>
          </w:p>
        </w:tc>
        <w:tc>
          <w:tcPr>
            <w:tcW w:w="888"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r>
      <w:tr>
        <w:tblPrEx>
          <w:tblCellMar>
            <w:top w:w="0" w:type="dxa"/>
            <w:left w:w="28" w:type="dxa"/>
            <w:bottom w:w="0" w:type="dxa"/>
            <w:right w:w="28" w:type="dxa"/>
          </w:tblCellMar>
        </w:tblPrEx>
        <w:trPr>
          <w:trHeight w:val="450" w:hRule="atLeast"/>
          <w:jc w:val="center"/>
        </w:trPr>
        <w:tc>
          <w:tcPr>
            <w:tcW w:w="701" w:type="dxa"/>
            <w:tcBorders>
              <w:top w:val="single" w:color="auto" w:sz="4" w:space="0"/>
              <w:left w:val="single" w:color="auto" w:sz="4" w:space="0"/>
              <w:bottom w:val="single" w:color="auto" w:sz="6" w:space="0"/>
            </w:tcBorders>
            <w:vAlign w:val="center"/>
          </w:tcPr>
          <w:p>
            <w:pPr>
              <w:pStyle w:val="29"/>
            </w:pPr>
            <w:r>
              <w:rPr>
                <w:rFonts w:hint="eastAsia"/>
              </w:rPr>
              <w:t>7</w:t>
            </w:r>
          </w:p>
        </w:tc>
        <w:tc>
          <w:tcPr>
            <w:tcW w:w="2330" w:type="dxa"/>
            <w:tcBorders>
              <w:top w:val="single" w:color="auto" w:sz="4" w:space="0"/>
              <w:left w:val="single" w:color="auto" w:sz="6" w:space="0"/>
              <w:bottom w:val="single" w:color="auto" w:sz="6" w:space="0"/>
              <w:right w:val="single" w:color="auto" w:sz="6" w:space="0"/>
            </w:tcBorders>
            <w:vAlign w:val="center"/>
          </w:tcPr>
          <w:p>
            <w:pPr>
              <w:pStyle w:val="29"/>
            </w:pPr>
          </w:p>
        </w:tc>
        <w:tc>
          <w:tcPr>
            <w:tcW w:w="1553" w:type="dxa"/>
            <w:tcBorders>
              <w:top w:val="single" w:color="auto" w:sz="4" w:space="0"/>
              <w:left w:val="single" w:color="auto" w:sz="6" w:space="0"/>
              <w:bottom w:val="single" w:color="auto" w:sz="6" w:space="0"/>
              <w:right w:val="single" w:color="auto" w:sz="4" w:space="0"/>
            </w:tcBorders>
            <w:vAlign w:val="center"/>
          </w:tcPr>
          <w:p>
            <w:pPr>
              <w:pStyle w:val="29"/>
            </w:pPr>
          </w:p>
        </w:tc>
        <w:tc>
          <w:tcPr>
            <w:tcW w:w="777" w:type="dxa"/>
            <w:tcBorders>
              <w:top w:val="single" w:color="auto" w:sz="4" w:space="0"/>
              <w:left w:val="single" w:color="auto" w:sz="4" w:space="0"/>
              <w:bottom w:val="single" w:color="auto" w:sz="6" w:space="0"/>
              <w:right w:val="single" w:color="auto" w:sz="6" w:space="0"/>
            </w:tcBorders>
            <w:vAlign w:val="center"/>
          </w:tcPr>
          <w:p>
            <w:pPr>
              <w:pStyle w:val="29"/>
            </w:pPr>
          </w:p>
        </w:tc>
        <w:tc>
          <w:tcPr>
            <w:tcW w:w="888"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r>
      <w:tr>
        <w:tblPrEx>
          <w:tblCellMar>
            <w:top w:w="0" w:type="dxa"/>
            <w:left w:w="28" w:type="dxa"/>
            <w:bottom w:w="0" w:type="dxa"/>
            <w:right w:w="28" w:type="dxa"/>
          </w:tblCellMar>
        </w:tblPrEx>
        <w:trPr>
          <w:trHeight w:val="450" w:hRule="atLeast"/>
          <w:jc w:val="center"/>
        </w:trPr>
        <w:tc>
          <w:tcPr>
            <w:tcW w:w="701" w:type="dxa"/>
            <w:tcBorders>
              <w:top w:val="single" w:color="auto" w:sz="4" w:space="0"/>
              <w:left w:val="single" w:color="auto" w:sz="4" w:space="0"/>
              <w:bottom w:val="single" w:color="auto" w:sz="6" w:space="0"/>
            </w:tcBorders>
            <w:vAlign w:val="center"/>
          </w:tcPr>
          <w:p>
            <w:pPr>
              <w:pStyle w:val="29"/>
            </w:pPr>
            <w:r>
              <w:rPr>
                <w:rFonts w:hint="eastAsia"/>
              </w:rPr>
              <w:t>……</w:t>
            </w:r>
          </w:p>
        </w:tc>
        <w:tc>
          <w:tcPr>
            <w:tcW w:w="2330" w:type="dxa"/>
            <w:tcBorders>
              <w:top w:val="single" w:color="auto" w:sz="4" w:space="0"/>
              <w:left w:val="single" w:color="auto" w:sz="6" w:space="0"/>
              <w:bottom w:val="single" w:color="auto" w:sz="6" w:space="0"/>
              <w:right w:val="single" w:color="auto" w:sz="6" w:space="0"/>
            </w:tcBorders>
            <w:vAlign w:val="center"/>
          </w:tcPr>
          <w:p>
            <w:pPr>
              <w:pStyle w:val="29"/>
            </w:pPr>
          </w:p>
        </w:tc>
        <w:tc>
          <w:tcPr>
            <w:tcW w:w="1553" w:type="dxa"/>
            <w:tcBorders>
              <w:top w:val="single" w:color="auto" w:sz="4" w:space="0"/>
              <w:left w:val="single" w:color="auto" w:sz="6" w:space="0"/>
              <w:bottom w:val="single" w:color="auto" w:sz="6" w:space="0"/>
              <w:right w:val="single" w:color="auto" w:sz="4" w:space="0"/>
            </w:tcBorders>
            <w:vAlign w:val="center"/>
          </w:tcPr>
          <w:p>
            <w:pPr>
              <w:pStyle w:val="29"/>
            </w:pPr>
          </w:p>
        </w:tc>
        <w:tc>
          <w:tcPr>
            <w:tcW w:w="777" w:type="dxa"/>
            <w:tcBorders>
              <w:top w:val="single" w:color="auto" w:sz="4" w:space="0"/>
              <w:left w:val="single" w:color="auto" w:sz="4" w:space="0"/>
              <w:bottom w:val="single" w:color="auto" w:sz="6" w:space="0"/>
              <w:right w:val="single" w:color="auto" w:sz="6" w:space="0"/>
            </w:tcBorders>
            <w:vAlign w:val="center"/>
          </w:tcPr>
          <w:p>
            <w:pPr>
              <w:pStyle w:val="29"/>
            </w:pPr>
          </w:p>
        </w:tc>
        <w:tc>
          <w:tcPr>
            <w:tcW w:w="888"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r>
      <w:tr>
        <w:tblPrEx>
          <w:tblCellMar>
            <w:top w:w="0" w:type="dxa"/>
            <w:left w:w="28" w:type="dxa"/>
            <w:bottom w:w="0" w:type="dxa"/>
            <w:right w:w="28" w:type="dxa"/>
          </w:tblCellMar>
        </w:tblPrEx>
        <w:trPr>
          <w:trHeight w:val="450" w:hRule="atLeast"/>
          <w:jc w:val="center"/>
        </w:trPr>
        <w:tc>
          <w:tcPr>
            <w:tcW w:w="701" w:type="dxa"/>
            <w:tcBorders>
              <w:top w:val="single" w:color="auto" w:sz="4" w:space="0"/>
              <w:left w:val="single" w:color="auto" w:sz="4" w:space="0"/>
              <w:bottom w:val="single" w:color="auto" w:sz="6" w:space="0"/>
            </w:tcBorders>
            <w:vAlign w:val="center"/>
          </w:tcPr>
          <w:p>
            <w:pPr>
              <w:pStyle w:val="29"/>
            </w:pPr>
            <w:r>
              <w:rPr>
                <w:rFonts w:hint="eastAsia"/>
              </w:rPr>
              <w:t>……</w:t>
            </w:r>
          </w:p>
        </w:tc>
        <w:tc>
          <w:tcPr>
            <w:tcW w:w="2330" w:type="dxa"/>
            <w:tcBorders>
              <w:top w:val="single" w:color="auto" w:sz="4" w:space="0"/>
              <w:left w:val="single" w:color="auto" w:sz="6" w:space="0"/>
              <w:bottom w:val="single" w:color="auto" w:sz="6" w:space="0"/>
              <w:right w:val="single" w:color="auto" w:sz="6" w:space="0"/>
            </w:tcBorders>
            <w:vAlign w:val="center"/>
          </w:tcPr>
          <w:p>
            <w:pPr>
              <w:pStyle w:val="29"/>
            </w:pPr>
          </w:p>
        </w:tc>
        <w:tc>
          <w:tcPr>
            <w:tcW w:w="1553" w:type="dxa"/>
            <w:tcBorders>
              <w:top w:val="single" w:color="auto" w:sz="4" w:space="0"/>
              <w:left w:val="single" w:color="auto" w:sz="6" w:space="0"/>
              <w:bottom w:val="single" w:color="auto" w:sz="6" w:space="0"/>
              <w:right w:val="single" w:color="auto" w:sz="4" w:space="0"/>
            </w:tcBorders>
            <w:vAlign w:val="center"/>
          </w:tcPr>
          <w:p>
            <w:pPr>
              <w:pStyle w:val="29"/>
            </w:pPr>
          </w:p>
        </w:tc>
        <w:tc>
          <w:tcPr>
            <w:tcW w:w="777" w:type="dxa"/>
            <w:tcBorders>
              <w:top w:val="single" w:color="auto" w:sz="4" w:space="0"/>
              <w:left w:val="single" w:color="auto" w:sz="4" w:space="0"/>
              <w:bottom w:val="single" w:color="auto" w:sz="6" w:space="0"/>
              <w:right w:val="single" w:color="auto" w:sz="6" w:space="0"/>
            </w:tcBorders>
            <w:vAlign w:val="center"/>
          </w:tcPr>
          <w:p>
            <w:pPr>
              <w:pStyle w:val="29"/>
            </w:pPr>
          </w:p>
        </w:tc>
        <w:tc>
          <w:tcPr>
            <w:tcW w:w="888"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c>
          <w:tcPr>
            <w:tcW w:w="1075" w:type="dxa"/>
            <w:tcBorders>
              <w:top w:val="single" w:color="auto" w:sz="4" w:space="0"/>
              <w:left w:val="single" w:color="auto" w:sz="6" w:space="0"/>
              <w:bottom w:val="single" w:color="auto" w:sz="6" w:space="0"/>
              <w:right w:val="single" w:color="auto" w:sz="6" w:space="0"/>
            </w:tcBorders>
            <w:vAlign w:val="center"/>
          </w:tcPr>
          <w:p>
            <w:pPr>
              <w:pStyle w:val="29"/>
            </w:pPr>
          </w:p>
        </w:tc>
      </w:tr>
      <w:tr>
        <w:tblPrEx>
          <w:tblCellMar>
            <w:top w:w="0" w:type="dxa"/>
            <w:left w:w="28" w:type="dxa"/>
            <w:bottom w:w="0" w:type="dxa"/>
            <w:right w:w="28" w:type="dxa"/>
          </w:tblCellMar>
        </w:tblPrEx>
        <w:trPr>
          <w:trHeight w:val="450" w:hRule="atLeast"/>
          <w:jc w:val="center"/>
        </w:trPr>
        <w:tc>
          <w:tcPr>
            <w:tcW w:w="3031" w:type="dxa"/>
            <w:gridSpan w:val="2"/>
            <w:tcBorders>
              <w:top w:val="single" w:color="auto" w:sz="4" w:space="0"/>
              <w:left w:val="single" w:color="auto" w:sz="4" w:space="0"/>
              <w:bottom w:val="single" w:color="auto" w:sz="6" w:space="0"/>
              <w:right w:val="single" w:color="auto" w:sz="6" w:space="0"/>
            </w:tcBorders>
            <w:vAlign w:val="center"/>
          </w:tcPr>
          <w:p>
            <w:pPr>
              <w:pStyle w:val="29"/>
            </w:pPr>
            <w:r>
              <w:rPr>
                <w:rFonts w:hint="eastAsia"/>
              </w:rPr>
              <w:t>投标总报价</w:t>
            </w:r>
          </w:p>
        </w:tc>
        <w:tc>
          <w:tcPr>
            <w:tcW w:w="6443" w:type="dxa"/>
            <w:gridSpan w:val="6"/>
            <w:tcBorders>
              <w:top w:val="single" w:color="auto" w:sz="4" w:space="0"/>
              <w:left w:val="single" w:color="auto" w:sz="6" w:space="0"/>
              <w:bottom w:val="single" w:color="auto" w:sz="6" w:space="0"/>
              <w:right w:val="single" w:color="auto" w:sz="6" w:space="0"/>
            </w:tcBorders>
            <w:vAlign w:val="center"/>
          </w:tcPr>
          <w:p>
            <w:pPr>
              <w:pStyle w:val="29"/>
              <w:jc w:val="left"/>
            </w:pPr>
            <w:r>
              <w:rPr>
                <w:rFonts w:hint="eastAsia"/>
              </w:rPr>
              <w:t>大写：                   小写：</w:t>
            </w:r>
          </w:p>
        </w:tc>
      </w:tr>
      <w:tr>
        <w:tblPrEx>
          <w:tblCellMar>
            <w:top w:w="0" w:type="dxa"/>
            <w:left w:w="28" w:type="dxa"/>
            <w:bottom w:w="0" w:type="dxa"/>
            <w:right w:w="28" w:type="dxa"/>
          </w:tblCellMar>
        </w:tblPrEx>
        <w:trPr>
          <w:trHeight w:val="488" w:hRule="atLeast"/>
          <w:jc w:val="center"/>
        </w:trPr>
        <w:tc>
          <w:tcPr>
            <w:tcW w:w="3031" w:type="dxa"/>
            <w:gridSpan w:val="2"/>
            <w:tcBorders>
              <w:top w:val="single" w:color="auto" w:sz="4" w:space="0"/>
              <w:left w:val="single" w:color="auto" w:sz="4" w:space="0"/>
              <w:bottom w:val="single" w:color="auto" w:sz="6" w:space="0"/>
              <w:right w:val="single" w:color="auto" w:sz="6" w:space="0"/>
            </w:tcBorders>
            <w:vAlign w:val="center"/>
          </w:tcPr>
          <w:p>
            <w:pPr>
              <w:pStyle w:val="29"/>
            </w:pPr>
            <w:r>
              <w:rPr>
                <w:rFonts w:hint="eastAsia"/>
              </w:rPr>
              <w:t>备注</w:t>
            </w:r>
          </w:p>
        </w:tc>
        <w:tc>
          <w:tcPr>
            <w:tcW w:w="6443" w:type="dxa"/>
            <w:gridSpan w:val="6"/>
            <w:tcBorders>
              <w:top w:val="single" w:color="auto" w:sz="4" w:space="0"/>
              <w:left w:val="single" w:color="auto" w:sz="6" w:space="0"/>
              <w:bottom w:val="single" w:color="auto" w:sz="6" w:space="0"/>
              <w:right w:val="single" w:color="auto" w:sz="6" w:space="0"/>
            </w:tcBorders>
            <w:vAlign w:val="center"/>
          </w:tcPr>
          <w:p>
            <w:pPr>
              <w:pStyle w:val="29"/>
              <w:jc w:val="left"/>
            </w:pPr>
            <w:r>
              <w:rPr>
                <w:rFonts w:hint="eastAsia"/>
              </w:rPr>
              <w:t>保留小数点后两位。</w:t>
            </w:r>
          </w:p>
        </w:tc>
      </w:tr>
    </w:tbl>
    <w:p/>
    <w:p>
      <w:pPr>
        <w:spacing w:line="360" w:lineRule="auto"/>
        <w:ind w:firstLine="480" w:firstLineChars="200"/>
        <w:jc w:val="left"/>
        <w:rPr>
          <w:rFonts w:hAnsi="宋体" w:cs="宋体"/>
          <w:u w:val="single"/>
        </w:rPr>
      </w:pPr>
      <w:r>
        <w:rPr>
          <w:rFonts w:hint="eastAsia" w:hAnsi="宋体" w:cs="宋体"/>
        </w:rPr>
        <w:t>投标人名称：</w:t>
      </w:r>
      <w:r>
        <w:rPr>
          <w:rFonts w:hint="eastAsia" w:hAnsi="宋体" w:cs="宋体"/>
          <w:u w:val="single"/>
        </w:rPr>
        <w:t xml:space="preserve">                        </w:t>
      </w:r>
      <w:r>
        <w:rPr>
          <w:rFonts w:hint="eastAsia" w:hAnsi="宋体" w:cs="宋体"/>
        </w:rPr>
        <w:t>（盖单位公章）</w:t>
      </w:r>
    </w:p>
    <w:p>
      <w:pPr>
        <w:spacing w:line="360" w:lineRule="auto"/>
        <w:ind w:firstLine="496" w:firstLineChars="200"/>
        <w:jc w:val="left"/>
        <w:rPr>
          <w:rFonts w:hAnsi="宋体" w:cs="宋体"/>
          <w:spacing w:val="4"/>
        </w:rPr>
      </w:pPr>
    </w:p>
    <w:p>
      <w:pPr>
        <w:spacing w:line="360" w:lineRule="auto"/>
        <w:ind w:firstLine="496" w:firstLineChars="200"/>
        <w:jc w:val="left"/>
        <w:rPr>
          <w:rFonts w:hAnsi="宋体" w:cs="宋体"/>
          <w:spacing w:val="4"/>
        </w:rPr>
      </w:pPr>
      <w:r>
        <w:rPr>
          <w:rFonts w:hint="eastAsia" w:hAnsi="宋体" w:cs="宋体"/>
          <w:spacing w:val="4"/>
        </w:rPr>
        <w:t>法定代表人或被授权人：</w:t>
      </w:r>
      <w:r>
        <w:rPr>
          <w:rFonts w:hint="eastAsia" w:hAnsi="宋体" w:cs="宋体"/>
          <w:spacing w:val="4"/>
          <w:u w:val="single"/>
        </w:rPr>
        <w:t xml:space="preserve">            </w:t>
      </w:r>
      <w:r>
        <w:rPr>
          <w:rFonts w:hint="eastAsia" w:hAnsi="宋体" w:cs="宋体"/>
          <w:spacing w:val="4"/>
        </w:rPr>
        <w:t>（签字或盖章）</w:t>
      </w:r>
    </w:p>
    <w:p>
      <w:pPr>
        <w:spacing w:line="360" w:lineRule="auto"/>
        <w:ind w:firstLine="480" w:firstLineChars="200"/>
        <w:rPr>
          <w:rFonts w:hAnsi="宋体" w:cs="宋体"/>
        </w:rPr>
      </w:pPr>
    </w:p>
    <w:p>
      <w:pPr>
        <w:spacing w:line="360" w:lineRule="auto"/>
        <w:ind w:firstLine="480" w:firstLineChars="200"/>
        <w:rPr>
          <w:rFonts w:hAnsi="宋体" w:cs="宋体"/>
        </w:rPr>
      </w:pPr>
      <w:r>
        <w:rPr>
          <w:rFonts w:hint="eastAsia" w:hAnsi="宋体" w:cs="宋体"/>
        </w:rPr>
        <w:t>日    期：      年   月    日</w:t>
      </w:r>
    </w:p>
    <w:p>
      <w:pPr>
        <w:spacing w:line="360" w:lineRule="auto"/>
        <w:rPr>
          <w:rFonts w:hAnsi="宋体" w:cs="宋体"/>
          <w:sz w:val="21"/>
          <w:szCs w:val="21"/>
        </w:rPr>
      </w:pPr>
      <w:r>
        <w:rPr>
          <w:rFonts w:hint="eastAsia" w:hAnsi="宋体" w:cs="宋体"/>
          <w:sz w:val="21"/>
          <w:szCs w:val="21"/>
        </w:rPr>
        <w:t>注：1.本表中的“总报价”与“开标一览表”中的“总报价”一致。各子项分别报价。</w:t>
      </w:r>
    </w:p>
    <w:p>
      <w:pPr>
        <w:spacing w:line="360" w:lineRule="auto"/>
        <w:ind w:firstLine="420" w:firstLineChars="200"/>
        <w:rPr>
          <w:rFonts w:hAnsi="宋体" w:cs="宋体"/>
          <w:sz w:val="21"/>
          <w:szCs w:val="21"/>
        </w:rPr>
      </w:pPr>
      <w:r>
        <w:rPr>
          <w:rFonts w:hint="eastAsia" w:hAnsi="宋体" w:cs="宋体"/>
          <w:sz w:val="21"/>
          <w:szCs w:val="21"/>
        </w:rPr>
        <w:t>2.政策功能编码是指产品的中国环境标志认证证书编号、节能标志认证证书号（后附证明材料，格式及要求见附件5“节能产品”、“环境标志产品”证明材料）。</w:t>
      </w:r>
    </w:p>
    <w:p>
      <w:pPr>
        <w:spacing w:line="360" w:lineRule="auto"/>
        <w:ind w:firstLine="420" w:firstLineChars="200"/>
        <w:rPr>
          <w:rFonts w:hAnsi="宋体" w:cs="宋体"/>
          <w:sz w:val="21"/>
          <w:szCs w:val="21"/>
        </w:rPr>
      </w:pPr>
      <w:r>
        <w:rPr>
          <w:rFonts w:hint="eastAsia" w:hAnsi="宋体" w:cs="宋体"/>
          <w:sz w:val="21"/>
          <w:szCs w:val="21"/>
        </w:rPr>
        <w:t>3.如果不提供详细分项报价将视为没有实质性响应招标文件。</w:t>
      </w:r>
    </w:p>
    <w:p>
      <w:pPr>
        <w:spacing w:line="360" w:lineRule="auto"/>
        <w:ind w:firstLine="420" w:firstLineChars="200"/>
      </w:pPr>
      <w:r>
        <w:rPr>
          <w:rFonts w:hint="eastAsia" w:hAnsi="宋体" w:cs="宋体"/>
          <w:bCs/>
          <w:sz w:val="21"/>
          <w:szCs w:val="21"/>
        </w:rPr>
        <w:t>4.投标人可适当调整该表格式，但不得减少信息内容。</w:t>
      </w:r>
    </w:p>
    <w:p>
      <w:pPr>
        <w:pStyle w:val="5"/>
        <w:spacing w:before="680" w:after="680"/>
      </w:pPr>
      <w:r>
        <w:rPr>
          <w:rStyle w:val="36"/>
          <w:rFonts w:hint="eastAsia"/>
          <w:b/>
        </w:rPr>
        <w:t>2.3关键零部件及备品备件清单</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1746"/>
        <w:gridCol w:w="1820"/>
        <w:gridCol w:w="1542"/>
        <w:gridCol w:w="1517"/>
        <w:gridCol w:w="1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pPr>
              <w:pStyle w:val="29"/>
            </w:pPr>
            <w:r>
              <w:rPr>
                <w:rFonts w:hint="eastAsia"/>
              </w:rPr>
              <w:t>序号</w:t>
            </w:r>
          </w:p>
        </w:tc>
        <w:tc>
          <w:tcPr>
            <w:tcW w:w="1746" w:type="dxa"/>
            <w:vAlign w:val="center"/>
          </w:tcPr>
          <w:p>
            <w:pPr>
              <w:pStyle w:val="29"/>
            </w:pPr>
            <w:r>
              <w:rPr>
                <w:rFonts w:hint="eastAsia"/>
              </w:rPr>
              <w:t>名称</w:t>
            </w:r>
          </w:p>
        </w:tc>
        <w:tc>
          <w:tcPr>
            <w:tcW w:w="1820" w:type="dxa"/>
            <w:vAlign w:val="center"/>
          </w:tcPr>
          <w:p>
            <w:pPr>
              <w:pStyle w:val="29"/>
            </w:pPr>
            <w:r>
              <w:rPr>
                <w:rFonts w:hint="eastAsia"/>
              </w:rPr>
              <w:t>型号、规格</w:t>
            </w:r>
          </w:p>
        </w:tc>
        <w:tc>
          <w:tcPr>
            <w:tcW w:w="1542" w:type="dxa"/>
            <w:vAlign w:val="center"/>
          </w:tcPr>
          <w:p>
            <w:pPr>
              <w:pStyle w:val="29"/>
            </w:pPr>
            <w:r>
              <w:rPr>
                <w:rFonts w:hint="eastAsia"/>
              </w:rPr>
              <w:t>国别、制造商</w:t>
            </w:r>
          </w:p>
        </w:tc>
        <w:tc>
          <w:tcPr>
            <w:tcW w:w="1517" w:type="dxa"/>
            <w:vAlign w:val="center"/>
          </w:tcPr>
          <w:p>
            <w:pPr>
              <w:pStyle w:val="29"/>
            </w:pPr>
            <w:r>
              <w:rPr>
                <w:rFonts w:hint="eastAsia"/>
              </w:rPr>
              <w:t>单价</w:t>
            </w:r>
          </w:p>
          <w:p>
            <w:pPr>
              <w:pStyle w:val="29"/>
            </w:pPr>
            <w:r>
              <w:rPr>
                <w:rFonts w:hint="eastAsia"/>
              </w:rPr>
              <w:t>（元）</w:t>
            </w:r>
          </w:p>
        </w:tc>
        <w:tc>
          <w:tcPr>
            <w:tcW w:w="1499" w:type="dxa"/>
            <w:vAlign w:val="center"/>
          </w:tcPr>
          <w:p>
            <w:pPr>
              <w:pStyle w:val="29"/>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pPr>
              <w:pStyle w:val="29"/>
            </w:pPr>
            <w:r>
              <w:rPr>
                <w:rFonts w:hint="eastAsia"/>
              </w:rPr>
              <w:t>1</w:t>
            </w:r>
          </w:p>
        </w:tc>
        <w:tc>
          <w:tcPr>
            <w:tcW w:w="1746" w:type="dxa"/>
            <w:vAlign w:val="center"/>
          </w:tcPr>
          <w:p>
            <w:pPr>
              <w:pStyle w:val="29"/>
            </w:pPr>
            <w:r>
              <w:rPr>
                <w:rFonts w:hint="eastAsia"/>
              </w:rPr>
              <w:t>…</w:t>
            </w:r>
          </w:p>
        </w:tc>
        <w:tc>
          <w:tcPr>
            <w:tcW w:w="1820" w:type="dxa"/>
            <w:vAlign w:val="center"/>
          </w:tcPr>
          <w:p>
            <w:pPr>
              <w:pStyle w:val="29"/>
            </w:pPr>
          </w:p>
        </w:tc>
        <w:tc>
          <w:tcPr>
            <w:tcW w:w="1542" w:type="dxa"/>
          </w:tcPr>
          <w:p>
            <w:pPr>
              <w:pStyle w:val="29"/>
            </w:pPr>
          </w:p>
        </w:tc>
        <w:tc>
          <w:tcPr>
            <w:tcW w:w="1517" w:type="dxa"/>
            <w:vAlign w:val="center"/>
          </w:tcPr>
          <w:p>
            <w:pPr>
              <w:pStyle w:val="29"/>
            </w:pPr>
          </w:p>
        </w:tc>
        <w:tc>
          <w:tcPr>
            <w:tcW w:w="1499" w:type="dxa"/>
            <w:vAlign w:val="center"/>
          </w:tcPr>
          <w:p>
            <w:pPr>
              <w:pStyle w:val="2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pPr>
              <w:pStyle w:val="29"/>
            </w:pPr>
            <w:r>
              <w:rPr>
                <w:rFonts w:hint="eastAsia"/>
              </w:rPr>
              <w:t>2</w:t>
            </w:r>
          </w:p>
        </w:tc>
        <w:tc>
          <w:tcPr>
            <w:tcW w:w="1746" w:type="dxa"/>
            <w:vAlign w:val="center"/>
          </w:tcPr>
          <w:p>
            <w:pPr>
              <w:pStyle w:val="29"/>
            </w:pPr>
            <w:r>
              <w:rPr>
                <w:rFonts w:hint="eastAsia"/>
              </w:rPr>
              <w:t>…</w:t>
            </w:r>
          </w:p>
        </w:tc>
        <w:tc>
          <w:tcPr>
            <w:tcW w:w="1820" w:type="dxa"/>
            <w:vAlign w:val="center"/>
          </w:tcPr>
          <w:p>
            <w:pPr>
              <w:pStyle w:val="29"/>
            </w:pPr>
          </w:p>
        </w:tc>
        <w:tc>
          <w:tcPr>
            <w:tcW w:w="1542" w:type="dxa"/>
          </w:tcPr>
          <w:p>
            <w:pPr>
              <w:pStyle w:val="29"/>
            </w:pPr>
          </w:p>
        </w:tc>
        <w:tc>
          <w:tcPr>
            <w:tcW w:w="1517" w:type="dxa"/>
            <w:vAlign w:val="center"/>
          </w:tcPr>
          <w:p>
            <w:pPr>
              <w:pStyle w:val="29"/>
            </w:pPr>
          </w:p>
        </w:tc>
        <w:tc>
          <w:tcPr>
            <w:tcW w:w="1499" w:type="dxa"/>
            <w:vAlign w:val="center"/>
          </w:tcPr>
          <w:p>
            <w:pPr>
              <w:pStyle w:val="2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pPr>
              <w:pStyle w:val="29"/>
            </w:pPr>
            <w:r>
              <w:rPr>
                <w:rFonts w:hint="eastAsia"/>
              </w:rPr>
              <w:t>…</w:t>
            </w:r>
          </w:p>
        </w:tc>
        <w:tc>
          <w:tcPr>
            <w:tcW w:w="1746" w:type="dxa"/>
            <w:vAlign w:val="center"/>
          </w:tcPr>
          <w:p>
            <w:pPr>
              <w:pStyle w:val="29"/>
            </w:pPr>
          </w:p>
        </w:tc>
        <w:tc>
          <w:tcPr>
            <w:tcW w:w="1820" w:type="dxa"/>
            <w:vAlign w:val="center"/>
          </w:tcPr>
          <w:p>
            <w:pPr>
              <w:pStyle w:val="29"/>
            </w:pPr>
          </w:p>
        </w:tc>
        <w:tc>
          <w:tcPr>
            <w:tcW w:w="1542" w:type="dxa"/>
          </w:tcPr>
          <w:p>
            <w:pPr>
              <w:pStyle w:val="29"/>
            </w:pPr>
          </w:p>
        </w:tc>
        <w:tc>
          <w:tcPr>
            <w:tcW w:w="1517" w:type="dxa"/>
            <w:vAlign w:val="center"/>
          </w:tcPr>
          <w:p>
            <w:pPr>
              <w:pStyle w:val="29"/>
            </w:pPr>
          </w:p>
        </w:tc>
        <w:tc>
          <w:tcPr>
            <w:tcW w:w="1499" w:type="dxa"/>
            <w:vAlign w:val="center"/>
          </w:tcPr>
          <w:p>
            <w:pPr>
              <w:pStyle w:val="2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pPr>
              <w:pStyle w:val="29"/>
            </w:pPr>
          </w:p>
        </w:tc>
        <w:tc>
          <w:tcPr>
            <w:tcW w:w="1746" w:type="dxa"/>
            <w:vAlign w:val="center"/>
          </w:tcPr>
          <w:p>
            <w:pPr>
              <w:pStyle w:val="29"/>
            </w:pPr>
          </w:p>
        </w:tc>
        <w:tc>
          <w:tcPr>
            <w:tcW w:w="1820" w:type="dxa"/>
            <w:vAlign w:val="center"/>
          </w:tcPr>
          <w:p>
            <w:pPr>
              <w:pStyle w:val="29"/>
            </w:pPr>
          </w:p>
        </w:tc>
        <w:tc>
          <w:tcPr>
            <w:tcW w:w="1542" w:type="dxa"/>
          </w:tcPr>
          <w:p>
            <w:pPr>
              <w:pStyle w:val="29"/>
            </w:pPr>
          </w:p>
        </w:tc>
        <w:tc>
          <w:tcPr>
            <w:tcW w:w="1517" w:type="dxa"/>
            <w:vAlign w:val="center"/>
          </w:tcPr>
          <w:p>
            <w:pPr>
              <w:pStyle w:val="29"/>
            </w:pPr>
          </w:p>
        </w:tc>
        <w:tc>
          <w:tcPr>
            <w:tcW w:w="1499" w:type="dxa"/>
            <w:vAlign w:val="center"/>
          </w:tcPr>
          <w:p>
            <w:pPr>
              <w:pStyle w:val="2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pPr>
              <w:pStyle w:val="29"/>
            </w:pPr>
          </w:p>
        </w:tc>
        <w:tc>
          <w:tcPr>
            <w:tcW w:w="1746" w:type="dxa"/>
            <w:vAlign w:val="center"/>
          </w:tcPr>
          <w:p>
            <w:pPr>
              <w:pStyle w:val="29"/>
            </w:pPr>
          </w:p>
        </w:tc>
        <w:tc>
          <w:tcPr>
            <w:tcW w:w="1820" w:type="dxa"/>
            <w:vAlign w:val="center"/>
          </w:tcPr>
          <w:p>
            <w:pPr>
              <w:pStyle w:val="29"/>
            </w:pPr>
          </w:p>
        </w:tc>
        <w:tc>
          <w:tcPr>
            <w:tcW w:w="1542" w:type="dxa"/>
          </w:tcPr>
          <w:p>
            <w:pPr>
              <w:pStyle w:val="29"/>
            </w:pPr>
          </w:p>
        </w:tc>
        <w:tc>
          <w:tcPr>
            <w:tcW w:w="1517" w:type="dxa"/>
            <w:vAlign w:val="center"/>
          </w:tcPr>
          <w:p>
            <w:pPr>
              <w:pStyle w:val="29"/>
            </w:pPr>
          </w:p>
        </w:tc>
        <w:tc>
          <w:tcPr>
            <w:tcW w:w="1499" w:type="dxa"/>
            <w:vAlign w:val="center"/>
          </w:tcPr>
          <w:p>
            <w:pPr>
              <w:pStyle w:val="2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pPr>
              <w:pStyle w:val="29"/>
            </w:pPr>
          </w:p>
        </w:tc>
        <w:tc>
          <w:tcPr>
            <w:tcW w:w="1746" w:type="dxa"/>
            <w:vAlign w:val="center"/>
          </w:tcPr>
          <w:p>
            <w:pPr>
              <w:pStyle w:val="29"/>
            </w:pPr>
          </w:p>
        </w:tc>
        <w:tc>
          <w:tcPr>
            <w:tcW w:w="1820" w:type="dxa"/>
            <w:vAlign w:val="center"/>
          </w:tcPr>
          <w:p>
            <w:pPr>
              <w:pStyle w:val="29"/>
            </w:pPr>
          </w:p>
        </w:tc>
        <w:tc>
          <w:tcPr>
            <w:tcW w:w="1542" w:type="dxa"/>
          </w:tcPr>
          <w:p>
            <w:pPr>
              <w:pStyle w:val="29"/>
            </w:pPr>
          </w:p>
        </w:tc>
        <w:tc>
          <w:tcPr>
            <w:tcW w:w="1517" w:type="dxa"/>
            <w:vAlign w:val="center"/>
          </w:tcPr>
          <w:p>
            <w:pPr>
              <w:pStyle w:val="29"/>
            </w:pPr>
          </w:p>
        </w:tc>
        <w:tc>
          <w:tcPr>
            <w:tcW w:w="1499" w:type="dxa"/>
            <w:vAlign w:val="center"/>
          </w:tcPr>
          <w:p>
            <w:pPr>
              <w:pStyle w:val="2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pPr>
              <w:pStyle w:val="29"/>
            </w:pPr>
          </w:p>
        </w:tc>
        <w:tc>
          <w:tcPr>
            <w:tcW w:w="1746" w:type="dxa"/>
            <w:vAlign w:val="center"/>
          </w:tcPr>
          <w:p>
            <w:pPr>
              <w:pStyle w:val="29"/>
            </w:pPr>
          </w:p>
        </w:tc>
        <w:tc>
          <w:tcPr>
            <w:tcW w:w="1820" w:type="dxa"/>
            <w:vAlign w:val="center"/>
          </w:tcPr>
          <w:p>
            <w:pPr>
              <w:pStyle w:val="29"/>
            </w:pPr>
          </w:p>
        </w:tc>
        <w:tc>
          <w:tcPr>
            <w:tcW w:w="1542" w:type="dxa"/>
          </w:tcPr>
          <w:p>
            <w:pPr>
              <w:pStyle w:val="29"/>
            </w:pPr>
          </w:p>
        </w:tc>
        <w:tc>
          <w:tcPr>
            <w:tcW w:w="1517" w:type="dxa"/>
            <w:vAlign w:val="center"/>
          </w:tcPr>
          <w:p>
            <w:pPr>
              <w:pStyle w:val="29"/>
            </w:pPr>
          </w:p>
        </w:tc>
        <w:tc>
          <w:tcPr>
            <w:tcW w:w="1499" w:type="dxa"/>
            <w:vAlign w:val="center"/>
          </w:tcPr>
          <w:p>
            <w:pPr>
              <w:pStyle w:val="2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pPr>
              <w:pStyle w:val="29"/>
            </w:pPr>
          </w:p>
        </w:tc>
        <w:tc>
          <w:tcPr>
            <w:tcW w:w="1746" w:type="dxa"/>
            <w:vAlign w:val="center"/>
          </w:tcPr>
          <w:p>
            <w:pPr>
              <w:pStyle w:val="29"/>
            </w:pPr>
          </w:p>
        </w:tc>
        <w:tc>
          <w:tcPr>
            <w:tcW w:w="1820" w:type="dxa"/>
            <w:vAlign w:val="center"/>
          </w:tcPr>
          <w:p>
            <w:pPr>
              <w:pStyle w:val="29"/>
            </w:pPr>
          </w:p>
        </w:tc>
        <w:tc>
          <w:tcPr>
            <w:tcW w:w="1542" w:type="dxa"/>
          </w:tcPr>
          <w:p>
            <w:pPr>
              <w:pStyle w:val="29"/>
            </w:pPr>
          </w:p>
        </w:tc>
        <w:tc>
          <w:tcPr>
            <w:tcW w:w="1517" w:type="dxa"/>
            <w:vAlign w:val="center"/>
          </w:tcPr>
          <w:p>
            <w:pPr>
              <w:pStyle w:val="29"/>
            </w:pPr>
          </w:p>
        </w:tc>
        <w:tc>
          <w:tcPr>
            <w:tcW w:w="1499" w:type="dxa"/>
            <w:vAlign w:val="center"/>
          </w:tcPr>
          <w:p>
            <w:pPr>
              <w:pStyle w:val="29"/>
            </w:pPr>
          </w:p>
        </w:tc>
      </w:tr>
    </w:tbl>
    <w:p>
      <w:pPr>
        <w:tabs>
          <w:tab w:val="left" w:pos="7200"/>
          <w:tab w:val="left" w:pos="8504"/>
        </w:tabs>
        <w:spacing w:line="360" w:lineRule="auto"/>
        <w:ind w:right="-1"/>
        <w:rPr>
          <w:rFonts w:hAnsi="宋体" w:cs="宋体"/>
        </w:rPr>
      </w:pPr>
    </w:p>
    <w:p>
      <w:pPr>
        <w:spacing w:line="120" w:lineRule="exact"/>
        <w:rPr>
          <w:rFonts w:hAnsi="宋体" w:cs="宋体"/>
        </w:rPr>
      </w:pPr>
    </w:p>
    <w:p>
      <w:pPr>
        <w:pStyle w:val="9"/>
        <w:ind w:firstLine="0" w:firstLineChars="0"/>
      </w:pPr>
      <w:r>
        <w:rPr>
          <w:rFonts w:hint="eastAsia"/>
        </w:rPr>
        <w:t>投标人名称：</w:t>
      </w:r>
      <w:r>
        <w:rPr>
          <w:rFonts w:hint="eastAsia"/>
          <w:u w:val="single"/>
        </w:rPr>
        <w:t xml:space="preserve">                   </w:t>
      </w:r>
      <w:r>
        <w:rPr>
          <w:rFonts w:hint="eastAsia"/>
        </w:rPr>
        <w:t>（盖单位公章）</w:t>
      </w:r>
    </w:p>
    <w:p>
      <w:pPr>
        <w:pStyle w:val="9"/>
        <w:ind w:firstLine="0" w:firstLineChars="0"/>
      </w:pPr>
    </w:p>
    <w:p>
      <w:pPr>
        <w:pStyle w:val="9"/>
        <w:ind w:firstLine="0" w:firstLineChars="0"/>
      </w:pPr>
      <w:r>
        <w:rPr>
          <w:rFonts w:hint="eastAsia"/>
        </w:rPr>
        <w:t>法定代表人或被授权人：</w:t>
      </w:r>
      <w:r>
        <w:rPr>
          <w:rFonts w:hint="eastAsia"/>
          <w:u w:val="single"/>
        </w:rPr>
        <w:t xml:space="preserve">         </w:t>
      </w:r>
      <w:r>
        <w:rPr>
          <w:rFonts w:hint="eastAsia"/>
        </w:rPr>
        <w:t>（签字或盖章）</w:t>
      </w:r>
    </w:p>
    <w:p>
      <w:pPr>
        <w:pStyle w:val="9"/>
        <w:ind w:firstLine="0" w:firstLineChars="0"/>
      </w:pPr>
    </w:p>
    <w:p>
      <w:pPr>
        <w:pStyle w:val="9"/>
        <w:ind w:firstLine="0" w:firstLineChars="0"/>
        <w:rPr>
          <w:b/>
          <w:bCs/>
        </w:rPr>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40" w:lineRule="exact"/>
        <w:rPr>
          <w:rFonts w:hAnsi="宋体" w:cs="宋体"/>
        </w:rPr>
      </w:pPr>
    </w:p>
    <w:p>
      <w:pPr>
        <w:pStyle w:val="9"/>
        <w:ind w:firstLine="0" w:firstLineChars="0"/>
        <w:rPr>
          <w:b/>
          <w:bCs/>
        </w:rPr>
      </w:pPr>
      <w:r>
        <w:rPr>
          <w:rFonts w:hint="eastAsia"/>
          <w:b/>
          <w:bCs/>
        </w:rPr>
        <w:t>注：</w:t>
      </w:r>
    </w:p>
    <w:p>
      <w:pPr>
        <w:pStyle w:val="9"/>
        <w:ind w:firstLine="480"/>
      </w:pPr>
      <w:r>
        <w:rPr>
          <w:rFonts w:hint="eastAsia"/>
        </w:rPr>
        <w:t>1.如果不提供详细关键零部件及备品备件清单将视为没有实质性响应招标文件。</w:t>
      </w:r>
    </w:p>
    <w:p>
      <w:pPr>
        <w:pStyle w:val="9"/>
        <w:ind w:firstLine="480"/>
      </w:pPr>
      <w:r>
        <w:rPr>
          <w:rFonts w:hint="eastAsia"/>
        </w:rPr>
        <w:t>2.投标人可适当调整该表格式，但不得减少信息内容。</w:t>
      </w:r>
    </w:p>
    <w:p>
      <w:pPr>
        <w:pStyle w:val="5"/>
        <w:spacing w:before="680" w:after="680"/>
        <w:rPr>
          <w:spacing w:val="4"/>
        </w:rPr>
      </w:pPr>
      <w:r>
        <w:rPr>
          <w:rStyle w:val="36"/>
          <w:rFonts w:hint="eastAsia"/>
          <w:b/>
        </w:rPr>
        <w:t xml:space="preserve">2.4耗材清单（如有）   </w:t>
      </w:r>
      <w:r>
        <w:rPr>
          <w:rFonts w:hint="eastAsia"/>
          <w:spacing w:val="4"/>
        </w:rPr>
        <w:t xml:space="preserve">                                    </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214"/>
        <w:gridCol w:w="1529"/>
        <w:gridCol w:w="1594"/>
        <w:gridCol w:w="1588"/>
        <w:gridCol w:w="1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963" w:type="dxa"/>
            <w:vAlign w:val="center"/>
          </w:tcPr>
          <w:p>
            <w:pPr>
              <w:pStyle w:val="29"/>
            </w:pPr>
            <w:r>
              <w:rPr>
                <w:rFonts w:hint="eastAsia"/>
              </w:rPr>
              <w:t>序号</w:t>
            </w:r>
          </w:p>
        </w:tc>
        <w:tc>
          <w:tcPr>
            <w:tcW w:w="2214" w:type="dxa"/>
            <w:vAlign w:val="center"/>
          </w:tcPr>
          <w:p>
            <w:pPr>
              <w:pStyle w:val="29"/>
            </w:pPr>
            <w:r>
              <w:rPr>
                <w:rFonts w:hint="eastAsia"/>
              </w:rPr>
              <w:t>耗材名称</w:t>
            </w:r>
          </w:p>
        </w:tc>
        <w:tc>
          <w:tcPr>
            <w:tcW w:w="1529" w:type="dxa"/>
            <w:vAlign w:val="center"/>
          </w:tcPr>
          <w:p>
            <w:pPr>
              <w:pStyle w:val="29"/>
            </w:pPr>
            <w:r>
              <w:rPr>
                <w:rFonts w:hint="eastAsia"/>
              </w:rPr>
              <w:t>规格</w:t>
            </w:r>
          </w:p>
        </w:tc>
        <w:tc>
          <w:tcPr>
            <w:tcW w:w="1594" w:type="dxa"/>
            <w:vAlign w:val="center"/>
          </w:tcPr>
          <w:p>
            <w:pPr>
              <w:pStyle w:val="29"/>
            </w:pPr>
            <w:r>
              <w:rPr>
                <w:rFonts w:hint="eastAsia"/>
              </w:rPr>
              <w:t>单价（元）</w:t>
            </w:r>
          </w:p>
        </w:tc>
        <w:tc>
          <w:tcPr>
            <w:tcW w:w="1588" w:type="dxa"/>
            <w:vAlign w:val="center"/>
          </w:tcPr>
          <w:p>
            <w:pPr>
              <w:pStyle w:val="29"/>
            </w:pPr>
            <w:r>
              <w:rPr>
                <w:rFonts w:hint="eastAsia"/>
              </w:rPr>
              <w:t>预计年用量</w:t>
            </w:r>
          </w:p>
        </w:tc>
        <w:tc>
          <w:tcPr>
            <w:tcW w:w="1588" w:type="dxa"/>
            <w:vAlign w:val="center"/>
          </w:tcPr>
          <w:p>
            <w:pPr>
              <w:pStyle w:val="29"/>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963" w:type="dxa"/>
            <w:vAlign w:val="center"/>
          </w:tcPr>
          <w:p>
            <w:pPr>
              <w:pStyle w:val="29"/>
            </w:pPr>
            <w:r>
              <w:rPr>
                <w:rFonts w:hint="eastAsia"/>
              </w:rPr>
              <w:t>1</w:t>
            </w:r>
          </w:p>
        </w:tc>
        <w:tc>
          <w:tcPr>
            <w:tcW w:w="2214" w:type="dxa"/>
            <w:vAlign w:val="center"/>
          </w:tcPr>
          <w:p>
            <w:pPr>
              <w:pStyle w:val="29"/>
            </w:pPr>
          </w:p>
        </w:tc>
        <w:tc>
          <w:tcPr>
            <w:tcW w:w="1529" w:type="dxa"/>
            <w:vAlign w:val="center"/>
          </w:tcPr>
          <w:p>
            <w:pPr>
              <w:pStyle w:val="29"/>
            </w:pPr>
          </w:p>
        </w:tc>
        <w:tc>
          <w:tcPr>
            <w:tcW w:w="1594" w:type="dxa"/>
            <w:vAlign w:val="center"/>
          </w:tcPr>
          <w:p>
            <w:pPr>
              <w:pStyle w:val="29"/>
            </w:pPr>
          </w:p>
        </w:tc>
        <w:tc>
          <w:tcPr>
            <w:tcW w:w="1588" w:type="dxa"/>
            <w:vAlign w:val="center"/>
          </w:tcPr>
          <w:p>
            <w:pPr>
              <w:pStyle w:val="29"/>
            </w:pPr>
          </w:p>
        </w:tc>
        <w:tc>
          <w:tcPr>
            <w:tcW w:w="1588" w:type="dxa"/>
          </w:tcPr>
          <w:p>
            <w:pPr>
              <w:pStyle w:val="2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963" w:type="dxa"/>
            <w:vAlign w:val="center"/>
          </w:tcPr>
          <w:p>
            <w:pPr>
              <w:pStyle w:val="29"/>
            </w:pPr>
            <w:r>
              <w:rPr>
                <w:rFonts w:hint="eastAsia"/>
              </w:rPr>
              <w:t>2</w:t>
            </w:r>
          </w:p>
        </w:tc>
        <w:tc>
          <w:tcPr>
            <w:tcW w:w="2214" w:type="dxa"/>
            <w:vAlign w:val="center"/>
          </w:tcPr>
          <w:p>
            <w:pPr>
              <w:pStyle w:val="29"/>
            </w:pPr>
          </w:p>
        </w:tc>
        <w:tc>
          <w:tcPr>
            <w:tcW w:w="1529" w:type="dxa"/>
            <w:vAlign w:val="center"/>
          </w:tcPr>
          <w:p>
            <w:pPr>
              <w:pStyle w:val="29"/>
            </w:pPr>
          </w:p>
        </w:tc>
        <w:tc>
          <w:tcPr>
            <w:tcW w:w="1594" w:type="dxa"/>
            <w:vAlign w:val="center"/>
          </w:tcPr>
          <w:p>
            <w:pPr>
              <w:pStyle w:val="29"/>
            </w:pPr>
          </w:p>
        </w:tc>
        <w:tc>
          <w:tcPr>
            <w:tcW w:w="1588" w:type="dxa"/>
            <w:vAlign w:val="center"/>
          </w:tcPr>
          <w:p>
            <w:pPr>
              <w:pStyle w:val="29"/>
            </w:pPr>
          </w:p>
        </w:tc>
        <w:tc>
          <w:tcPr>
            <w:tcW w:w="1588" w:type="dxa"/>
          </w:tcPr>
          <w:p>
            <w:pPr>
              <w:pStyle w:val="2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trPr>
        <w:tc>
          <w:tcPr>
            <w:tcW w:w="963" w:type="dxa"/>
            <w:vAlign w:val="center"/>
          </w:tcPr>
          <w:p>
            <w:pPr>
              <w:pStyle w:val="29"/>
            </w:pPr>
            <w:r>
              <w:rPr>
                <w:rFonts w:hint="eastAsia"/>
              </w:rPr>
              <w:t>…</w:t>
            </w:r>
          </w:p>
        </w:tc>
        <w:tc>
          <w:tcPr>
            <w:tcW w:w="2214" w:type="dxa"/>
            <w:vAlign w:val="center"/>
          </w:tcPr>
          <w:p>
            <w:pPr>
              <w:pStyle w:val="29"/>
            </w:pPr>
          </w:p>
        </w:tc>
        <w:tc>
          <w:tcPr>
            <w:tcW w:w="1529" w:type="dxa"/>
            <w:vAlign w:val="center"/>
          </w:tcPr>
          <w:p>
            <w:pPr>
              <w:pStyle w:val="29"/>
            </w:pPr>
          </w:p>
        </w:tc>
        <w:tc>
          <w:tcPr>
            <w:tcW w:w="1594" w:type="dxa"/>
            <w:vAlign w:val="center"/>
          </w:tcPr>
          <w:p>
            <w:pPr>
              <w:pStyle w:val="29"/>
            </w:pPr>
          </w:p>
        </w:tc>
        <w:tc>
          <w:tcPr>
            <w:tcW w:w="1588" w:type="dxa"/>
            <w:vAlign w:val="center"/>
          </w:tcPr>
          <w:p>
            <w:pPr>
              <w:pStyle w:val="29"/>
            </w:pPr>
          </w:p>
        </w:tc>
        <w:tc>
          <w:tcPr>
            <w:tcW w:w="1588" w:type="dxa"/>
          </w:tcPr>
          <w:p>
            <w:pPr>
              <w:pStyle w:val="29"/>
            </w:pPr>
          </w:p>
        </w:tc>
      </w:tr>
    </w:tbl>
    <w:p>
      <w:pPr>
        <w:tabs>
          <w:tab w:val="left" w:pos="7200"/>
          <w:tab w:val="left" w:pos="8504"/>
        </w:tabs>
        <w:spacing w:line="360" w:lineRule="auto"/>
        <w:ind w:right="-1"/>
        <w:rPr>
          <w:rFonts w:hAnsi="宋体" w:cs="宋体"/>
        </w:rPr>
      </w:pPr>
    </w:p>
    <w:p>
      <w:pPr>
        <w:spacing w:line="120" w:lineRule="exact"/>
        <w:rPr>
          <w:rFonts w:hAnsi="宋体" w:cs="宋体"/>
        </w:rPr>
      </w:pPr>
    </w:p>
    <w:p>
      <w:pPr>
        <w:pStyle w:val="9"/>
        <w:ind w:firstLine="0" w:firstLineChars="0"/>
      </w:pPr>
      <w:r>
        <w:rPr>
          <w:rFonts w:hint="eastAsia"/>
        </w:rPr>
        <w:t>投标人名称：</w:t>
      </w:r>
      <w:r>
        <w:rPr>
          <w:rFonts w:hint="eastAsia"/>
          <w:u w:val="single"/>
        </w:rPr>
        <w:t xml:space="preserve">                   </w:t>
      </w:r>
      <w:r>
        <w:rPr>
          <w:rFonts w:hint="eastAsia"/>
        </w:rPr>
        <w:t>（盖单位公章）</w:t>
      </w:r>
    </w:p>
    <w:p>
      <w:pPr>
        <w:pStyle w:val="9"/>
        <w:ind w:firstLine="0" w:firstLineChars="0"/>
      </w:pPr>
    </w:p>
    <w:p>
      <w:pPr>
        <w:pStyle w:val="9"/>
        <w:ind w:firstLine="0" w:firstLineChars="0"/>
      </w:pPr>
      <w:r>
        <w:rPr>
          <w:rFonts w:hint="eastAsia"/>
        </w:rPr>
        <w:t>法定代表人或被授权人：</w:t>
      </w:r>
      <w:r>
        <w:rPr>
          <w:rFonts w:hint="eastAsia"/>
          <w:u w:val="single"/>
        </w:rPr>
        <w:t xml:space="preserve">         </w:t>
      </w:r>
      <w:r>
        <w:rPr>
          <w:rFonts w:hint="eastAsia"/>
        </w:rPr>
        <w:t>（签字或盖章）</w:t>
      </w:r>
    </w:p>
    <w:p>
      <w:pPr>
        <w:pStyle w:val="9"/>
        <w:ind w:firstLine="0" w:firstLineChars="0"/>
      </w:pPr>
    </w:p>
    <w:p>
      <w:pPr>
        <w:pStyle w:val="9"/>
        <w:ind w:firstLine="0" w:firstLineChars="0"/>
        <w:rPr>
          <w:b/>
          <w:bCs/>
        </w:rPr>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520" w:lineRule="exact"/>
        <w:rPr>
          <w:rFonts w:hAnsi="宋体" w:cs="宋体"/>
          <w:szCs w:val="24"/>
        </w:rPr>
      </w:pPr>
    </w:p>
    <w:p>
      <w:pPr>
        <w:adjustRightInd w:val="0"/>
        <w:snapToGrid w:val="0"/>
        <w:spacing w:line="440" w:lineRule="exact"/>
        <w:ind w:left="137" w:leftChars="57" w:firstLine="1446" w:firstLineChars="600"/>
        <w:rPr>
          <w:rFonts w:hAnsi="宋体" w:cs="宋体"/>
          <w:b/>
          <w:bCs/>
          <w:szCs w:val="24"/>
        </w:rPr>
      </w:pPr>
    </w:p>
    <w:p>
      <w:pPr>
        <w:adjustRightInd w:val="0"/>
        <w:snapToGrid w:val="0"/>
        <w:spacing w:line="440" w:lineRule="exact"/>
        <w:ind w:left="137" w:leftChars="57" w:firstLine="1446" w:firstLineChars="600"/>
        <w:rPr>
          <w:rFonts w:hAnsi="宋体" w:cs="宋体"/>
          <w:b/>
          <w:bCs/>
          <w:szCs w:val="24"/>
        </w:rPr>
      </w:pPr>
    </w:p>
    <w:p>
      <w:pPr>
        <w:adjustRightInd w:val="0"/>
        <w:snapToGrid w:val="0"/>
        <w:spacing w:line="440" w:lineRule="exact"/>
        <w:ind w:left="137" w:leftChars="57" w:firstLine="1446" w:firstLineChars="600"/>
        <w:rPr>
          <w:rFonts w:hAnsi="宋体" w:cs="宋体"/>
          <w:b/>
          <w:bCs/>
          <w:szCs w:val="24"/>
        </w:rPr>
      </w:pPr>
    </w:p>
    <w:p>
      <w:pPr>
        <w:adjustRightInd w:val="0"/>
        <w:snapToGrid w:val="0"/>
        <w:spacing w:line="440" w:lineRule="exact"/>
        <w:ind w:left="137" w:leftChars="57" w:firstLine="1446" w:firstLineChars="600"/>
        <w:rPr>
          <w:rFonts w:hAnsi="宋体" w:cs="宋体"/>
          <w:b/>
          <w:bCs/>
          <w:szCs w:val="24"/>
        </w:rPr>
      </w:pPr>
    </w:p>
    <w:p>
      <w:pPr>
        <w:adjustRightInd w:val="0"/>
        <w:snapToGrid w:val="0"/>
        <w:spacing w:line="440" w:lineRule="exact"/>
        <w:ind w:left="137" w:leftChars="57" w:firstLine="1446" w:firstLineChars="600"/>
        <w:rPr>
          <w:rFonts w:hAnsi="宋体" w:cs="宋体"/>
          <w:b/>
          <w:bCs/>
          <w:szCs w:val="24"/>
        </w:rPr>
      </w:pPr>
    </w:p>
    <w:p>
      <w:pPr>
        <w:adjustRightInd w:val="0"/>
        <w:snapToGrid w:val="0"/>
        <w:spacing w:line="440" w:lineRule="exact"/>
        <w:ind w:left="137" w:leftChars="57" w:firstLine="1446" w:firstLineChars="600"/>
        <w:rPr>
          <w:rFonts w:hAnsi="宋体" w:cs="宋体"/>
          <w:b/>
          <w:bCs/>
          <w:szCs w:val="24"/>
        </w:rPr>
      </w:pPr>
    </w:p>
    <w:p>
      <w:pPr>
        <w:adjustRightInd w:val="0"/>
        <w:snapToGrid w:val="0"/>
        <w:spacing w:line="440" w:lineRule="exact"/>
        <w:rPr>
          <w:rFonts w:hAnsi="宋体" w:cs="宋体"/>
        </w:rPr>
      </w:pPr>
    </w:p>
    <w:p>
      <w:pPr>
        <w:pStyle w:val="2"/>
      </w:pPr>
    </w:p>
    <w:p>
      <w:pPr>
        <w:spacing w:line="480" w:lineRule="auto"/>
        <w:ind w:right="617" w:rightChars="257"/>
        <w:rPr>
          <w:rFonts w:hAnsi="宋体" w:cs="宋体"/>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bookmarkStart w:id="209" w:name="_Toc4085"/>
      <w:bookmarkStart w:id="210" w:name="_Toc8367"/>
      <w:bookmarkStart w:id="211" w:name="_Toc28866"/>
      <w:bookmarkStart w:id="212" w:name="_Toc14384"/>
      <w:bookmarkStart w:id="213" w:name="_Toc15398"/>
      <w:bookmarkStart w:id="214" w:name="_Toc609"/>
      <w:bookmarkStart w:id="215" w:name="_Toc19152"/>
      <w:bookmarkStart w:id="216" w:name="_Toc31326"/>
      <w:r>
        <w:rPr>
          <w:rFonts w:hint="eastAsia"/>
          <w:color w:val="000000" w:themeColor="text1"/>
          <w14:textFill>
            <w14:solidFill>
              <w14:schemeClr w14:val="tx1"/>
            </w14:solidFill>
          </w14:textFill>
        </w:rPr>
        <w:t>三、</w:t>
      </w:r>
      <w:bookmarkEnd w:id="209"/>
      <w:bookmarkEnd w:id="210"/>
      <w:bookmarkEnd w:id="211"/>
      <w:bookmarkEnd w:id="212"/>
      <w:bookmarkEnd w:id="213"/>
      <w:bookmarkEnd w:id="214"/>
      <w:bookmarkEnd w:id="215"/>
      <w:bookmarkEnd w:id="216"/>
      <w:r>
        <w:rPr>
          <w:rFonts w:hint="eastAsia"/>
          <w:color w:val="000000" w:themeColor="text1"/>
          <w14:textFill>
            <w14:solidFill>
              <w14:schemeClr w14:val="tx1"/>
            </w14:solidFill>
          </w14:textFill>
        </w:rPr>
        <w:t>投标方案说明书</w:t>
      </w:r>
    </w:p>
    <w:p>
      <w:pPr>
        <w:pStyle w:val="9"/>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投标人根据招标文件第四章“采购内容及技术要求”及《评标因素及权重分值表》，自主编写方案说明书。</w:t>
      </w:r>
    </w:p>
    <w:p>
      <w:pPr>
        <w:pStyle w:val="6"/>
        <w:rPr>
          <w:rStyle w:val="37"/>
          <w:b/>
          <w:bCs/>
          <w:color w:val="000000" w:themeColor="text1"/>
          <w14:textFill>
            <w14:solidFill>
              <w14:schemeClr w14:val="tx1"/>
            </w14:solidFill>
          </w14:textFill>
        </w:rPr>
      </w:pPr>
      <w:r>
        <w:rPr>
          <w:rFonts w:hint="eastAsia"/>
          <w:color w:val="000000" w:themeColor="text1"/>
          <w:szCs w:val="24"/>
          <w14:textFill>
            <w14:solidFill>
              <w14:schemeClr w14:val="tx1"/>
            </w14:solidFill>
          </w14:textFill>
        </w:rPr>
        <w:br w:type="page"/>
      </w:r>
      <w:r>
        <w:rPr>
          <w:rStyle w:val="37"/>
          <w:rFonts w:hint="eastAsia"/>
          <w:b/>
          <w:bCs/>
          <w:color w:val="000000" w:themeColor="text1"/>
          <w14:textFill>
            <w14:solidFill>
              <w14:schemeClr w14:val="tx1"/>
            </w14:solidFill>
          </w14:textFill>
        </w:rPr>
        <w:t>附表1</w:t>
      </w:r>
    </w:p>
    <w:p>
      <w:pPr>
        <w:pStyle w:val="5"/>
        <w:spacing w:before="680" w:after="680"/>
        <w:rPr>
          <w:color w:val="000000" w:themeColor="text1"/>
          <w14:textFill>
            <w14:solidFill>
              <w14:schemeClr w14:val="tx1"/>
            </w14:solidFill>
          </w14:textFill>
        </w:rPr>
      </w:pPr>
      <w:r>
        <w:rPr>
          <w:rFonts w:hint="eastAsia"/>
          <w:color w:val="000000" w:themeColor="text1"/>
          <w14:textFill>
            <w14:solidFill>
              <w14:schemeClr w14:val="tx1"/>
            </w14:solidFill>
          </w14:textFill>
        </w:rPr>
        <w:t>技术响应偏离表</w:t>
      </w:r>
    </w:p>
    <w:tbl>
      <w:tblPr>
        <w:tblStyle w:val="19"/>
        <w:tblW w:w="991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228"/>
        <w:gridCol w:w="1353"/>
        <w:gridCol w:w="1714"/>
        <w:gridCol w:w="2566"/>
        <w:gridCol w:w="1290"/>
        <w:gridCol w:w="880"/>
        <w:gridCol w:w="8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353"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品目</w:t>
            </w:r>
          </w:p>
        </w:tc>
        <w:tc>
          <w:tcPr>
            <w:tcW w:w="1714" w:type="dxa"/>
            <w:vAlign w:val="center"/>
          </w:tcPr>
          <w:p>
            <w:pPr>
              <w:pStyle w:val="29"/>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招标</w:t>
            </w:r>
            <w:r>
              <w:rPr>
                <w:rFonts w:hint="eastAsia"/>
                <w:color w:val="000000" w:themeColor="text1"/>
                <w:lang w:val="en-US" w:eastAsia="zh-CN"/>
                <w14:textFill>
                  <w14:solidFill>
                    <w14:schemeClr w14:val="tx1"/>
                  </w14:solidFill>
                </w14:textFill>
              </w:rPr>
              <w:t>要求</w:t>
            </w:r>
          </w:p>
        </w:tc>
        <w:tc>
          <w:tcPr>
            <w:tcW w:w="2566" w:type="dxa"/>
            <w:vAlign w:val="center"/>
          </w:tcPr>
          <w:p>
            <w:pPr>
              <w:pStyle w:val="29"/>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投标</w:t>
            </w:r>
            <w:r>
              <w:rPr>
                <w:rFonts w:hint="eastAsia"/>
                <w:color w:val="000000" w:themeColor="text1"/>
                <w:lang w:val="en-US" w:eastAsia="zh-CN"/>
                <w14:textFill>
                  <w14:solidFill>
                    <w14:schemeClr w14:val="tx1"/>
                  </w14:solidFill>
                </w14:textFill>
              </w:rPr>
              <w:t>要求</w:t>
            </w:r>
          </w:p>
        </w:tc>
        <w:tc>
          <w:tcPr>
            <w:tcW w:w="1290"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偏离说明</w:t>
            </w:r>
          </w:p>
        </w:tc>
        <w:tc>
          <w:tcPr>
            <w:tcW w:w="880" w:type="dxa"/>
            <w:vAlign w:val="center"/>
          </w:tcPr>
          <w:p>
            <w:pPr>
              <w:pStyle w:val="29"/>
              <w:rPr>
                <w:color w:val="000000" w:themeColor="text1"/>
                <w14:textFill>
                  <w14:solidFill>
                    <w14:schemeClr w14:val="tx1"/>
                  </w14:solidFill>
                </w14:textFill>
              </w:rPr>
            </w:pPr>
            <w:r>
              <w:rPr>
                <w:rFonts w:hint="eastAsia"/>
                <w:szCs w:val="24"/>
              </w:rPr>
              <w:t>证明材料索引页</w:t>
            </w:r>
          </w:p>
        </w:tc>
        <w:tc>
          <w:tcPr>
            <w:tcW w:w="880"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Pr>
          <w:p>
            <w:pPr>
              <w:pStyle w:val="29"/>
              <w:rPr>
                <w:color w:val="000000" w:themeColor="text1"/>
                <w14:textFill>
                  <w14:solidFill>
                    <w14:schemeClr w14:val="tx1"/>
                  </w14:solidFill>
                </w14:textFill>
              </w:rPr>
            </w:pPr>
          </w:p>
        </w:tc>
        <w:tc>
          <w:tcPr>
            <w:tcW w:w="1353" w:type="dxa"/>
          </w:tcPr>
          <w:p>
            <w:pPr>
              <w:pStyle w:val="29"/>
              <w:rPr>
                <w:color w:val="000000" w:themeColor="text1"/>
                <w14:textFill>
                  <w14:solidFill>
                    <w14:schemeClr w14:val="tx1"/>
                  </w14:solidFill>
                </w14:textFill>
              </w:rPr>
            </w:pPr>
          </w:p>
        </w:tc>
        <w:tc>
          <w:tcPr>
            <w:tcW w:w="1714" w:type="dxa"/>
          </w:tcPr>
          <w:p>
            <w:pPr>
              <w:pStyle w:val="29"/>
              <w:rPr>
                <w:color w:val="000000" w:themeColor="text1"/>
                <w14:textFill>
                  <w14:solidFill>
                    <w14:schemeClr w14:val="tx1"/>
                  </w14:solidFill>
                </w14:textFill>
              </w:rPr>
            </w:pPr>
          </w:p>
        </w:tc>
        <w:tc>
          <w:tcPr>
            <w:tcW w:w="2566" w:type="dxa"/>
          </w:tcPr>
          <w:p>
            <w:pPr>
              <w:pStyle w:val="29"/>
              <w:rPr>
                <w:color w:val="000000" w:themeColor="text1"/>
                <w14:textFill>
                  <w14:solidFill>
                    <w14:schemeClr w14:val="tx1"/>
                  </w14:solidFill>
                </w14:textFill>
              </w:rPr>
            </w:pPr>
          </w:p>
        </w:tc>
        <w:tc>
          <w:tcPr>
            <w:tcW w:w="1290" w:type="dxa"/>
          </w:tcPr>
          <w:p>
            <w:pPr>
              <w:pStyle w:val="29"/>
              <w:rPr>
                <w:color w:val="000000" w:themeColor="text1"/>
                <w14:textFill>
                  <w14:solidFill>
                    <w14:schemeClr w14:val="tx1"/>
                  </w14:solidFill>
                </w14:textFill>
              </w:rPr>
            </w:pPr>
          </w:p>
        </w:tc>
        <w:tc>
          <w:tcPr>
            <w:tcW w:w="880" w:type="dxa"/>
          </w:tcPr>
          <w:p>
            <w:pPr>
              <w:pStyle w:val="29"/>
              <w:rPr>
                <w:color w:val="000000" w:themeColor="text1"/>
                <w14:textFill>
                  <w14:solidFill>
                    <w14:schemeClr w14:val="tx1"/>
                  </w14:solidFill>
                </w14:textFill>
              </w:rPr>
            </w:pPr>
          </w:p>
        </w:tc>
        <w:tc>
          <w:tcPr>
            <w:tcW w:w="880" w:type="dxa"/>
          </w:tcPr>
          <w:p>
            <w:pPr>
              <w:pStyle w:val="29"/>
              <w:rPr>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Pr>
          <w:p>
            <w:pPr>
              <w:pStyle w:val="29"/>
              <w:rPr>
                <w:color w:val="000000" w:themeColor="text1"/>
                <w14:textFill>
                  <w14:solidFill>
                    <w14:schemeClr w14:val="tx1"/>
                  </w14:solidFill>
                </w14:textFill>
              </w:rPr>
            </w:pPr>
          </w:p>
        </w:tc>
        <w:tc>
          <w:tcPr>
            <w:tcW w:w="1353" w:type="dxa"/>
          </w:tcPr>
          <w:p>
            <w:pPr>
              <w:pStyle w:val="29"/>
              <w:rPr>
                <w:color w:val="000000" w:themeColor="text1"/>
                <w14:textFill>
                  <w14:solidFill>
                    <w14:schemeClr w14:val="tx1"/>
                  </w14:solidFill>
                </w14:textFill>
              </w:rPr>
            </w:pPr>
          </w:p>
        </w:tc>
        <w:tc>
          <w:tcPr>
            <w:tcW w:w="1714" w:type="dxa"/>
          </w:tcPr>
          <w:p>
            <w:pPr>
              <w:pStyle w:val="29"/>
              <w:rPr>
                <w:color w:val="000000" w:themeColor="text1"/>
                <w14:textFill>
                  <w14:solidFill>
                    <w14:schemeClr w14:val="tx1"/>
                  </w14:solidFill>
                </w14:textFill>
              </w:rPr>
            </w:pPr>
          </w:p>
        </w:tc>
        <w:tc>
          <w:tcPr>
            <w:tcW w:w="2566" w:type="dxa"/>
          </w:tcPr>
          <w:p>
            <w:pPr>
              <w:pStyle w:val="29"/>
              <w:rPr>
                <w:color w:val="000000" w:themeColor="text1"/>
                <w14:textFill>
                  <w14:solidFill>
                    <w14:schemeClr w14:val="tx1"/>
                  </w14:solidFill>
                </w14:textFill>
              </w:rPr>
            </w:pPr>
          </w:p>
        </w:tc>
        <w:tc>
          <w:tcPr>
            <w:tcW w:w="1290" w:type="dxa"/>
          </w:tcPr>
          <w:p>
            <w:pPr>
              <w:pStyle w:val="29"/>
              <w:rPr>
                <w:color w:val="000000" w:themeColor="text1"/>
                <w14:textFill>
                  <w14:solidFill>
                    <w14:schemeClr w14:val="tx1"/>
                  </w14:solidFill>
                </w14:textFill>
              </w:rPr>
            </w:pPr>
          </w:p>
        </w:tc>
        <w:tc>
          <w:tcPr>
            <w:tcW w:w="880" w:type="dxa"/>
          </w:tcPr>
          <w:p>
            <w:pPr>
              <w:pStyle w:val="29"/>
              <w:rPr>
                <w:color w:val="000000" w:themeColor="text1"/>
                <w14:textFill>
                  <w14:solidFill>
                    <w14:schemeClr w14:val="tx1"/>
                  </w14:solidFill>
                </w14:textFill>
              </w:rPr>
            </w:pPr>
          </w:p>
        </w:tc>
        <w:tc>
          <w:tcPr>
            <w:tcW w:w="880" w:type="dxa"/>
          </w:tcPr>
          <w:p>
            <w:pPr>
              <w:pStyle w:val="29"/>
              <w:rPr>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Pr>
          <w:p>
            <w:pPr>
              <w:pStyle w:val="29"/>
              <w:rPr>
                <w:color w:val="000000" w:themeColor="text1"/>
                <w14:textFill>
                  <w14:solidFill>
                    <w14:schemeClr w14:val="tx1"/>
                  </w14:solidFill>
                </w14:textFill>
              </w:rPr>
            </w:pPr>
          </w:p>
        </w:tc>
        <w:tc>
          <w:tcPr>
            <w:tcW w:w="1353" w:type="dxa"/>
          </w:tcPr>
          <w:p>
            <w:pPr>
              <w:pStyle w:val="29"/>
              <w:rPr>
                <w:color w:val="000000" w:themeColor="text1"/>
                <w14:textFill>
                  <w14:solidFill>
                    <w14:schemeClr w14:val="tx1"/>
                  </w14:solidFill>
                </w14:textFill>
              </w:rPr>
            </w:pPr>
          </w:p>
        </w:tc>
        <w:tc>
          <w:tcPr>
            <w:tcW w:w="1714" w:type="dxa"/>
          </w:tcPr>
          <w:p>
            <w:pPr>
              <w:pStyle w:val="29"/>
              <w:rPr>
                <w:color w:val="000000" w:themeColor="text1"/>
                <w14:textFill>
                  <w14:solidFill>
                    <w14:schemeClr w14:val="tx1"/>
                  </w14:solidFill>
                </w14:textFill>
              </w:rPr>
            </w:pPr>
          </w:p>
        </w:tc>
        <w:tc>
          <w:tcPr>
            <w:tcW w:w="2566" w:type="dxa"/>
          </w:tcPr>
          <w:p>
            <w:pPr>
              <w:pStyle w:val="29"/>
              <w:rPr>
                <w:color w:val="000000" w:themeColor="text1"/>
                <w14:textFill>
                  <w14:solidFill>
                    <w14:schemeClr w14:val="tx1"/>
                  </w14:solidFill>
                </w14:textFill>
              </w:rPr>
            </w:pPr>
          </w:p>
        </w:tc>
        <w:tc>
          <w:tcPr>
            <w:tcW w:w="1290" w:type="dxa"/>
          </w:tcPr>
          <w:p>
            <w:pPr>
              <w:pStyle w:val="29"/>
              <w:rPr>
                <w:color w:val="000000" w:themeColor="text1"/>
                <w14:textFill>
                  <w14:solidFill>
                    <w14:schemeClr w14:val="tx1"/>
                  </w14:solidFill>
                </w14:textFill>
              </w:rPr>
            </w:pPr>
          </w:p>
        </w:tc>
        <w:tc>
          <w:tcPr>
            <w:tcW w:w="880" w:type="dxa"/>
          </w:tcPr>
          <w:p>
            <w:pPr>
              <w:pStyle w:val="29"/>
              <w:rPr>
                <w:color w:val="000000" w:themeColor="text1"/>
                <w14:textFill>
                  <w14:solidFill>
                    <w14:schemeClr w14:val="tx1"/>
                  </w14:solidFill>
                </w14:textFill>
              </w:rPr>
            </w:pPr>
          </w:p>
        </w:tc>
        <w:tc>
          <w:tcPr>
            <w:tcW w:w="880" w:type="dxa"/>
          </w:tcPr>
          <w:p>
            <w:pPr>
              <w:pStyle w:val="29"/>
              <w:rPr>
                <w:color w:val="000000" w:themeColor="text1"/>
                <w14:textFill>
                  <w14:solidFill>
                    <w14:schemeClr w14:val="tx1"/>
                  </w14:solidFill>
                </w14:textFill>
              </w:rPr>
            </w:pPr>
          </w:p>
        </w:tc>
      </w:tr>
    </w:tbl>
    <w:p>
      <w:pPr>
        <w:tabs>
          <w:tab w:val="left" w:pos="7200"/>
          <w:tab w:val="left" w:pos="8504"/>
        </w:tabs>
        <w:spacing w:line="360" w:lineRule="auto"/>
        <w:ind w:right="-1"/>
        <w:rPr>
          <w:rFonts w:hAnsi="宋体" w:cs="宋体"/>
          <w:color w:val="000000" w:themeColor="text1"/>
          <w14:textFill>
            <w14:solidFill>
              <w14:schemeClr w14:val="tx1"/>
            </w14:solidFill>
          </w14:textFill>
        </w:rPr>
      </w:pPr>
    </w:p>
    <w:p>
      <w:pPr>
        <w:spacing w:line="120" w:lineRule="exact"/>
        <w:rPr>
          <w:rFonts w:hAnsi="宋体" w:cs="宋体"/>
          <w:color w:val="000000" w:themeColor="text1"/>
          <w14:textFill>
            <w14:solidFill>
              <w14:schemeClr w14:val="tx1"/>
            </w14:solidFill>
          </w14:textFill>
        </w:rPr>
      </w:pPr>
    </w:p>
    <w:p>
      <w:pPr>
        <w:pStyle w:val="9"/>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（盖单位公章）</w:t>
      </w:r>
    </w:p>
    <w:p>
      <w:pPr>
        <w:pStyle w:val="9"/>
        <w:ind w:firstLine="0" w:firstLineChars="0"/>
        <w:rPr>
          <w:color w:val="000000" w:themeColor="text1"/>
          <w14:textFill>
            <w14:solidFill>
              <w14:schemeClr w14:val="tx1"/>
            </w14:solidFill>
          </w14:textFill>
        </w:rPr>
      </w:pPr>
    </w:p>
    <w:p>
      <w:pPr>
        <w:pStyle w:val="9"/>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法定代表人或被授权人：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（签字或盖章）</w:t>
      </w:r>
    </w:p>
    <w:p>
      <w:pPr>
        <w:pStyle w:val="9"/>
        <w:ind w:firstLine="0" w:firstLineChars="0"/>
        <w:rPr>
          <w:color w:val="000000" w:themeColor="text1"/>
          <w14:textFill>
            <w14:solidFill>
              <w14:schemeClr w14:val="tx1"/>
            </w14:solidFill>
          </w14:textFill>
        </w:rPr>
      </w:pPr>
    </w:p>
    <w:p>
      <w:pPr>
        <w:pStyle w:val="9"/>
        <w:ind w:firstLine="0" w:firstLineChars="0"/>
        <w:rPr>
          <w:b/>
          <w:bCs/>
          <w:color w:val="000000" w:themeColor="text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adjustRightInd w:val="0"/>
        <w:snapToGrid w:val="0"/>
        <w:spacing w:line="440" w:lineRule="exact"/>
        <w:ind w:left="137" w:leftChars="57" w:firstLine="1446" w:firstLineChars="600"/>
        <w:rPr>
          <w:rFonts w:hAnsi="宋体" w:cs="宋体"/>
          <w:b/>
          <w:bCs/>
          <w:color w:val="000000" w:themeColor="text1"/>
          <w:szCs w:val="24"/>
          <w14:textFill>
            <w14:solidFill>
              <w14:schemeClr w14:val="tx1"/>
            </w14:solidFill>
          </w14:textFill>
        </w:rPr>
      </w:pPr>
    </w:p>
    <w:p>
      <w:pPr>
        <w:rPr>
          <w:rFonts w:hAnsi="宋体" w:cs="宋体"/>
          <w:color w:val="000000" w:themeColor="text1"/>
          <w:szCs w:val="24"/>
          <w14:textFill>
            <w14:solidFill>
              <w14:schemeClr w14:val="tx1"/>
            </w14:solidFill>
          </w14:textFill>
        </w:rPr>
      </w:pPr>
    </w:p>
    <w:p>
      <w:pPr>
        <w:pStyle w:val="31"/>
        <w:rPr>
          <w:rFonts w:hAnsi="宋体" w:cs="宋体"/>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注：</w:t>
      </w:r>
      <w:r>
        <w:rPr>
          <w:rFonts w:hint="eastAsia" w:hAnsi="宋体" w:cs="宋体"/>
          <w:color w:val="000000" w:themeColor="text1"/>
          <w:szCs w:val="24"/>
          <w14:textFill>
            <w14:solidFill>
              <w14:schemeClr w14:val="tx1"/>
            </w14:solidFill>
          </w14:textFill>
        </w:rPr>
        <w:t xml:space="preserve"> </w:t>
      </w:r>
    </w:p>
    <w:p>
      <w:pPr>
        <w:pStyle w:val="9"/>
        <w:numPr>
          <w:ilvl w:val="0"/>
          <w:numId w:val="2"/>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招标</w:t>
      </w:r>
      <w:r>
        <w:rPr>
          <w:rFonts w:hint="eastAsia"/>
          <w:color w:val="000000" w:themeColor="text1"/>
          <w:lang w:val="en-US" w:eastAsia="zh-CN"/>
          <w14:textFill>
            <w14:solidFill>
              <w14:schemeClr w14:val="tx1"/>
            </w14:solidFill>
          </w14:textFill>
        </w:rPr>
        <w:t>要求</w:t>
      </w:r>
      <w:r>
        <w:rPr>
          <w:rFonts w:hint="eastAsia"/>
          <w:color w:val="000000" w:themeColor="text1"/>
          <w14:textFill>
            <w14:solidFill>
              <w14:schemeClr w14:val="tx1"/>
            </w14:solidFill>
          </w14:textFill>
        </w:rPr>
        <w:t>指招标文件</w:t>
      </w:r>
      <w:r>
        <w:rPr>
          <w:rFonts w:hint="eastAsia"/>
          <w:b/>
          <w:bCs/>
          <w:color w:val="000000" w:themeColor="text1"/>
          <w14:textFill>
            <w14:solidFill>
              <w14:schemeClr w14:val="tx1"/>
            </w14:solidFill>
          </w14:textFill>
        </w:rPr>
        <w:t>第四章“采购内容及技术要求”</w:t>
      </w:r>
      <w:r>
        <w:rPr>
          <w:rFonts w:hint="eastAsia"/>
          <w:color w:val="000000" w:themeColor="text1"/>
          <w14:textFill>
            <w14:solidFill>
              <w14:schemeClr w14:val="tx1"/>
            </w14:solidFill>
          </w14:textFill>
        </w:rPr>
        <w:t>中所列内容,投标人应按照招标文件中的内容逐项响应。</w:t>
      </w:r>
    </w:p>
    <w:p>
      <w:pPr>
        <w:pStyle w:val="9"/>
        <w:numPr>
          <w:ilvl w:val="0"/>
          <w:numId w:val="2"/>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w:t>
      </w:r>
      <w:r>
        <w:rPr>
          <w:rFonts w:hint="eastAsia"/>
          <w:color w:val="000000" w:themeColor="text1"/>
          <w:lang w:val="en-US" w:eastAsia="zh-CN"/>
          <w14:textFill>
            <w14:solidFill>
              <w14:schemeClr w14:val="tx1"/>
            </w14:solidFill>
          </w14:textFill>
        </w:rPr>
        <w:t>要求</w:t>
      </w:r>
      <w:r>
        <w:rPr>
          <w:rFonts w:hint="eastAsia"/>
          <w:color w:val="000000" w:themeColor="text1"/>
          <w14:textFill>
            <w14:solidFill>
              <w14:schemeClr w14:val="tx1"/>
            </w14:solidFill>
          </w14:textFill>
        </w:rPr>
        <w:t xml:space="preserve">指投标人拟提供的投标产品的功能及技术规格(参数),投标人应逐条如实填写并提供相应的支持文件。 </w:t>
      </w:r>
    </w:p>
    <w:p>
      <w:pPr>
        <w:pStyle w:val="9"/>
        <w:numPr>
          <w:ilvl w:val="0"/>
          <w:numId w:val="2"/>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偏离说明填写：优于、满足或低于。</w:t>
      </w:r>
    </w:p>
    <w:p>
      <w:pPr>
        <w:pStyle w:val="9"/>
        <w:numPr>
          <w:ilvl w:val="0"/>
          <w:numId w:val="2"/>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投标人必须据实填写，不得虚假响应，否则将取消其投标或中标资格。</w:t>
      </w:r>
    </w:p>
    <w:p>
      <w:pP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 xml:space="preserve">     </w:t>
      </w:r>
    </w:p>
    <w:p>
      <w:pPr>
        <w:pStyle w:val="6"/>
        <w:rPr>
          <w:rStyle w:val="37"/>
          <w:b/>
          <w:bCs/>
          <w:color w:val="000000" w:themeColor="text1"/>
          <w14:textFill>
            <w14:solidFill>
              <w14:schemeClr w14:val="tx1"/>
            </w14:solidFill>
          </w14:textFill>
        </w:rPr>
      </w:pPr>
      <w:bookmarkStart w:id="217" w:name="_Toc396304713"/>
      <w:bookmarkStart w:id="218" w:name="_Toc225566701"/>
      <w:bookmarkStart w:id="219" w:name="_Toc225410181"/>
      <w:bookmarkStart w:id="220" w:name="_Toc225409965"/>
      <w:bookmarkStart w:id="221" w:name="_Toc225416061"/>
      <w:bookmarkStart w:id="222" w:name="_Toc225415860"/>
      <w:bookmarkStart w:id="223" w:name="_Toc341541375"/>
      <w:bookmarkStart w:id="224" w:name="_Toc225410807"/>
      <w:bookmarkStart w:id="225" w:name="_Toc225567481"/>
      <w:bookmarkStart w:id="226" w:name="_Toc225566882"/>
      <w:bookmarkStart w:id="227" w:name="_Toc225412373"/>
      <w:bookmarkStart w:id="228" w:name="_Toc225415659"/>
      <w:bookmarkStart w:id="229" w:name="_Toc225412171"/>
      <w:r>
        <w:rPr>
          <w:rFonts w:hint="eastAsia"/>
          <w:color w:val="000000" w:themeColor="text1"/>
          <w:szCs w:val="24"/>
          <w14:textFill>
            <w14:solidFill>
              <w14:schemeClr w14:val="tx1"/>
            </w14:solidFill>
          </w14:textFill>
        </w:rPr>
        <w:br w:type="page"/>
      </w:r>
      <w:r>
        <w:rPr>
          <w:rStyle w:val="37"/>
          <w:rFonts w:hint="eastAsia"/>
          <w:b/>
          <w:bCs/>
          <w:color w:val="000000" w:themeColor="text1"/>
          <w14:textFill>
            <w14:solidFill>
              <w14:schemeClr w14:val="tx1"/>
            </w14:solidFill>
          </w14:textFill>
        </w:rPr>
        <w:t>附表2 本项目拟投入人员汇总表</w:t>
      </w:r>
      <w:bookmarkEnd w:id="217"/>
      <w:bookmarkEnd w:id="218"/>
      <w:bookmarkEnd w:id="219"/>
      <w:bookmarkEnd w:id="220"/>
      <w:bookmarkEnd w:id="221"/>
      <w:bookmarkEnd w:id="222"/>
      <w:bookmarkEnd w:id="223"/>
      <w:bookmarkEnd w:id="224"/>
      <w:bookmarkEnd w:id="225"/>
      <w:bookmarkEnd w:id="226"/>
      <w:bookmarkEnd w:id="227"/>
      <w:bookmarkEnd w:id="228"/>
      <w:bookmarkEnd w:id="229"/>
    </w:p>
    <w:p>
      <w:pPr>
        <w:pStyle w:val="5"/>
        <w:spacing w:before="680" w:after="680"/>
        <w:rPr>
          <w:color w:val="000000" w:themeColor="text1"/>
          <w14:textFill>
            <w14:solidFill>
              <w14:schemeClr w14:val="tx1"/>
            </w14:solidFill>
          </w14:textFill>
        </w:rPr>
      </w:pPr>
      <w:bookmarkStart w:id="230" w:name="_Toc13827"/>
      <w:bookmarkStart w:id="231" w:name="_Toc403077652"/>
      <w:bookmarkStart w:id="232" w:name="_Toc17592"/>
      <w:bookmarkStart w:id="233" w:name="_Toc426457710"/>
      <w:bookmarkStart w:id="234" w:name="_Toc25551"/>
      <w:bookmarkStart w:id="235" w:name="_Toc396304714"/>
      <w:bookmarkStart w:id="236" w:name="_Toc14631"/>
      <w:bookmarkStart w:id="237" w:name="_Toc19082"/>
      <w:bookmarkStart w:id="238" w:name="_Toc26523"/>
      <w:bookmarkStart w:id="239" w:name="_Toc4115"/>
      <w:bookmarkStart w:id="240" w:name="_Toc214"/>
      <w:bookmarkStart w:id="241" w:name="_Toc2768"/>
      <w:r>
        <w:rPr>
          <w:rFonts w:hint="eastAsia"/>
          <w:color w:val="000000" w:themeColor="text1"/>
          <w14:textFill>
            <w14:solidFill>
              <w14:schemeClr w14:val="tx1"/>
            </w14:solidFill>
          </w14:textFill>
        </w:rPr>
        <w:t>（一）本项目拟投入人员汇总表</w:t>
      </w:r>
      <w:bookmarkEnd w:id="230"/>
      <w:bookmarkEnd w:id="231"/>
      <w:bookmarkEnd w:id="232"/>
      <w:bookmarkEnd w:id="233"/>
      <w:bookmarkEnd w:id="234"/>
      <w:bookmarkEnd w:id="235"/>
      <w:bookmarkEnd w:id="236"/>
      <w:bookmarkEnd w:id="237"/>
      <w:bookmarkEnd w:id="238"/>
      <w:bookmarkEnd w:id="239"/>
      <w:bookmarkEnd w:id="240"/>
      <w:bookmarkEnd w:id="241"/>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1240"/>
        <w:gridCol w:w="570"/>
        <w:gridCol w:w="570"/>
        <w:gridCol w:w="570"/>
        <w:gridCol w:w="835"/>
        <w:gridCol w:w="1157"/>
        <w:gridCol w:w="748"/>
        <w:gridCol w:w="187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557" w:type="dxa"/>
            <w:tcMar>
              <w:top w:w="15" w:type="dxa"/>
              <w:left w:w="15" w:type="dxa"/>
              <w:bottom w:w="0" w:type="dxa"/>
              <w:right w:w="15" w:type="dxa"/>
            </w:tcMar>
            <w:vAlign w:val="center"/>
          </w:tcPr>
          <w:p>
            <w:pPr>
              <w:pStyle w:val="29"/>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1240" w:type="dxa"/>
            <w:tcMar>
              <w:top w:w="15" w:type="dxa"/>
              <w:left w:w="15" w:type="dxa"/>
              <w:bottom w:w="0" w:type="dxa"/>
              <w:right w:w="15" w:type="dxa"/>
            </w:tcMar>
            <w:vAlign w:val="center"/>
          </w:tcPr>
          <w:p>
            <w:pPr>
              <w:pStyle w:val="29"/>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姓  名</w:t>
            </w:r>
          </w:p>
        </w:tc>
        <w:tc>
          <w:tcPr>
            <w:tcW w:w="570" w:type="dxa"/>
            <w:tcMar>
              <w:top w:w="15" w:type="dxa"/>
              <w:left w:w="15" w:type="dxa"/>
              <w:bottom w:w="0" w:type="dxa"/>
              <w:right w:w="15" w:type="dxa"/>
            </w:tcMar>
            <w:vAlign w:val="center"/>
          </w:tcPr>
          <w:p>
            <w:pPr>
              <w:pStyle w:val="29"/>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性别</w:t>
            </w:r>
          </w:p>
        </w:tc>
        <w:tc>
          <w:tcPr>
            <w:tcW w:w="570" w:type="dxa"/>
            <w:tcMar>
              <w:top w:w="15" w:type="dxa"/>
              <w:left w:w="15" w:type="dxa"/>
              <w:bottom w:w="0" w:type="dxa"/>
              <w:right w:w="15" w:type="dxa"/>
            </w:tcMar>
            <w:vAlign w:val="center"/>
          </w:tcPr>
          <w:p>
            <w:pPr>
              <w:pStyle w:val="29"/>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年龄</w:t>
            </w:r>
          </w:p>
        </w:tc>
        <w:tc>
          <w:tcPr>
            <w:tcW w:w="570" w:type="dxa"/>
            <w:tcMar>
              <w:top w:w="15" w:type="dxa"/>
              <w:left w:w="15" w:type="dxa"/>
              <w:bottom w:w="0" w:type="dxa"/>
              <w:right w:w="15" w:type="dxa"/>
            </w:tcMar>
            <w:vAlign w:val="center"/>
          </w:tcPr>
          <w:p>
            <w:pPr>
              <w:pStyle w:val="29"/>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学历</w:t>
            </w:r>
          </w:p>
        </w:tc>
        <w:tc>
          <w:tcPr>
            <w:tcW w:w="835" w:type="dxa"/>
            <w:tcMar>
              <w:top w:w="15" w:type="dxa"/>
              <w:left w:w="15" w:type="dxa"/>
              <w:bottom w:w="0" w:type="dxa"/>
              <w:right w:w="15" w:type="dxa"/>
            </w:tcMar>
            <w:vAlign w:val="center"/>
          </w:tcPr>
          <w:p>
            <w:pPr>
              <w:pStyle w:val="29"/>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技术</w:t>
            </w:r>
          </w:p>
          <w:p>
            <w:pPr>
              <w:pStyle w:val="29"/>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职称</w:t>
            </w:r>
          </w:p>
        </w:tc>
        <w:tc>
          <w:tcPr>
            <w:tcW w:w="1157" w:type="dxa"/>
            <w:tcMar>
              <w:top w:w="15" w:type="dxa"/>
              <w:left w:w="15" w:type="dxa"/>
              <w:bottom w:w="0" w:type="dxa"/>
              <w:right w:w="15" w:type="dxa"/>
            </w:tcMar>
          </w:tcPr>
          <w:p>
            <w:pPr>
              <w:pStyle w:val="29"/>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资格证</w:t>
            </w:r>
          </w:p>
          <w:p>
            <w:pPr>
              <w:pStyle w:val="29"/>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书种类</w:t>
            </w:r>
          </w:p>
        </w:tc>
        <w:tc>
          <w:tcPr>
            <w:tcW w:w="748" w:type="dxa"/>
            <w:tcMar>
              <w:top w:w="15" w:type="dxa"/>
              <w:left w:w="15" w:type="dxa"/>
              <w:bottom w:w="0" w:type="dxa"/>
              <w:right w:w="15" w:type="dxa"/>
            </w:tcMar>
            <w:vAlign w:val="center"/>
          </w:tcPr>
          <w:p>
            <w:pPr>
              <w:pStyle w:val="29"/>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工作</w:t>
            </w:r>
          </w:p>
          <w:p>
            <w:pPr>
              <w:pStyle w:val="29"/>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年限</w:t>
            </w:r>
          </w:p>
        </w:tc>
        <w:tc>
          <w:tcPr>
            <w:tcW w:w="1877" w:type="dxa"/>
            <w:tcMar>
              <w:top w:w="15" w:type="dxa"/>
              <w:left w:w="15" w:type="dxa"/>
              <w:bottom w:w="0" w:type="dxa"/>
              <w:right w:w="15" w:type="dxa"/>
            </w:tcMar>
            <w:vAlign w:val="center"/>
          </w:tcPr>
          <w:p>
            <w:pPr>
              <w:pStyle w:val="29"/>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拟担任的职务</w:t>
            </w:r>
          </w:p>
        </w:tc>
        <w:tc>
          <w:tcPr>
            <w:tcW w:w="680" w:type="dxa"/>
            <w:tcMar>
              <w:top w:w="15" w:type="dxa"/>
              <w:left w:w="15" w:type="dxa"/>
              <w:bottom w:w="0" w:type="dxa"/>
              <w:right w:w="15" w:type="dxa"/>
            </w:tcMar>
            <w:vAlign w:val="center"/>
          </w:tcPr>
          <w:p>
            <w:pPr>
              <w:pStyle w:val="29"/>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岗位</w:t>
            </w:r>
          </w:p>
          <w:p>
            <w:pPr>
              <w:pStyle w:val="29"/>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24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57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835"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157" w:type="dxa"/>
            <w:tcMar>
              <w:top w:w="15" w:type="dxa"/>
              <w:left w:w="15" w:type="dxa"/>
              <w:bottom w:w="0" w:type="dxa"/>
              <w:right w:w="15" w:type="dxa"/>
            </w:tcMar>
          </w:tcPr>
          <w:p>
            <w:pPr>
              <w:pStyle w:val="29"/>
              <w:rPr>
                <w:color w:val="000000" w:themeColor="text1"/>
                <w14:textFill>
                  <w14:solidFill>
                    <w14:schemeClr w14:val="tx1"/>
                  </w14:solidFill>
                </w14:textFill>
              </w:rPr>
            </w:pPr>
          </w:p>
        </w:tc>
        <w:tc>
          <w:tcPr>
            <w:tcW w:w="748"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1877"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c>
          <w:tcPr>
            <w:tcW w:w="680" w:type="dxa"/>
            <w:tcMar>
              <w:top w:w="15" w:type="dxa"/>
              <w:left w:w="15" w:type="dxa"/>
              <w:bottom w:w="0" w:type="dxa"/>
              <w:right w:w="15" w:type="dxa"/>
            </w:tcMar>
            <w:vAlign w:val="bottom"/>
          </w:tcPr>
          <w:p>
            <w:pPr>
              <w:pStyle w:val="29"/>
              <w:rPr>
                <w:color w:val="000000" w:themeColor="text1"/>
                <w14:textFill>
                  <w14:solidFill>
                    <w14:schemeClr w14:val="tx1"/>
                  </w14:solidFill>
                </w14:textFill>
              </w:rPr>
            </w:pPr>
          </w:p>
        </w:tc>
      </w:tr>
    </w:tbl>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注：“岗位情况”须注明该人在本单位是在岗、返聘还是外聘。</w:t>
      </w:r>
    </w:p>
    <w:p>
      <w:pPr>
        <w:pStyle w:val="5"/>
        <w:spacing w:before="680" w:after="680"/>
        <w:rPr>
          <w:color w:val="000000" w:themeColor="text1"/>
          <w14:textFill>
            <w14:solidFill>
              <w14:schemeClr w14:val="tx1"/>
            </w14:solidFill>
          </w14:textFill>
        </w:rPr>
      </w:pPr>
      <w:bookmarkStart w:id="242" w:name="_Toc225412172"/>
      <w:bookmarkStart w:id="243" w:name="_Toc14010"/>
      <w:bookmarkStart w:id="244" w:name="_Toc396304715"/>
      <w:bookmarkStart w:id="245" w:name="_Toc6668"/>
      <w:bookmarkStart w:id="246" w:name="_Toc225415861"/>
      <w:bookmarkStart w:id="247" w:name="_Toc225566883"/>
      <w:bookmarkStart w:id="248" w:name="_Toc8175"/>
      <w:bookmarkStart w:id="249" w:name="_Toc225412374"/>
      <w:bookmarkStart w:id="250" w:name="_Toc225409966"/>
      <w:bookmarkStart w:id="251" w:name="_Toc4548"/>
      <w:bookmarkStart w:id="252" w:name="_Toc225566702"/>
      <w:bookmarkStart w:id="253" w:name="_Toc225567482"/>
      <w:bookmarkStart w:id="254" w:name="_Toc403077653"/>
      <w:bookmarkStart w:id="255" w:name="_Toc426457711"/>
      <w:bookmarkStart w:id="256" w:name="_Toc26060"/>
      <w:bookmarkStart w:id="257" w:name="_Toc15882"/>
      <w:bookmarkStart w:id="258" w:name="_Toc5833"/>
      <w:bookmarkStart w:id="259" w:name="_Toc225410182"/>
      <w:bookmarkStart w:id="260" w:name="_Toc341541376"/>
      <w:bookmarkStart w:id="261" w:name="_Toc225410808"/>
      <w:bookmarkStart w:id="262" w:name="_Toc5691"/>
      <w:bookmarkStart w:id="263" w:name="_Toc16685"/>
      <w:bookmarkStart w:id="264" w:name="_Toc225415660"/>
      <w:bookmarkStart w:id="265" w:name="_Toc225416062"/>
      <w:r>
        <w:rPr>
          <w:rFonts w:hint="eastAsia"/>
          <w:color w:val="000000" w:themeColor="text1"/>
          <w14:textFill>
            <w14:solidFill>
              <w14:schemeClr w14:val="tx1"/>
            </w14:solidFill>
          </w14:textFill>
        </w:rPr>
        <w:t>（二） 本项目拟投入主要人员简历表</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pStyle w:val="32"/>
        <w:spacing w:line="360" w:lineRule="auto"/>
        <w:ind w:firstLine="0" w:firstLineChars="0"/>
        <w:jc w:val="center"/>
        <w:outlineLvl w:val="9"/>
        <w:rPr>
          <w:rFonts w:hAnsi="宋体"/>
          <w:color w:val="000000" w:themeColor="text1"/>
          <w:szCs w:val="24"/>
          <w14:textFill>
            <w14:solidFill>
              <w14:schemeClr w14:val="tx1"/>
            </w14:solidFill>
          </w14:textFill>
        </w:rPr>
      </w:pPr>
      <w:bookmarkStart w:id="266" w:name="_Toc13947"/>
      <w:bookmarkStart w:id="267" w:name="_Toc23655"/>
      <w:bookmarkStart w:id="268" w:name="_Toc30540"/>
      <w:bookmarkStart w:id="269" w:name="_Toc12576"/>
      <w:bookmarkStart w:id="270" w:name="_Toc21195"/>
      <w:bookmarkStart w:id="271" w:name="_Toc426457712"/>
      <w:bookmarkStart w:id="272" w:name="_Toc403077654"/>
      <w:bookmarkStart w:id="273" w:name="_Toc26268"/>
      <w:bookmarkStart w:id="274" w:name="_Toc1696"/>
      <w:bookmarkStart w:id="275" w:name="_Toc23862"/>
      <w:bookmarkStart w:id="276" w:name="_Toc4640"/>
      <w:bookmarkStart w:id="277" w:name="_Toc396304716"/>
      <w:r>
        <w:rPr>
          <w:rFonts w:hint="eastAsia" w:hAnsi="宋体"/>
          <w:color w:val="000000" w:themeColor="text1"/>
          <w:szCs w:val="24"/>
          <w14:textFill>
            <w14:solidFill>
              <w14:schemeClr w14:val="tx1"/>
            </w14:solidFill>
          </w14:textFill>
        </w:rPr>
        <w:t>本项目拟投入主要人员简历表</w:t>
      </w:r>
      <w:bookmarkEnd w:id="266"/>
      <w:bookmarkEnd w:id="267"/>
      <w:bookmarkEnd w:id="268"/>
      <w:bookmarkEnd w:id="269"/>
      <w:bookmarkEnd w:id="270"/>
      <w:bookmarkEnd w:id="271"/>
      <w:bookmarkEnd w:id="272"/>
      <w:bookmarkEnd w:id="273"/>
      <w:bookmarkEnd w:id="274"/>
      <w:bookmarkEnd w:id="275"/>
      <w:bookmarkEnd w:id="276"/>
      <w:bookmarkEnd w:id="277"/>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72"/>
        <w:gridCol w:w="1577"/>
        <w:gridCol w:w="1525"/>
        <w:gridCol w:w="1286"/>
        <w:gridCol w:w="45"/>
        <w:gridCol w:w="1709"/>
        <w:gridCol w:w="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姓  名</w:t>
            </w:r>
          </w:p>
        </w:tc>
        <w:tc>
          <w:tcPr>
            <w:tcW w:w="1577" w:type="dxa"/>
            <w:vAlign w:val="center"/>
          </w:tcPr>
          <w:p>
            <w:pPr>
              <w:pStyle w:val="29"/>
              <w:rPr>
                <w:color w:val="000000" w:themeColor="text1"/>
                <w14:textFill>
                  <w14:solidFill>
                    <w14:schemeClr w14:val="tx1"/>
                  </w14:solidFill>
                </w14:textFill>
              </w:rPr>
            </w:pPr>
          </w:p>
        </w:tc>
        <w:tc>
          <w:tcPr>
            <w:tcW w:w="1525"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性 别</w:t>
            </w:r>
          </w:p>
        </w:tc>
        <w:tc>
          <w:tcPr>
            <w:tcW w:w="1331" w:type="dxa"/>
            <w:gridSpan w:val="2"/>
            <w:vAlign w:val="center"/>
          </w:tcPr>
          <w:p>
            <w:pPr>
              <w:pStyle w:val="29"/>
              <w:rPr>
                <w:color w:val="000000" w:themeColor="text1"/>
                <w14:textFill>
                  <w14:solidFill>
                    <w14:schemeClr w14:val="tx1"/>
                  </w14:solidFill>
                </w14:textFill>
              </w:rPr>
            </w:pPr>
          </w:p>
        </w:tc>
        <w:tc>
          <w:tcPr>
            <w:tcW w:w="1709"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年 龄</w:t>
            </w:r>
          </w:p>
        </w:tc>
        <w:tc>
          <w:tcPr>
            <w:tcW w:w="1139" w:type="dxa"/>
            <w:gridSpan w:val="2"/>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2" w:type="dxa"/>
            <w:gridSpan w:val="2"/>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职  称</w:t>
            </w:r>
          </w:p>
        </w:tc>
        <w:tc>
          <w:tcPr>
            <w:tcW w:w="1577" w:type="dxa"/>
            <w:vAlign w:val="center"/>
          </w:tcPr>
          <w:p>
            <w:pPr>
              <w:pStyle w:val="29"/>
              <w:rPr>
                <w:color w:val="000000" w:themeColor="text1"/>
                <w14:textFill>
                  <w14:solidFill>
                    <w14:schemeClr w14:val="tx1"/>
                  </w14:solidFill>
                </w14:textFill>
              </w:rPr>
            </w:pPr>
          </w:p>
        </w:tc>
        <w:tc>
          <w:tcPr>
            <w:tcW w:w="1525"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身份证号</w:t>
            </w:r>
          </w:p>
        </w:tc>
        <w:tc>
          <w:tcPr>
            <w:tcW w:w="1331" w:type="dxa"/>
            <w:gridSpan w:val="2"/>
            <w:vAlign w:val="center"/>
          </w:tcPr>
          <w:p>
            <w:pPr>
              <w:pStyle w:val="29"/>
              <w:rPr>
                <w:color w:val="000000" w:themeColor="text1"/>
                <w14:textFill>
                  <w14:solidFill>
                    <w14:schemeClr w14:val="tx1"/>
                  </w14:solidFill>
                </w14:textFill>
              </w:rPr>
            </w:pPr>
          </w:p>
        </w:tc>
        <w:tc>
          <w:tcPr>
            <w:tcW w:w="1709"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专业/年限</w:t>
            </w:r>
          </w:p>
        </w:tc>
        <w:tc>
          <w:tcPr>
            <w:tcW w:w="1139" w:type="dxa"/>
            <w:gridSpan w:val="2"/>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毕业时间</w:t>
            </w:r>
          </w:p>
        </w:tc>
        <w:tc>
          <w:tcPr>
            <w:tcW w:w="1577" w:type="dxa"/>
            <w:vAlign w:val="center"/>
          </w:tcPr>
          <w:p>
            <w:pPr>
              <w:pStyle w:val="29"/>
              <w:rPr>
                <w:color w:val="000000" w:themeColor="text1"/>
                <w14:textFill>
                  <w14:solidFill>
                    <w14:schemeClr w14:val="tx1"/>
                  </w14:solidFill>
                </w14:textFill>
              </w:rPr>
            </w:pPr>
          </w:p>
        </w:tc>
        <w:tc>
          <w:tcPr>
            <w:tcW w:w="1525"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毕业学校</w:t>
            </w:r>
          </w:p>
        </w:tc>
        <w:tc>
          <w:tcPr>
            <w:tcW w:w="1331" w:type="dxa"/>
            <w:gridSpan w:val="2"/>
            <w:vAlign w:val="center"/>
          </w:tcPr>
          <w:p>
            <w:pPr>
              <w:pStyle w:val="29"/>
              <w:rPr>
                <w:color w:val="000000" w:themeColor="text1"/>
                <w14:textFill>
                  <w14:solidFill>
                    <w14:schemeClr w14:val="tx1"/>
                  </w14:solidFill>
                </w14:textFill>
              </w:rPr>
            </w:pPr>
          </w:p>
        </w:tc>
        <w:tc>
          <w:tcPr>
            <w:tcW w:w="1709"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学历/专业</w:t>
            </w:r>
          </w:p>
        </w:tc>
        <w:tc>
          <w:tcPr>
            <w:tcW w:w="1139" w:type="dxa"/>
            <w:gridSpan w:val="2"/>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资格证书</w:t>
            </w:r>
          </w:p>
        </w:tc>
        <w:tc>
          <w:tcPr>
            <w:tcW w:w="1577" w:type="dxa"/>
            <w:vAlign w:val="center"/>
          </w:tcPr>
          <w:p>
            <w:pPr>
              <w:pStyle w:val="29"/>
              <w:rPr>
                <w:color w:val="000000" w:themeColor="text1"/>
                <w14:textFill>
                  <w14:solidFill>
                    <w14:schemeClr w14:val="tx1"/>
                  </w14:solidFill>
                </w14:textFill>
              </w:rPr>
            </w:pPr>
          </w:p>
        </w:tc>
        <w:tc>
          <w:tcPr>
            <w:tcW w:w="1525"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注册时间</w:t>
            </w:r>
          </w:p>
        </w:tc>
        <w:tc>
          <w:tcPr>
            <w:tcW w:w="1331" w:type="dxa"/>
            <w:gridSpan w:val="2"/>
            <w:vAlign w:val="center"/>
          </w:tcPr>
          <w:p>
            <w:pPr>
              <w:pStyle w:val="29"/>
              <w:rPr>
                <w:color w:val="000000" w:themeColor="text1"/>
                <w14:textFill>
                  <w14:solidFill>
                    <w14:schemeClr w14:val="tx1"/>
                  </w14:solidFill>
                </w14:textFill>
              </w:rPr>
            </w:pPr>
          </w:p>
        </w:tc>
        <w:tc>
          <w:tcPr>
            <w:tcW w:w="1709"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从业时间</w:t>
            </w:r>
          </w:p>
        </w:tc>
        <w:tc>
          <w:tcPr>
            <w:tcW w:w="1139" w:type="dxa"/>
            <w:gridSpan w:val="2"/>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349" w:type="dxa"/>
            <w:gridSpan w:val="3"/>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是否属投标人固定雇员</w:t>
            </w:r>
          </w:p>
        </w:tc>
        <w:tc>
          <w:tcPr>
            <w:tcW w:w="1525" w:type="dxa"/>
            <w:vAlign w:val="center"/>
          </w:tcPr>
          <w:p>
            <w:pPr>
              <w:pStyle w:val="29"/>
              <w:rPr>
                <w:color w:val="000000" w:themeColor="text1"/>
                <w14:textFill>
                  <w14:solidFill>
                    <w14:schemeClr w14:val="tx1"/>
                  </w14:solidFill>
                </w14:textFill>
              </w:rPr>
            </w:pPr>
          </w:p>
        </w:tc>
        <w:tc>
          <w:tcPr>
            <w:tcW w:w="3040" w:type="dxa"/>
            <w:gridSpan w:val="3"/>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为投标人服务时间</w:t>
            </w:r>
          </w:p>
        </w:tc>
        <w:tc>
          <w:tcPr>
            <w:tcW w:w="1139" w:type="dxa"/>
            <w:gridSpan w:val="2"/>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349" w:type="dxa"/>
            <w:gridSpan w:val="3"/>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拟在本项目担任职务</w:t>
            </w:r>
          </w:p>
        </w:tc>
        <w:tc>
          <w:tcPr>
            <w:tcW w:w="5704" w:type="dxa"/>
            <w:gridSpan w:val="6"/>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53" w:type="dxa"/>
            <w:gridSpan w:val="9"/>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教育和培训背景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053" w:type="dxa"/>
            <w:gridSpan w:val="9"/>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（教育背景从大学开始，包括毕业院校名称、专业、起始时间。培训填写与专业技术、业务有关的内容）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53" w:type="dxa"/>
            <w:gridSpan w:val="9"/>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时  间</w:t>
            </w:r>
          </w:p>
        </w:tc>
        <w:tc>
          <w:tcPr>
            <w:tcW w:w="3374" w:type="dxa"/>
            <w:gridSpan w:val="3"/>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参加过的项目名称</w:t>
            </w:r>
          </w:p>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及当时所在单位</w:t>
            </w:r>
          </w:p>
        </w:tc>
        <w:tc>
          <w:tcPr>
            <w:tcW w:w="1286"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担任何职</w:t>
            </w:r>
          </w:p>
        </w:tc>
        <w:tc>
          <w:tcPr>
            <w:tcW w:w="1761" w:type="dxa"/>
            <w:gridSpan w:val="3"/>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主要工作内容</w:t>
            </w:r>
          </w:p>
        </w:tc>
        <w:tc>
          <w:tcPr>
            <w:tcW w:w="1132"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29"/>
              <w:rPr>
                <w:color w:val="000000" w:themeColor="text1"/>
                <w14:textFill>
                  <w14:solidFill>
                    <w14:schemeClr w14:val="tx1"/>
                  </w14:solidFill>
                </w14:textFill>
              </w:rPr>
            </w:pPr>
          </w:p>
        </w:tc>
        <w:tc>
          <w:tcPr>
            <w:tcW w:w="3374" w:type="dxa"/>
            <w:gridSpan w:val="3"/>
            <w:vAlign w:val="center"/>
          </w:tcPr>
          <w:p>
            <w:pPr>
              <w:pStyle w:val="29"/>
              <w:rPr>
                <w:color w:val="000000" w:themeColor="text1"/>
                <w14:textFill>
                  <w14:solidFill>
                    <w14:schemeClr w14:val="tx1"/>
                  </w14:solidFill>
                </w14:textFill>
              </w:rPr>
            </w:pPr>
          </w:p>
        </w:tc>
        <w:tc>
          <w:tcPr>
            <w:tcW w:w="1286" w:type="dxa"/>
            <w:vAlign w:val="center"/>
          </w:tcPr>
          <w:p>
            <w:pPr>
              <w:pStyle w:val="29"/>
              <w:rPr>
                <w:color w:val="000000" w:themeColor="text1"/>
                <w14:textFill>
                  <w14:solidFill>
                    <w14:schemeClr w14:val="tx1"/>
                  </w14:solidFill>
                </w14:textFill>
              </w:rPr>
            </w:pPr>
          </w:p>
        </w:tc>
        <w:tc>
          <w:tcPr>
            <w:tcW w:w="1761" w:type="dxa"/>
            <w:gridSpan w:val="3"/>
            <w:vAlign w:val="center"/>
          </w:tcPr>
          <w:p>
            <w:pPr>
              <w:pStyle w:val="29"/>
              <w:rPr>
                <w:color w:val="000000" w:themeColor="text1"/>
                <w14:textFill>
                  <w14:solidFill>
                    <w14:schemeClr w14:val="tx1"/>
                  </w14:solidFill>
                </w14:textFill>
              </w:rPr>
            </w:pPr>
          </w:p>
        </w:tc>
        <w:tc>
          <w:tcPr>
            <w:tcW w:w="1132" w:type="dxa"/>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00" w:type="dxa"/>
            <w:vAlign w:val="center"/>
          </w:tcPr>
          <w:p>
            <w:pPr>
              <w:pStyle w:val="29"/>
              <w:rPr>
                <w:color w:val="000000" w:themeColor="text1"/>
                <w14:textFill>
                  <w14:solidFill>
                    <w14:schemeClr w14:val="tx1"/>
                  </w14:solidFill>
                </w14:textFill>
              </w:rPr>
            </w:pPr>
          </w:p>
        </w:tc>
        <w:tc>
          <w:tcPr>
            <w:tcW w:w="3374" w:type="dxa"/>
            <w:gridSpan w:val="3"/>
            <w:vAlign w:val="center"/>
          </w:tcPr>
          <w:p>
            <w:pPr>
              <w:pStyle w:val="29"/>
              <w:rPr>
                <w:color w:val="000000" w:themeColor="text1"/>
                <w14:textFill>
                  <w14:solidFill>
                    <w14:schemeClr w14:val="tx1"/>
                  </w14:solidFill>
                </w14:textFill>
              </w:rPr>
            </w:pPr>
          </w:p>
        </w:tc>
        <w:tc>
          <w:tcPr>
            <w:tcW w:w="1286" w:type="dxa"/>
            <w:vAlign w:val="center"/>
          </w:tcPr>
          <w:p>
            <w:pPr>
              <w:pStyle w:val="29"/>
              <w:rPr>
                <w:color w:val="000000" w:themeColor="text1"/>
                <w14:textFill>
                  <w14:solidFill>
                    <w14:schemeClr w14:val="tx1"/>
                  </w14:solidFill>
                </w14:textFill>
              </w:rPr>
            </w:pPr>
          </w:p>
        </w:tc>
        <w:tc>
          <w:tcPr>
            <w:tcW w:w="1761" w:type="dxa"/>
            <w:gridSpan w:val="3"/>
            <w:vAlign w:val="center"/>
          </w:tcPr>
          <w:p>
            <w:pPr>
              <w:pStyle w:val="29"/>
              <w:rPr>
                <w:color w:val="000000" w:themeColor="text1"/>
                <w14:textFill>
                  <w14:solidFill>
                    <w14:schemeClr w14:val="tx1"/>
                  </w14:solidFill>
                </w14:textFill>
              </w:rPr>
            </w:pPr>
          </w:p>
        </w:tc>
        <w:tc>
          <w:tcPr>
            <w:tcW w:w="1132" w:type="dxa"/>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29"/>
              <w:rPr>
                <w:color w:val="000000" w:themeColor="text1"/>
                <w14:textFill>
                  <w14:solidFill>
                    <w14:schemeClr w14:val="tx1"/>
                  </w14:solidFill>
                </w14:textFill>
              </w:rPr>
            </w:pPr>
          </w:p>
        </w:tc>
        <w:tc>
          <w:tcPr>
            <w:tcW w:w="3374" w:type="dxa"/>
            <w:gridSpan w:val="3"/>
            <w:vAlign w:val="center"/>
          </w:tcPr>
          <w:p>
            <w:pPr>
              <w:pStyle w:val="29"/>
              <w:rPr>
                <w:color w:val="000000" w:themeColor="text1"/>
                <w14:textFill>
                  <w14:solidFill>
                    <w14:schemeClr w14:val="tx1"/>
                  </w14:solidFill>
                </w14:textFill>
              </w:rPr>
            </w:pPr>
          </w:p>
        </w:tc>
        <w:tc>
          <w:tcPr>
            <w:tcW w:w="1286" w:type="dxa"/>
            <w:vAlign w:val="center"/>
          </w:tcPr>
          <w:p>
            <w:pPr>
              <w:pStyle w:val="29"/>
              <w:rPr>
                <w:color w:val="000000" w:themeColor="text1"/>
                <w14:textFill>
                  <w14:solidFill>
                    <w14:schemeClr w14:val="tx1"/>
                  </w14:solidFill>
                </w14:textFill>
              </w:rPr>
            </w:pPr>
          </w:p>
        </w:tc>
        <w:tc>
          <w:tcPr>
            <w:tcW w:w="1761" w:type="dxa"/>
            <w:gridSpan w:val="3"/>
            <w:vAlign w:val="center"/>
          </w:tcPr>
          <w:p>
            <w:pPr>
              <w:pStyle w:val="29"/>
              <w:rPr>
                <w:color w:val="000000" w:themeColor="text1"/>
                <w14:textFill>
                  <w14:solidFill>
                    <w14:schemeClr w14:val="tx1"/>
                  </w14:solidFill>
                </w14:textFill>
              </w:rPr>
            </w:pPr>
          </w:p>
        </w:tc>
        <w:tc>
          <w:tcPr>
            <w:tcW w:w="1132" w:type="dxa"/>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29"/>
              <w:rPr>
                <w:color w:val="000000" w:themeColor="text1"/>
                <w14:textFill>
                  <w14:solidFill>
                    <w14:schemeClr w14:val="tx1"/>
                  </w14:solidFill>
                </w14:textFill>
              </w:rPr>
            </w:pPr>
          </w:p>
        </w:tc>
        <w:tc>
          <w:tcPr>
            <w:tcW w:w="3374" w:type="dxa"/>
            <w:gridSpan w:val="3"/>
            <w:vAlign w:val="center"/>
          </w:tcPr>
          <w:p>
            <w:pPr>
              <w:pStyle w:val="29"/>
              <w:rPr>
                <w:color w:val="000000" w:themeColor="text1"/>
                <w14:textFill>
                  <w14:solidFill>
                    <w14:schemeClr w14:val="tx1"/>
                  </w14:solidFill>
                </w14:textFill>
              </w:rPr>
            </w:pPr>
          </w:p>
        </w:tc>
        <w:tc>
          <w:tcPr>
            <w:tcW w:w="1286" w:type="dxa"/>
            <w:vAlign w:val="center"/>
          </w:tcPr>
          <w:p>
            <w:pPr>
              <w:pStyle w:val="29"/>
              <w:rPr>
                <w:color w:val="000000" w:themeColor="text1"/>
                <w14:textFill>
                  <w14:solidFill>
                    <w14:schemeClr w14:val="tx1"/>
                  </w14:solidFill>
                </w14:textFill>
              </w:rPr>
            </w:pPr>
          </w:p>
        </w:tc>
        <w:tc>
          <w:tcPr>
            <w:tcW w:w="1761" w:type="dxa"/>
            <w:gridSpan w:val="3"/>
            <w:vAlign w:val="center"/>
          </w:tcPr>
          <w:p>
            <w:pPr>
              <w:pStyle w:val="29"/>
              <w:rPr>
                <w:color w:val="000000" w:themeColor="text1"/>
                <w14:textFill>
                  <w14:solidFill>
                    <w14:schemeClr w14:val="tx1"/>
                  </w14:solidFill>
                </w14:textFill>
              </w:rPr>
            </w:pPr>
          </w:p>
        </w:tc>
        <w:tc>
          <w:tcPr>
            <w:tcW w:w="1132" w:type="dxa"/>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29"/>
              <w:rPr>
                <w:color w:val="000000" w:themeColor="text1"/>
                <w14:textFill>
                  <w14:solidFill>
                    <w14:schemeClr w14:val="tx1"/>
                  </w14:solidFill>
                </w14:textFill>
              </w:rPr>
            </w:pPr>
          </w:p>
        </w:tc>
        <w:tc>
          <w:tcPr>
            <w:tcW w:w="3374" w:type="dxa"/>
            <w:gridSpan w:val="3"/>
            <w:vAlign w:val="center"/>
          </w:tcPr>
          <w:p>
            <w:pPr>
              <w:pStyle w:val="29"/>
              <w:rPr>
                <w:color w:val="000000" w:themeColor="text1"/>
                <w14:textFill>
                  <w14:solidFill>
                    <w14:schemeClr w14:val="tx1"/>
                  </w14:solidFill>
                </w14:textFill>
              </w:rPr>
            </w:pPr>
          </w:p>
        </w:tc>
        <w:tc>
          <w:tcPr>
            <w:tcW w:w="1286" w:type="dxa"/>
            <w:vAlign w:val="center"/>
          </w:tcPr>
          <w:p>
            <w:pPr>
              <w:pStyle w:val="29"/>
              <w:rPr>
                <w:color w:val="000000" w:themeColor="text1"/>
                <w14:textFill>
                  <w14:solidFill>
                    <w14:schemeClr w14:val="tx1"/>
                  </w14:solidFill>
                </w14:textFill>
              </w:rPr>
            </w:pPr>
          </w:p>
        </w:tc>
        <w:tc>
          <w:tcPr>
            <w:tcW w:w="1761" w:type="dxa"/>
            <w:gridSpan w:val="3"/>
            <w:vAlign w:val="center"/>
          </w:tcPr>
          <w:p>
            <w:pPr>
              <w:pStyle w:val="29"/>
              <w:rPr>
                <w:color w:val="000000" w:themeColor="text1"/>
                <w14:textFill>
                  <w14:solidFill>
                    <w14:schemeClr w14:val="tx1"/>
                  </w14:solidFill>
                </w14:textFill>
              </w:rPr>
            </w:pPr>
          </w:p>
        </w:tc>
        <w:tc>
          <w:tcPr>
            <w:tcW w:w="1132" w:type="dxa"/>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29"/>
              <w:rPr>
                <w:color w:val="000000" w:themeColor="text1"/>
                <w14:textFill>
                  <w14:solidFill>
                    <w14:schemeClr w14:val="tx1"/>
                  </w14:solidFill>
                </w14:textFill>
              </w:rPr>
            </w:pPr>
          </w:p>
        </w:tc>
        <w:tc>
          <w:tcPr>
            <w:tcW w:w="3374" w:type="dxa"/>
            <w:gridSpan w:val="3"/>
            <w:vAlign w:val="center"/>
          </w:tcPr>
          <w:p>
            <w:pPr>
              <w:pStyle w:val="29"/>
              <w:rPr>
                <w:color w:val="000000" w:themeColor="text1"/>
                <w14:textFill>
                  <w14:solidFill>
                    <w14:schemeClr w14:val="tx1"/>
                  </w14:solidFill>
                </w14:textFill>
              </w:rPr>
            </w:pPr>
          </w:p>
        </w:tc>
        <w:tc>
          <w:tcPr>
            <w:tcW w:w="1286" w:type="dxa"/>
            <w:vAlign w:val="center"/>
          </w:tcPr>
          <w:p>
            <w:pPr>
              <w:pStyle w:val="29"/>
              <w:rPr>
                <w:color w:val="000000" w:themeColor="text1"/>
                <w14:textFill>
                  <w14:solidFill>
                    <w14:schemeClr w14:val="tx1"/>
                  </w14:solidFill>
                </w14:textFill>
              </w:rPr>
            </w:pPr>
          </w:p>
        </w:tc>
        <w:tc>
          <w:tcPr>
            <w:tcW w:w="1761" w:type="dxa"/>
            <w:gridSpan w:val="3"/>
            <w:vAlign w:val="center"/>
          </w:tcPr>
          <w:p>
            <w:pPr>
              <w:pStyle w:val="29"/>
              <w:rPr>
                <w:color w:val="000000" w:themeColor="text1"/>
                <w14:textFill>
                  <w14:solidFill>
                    <w14:schemeClr w14:val="tx1"/>
                  </w14:solidFill>
                </w14:textFill>
              </w:rPr>
            </w:pPr>
          </w:p>
        </w:tc>
        <w:tc>
          <w:tcPr>
            <w:tcW w:w="1132" w:type="dxa"/>
            <w:vAlign w:val="center"/>
          </w:tcPr>
          <w:p>
            <w:pPr>
              <w:pStyle w:val="29"/>
              <w:rPr>
                <w:color w:val="000000" w:themeColor="text1"/>
                <w14:textFill>
                  <w14:solidFill>
                    <w14:schemeClr w14:val="tx1"/>
                  </w14:solidFill>
                </w14:textFill>
              </w:rPr>
            </w:pPr>
          </w:p>
        </w:tc>
      </w:tr>
    </w:tbl>
    <w:p>
      <w:pPr>
        <w:pStyle w:val="9"/>
        <w:ind w:firstLine="480"/>
        <w:rPr>
          <w:color w:val="000000" w:themeColor="text1"/>
          <w14:textFill>
            <w14:solidFill>
              <w14:schemeClr w14:val="tx1"/>
            </w14:solidFill>
          </w14:textFill>
        </w:rPr>
      </w:pPr>
      <w:bookmarkStart w:id="278" w:name="_Toc23455"/>
      <w:bookmarkStart w:id="279" w:name="_Toc363474032"/>
      <w:bookmarkStart w:id="280" w:name="_Toc403077655"/>
      <w:bookmarkStart w:id="281" w:name="_Toc1379"/>
      <w:bookmarkStart w:id="282" w:name="_Toc2621"/>
      <w:bookmarkStart w:id="283" w:name="_Toc426457713"/>
      <w:bookmarkStart w:id="284" w:name="_Toc9218"/>
      <w:bookmarkStart w:id="285" w:name="_Toc21284"/>
      <w:bookmarkStart w:id="286" w:name="_Toc3362"/>
    </w:p>
    <w:p>
      <w:pPr>
        <w:pStyle w:val="9"/>
        <w:ind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注：</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1.表后附身份证、毕业证、职称证、执业资格证、获奖证书（如果有）复印件。</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2.获奖情况包括项目、集体或个人获奖情况，如有，应附复印件或者扫描件。</w:t>
      </w:r>
    </w:p>
    <w:p>
      <w:pPr>
        <w:pStyle w:val="6"/>
        <w:rPr>
          <w:color w:val="000000" w:themeColor="text1"/>
          <w:szCs w:val="24"/>
          <w14:textFill>
            <w14:solidFill>
              <w14:schemeClr w14:val="tx1"/>
            </w14:solidFill>
          </w14:textFill>
        </w:rPr>
      </w:pPr>
      <w:r>
        <w:rPr>
          <w:rFonts w:hint="eastAsia"/>
          <w:color w:val="000000" w:themeColor="text1"/>
          <w:sz w:val="32"/>
          <w:szCs w:val="32"/>
          <w14:textFill>
            <w14:solidFill>
              <w14:schemeClr w14:val="tx1"/>
            </w14:solidFill>
          </w14:textFill>
        </w:rPr>
        <w:br w:type="page"/>
      </w:r>
      <w:r>
        <w:rPr>
          <w:rFonts w:hint="eastAsia"/>
          <w:color w:val="000000" w:themeColor="text1"/>
          <w:szCs w:val="24"/>
          <w14:textFill>
            <w14:solidFill>
              <w14:schemeClr w14:val="tx1"/>
            </w14:solidFill>
          </w14:textFill>
        </w:rPr>
        <w:t>附表3 类似业绩一览表</w:t>
      </w:r>
    </w:p>
    <w:p>
      <w:pPr>
        <w:pStyle w:val="2"/>
        <w:rPr>
          <w:rFonts w:ascii="宋体" w:hAnsi="宋体" w:cs="宋体"/>
          <w:b/>
          <w:color w:val="000000" w:themeColor="text1"/>
          <w:szCs w:val="24"/>
          <w14:textFill>
            <w14:solidFill>
              <w14:schemeClr w14:val="tx1"/>
            </w14:solidFill>
          </w14:textFill>
        </w:rPr>
      </w:pPr>
    </w:p>
    <w:p>
      <w:pPr>
        <w:rPr>
          <w:color w:val="000000" w:themeColor="text1"/>
          <w14:textFill>
            <w14:solidFill>
              <w14:schemeClr w14:val="tx1"/>
            </w14:solidFill>
          </w14:textFill>
        </w:rPr>
      </w:pP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3663"/>
        <w:gridCol w:w="2241"/>
        <w:gridCol w:w="21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66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2241"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合同金额</w:t>
            </w:r>
          </w:p>
        </w:tc>
        <w:tc>
          <w:tcPr>
            <w:tcW w:w="215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起止时间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bl>
    <w:p>
      <w:pPr>
        <w:rPr>
          <w:rFonts w:hAnsi="宋体" w:cs="宋体"/>
          <w:color w:val="000000" w:themeColor="text1"/>
          <w:kern w:val="2"/>
          <w:szCs w:val="24"/>
          <w14:textFill>
            <w14:solidFill>
              <w14:schemeClr w14:val="tx1"/>
            </w14:solidFill>
          </w14:textFill>
        </w:rPr>
      </w:pP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注：须根据《评标因素及权重分值表》等招标文件要求附相关证明资料复印件（加盖公章）。</w:t>
      </w:r>
    </w:p>
    <w:p>
      <w:pPr>
        <w:pStyle w:val="4"/>
        <w:rPr>
          <w:rStyle w:val="30"/>
          <w:b/>
          <w:bCs/>
          <w:color w:val="000000" w:themeColor="text1"/>
          <w14:textFill>
            <w14:solidFill>
              <w14:schemeClr w14:val="tx1"/>
            </w14:solidFill>
          </w14:textFill>
        </w:rPr>
      </w:pPr>
      <w:r>
        <w:rPr>
          <w:rFonts w:hint="eastAsia"/>
          <w:color w:val="000000" w:themeColor="text1"/>
          <w:sz w:val="32"/>
          <w14:textFill>
            <w14:solidFill>
              <w14:schemeClr w14:val="tx1"/>
            </w14:solidFill>
          </w14:textFill>
        </w:rPr>
        <w:br w:type="page"/>
      </w:r>
      <w:bookmarkStart w:id="287" w:name="_Toc3923"/>
      <w:bookmarkStart w:id="288" w:name="_Toc10895"/>
      <w:r>
        <w:rPr>
          <w:rStyle w:val="30"/>
          <w:rFonts w:hint="eastAsia"/>
          <w:b/>
          <w:bCs/>
          <w:color w:val="000000" w:themeColor="text1"/>
          <w14:textFill>
            <w14:solidFill>
              <w14:schemeClr w14:val="tx1"/>
            </w14:solidFill>
          </w14:textFill>
        </w:rPr>
        <w:t>四、</w:t>
      </w:r>
      <w:bookmarkEnd w:id="278"/>
      <w:bookmarkEnd w:id="279"/>
      <w:bookmarkEnd w:id="280"/>
      <w:bookmarkEnd w:id="281"/>
      <w:bookmarkEnd w:id="282"/>
      <w:bookmarkEnd w:id="283"/>
      <w:bookmarkEnd w:id="284"/>
      <w:bookmarkEnd w:id="285"/>
      <w:r>
        <w:rPr>
          <w:rStyle w:val="30"/>
          <w:rFonts w:hint="eastAsia"/>
          <w:b/>
          <w:bCs/>
          <w:color w:val="000000" w:themeColor="text1"/>
          <w14:textFill>
            <w14:solidFill>
              <w14:schemeClr w14:val="tx1"/>
            </w14:solidFill>
          </w14:textFill>
        </w:rPr>
        <w:t>商务条款偏离表</w:t>
      </w:r>
      <w:bookmarkEnd w:id="286"/>
      <w:bookmarkEnd w:id="287"/>
      <w:bookmarkEnd w:id="288"/>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935"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招标文件条目号</w:t>
            </w:r>
          </w:p>
        </w:tc>
        <w:tc>
          <w:tcPr>
            <w:tcW w:w="1995"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招标文件的商务条款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偏离</w:t>
            </w:r>
          </w:p>
        </w:tc>
        <w:tc>
          <w:tcPr>
            <w:tcW w:w="944"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bl>
    <w:p>
      <w:pPr>
        <w:tabs>
          <w:tab w:val="left" w:pos="7200"/>
          <w:tab w:val="left" w:pos="8504"/>
        </w:tabs>
        <w:spacing w:line="360" w:lineRule="auto"/>
        <w:ind w:right="-1"/>
        <w:rPr>
          <w:rFonts w:hAnsi="宋体" w:cs="宋体"/>
          <w:color w:val="000000" w:themeColor="text1"/>
          <w14:textFill>
            <w14:solidFill>
              <w14:schemeClr w14:val="tx1"/>
            </w14:solidFill>
          </w14:textFill>
        </w:rPr>
      </w:pPr>
    </w:p>
    <w:p>
      <w:pPr>
        <w:spacing w:line="120" w:lineRule="exact"/>
        <w:rPr>
          <w:rFonts w:hAnsi="宋体" w:cs="宋体"/>
          <w:color w:val="000000" w:themeColor="text1"/>
          <w14:textFill>
            <w14:solidFill>
              <w14:schemeClr w14:val="tx1"/>
            </w14:solidFill>
          </w14:textFill>
        </w:rPr>
      </w:pPr>
    </w:p>
    <w:p>
      <w:pPr>
        <w:pStyle w:val="9"/>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（盖单位公章）</w:t>
      </w:r>
    </w:p>
    <w:p>
      <w:pPr>
        <w:pStyle w:val="9"/>
        <w:ind w:firstLine="0" w:firstLineChars="0"/>
        <w:rPr>
          <w:color w:val="000000" w:themeColor="text1"/>
          <w14:textFill>
            <w14:solidFill>
              <w14:schemeClr w14:val="tx1"/>
            </w14:solidFill>
          </w14:textFill>
        </w:rPr>
      </w:pPr>
    </w:p>
    <w:p>
      <w:pPr>
        <w:pStyle w:val="9"/>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法定代表人或被授权人：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（签字或盖章）</w:t>
      </w:r>
    </w:p>
    <w:p>
      <w:pPr>
        <w:pStyle w:val="9"/>
        <w:ind w:firstLine="0" w:firstLineChars="0"/>
        <w:rPr>
          <w:color w:val="000000" w:themeColor="text1"/>
          <w14:textFill>
            <w14:solidFill>
              <w14:schemeClr w14:val="tx1"/>
            </w14:solidFill>
          </w14:textFill>
        </w:rPr>
      </w:pPr>
    </w:p>
    <w:p>
      <w:pPr>
        <w:pStyle w:val="9"/>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pStyle w:val="2"/>
        <w:rPr>
          <w:rFonts w:hAnsi="宋体" w:cs="宋体"/>
          <w:color w:val="000000" w:themeColor="text1"/>
          <w:szCs w:val="24"/>
          <w14:textFill>
            <w14:solidFill>
              <w14:schemeClr w14:val="tx1"/>
            </w14:solidFill>
          </w14:textFill>
        </w:rPr>
      </w:pPr>
    </w:p>
    <w:p>
      <w:pPr>
        <w:pStyle w:val="9"/>
        <w:ind w:firstLine="0" w:firstLineChars="0"/>
        <w:rPr>
          <w:color w:val="000000" w:themeColor="text1"/>
          <w14:textFill>
            <w14:solidFill>
              <w14:schemeClr w14:val="tx1"/>
            </w14:solidFill>
          </w14:textFill>
        </w:rPr>
      </w:pPr>
      <w:r>
        <w:rPr>
          <w:rFonts w:hint="eastAsia"/>
          <w:b/>
          <w:bCs/>
          <w:color w:val="000000" w:themeColor="text1"/>
          <w14:textFill>
            <w14:solidFill>
              <w14:schemeClr w14:val="tx1"/>
            </w14:solidFill>
          </w14:textFill>
        </w:rPr>
        <w:t>注：</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1.本表只填写投标文件中与招标文件</w:t>
      </w:r>
      <w:r>
        <w:rPr>
          <w:rFonts w:hint="eastAsia"/>
          <w:b/>
          <w:bCs/>
          <w:color w:val="000000" w:themeColor="text1"/>
          <w14:textFill>
            <w14:solidFill>
              <w14:schemeClr w14:val="tx1"/>
            </w14:solidFill>
          </w14:textFill>
        </w:rPr>
        <w:t>第三章“商务及合同主要条款”</w:t>
      </w:r>
      <w:r>
        <w:rPr>
          <w:rFonts w:hint="eastAsia"/>
          <w:color w:val="000000" w:themeColor="text1"/>
          <w14:textFill>
            <w14:solidFill>
              <w14:schemeClr w14:val="tx1"/>
            </w14:solidFill>
          </w14:textFill>
        </w:rPr>
        <w:t>有偏离（包括正偏离和负偏离）的内容，投标文件中商务响应与招标文件要求完全一致的，不用在此表中列出，但必须提交空白表。</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凡是投标文件的商务响应与招标文件的要求之间存在负偏离（即不能满足招标文件要求）的或者正偏离（即优于招标文件要求），必须在投标文件的“商务条款偏离表”中予以明确响应（偏离填写：正偏离或负偏离）。</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3.如果在投标文件的“商务条款偏离表”之外发现上述负偏离的，评标时评标委员会将作出对投标人不利的评估。</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4.投标人必须据实填写，不得虚假响应，否则将取消其投标或中标资格，并按有关规定进处罚。</w:t>
      </w:r>
    </w:p>
    <w:p>
      <w:pPr>
        <w:rPr>
          <w:rStyle w:val="30"/>
          <w:color w:val="000000" w:themeColor="text1"/>
          <w14:textFill>
            <w14:solidFill>
              <w14:schemeClr w14:val="tx1"/>
            </w14:solidFill>
          </w14:textFill>
        </w:rPr>
      </w:pPr>
      <w:bookmarkStart w:id="289" w:name="_Toc10058"/>
      <w:bookmarkStart w:id="290" w:name="_Toc14939"/>
      <w:bookmarkStart w:id="291" w:name="_Toc403077656"/>
      <w:bookmarkStart w:id="292" w:name="_Toc10179"/>
      <w:bookmarkStart w:id="293" w:name="_Toc363474033"/>
      <w:bookmarkStart w:id="294" w:name="_Toc6862"/>
      <w:bookmarkStart w:id="295" w:name="_Toc6432"/>
      <w:bookmarkStart w:id="296" w:name="_Toc8692"/>
      <w:bookmarkStart w:id="297" w:name="_Toc426457714"/>
      <w:bookmarkStart w:id="298" w:name="_Toc24076"/>
      <w:r>
        <w:rPr>
          <w:rStyle w:val="30"/>
          <w:rFonts w:hint="eastAsia"/>
          <w:color w:val="000000" w:themeColor="text1"/>
          <w14:textFill>
            <w14:solidFill>
              <w14:schemeClr w14:val="tx1"/>
            </w14:solidFill>
          </w14:textFill>
        </w:rPr>
        <w:br w:type="page"/>
      </w:r>
    </w:p>
    <w:bookmarkEnd w:id="289"/>
    <w:bookmarkEnd w:id="290"/>
    <w:bookmarkEnd w:id="291"/>
    <w:bookmarkEnd w:id="292"/>
    <w:bookmarkEnd w:id="293"/>
    <w:bookmarkEnd w:id="294"/>
    <w:bookmarkEnd w:id="295"/>
    <w:bookmarkEnd w:id="296"/>
    <w:bookmarkEnd w:id="297"/>
    <w:bookmarkEnd w:id="298"/>
    <w:p>
      <w:pPr>
        <w:pStyle w:val="4"/>
        <w:rPr>
          <w:color w:val="000000" w:themeColor="text1"/>
          <w14:textFill>
            <w14:solidFill>
              <w14:schemeClr w14:val="tx1"/>
            </w14:solidFill>
          </w14:textFill>
        </w:rPr>
      </w:pPr>
      <w:bookmarkStart w:id="299" w:name="_Toc18269"/>
      <w:bookmarkStart w:id="300" w:name="_Toc31505"/>
      <w:r>
        <w:rPr>
          <w:rFonts w:hint="eastAsia"/>
          <w:color w:val="000000" w:themeColor="text1"/>
          <w14:textFill>
            <w14:solidFill>
              <w14:schemeClr w14:val="tx1"/>
            </w14:solidFill>
          </w14:textFill>
        </w:rPr>
        <w:t>五、资格证明文件</w:t>
      </w:r>
      <w:bookmarkEnd w:id="299"/>
      <w:bookmarkEnd w:id="300"/>
    </w:p>
    <w:p>
      <w:pPr>
        <w:spacing w:line="312" w:lineRule="auto"/>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投标人按招标文件的要求，依据</w:t>
      </w:r>
      <w:r>
        <w:rPr>
          <w:rFonts w:hint="eastAsia" w:hAnsi="宋体" w:cs="宋体"/>
          <w:b/>
          <w:bCs/>
          <w:color w:val="000000" w:themeColor="text1"/>
          <w:szCs w:val="24"/>
          <w14:textFill>
            <w14:solidFill>
              <w14:schemeClr w14:val="tx1"/>
            </w14:solidFill>
          </w14:textFill>
        </w:rPr>
        <w:t>《第五章  评标办法》之《初步审查要素表》</w:t>
      </w:r>
      <w:r>
        <w:rPr>
          <w:rFonts w:hint="eastAsia" w:hAnsi="宋体" w:cs="宋体"/>
          <w:color w:val="000000" w:themeColor="text1"/>
          <w:szCs w:val="24"/>
          <w14:textFill>
            <w14:solidFill>
              <w14:schemeClr w14:val="tx1"/>
            </w14:solidFill>
          </w14:textFill>
        </w:rPr>
        <w:t>审查内容逐项提供加盖公章的复印件，缺少其中任何一项，其投标文件将被视为无效文件。</w:t>
      </w:r>
    </w:p>
    <w:p>
      <w:pPr>
        <w:pStyle w:val="5"/>
        <w:spacing w:before="680" w:after="6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投标人基本情况表</w:t>
      </w:r>
    </w:p>
    <w:p>
      <w:pPr>
        <w:jc w:val="left"/>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 xml:space="preserve">项目名称：                                         项目编号：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502"/>
        <w:gridCol w:w="644"/>
        <w:gridCol w:w="1530"/>
        <w:gridCol w:w="2174"/>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73" w:type="dxa"/>
            <w:gridSpan w:val="2"/>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p>
        </w:tc>
        <w:tc>
          <w:tcPr>
            <w:tcW w:w="2174" w:type="dxa"/>
            <w:gridSpan w:val="2"/>
            <w:vAlign w:val="center"/>
          </w:tcPr>
          <w:p>
            <w:pPr>
              <w:pStyle w:val="29"/>
              <w:rPr>
                <w:color w:val="000000" w:themeColor="text1"/>
                <w14:textFill>
                  <w14:solidFill>
                    <w14:schemeClr w14:val="tx1"/>
                  </w14:solidFill>
                </w14:textFill>
              </w:rPr>
            </w:pPr>
          </w:p>
        </w:tc>
        <w:tc>
          <w:tcPr>
            <w:tcW w:w="2174"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w:t>
            </w:r>
          </w:p>
        </w:tc>
        <w:tc>
          <w:tcPr>
            <w:tcW w:w="2178" w:type="dxa"/>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73" w:type="dxa"/>
            <w:gridSpan w:val="2"/>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企业统一社会信</w:t>
            </w:r>
          </w:p>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用代码</w:t>
            </w:r>
          </w:p>
        </w:tc>
        <w:tc>
          <w:tcPr>
            <w:tcW w:w="2174" w:type="dxa"/>
            <w:gridSpan w:val="2"/>
            <w:vAlign w:val="center"/>
          </w:tcPr>
          <w:p>
            <w:pPr>
              <w:pStyle w:val="29"/>
              <w:rPr>
                <w:color w:val="000000" w:themeColor="text1"/>
                <w14:textFill>
                  <w14:solidFill>
                    <w14:schemeClr w14:val="tx1"/>
                  </w14:solidFill>
                </w14:textFill>
              </w:rPr>
            </w:pPr>
          </w:p>
        </w:tc>
        <w:tc>
          <w:tcPr>
            <w:tcW w:w="2174"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邮政编码</w:t>
            </w:r>
          </w:p>
        </w:tc>
        <w:tc>
          <w:tcPr>
            <w:tcW w:w="2178" w:type="dxa"/>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73" w:type="dxa"/>
            <w:gridSpan w:val="2"/>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委托代理人</w:t>
            </w:r>
          </w:p>
        </w:tc>
        <w:tc>
          <w:tcPr>
            <w:tcW w:w="2174" w:type="dxa"/>
            <w:gridSpan w:val="2"/>
            <w:vAlign w:val="center"/>
          </w:tcPr>
          <w:p>
            <w:pPr>
              <w:pStyle w:val="29"/>
              <w:rPr>
                <w:color w:val="000000" w:themeColor="text1"/>
                <w14:textFill>
                  <w14:solidFill>
                    <w14:schemeClr w14:val="tx1"/>
                  </w14:solidFill>
                </w14:textFill>
              </w:rPr>
            </w:pPr>
          </w:p>
        </w:tc>
        <w:tc>
          <w:tcPr>
            <w:tcW w:w="2174"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2178" w:type="dxa"/>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73" w:type="dxa"/>
            <w:gridSpan w:val="2"/>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上年营业收入</w:t>
            </w:r>
          </w:p>
        </w:tc>
        <w:tc>
          <w:tcPr>
            <w:tcW w:w="2174" w:type="dxa"/>
            <w:gridSpan w:val="2"/>
            <w:vAlign w:val="center"/>
          </w:tcPr>
          <w:p>
            <w:pPr>
              <w:pStyle w:val="29"/>
              <w:rPr>
                <w:color w:val="000000" w:themeColor="text1"/>
                <w14:textFill>
                  <w14:solidFill>
                    <w14:schemeClr w14:val="tx1"/>
                  </w14:solidFill>
                </w14:textFill>
              </w:rPr>
            </w:pPr>
          </w:p>
        </w:tc>
        <w:tc>
          <w:tcPr>
            <w:tcW w:w="2174"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员工总人数</w:t>
            </w:r>
          </w:p>
        </w:tc>
        <w:tc>
          <w:tcPr>
            <w:tcW w:w="2178" w:type="dxa"/>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1" w:type="dxa"/>
            <w:vMerge w:val="restart"/>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营业</w:t>
            </w:r>
          </w:p>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执照</w:t>
            </w:r>
          </w:p>
        </w:tc>
        <w:tc>
          <w:tcPr>
            <w:tcW w:w="2146" w:type="dxa"/>
            <w:gridSpan w:val="2"/>
            <w:tcBorders>
              <w:right w:val="single" w:color="000000"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注册日期</w:t>
            </w:r>
          </w:p>
        </w:tc>
        <w:tc>
          <w:tcPr>
            <w:tcW w:w="1530" w:type="dxa"/>
            <w:tcBorders>
              <w:left w:val="single" w:color="000000" w:sz="4" w:space="0"/>
            </w:tcBorders>
            <w:vAlign w:val="center"/>
          </w:tcPr>
          <w:p>
            <w:pPr>
              <w:pStyle w:val="29"/>
              <w:rPr>
                <w:color w:val="000000" w:themeColor="text1"/>
                <w14:textFill>
                  <w14:solidFill>
                    <w14:schemeClr w14:val="tx1"/>
                  </w14:solidFill>
                </w14:textFill>
              </w:rPr>
            </w:pPr>
          </w:p>
        </w:tc>
        <w:tc>
          <w:tcPr>
            <w:tcW w:w="2174"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注册地址</w:t>
            </w:r>
          </w:p>
        </w:tc>
        <w:tc>
          <w:tcPr>
            <w:tcW w:w="2178" w:type="dxa"/>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71" w:type="dxa"/>
            <w:vMerge w:val="continue"/>
            <w:vAlign w:val="center"/>
          </w:tcPr>
          <w:p>
            <w:pPr>
              <w:pStyle w:val="29"/>
              <w:rPr>
                <w:color w:val="000000" w:themeColor="text1"/>
                <w14:textFill>
                  <w14:solidFill>
                    <w14:schemeClr w14:val="tx1"/>
                  </w14:solidFill>
                </w14:textFill>
              </w:rPr>
            </w:pPr>
          </w:p>
        </w:tc>
        <w:tc>
          <w:tcPr>
            <w:tcW w:w="2146" w:type="dxa"/>
            <w:gridSpan w:val="2"/>
            <w:tcBorders>
              <w:right w:val="single" w:color="000000"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发证机关</w:t>
            </w:r>
          </w:p>
        </w:tc>
        <w:tc>
          <w:tcPr>
            <w:tcW w:w="1530" w:type="dxa"/>
            <w:tcBorders>
              <w:left w:val="single" w:color="000000" w:sz="4" w:space="0"/>
            </w:tcBorders>
            <w:vAlign w:val="center"/>
          </w:tcPr>
          <w:p>
            <w:pPr>
              <w:pStyle w:val="29"/>
              <w:rPr>
                <w:color w:val="000000" w:themeColor="text1"/>
                <w14:textFill>
                  <w14:solidFill>
                    <w14:schemeClr w14:val="tx1"/>
                  </w14:solidFill>
                </w14:textFill>
              </w:rPr>
            </w:pPr>
          </w:p>
        </w:tc>
        <w:tc>
          <w:tcPr>
            <w:tcW w:w="2174"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发证日期</w:t>
            </w:r>
          </w:p>
        </w:tc>
        <w:tc>
          <w:tcPr>
            <w:tcW w:w="2178" w:type="dxa"/>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71" w:type="dxa"/>
            <w:vMerge w:val="continue"/>
            <w:vAlign w:val="center"/>
          </w:tcPr>
          <w:p>
            <w:pPr>
              <w:pStyle w:val="29"/>
              <w:rPr>
                <w:color w:val="000000" w:themeColor="text1"/>
                <w14:textFill>
                  <w14:solidFill>
                    <w14:schemeClr w14:val="tx1"/>
                  </w14:solidFill>
                </w14:textFill>
              </w:rPr>
            </w:pPr>
          </w:p>
        </w:tc>
        <w:tc>
          <w:tcPr>
            <w:tcW w:w="2146" w:type="dxa"/>
            <w:gridSpan w:val="2"/>
            <w:tcBorders>
              <w:right w:val="single" w:color="000000"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营业范围（主营）</w:t>
            </w:r>
          </w:p>
        </w:tc>
        <w:tc>
          <w:tcPr>
            <w:tcW w:w="5882" w:type="dxa"/>
            <w:gridSpan w:val="3"/>
            <w:tcBorders>
              <w:left w:val="single" w:color="000000" w:sz="4" w:space="0"/>
            </w:tcBorders>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1" w:type="dxa"/>
            <w:vMerge w:val="continue"/>
            <w:vAlign w:val="center"/>
          </w:tcPr>
          <w:p>
            <w:pPr>
              <w:pStyle w:val="29"/>
              <w:rPr>
                <w:color w:val="000000" w:themeColor="text1"/>
                <w14:textFill>
                  <w14:solidFill>
                    <w14:schemeClr w14:val="tx1"/>
                  </w14:solidFill>
                </w14:textFill>
              </w:rPr>
            </w:pPr>
          </w:p>
        </w:tc>
        <w:tc>
          <w:tcPr>
            <w:tcW w:w="2146" w:type="dxa"/>
            <w:gridSpan w:val="2"/>
            <w:tcBorders>
              <w:right w:val="single" w:color="000000"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营业范围（兼营）</w:t>
            </w:r>
          </w:p>
        </w:tc>
        <w:tc>
          <w:tcPr>
            <w:tcW w:w="5882" w:type="dxa"/>
            <w:gridSpan w:val="3"/>
            <w:tcBorders>
              <w:left w:val="single" w:color="000000" w:sz="4" w:space="0"/>
            </w:tcBorders>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817" w:type="dxa"/>
            <w:gridSpan w:val="3"/>
            <w:tcBorders>
              <w:right w:val="single" w:color="000000"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基本账户开户行及账号</w:t>
            </w:r>
          </w:p>
        </w:tc>
        <w:tc>
          <w:tcPr>
            <w:tcW w:w="5882" w:type="dxa"/>
            <w:gridSpan w:val="3"/>
            <w:tcBorders>
              <w:left w:val="single" w:color="000000" w:sz="4" w:space="0"/>
            </w:tcBorders>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817" w:type="dxa"/>
            <w:gridSpan w:val="3"/>
            <w:tcBorders>
              <w:right w:val="single" w:color="000000"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税务登记机关</w:t>
            </w:r>
          </w:p>
        </w:tc>
        <w:tc>
          <w:tcPr>
            <w:tcW w:w="5882" w:type="dxa"/>
            <w:gridSpan w:val="3"/>
            <w:tcBorders>
              <w:left w:val="single" w:color="000000" w:sz="4" w:space="0"/>
            </w:tcBorders>
            <w:vAlign w:val="center"/>
          </w:tcPr>
          <w:p>
            <w:pPr>
              <w:pStyle w:val="2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699" w:type="dxa"/>
            <w:gridSpan w:val="6"/>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公司简介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173" w:type="dxa"/>
            <w:gridSpan w:val="2"/>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c>
          <w:tcPr>
            <w:tcW w:w="6526" w:type="dxa"/>
            <w:gridSpan w:val="4"/>
            <w:vAlign w:val="center"/>
          </w:tcPr>
          <w:p>
            <w:pPr>
              <w:pStyle w:val="29"/>
              <w:rPr>
                <w:color w:val="000000" w:themeColor="text1"/>
                <w14:textFill>
                  <w14:solidFill>
                    <w14:schemeClr w14:val="tx1"/>
                  </w14:solidFill>
                </w14:textFill>
              </w:rPr>
            </w:pPr>
          </w:p>
        </w:tc>
      </w:tr>
    </w:tbl>
    <w:p>
      <w:pPr>
        <w:rPr>
          <w:color w:val="000000" w:themeColor="text1"/>
          <w14:textFill>
            <w14:solidFill>
              <w14:schemeClr w14:val="tx1"/>
            </w14:solidFill>
          </w14:textFill>
        </w:rPr>
      </w:pPr>
    </w:p>
    <w:p>
      <w:pPr>
        <w:pStyle w:val="9"/>
        <w:ind w:firstLine="3600" w:firstLineChars="150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（盖单位公章）</w:t>
      </w:r>
    </w:p>
    <w:p>
      <w:pPr>
        <w:pStyle w:val="9"/>
        <w:ind w:firstLine="3600" w:firstLineChars="150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法定代表人或被授权人：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（签字或盖章）</w:t>
      </w:r>
    </w:p>
    <w:p>
      <w:pPr>
        <w:wordWrap w:val="0"/>
        <w:spacing w:line="336" w:lineRule="auto"/>
        <w:ind w:right="-159" w:firstLine="3600" w:firstLineChars="1500"/>
        <w:rPr>
          <w:color w:val="000000" w:themeColor="text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后附证明资料（逐项提供加盖公章的复印件）：</w:t>
      </w:r>
    </w:p>
    <w:p>
      <w:pPr>
        <w:pStyle w:val="29"/>
        <w:spacing w:line="360" w:lineRule="auto"/>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（1）基本资格条件：</w:t>
      </w:r>
      <w:r>
        <w:rPr>
          <w:rFonts w:hint="eastAsia"/>
          <w:color w:val="000000" w:themeColor="text1"/>
          <w14:textFill>
            <w14:solidFill>
              <w14:schemeClr w14:val="tx1"/>
            </w14:solidFill>
          </w14:textFill>
        </w:rPr>
        <w:t>符合《中华人民共和国政府采购法》第二十二条的规定，并提供以下资料；</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1）提供合格有效的法人或者其他组织的营业执照等证明文件，自然人的身份证明；投标人是法人或其他组织的应提供营业执照等证明文件，投标人是自然人的应提供有效的自然人身份证明。</w:t>
      </w:r>
    </w:p>
    <w:p>
      <w:pPr>
        <w:pStyle w:val="11"/>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2）提供</w:t>
      </w:r>
      <w:r>
        <w:rPr>
          <w:rFonts w:hint="eastAsia"/>
        </w:rPr>
        <w:t>2020或2021年度</w:t>
      </w:r>
      <w:r>
        <w:rPr>
          <w:rFonts w:hint="eastAsia" w:hAnsi="宋体" w:cs="宋体"/>
          <w:color w:val="000000" w:themeColor="text1"/>
          <w14:textFill>
            <w14:solidFill>
              <w14:schemeClr w14:val="tx1"/>
            </w14:solidFill>
          </w14:textFill>
        </w:rPr>
        <w:t>经审计的财务报告（成立时间至提交投标文件截止时间不足一年的可提供成立后任意时段的资产负债表），或其基本存款账户开户银行出具的资信证明及基本存款账户开户许可证（基本账户信息表）；</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3）提供具有履行合同所必需的设备和专业技术能力的承诺函； </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4）提供投标截止日前一年内已缴纳的至少一个月的纳税证明或完税证明，依法免税的单位应提供相关证明材料；</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5）提供投标截止日前一年内已缴存的至少一个月的社会保障资金缴存单据或社保机构开具的社会保险参保缴费情况证明，依法不需要缴纳社会保障资金的单位应提供相关证明材料；</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6）参加政府采购活动前3年内，在经营活动中没有重大违法记录的书面声明； </w:t>
      </w:r>
    </w:p>
    <w:p>
      <w:pPr>
        <w:pStyle w:val="29"/>
        <w:spacing w:line="360" w:lineRule="auto"/>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（2）特定资格条件：</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1）法定代表人授权书（附法定代表人、被授权人身份证复印件）、被授权人身份证（法定代表人直接参加投标，须提供法定代表人身份证明及身份证原件）； </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3）投标保证金缴纳凭证或担保机构出具的保函；</w:t>
      </w:r>
    </w:p>
    <w:p>
      <w:pPr>
        <w:pStyle w:val="29"/>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说明：本项目不接受联合体参与投标。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5"/>
        <w:spacing w:before="680" w:after="680"/>
        <w:rPr>
          <w:color w:val="000000" w:themeColor="text1"/>
          <w14:textFill>
            <w14:solidFill>
              <w14:schemeClr w14:val="tx1"/>
            </w14:solidFill>
          </w14:textFill>
        </w:rPr>
      </w:pPr>
      <w:r>
        <w:rPr>
          <w:rFonts w:hint="eastAsia"/>
          <w:color w:val="000000" w:themeColor="text1"/>
          <w14:textFill>
            <w14:solidFill>
              <w14:schemeClr w14:val="tx1"/>
            </w14:solidFill>
          </w14:textFill>
        </w:rPr>
        <w:t>履行合同所必需的设备和专业技术能力的承诺</w:t>
      </w:r>
    </w:p>
    <w:p>
      <w:pPr>
        <w:pStyle w:val="9"/>
        <w:ind w:firstLine="0" w:firstLineChars="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（采购人名称）：</w:t>
      </w:r>
    </w:p>
    <w:p>
      <w:pPr>
        <w:pStyle w:val="9"/>
        <w:ind w:firstLine="480"/>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（投标人名称） </w:t>
      </w:r>
      <w:r>
        <w:rPr>
          <w:rFonts w:hint="eastAsia"/>
          <w:color w:val="000000" w:themeColor="text1"/>
          <w14:textFill>
            <w14:solidFill>
              <w14:schemeClr w14:val="tx1"/>
            </w14:solidFill>
          </w14:textFill>
        </w:rPr>
        <w:t>于</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日在中华人民共和国境内</w:t>
      </w:r>
      <w:r>
        <w:rPr>
          <w:rFonts w:hint="eastAsia"/>
          <w:color w:val="000000" w:themeColor="text1"/>
          <w:u w:val="single"/>
          <w14:textFill>
            <w14:solidFill>
              <w14:schemeClr w14:val="tx1"/>
            </w14:solidFill>
          </w14:textFill>
        </w:rPr>
        <w:t xml:space="preserve"> （详细注册地址）</w:t>
      </w:r>
      <w:r>
        <w:rPr>
          <w:rFonts w:hint="eastAsia"/>
          <w:color w:val="000000" w:themeColor="text1"/>
          <w14:textFill>
            <w14:solidFill>
              <w14:schemeClr w14:val="tx1"/>
            </w14:solidFill>
          </w14:textFill>
        </w:rPr>
        <w:t>合法注册并经营，公司主营业务为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，营业（生产经营）面积为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，现有员工数量为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，本公司郑重承诺，具有履行本合同所必需的设备和专业技术能力。</w:t>
      </w:r>
    </w:p>
    <w:p>
      <w:pPr>
        <w:pStyle w:val="13"/>
        <w:adjustRightInd w:val="0"/>
        <w:snapToGrid w:val="0"/>
        <w:spacing w:line="500" w:lineRule="exact"/>
        <w:rPr>
          <w:rFonts w:hAnsi="宋体" w:cs="宋体"/>
          <w:color w:val="000000" w:themeColor="text1"/>
          <w:spacing w:val="4"/>
          <w:sz w:val="24"/>
          <w:szCs w:val="24"/>
          <w14:textFill>
            <w14:solidFill>
              <w14:schemeClr w14:val="tx1"/>
            </w14:solidFill>
          </w14:textFill>
        </w:rPr>
      </w:pPr>
    </w:p>
    <w:p>
      <w:pPr>
        <w:pStyle w:val="13"/>
        <w:adjustRightInd w:val="0"/>
        <w:snapToGrid w:val="0"/>
        <w:spacing w:line="500" w:lineRule="exact"/>
        <w:rPr>
          <w:rFonts w:hAnsi="宋体" w:cs="宋体"/>
          <w:color w:val="000000" w:themeColor="text1"/>
          <w:spacing w:val="4"/>
          <w:sz w:val="24"/>
          <w:szCs w:val="24"/>
          <w14:textFill>
            <w14:solidFill>
              <w14:schemeClr w14:val="tx1"/>
            </w14:solidFill>
          </w14:textFill>
        </w:rPr>
      </w:pPr>
    </w:p>
    <w:p>
      <w:pPr>
        <w:pStyle w:val="9"/>
        <w:ind w:firstLine="3600" w:firstLineChars="150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（盖单位公章）</w:t>
      </w:r>
    </w:p>
    <w:p>
      <w:pPr>
        <w:pStyle w:val="9"/>
        <w:ind w:firstLine="0" w:firstLineChars="0"/>
        <w:rPr>
          <w:color w:val="000000" w:themeColor="text1"/>
          <w14:textFill>
            <w14:solidFill>
              <w14:schemeClr w14:val="tx1"/>
            </w14:solidFill>
          </w14:textFill>
        </w:rPr>
      </w:pPr>
    </w:p>
    <w:p>
      <w:pPr>
        <w:pStyle w:val="9"/>
        <w:ind w:firstLine="3600" w:firstLineChars="150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法定代表人或被授权人：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（签字或盖章）</w:t>
      </w:r>
    </w:p>
    <w:p>
      <w:pPr>
        <w:pStyle w:val="9"/>
        <w:ind w:firstLine="0" w:firstLineChars="0"/>
        <w:rPr>
          <w:color w:val="000000" w:themeColor="text1"/>
          <w14:textFill>
            <w14:solidFill>
              <w14:schemeClr w14:val="tx1"/>
            </w14:solidFill>
          </w14:textFill>
        </w:rPr>
      </w:pPr>
    </w:p>
    <w:p>
      <w:pPr>
        <w:adjustRightInd w:val="0"/>
        <w:snapToGrid w:val="0"/>
        <w:spacing w:line="500" w:lineRule="exact"/>
        <w:ind w:firstLine="3600" w:firstLineChars="1500"/>
        <w:rPr>
          <w:rFonts w:hAnsi="宋体" w:cs="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pStyle w:val="2"/>
        <w:rPr>
          <w:color w:val="000000" w:themeColor="text1"/>
          <w14:textFill>
            <w14:solidFill>
              <w14:schemeClr w14:val="tx1"/>
            </w14:solidFill>
          </w14:textFill>
        </w:rPr>
      </w:pPr>
    </w:p>
    <w:p>
      <w:pPr>
        <w:rPr>
          <w:rStyle w:val="37"/>
          <w:bCs w:val="0"/>
          <w:color w:val="000000" w:themeColor="text1"/>
          <w14:textFill>
            <w14:solidFill>
              <w14:schemeClr w14:val="tx1"/>
            </w14:solidFill>
          </w14:textFill>
        </w:rPr>
      </w:pPr>
      <w:bookmarkStart w:id="301" w:name="_Toc31818"/>
      <w:r>
        <w:rPr>
          <w:rStyle w:val="37"/>
          <w:rFonts w:hint="eastAsia"/>
          <w:bCs w:val="0"/>
          <w:color w:val="000000" w:themeColor="text1"/>
          <w14:textFill>
            <w14:solidFill>
              <w14:schemeClr w14:val="tx1"/>
            </w14:solidFill>
          </w14:textFill>
        </w:rPr>
        <w:br w:type="page"/>
      </w:r>
    </w:p>
    <w:p>
      <w:pPr>
        <w:pStyle w:val="6"/>
        <w:rPr>
          <w:rStyle w:val="37"/>
          <w:b/>
          <w:bCs w:val="0"/>
          <w:color w:val="000000" w:themeColor="text1"/>
          <w14:textFill>
            <w14:solidFill>
              <w14:schemeClr w14:val="tx1"/>
            </w14:solidFill>
          </w14:textFill>
        </w:rPr>
      </w:pPr>
      <w:r>
        <w:rPr>
          <w:rStyle w:val="37"/>
          <w:rFonts w:hint="eastAsia"/>
          <w:b/>
          <w:bCs w:val="0"/>
          <w:color w:val="000000" w:themeColor="text1"/>
          <w14:textFill>
            <w14:solidFill>
              <w14:schemeClr w14:val="tx1"/>
            </w14:solidFill>
          </w14:textFill>
        </w:rPr>
        <w:t>附件2  参加政府采购活动前3年内在经营活动中没有重大违法记录的书面声明（格式）</w:t>
      </w:r>
      <w:bookmarkEnd w:id="301"/>
    </w:p>
    <w:p>
      <w:pPr>
        <w:pStyle w:val="5"/>
        <w:spacing w:before="680" w:after="680"/>
        <w:rPr>
          <w:color w:val="000000" w:themeColor="text1"/>
          <w14:textFill>
            <w14:solidFill>
              <w14:schemeClr w14:val="tx1"/>
            </w14:solidFill>
          </w14:textFill>
        </w:rPr>
      </w:pPr>
      <w:r>
        <w:rPr>
          <w:rFonts w:hint="eastAsia"/>
          <w:color w:val="000000" w:themeColor="text1"/>
          <w14:textFill>
            <w14:solidFill>
              <w14:schemeClr w14:val="tx1"/>
            </w14:solidFill>
          </w14:textFill>
        </w:rPr>
        <w:t>近三年无重大违法、违纪书面声明</w:t>
      </w:r>
    </w:p>
    <w:p>
      <w:pPr>
        <w:pStyle w:val="9"/>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致：</w:t>
      </w:r>
      <w:r>
        <w:rPr>
          <w:rFonts w:hint="eastAsia"/>
          <w:color w:val="000000" w:themeColor="text1"/>
          <w:u w:val="single"/>
          <w14:textFill>
            <w14:solidFill>
              <w14:schemeClr w14:val="tx1"/>
            </w14:solidFill>
          </w14:textFill>
        </w:rPr>
        <w:t xml:space="preserve">     （采购人名称）  </w:t>
      </w:r>
      <w:r>
        <w:rPr>
          <w:rFonts w:hint="eastAsia"/>
          <w:color w:val="000000" w:themeColor="text1"/>
          <w14:textFill>
            <w14:solidFill>
              <w14:schemeClr w14:val="tx1"/>
            </w14:solidFill>
          </w14:textFill>
        </w:rPr>
        <w:t xml:space="preserve">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我单位声明参加本次政府采购活动前三年内，在经营活动中没有重大违纪，以及未被列入失信被执行人、未在重大税收违法案件当事人名单及政府采购严重违法失信行为记录名单中。</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以上如构成虚假，自愿承担相关法律责任。</w:t>
      </w:r>
    </w:p>
    <w:p>
      <w:pPr>
        <w:pStyle w:val="9"/>
        <w:ind w:firstLine="480"/>
        <w:rPr>
          <w:color w:val="000000" w:themeColor="text1"/>
          <w14:textFill>
            <w14:solidFill>
              <w14:schemeClr w14:val="tx1"/>
            </w14:solidFill>
          </w14:textFill>
        </w:rPr>
      </w:pP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特此声明！</w:t>
      </w:r>
    </w:p>
    <w:p>
      <w:pPr>
        <w:spacing w:line="360" w:lineRule="auto"/>
        <w:ind w:firstLine="480" w:firstLineChars="200"/>
        <w:jc w:val="left"/>
        <w:rPr>
          <w:rFonts w:hAnsi="宋体" w:cs="宋体"/>
          <w:color w:val="000000" w:themeColor="text1"/>
          <w14:textFill>
            <w14:solidFill>
              <w14:schemeClr w14:val="tx1"/>
            </w14:solidFill>
          </w14:textFill>
        </w:rPr>
      </w:pPr>
    </w:p>
    <w:p>
      <w:pPr>
        <w:spacing w:line="360" w:lineRule="auto"/>
        <w:ind w:firstLine="480" w:firstLineChars="200"/>
        <w:jc w:val="left"/>
        <w:rPr>
          <w:rFonts w:hAnsi="宋体" w:cs="宋体"/>
          <w:color w:val="000000" w:themeColor="text1"/>
          <w14:textFill>
            <w14:solidFill>
              <w14:schemeClr w14:val="tx1"/>
            </w14:solidFill>
          </w14:textFill>
        </w:rPr>
      </w:pPr>
    </w:p>
    <w:p>
      <w:pPr>
        <w:pStyle w:val="9"/>
        <w:ind w:firstLine="3600" w:firstLineChars="150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（盖单位公章）</w:t>
      </w:r>
    </w:p>
    <w:p>
      <w:pPr>
        <w:pStyle w:val="9"/>
        <w:ind w:firstLine="0" w:firstLineChars="0"/>
        <w:rPr>
          <w:color w:val="000000" w:themeColor="text1"/>
          <w14:textFill>
            <w14:solidFill>
              <w14:schemeClr w14:val="tx1"/>
            </w14:solidFill>
          </w14:textFill>
        </w:rPr>
      </w:pPr>
    </w:p>
    <w:p>
      <w:pPr>
        <w:pStyle w:val="9"/>
        <w:ind w:firstLine="3600" w:firstLineChars="150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法定代表人或被授权人：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（签字或盖章）</w:t>
      </w:r>
    </w:p>
    <w:p>
      <w:pPr>
        <w:pStyle w:val="9"/>
        <w:ind w:firstLine="0" w:firstLineChars="0"/>
        <w:rPr>
          <w:color w:val="000000" w:themeColor="text1"/>
          <w14:textFill>
            <w14:solidFill>
              <w14:schemeClr w14:val="tx1"/>
            </w14:solidFill>
          </w14:textFill>
        </w:rPr>
      </w:pPr>
    </w:p>
    <w:p>
      <w:pPr>
        <w:spacing w:line="360" w:lineRule="auto"/>
        <w:ind w:firstLine="3600" w:firstLineChars="1500"/>
        <w:rPr>
          <w:color w:val="000000" w:themeColor="text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附件3  法定代表人身份证明/法定代表人授权委托书</w:t>
      </w:r>
    </w:p>
    <w:p>
      <w:pPr>
        <w:pStyle w:val="5"/>
        <w:spacing w:before="680" w:after="6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法定代表人身份证明</w:t>
      </w:r>
      <w:r>
        <w:rPr>
          <w:rStyle w:val="36"/>
          <w:rFonts w:hint="eastAsia"/>
          <w:b/>
          <w:color w:val="000000" w:themeColor="text1"/>
          <w:sz w:val="24"/>
          <w14:textFill>
            <w14:solidFill>
              <w14:schemeClr w14:val="tx1"/>
            </w14:solidFill>
          </w14:textFill>
        </w:rPr>
        <w:t>（格式）</w:t>
      </w:r>
    </w:p>
    <w:p>
      <w:pPr>
        <w:pStyle w:val="9"/>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u w:val="single"/>
          <w14:textFill>
            <w14:solidFill>
              <w14:schemeClr w14:val="tx1"/>
            </w14:solidFill>
          </w14:textFill>
        </w:rPr>
        <w:t xml:space="preserve">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统一社会信用代码：</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注册地址：</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成立时间：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经营期限：</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性别：</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年龄：</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联系电话：</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系</w:t>
      </w:r>
      <w:r>
        <w:rPr>
          <w:rFonts w:hint="eastAsia"/>
          <w:color w:val="000000" w:themeColor="text1"/>
          <w:u w:val="single"/>
          <w14:textFill>
            <w14:solidFill>
              <w14:schemeClr w14:val="tx1"/>
            </w14:solidFill>
          </w14:textFill>
        </w:rPr>
        <w:t xml:space="preserve">           （投标人名称）</w:t>
      </w:r>
      <w:r>
        <w:rPr>
          <w:rFonts w:hint="eastAsia"/>
          <w:color w:val="000000" w:themeColor="text1"/>
          <w14:textFill>
            <w14:solidFill>
              <w14:schemeClr w14:val="tx1"/>
            </w14:solidFill>
          </w14:textFill>
        </w:rPr>
        <w:t>的法定代表人。</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特此证明。</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附：法定代表人身份证复印件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8947"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法人身份证复印件</w:t>
            </w:r>
          </w:p>
          <w:p>
            <w:pPr>
              <w:pStyle w:val="29"/>
              <w:rPr>
                <w:color w:val="000000" w:themeColor="text1"/>
                <w:szCs w:val="24"/>
                <w14:textFill>
                  <w14:solidFill>
                    <w14:schemeClr w14:val="tx1"/>
                  </w14:solidFill>
                </w14:textFill>
              </w:rPr>
            </w:pPr>
            <w:r>
              <w:rPr>
                <w:rFonts w:hint="eastAsia"/>
                <w:color w:val="000000" w:themeColor="text1"/>
                <w14:textFill>
                  <w14:solidFill>
                    <w14:schemeClr w14:val="tx1"/>
                  </w14:solidFill>
                </w14:textFill>
              </w:rPr>
              <w:t>正、反面</w:t>
            </w:r>
          </w:p>
        </w:tc>
      </w:tr>
    </w:tbl>
    <w:p>
      <w:pPr>
        <w:tabs>
          <w:tab w:val="left" w:pos="8820"/>
        </w:tabs>
        <w:spacing w:line="336" w:lineRule="auto"/>
        <w:jc w:val="center"/>
        <w:rPr>
          <w:rFonts w:hAnsi="宋体" w:cs="宋体"/>
          <w:b/>
          <w:bCs/>
          <w:color w:val="000000" w:themeColor="text1"/>
          <w:szCs w:val="24"/>
          <w14:textFill>
            <w14:solidFill>
              <w14:schemeClr w14:val="tx1"/>
            </w14:solidFill>
          </w14:textFill>
        </w:rPr>
      </w:pPr>
    </w:p>
    <w:p>
      <w:pPr>
        <w:pStyle w:val="9"/>
        <w:ind w:firstLine="3600" w:firstLineChars="150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（盖单位公章）</w:t>
      </w:r>
    </w:p>
    <w:p>
      <w:pPr>
        <w:pStyle w:val="9"/>
        <w:ind w:firstLine="0" w:firstLineChars="0"/>
        <w:rPr>
          <w:color w:val="000000" w:themeColor="text1"/>
          <w14:textFill>
            <w14:solidFill>
              <w14:schemeClr w14:val="tx1"/>
            </w14:solidFill>
          </w14:textFill>
        </w:rPr>
      </w:pPr>
    </w:p>
    <w:p>
      <w:pPr>
        <w:pStyle w:val="9"/>
        <w:ind w:firstLine="3600" w:firstLineChars="150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（签字或盖章）</w:t>
      </w:r>
    </w:p>
    <w:p>
      <w:pPr>
        <w:pStyle w:val="9"/>
        <w:ind w:firstLine="0" w:firstLineChars="0"/>
        <w:rPr>
          <w:color w:val="000000" w:themeColor="text1"/>
          <w14:textFill>
            <w14:solidFill>
              <w14:schemeClr w14:val="tx1"/>
            </w14:solidFill>
          </w14:textFill>
        </w:rPr>
      </w:pPr>
    </w:p>
    <w:p>
      <w:pPr>
        <w:wordWrap w:val="0"/>
        <w:spacing w:line="336" w:lineRule="auto"/>
        <w:ind w:right="-159" w:firstLine="3600" w:firstLineChars="1500"/>
        <w:rPr>
          <w:rFonts w:hAnsi="宋体" w:cs="宋体"/>
          <w:color w:val="000000" w:themeColor="text1"/>
          <w:szCs w:val="24"/>
          <w:u w:val="single"/>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rPr>
          <w:rStyle w:val="36"/>
          <w:color w:val="000000" w:themeColor="text1"/>
          <w14:textFill>
            <w14:solidFill>
              <w14:schemeClr w14:val="tx1"/>
            </w14:solidFill>
          </w14:textFill>
        </w:rPr>
      </w:pPr>
      <w:r>
        <w:rPr>
          <w:rStyle w:val="36"/>
          <w:rFonts w:hint="eastAsia"/>
          <w:color w:val="000000" w:themeColor="text1"/>
          <w14:textFill>
            <w14:solidFill>
              <w14:schemeClr w14:val="tx1"/>
            </w14:solidFill>
          </w14:textFill>
        </w:rPr>
        <w:br w:type="page"/>
      </w:r>
    </w:p>
    <w:p>
      <w:pPr>
        <w:pStyle w:val="5"/>
        <w:spacing w:before="680" w:after="68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法定代表人授权委托书（格式）</w:t>
      </w:r>
    </w:p>
    <w:p>
      <w:pPr>
        <w:tabs>
          <w:tab w:val="left" w:pos="8820"/>
        </w:tabs>
        <w:spacing w:line="336" w:lineRule="auto"/>
        <w:ind w:firstLine="570"/>
        <w:rPr>
          <w:rFonts w:hAnsi="宋体" w:cs="宋体"/>
          <w:color w:val="000000" w:themeColor="text1"/>
          <w:szCs w:val="24"/>
          <w14:textFill>
            <w14:solidFill>
              <w14:schemeClr w14:val="tx1"/>
            </w14:solidFill>
          </w14:textFill>
        </w:rPr>
      </w:pP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本授权委托书声明：我</w:t>
      </w:r>
      <w:r>
        <w:rPr>
          <w:rFonts w:hint="eastAsia"/>
          <w:color w:val="000000" w:themeColor="text1"/>
          <w:u w:val="single"/>
          <w14:textFill>
            <w14:solidFill>
              <w14:schemeClr w14:val="tx1"/>
            </w14:solidFill>
          </w14:textFill>
        </w:rPr>
        <w:t>（法定代表人姓名）</w:t>
      </w:r>
      <w:r>
        <w:rPr>
          <w:rFonts w:hint="eastAsia"/>
          <w:color w:val="000000" w:themeColor="text1"/>
          <w14:textFill>
            <w14:solidFill>
              <w14:schemeClr w14:val="tx1"/>
            </w14:solidFill>
          </w14:textFill>
        </w:rPr>
        <w:t>系注册于</w:t>
      </w:r>
      <w:r>
        <w:rPr>
          <w:rFonts w:hint="eastAsia"/>
          <w:color w:val="000000" w:themeColor="text1"/>
          <w:u w:val="single"/>
          <w14:textFill>
            <w14:solidFill>
              <w14:schemeClr w14:val="tx1"/>
            </w14:solidFill>
          </w14:textFill>
        </w:rPr>
        <w:t xml:space="preserve">  （投标人地址）</w:t>
      </w:r>
      <w:r>
        <w:rPr>
          <w:rFonts w:hint="eastAsia"/>
          <w:color w:val="000000" w:themeColor="text1"/>
          <w14:textFill>
            <w14:solidFill>
              <w14:schemeClr w14:val="tx1"/>
            </w14:solidFill>
          </w14:textFill>
        </w:rPr>
        <w:t>的</w:t>
      </w:r>
      <w:r>
        <w:rPr>
          <w:rFonts w:hint="eastAsia"/>
          <w:color w:val="000000" w:themeColor="text1"/>
          <w:u w:val="single"/>
          <w14:textFill>
            <w14:solidFill>
              <w14:schemeClr w14:val="tx1"/>
            </w14:solidFill>
          </w14:textFill>
        </w:rPr>
        <w:t xml:space="preserve">（投标人名称）  </w:t>
      </w:r>
      <w:r>
        <w:rPr>
          <w:rFonts w:hint="eastAsia"/>
          <w:color w:val="000000" w:themeColor="text1"/>
          <w14:textFill>
            <w14:solidFill>
              <w14:schemeClr w14:val="tx1"/>
            </w14:solidFill>
          </w14:textFill>
        </w:rPr>
        <w:t>的法定代表人，现代表公司授权下面签字的</w:t>
      </w:r>
      <w:r>
        <w:rPr>
          <w:rFonts w:hint="eastAsia"/>
          <w:color w:val="000000" w:themeColor="text1"/>
          <w:u w:val="single"/>
          <w14:textFill>
            <w14:solidFill>
              <w14:schemeClr w14:val="tx1"/>
            </w14:solidFill>
          </w14:textFill>
        </w:rPr>
        <w:t>（被授权人的姓名、职务）</w:t>
      </w:r>
      <w:r>
        <w:rPr>
          <w:rFonts w:hint="eastAsia"/>
          <w:color w:val="000000" w:themeColor="text1"/>
          <w14:textFill>
            <w14:solidFill>
              <w14:schemeClr w14:val="tx1"/>
            </w14:solidFill>
          </w14:textFill>
        </w:rPr>
        <w:t>为我公司合法代理人，代表本公司参加</w:t>
      </w:r>
      <w:r>
        <w:rPr>
          <w:rFonts w:hint="eastAsia"/>
          <w:color w:val="000000" w:themeColor="text1"/>
          <w:u w:val="single"/>
          <w14:textFill>
            <w14:solidFill>
              <w14:schemeClr w14:val="tx1"/>
            </w14:solidFill>
          </w14:textFill>
        </w:rPr>
        <w:t xml:space="preserve">  （项目名称） </w:t>
      </w:r>
      <w:r>
        <w:rPr>
          <w:rFonts w:hint="eastAsia"/>
          <w:color w:val="000000" w:themeColor="text1"/>
          <w14:textFill>
            <w14:solidFill>
              <w14:schemeClr w14:val="tx1"/>
            </w14:solidFill>
          </w14:textFill>
        </w:rPr>
        <w:t>项目编号为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的投标活动。代理人在本次投标中所签署的一切文件和处理的一切有关事物，我公司均予承认。</w:t>
      </w:r>
    </w:p>
    <w:tbl>
      <w:tblPr>
        <w:tblStyle w:val="19"/>
        <w:tblW w:w="9019" w:type="dxa"/>
        <w:tblInd w:w="0" w:type="dxa"/>
        <w:tblLayout w:type="fixed"/>
        <w:tblCellMar>
          <w:top w:w="0" w:type="dxa"/>
          <w:left w:w="108" w:type="dxa"/>
          <w:bottom w:w="0" w:type="dxa"/>
          <w:right w:w="108" w:type="dxa"/>
        </w:tblCellMar>
      </w:tblPr>
      <w:tblGrid>
        <w:gridCol w:w="4625"/>
        <w:gridCol w:w="4394"/>
      </w:tblGrid>
      <w:tr>
        <w:trPr>
          <w:trHeight w:val="585" w:hRule="atLeast"/>
        </w:trPr>
        <w:tc>
          <w:tcPr>
            <w:tcW w:w="4625" w:type="dxa"/>
            <w:vAlign w:val="center"/>
          </w:tcPr>
          <w:p>
            <w:pPr>
              <w:pStyle w:val="29"/>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被授权人签字或盖章：</w:t>
            </w:r>
          </w:p>
        </w:tc>
        <w:tc>
          <w:tcPr>
            <w:tcW w:w="4394" w:type="dxa"/>
            <w:vAlign w:val="center"/>
          </w:tcPr>
          <w:p>
            <w:pPr>
              <w:pStyle w:val="29"/>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法定代表人签字或盖章：</w:t>
            </w:r>
          </w:p>
        </w:tc>
      </w:tr>
      <w:tr>
        <w:tblPrEx>
          <w:tblCellMar>
            <w:top w:w="0" w:type="dxa"/>
            <w:left w:w="108" w:type="dxa"/>
            <w:bottom w:w="0" w:type="dxa"/>
            <w:right w:w="108" w:type="dxa"/>
          </w:tblCellMar>
        </w:tblPrEx>
        <w:trPr>
          <w:trHeight w:val="585" w:hRule="atLeast"/>
        </w:trPr>
        <w:tc>
          <w:tcPr>
            <w:tcW w:w="4625" w:type="dxa"/>
            <w:vAlign w:val="center"/>
          </w:tcPr>
          <w:p>
            <w:pPr>
              <w:pStyle w:val="29"/>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职务：</w:t>
            </w:r>
          </w:p>
        </w:tc>
        <w:tc>
          <w:tcPr>
            <w:tcW w:w="4394" w:type="dxa"/>
            <w:vAlign w:val="center"/>
          </w:tcPr>
          <w:p>
            <w:pPr>
              <w:pStyle w:val="29"/>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职务：</w:t>
            </w:r>
          </w:p>
        </w:tc>
      </w:tr>
      <w:tr>
        <w:tblPrEx>
          <w:tblCellMar>
            <w:top w:w="0" w:type="dxa"/>
            <w:left w:w="108" w:type="dxa"/>
            <w:bottom w:w="0" w:type="dxa"/>
            <w:right w:w="108" w:type="dxa"/>
          </w:tblCellMar>
        </w:tblPrEx>
        <w:trPr>
          <w:trHeight w:val="585" w:hRule="atLeast"/>
        </w:trPr>
        <w:tc>
          <w:tcPr>
            <w:tcW w:w="4625" w:type="dxa"/>
            <w:vAlign w:val="center"/>
          </w:tcPr>
          <w:p>
            <w:pPr>
              <w:pStyle w:val="29"/>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身份证号：</w:t>
            </w:r>
          </w:p>
        </w:tc>
        <w:tc>
          <w:tcPr>
            <w:tcW w:w="4394" w:type="dxa"/>
            <w:vAlign w:val="center"/>
          </w:tcPr>
          <w:p>
            <w:pPr>
              <w:pStyle w:val="29"/>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身份证号：</w:t>
            </w:r>
          </w:p>
        </w:tc>
      </w:tr>
      <w:tr>
        <w:tblPrEx>
          <w:tblCellMar>
            <w:top w:w="0" w:type="dxa"/>
            <w:left w:w="108" w:type="dxa"/>
            <w:bottom w:w="0" w:type="dxa"/>
            <w:right w:w="108" w:type="dxa"/>
          </w:tblCellMar>
        </w:tblPrEx>
        <w:trPr>
          <w:trHeight w:val="585" w:hRule="atLeast"/>
        </w:trPr>
        <w:tc>
          <w:tcPr>
            <w:tcW w:w="4625" w:type="dxa"/>
            <w:vAlign w:val="center"/>
          </w:tcPr>
          <w:p>
            <w:pPr>
              <w:pStyle w:val="29"/>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所在部门：</w:t>
            </w:r>
          </w:p>
        </w:tc>
        <w:tc>
          <w:tcPr>
            <w:tcW w:w="4394" w:type="dxa"/>
            <w:vAlign w:val="center"/>
          </w:tcPr>
          <w:p>
            <w:pPr>
              <w:pStyle w:val="29"/>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585" w:hRule="atLeast"/>
        </w:trPr>
        <w:tc>
          <w:tcPr>
            <w:tcW w:w="4625" w:type="dxa"/>
            <w:vAlign w:val="center"/>
          </w:tcPr>
          <w:p>
            <w:pPr>
              <w:pStyle w:val="29"/>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4394" w:type="dxa"/>
            <w:vAlign w:val="center"/>
          </w:tcPr>
          <w:p>
            <w:pPr>
              <w:pStyle w:val="29"/>
              <w:rPr>
                <w:color w:val="000000" w:themeColor="text1"/>
                <w14:textFill>
                  <w14:solidFill>
                    <w14:schemeClr w14:val="tx1"/>
                  </w14:solidFill>
                </w14:textFill>
              </w:rPr>
            </w:pPr>
          </w:p>
        </w:tc>
      </w:tr>
    </w:tbl>
    <w:p>
      <w:pPr>
        <w:pStyle w:val="2"/>
        <w:rPr>
          <w:rFonts w:ascii="宋体" w:hAnsi="宋体" w:cs="宋体"/>
          <w:color w:val="000000" w:themeColor="text1"/>
          <w:sz w:val="24"/>
          <w:szCs w:val="24"/>
          <w14:textFill>
            <w14:solidFill>
              <w14:schemeClr w14:val="tx1"/>
            </w14:solidFill>
          </w14:textFill>
        </w:rPr>
      </w:pPr>
    </w:p>
    <w:p>
      <w:pPr>
        <w:spacing w:line="336" w:lineRule="auto"/>
        <w:ind w:firstLine="480" w:firstLineChars="200"/>
        <w:rPr>
          <w:rFonts w:hAnsi="宋体" w:cs="宋体"/>
          <w:color w:val="000000" w:themeColor="text1"/>
          <w:szCs w:val="24"/>
          <w14:textFill>
            <w14:solidFill>
              <w14:schemeClr w14:val="tx1"/>
            </w14:solidFill>
          </w14:textFill>
        </w:rPr>
      </w:pPr>
      <w:r>
        <w:rPr>
          <w:rStyle w:val="39"/>
          <w:rFonts w:hint="eastAsia"/>
          <w:color w:val="000000" w:themeColor="text1"/>
          <w14:textFill>
            <w14:solidFill>
              <w14:schemeClr w14:val="tx1"/>
            </w14:solidFill>
          </w14:textFill>
        </w:rPr>
        <w:t>本授权书有效期自响应文件递交截止之日起</w:t>
      </w:r>
      <w:r>
        <w:rPr>
          <w:rStyle w:val="39"/>
          <w:rFonts w:hint="eastAsia"/>
          <w:color w:val="000000" w:themeColor="text1"/>
          <w:u w:val="single"/>
          <w14:textFill>
            <w14:solidFill>
              <w14:schemeClr w14:val="tx1"/>
            </w14:solidFill>
          </w14:textFill>
        </w:rPr>
        <w:t xml:space="preserve">   </w:t>
      </w:r>
      <w:r>
        <w:rPr>
          <w:rStyle w:val="39"/>
          <w:rFonts w:hint="eastAsia"/>
          <w:color w:val="000000" w:themeColor="text1"/>
          <w14:textFill>
            <w14:solidFill>
              <w14:schemeClr w14:val="tx1"/>
            </w14:solidFill>
          </w14:textFill>
        </w:rPr>
        <w:t xml:space="preserve">天，特此声明。 </w:t>
      </w:r>
      <w:r>
        <w:rPr>
          <w:rFonts w:hint="eastAsia" w:hAnsi="宋体" w:cs="宋体"/>
          <w:color w:val="000000" w:themeColor="text1"/>
          <w:szCs w:val="24"/>
          <w14:textFill>
            <w14:solidFill>
              <w14:schemeClr w14:val="tx1"/>
            </w14:solidFill>
          </w14:textFill>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473"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法人身份证复印件</w:t>
            </w:r>
          </w:p>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正、反面</w:t>
            </w:r>
          </w:p>
        </w:tc>
        <w:tc>
          <w:tcPr>
            <w:tcW w:w="4474" w:type="dxa"/>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被授权人身份证复印件</w:t>
            </w:r>
          </w:p>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正、反面</w:t>
            </w:r>
          </w:p>
          <w:p>
            <w:pPr>
              <w:pStyle w:val="29"/>
              <w:rPr>
                <w:color w:val="000000" w:themeColor="text1"/>
                <w14:textFill>
                  <w14:solidFill>
                    <w14:schemeClr w14:val="tx1"/>
                  </w14:solidFill>
                </w14:textFill>
              </w:rPr>
            </w:pPr>
          </w:p>
        </w:tc>
      </w:tr>
    </w:tbl>
    <w:p>
      <w:pPr>
        <w:pStyle w:val="2"/>
        <w:rPr>
          <w:rFonts w:ascii="宋体" w:hAnsi="宋体" w:cs="宋体"/>
          <w:color w:val="000000" w:themeColor="text1"/>
          <w:sz w:val="24"/>
          <w:szCs w:val="24"/>
          <w14:textFill>
            <w14:solidFill>
              <w14:schemeClr w14:val="tx1"/>
            </w14:solidFill>
          </w14:textFill>
        </w:rPr>
      </w:pPr>
    </w:p>
    <w:p>
      <w:pPr>
        <w:pStyle w:val="9"/>
        <w:ind w:firstLine="3600" w:firstLineChars="150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（盖单位公章）</w:t>
      </w:r>
    </w:p>
    <w:p>
      <w:pPr>
        <w:pStyle w:val="9"/>
        <w:ind w:firstLine="0" w:firstLineChars="0"/>
        <w:rPr>
          <w:color w:val="000000" w:themeColor="text1"/>
          <w14:textFill>
            <w14:solidFill>
              <w14:schemeClr w14:val="tx1"/>
            </w14:solidFill>
          </w14:textFill>
        </w:rPr>
      </w:pPr>
    </w:p>
    <w:p>
      <w:pPr>
        <w:pStyle w:val="9"/>
        <w:ind w:firstLine="3600" w:firstLineChars="150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（签字或盖章）</w:t>
      </w:r>
    </w:p>
    <w:p>
      <w:pPr>
        <w:pStyle w:val="9"/>
        <w:ind w:firstLine="0" w:firstLineChars="0"/>
        <w:rPr>
          <w:color w:val="000000" w:themeColor="text1"/>
          <w14:textFill>
            <w14:solidFill>
              <w14:schemeClr w14:val="tx1"/>
            </w14:solidFill>
          </w14:textFill>
        </w:rPr>
      </w:pPr>
    </w:p>
    <w:p>
      <w:pPr>
        <w:wordWrap w:val="0"/>
        <w:spacing w:line="336" w:lineRule="auto"/>
        <w:ind w:firstLine="3600" w:firstLineChars="1500"/>
        <w:rPr>
          <w:rFonts w:hAnsi="宋体" w:cs="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spacing w:line="336" w:lineRule="auto"/>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注：</w:t>
      </w:r>
    </w:p>
    <w:p>
      <w:pPr>
        <w:spacing w:line="336" w:lineRule="auto"/>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1.此授权书的有效期应与响应文件有效期一致；</w:t>
      </w:r>
    </w:p>
    <w:p>
      <w:pPr>
        <w:ind w:firstLine="480" w:firstLineChars="200"/>
        <w:rPr>
          <w:rFonts w:hAnsi="宋体" w:cs="宋体"/>
          <w:color w:val="000000" w:themeColor="text1"/>
          <w:szCs w:val="24"/>
          <w:lang w:val="zh-CN"/>
          <w14:textFill>
            <w14:solidFill>
              <w14:schemeClr w14:val="tx1"/>
            </w14:solidFill>
          </w14:textFill>
        </w:rPr>
      </w:pPr>
      <w:r>
        <w:rPr>
          <w:rFonts w:hint="eastAsia" w:hAnsi="宋体" w:cs="宋体"/>
          <w:color w:val="000000" w:themeColor="text1"/>
          <w:szCs w:val="24"/>
          <w14:textFill>
            <w14:solidFill>
              <w14:schemeClr w14:val="tx1"/>
            </w14:solidFill>
          </w14:textFill>
        </w:rPr>
        <w:t>2.</w:t>
      </w:r>
      <w:r>
        <w:rPr>
          <w:rFonts w:hint="eastAsia" w:hAnsi="宋体" w:cs="宋体"/>
          <w:color w:val="000000" w:themeColor="text1"/>
          <w:szCs w:val="24"/>
          <w:lang w:val="zh-CN"/>
          <w14:textFill>
            <w14:solidFill>
              <w14:schemeClr w14:val="tx1"/>
            </w14:solidFill>
          </w14:textFill>
        </w:rPr>
        <w:t>法定代表人直接</w:t>
      </w:r>
      <w:r>
        <w:rPr>
          <w:rFonts w:hint="eastAsia" w:hAnsi="宋体" w:cs="宋体"/>
          <w:color w:val="000000" w:themeColor="text1"/>
          <w:szCs w:val="24"/>
          <w14:textFill>
            <w14:solidFill>
              <w14:schemeClr w14:val="tx1"/>
            </w14:solidFill>
          </w14:textFill>
        </w:rPr>
        <w:t>投标</w:t>
      </w:r>
      <w:r>
        <w:rPr>
          <w:rFonts w:hint="eastAsia" w:hAnsi="宋体" w:cs="宋体"/>
          <w:color w:val="000000" w:themeColor="text1"/>
          <w:szCs w:val="24"/>
          <w:lang w:val="zh-CN"/>
          <w14:textFill>
            <w14:solidFill>
              <w14:schemeClr w14:val="tx1"/>
            </w14:solidFill>
          </w14:textFill>
        </w:rPr>
        <w:t>时无需提供。</w:t>
      </w:r>
    </w:p>
    <w:p>
      <w:pPr>
        <w:rPr>
          <w:rStyle w:val="30"/>
          <w:color w:val="000000" w:themeColor="text1"/>
          <w14:textFill>
            <w14:solidFill>
              <w14:schemeClr w14:val="tx1"/>
            </w14:solidFill>
          </w14:textFill>
        </w:rPr>
      </w:pPr>
      <w:bookmarkStart w:id="302" w:name="_Toc16210"/>
      <w:bookmarkStart w:id="303" w:name="_Toc2470"/>
      <w:bookmarkStart w:id="304" w:name="_Toc30210"/>
      <w:bookmarkStart w:id="305" w:name="_Toc363474028"/>
      <w:bookmarkStart w:id="306" w:name="_Toc403077649"/>
      <w:bookmarkStart w:id="307" w:name="_Toc426457701"/>
      <w:bookmarkStart w:id="308" w:name="_Toc16097"/>
      <w:bookmarkStart w:id="309" w:name="_Toc4867"/>
      <w:bookmarkStart w:id="310" w:name="_Toc19075"/>
      <w:bookmarkStart w:id="311" w:name="_Toc25348"/>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4"/>
        <w:rPr>
          <w:rStyle w:val="30"/>
          <w:b/>
          <w:bCs/>
          <w:color w:val="000000" w:themeColor="text1"/>
          <w:lang w:val="zh-CN"/>
          <w14:textFill>
            <w14:solidFill>
              <w14:schemeClr w14:val="tx1"/>
            </w14:solidFill>
          </w14:textFill>
        </w:rPr>
      </w:pPr>
      <w:r>
        <w:rPr>
          <w:rStyle w:val="30"/>
          <w:rFonts w:hint="eastAsia"/>
          <w:b/>
          <w:bCs/>
          <w:color w:val="000000" w:themeColor="text1"/>
          <w14:textFill>
            <w14:solidFill>
              <w14:schemeClr w14:val="tx1"/>
            </w14:solidFill>
          </w14:textFill>
        </w:rPr>
        <w:t>六、</w:t>
      </w:r>
      <w:r>
        <w:rPr>
          <w:rStyle w:val="30"/>
          <w:rFonts w:hint="eastAsia"/>
          <w:b/>
          <w:bCs/>
          <w:color w:val="000000" w:themeColor="text1"/>
          <w:lang w:val="zh-CN"/>
          <w14:textFill>
            <w14:solidFill>
              <w14:schemeClr w14:val="tx1"/>
            </w14:solidFill>
          </w14:textFill>
        </w:rPr>
        <w:t>投标人承诺书</w:t>
      </w:r>
    </w:p>
    <w:p>
      <w:pPr>
        <w:pStyle w:val="5"/>
        <w:spacing w:before="680" w:after="680"/>
        <w:rPr>
          <w:color w:val="000000" w:themeColor="text1"/>
          <w14:textFill>
            <w14:solidFill>
              <w14:schemeClr w14:val="tx1"/>
            </w14:solidFill>
          </w14:textFill>
        </w:rPr>
      </w:pPr>
      <w:r>
        <w:rPr>
          <w:rFonts w:hint="eastAsia"/>
          <w:color w:val="000000" w:themeColor="text1"/>
          <w14:textFill>
            <w14:solidFill>
              <w14:schemeClr w14:val="tx1"/>
            </w14:solidFill>
          </w14:textFill>
        </w:rPr>
        <w:t>6.1陕西省政府采购投标人拒绝政府采购领域商业贿赂承诺书</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为响应党中央、国务院关于治理政府采购领域商业贿赂行为的号召，我公司在此庄严承诺：</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1.在参与政府采购活动中遵纪守法、诚信经营、公平竞标。</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2.不向政府采购人、采购代理机构和政府采购评审专家进行任何形式的商业贿赂以谋取交易机会。</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3.不向政府采购代理机构和采购人提供虚假资质文件或采用虚假应标方式参与政府采购市场竞争并谋取中标、成交。</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4.不采取“围标、陪标”等商业欺诈手段获得政府采购定单。</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5.不采取不正当手段诋毁、排挤其他投标人。</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6.不在提供商品和服务时“偷梁换柱、以次充好”损害采购人的合法权益。</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7.不与采购人、采购代理机构政府采购评审专家或其它投标人恶意串通，进行质疑和投诉，维护政府采购市场秩序。</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8.尊重和接受政府采购监督管理部门的监督和政府采购代理机构招标采购要求，承担因违约行为给采购人造成的损失。</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9.不发生其他有悖于政府采购公开、公平、公正和诚信原则的行为。</w:t>
      </w:r>
    </w:p>
    <w:p>
      <w:pPr>
        <w:pStyle w:val="9"/>
        <w:ind w:firstLine="0" w:firstLineChars="0"/>
        <w:rPr>
          <w:color w:val="000000" w:themeColor="text1"/>
          <w14:textFill>
            <w14:solidFill>
              <w14:schemeClr w14:val="tx1"/>
            </w14:solidFill>
          </w14:textFill>
        </w:rPr>
      </w:pPr>
    </w:p>
    <w:p>
      <w:pPr>
        <w:pStyle w:val="9"/>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承诺单位：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（盖章）</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被授权人：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（签字）</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地  址：</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w:t>
      </w:r>
    </w:p>
    <w:p>
      <w:pPr>
        <w:widowControl/>
        <w:spacing w:line="408" w:lineRule="auto"/>
        <w:jc w:val="left"/>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邮  编：</w:t>
      </w:r>
      <w:r>
        <w:rPr>
          <w:rFonts w:hint="eastAsia"/>
          <w:color w:val="000000" w:themeColor="text1"/>
          <w:u w:val="single"/>
          <w14:textFill>
            <w14:solidFill>
              <w14:schemeClr w14:val="tx1"/>
            </w14:solidFill>
          </w14:textFill>
        </w:rPr>
        <w:t xml:space="preserve">                       </w:t>
      </w:r>
      <w:r>
        <w:rPr>
          <w:rFonts w:hint="eastAsia" w:hAnsi="宋体" w:cs="宋体"/>
          <w:color w:val="000000" w:themeColor="text1"/>
          <w:u w:val="single"/>
          <w14:textFill>
            <w14:solidFill>
              <w14:schemeClr w14:val="tx1"/>
            </w14:solidFill>
          </w14:textFill>
        </w:rPr>
        <w:br w:type="textWrapping"/>
      </w:r>
      <w:r>
        <w:rPr>
          <w:rFonts w:hint="eastAsia" w:hAnsi="宋体" w:cs="宋体"/>
          <w:color w:val="000000" w:themeColor="text1"/>
          <w14:textFill>
            <w14:solidFill>
              <w14:schemeClr w14:val="tx1"/>
            </w14:solidFill>
          </w14:textFill>
        </w:rPr>
        <w:t>电  话：</w:t>
      </w:r>
      <w:r>
        <w:rPr>
          <w:rFonts w:hint="eastAsia"/>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pStyle w:val="2"/>
        <w:rPr>
          <w:color w:val="000000" w:themeColor="text1"/>
          <w14:textFill>
            <w14:solidFill>
              <w14:schemeClr w14:val="tx1"/>
            </w14:solidFill>
          </w14:textFill>
        </w:rPr>
      </w:pPr>
    </w:p>
    <w:p>
      <w:pPr>
        <w:pStyle w:val="5"/>
        <w:spacing w:before="680" w:after="680"/>
        <w:rPr>
          <w:color w:val="000000" w:themeColor="text1"/>
          <w:lang w:val="zh-CN"/>
          <w14:textFill>
            <w14:solidFill>
              <w14:schemeClr w14:val="tx1"/>
            </w14:solidFill>
          </w14:textFill>
        </w:rPr>
      </w:pPr>
      <w:r>
        <w:rPr>
          <w:rFonts w:hint="eastAsia"/>
          <w:color w:val="000000" w:themeColor="text1"/>
          <w:sz w:val="30"/>
          <w:szCs w:val="30"/>
          <w14:textFill>
            <w14:solidFill>
              <w14:schemeClr w14:val="tx1"/>
            </w14:solidFill>
          </w14:textFill>
        </w:rPr>
        <w:t>6.2</w:t>
      </w:r>
      <w:r>
        <w:rPr>
          <w:rFonts w:hint="eastAsia"/>
          <w:color w:val="000000" w:themeColor="text1"/>
          <w:sz w:val="30"/>
          <w:szCs w:val="30"/>
          <w:lang w:val="zh-CN"/>
          <w14:textFill>
            <w14:solidFill>
              <w14:schemeClr w14:val="tx1"/>
            </w14:solidFill>
          </w14:textFill>
        </w:rPr>
        <w:t xml:space="preserve"> 投标人企业关系关联承诺书</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1、投标人在本项目投标中，不存在与其它投标人负责人为同一人，有控股、管理等关联关系承诺：</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1.1管理关系说明：</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我单位管理的具有独立法人的下属单位有：</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我单位的上级管理单位有</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1.2股权关系说明：</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我单位控股的单位有</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我单位被</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单位控股。</w:t>
      </w:r>
    </w:p>
    <w:p>
      <w:pPr>
        <w:pStyle w:val="9"/>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1.3、单位负责人：</w:t>
      </w:r>
      <w:r>
        <w:rPr>
          <w:rFonts w:hint="eastAsia"/>
          <w:color w:val="000000" w:themeColor="text1"/>
          <w:u w:val="single"/>
          <w14:textFill>
            <w14:solidFill>
              <w14:schemeClr w14:val="tx1"/>
            </w14:solidFill>
          </w14:textFill>
        </w:rPr>
        <w:t xml:space="preserve">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（是或否）为采购项目提供整体设计、规范编制或者项目管理、监理、检测等服务的投标人。</w:t>
      </w:r>
    </w:p>
    <w:p>
      <w:pPr>
        <w:pStyle w:val="9"/>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3、其他与本项目有关的利害关系说明：</w:t>
      </w:r>
      <w:r>
        <w:rPr>
          <w:rFonts w:hint="eastAsia"/>
          <w:color w:val="000000" w:themeColor="text1"/>
          <w:u w:val="single"/>
          <w14:textFill>
            <w14:solidFill>
              <w14:schemeClr w14:val="tx1"/>
            </w14:solidFill>
          </w14:textFill>
        </w:rPr>
        <w:t xml:space="preserve">                 </w:t>
      </w:r>
    </w:p>
    <w:p>
      <w:pPr>
        <w:pStyle w:val="9"/>
        <w:ind w:firstLine="480"/>
        <w:rPr>
          <w:color w:val="000000" w:themeColor="text1"/>
          <w:u w:val="single"/>
          <w14:textFill>
            <w14:solidFill>
              <w14:schemeClr w14:val="tx1"/>
            </w14:solidFill>
          </w14:textFill>
        </w:rPr>
      </w:pP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我单位承诺以上说明真实有效，无虚假内容或隐瞒。</w:t>
      </w:r>
    </w:p>
    <w:p>
      <w:pPr>
        <w:spacing w:line="500" w:lineRule="exact"/>
        <w:ind w:firstLine="240" w:firstLineChars="100"/>
        <w:rPr>
          <w:rFonts w:hAnsi="宋体" w:cs="宋体"/>
          <w:color w:val="000000" w:themeColor="text1"/>
          <w:szCs w:val="24"/>
          <w14:textFill>
            <w14:solidFill>
              <w14:schemeClr w14:val="tx1"/>
            </w14:solidFill>
          </w14:textFill>
        </w:rPr>
      </w:pPr>
    </w:p>
    <w:p>
      <w:pPr>
        <w:pStyle w:val="2"/>
        <w:rPr>
          <w:color w:val="000000" w:themeColor="text1"/>
          <w14:textFill>
            <w14:solidFill>
              <w14:schemeClr w14:val="tx1"/>
            </w14:solidFill>
          </w14:textFill>
        </w:rPr>
      </w:pPr>
    </w:p>
    <w:p>
      <w:pPr>
        <w:pStyle w:val="9"/>
        <w:ind w:firstLine="3600" w:firstLineChars="150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（盖单位公章）</w:t>
      </w:r>
    </w:p>
    <w:p>
      <w:pPr>
        <w:pStyle w:val="9"/>
        <w:ind w:firstLine="0" w:firstLineChars="0"/>
        <w:rPr>
          <w:color w:val="000000" w:themeColor="text1"/>
          <w14:textFill>
            <w14:solidFill>
              <w14:schemeClr w14:val="tx1"/>
            </w14:solidFill>
          </w14:textFill>
        </w:rPr>
      </w:pPr>
    </w:p>
    <w:p>
      <w:pPr>
        <w:pStyle w:val="9"/>
        <w:ind w:firstLine="3600" w:firstLineChars="150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法定代表人或被授权人：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（签字或盖章）</w:t>
      </w:r>
    </w:p>
    <w:p>
      <w:pPr>
        <w:pStyle w:val="9"/>
        <w:ind w:firstLine="0" w:firstLineChars="0"/>
        <w:rPr>
          <w:color w:val="000000" w:themeColor="text1"/>
          <w14:textFill>
            <w14:solidFill>
              <w14:schemeClr w14:val="tx1"/>
            </w14:solidFill>
          </w14:textFill>
        </w:rPr>
      </w:pPr>
    </w:p>
    <w:p>
      <w:pPr>
        <w:spacing w:line="500" w:lineRule="exact"/>
        <w:ind w:firstLine="3600" w:firstLineChars="1500"/>
        <w:rPr>
          <w:color w:val="000000" w:themeColor="text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pStyle w:val="2"/>
        <w:rPr>
          <w:color w:val="000000" w:themeColor="text1"/>
          <w14:textFill>
            <w14:solidFill>
              <w14:schemeClr w14:val="tx1"/>
            </w14:solidFill>
          </w14:textFill>
        </w:rPr>
      </w:pPr>
    </w:p>
    <w:p>
      <w:pPr>
        <w:spacing w:before="170" w:beforeLines="50" w:line="360" w:lineRule="auto"/>
        <w:jc w:val="center"/>
        <w:rPr>
          <w:rFonts w:hAnsi="宋体" w:cs="宋体"/>
          <w:color w:val="000000" w:themeColor="text1"/>
          <w:sz w:val="32"/>
          <w:szCs w:val="32"/>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七、其他资料</w:t>
      </w:r>
      <w:bookmarkEnd w:id="302"/>
      <w:bookmarkEnd w:id="303"/>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1、基本存款账户开户许可证（基本账户信息表）。</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2、依据招标文件要求，投标人认为有必要说明的其他内容。</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3、其他可以证明投标人实力的文件。</w:t>
      </w:r>
    </w:p>
    <w:p>
      <w:pPr>
        <w:pStyle w:val="2"/>
        <w:rPr>
          <w:color w:val="000000" w:themeColor="text1"/>
          <w14:textFill>
            <w14:solidFill>
              <w14:schemeClr w14:val="tx1"/>
            </w14:solidFill>
          </w14:textFill>
        </w:rPr>
      </w:pPr>
    </w:p>
    <w:p>
      <w:pPr>
        <w:rPr>
          <w:rStyle w:val="37"/>
          <w:color w:val="000000" w:themeColor="text1"/>
          <w14:textFill>
            <w14:solidFill>
              <w14:schemeClr w14:val="tx1"/>
            </w14:solidFill>
          </w14:textFill>
        </w:rPr>
      </w:pPr>
      <w:r>
        <w:rPr>
          <w:rStyle w:val="37"/>
          <w:rFonts w:hint="eastAsia"/>
          <w:color w:val="000000" w:themeColor="text1"/>
          <w14:textFill>
            <w14:solidFill>
              <w14:schemeClr w14:val="tx1"/>
            </w14:solidFill>
          </w14:textFill>
        </w:rPr>
        <w:br w:type="page"/>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附件1 （如有）</w:t>
      </w:r>
    </w:p>
    <w:p>
      <w:pPr>
        <w:pStyle w:val="5"/>
        <w:spacing w:before="680" w:after="680"/>
        <w:rPr>
          <w:color w:val="000000" w:themeColor="text1"/>
          <w14:textFill>
            <w14:solidFill>
              <w14:schemeClr w14:val="tx1"/>
            </w14:solidFill>
          </w14:textFill>
        </w:rPr>
      </w:pPr>
      <w:r>
        <w:rPr>
          <w:rFonts w:hint="eastAsia"/>
          <w:color w:val="000000" w:themeColor="text1"/>
          <w14:textFill>
            <w14:solidFill>
              <w14:schemeClr w14:val="tx1"/>
            </w14:solidFill>
          </w14:textFill>
        </w:rPr>
        <w:t>投标担保函（参考格式）</w:t>
      </w:r>
    </w:p>
    <w:p>
      <w:pPr>
        <w:pStyle w:val="9"/>
        <w:ind w:firstLine="480"/>
        <w:rPr>
          <w:color w:val="000000" w:themeColor="text1"/>
          <w14:textFill>
            <w14:solidFill>
              <w14:schemeClr w14:val="tx1"/>
            </w14:solidFill>
          </w14:textFill>
        </w:rPr>
      </w:pPr>
      <w:r>
        <w:rPr>
          <w:rFonts w:hint="eastAsia"/>
          <w:color w:val="000000" w:themeColor="text1"/>
          <w:szCs w:val="32"/>
          <w14:textFill>
            <w14:solidFill>
              <w14:schemeClr w14:val="tx1"/>
            </w14:solidFill>
          </w14:textFill>
        </w:rPr>
        <w:t xml:space="preserve">                     </w:t>
      </w:r>
      <w:r>
        <w:rPr>
          <w:rFonts w:hint="eastAsia"/>
          <w:color w:val="000000" w:themeColor="text1"/>
          <w14:textFill>
            <w14:solidFill>
              <w14:schemeClr w14:val="tx1"/>
            </w14:solidFill>
          </w14:textFill>
        </w:rPr>
        <w:t xml:space="preserve">                           编号： </w:t>
      </w:r>
    </w:p>
    <w:p>
      <w:pPr>
        <w:pStyle w:val="9"/>
        <w:ind w:firstLine="480"/>
        <w:rPr>
          <w:color w:val="000000" w:themeColor="text1"/>
          <w14:textFill>
            <w14:solidFill>
              <w14:schemeClr w14:val="tx1"/>
            </w14:solidFill>
          </w14:textFill>
        </w:rPr>
      </w:pPr>
    </w:p>
    <w:p>
      <w:pPr>
        <w:pStyle w:val="9"/>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___________________（采购人或采购代理机构）：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鉴于_______________（以下简称“投标人”）拟参加编号为___________的_______项目      （以下简称“本项目”）投标，根据本项目招标文件，投标人参加投标时应向你方交纳投标保证金，且可以投标担保函的形式交纳投标保证金。应投标人的申请，我方以保证的方式向你方提供如下投标保证金担保： </w:t>
      </w:r>
    </w:p>
    <w:p>
      <w:pPr>
        <w:pStyle w:val="9"/>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一、保证责任的情形及保证金额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（一）在投标人出现下列情形之一时，我方承担保证责任：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1．中标后投标人无正当理由不与采购人或者采购代理机构签订《政府采购合同》；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2．招标文件规定的投标人应当缴纳保证金的其他情形。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（二）我方承担保证责任的最高金额为人民币______元（大写_________________），即本项目     的投标保证金金额。 </w:t>
      </w:r>
    </w:p>
    <w:p>
      <w:pPr>
        <w:pStyle w:val="9"/>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二、保证的方式及保证期间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我方保证的方式为：连带责任保证。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我方的保证期间为：自本保函生效之日起______个月止。 </w:t>
      </w:r>
    </w:p>
    <w:p>
      <w:pPr>
        <w:pStyle w:val="9"/>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三、承担保证责任的程序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1．你方要求我方承担保证责任的，应在本保函保证期间内向我方发出书面索赔通知。索赔通知应写明要求索赔的金额，支付款项应到达的账号，并附有证明投标人发生我方应承担保证责任情形的事实材料。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2．我方在收到索赔通知及相关证明材料后，在_____个工作日内进行审查，符合应承担保证责任情形的，我方应按照你方的要求代投标人向你方支付投标保证金。 </w:t>
      </w:r>
    </w:p>
    <w:p>
      <w:pPr>
        <w:pStyle w:val="9"/>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四、保证责任的终止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1．保证期间届满你方未向我方书面主张保证责任的，自保证期间届满次日起，我方保证责任自动终止。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2．我方按照本保函向你方履行了保证责任后，自我方向你方支付款项（支付款项从我方账户划出）之日起，保证责任终止。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3．按照法律法规的规定或出现我方保证责任终止的其它情形的，我方在本保函项下的保证责任亦终止。 </w:t>
      </w:r>
    </w:p>
    <w:p>
      <w:pPr>
        <w:pStyle w:val="9"/>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五、免责条款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1．依照法律规定或你方与投标人的另行约定，全部或者部分免除投标人投标保证金义务时，我方亦免除相应的保证责任。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2．因你方原因致使投标人发生本保函第一条第（一）款约定情形的，我方不承担保证责任。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3．因不可抗力造成投标人发生本保函第一条约定情形的，我方不承担保证责任。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4．你方或其他有权机关对招标文件进行任何澄清或修改，加重我方保证责任的，我方对加重部分不承担保证责任，但该澄清或修改经我方事先书面同意的除外。 </w:t>
      </w:r>
    </w:p>
    <w:p>
      <w:pPr>
        <w:pStyle w:val="9"/>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六、争议的解决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因本保函发生的纠纷，由你我双方协商解决，协商不成的，通过诉讼程序解决，诉讼管辖地法院为________________法院。 </w:t>
      </w:r>
    </w:p>
    <w:p>
      <w:pPr>
        <w:pStyle w:val="9"/>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七、保函的生效 </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本保函自我方加盖公章之日起生效。 </w:t>
      </w:r>
    </w:p>
    <w:p>
      <w:p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 xml:space="preserve">                             </w:t>
      </w:r>
    </w:p>
    <w:p>
      <w:pPr>
        <w:spacing w:line="360" w:lineRule="auto"/>
        <w:rPr>
          <w:rFonts w:hAnsi="宋体" w:cs="宋体"/>
          <w:color w:val="000000" w:themeColor="text1"/>
          <w:szCs w:val="24"/>
          <w14:textFill>
            <w14:solidFill>
              <w14:schemeClr w14:val="tx1"/>
            </w14:solidFill>
          </w14:textFill>
        </w:rPr>
      </w:pPr>
    </w:p>
    <w:p>
      <w:pPr>
        <w:spacing w:line="360" w:lineRule="auto"/>
        <w:rPr>
          <w:rFonts w:hAnsi="宋体" w:cs="宋体"/>
          <w:color w:val="000000" w:themeColor="text1"/>
          <w:szCs w:val="24"/>
          <w14:textFill>
            <w14:solidFill>
              <w14:schemeClr w14:val="tx1"/>
            </w14:solidFill>
          </w14:textFill>
        </w:rPr>
      </w:pPr>
    </w:p>
    <w:p>
      <w:pPr>
        <w:pStyle w:val="9"/>
        <w:ind w:firstLine="5040" w:firstLineChars="2100"/>
        <w:rPr>
          <w:color w:val="000000" w:themeColor="text1"/>
          <w14:textFill>
            <w14:solidFill>
              <w14:schemeClr w14:val="tx1"/>
            </w14:solidFill>
          </w14:textFill>
        </w:rPr>
      </w:pPr>
      <w:r>
        <w:rPr>
          <w:rFonts w:hint="eastAsia"/>
          <w:color w:val="000000" w:themeColor="text1"/>
          <w14:textFill>
            <w14:solidFill>
              <w14:schemeClr w14:val="tx1"/>
            </w14:solidFill>
          </w14:textFill>
        </w:rPr>
        <w:t>保证人：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（公章）</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pStyle w:val="10"/>
        <w:ind w:left="1440"/>
        <w:rPr>
          <w:color w:val="000000" w:themeColor="text1"/>
          <w14:textFill>
            <w14:solidFill>
              <w14:schemeClr w14:val="tx1"/>
            </w14:solidFill>
          </w14:textFill>
        </w:rPr>
      </w:pPr>
    </w:p>
    <w:p>
      <w:pPr>
        <w:snapToGrid w:val="0"/>
        <w:spacing w:line="480" w:lineRule="auto"/>
        <w:rPr>
          <w:rFonts w:hAnsi="宋体" w:cs="宋体"/>
          <w:color w:val="000000" w:themeColor="text1"/>
          <w:szCs w:val="21"/>
          <w14:textFill>
            <w14:solidFill>
              <w14:schemeClr w14:val="tx1"/>
            </w14:solidFill>
          </w14:textFill>
        </w:rPr>
      </w:pPr>
    </w:p>
    <w:p>
      <w:pPr>
        <w:snapToGrid w:val="0"/>
        <w:rPr>
          <w:rFonts w:hAnsi="宋体" w:cs="宋体"/>
          <w:color w:val="000000" w:themeColor="text1"/>
          <w:szCs w:val="21"/>
          <w14:textFill>
            <w14:solidFill>
              <w14:schemeClr w14:val="tx1"/>
            </w14:solidFill>
          </w14:textFill>
        </w:rPr>
      </w:pPr>
    </w:p>
    <w:p>
      <w:pPr>
        <w:snapToGrid w:val="0"/>
        <w:rPr>
          <w:rFonts w:hAnsi="宋体" w:cs="宋体"/>
          <w:color w:val="000000" w:themeColor="text1"/>
          <w:szCs w:val="21"/>
          <w14:textFill>
            <w14:solidFill>
              <w14:schemeClr w14:val="tx1"/>
            </w14:solidFill>
          </w14:textFill>
        </w:rPr>
      </w:pPr>
    </w:p>
    <w:p>
      <w:pPr>
        <w:snapToGrid w:val="0"/>
        <w:rPr>
          <w:rFonts w:hAnsi="宋体" w:cs="宋体"/>
          <w:color w:val="000000" w:themeColor="text1"/>
          <w:szCs w:val="21"/>
          <w14:textFill>
            <w14:solidFill>
              <w14:schemeClr w14:val="tx1"/>
            </w14:solidFill>
          </w14:textFill>
        </w:rPr>
      </w:pPr>
    </w:p>
    <w:p>
      <w:pPr>
        <w:pStyle w:val="2"/>
        <w:rPr>
          <w:color w:val="000000" w:themeColor="text1"/>
          <w14:textFill>
            <w14:solidFill>
              <w14:schemeClr w14:val="tx1"/>
            </w14:solidFill>
          </w14:textFill>
        </w:rPr>
      </w:pPr>
    </w:p>
    <w:bookmarkEnd w:id="304"/>
    <w:bookmarkEnd w:id="305"/>
    <w:bookmarkEnd w:id="306"/>
    <w:bookmarkEnd w:id="307"/>
    <w:bookmarkEnd w:id="308"/>
    <w:bookmarkEnd w:id="309"/>
    <w:bookmarkEnd w:id="310"/>
    <w:bookmarkEnd w:id="311"/>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附件2（如有）</w:t>
      </w:r>
    </w:p>
    <w:p>
      <w:pPr>
        <w:pStyle w:val="5"/>
        <w:spacing w:before="680" w:after="680"/>
        <w:rPr>
          <w:color w:val="000000" w:themeColor="text1"/>
          <w14:textFill>
            <w14:solidFill>
              <w14:schemeClr w14:val="tx1"/>
            </w14:solidFill>
          </w14:textFill>
        </w:rPr>
      </w:pPr>
      <w:r>
        <w:rPr>
          <w:rFonts w:hint="eastAsia"/>
          <w:color w:val="000000" w:themeColor="text1"/>
          <w14:textFill>
            <w14:solidFill>
              <w14:schemeClr w14:val="tx1"/>
            </w14:solidFill>
          </w14:textFill>
        </w:rPr>
        <w:t>中小企业声明函（货物）(非中小企业不填写)</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本公司（联合体）郑重声明，根据《政府采购促进中小企业发展管理办法》（财库﹝2020﹞46 号）的规定，本公司（联合体）参加</w:t>
      </w:r>
      <w:r>
        <w:rPr>
          <w:rFonts w:hint="eastAsia"/>
          <w:color w:val="000000" w:themeColor="text1"/>
          <w:u w:val="single"/>
          <w14:textFill>
            <w14:solidFill>
              <w14:schemeClr w14:val="tx1"/>
            </w14:solidFill>
          </w14:textFill>
        </w:rPr>
        <w:t>（单位名称）</w:t>
      </w:r>
      <w:r>
        <w:rPr>
          <w:rFonts w:hint="eastAsia"/>
          <w:color w:val="000000" w:themeColor="text1"/>
          <w14:textFill>
            <w14:solidFill>
              <w14:schemeClr w14:val="tx1"/>
            </w14:solidFill>
          </w14:textFill>
        </w:rPr>
        <w:t>的</w:t>
      </w:r>
      <w:r>
        <w:rPr>
          <w:rFonts w:hint="eastAsia"/>
          <w:color w:val="000000" w:themeColor="text1"/>
          <w:u w:val="single"/>
          <w14:textFill>
            <w14:solidFill>
              <w14:schemeClr w14:val="tx1"/>
            </w14:solidFill>
          </w14:textFill>
        </w:rPr>
        <w:t>（项目名称）</w:t>
      </w:r>
      <w:r>
        <w:rPr>
          <w:rFonts w:hint="eastAsia"/>
          <w:color w:val="000000" w:themeColor="text1"/>
          <w14:textFill>
            <w14:solidFill>
              <w14:schemeClr w14:val="tx1"/>
            </w14:solidFill>
          </w14:textFill>
        </w:rPr>
        <w:t>采购活动，提供的货物全部由符合政策要求的中小企业制造。相关企业（含联合体中的中小企业、签订分包意向协议的中小企业） 的具体情况如下：</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u w:val="single"/>
          <w14:textFill>
            <w14:solidFill>
              <w14:schemeClr w14:val="tx1"/>
            </w14:solidFill>
          </w14:textFill>
        </w:rPr>
        <w:t xml:space="preserve"> （标的名称） </w:t>
      </w:r>
      <w:r>
        <w:rPr>
          <w:rFonts w:hint="eastAsia"/>
          <w:color w:val="000000" w:themeColor="text1"/>
          <w14:textFill>
            <w14:solidFill>
              <w14:schemeClr w14:val="tx1"/>
            </w14:solidFill>
          </w14:textFill>
        </w:rPr>
        <w:t>，属于</w:t>
      </w:r>
      <w:r>
        <w:rPr>
          <w:rFonts w:hint="eastAsia"/>
          <w:color w:val="000000" w:themeColor="text1"/>
          <w:u w:val="single"/>
          <w14:textFill>
            <w14:solidFill>
              <w14:schemeClr w14:val="tx1"/>
            </w14:solidFill>
          </w14:textFill>
        </w:rPr>
        <w:t>（采购文件中明确的所属行业）</w:t>
      </w:r>
      <w:r>
        <w:rPr>
          <w:rFonts w:hint="eastAsia"/>
          <w:color w:val="000000" w:themeColor="text1"/>
          <w14:textFill>
            <w14:solidFill>
              <w14:schemeClr w14:val="tx1"/>
            </w14:solidFill>
          </w14:textFill>
        </w:rPr>
        <w:t>行业；制造商为</w:t>
      </w:r>
      <w:r>
        <w:rPr>
          <w:rFonts w:hint="eastAsia"/>
          <w:color w:val="000000" w:themeColor="text1"/>
          <w:u w:val="single"/>
          <w14:textFill>
            <w14:solidFill>
              <w14:schemeClr w14:val="tx1"/>
            </w14:solidFill>
          </w14:textFill>
        </w:rPr>
        <w:t>（企业名称）</w:t>
      </w:r>
      <w:r>
        <w:rPr>
          <w:rFonts w:hint="eastAsia"/>
          <w:color w:val="000000" w:themeColor="text1"/>
          <w14:textFill>
            <w14:solidFill>
              <w14:schemeClr w14:val="tx1"/>
            </w14:solidFill>
          </w14:textFill>
        </w:rPr>
        <w:t>，从业人员</w:t>
      </w:r>
      <w:r>
        <w:rPr>
          <w:rFonts w:hint="eastAsia"/>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ab/>
      </w:r>
      <w:r>
        <w:rPr>
          <w:rFonts w:hint="eastAsia"/>
          <w:color w:val="000000" w:themeColor="text1"/>
          <w14:textFill>
            <w14:solidFill>
              <w14:schemeClr w14:val="tx1"/>
            </w14:solidFill>
          </w14:textFill>
        </w:rPr>
        <w:t>人，营业收入为</w:t>
      </w:r>
      <w:r>
        <w:rPr>
          <w:rFonts w:hint="eastAsia"/>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ab/>
      </w:r>
      <w:r>
        <w:rPr>
          <w:rFonts w:hint="eastAsia"/>
          <w:color w:val="000000" w:themeColor="text1"/>
          <w14:textFill>
            <w14:solidFill>
              <w14:schemeClr w14:val="tx1"/>
            </w14:solidFill>
          </w14:textFill>
        </w:rPr>
        <w:t>万元，资产总额为</w:t>
      </w:r>
      <w:r>
        <w:rPr>
          <w:rFonts w:hint="eastAsia"/>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万元1，属于</w:t>
      </w:r>
      <w:r>
        <w:rPr>
          <w:rFonts w:hint="eastAsia"/>
          <w:color w:val="000000" w:themeColor="text1"/>
          <w:u w:val="single"/>
          <w14:textFill>
            <w14:solidFill>
              <w14:schemeClr w14:val="tx1"/>
            </w14:solidFill>
          </w14:textFill>
        </w:rPr>
        <w:t>（中型企业、小型企业、微型企业）</w:t>
      </w:r>
      <w:r>
        <w:rPr>
          <w:rFonts w:hint="eastAsia"/>
          <w:color w:val="000000" w:themeColor="text1"/>
          <w14:textFill>
            <w14:solidFill>
              <w14:schemeClr w14:val="tx1"/>
            </w14:solidFill>
          </w14:textFill>
        </w:rPr>
        <w:t>；</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u w:val="single"/>
          <w14:textFill>
            <w14:solidFill>
              <w14:schemeClr w14:val="tx1"/>
            </w14:solidFill>
          </w14:textFill>
        </w:rPr>
        <w:t xml:space="preserve"> （ 标 的 名 称 ） </w:t>
      </w:r>
      <w:r>
        <w:rPr>
          <w:rFonts w:hint="eastAsia"/>
          <w:color w:val="000000" w:themeColor="text1"/>
          <w14:textFill>
            <w14:solidFill>
              <w14:schemeClr w14:val="tx1"/>
            </w14:solidFill>
          </w14:textFill>
        </w:rPr>
        <w:t>， 属 于</w:t>
      </w:r>
      <w:r>
        <w:rPr>
          <w:rFonts w:hint="eastAsia"/>
          <w:color w:val="000000" w:themeColor="text1"/>
          <w:u w:val="single"/>
          <w14:textFill>
            <w14:solidFill>
              <w14:schemeClr w14:val="tx1"/>
            </w14:solidFill>
          </w14:textFill>
        </w:rPr>
        <w:t xml:space="preserve">（ 采 购 文 件 中 明 确 的 所 属 行 业 ） </w:t>
      </w:r>
      <w:r>
        <w:rPr>
          <w:rFonts w:hint="eastAsia"/>
          <w:color w:val="000000" w:themeColor="text1"/>
          <w14:textFill>
            <w14:solidFill>
              <w14:schemeClr w14:val="tx1"/>
            </w14:solidFill>
          </w14:textFill>
        </w:rPr>
        <w:t>行业；制造商为</w:t>
      </w:r>
      <w:r>
        <w:rPr>
          <w:rFonts w:hint="eastAsia"/>
          <w:color w:val="000000" w:themeColor="text1"/>
          <w:u w:val="single"/>
          <w14:textFill>
            <w14:solidFill>
              <w14:schemeClr w14:val="tx1"/>
            </w14:solidFill>
          </w14:textFill>
        </w:rPr>
        <w:t>（企业名称）</w:t>
      </w:r>
      <w:r>
        <w:rPr>
          <w:rFonts w:hint="eastAsia"/>
          <w:color w:val="000000" w:themeColor="text1"/>
          <w14:textFill>
            <w14:solidFill>
              <w14:schemeClr w14:val="tx1"/>
            </w14:solidFill>
          </w14:textFill>
        </w:rPr>
        <w:t>，从业人员</w:t>
      </w:r>
      <w:r>
        <w:rPr>
          <w:rFonts w:hint="eastAsia"/>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ab/>
      </w:r>
      <w:r>
        <w:rPr>
          <w:rFonts w:hint="eastAsia"/>
          <w:color w:val="000000" w:themeColor="text1"/>
          <w14:textFill>
            <w14:solidFill>
              <w14:schemeClr w14:val="tx1"/>
            </w14:solidFill>
          </w14:textFill>
        </w:rPr>
        <w:t>人，营业收入为</w:t>
      </w:r>
      <w:r>
        <w:rPr>
          <w:rFonts w:hint="eastAsia"/>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ab/>
      </w:r>
      <w:r>
        <w:rPr>
          <w:rFonts w:hint="eastAsia"/>
          <w:color w:val="000000" w:themeColor="text1"/>
          <w14:textFill>
            <w14:solidFill>
              <w14:schemeClr w14:val="tx1"/>
            </w14:solidFill>
          </w14:textFill>
        </w:rPr>
        <w:t>万元，资产总额为</w:t>
      </w:r>
      <w:r>
        <w:rPr>
          <w:rFonts w:hint="eastAsia"/>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万元，属于</w:t>
      </w:r>
      <w:r>
        <w:rPr>
          <w:rFonts w:hint="eastAsia"/>
          <w:color w:val="000000" w:themeColor="text1"/>
          <w:u w:val="single"/>
          <w14:textFill>
            <w14:solidFill>
              <w14:schemeClr w14:val="tx1"/>
            </w14:solidFill>
          </w14:textFill>
        </w:rPr>
        <w:t>（中型企业、小型企业、微型企业）</w:t>
      </w:r>
      <w:r>
        <w:rPr>
          <w:rFonts w:hint="eastAsia"/>
          <w:color w:val="000000" w:themeColor="text1"/>
          <w14:textFill>
            <w14:solidFill>
              <w14:schemeClr w14:val="tx1"/>
            </w14:solidFill>
          </w14:textFill>
        </w:rPr>
        <w:t>；</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以上企业，不属于大企业的分支机构，不存在控股股东为大企业的情形，也不存在与大企业的负责人为同一人的情形。</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本企业对上述声明内容的真实性负责。如有虚假，将依法承担相应责任。</w:t>
      </w:r>
    </w:p>
    <w:p>
      <w:pPr>
        <w:pStyle w:val="9"/>
        <w:ind w:firstLine="5040" w:firstLineChars="21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企业名称（盖章）：</w:t>
      </w:r>
      <w:r>
        <w:rPr>
          <w:rFonts w:hint="eastAsia"/>
          <w:color w:val="000000" w:themeColor="text1"/>
          <w:u w:val="single"/>
          <w14:textFill>
            <w14:solidFill>
              <w14:schemeClr w14:val="tx1"/>
            </w14:solidFill>
          </w14:textFill>
        </w:rPr>
        <w:t xml:space="preserve">              </w:t>
      </w:r>
    </w:p>
    <w:p>
      <w:pPr>
        <w:pStyle w:val="9"/>
        <w:ind w:firstLine="5040" w:firstLineChars="21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日期：</w:t>
      </w:r>
      <w:r>
        <w:rPr>
          <w:rFonts w:hint="eastAsia"/>
          <w:color w:val="000000" w:themeColor="text1"/>
          <w:u w:val="single"/>
          <w14:textFill>
            <w14:solidFill>
              <w14:schemeClr w14:val="tx1"/>
            </w14:solidFill>
          </w14:textFill>
        </w:rPr>
        <w:t xml:space="preserve">                         </w:t>
      </w:r>
    </w:p>
    <w:p>
      <w:pPr>
        <w:pStyle w:val="9"/>
        <w:ind w:firstLine="480"/>
        <w:rPr>
          <w:color w:val="000000" w:themeColor="text1"/>
          <w14:textFill>
            <w14:solidFill>
              <w14:schemeClr w14:val="tx1"/>
            </w14:solidFill>
          </w14:textFill>
        </w:rPr>
      </w:pPr>
    </w:p>
    <w:p>
      <w:pPr>
        <w:pStyle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1从业人员、营业收入、资产总额填报上一年度数据，无上一年度数据的新成立企业可不填报。</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附：《中小企业划型标准规定》各行业划型标准</w:t>
      </w:r>
    </w:p>
    <w:p>
      <w:pPr>
        <w:pStyle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pStyle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
        <w:rPr>
          <w:bCs/>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tabs>
          <w:tab w:val="left" w:pos="0"/>
          <w:tab w:val="left" w:pos="7920"/>
        </w:tabs>
        <w:spacing w:line="500" w:lineRule="exact"/>
        <w:ind w:firstLine="420" w:firstLineChars="200"/>
        <w:rPr>
          <w:rFonts w:hAnsi="宋体" w:cs="宋体"/>
          <w:color w:val="000000" w:themeColor="text1"/>
          <w:sz w:val="21"/>
          <w:szCs w:val="21"/>
          <w14:textFill>
            <w14:solidFill>
              <w14:schemeClr w14:val="tx1"/>
            </w14:solidFill>
          </w14:textFill>
        </w:rPr>
      </w:pPr>
    </w:p>
    <w:p>
      <w:pPr>
        <w:rPr>
          <w:rFonts w:hAnsi="宋体" w:cs="宋体"/>
          <w:color w:val="000000" w:themeColor="text1"/>
          <w:szCs w:val="24"/>
          <w14:textFill>
            <w14:solidFill>
              <w14:schemeClr w14:val="tx1"/>
            </w14:solidFill>
          </w14:textFill>
        </w:rPr>
      </w:pPr>
    </w:p>
    <w:p>
      <w:pPr>
        <w:rPr>
          <w:rStyle w:val="37"/>
          <w:bCs w:val="0"/>
          <w:color w:val="000000" w:themeColor="text1"/>
          <w14:textFill>
            <w14:solidFill>
              <w14:schemeClr w14:val="tx1"/>
            </w14:solidFill>
          </w14:textFill>
        </w:rPr>
      </w:pPr>
      <w:r>
        <w:rPr>
          <w:rFonts w:hint="eastAsia" w:hAnsi="宋体" w:cs="宋体"/>
          <w:b/>
          <w:color w:val="000000" w:themeColor="text1"/>
          <w:sz w:val="28"/>
          <w:szCs w:val="28"/>
          <w14:textFill>
            <w14:solidFill>
              <w14:schemeClr w14:val="tx1"/>
            </w14:solidFill>
          </w14:textFill>
        </w:rPr>
        <w:br w:type="page"/>
      </w:r>
      <w:r>
        <w:rPr>
          <w:rStyle w:val="37"/>
          <w:rFonts w:hint="eastAsia"/>
          <w:bCs w:val="0"/>
          <w:color w:val="000000" w:themeColor="text1"/>
          <w14:textFill>
            <w14:solidFill>
              <w14:schemeClr w14:val="tx1"/>
            </w14:solidFill>
          </w14:textFill>
        </w:rPr>
        <w:t>附件3（如有）</w:t>
      </w:r>
    </w:p>
    <w:p>
      <w:pPr>
        <w:pStyle w:val="5"/>
        <w:spacing w:before="680" w:after="680"/>
        <w:rPr>
          <w:color w:val="000000" w:themeColor="text1"/>
          <w:spacing w:val="6"/>
          <w:sz w:val="30"/>
          <w:szCs w:val="30"/>
          <w14:textFill>
            <w14:solidFill>
              <w14:schemeClr w14:val="tx1"/>
            </w14:solidFill>
          </w14:textFill>
        </w:rPr>
      </w:pPr>
      <w:bookmarkStart w:id="312" w:name="OLE_LINK14"/>
      <w:bookmarkStart w:id="313" w:name="OLE_LINK13"/>
      <w:r>
        <w:rPr>
          <w:rFonts w:hint="eastAsia"/>
          <w:color w:val="000000" w:themeColor="text1"/>
          <w14:textFill>
            <w14:solidFill>
              <w14:schemeClr w14:val="tx1"/>
            </w14:solidFill>
          </w14:textFill>
        </w:rPr>
        <w:t>残疾人福利性单位声明函</w:t>
      </w:r>
      <w:bookmarkEnd w:id="312"/>
      <w:bookmarkEnd w:id="313"/>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9"/>
        <w:ind w:firstLine="480"/>
        <w:rPr>
          <w:color w:val="000000" w:themeColor="text1"/>
          <w:spacing w:val="6"/>
          <w14:textFill>
            <w14:solidFill>
              <w14:schemeClr w14:val="tx1"/>
            </w14:solidFill>
          </w14:textFill>
        </w:rPr>
      </w:pPr>
      <w:r>
        <w:rPr>
          <w:rFonts w:hint="eastAsia"/>
          <w:color w:val="000000" w:themeColor="text1"/>
          <w14:textFill>
            <w14:solidFill>
              <w14:schemeClr w14:val="tx1"/>
            </w14:solidFill>
          </w14:textFill>
        </w:rPr>
        <w:t>本单位对上述声明的真实性负责。如有虚假，将依法承担相应责任。</w:t>
      </w:r>
    </w:p>
    <w:p>
      <w:pPr>
        <w:spacing w:line="588" w:lineRule="exact"/>
        <w:ind w:firstLine="504" w:firstLineChars="200"/>
        <w:rPr>
          <w:rFonts w:hAnsi="宋体" w:cs="宋体"/>
          <w:color w:val="000000" w:themeColor="text1"/>
          <w:spacing w:val="6"/>
          <w:szCs w:val="24"/>
          <w14:textFill>
            <w14:solidFill>
              <w14:schemeClr w14:val="tx1"/>
            </w14:solidFill>
          </w14:textFill>
        </w:rPr>
      </w:pPr>
    </w:p>
    <w:p>
      <w:pPr>
        <w:pStyle w:val="9"/>
        <w:ind w:firstLine="4800" w:firstLineChars="2000"/>
        <w:rPr>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（盖章）</w:t>
      </w:r>
    </w:p>
    <w:p>
      <w:pPr>
        <w:pStyle w:val="9"/>
        <w:ind w:firstLine="4800" w:firstLineChars="2000"/>
        <w:rPr>
          <w:color w:val="000000" w:themeColor="text1"/>
          <w14:textFill>
            <w14:solidFill>
              <w14:schemeClr w14:val="tx1"/>
            </w14:solidFill>
          </w14:textFill>
        </w:rPr>
      </w:pPr>
    </w:p>
    <w:p>
      <w:pPr>
        <w:pStyle w:val="9"/>
        <w:ind w:firstLine="4800" w:firstLineChars="2000"/>
        <w:rPr>
          <w:color w:val="000000" w:themeColor="text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tabs>
          <w:tab w:val="left" w:pos="1620"/>
          <w:tab w:val="left" w:pos="1800"/>
        </w:tabs>
        <w:spacing w:line="440" w:lineRule="exact"/>
        <w:ind w:right="617" w:rightChars="257"/>
        <w:rPr>
          <w:rFonts w:hAnsi="宋体" w:cs="宋体"/>
          <w:color w:val="000000" w:themeColor="text1"/>
          <w14:textFill>
            <w14:solidFill>
              <w14:schemeClr w14:val="tx1"/>
            </w14:solidFill>
          </w14:textFill>
        </w:rPr>
      </w:pPr>
    </w:p>
    <w:p>
      <w:pPr>
        <w:tabs>
          <w:tab w:val="left" w:pos="1620"/>
          <w:tab w:val="left" w:pos="1800"/>
        </w:tabs>
        <w:spacing w:line="440" w:lineRule="exact"/>
        <w:ind w:right="617" w:rightChars="257"/>
        <w:rPr>
          <w:rFonts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附件4（如有）</w:t>
      </w:r>
    </w:p>
    <w:p>
      <w:pPr>
        <w:pStyle w:val="5"/>
        <w:spacing w:before="680" w:after="680"/>
        <w:rPr>
          <w:color w:val="000000" w:themeColor="text1"/>
          <w14:textFill>
            <w14:solidFill>
              <w14:schemeClr w14:val="tx1"/>
            </w14:solidFill>
          </w14:textFill>
        </w:rPr>
      </w:pPr>
      <w:r>
        <w:rPr>
          <w:rFonts w:hint="eastAsia"/>
          <w:color w:val="000000" w:themeColor="text1"/>
          <w14:textFill>
            <w14:solidFill>
              <w14:schemeClr w14:val="tx1"/>
            </w14:solidFill>
          </w14:textFill>
        </w:rPr>
        <w:t>监狱企业证明文件</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监狱企业参加政府采购活动时，应当提供由省级以上监狱管理局、戒毒管理局（含新疆生产建设兵团）出具的属于监狱企业的证明文件。</w:t>
      </w:r>
    </w:p>
    <w:p>
      <w:pPr>
        <w:pStyle w:val="10"/>
        <w:ind w:left="1440"/>
        <w:rPr>
          <w:color w:val="000000" w:themeColor="text1"/>
          <w14:textFill>
            <w14:solidFill>
              <w14:schemeClr w14:val="tx1"/>
            </w14:solidFill>
          </w14:textFill>
        </w:rPr>
      </w:pPr>
    </w:p>
    <w:p>
      <w:pPr>
        <w:tabs>
          <w:tab w:val="left" w:pos="1321"/>
          <w:tab w:val="center" w:pos="4216"/>
        </w:tabs>
        <w:spacing w:line="480" w:lineRule="auto"/>
        <w:rPr>
          <w:rStyle w:val="37"/>
          <w:bCs w:val="0"/>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r>
        <w:rPr>
          <w:rStyle w:val="37"/>
          <w:rFonts w:hint="eastAsia"/>
          <w:bCs w:val="0"/>
          <w:color w:val="000000" w:themeColor="text1"/>
          <w14:textFill>
            <w14:solidFill>
              <w14:schemeClr w14:val="tx1"/>
            </w14:solidFill>
          </w14:textFill>
        </w:rPr>
        <w:t>附件5（如有）</w:t>
      </w:r>
    </w:p>
    <w:p>
      <w:pPr>
        <w:pStyle w:val="5"/>
        <w:spacing w:before="680" w:after="680"/>
        <w:rPr>
          <w:color w:val="000000" w:themeColor="text1"/>
          <w14:textFill>
            <w14:solidFill>
              <w14:schemeClr w14:val="tx1"/>
            </w14:solidFill>
          </w14:textFill>
        </w:rPr>
      </w:pPr>
      <w:r>
        <w:rPr>
          <w:rFonts w:hint="eastAsia"/>
          <w:color w:val="000000" w:themeColor="text1"/>
          <w14:textFill>
            <w14:solidFill>
              <w14:schemeClr w14:val="tx1"/>
            </w14:solidFill>
          </w14:textFill>
        </w:rPr>
        <w:t>“节能产品”、“环境标志产品”证明材料</w:t>
      </w:r>
    </w:p>
    <w:p>
      <w:pPr>
        <w:pStyle w:val="9"/>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说明：</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1.投标人提供的主要材料与设备属于节能产品或环境标志产品的，应当按照规定提供相关证明材料，并在《主要材料与设备报价表》中填写相应的证书编号；</w:t>
      </w:r>
    </w:p>
    <w:p>
      <w:pPr>
        <w:pStyle w:val="9"/>
        <w:ind w:firstLine="480"/>
        <w:rPr>
          <w:bCs/>
          <w:color w:val="000000" w:themeColor="text1"/>
          <w14:textFill>
            <w14:solidFill>
              <w14:schemeClr w14:val="tx1"/>
            </w14:solidFill>
          </w14:textFill>
        </w:rPr>
      </w:pPr>
      <w:r>
        <w:rPr>
          <w:rFonts w:hint="eastAsia"/>
          <w:color w:val="000000" w:themeColor="text1"/>
          <w14:textFill>
            <w14:solidFill>
              <w14:schemeClr w14:val="tx1"/>
            </w14:solidFill>
          </w14:textFill>
        </w:rPr>
        <w:t>2.投标人未按上述要求提供、填写的，评审时不予加分。</w:t>
      </w:r>
    </w:p>
    <w:p>
      <w:pPr>
        <w:rPr>
          <w:rStyle w:val="36"/>
          <w:color w:val="000000" w:themeColor="text1"/>
          <w14:textFill>
            <w14:solidFill>
              <w14:schemeClr w14:val="tx1"/>
            </w14:solidFill>
          </w14:textFill>
        </w:rPr>
      </w:pPr>
      <w:r>
        <w:rPr>
          <w:rStyle w:val="36"/>
          <w:rFonts w:hint="eastAsia"/>
          <w:color w:val="000000" w:themeColor="text1"/>
          <w14:textFill>
            <w14:solidFill>
              <w14:schemeClr w14:val="tx1"/>
            </w14:solidFill>
          </w14:textFill>
        </w:rPr>
        <w:br w:type="page"/>
      </w:r>
    </w:p>
    <w:p>
      <w:pPr>
        <w:pStyle w:val="5"/>
        <w:spacing w:before="680" w:after="680"/>
        <w:rPr>
          <w:color w:val="000000" w:themeColor="text1"/>
          <w:sz w:val="24"/>
          <w:lang w:val="en-GB"/>
          <w14:textFill>
            <w14:solidFill>
              <w14:schemeClr w14:val="tx1"/>
            </w14:solidFill>
          </w14:textFill>
        </w:rPr>
      </w:pPr>
      <w:r>
        <w:rPr>
          <w:rStyle w:val="36"/>
          <w:rFonts w:hint="eastAsia"/>
          <w:b/>
          <w:color w:val="000000" w:themeColor="text1"/>
          <w14:textFill>
            <w14:solidFill>
              <w14:schemeClr w14:val="tx1"/>
            </w14:solidFill>
          </w14:textFill>
        </w:rPr>
        <w:t>投标</w:t>
      </w:r>
      <w:r>
        <w:rPr>
          <w:rStyle w:val="36"/>
          <w:rFonts w:hint="eastAsia"/>
          <w:b/>
          <w:color w:val="000000" w:themeColor="text1"/>
          <w:lang w:val="en-GB"/>
          <w14:textFill>
            <w14:solidFill>
              <w14:schemeClr w14:val="tx1"/>
            </w14:solidFill>
          </w14:textFill>
        </w:rPr>
        <w:t>保证金退还信息表</w:t>
      </w:r>
    </w:p>
    <w:p>
      <w:pPr>
        <w:pStyle w:val="9"/>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致：陕西正鸿招标有限公司</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我单位为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项目（项目编号：</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）提交的保证金￥</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元（大写：</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），按招标文件规定退还至下列账户：</w:t>
      </w:r>
    </w:p>
    <w:tbl>
      <w:tblPr>
        <w:tblStyle w:val="19"/>
        <w:tblpPr w:leftFromText="180" w:rightFromText="180" w:vertAnchor="page" w:horzAnchor="margin" w:tblpXSpec="center" w:tblpY="6551"/>
        <w:tblW w:w="0" w:type="auto"/>
        <w:tblInd w:w="0" w:type="dxa"/>
        <w:tblLayout w:type="fixed"/>
        <w:tblCellMar>
          <w:top w:w="0" w:type="dxa"/>
          <w:left w:w="108" w:type="dxa"/>
          <w:bottom w:w="0" w:type="dxa"/>
          <w:right w:w="108" w:type="dxa"/>
        </w:tblCellMar>
      </w:tblPr>
      <w:tblGrid>
        <w:gridCol w:w="535"/>
        <w:gridCol w:w="1762"/>
        <w:gridCol w:w="2371"/>
        <w:gridCol w:w="1320"/>
        <w:gridCol w:w="2808"/>
      </w:tblGrid>
      <w:tr>
        <w:tblPrEx>
          <w:tblCellMar>
            <w:top w:w="0" w:type="dxa"/>
            <w:left w:w="108" w:type="dxa"/>
            <w:bottom w:w="0" w:type="dxa"/>
            <w:right w:w="108" w:type="dxa"/>
          </w:tblCellMar>
        </w:tblPrEx>
        <w:trPr>
          <w:cantSplit/>
          <w:trHeight w:val="669" w:hRule="atLeast"/>
        </w:trPr>
        <w:tc>
          <w:tcPr>
            <w:tcW w:w="535" w:type="dxa"/>
            <w:vMerge w:val="restart"/>
            <w:tcBorders>
              <w:top w:val="single" w:color="auto" w:sz="4" w:space="0"/>
              <w:left w:val="single" w:color="auto" w:sz="4" w:space="0"/>
              <w:bottom w:val="single" w:color="000000" w:sz="4" w:space="0"/>
              <w:right w:val="single" w:color="auto"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收款单位</w:t>
            </w:r>
          </w:p>
        </w:tc>
        <w:tc>
          <w:tcPr>
            <w:tcW w:w="1762" w:type="dxa"/>
            <w:tcBorders>
              <w:top w:val="single" w:color="auto" w:sz="4" w:space="0"/>
              <w:left w:val="nil"/>
              <w:bottom w:val="single" w:color="auto" w:sz="4" w:space="0"/>
              <w:right w:val="single" w:color="auto"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收款单位名称</w:t>
            </w:r>
          </w:p>
        </w:tc>
        <w:tc>
          <w:tcPr>
            <w:tcW w:w="6499" w:type="dxa"/>
            <w:gridSpan w:val="3"/>
            <w:tcBorders>
              <w:top w:val="single" w:color="auto" w:sz="4" w:space="0"/>
              <w:left w:val="nil"/>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568" w:hRule="atLeast"/>
        </w:trPr>
        <w:tc>
          <w:tcPr>
            <w:tcW w:w="535" w:type="dxa"/>
            <w:vMerge w:val="continue"/>
            <w:tcBorders>
              <w:top w:val="single" w:color="auto" w:sz="4" w:space="0"/>
              <w:left w:val="single" w:color="auto" w:sz="4" w:space="0"/>
              <w:bottom w:val="single" w:color="000000" w:sz="4" w:space="0"/>
              <w:right w:val="single" w:color="auto" w:sz="4" w:space="0"/>
            </w:tcBorders>
            <w:vAlign w:val="center"/>
          </w:tcPr>
          <w:p>
            <w:pPr>
              <w:pStyle w:val="29"/>
              <w:rPr>
                <w:color w:val="000000" w:themeColor="text1"/>
                <w14:textFill>
                  <w14:solidFill>
                    <w14:schemeClr w14:val="tx1"/>
                  </w14:solidFill>
                </w14:textFill>
              </w:rPr>
            </w:pPr>
          </w:p>
        </w:tc>
        <w:tc>
          <w:tcPr>
            <w:tcW w:w="1762" w:type="dxa"/>
            <w:tcBorders>
              <w:top w:val="nil"/>
              <w:left w:val="nil"/>
              <w:bottom w:val="single" w:color="auto" w:sz="4" w:space="0"/>
              <w:right w:val="single" w:color="auto"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账号</w:t>
            </w:r>
          </w:p>
        </w:tc>
        <w:tc>
          <w:tcPr>
            <w:tcW w:w="6499" w:type="dxa"/>
            <w:gridSpan w:val="3"/>
            <w:tcBorders>
              <w:top w:val="single" w:color="auto" w:sz="4" w:space="0"/>
              <w:left w:val="nil"/>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568" w:hRule="atLeast"/>
        </w:trPr>
        <w:tc>
          <w:tcPr>
            <w:tcW w:w="535" w:type="dxa"/>
            <w:vMerge w:val="continue"/>
            <w:tcBorders>
              <w:top w:val="single" w:color="auto" w:sz="4" w:space="0"/>
              <w:left w:val="single" w:color="auto" w:sz="4" w:space="0"/>
              <w:bottom w:val="single" w:color="000000" w:sz="4" w:space="0"/>
              <w:right w:val="single" w:color="auto" w:sz="4" w:space="0"/>
            </w:tcBorders>
            <w:vAlign w:val="center"/>
          </w:tcPr>
          <w:p>
            <w:pPr>
              <w:pStyle w:val="29"/>
              <w:rPr>
                <w:color w:val="000000" w:themeColor="text1"/>
                <w14:textFill>
                  <w14:solidFill>
                    <w14:schemeClr w14:val="tx1"/>
                  </w14:solidFill>
                </w14:textFill>
              </w:rPr>
            </w:pPr>
          </w:p>
        </w:tc>
        <w:tc>
          <w:tcPr>
            <w:tcW w:w="1762" w:type="dxa"/>
            <w:tcBorders>
              <w:top w:val="nil"/>
              <w:left w:val="nil"/>
              <w:bottom w:val="single" w:color="auto" w:sz="4" w:space="0"/>
              <w:right w:val="single" w:color="auto"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开户银行</w:t>
            </w:r>
          </w:p>
        </w:tc>
        <w:tc>
          <w:tcPr>
            <w:tcW w:w="6499" w:type="dxa"/>
            <w:gridSpan w:val="3"/>
            <w:tcBorders>
              <w:top w:val="single" w:color="auto" w:sz="4" w:space="0"/>
              <w:left w:val="nil"/>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726" w:hRule="atLeast"/>
        </w:trPr>
        <w:tc>
          <w:tcPr>
            <w:tcW w:w="535" w:type="dxa"/>
            <w:vMerge w:val="continue"/>
            <w:tcBorders>
              <w:top w:val="single" w:color="auto" w:sz="4" w:space="0"/>
              <w:left w:val="single" w:color="auto" w:sz="4" w:space="0"/>
              <w:bottom w:val="single" w:color="000000" w:sz="4" w:space="0"/>
              <w:right w:val="single" w:color="auto" w:sz="4" w:space="0"/>
            </w:tcBorders>
            <w:vAlign w:val="center"/>
          </w:tcPr>
          <w:p>
            <w:pPr>
              <w:pStyle w:val="29"/>
              <w:rPr>
                <w:color w:val="000000" w:themeColor="text1"/>
                <w14:textFill>
                  <w14:solidFill>
                    <w14:schemeClr w14:val="tx1"/>
                  </w14:solidFill>
                </w14:textFill>
              </w:rPr>
            </w:pPr>
          </w:p>
        </w:tc>
        <w:tc>
          <w:tcPr>
            <w:tcW w:w="1762" w:type="dxa"/>
            <w:tcBorders>
              <w:top w:val="nil"/>
              <w:left w:val="nil"/>
              <w:bottom w:val="single" w:color="auto" w:sz="4" w:space="0"/>
              <w:right w:val="single" w:color="auto"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开户银行行号</w:t>
            </w:r>
          </w:p>
        </w:tc>
        <w:tc>
          <w:tcPr>
            <w:tcW w:w="6499" w:type="dxa"/>
            <w:gridSpan w:val="3"/>
            <w:tcBorders>
              <w:top w:val="single" w:color="auto" w:sz="4" w:space="0"/>
              <w:left w:val="nil"/>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770" w:hRule="atLeast"/>
        </w:trPr>
        <w:tc>
          <w:tcPr>
            <w:tcW w:w="535" w:type="dxa"/>
            <w:vMerge w:val="continue"/>
            <w:tcBorders>
              <w:top w:val="single" w:color="auto" w:sz="4" w:space="0"/>
              <w:left w:val="single" w:color="auto" w:sz="4" w:space="0"/>
              <w:bottom w:val="single" w:color="000000" w:sz="4" w:space="0"/>
              <w:right w:val="single" w:color="auto" w:sz="4" w:space="0"/>
            </w:tcBorders>
            <w:vAlign w:val="center"/>
          </w:tcPr>
          <w:p>
            <w:pPr>
              <w:pStyle w:val="29"/>
              <w:rPr>
                <w:color w:val="000000" w:themeColor="text1"/>
                <w14:textFill>
                  <w14:solidFill>
                    <w14:schemeClr w14:val="tx1"/>
                  </w14:solidFill>
                </w14:textFill>
              </w:rPr>
            </w:pPr>
          </w:p>
        </w:tc>
        <w:tc>
          <w:tcPr>
            <w:tcW w:w="1762" w:type="dxa"/>
            <w:tcBorders>
              <w:top w:val="single" w:color="auto" w:sz="4" w:space="0"/>
              <w:left w:val="nil"/>
              <w:bottom w:val="single" w:color="auto" w:sz="4" w:space="0"/>
              <w:right w:val="single" w:color="auto"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联 系 人</w:t>
            </w:r>
          </w:p>
        </w:tc>
        <w:tc>
          <w:tcPr>
            <w:tcW w:w="2371" w:type="dxa"/>
            <w:tcBorders>
              <w:top w:val="single" w:color="auto" w:sz="4" w:space="0"/>
              <w:left w:val="nil"/>
              <w:bottom w:val="single" w:color="auto" w:sz="4" w:space="0"/>
              <w:right w:val="single" w:color="auto" w:sz="4" w:space="0"/>
            </w:tcBorders>
            <w:vAlign w:val="center"/>
          </w:tcPr>
          <w:p>
            <w:pPr>
              <w:pStyle w:val="29"/>
              <w:rPr>
                <w:color w:val="000000" w:themeColor="text1"/>
                <w14:textFill>
                  <w14:solidFill>
                    <w14:schemeClr w14:val="tx1"/>
                  </w14:solidFill>
                </w14:textFill>
              </w:rPr>
            </w:pPr>
          </w:p>
        </w:tc>
        <w:tc>
          <w:tcPr>
            <w:tcW w:w="1320" w:type="dxa"/>
            <w:tcBorders>
              <w:top w:val="single" w:color="auto" w:sz="4" w:space="0"/>
              <w:left w:val="nil"/>
              <w:bottom w:val="single" w:color="auto" w:sz="4" w:space="0"/>
              <w:right w:val="single" w:color="auto" w:sz="4" w:space="0"/>
            </w:tcBorders>
            <w:vAlign w:val="center"/>
          </w:tcPr>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2808" w:type="dxa"/>
            <w:tcBorders>
              <w:top w:val="single" w:color="auto" w:sz="4" w:space="0"/>
              <w:left w:val="nil"/>
              <w:bottom w:val="single" w:color="auto" w:sz="4" w:space="0"/>
              <w:right w:val="single" w:color="auto" w:sz="4" w:space="0"/>
            </w:tcBorders>
            <w:vAlign w:val="center"/>
          </w:tcPr>
          <w:p>
            <w:pPr>
              <w:pStyle w:val="29"/>
              <w:rPr>
                <w:color w:val="000000" w:themeColor="text1"/>
                <w14:textFill>
                  <w14:solidFill>
                    <w14:schemeClr w14:val="tx1"/>
                  </w14:solidFill>
                </w14:textFill>
              </w:rPr>
            </w:pPr>
          </w:p>
        </w:tc>
      </w:tr>
    </w:tbl>
    <w:p>
      <w:pPr>
        <w:pStyle w:val="2"/>
        <w:rPr>
          <w:rFonts w:ascii="宋体" w:hAnsi="宋体" w:cs="宋体"/>
          <w:color w:val="000000" w:themeColor="text1"/>
          <w:sz w:val="24"/>
          <w:szCs w:val="24"/>
          <w14:textFill>
            <w14:solidFill>
              <w14:schemeClr w14:val="tx1"/>
            </w14:solidFill>
          </w14:textFill>
        </w:rPr>
      </w:pPr>
    </w:p>
    <w:p>
      <w:pPr>
        <w:spacing w:line="336" w:lineRule="auto"/>
        <w:ind w:firstLine="482"/>
        <w:rPr>
          <w:rFonts w:hAnsi="宋体" w:cs="宋体"/>
          <w:color w:val="000000" w:themeColor="text1"/>
          <w:szCs w:val="24"/>
          <w14:textFill>
            <w14:solidFill>
              <w14:schemeClr w14:val="tx1"/>
            </w14:solidFill>
          </w14:textFill>
        </w:rPr>
      </w:pPr>
    </w:p>
    <w:p>
      <w:pPr>
        <w:tabs>
          <w:tab w:val="left" w:pos="676"/>
          <w:tab w:val="left" w:pos="2330"/>
          <w:tab w:val="left" w:pos="9230"/>
        </w:tabs>
        <w:spacing w:line="336" w:lineRule="auto"/>
        <w:ind w:firstLine="482" w:firstLineChars="200"/>
        <w:rPr>
          <w:rFonts w:hAnsi="宋体" w:cs="宋体"/>
          <w:b/>
          <w:color w:val="000000" w:themeColor="text1"/>
          <w:szCs w:val="24"/>
          <w14:textFill>
            <w14:solidFill>
              <w14:schemeClr w14:val="tx1"/>
            </w14:solidFill>
          </w14:textFill>
        </w:rPr>
      </w:pPr>
    </w:p>
    <w:p>
      <w:pPr>
        <w:tabs>
          <w:tab w:val="left" w:pos="676"/>
          <w:tab w:val="left" w:pos="2330"/>
          <w:tab w:val="left" w:pos="9230"/>
        </w:tabs>
        <w:spacing w:line="336" w:lineRule="auto"/>
        <w:ind w:firstLine="3412" w:firstLineChars="1416"/>
        <w:rPr>
          <w:rFonts w:hAnsi="宋体" w:cs="宋体"/>
          <w:b/>
          <w:color w:val="000000" w:themeColor="text1"/>
          <w:szCs w:val="24"/>
          <w14:textFill>
            <w14:solidFill>
              <w14:schemeClr w14:val="tx1"/>
            </w14:solidFill>
          </w14:textFill>
        </w:rPr>
      </w:pPr>
    </w:p>
    <w:p>
      <w:pPr>
        <w:tabs>
          <w:tab w:val="left" w:pos="676"/>
          <w:tab w:val="left" w:pos="2330"/>
          <w:tab w:val="left" w:pos="9230"/>
        </w:tabs>
        <w:spacing w:line="336" w:lineRule="auto"/>
        <w:ind w:firstLine="3398" w:firstLineChars="1416"/>
        <w:rPr>
          <w:rFonts w:hAnsi="宋体" w:cs="宋体"/>
          <w:color w:val="000000" w:themeColor="text1"/>
          <w:szCs w:val="24"/>
          <w14:textFill>
            <w14:solidFill>
              <w14:schemeClr w14:val="tx1"/>
            </w14:solidFill>
          </w14:textFill>
        </w:rPr>
      </w:pPr>
    </w:p>
    <w:p>
      <w:pPr>
        <w:pStyle w:val="9"/>
        <w:ind w:firstLine="3600" w:firstLineChars="150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（盖单位公章）</w:t>
      </w:r>
    </w:p>
    <w:p>
      <w:pPr>
        <w:pStyle w:val="9"/>
        <w:ind w:firstLine="0" w:firstLineChars="0"/>
        <w:rPr>
          <w:color w:val="000000" w:themeColor="text1"/>
          <w14:textFill>
            <w14:solidFill>
              <w14:schemeClr w14:val="tx1"/>
            </w14:solidFill>
          </w14:textFill>
        </w:rPr>
      </w:pPr>
    </w:p>
    <w:p>
      <w:pPr>
        <w:tabs>
          <w:tab w:val="left" w:pos="676"/>
          <w:tab w:val="left" w:pos="2330"/>
          <w:tab w:val="left" w:pos="9230"/>
        </w:tabs>
        <w:spacing w:line="336" w:lineRule="auto"/>
        <w:ind w:firstLine="3600" w:firstLineChars="1500"/>
        <w:rPr>
          <w:rFonts w:hAnsi="宋体" w:cs="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pStyle w:val="2"/>
        <w:spacing w:line="360" w:lineRule="auto"/>
        <w:rPr>
          <w:rFonts w:ascii="宋体" w:hAnsi="宋体" w:cs="宋体"/>
          <w:color w:val="000000" w:themeColor="text1"/>
          <w:sz w:val="24"/>
          <w:szCs w:val="24"/>
          <w14:textFill>
            <w14:solidFill>
              <w14:schemeClr w14:val="tx1"/>
            </w14:solidFill>
          </w14:textFill>
        </w:rPr>
      </w:pPr>
    </w:p>
    <w:p>
      <w:pPr>
        <w:pStyle w:val="9"/>
        <w:ind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备注：</w:t>
      </w:r>
    </w:p>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各投标人请正确填写《投标保证金退还信息表》装订在投标文件（正、副本）最后一页，并单独提供一份与投标文件一并递交，投标结束后，将根据所提供信息退还各投标人保证金。</w:t>
      </w:r>
    </w:p>
    <w:p>
      <w:pPr>
        <w:spacing w:line="360" w:lineRule="auto"/>
        <w:ind w:firstLine="960" w:firstLineChars="400"/>
        <w:rPr>
          <w:rFonts w:hAnsi="宋体" w:cs="宋体"/>
          <w:color w:val="000000" w:themeColor="text1"/>
          <w:szCs w:val="24"/>
          <w14:textFill>
            <w14:solidFill>
              <w14:schemeClr w14:val="tx1"/>
            </w14:solidFill>
          </w14:textFill>
        </w:rPr>
      </w:pPr>
      <w:bookmarkStart w:id="314" w:name="_Toc22814_WPSOffice_Level1"/>
    </w:p>
    <w:bookmarkEnd w:id="314"/>
    <w:p>
      <w:pPr>
        <w:rPr>
          <w:color w:val="000000" w:themeColor="text1"/>
          <w:szCs w:val="24"/>
          <w14:textFill>
            <w14:solidFill>
              <w14:schemeClr w14:val="tx1"/>
            </w14:solidFill>
          </w14:textFill>
        </w:rPr>
      </w:pPr>
    </w:p>
    <w:p>
      <w:pPr>
        <w:pStyle w:val="2"/>
        <w:rPr>
          <w:color w:val="000000" w:themeColor="text1"/>
          <w14:textFill>
            <w14:solidFill>
              <w14:schemeClr w14:val="tx1"/>
            </w14:solidFill>
          </w14:textFill>
        </w:rPr>
        <w:sectPr>
          <w:footerReference r:id="rId11" w:type="default"/>
          <w:pgSz w:w="11906" w:h="16838"/>
          <w:pgMar w:top="1440" w:right="1440" w:bottom="1440" w:left="1440" w:header="992" w:footer="992" w:gutter="170"/>
          <w:cols w:space="0" w:num="1"/>
          <w:docGrid w:type="lines" w:linePitch="340" w:charSpace="0"/>
        </w:sectPr>
      </w:pPr>
    </w:p>
    <w:p>
      <w:pPr>
        <w:rPr>
          <w:color w:val="000000" w:themeColor="text1"/>
          <w14:textFill>
            <w14:solidFill>
              <w14:schemeClr w14:val="tx1"/>
            </w14:solidFill>
          </w14:textFill>
        </w:rPr>
      </w:pPr>
    </w:p>
    <w:p>
      <w:pPr>
        <w:pStyle w:val="2"/>
        <w:rPr>
          <w:rFonts w:ascii="宋体" w:hAnsi="宋体" w:cs="宋体"/>
          <w:color w:val="000000" w:themeColor="text1"/>
          <w:sz w:val="44"/>
          <w:szCs w:val="44"/>
          <w14:textFill>
            <w14:solidFill>
              <w14:schemeClr w14:val="tx1"/>
            </w14:solidFill>
          </w14:textFill>
        </w:rPr>
      </w:pPr>
    </w:p>
    <w:p>
      <w:pPr>
        <w:rPr>
          <w:rFonts w:hAnsi="宋体" w:cs="宋体"/>
          <w:b/>
          <w:color w:val="000000" w:themeColor="text1"/>
          <w:sz w:val="44"/>
          <w:szCs w:val="44"/>
          <w14:textFill>
            <w14:solidFill>
              <w14:schemeClr w14:val="tx1"/>
            </w14:solidFill>
          </w14:textFill>
        </w:rPr>
      </w:pPr>
    </w:p>
    <w:p>
      <w:pPr>
        <w:pStyle w:val="2"/>
        <w:rPr>
          <w:rFonts w:ascii="宋体" w:hAnsi="宋体" w:cs="宋体"/>
          <w:color w:val="000000" w:themeColor="text1"/>
          <w:sz w:val="44"/>
          <w:szCs w:val="44"/>
          <w14:textFill>
            <w14:solidFill>
              <w14:schemeClr w14:val="tx1"/>
            </w14:solidFill>
          </w14:textFill>
        </w:rPr>
      </w:pPr>
    </w:p>
    <w:p>
      <w:pPr>
        <w:rPr>
          <w:rFonts w:hAnsi="宋体" w:cs="宋体"/>
          <w:b/>
          <w:color w:val="000000" w:themeColor="text1"/>
          <w:sz w:val="44"/>
          <w:szCs w:val="44"/>
          <w14:textFill>
            <w14:solidFill>
              <w14:schemeClr w14:val="tx1"/>
            </w14:solidFill>
          </w14:textFill>
        </w:rPr>
      </w:pPr>
    </w:p>
    <w:p>
      <w:pPr>
        <w:pStyle w:val="2"/>
        <w:rPr>
          <w:rFonts w:ascii="宋体" w:hAnsi="宋体" w:cs="宋体"/>
          <w:color w:val="000000" w:themeColor="text1"/>
          <w:sz w:val="44"/>
          <w:szCs w:val="44"/>
          <w14:textFill>
            <w14:solidFill>
              <w14:schemeClr w14:val="tx1"/>
            </w14:solidFill>
          </w14:textFill>
        </w:rPr>
      </w:pPr>
    </w:p>
    <w:p>
      <w:pPr>
        <w:rPr>
          <w:color w:val="000000" w:themeColor="text1"/>
          <w14:textFill>
            <w14:solidFill>
              <w14:schemeClr w14:val="tx1"/>
            </w14:solidFill>
          </w14:textFill>
        </w:rPr>
      </w:pPr>
    </w:p>
    <w:p>
      <w:pPr>
        <w:spacing w:line="336" w:lineRule="auto"/>
        <w:ind w:firstLine="221" w:firstLineChars="50"/>
        <w:rPr>
          <w:rFonts w:hAnsi="宋体" w:cs="宋体"/>
          <w:b/>
          <w:color w:val="000000" w:themeColor="text1"/>
          <w:sz w:val="44"/>
          <w:szCs w:val="44"/>
          <w14:textFill>
            <w14:solidFill>
              <w14:schemeClr w14:val="tx1"/>
            </w14:solidFill>
          </w14:textFill>
        </w:rPr>
      </w:pPr>
    </w:p>
    <w:p>
      <w:pPr>
        <w:spacing w:line="336" w:lineRule="auto"/>
        <w:rPr>
          <w:rFonts w:hAnsi="宋体" w:cs="宋体"/>
          <w:b/>
          <w:color w:val="000000" w:themeColor="text1"/>
          <w:sz w:val="44"/>
          <w:szCs w:val="44"/>
          <w14:textFill>
            <w14:solidFill>
              <w14:schemeClr w14:val="tx1"/>
            </w14:solidFill>
          </w14:textFill>
        </w:rPr>
      </w:pPr>
    </w:p>
    <w:p>
      <w:pPr>
        <w:spacing w:line="336" w:lineRule="auto"/>
        <w:rPr>
          <w:rFonts w:hAnsi="宋体" w:cs="宋体"/>
          <w:b/>
          <w:color w:val="000000" w:themeColor="text1"/>
          <w:sz w:val="44"/>
          <w:szCs w:val="44"/>
          <w14:textFill>
            <w14:solidFill>
              <w14:schemeClr w14:val="tx1"/>
            </w14:solidFill>
          </w14:textFill>
        </w:rPr>
      </w:pPr>
    </w:p>
    <w:p>
      <w:pPr>
        <w:spacing w:line="336" w:lineRule="auto"/>
        <w:rPr>
          <w:rFonts w:hAnsi="宋体" w:cs="宋体"/>
          <w:b/>
          <w:color w:val="000000" w:themeColor="text1"/>
          <w:sz w:val="36"/>
          <w:szCs w:val="36"/>
          <w14:textFill>
            <w14:solidFill>
              <w14:schemeClr w14:val="tx1"/>
            </w14:solidFill>
          </w14:textFill>
        </w:rPr>
      </w:pPr>
    </w:p>
    <w:p>
      <w:pPr>
        <w:spacing w:line="336" w:lineRule="auto"/>
        <w:rPr>
          <w:rFonts w:hAnsi="宋体" w:cs="宋体"/>
          <w:b/>
          <w:color w:val="000000" w:themeColor="text1"/>
          <w:sz w:val="36"/>
          <w:szCs w:val="36"/>
          <w14:textFill>
            <w14:solidFill>
              <w14:schemeClr w14:val="tx1"/>
            </w14:solidFill>
          </w14:textFill>
        </w:rPr>
      </w:pPr>
    </w:p>
    <w:p>
      <w:pPr>
        <w:spacing w:line="336" w:lineRule="auto"/>
        <w:rPr>
          <w:rFonts w:hAnsi="宋体" w:cs="宋体"/>
          <w:b/>
          <w:color w:val="000000" w:themeColor="text1"/>
          <w:sz w:val="36"/>
          <w:szCs w:val="36"/>
          <w14:textFill>
            <w14:solidFill>
              <w14:schemeClr w14:val="tx1"/>
            </w14:solidFill>
          </w14:textFill>
        </w:rPr>
      </w:pPr>
    </w:p>
    <w:p>
      <w:pPr>
        <w:spacing w:line="336" w:lineRule="auto"/>
        <w:rPr>
          <w:rFonts w:hAnsi="宋体" w:cs="宋体"/>
          <w:b/>
          <w:color w:val="000000" w:themeColor="text1"/>
          <w:sz w:val="36"/>
          <w:szCs w:val="36"/>
          <w14:textFill>
            <w14:solidFill>
              <w14:schemeClr w14:val="tx1"/>
            </w14:solidFill>
          </w14:textFill>
        </w:rPr>
      </w:pPr>
    </w:p>
    <w:p>
      <w:pPr>
        <w:spacing w:line="336" w:lineRule="auto"/>
        <w:rPr>
          <w:rFonts w:hAnsi="宋体" w:cs="宋体"/>
          <w:b/>
          <w:color w:val="000000" w:themeColor="text1"/>
          <w:sz w:val="36"/>
          <w:szCs w:val="36"/>
          <w14:textFill>
            <w14:solidFill>
              <w14:schemeClr w14:val="tx1"/>
            </w14:solidFill>
          </w14:textFill>
        </w:rPr>
      </w:pPr>
    </w:p>
    <w:p>
      <w:pPr>
        <w:spacing w:line="336" w:lineRule="auto"/>
        <w:rPr>
          <w:rFonts w:hAnsi="宋体" w:cs="宋体"/>
          <w:b/>
          <w:color w:val="000000" w:themeColor="text1"/>
          <w:sz w:val="36"/>
          <w:szCs w:val="36"/>
          <w14:textFill>
            <w14:solidFill>
              <w14:schemeClr w14:val="tx1"/>
            </w14:solidFill>
          </w14:textFill>
        </w:rPr>
      </w:pPr>
      <w:r>
        <w:rPr>
          <w:rFonts w:hint="eastAsia" w:hAnsi="宋体" w:cs="宋体"/>
          <w:b/>
          <w:color w:val="000000" w:themeColor="text1"/>
          <w:sz w:val="36"/>
          <w:szCs w:val="36"/>
          <w14:textFill>
            <w14:solidFill>
              <w14:schemeClr w14:val="tx1"/>
            </w14:solidFill>
          </w14:textFill>
        </w:rPr>
        <w:t>陕西正鸿招标有限公司</w:t>
      </w:r>
    </w:p>
    <w:p>
      <w:pPr>
        <w:spacing w:line="336" w:lineRule="auto"/>
        <w:ind w:firstLine="160" w:firstLineChars="50"/>
        <w:rPr>
          <w:rFonts w:hAnsi="宋体" w:cs="宋体"/>
          <w:color w:val="000000" w:themeColor="text1"/>
          <w:sz w:val="32"/>
          <w:szCs w:val="32"/>
          <w14:textFill>
            <w14:solidFill>
              <w14:schemeClr w14:val="tx1"/>
            </w14:solidFill>
          </w14:textFill>
        </w:rPr>
      </w:pPr>
    </w:p>
    <w:p>
      <w:pPr>
        <w:autoSpaceDE w:val="0"/>
        <w:autoSpaceDN w:val="0"/>
        <w:spacing w:line="336" w:lineRule="auto"/>
        <w:ind w:firstLine="151" w:firstLineChars="50"/>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地    址</w:t>
      </w:r>
      <w:r>
        <w:rPr>
          <w:rFonts w:hint="eastAsia" w:hAnsi="宋体" w:cs="宋体"/>
          <w:b/>
          <w:color w:val="000000" w:themeColor="text1"/>
          <w:spacing w:val="-6"/>
          <w:sz w:val="30"/>
          <w:szCs w:val="30"/>
          <w14:textFill>
            <w14:solidFill>
              <w14:schemeClr w14:val="tx1"/>
            </w14:solidFill>
          </w14:textFill>
        </w:rPr>
        <w:t>：</w:t>
      </w:r>
      <w:r>
        <w:rPr>
          <w:rFonts w:hint="eastAsia" w:hAnsi="宋体" w:cs="宋体"/>
          <w:b/>
          <w:spacing w:val="-6"/>
          <w:sz w:val="30"/>
          <w:szCs w:val="30"/>
        </w:rPr>
        <w:t>西安市雁塔区南二环凯森盛世1号A座408室</w:t>
      </w:r>
    </w:p>
    <w:p>
      <w:pPr>
        <w:autoSpaceDE w:val="0"/>
        <w:autoSpaceDN w:val="0"/>
        <w:spacing w:line="336" w:lineRule="auto"/>
        <w:ind w:firstLine="151" w:firstLineChars="50"/>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电    话：029-89338755/81511576转804</w:t>
      </w:r>
    </w:p>
    <w:p>
      <w:pPr>
        <w:autoSpaceDE w:val="0"/>
        <w:autoSpaceDN w:val="0"/>
        <w:spacing w:line="336" w:lineRule="auto"/>
        <w:ind w:firstLine="151" w:firstLineChars="50"/>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传    真：029-89338755/81511576转806</w:t>
      </w:r>
    </w:p>
    <w:p>
      <w:pPr>
        <w:autoSpaceDE w:val="0"/>
        <w:autoSpaceDN w:val="0"/>
        <w:spacing w:line="336" w:lineRule="auto"/>
        <w:ind w:firstLine="151" w:firstLineChars="50"/>
        <w:rPr>
          <w:color w:val="000000" w:themeColor="text1"/>
          <w14:textFill>
            <w14:solidFill>
              <w14:schemeClr w14:val="tx1"/>
            </w14:solidFill>
          </w14:textFill>
        </w:rPr>
      </w:pPr>
      <w:r>
        <w:rPr>
          <w:rFonts w:hint="eastAsia" w:hAnsi="宋体" w:cs="宋体"/>
          <w:b/>
          <w:color w:val="000000" w:themeColor="text1"/>
          <w:sz w:val="30"/>
          <w:szCs w:val="30"/>
          <w14:textFill>
            <w14:solidFill>
              <w14:schemeClr w14:val="tx1"/>
            </w14:solidFill>
          </w14:textFill>
        </w:rPr>
        <w:t>邮    编：710054</w:t>
      </w:r>
    </w:p>
    <w:sectPr>
      <w:footerReference r:id="rId13" w:type="first"/>
      <w:footerReference r:id="rId12" w:type="default"/>
      <w:pgSz w:w="11906" w:h="16838"/>
      <w:pgMar w:top="1440" w:right="1440" w:bottom="1440" w:left="1440" w:header="992" w:footer="992" w:gutter="170"/>
      <w:cols w:space="0" w:num="1"/>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left w:val="none" w:color="auto" w:sz="0" w:space="4"/>
        <w:bottom w:val="none" w:color="auto" w:sz="0" w:space="1"/>
        <w:right w:val="none" w:color="auto" w:sz="0" w:space="4"/>
      </w:pBdr>
      <w:jc w:val="both"/>
      <w:rPr>
        <w:rFonts w:ascii="宋体" w:hAnsi="宋体" w:cs="宋体"/>
      </w:rPr>
    </w:pPr>
    <w:r>
      <w:rPr>
        <w:rFonts w:hint="eastAsia" w:ascii="宋体" w:hAnsi="宋体" w:cs="宋体"/>
      </w:rPr>
      <w:t>陕西正鸿招标有限公司                                                    电话：029-89338755/81511576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left w:val="none" w:color="auto" w:sz="0" w:space="4"/>
        <w:bottom w:val="none" w:color="auto" w:sz="0" w:space="1"/>
        <w:right w:val="none" w:color="auto" w:sz="0" w:space="4"/>
      </w:pBdr>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rPr>
      <w:t>陕西正鸿招标有限公司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left w:val="none" w:color="auto" w:sz="0" w:space="4"/>
        <w:bottom w:val="none" w:color="auto" w:sz="0" w:space="1"/>
        <w:right w:val="none" w:color="auto" w:sz="0" w:space="4"/>
      </w:pBdr>
      <w:jc w:val="both"/>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26</w:t>
                    </w:r>
                    <w:r>
                      <w:fldChar w:fldCharType="end"/>
                    </w:r>
                  </w:p>
                </w:txbxContent>
              </v:textbox>
            </v:shape>
          </w:pict>
        </mc:Fallback>
      </mc:AlternateContent>
    </w:r>
    <w:r>
      <w:rPr>
        <w:rFonts w:hint="eastAsia" w:ascii="宋体" w:hAnsi="宋体" w:cs="宋体"/>
      </w:rPr>
      <w:t>陕西正鸿招标有限公司                                                    电话：029-89338755/81511576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left w:val="none" w:color="auto" w:sz="0" w:space="4"/>
        <w:bottom w:val="none" w:color="auto" w:sz="0" w:space="1"/>
        <w:right w:val="none" w:color="auto" w:sz="0" w:space="4"/>
      </w:pBdr>
      <w:jc w:val="both"/>
      <w:rPr>
        <w:rFonts w:ascii="宋体" w:hAnsi="宋体" w:cs="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75</w:t>
                    </w:r>
                    <w:r>
                      <w:fldChar w:fldCharType="end"/>
                    </w:r>
                  </w:p>
                </w:txbxContent>
              </v:textbox>
            </v:shape>
          </w:pict>
        </mc:Fallback>
      </mc:AlternateContent>
    </w:r>
    <w:r>
      <w:rPr>
        <w:rFonts w:hint="eastAsia" w:ascii="宋体" w:hAnsi="宋体" w:cs="宋体"/>
      </w:rPr>
      <w:t>陕西正鸿招标有限公司                                                    电话：029-89338755/81511576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left w:val="none" w:color="auto" w:sz="0" w:space="4"/>
        <w:bottom w:val="none" w:color="auto" w:sz="0" w:space="1"/>
        <w:right w:val="none" w:color="auto" w:sz="0" w:space="4"/>
      </w:pBdr>
      <w:jc w:val="right"/>
    </w:pPr>
    <w:r>
      <w:rPr>
        <w:rFonts w:hint="eastAsia" w:ascii="宋体" w:hAnsi="宋体" w:cs="宋体"/>
      </w:rPr>
      <w:t>陕西正鸿招标有限公司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1"/>
        <w:left w:val="none" w:color="auto" w:sz="0" w:space="4"/>
        <w:bottom w:val="none" w:color="auto" w:sz="0" w:space="1"/>
        <w:right w:val="none" w:color="auto" w:sz="0" w:space="4"/>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ascii="宋体" w:hAnsi="宋体" w:cs="宋体"/>
        <w:sz w:val="16"/>
        <w:szCs w:val="16"/>
      </w:rPr>
      <w:t xml:space="preserve">项目名称：咸阳师范学院专业认证管理系统及教学质量保障监控一体化监测平台建设项目 </w:t>
    </w:r>
    <w:r>
      <w:rPr>
        <w:rFonts w:ascii="宋体" w:hAnsi="宋体" w:cs="宋体"/>
        <w:sz w:val="16"/>
        <w:szCs w:val="16"/>
      </w:rPr>
      <w:t xml:space="preserve">    </w:t>
    </w:r>
    <w:r>
      <w:rPr>
        <w:rFonts w:hint="eastAsia" w:ascii="宋体" w:hAnsi="宋体" w:cs="宋体"/>
        <w:sz w:val="16"/>
        <w:szCs w:val="16"/>
      </w:rPr>
      <w:t xml:space="preserve">项目编号：ZHZB-2022-GK-0527      </w:t>
    </w:r>
    <w:r>
      <w:rPr>
        <w:rFonts w:hint="eastAsia" w:ascii="宋体" w:hAnsi="宋体" w:cs="宋体"/>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宋体" w:hAnsi="宋体" w:cs="宋体"/>
      </w:rPr>
      <w:t>西安科技大学原位红外光谱仪等仪器设备购置项目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66CD3"/>
    <w:multiLevelType w:val="singleLevel"/>
    <w:tmpl w:val="14B66CD3"/>
    <w:lvl w:ilvl="0" w:tentative="0">
      <w:start w:val="1"/>
      <w:numFmt w:val="chineseCounting"/>
      <w:suff w:val="nothing"/>
      <w:lvlText w:val="%1、"/>
      <w:lvlJc w:val="left"/>
      <w:rPr>
        <w:rFonts w:hint="eastAsia"/>
      </w:rPr>
    </w:lvl>
  </w:abstractNum>
  <w:abstractNum w:abstractNumId="1">
    <w:nsid w:val="3E65451F"/>
    <w:multiLevelType w:val="singleLevel"/>
    <w:tmpl w:val="3E6545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70"/>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ZGUzMDFkZjRmNWZkNTQyY2RhZWRiNzYxOGVjMzEifQ=="/>
  </w:docVars>
  <w:rsids>
    <w:rsidRoot w:val="7AE25B78"/>
    <w:rsid w:val="0001258B"/>
    <w:rsid w:val="00015B32"/>
    <w:rsid w:val="00015C8B"/>
    <w:rsid w:val="0002231B"/>
    <w:rsid w:val="000267D3"/>
    <w:rsid w:val="000320A7"/>
    <w:rsid w:val="000438EB"/>
    <w:rsid w:val="00043D7D"/>
    <w:rsid w:val="000613DA"/>
    <w:rsid w:val="00073C26"/>
    <w:rsid w:val="00085026"/>
    <w:rsid w:val="000A31AB"/>
    <w:rsid w:val="000B0C1D"/>
    <w:rsid w:val="000C6BEC"/>
    <w:rsid w:val="000C6F52"/>
    <w:rsid w:val="000D34B5"/>
    <w:rsid w:val="00112F6A"/>
    <w:rsid w:val="001229CD"/>
    <w:rsid w:val="00132B4C"/>
    <w:rsid w:val="00157B13"/>
    <w:rsid w:val="00170D2D"/>
    <w:rsid w:val="001826F0"/>
    <w:rsid w:val="001874C6"/>
    <w:rsid w:val="001F6AA3"/>
    <w:rsid w:val="00213CF6"/>
    <w:rsid w:val="00214A45"/>
    <w:rsid w:val="00241D60"/>
    <w:rsid w:val="002717C2"/>
    <w:rsid w:val="00271F8D"/>
    <w:rsid w:val="00276E23"/>
    <w:rsid w:val="00290EA2"/>
    <w:rsid w:val="002A0820"/>
    <w:rsid w:val="002A618B"/>
    <w:rsid w:val="002B4CAB"/>
    <w:rsid w:val="002B6181"/>
    <w:rsid w:val="002C23A3"/>
    <w:rsid w:val="002D68AE"/>
    <w:rsid w:val="002D7902"/>
    <w:rsid w:val="00333EA6"/>
    <w:rsid w:val="003342D6"/>
    <w:rsid w:val="0034342F"/>
    <w:rsid w:val="003A2AB5"/>
    <w:rsid w:val="003B6E6A"/>
    <w:rsid w:val="00404BBF"/>
    <w:rsid w:val="00414165"/>
    <w:rsid w:val="00443756"/>
    <w:rsid w:val="00443E74"/>
    <w:rsid w:val="00451FCB"/>
    <w:rsid w:val="004D1CD1"/>
    <w:rsid w:val="004D488E"/>
    <w:rsid w:val="004F3536"/>
    <w:rsid w:val="004F486D"/>
    <w:rsid w:val="005165B7"/>
    <w:rsid w:val="005526BB"/>
    <w:rsid w:val="00580BCE"/>
    <w:rsid w:val="00581618"/>
    <w:rsid w:val="005873EF"/>
    <w:rsid w:val="005A26D6"/>
    <w:rsid w:val="005A60A1"/>
    <w:rsid w:val="005A6186"/>
    <w:rsid w:val="005B2D49"/>
    <w:rsid w:val="005C06E0"/>
    <w:rsid w:val="005C3E2C"/>
    <w:rsid w:val="005C6B76"/>
    <w:rsid w:val="005C6E28"/>
    <w:rsid w:val="005F3E16"/>
    <w:rsid w:val="005F5C49"/>
    <w:rsid w:val="005F6527"/>
    <w:rsid w:val="005F7E1A"/>
    <w:rsid w:val="00603336"/>
    <w:rsid w:val="0060426E"/>
    <w:rsid w:val="00630C10"/>
    <w:rsid w:val="00655523"/>
    <w:rsid w:val="00655BE2"/>
    <w:rsid w:val="00657901"/>
    <w:rsid w:val="006660EF"/>
    <w:rsid w:val="006673D6"/>
    <w:rsid w:val="00692E34"/>
    <w:rsid w:val="006B0D22"/>
    <w:rsid w:val="006C1FBA"/>
    <w:rsid w:val="006E5F58"/>
    <w:rsid w:val="0070789E"/>
    <w:rsid w:val="00712D74"/>
    <w:rsid w:val="00726D06"/>
    <w:rsid w:val="007276CD"/>
    <w:rsid w:val="00732094"/>
    <w:rsid w:val="0073710B"/>
    <w:rsid w:val="00744CF0"/>
    <w:rsid w:val="00765271"/>
    <w:rsid w:val="007C32FD"/>
    <w:rsid w:val="007D5CA9"/>
    <w:rsid w:val="007E32B1"/>
    <w:rsid w:val="007F0242"/>
    <w:rsid w:val="00801407"/>
    <w:rsid w:val="00801DC7"/>
    <w:rsid w:val="00815D0D"/>
    <w:rsid w:val="00823F40"/>
    <w:rsid w:val="00836B30"/>
    <w:rsid w:val="00851787"/>
    <w:rsid w:val="0088783B"/>
    <w:rsid w:val="00890012"/>
    <w:rsid w:val="008963C6"/>
    <w:rsid w:val="008B6316"/>
    <w:rsid w:val="008E6E7E"/>
    <w:rsid w:val="00914F91"/>
    <w:rsid w:val="0092359A"/>
    <w:rsid w:val="009340A4"/>
    <w:rsid w:val="0094408F"/>
    <w:rsid w:val="009622C1"/>
    <w:rsid w:val="00967E97"/>
    <w:rsid w:val="009959BD"/>
    <w:rsid w:val="009A300B"/>
    <w:rsid w:val="009A5963"/>
    <w:rsid w:val="009C73FB"/>
    <w:rsid w:val="009F218F"/>
    <w:rsid w:val="00A04447"/>
    <w:rsid w:val="00A0711A"/>
    <w:rsid w:val="00A1362D"/>
    <w:rsid w:val="00A520A0"/>
    <w:rsid w:val="00A55121"/>
    <w:rsid w:val="00A71569"/>
    <w:rsid w:val="00A73160"/>
    <w:rsid w:val="00A74636"/>
    <w:rsid w:val="00A747CF"/>
    <w:rsid w:val="00A93BE6"/>
    <w:rsid w:val="00AD49D4"/>
    <w:rsid w:val="00AE1E98"/>
    <w:rsid w:val="00AE5ABB"/>
    <w:rsid w:val="00AF6FEF"/>
    <w:rsid w:val="00B01E72"/>
    <w:rsid w:val="00B4221B"/>
    <w:rsid w:val="00B44170"/>
    <w:rsid w:val="00B45BF0"/>
    <w:rsid w:val="00B60908"/>
    <w:rsid w:val="00B64CA9"/>
    <w:rsid w:val="00B80D9E"/>
    <w:rsid w:val="00B84C0E"/>
    <w:rsid w:val="00BA7EB6"/>
    <w:rsid w:val="00BB7BF2"/>
    <w:rsid w:val="00BF58E5"/>
    <w:rsid w:val="00C036C8"/>
    <w:rsid w:val="00C20AC5"/>
    <w:rsid w:val="00C35480"/>
    <w:rsid w:val="00C52760"/>
    <w:rsid w:val="00C60962"/>
    <w:rsid w:val="00C75B9C"/>
    <w:rsid w:val="00C8492F"/>
    <w:rsid w:val="00C920EC"/>
    <w:rsid w:val="00CA01B9"/>
    <w:rsid w:val="00CB243E"/>
    <w:rsid w:val="00CB29B1"/>
    <w:rsid w:val="00CB3695"/>
    <w:rsid w:val="00CF513A"/>
    <w:rsid w:val="00CF5CB7"/>
    <w:rsid w:val="00D16BD7"/>
    <w:rsid w:val="00D22CB8"/>
    <w:rsid w:val="00D23C56"/>
    <w:rsid w:val="00D3199C"/>
    <w:rsid w:val="00D3383C"/>
    <w:rsid w:val="00D35AD4"/>
    <w:rsid w:val="00D63827"/>
    <w:rsid w:val="00D64EA9"/>
    <w:rsid w:val="00D7387C"/>
    <w:rsid w:val="00D86575"/>
    <w:rsid w:val="00D950FC"/>
    <w:rsid w:val="00DF4FD8"/>
    <w:rsid w:val="00E01C21"/>
    <w:rsid w:val="00E368F2"/>
    <w:rsid w:val="00E459B1"/>
    <w:rsid w:val="00E52CEB"/>
    <w:rsid w:val="00E73976"/>
    <w:rsid w:val="00E84E02"/>
    <w:rsid w:val="00E91ADD"/>
    <w:rsid w:val="00EA42CF"/>
    <w:rsid w:val="00EB4490"/>
    <w:rsid w:val="00EC102A"/>
    <w:rsid w:val="00EC363D"/>
    <w:rsid w:val="00ED1BC6"/>
    <w:rsid w:val="00EE2471"/>
    <w:rsid w:val="00F14BB0"/>
    <w:rsid w:val="00F5365F"/>
    <w:rsid w:val="00F61512"/>
    <w:rsid w:val="00F630A5"/>
    <w:rsid w:val="00F74F1A"/>
    <w:rsid w:val="00FC5C41"/>
    <w:rsid w:val="00FD0849"/>
    <w:rsid w:val="01055F25"/>
    <w:rsid w:val="013F61D9"/>
    <w:rsid w:val="015730B8"/>
    <w:rsid w:val="01C93227"/>
    <w:rsid w:val="020B5815"/>
    <w:rsid w:val="02195D76"/>
    <w:rsid w:val="022E6EBB"/>
    <w:rsid w:val="02DA4287"/>
    <w:rsid w:val="02E26B03"/>
    <w:rsid w:val="02E37B11"/>
    <w:rsid w:val="03512CDF"/>
    <w:rsid w:val="038A570F"/>
    <w:rsid w:val="03A270ED"/>
    <w:rsid w:val="040D4F9A"/>
    <w:rsid w:val="04194790"/>
    <w:rsid w:val="04A26DB7"/>
    <w:rsid w:val="04AF51D0"/>
    <w:rsid w:val="052A72CB"/>
    <w:rsid w:val="055B748B"/>
    <w:rsid w:val="05910AD7"/>
    <w:rsid w:val="05B815AE"/>
    <w:rsid w:val="06114E3A"/>
    <w:rsid w:val="064A28AB"/>
    <w:rsid w:val="067E05AB"/>
    <w:rsid w:val="069B1796"/>
    <w:rsid w:val="06D661F7"/>
    <w:rsid w:val="07046AFB"/>
    <w:rsid w:val="07415774"/>
    <w:rsid w:val="07586442"/>
    <w:rsid w:val="07C5391D"/>
    <w:rsid w:val="07E01232"/>
    <w:rsid w:val="080F0A6A"/>
    <w:rsid w:val="083C4B54"/>
    <w:rsid w:val="08773E4A"/>
    <w:rsid w:val="089F3D42"/>
    <w:rsid w:val="08A2174C"/>
    <w:rsid w:val="08A26A71"/>
    <w:rsid w:val="08E90808"/>
    <w:rsid w:val="09122582"/>
    <w:rsid w:val="092E3F47"/>
    <w:rsid w:val="09320D22"/>
    <w:rsid w:val="09594B91"/>
    <w:rsid w:val="09A11F9E"/>
    <w:rsid w:val="09D41182"/>
    <w:rsid w:val="0A0D0790"/>
    <w:rsid w:val="0A100B8A"/>
    <w:rsid w:val="0A117F61"/>
    <w:rsid w:val="0A192987"/>
    <w:rsid w:val="0A2A37A7"/>
    <w:rsid w:val="0A2A66DF"/>
    <w:rsid w:val="0A413699"/>
    <w:rsid w:val="0A532D15"/>
    <w:rsid w:val="0ACD3C45"/>
    <w:rsid w:val="0AD22E35"/>
    <w:rsid w:val="0AE84E46"/>
    <w:rsid w:val="0AF953DB"/>
    <w:rsid w:val="0B5E4F57"/>
    <w:rsid w:val="0B6836AB"/>
    <w:rsid w:val="0BD8604C"/>
    <w:rsid w:val="0C974BFF"/>
    <w:rsid w:val="0C976181"/>
    <w:rsid w:val="0C997D26"/>
    <w:rsid w:val="0CCC2E3C"/>
    <w:rsid w:val="0D45287A"/>
    <w:rsid w:val="0D496A50"/>
    <w:rsid w:val="0D890C97"/>
    <w:rsid w:val="0E604DEA"/>
    <w:rsid w:val="0E9A2D3E"/>
    <w:rsid w:val="0EAF52D8"/>
    <w:rsid w:val="0F41440A"/>
    <w:rsid w:val="0F566A47"/>
    <w:rsid w:val="0F760432"/>
    <w:rsid w:val="0FAB3C9F"/>
    <w:rsid w:val="0FB56209"/>
    <w:rsid w:val="0FB63842"/>
    <w:rsid w:val="0FFF2AA1"/>
    <w:rsid w:val="10340862"/>
    <w:rsid w:val="104015A1"/>
    <w:rsid w:val="104B11D6"/>
    <w:rsid w:val="105F273B"/>
    <w:rsid w:val="11625005"/>
    <w:rsid w:val="11765DF2"/>
    <w:rsid w:val="11997035"/>
    <w:rsid w:val="121750B6"/>
    <w:rsid w:val="12480071"/>
    <w:rsid w:val="1272150B"/>
    <w:rsid w:val="12BE7031"/>
    <w:rsid w:val="12DC289E"/>
    <w:rsid w:val="139A657A"/>
    <w:rsid w:val="13B43BFC"/>
    <w:rsid w:val="13FA6A44"/>
    <w:rsid w:val="144F2247"/>
    <w:rsid w:val="14BA2B15"/>
    <w:rsid w:val="14EE37AD"/>
    <w:rsid w:val="156C3AD3"/>
    <w:rsid w:val="158D0C8A"/>
    <w:rsid w:val="1686445B"/>
    <w:rsid w:val="16B76111"/>
    <w:rsid w:val="16CF0FA6"/>
    <w:rsid w:val="16FB0571"/>
    <w:rsid w:val="1715549E"/>
    <w:rsid w:val="171D6079"/>
    <w:rsid w:val="17831132"/>
    <w:rsid w:val="17851F86"/>
    <w:rsid w:val="17AF7EFF"/>
    <w:rsid w:val="17C57976"/>
    <w:rsid w:val="17E43ABA"/>
    <w:rsid w:val="17FF1921"/>
    <w:rsid w:val="189225DB"/>
    <w:rsid w:val="189B79CA"/>
    <w:rsid w:val="18A149CB"/>
    <w:rsid w:val="18A36FF2"/>
    <w:rsid w:val="18EB4791"/>
    <w:rsid w:val="194166AC"/>
    <w:rsid w:val="19584E08"/>
    <w:rsid w:val="197D7FEE"/>
    <w:rsid w:val="19AA6AC5"/>
    <w:rsid w:val="19C5409B"/>
    <w:rsid w:val="19D479CC"/>
    <w:rsid w:val="1A366B7F"/>
    <w:rsid w:val="1A5E3E4B"/>
    <w:rsid w:val="1A754190"/>
    <w:rsid w:val="1A7D025E"/>
    <w:rsid w:val="1AAD1C9C"/>
    <w:rsid w:val="1B525F94"/>
    <w:rsid w:val="1B723200"/>
    <w:rsid w:val="1B9273FE"/>
    <w:rsid w:val="1BE95745"/>
    <w:rsid w:val="1D602182"/>
    <w:rsid w:val="1D952664"/>
    <w:rsid w:val="1DC13BBE"/>
    <w:rsid w:val="1E610AE3"/>
    <w:rsid w:val="1E6D2774"/>
    <w:rsid w:val="1E6E32E2"/>
    <w:rsid w:val="1ED36A84"/>
    <w:rsid w:val="1F1E0B22"/>
    <w:rsid w:val="1F947BE9"/>
    <w:rsid w:val="1FAB45A5"/>
    <w:rsid w:val="1FB83462"/>
    <w:rsid w:val="1FC71401"/>
    <w:rsid w:val="1FD91AA0"/>
    <w:rsid w:val="1FED7107"/>
    <w:rsid w:val="1FF42F2B"/>
    <w:rsid w:val="20084DC0"/>
    <w:rsid w:val="201A5A08"/>
    <w:rsid w:val="201B4D96"/>
    <w:rsid w:val="208D1DC3"/>
    <w:rsid w:val="212F5FE4"/>
    <w:rsid w:val="219F11ED"/>
    <w:rsid w:val="21D360B9"/>
    <w:rsid w:val="21F02F49"/>
    <w:rsid w:val="224F6D74"/>
    <w:rsid w:val="22E77C53"/>
    <w:rsid w:val="22F81FF1"/>
    <w:rsid w:val="235F7309"/>
    <w:rsid w:val="23DE769B"/>
    <w:rsid w:val="23EA1ADF"/>
    <w:rsid w:val="23F02417"/>
    <w:rsid w:val="23F17B1E"/>
    <w:rsid w:val="24166FC9"/>
    <w:rsid w:val="2449415F"/>
    <w:rsid w:val="24837C82"/>
    <w:rsid w:val="249E5C32"/>
    <w:rsid w:val="24B21DA9"/>
    <w:rsid w:val="24E92817"/>
    <w:rsid w:val="24ED427D"/>
    <w:rsid w:val="25214F5D"/>
    <w:rsid w:val="252E3161"/>
    <w:rsid w:val="253B7C18"/>
    <w:rsid w:val="255234D3"/>
    <w:rsid w:val="25651FC9"/>
    <w:rsid w:val="259737E8"/>
    <w:rsid w:val="265716E8"/>
    <w:rsid w:val="26AC584D"/>
    <w:rsid w:val="26EC6832"/>
    <w:rsid w:val="26FD57FB"/>
    <w:rsid w:val="270B6E42"/>
    <w:rsid w:val="281B64C1"/>
    <w:rsid w:val="28525702"/>
    <w:rsid w:val="287D6259"/>
    <w:rsid w:val="288D7862"/>
    <w:rsid w:val="28C3764F"/>
    <w:rsid w:val="28EB1606"/>
    <w:rsid w:val="28FF0795"/>
    <w:rsid w:val="2907413E"/>
    <w:rsid w:val="291D1BFA"/>
    <w:rsid w:val="291D4E2E"/>
    <w:rsid w:val="29EF19CF"/>
    <w:rsid w:val="29F119C1"/>
    <w:rsid w:val="2A495A29"/>
    <w:rsid w:val="2A4E52CA"/>
    <w:rsid w:val="2A5E5F22"/>
    <w:rsid w:val="2A67521A"/>
    <w:rsid w:val="2AB96756"/>
    <w:rsid w:val="2ACC2AC6"/>
    <w:rsid w:val="2AD46371"/>
    <w:rsid w:val="2B2067D5"/>
    <w:rsid w:val="2B495DDC"/>
    <w:rsid w:val="2B6C69FE"/>
    <w:rsid w:val="2B742D0C"/>
    <w:rsid w:val="2C8F214A"/>
    <w:rsid w:val="2C9E7C2A"/>
    <w:rsid w:val="2CC87F2E"/>
    <w:rsid w:val="2CCD7F5E"/>
    <w:rsid w:val="2CEC687C"/>
    <w:rsid w:val="2CF45540"/>
    <w:rsid w:val="2D265D29"/>
    <w:rsid w:val="2D695F02"/>
    <w:rsid w:val="2E0F2B40"/>
    <w:rsid w:val="2E100D83"/>
    <w:rsid w:val="2EC12F79"/>
    <w:rsid w:val="2F1E3A89"/>
    <w:rsid w:val="2F38679F"/>
    <w:rsid w:val="2F6B1289"/>
    <w:rsid w:val="2F6F5CC0"/>
    <w:rsid w:val="2F757A66"/>
    <w:rsid w:val="2F8042D7"/>
    <w:rsid w:val="2FDB0F1C"/>
    <w:rsid w:val="30006BD5"/>
    <w:rsid w:val="3019253B"/>
    <w:rsid w:val="30B03386"/>
    <w:rsid w:val="30C20AC1"/>
    <w:rsid w:val="30D556A6"/>
    <w:rsid w:val="315C3788"/>
    <w:rsid w:val="31851F80"/>
    <w:rsid w:val="319A7B72"/>
    <w:rsid w:val="31B47C77"/>
    <w:rsid w:val="31C84B78"/>
    <w:rsid w:val="321F3583"/>
    <w:rsid w:val="322E5B21"/>
    <w:rsid w:val="326F3B9E"/>
    <w:rsid w:val="32886871"/>
    <w:rsid w:val="32924002"/>
    <w:rsid w:val="32BB6C06"/>
    <w:rsid w:val="32C01964"/>
    <w:rsid w:val="32C76AE6"/>
    <w:rsid w:val="32C96CCC"/>
    <w:rsid w:val="32DB1789"/>
    <w:rsid w:val="32E77BD8"/>
    <w:rsid w:val="33194345"/>
    <w:rsid w:val="33211838"/>
    <w:rsid w:val="33433A5B"/>
    <w:rsid w:val="334E3387"/>
    <w:rsid w:val="33F6779A"/>
    <w:rsid w:val="34091BF6"/>
    <w:rsid w:val="341475A7"/>
    <w:rsid w:val="34296534"/>
    <w:rsid w:val="3444155D"/>
    <w:rsid w:val="345130B7"/>
    <w:rsid w:val="347744CB"/>
    <w:rsid w:val="34952511"/>
    <w:rsid w:val="34A43EE3"/>
    <w:rsid w:val="34B55780"/>
    <w:rsid w:val="34F23498"/>
    <w:rsid w:val="35464FF3"/>
    <w:rsid w:val="35810BEA"/>
    <w:rsid w:val="35BE6D4B"/>
    <w:rsid w:val="35FB37C2"/>
    <w:rsid w:val="36174C78"/>
    <w:rsid w:val="364A6DFC"/>
    <w:rsid w:val="36621E8B"/>
    <w:rsid w:val="36760EF9"/>
    <w:rsid w:val="36C75462"/>
    <w:rsid w:val="373962FB"/>
    <w:rsid w:val="37536778"/>
    <w:rsid w:val="37B13D77"/>
    <w:rsid w:val="37B73C9A"/>
    <w:rsid w:val="37F83847"/>
    <w:rsid w:val="38152E75"/>
    <w:rsid w:val="38183166"/>
    <w:rsid w:val="39626D46"/>
    <w:rsid w:val="398B25B1"/>
    <w:rsid w:val="39A571FD"/>
    <w:rsid w:val="39C8790B"/>
    <w:rsid w:val="39DA57F0"/>
    <w:rsid w:val="39FD6825"/>
    <w:rsid w:val="3A3D2730"/>
    <w:rsid w:val="3A4B5CD3"/>
    <w:rsid w:val="3AAE1769"/>
    <w:rsid w:val="3B243926"/>
    <w:rsid w:val="3B383C19"/>
    <w:rsid w:val="3B4D48D7"/>
    <w:rsid w:val="3BBF16F2"/>
    <w:rsid w:val="3C0A73D1"/>
    <w:rsid w:val="3C626FE1"/>
    <w:rsid w:val="3CA362FD"/>
    <w:rsid w:val="3CA77FE7"/>
    <w:rsid w:val="3CCC056A"/>
    <w:rsid w:val="3D236F1F"/>
    <w:rsid w:val="3D6A11A9"/>
    <w:rsid w:val="3DD30BDA"/>
    <w:rsid w:val="3DDB7680"/>
    <w:rsid w:val="3DDF5951"/>
    <w:rsid w:val="3DED423B"/>
    <w:rsid w:val="3E5500EC"/>
    <w:rsid w:val="3EC911B2"/>
    <w:rsid w:val="3F16510E"/>
    <w:rsid w:val="3F69229B"/>
    <w:rsid w:val="3F84512C"/>
    <w:rsid w:val="3F8E13DC"/>
    <w:rsid w:val="3FD870C5"/>
    <w:rsid w:val="3FDF5EEA"/>
    <w:rsid w:val="3FF34366"/>
    <w:rsid w:val="3FF52D82"/>
    <w:rsid w:val="4010631A"/>
    <w:rsid w:val="4021659D"/>
    <w:rsid w:val="40382F92"/>
    <w:rsid w:val="403C125E"/>
    <w:rsid w:val="40D22ED6"/>
    <w:rsid w:val="41001F5C"/>
    <w:rsid w:val="41D55B63"/>
    <w:rsid w:val="41F41D40"/>
    <w:rsid w:val="41F42A7B"/>
    <w:rsid w:val="42706A4F"/>
    <w:rsid w:val="42EC074C"/>
    <w:rsid w:val="42F500EF"/>
    <w:rsid w:val="432F16E4"/>
    <w:rsid w:val="43355326"/>
    <w:rsid w:val="439F1014"/>
    <w:rsid w:val="43A01517"/>
    <w:rsid w:val="43A56F37"/>
    <w:rsid w:val="43C20628"/>
    <w:rsid w:val="44330ECF"/>
    <w:rsid w:val="44581D6B"/>
    <w:rsid w:val="44603483"/>
    <w:rsid w:val="448B573D"/>
    <w:rsid w:val="44E62215"/>
    <w:rsid w:val="45186B13"/>
    <w:rsid w:val="452B44E0"/>
    <w:rsid w:val="453A628D"/>
    <w:rsid w:val="45A36C36"/>
    <w:rsid w:val="45B5157B"/>
    <w:rsid w:val="45EE126F"/>
    <w:rsid w:val="46227DE8"/>
    <w:rsid w:val="4645410E"/>
    <w:rsid w:val="464F3F4F"/>
    <w:rsid w:val="467005B4"/>
    <w:rsid w:val="46885F8C"/>
    <w:rsid w:val="469E48BD"/>
    <w:rsid w:val="46A367C3"/>
    <w:rsid w:val="46E10FA2"/>
    <w:rsid w:val="46F057FA"/>
    <w:rsid w:val="46FF4630"/>
    <w:rsid w:val="470E4F44"/>
    <w:rsid w:val="47892DA5"/>
    <w:rsid w:val="479F7517"/>
    <w:rsid w:val="47A6282A"/>
    <w:rsid w:val="47DB6A86"/>
    <w:rsid w:val="480A78FD"/>
    <w:rsid w:val="48362EDE"/>
    <w:rsid w:val="487927CF"/>
    <w:rsid w:val="487E3FE2"/>
    <w:rsid w:val="48835CE6"/>
    <w:rsid w:val="4887491A"/>
    <w:rsid w:val="48D621CC"/>
    <w:rsid w:val="49475CC0"/>
    <w:rsid w:val="4986560D"/>
    <w:rsid w:val="49965CC3"/>
    <w:rsid w:val="49B151CA"/>
    <w:rsid w:val="49BE0E26"/>
    <w:rsid w:val="49EB3960"/>
    <w:rsid w:val="4A0049BE"/>
    <w:rsid w:val="4A281B71"/>
    <w:rsid w:val="4A512F05"/>
    <w:rsid w:val="4A7D1EC2"/>
    <w:rsid w:val="4A8C5241"/>
    <w:rsid w:val="4AD907B6"/>
    <w:rsid w:val="4AF059B8"/>
    <w:rsid w:val="4B6E17A2"/>
    <w:rsid w:val="4B707233"/>
    <w:rsid w:val="4B784575"/>
    <w:rsid w:val="4B997AE4"/>
    <w:rsid w:val="4BBE0C63"/>
    <w:rsid w:val="4BC22AA5"/>
    <w:rsid w:val="4BCF2A9D"/>
    <w:rsid w:val="4BE3399F"/>
    <w:rsid w:val="4BEB17A9"/>
    <w:rsid w:val="4C0E691D"/>
    <w:rsid w:val="4C1A7275"/>
    <w:rsid w:val="4C256175"/>
    <w:rsid w:val="4C373BB6"/>
    <w:rsid w:val="4C7D1EB7"/>
    <w:rsid w:val="4CA33CF9"/>
    <w:rsid w:val="4CAF1BB5"/>
    <w:rsid w:val="4CD2672F"/>
    <w:rsid w:val="4D4A31C8"/>
    <w:rsid w:val="4D793706"/>
    <w:rsid w:val="4D970ABA"/>
    <w:rsid w:val="4DD408C2"/>
    <w:rsid w:val="4DFF067C"/>
    <w:rsid w:val="4E2F09F8"/>
    <w:rsid w:val="4E60181F"/>
    <w:rsid w:val="4E640A54"/>
    <w:rsid w:val="4EDB5967"/>
    <w:rsid w:val="4EEE700C"/>
    <w:rsid w:val="4F214111"/>
    <w:rsid w:val="4F2C6C47"/>
    <w:rsid w:val="4F8541D3"/>
    <w:rsid w:val="4F8545A9"/>
    <w:rsid w:val="4FB4318C"/>
    <w:rsid w:val="4FCA18AB"/>
    <w:rsid w:val="502E52A6"/>
    <w:rsid w:val="50742DDB"/>
    <w:rsid w:val="50B054D8"/>
    <w:rsid w:val="51012AAC"/>
    <w:rsid w:val="5197662F"/>
    <w:rsid w:val="51E76DE3"/>
    <w:rsid w:val="51EE30CC"/>
    <w:rsid w:val="52B3313F"/>
    <w:rsid w:val="52D1298C"/>
    <w:rsid w:val="52E62883"/>
    <w:rsid w:val="530104DB"/>
    <w:rsid w:val="53030FA6"/>
    <w:rsid w:val="53391670"/>
    <w:rsid w:val="53603107"/>
    <w:rsid w:val="5387430F"/>
    <w:rsid w:val="54191C53"/>
    <w:rsid w:val="54462559"/>
    <w:rsid w:val="544D6993"/>
    <w:rsid w:val="548C51EC"/>
    <w:rsid w:val="5490205A"/>
    <w:rsid w:val="55274553"/>
    <w:rsid w:val="55E35AEF"/>
    <w:rsid w:val="55F95997"/>
    <w:rsid w:val="576721AD"/>
    <w:rsid w:val="577F41C5"/>
    <w:rsid w:val="57AD4110"/>
    <w:rsid w:val="5807316E"/>
    <w:rsid w:val="586260D9"/>
    <w:rsid w:val="586E25A8"/>
    <w:rsid w:val="58732243"/>
    <w:rsid w:val="587C2F6C"/>
    <w:rsid w:val="58E45FA2"/>
    <w:rsid w:val="591C685C"/>
    <w:rsid w:val="593C6EB2"/>
    <w:rsid w:val="59B6263D"/>
    <w:rsid w:val="59F52DB1"/>
    <w:rsid w:val="5A1E2537"/>
    <w:rsid w:val="5A4015FA"/>
    <w:rsid w:val="5A4C6942"/>
    <w:rsid w:val="5A76675B"/>
    <w:rsid w:val="5AB971CF"/>
    <w:rsid w:val="5AED5D48"/>
    <w:rsid w:val="5AF43851"/>
    <w:rsid w:val="5B1E0E1E"/>
    <w:rsid w:val="5B5A1BF2"/>
    <w:rsid w:val="5BAB35F1"/>
    <w:rsid w:val="5BC957DF"/>
    <w:rsid w:val="5BE9434D"/>
    <w:rsid w:val="5BEC7FDE"/>
    <w:rsid w:val="5BF56D72"/>
    <w:rsid w:val="5C0C4088"/>
    <w:rsid w:val="5C0D1264"/>
    <w:rsid w:val="5C264A18"/>
    <w:rsid w:val="5C396457"/>
    <w:rsid w:val="5C707360"/>
    <w:rsid w:val="5CC523AD"/>
    <w:rsid w:val="5D0945ED"/>
    <w:rsid w:val="5D2F0BB1"/>
    <w:rsid w:val="5DB011B4"/>
    <w:rsid w:val="5DB63FB0"/>
    <w:rsid w:val="5DE352BC"/>
    <w:rsid w:val="5EAB300E"/>
    <w:rsid w:val="5EAD72D3"/>
    <w:rsid w:val="5EB3205F"/>
    <w:rsid w:val="5EBB31CF"/>
    <w:rsid w:val="5ECD522C"/>
    <w:rsid w:val="5EEB1C33"/>
    <w:rsid w:val="5F116C25"/>
    <w:rsid w:val="5F6C3042"/>
    <w:rsid w:val="5FB77A56"/>
    <w:rsid w:val="5FC419BA"/>
    <w:rsid w:val="60155157"/>
    <w:rsid w:val="609470E5"/>
    <w:rsid w:val="60BC67DD"/>
    <w:rsid w:val="60DC6F8B"/>
    <w:rsid w:val="60F05408"/>
    <w:rsid w:val="60F26425"/>
    <w:rsid w:val="61126B5E"/>
    <w:rsid w:val="61191962"/>
    <w:rsid w:val="61244348"/>
    <w:rsid w:val="614209A7"/>
    <w:rsid w:val="61744DC6"/>
    <w:rsid w:val="61BA4586"/>
    <w:rsid w:val="61E96899"/>
    <w:rsid w:val="61F46873"/>
    <w:rsid w:val="623B2DB1"/>
    <w:rsid w:val="62B66A85"/>
    <w:rsid w:val="62BA5474"/>
    <w:rsid w:val="63123C73"/>
    <w:rsid w:val="63402D3C"/>
    <w:rsid w:val="63485202"/>
    <w:rsid w:val="641043DB"/>
    <w:rsid w:val="643D740C"/>
    <w:rsid w:val="645B4B75"/>
    <w:rsid w:val="6485675B"/>
    <w:rsid w:val="64882D51"/>
    <w:rsid w:val="64951FC5"/>
    <w:rsid w:val="6511270F"/>
    <w:rsid w:val="651B40F1"/>
    <w:rsid w:val="652F4369"/>
    <w:rsid w:val="656004F1"/>
    <w:rsid w:val="65813130"/>
    <w:rsid w:val="66200990"/>
    <w:rsid w:val="66F50178"/>
    <w:rsid w:val="670D586B"/>
    <w:rsid w:val="6733081F"/>
    <w:rsid w:val="67647811"/>
    <w:rsid w:val="679A508E"/>
    <w:rsid w:val="67C24194"/>
    <w:rsid w:val="67CA6CC4"/>
    <w:rsid w:val="67D13472"/>
    <w:rsid w:val="67E20393"/>
    <w:rsid w:val="67FC17B6"/>
    <w:rsid w:val="68352E03"/>
    <w:rsid w:val="684B3582"/>
    <w:rsid w:val="6883041D"/>
    <w:rsid w:val="68B3225D"/>
    <w:rsid w:val="68DE0675"/>
    <w:rsid w:val="68E767AA"/>
    <w:rsid w:val="690A1F2D"/>
    <w:rsid w:val="692F6B22"/>
    <w:rsid w:val="694429EE"/>
    <w:rsid w:val="69594F9D"/>
    <w:rsid w:val="698A2163"/>
    <w:rsid w:val="69B20C2D"/>
    <w:rsid w:val="69B54560"/>
    <w:rsid w:val="69CE0180"/>
    <w:rsid w:val="69E8651B"/>
    <w:rsid w:val="6A3C71FB"/>
    <w:rsid w:val="6AD67A1E"/>
    <w:rsid w:val="6B071EFF"/>
    <w:rsid w:val="6B1E28E8"/>
    <w:rsid w:val="6B7E6624"/>
    <w:rsid w:val="6BDC2D7B"/>
    <w:rsid w:val="6C6352D8"/>
    <w:rsid w:val="6C915A28"/>
    <w:rsid w:val="6D22786E"/>
    <w:rsid w:val="6DAE1028"/>
    <w:rsid w:val="6DAE16E3"/>
    <w:rsid w:val="6DDE559D"/>
    <w:rsid w:val="6DF717EF"/>
    <w:rsid w:val="6E121916"/>
    <w:rsid w:val="6E3F4872"/>
    <w:rsid w:val="6EA312C4"/>
    <w:rsid w:val="6EA67728"/>
    <w:rsid w:val="6EAD4736"/>
    <w:rsid w:val="6EF52489"/>
    <w:rsid w:val="6F8A0358"/>
    <w:rsid w:val="6FA77490"/>
    <w:rsid w:val="6FB80185"/>
    <w:rsid w:val="6FD62698"/>
    <w:rsid w:val="6FEF32DC"/>
    <w:rsid w:val="6FF73238"/>
    <w:rsid w:val="70286D24"/>
    <w:rsid w:val="70726BBD"/>
    <w:rsid w:val="707D03E7"/>
    <w:rsid w:val="70D27CAC"/>
    <w:rsid w:val="70D94B25"/>
    <w:rsid w:val="712A649F"/>
    <w:rsid w:val="715D072E"/>
    <w:rsid w:val="719F09F0"/>
    <w:rsid w:val="71BF2AF1"/>
    <w:rsid w:val="71CC59FE"/>
    <w:rsid w:val="71D62FB3"/>
    <w:rsid w:val="71EB07D8"/>
    <w:rsid w:val="71F301F1"/>
    <w:rsid w:val="721B1170"/>
    <w:rsid w:val="723E1920"/>
    <w:rsid w:val="72551616"/>
    <w:rsid w:val="72684B9D"/>
    <w:rsid w:val="729D337C"/>
    <w:rsid w:val="72D019E8"/>
    <w:rsid w:val="72FB6396"/>
    <w:rsid w:val="731207F1"/>
    <w:rsid w:val="73343C02"/>
    <w:rsid w:val="736A4798"/>
    <w:rsid w:val="73B90AD3"/>
    <w:rsid w:val="73E3342B"/>
    <w:rsid w:val="741F034C"/>
    <w:rsid w:val="744608D8"/>
    <w:rsid w:val="74A02FC2"/>
    <w:rsid w:val="74A1162B"/>
    <w:rsid w:val="74A75EC6"/>
    <w:rsid w:val="74DD7B58"/>
    <w:rsid w:val="7542011D"/>
    <w:rsid w:val="754F593F"/>
    <w:rsid w:val="758616DF"/>
    <w:rsid w:val="75A27357"/>
    <w:rsid w:val="75FD7F2D"/>
    <w:rsid w:val="760E7C76"/>
    <w:rsid w:val="7610715A"/>
    <w:rsid w:val="761A1D87"/>
    <w:rsid w:val="762304F4"/>
    <w:rsid w:val="762C7ED0"/>
    <w:rsid w:val="76477075"/>
    <w:rsid w:val="765429FF"/>
    <w:rsid w:val="76554244"/>
    <w:rsid w:val="76873CF0"/>
    <w:rsid w:val="76A509A1"/>
    <w:rsid w:val="76B24A17"/>
    <w:rsid w:val="76CC21A9"/>
    <w:rsid w:val="76CD20C7"/>
    <w:rsid w:val="772C1420"/>
    <w:rsid w:val="773E4C74"/>
    <w:rsid w:val="77491189"/>
    <w:rsid w:val="77814A03"/>
    <w:rsid w:val="779015B0"/>
    <w:rsid w:val="77B06332"/>
    <w:rsid w:val="77D260DB"/>
    <w:rsid w:val="77D47CF8"/>
    <w:rsid w:val="78022526"/>
    <w:rsid w:val="78623556"/>
    <w:rsid w:val="78630DB6"/>
    <w:rsid w:val="786B5C5F"/>
    <w:rsid w:val="78867E76"/>
    <w:rsid w:val="78AF224C"/>
    <w:rsid w:val="79742EB1"/>
    <w:rsid w:val="79AD265B"/>
    <w:rsid w:val="79BB65D5"/>
    <w:rsid w:val="7A2926D4"/>
    <w:rsid w:val="7A6C77D6"/>
    <w:rsid w:val="7A984E37"/>
    <w:rsid w:val="7AE25B78"/>
    <w:rsid w:val="7B1A1D7F"/>
    <w:rsid w:val="7B260D6B"/>
    <w:rsid w:val="7B382AB6"/>
    <w:rsid w:val="7B797DC7"/>
    <w:rsid w:val="7B92491A"/>
    <w:rsid w:val="7BC6204D"/>
    <w:rsid w:val="7BD02003"/>
    <w:rsid w:val="7BF57973"/>
    <w:rsid w:val="7C771F6B"/>
    <w:rsid w:val="7C801DA3"/>
    <w:rsid w:val="7CA875BB"/>
    <w:rsid w:val="7D30335C"/>
    <w:rsid w:val="7D533204"/>
    <w:rsid w:val="7D805A1C"/>
    <w:rsid w:val="7D9036DC"/>
    <w:rsid w:val="7E6A4CB7"/>
    <w:rsid w:val="7EF50D16"/>
    <w:rsid w:val="7F4C4335"/>
    <w:rsid w:val="7FA071AF"/>
    <w:rsid w:val="7FD45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25"/>
    <w:qFormat/>
    <w:uiPriority w:val="0"/>
    <w:pPr>
      <w:keepNext/>
      <w:adjustRightInd w:val="0"/>
      <w:snapToGrid w:val="0"/>
      <w:spacing w:before="100" w:beforeLines="100" w:line="480" w:lineRule="auto"/>
      <w:jc w:val="center"/>
      <w:outlineLvl w:val="0"/>
    </w:pPr>
    <w:rPr>
      <w:rFonts w:hAnsi="宋体" w:cs="宋体"/>
      <w:b/>
      <w:kern w:val="2"/>
      <w:sz w:val="32"/>
    </w:rPr>
  </w:style>
  <w:style w:type="paragraph" w:styleId="4">
    <w:name w:val="heading 2"/>
    <w:basedOn w:val="1"/>
    <w:next w:val="1"/>
    <w:link w:val="30"/>
    <w:qFormat/>
    <w:uiPriority w:val="9"/>
    <w:pPr>
      <w:keepNext/>
      <w:keepLines/>
      <w:widowControl/>
      <w:spacing w:before="260" w:after="260"/>
      <w:ind w:left="284"/>
      <w:jc w:val="center"/>
      <w:outlineLvl w:val="1"/>
    </w:pPr>
    <w:rPr>
      <w:rFonts w:hAnsi="宋体" w:cs="宋体"/>
      <w:b/>
      <w:bCs/>
      <w:sz w:val="30"/>
      <w:szCs w:val="32"/>
    </w:rPr>
  </w:style>
  <w:style w:type="paragraph" w:styleId="5">
    <w:name w:val="heading 3"/>
    <w:basedOn w:val="1"/>
    <w:next w:val="1"/>
    <w:link w:val="36"/>
    <w:qFormat/>
    <w:uiPriority w:val="0"/>
    <w:pPr>
      <w:keepNext/>
      <w:spacing w:before="200" w:beforeLines="200" w:after="200" w:afterLines="200" w:line="400" w:lineRule="exact"/>
      <w:jc w:val="center"/>
      <w:outlineLvl w:val="2"/>
    </w:pPr>
    <w:rPr>
      <w:rFonts w:hAnsi="宋体" w:cs="宋体"/>
      <w:b/>
      <w:bCs/>
      <w:kern w:val="2"/>
      <w:sz w:val="28"/>
      <w:szCs w:val="24"/>
    </w:rPr>
  </w:style>
  <w:style w:type="paragraph" w:styleId="6">
    <w:name w:val="heading 4"/>
    <w:basedOn w:val="1"/>
    <w:next w:val="1"/>
    <w:link w:val="37"/>
    <w:qFormat/>
    <w:uiPriority w:val="0"/>
    <w:pPr>
      <w:keepNext/>
      <w:keepLines/>
      <w:tabs>
        <w:tab w:val="left" w:pos="864"/>
      </w:tabs>
      <w:adjustRightInd w:val="0"/>
      <w:snapToGrid w:val="0"/>
      <w:spacing w:before="120" w:line="360" w:lineRule="auto"/>
      <w:outlineLvl w:val="3"/>
    </w:pPr>
    <w:rPr>
      <w:rFonts w:hAnsi="宋体" w:cs="宋体"/>
      <w:b/>
      <w:bCs/>
      <w:kern w:val="2"/>
      <w:szCs w:val="28"/>
    </w:rPr>
  </w:style>
  <w:style w:type="paragraph" w:styleId="7">
    <w:name w:val="heading 5"/>
    <w:basedOn w:val="1"/>
    <w:next w:val="1"/>
    <w:link w:val="38"/>
    <w:unhideWhenUsed/>
    <w:qFormat/>
    <w:uiPriority w:val="0"/>
    <w:pPr>
      <w:keepNext/>
      <w:keepLines/>
      <w:spacing w:before="280" w:after="290" w:line="372" w:lineRule="auto"/>
      <w:outlineLvl w:val="4"/>
    </w:pPr>
    <w:rPr>
      <w:b/>
      <w:sz w:val="28"/>
    </w:rPr>
  </w:style>
  <w:style w:type="paragraph" w:styleId="8">
    <w:name w:val="heading 6"/>
    <w:basedOn w:val="1"/>
    <w:next w:val="1"/>
    <w:qFormat/>
    <w:uiPriority w:val="0"/>
    <w:pPr>
      <w:keepNext/>
      <w:keepLines/>
      <w:adjustRightInd w:val="0"/>
      <w:spacing w:line="320" w:lineRule="atLeast"/>
      <w:outlineLvl w:val="5"/>
    </w:pPr>
    <w:rPr>
      <w:rFonts w:ascii="Arial" w:hAnsi="Arial" w:eastAsia="黑体"/>
      <w:b/>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paragraph" w:styleId="9">
    <w:name w:val="Normal Indent"/>
    <w:basedOn w:val="1"/>
    <w:next w:val="10"/>
    <w:link w:val="39"/>
    <w:qFormat/>
    <w:uiPriority w:val="0"/>
    <w:pPr>
      <w:adjustRightInd w:val="0"/>
      <w:snapToGrid w:val="0"/>
      <w:spacing w:line="360" w:lineRule="auto"/>
      <w:ind w:firstLine="420" w:firstLineChars="200"/>
    </w:pPr>
    <w:rPr>
      <w:rFonts w:hAnsi="宋体" w:cs="宋体"/>
      <w:kern w:val="2"/>
      <w:szCs w:val="24"/>
    </w:rPr>
  </w:style>
  <w:style w:type="paragraph" w:styleId="10">
    <w:name w:val="toc 4"/>
    <w:basedOn w:val="1"/>
    <w:next w:val="1"/>
    <w:unhideWhenUsed/>
    <w:qFormat/>
    <w:uiPriority w:val="39"/>
    <w:pPr>
      <w:ind w:left="1260" w:leftChars="600"/>
    </w:pPr>
  </w:style>
  <w:style w:type="paragraph" w:styleId="11">
    <w:name w:val="annotation text"/>
    <w:basedOn w:val="1"/>
    <w:qFormat/>
    <w:uiPriority w:val="0"/>
    <w:pPr>
      <w:jc w:val="left"/>
    </w:pPr>
  </w:style>
  <w:style w:type="paragraph" w:styleId="12">
    <w:name w:val="Body Text Indent"/>
    <w:basedOn w:val="1"/>
    <w:qFormat/>
    <w:uiPriority w:val="0"/>
    <w:pPr>
      <w:widowControl/>
      <w:ind w:firstLine="652" w:firstLineChars="233"/>
    </w:pPr>
    <w:rPr>
      <w:rFonts w:ascii="Times New Roman"/>
      <w:sz w:val="28"/>
    </w:rPr>
  </w:style>
  <w:style w:type="paragraph" w:styleId="13">
    <w:name w:val="Plain Text"/>
    <w:basedOn w:val="1"/>
    <w:qFormat/>
    <w:uiPriority w:val="0"/>
    <w:rPr>
      <w:rFonts w:hAnsi="Courier New"/>
      <w:kern w:val="2"/>
      <w:sz w:val="21"/>
    </w:rPr>
  </w:style>
  <w:style w:type="paragraph" w:styleId="14">
    <w:name w:val="Balloon Text"/>
    <w:basedOn w:val="1"/>
    <w:link w:val="40"/>
    <w:qFormat/>
    <w:uiPriority w:val="0"/>
    <w:rPr>
      <w:sz w:val="18"/>
      <w:szCs w:val="18"/>
    </w:rPr>
  </w:style>
  <w:style w:type="paragraph" w:styleId="15">
    <w:name w:val="footer"/>
    <w:basedOn w:val="1"/>
    <w:qFormat/>
    <w:uiPriority w:val="99"/>
    <w:pPr>
      <w:tabs>
        <w:tab w:val="center" w:pos="4153"/>
        <w:tab w:val="right" w:pos="8306"/>
      </w:tabs>
      <w:snapToGrid w:val="0"/>
      <w:jc w:val="left"/>
    </w:pPr>
    <w:rPr>
      <w:rFonts w:ascii="Times New Roman"/>
      <w:kern w:val="2"/>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7">
    <w:name w:val="toc 1"/>
    <w:basedOn w:val="1"/>
    <w:next w:val="1"/>
    <w:unhideWhenUsed/>
    <w:qFormat/>
    <w:uiPriority w:val="39"/>
    <w:pPr>
      <w:tabs>
        <w:tab w:val="left" w:pos="1418"/>
        <w:tab w:val="right" w:leader="dot" w:pos="8302"/>
      </w:tabs>
      <w:spacing w:line="480" w:lineRule="auto"/>
    </w:pPr>
    <w:rPr>
      <w:rFonts w:hAnsi="宋体"/>
      <w:b/>
      <w:sz w:val="28"/>
    </w:rPr>
  </w:style>
  <w:style w:type="paragraph" w:styleId="18">
    <w:name w:val="Normal (Web)"/>
    <w:basedOn w:val="1"/>
    <w:qFormat/>
    <w:uiPriority w:val="99"/>
    <w:pPr>
      <w:widowControl/>
      <w:spacing w:before="100" w:beforeAutospacing="1" w:after="100" w:afterAutospacing="1"/>
      <w:jc w:val="left"/>
    </w:pPr>
    <w:rPr>
      <w:rFonts w:hAnsi="宋体"/>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page number"/>
    <w:qFormat/>
    <w:uiPriority w:val="0"/>
  </w:style>
  <w:style w:type="character" w:styleId="24">
    <w:name w:val="annotation reference"/>
    <w:qFormat/>
    <w:uiPriority w:val="0"/>
    <w:rPr>
      <w:sz w:val="21"/>
      <w:szCs w:val="21"/>
    </w:rPr>
  </w:style>
  <w:style w:type="character" w:customStyle="1" w:styleId="25">
    <w:name w:val="标题 1 Char"/>
    <w:link w:val="3"/>
    <w:qFormat/>
    <w:uiPriority w:val="0"/>
    <w:rPr>
      <w:rFonts w:ascii="宋体" w:hAnsi="宋体" w:eastAsia="宋体" w:cs="宋体"/>
      <w:b/>
      <w:kern w:val="2"/>
      <w:sz w:val="32"/>
    </w:rPr>
  </w:style>
  <w:style w:type="paragraph" w:customStyle="1" w:styleId="26">
    <w:name w:val="表格文字"/>
    <w:basedOn w:val="1"/>
    <w:qFormat/>
    <w:uiPriority w:val="0"/>
    <w:pPr>
      <w:spacing w:before="120" w:after="120"/>
    </w:pPr>
    <w:rPr>
      <w:rFonts w:ascii="新宋体" w:hAnsi="宋体" w:eastAsia="新宋体"/>
      <w:bCs/>
      <w:color w:val="000000"/>
      <w:sz w:val="18"/>
      <w:szCs w:val="18"/>
    </w:rPr>
  </w:style>
  <w:style w:type="paragraph" w:customStyle="1" w:styleId="27">
    <w:name w:val="列出段落1"/>
    <w:basedOn w:val="1"/>
    <w:qFormat/>
    <w:uiPriority w:val="34"/>
    <w:pPr>
      <w:ind w:firstLine="420" w:firstLineChars="200"/>
    </w:pPr>
  </w:style>
  <w:style w:type="paragraph" w:customStyle="1" w:styleId="28">
    <w:name w:val="招标书 正文"/>
    <w:basedOn w:val="1"/>
    <w:qFormat/>
    <w:uiPriority w:val="0"/>
    <w:pPr>
      <w:widowControl/>
      <w:snapToGrid w:val="0"/>
      <w:spacing w:line="560" w:lineRule="exact"/>
      <w:ind w:firstLine="560" w:firstLineChars="200"/>
      <w:jc w:val="left"/>
    </w:pPr>
    <w:rPr>
      <w:rFonts w:hAnsi="宋体"/>
      <w:color w:val="000000"/>
      <w:szCs w:val="28"/>
    </w:rPr>
  </w:style>
  <w:style w:type="paragraph" w:customStyle="1" w:styleId="29">
    <w:name w:val="表格"/>
    <w:basedOn w:val="1"/>
    <w:qFormat/>
    <w:uiPriority w:val="0"/>
    <w:pPr>
      <w:jc w:val="center"/>
    </w:pPr>
    <w:rPr>
      <w:rFonts w:hAnsi="宋体" w:cs="宋体"/>
    </w:rPr>
  </w:style>
  <w:style w:type="character" w:customStyle="1" w:styleId="30">
    <w:name w:val="标题 2 Char"/>
    <w:link w:val="4"/>
    <w:qFormat/>
    <w:uiPriority w:val="9"/>
    <w:rPr>
      <w:rFonts w:ascii="宋体" w:hAnsi="宋体" w:eastAsia="宋体" w:cs="宋体"/>
      <w:b/>
      <w:bCs/>
      <w:sz w:val="30"/>
      <w:szCs w:val="32"/>
    </w:rPr>
  </w:style>
  <w:style w:type="paragraph" w:customStyle="1" w:styleId="31">
    <w:name w:val="纯文本1"/>
    <w:basedOn w:val="1"/>
    <w:qFormat/>
    <w:uiPriority w:val="0"/>
    <w:pPr>
      <w:spacing w:line="324" w:lineRule="auto"/>
    </w:pPr>
    <w:rPr>
      <w:rFonts w:hAnsi="Courier New" w:cs="Courier New"/>
      <w:szCs w:val="21"/>
    </w:rPr>
  </w:style>
  <w:style w:type="paragraph" w:customStyle="1" w:styleId="32">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 w:type="paragraph" w:customStyle="1" w:styleId="33">
    <w:name w:val="表格文字中"/>
    <w:basedOn w:val="1"/>
    <w:qFormat/>
    <w:uiPriority w:val="0"/>
    <w:pPr>
      <w:adjustRightInd w:val="0"/>
      <w:snapToGrid w:val="0"/>
      <w:ind w:left="22" w:leftChars="8"/>
      <w:jc w:val="center"/>
    </w:pPr>
    <w:rPr>
      <w:szCs w:val="24"/>
    </w:rPr>
  </w:style>
  <w:style w:type="paragraph" w:customStyle="1" w:styleId="34">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35">
    <w:name w:val="标题 3 字符"/>
    <w:qFormat/>
    <w:uiPriority w:val="0"/>
    <w:rPr>
      <w:rFonts w:ascii="Times New Roman" w:hAnsi="Times New Roman" w:eastAsia="宋体"/>
      <w:b/>
      <w:bCs/>
      <w:kern w:val="2"/>
      <w:sz w:val="28"/>
      <w:szCs w:val="24"/>
    </w:rPr>
  </w:style>
  <w:style w:type="character" w:customStyle="1" w:styleId="36">
    <w:name w:val="标题 3 Char"/>
    <w:link w:val="5"/>
    <w:qFormat/>
    <w:uiPriority w:val="0"/>
    <w:rPr>
      <w:rFonts w:ascii="宋体" w:hAnsi="宋体" w:eastAsia="宋体" w:cs="宋体"/>
      <w:b/>
      <w:sz w:val="28"/>
    </w:rPr>
  </w:style>
  <w:style w:type="character" w:customStyle="1" w:styleId="37">
    <w:name w:val="标题 4 Char"/>
    <w:link w:val="6"/>
    <w:qFormat/>
    <w:uiPriority w:val="0"/>
    <w:rPr>
      <w:rFonts w:ascii="宋体" w:hAnsi="宋体" w:eastAsia="宋体" w:cs="宋体"/>
      <w:b/>
      <w:bCs/>
      <w:kern w:val="2"/>
      <w:szCs w:val="28"/>
    </w:rPr>
  </w:style>
  <w:style w:type="character" w:customStyle="1" w:styleId="38">
    <w:name w:val="标题 5 Char"/>
    <w:link w:val="7"/>
    <w:qFormat/>
    <w:uiPriority w:val="0"/>
    <w:rPr>
      <w:b/>
      <w:sz w:val="28"/>
    </w:rPr>
  </w:style>
  <w:style w:type="character" w:customStyle="1" w:styleId="39">
    <w:name w:val="正文缩进 Char"/>
    <w:link w:val="9"/>
    <w:qFormat/>
    <w:uiPriority w:val="0"/>
    <w:rPr>
      <w:rFonts w:ascii="宋体" w:hAnsi="宋体" w:eastAsia="宋体" w:cs="宋体"/>
      <w:kern w:val="2"/>
      <w:sz w:val="24"/>
      <w:szCs w:val="24"/>
    </w:rPr>
  </w:style>
  <w:style w:type="character" w:customStyle="1" w:styleId="40">
    <w:name w:val="批注框文本 Char"/>
    <w:basedOn w:val="21"/>
    <w:link w:val="14"/>
    <w:qFormat/>
    <w:uiPriority w:val="0"/>
    <w:rPr>
      <w:rFonts w:ascii="宋体" w:hAnsi="Times New Roman"/>
      <w:sz w:val="18"/>
      <w:szCs w:val="18"/>
    </w:rPr>
  </w:style>
  <w:style w:type="paragraph" w:styleId="41">
    <w:name w:val="List Paragraph"/>
    <w:basedOn w:val="1"/>
    <w:unhideWhenUsed/>
    <w:qFormat/>
    <w:uiPriority w:val="99"/>
    <w:pPr>
      <w:ind w:firstLine="420" w:firstLineChars="200"/>
    </w:pPr>
  </w:style>
  <w:style w:type="paragraph" w:customStyle="1" w:styleId="42">
    <w:name w:val="！正文"/>
    <w:basedOn w:val="1"/>
    <w:qFormat/>
    <w:uiPriority w:val="0"/>
    <w:pPr>
      <w:spacing w:line="360" w:lineRule="auto"/>
      <w:ind w:firstLine="200" w:firstLineChars="200"/>
    </w:pPr>
    <w:rPr>
      <w:rFonts w:ascii="楷体_GB2312" w:hAnsi="楷体_GB2312" w:eastAsia="楷体_GB2312"/>
    </w:rPr>
  </w:style>
  <w:style w:type="paragraph" w:customStyle="1" w:styleId="43">
    <w:name w:val="列表段落2"/>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35088</Words>
  <Characters>37288</Characters>
  <Lines>289</Lines>
  <Paragraphs>81</Paragraphs>
  <TotalTime>4</TotalTime>
  <ScaleCrop>false</ScaleCrop>
  <LinksUpToDate>false</LinksUpToDate>
  <CharactersWithSpaces>39638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2021-09-23T08:20:00Z</dcterms:created>
  <dc:creator>Administrator</dc:creator>
  <cp:lastModifiedBy>A小杨</cp:lastModifiedBy>
  <cp:lastPrinted>2022-05-26T09:49:00Z</cp:lastPrinted>
  <dcterms:modified xsi:type="dcterms:W3CDTF">2022-06-01T02:34:15Z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EA3CF434E73B4C2A81BD5072286EA0B6</vt:lpwstr>
  </property>
</Properties>
</file>