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ascii="宋体" w:cs="宋体"/>
          <w:b/>
          <w:sz w:val="30"/>
        </w:rPr>
      </w:pPr>
      <w:r>
        <w:rPr>
          <w:rFonts w:hint="eastAsia" w:ascii="宋体" w:hAnsi="宋体" w:cs="宋体"/>
          <w:b/>
          <w:sz w:val="28"/>
          <w:szCs w:val="28"/>
        </w:rPr>
        <w:t>项目编号：</w:t>
      </w:r>
      <w:r>
        <w:rPr>
          <w:rFonts w:hint="eastAsia" w:ascii="宋体" w:hAnsi="宋体" w:cs="宋体"/>
          <w:b/>
          <w:sz w:val="30"/>
          <w:lang w:eastAsia="zh-CN"/>
        </w:rPr>
        <w:t>ZMZB2022XBDX-59</w:t>
      </w:r>
    </w:p>
    <w:p>
      <w:pPr>
        <w:adjustRightInd w:val="0"/>
        <w:snapToGrid w:val="0"/>
        <w:spacing w:line="360" w:lineRule="auto"/>
        <w:rPr>
          <w:rFonts w:ascii="宋体" w:cs="宋体"/>
          <w:b/>
          <w:sz w:val="44"/>
          <w:szCs w:val="44"/>
        </w:rPr>
      </w:pPr>
    </w:p>
    <w:p>
      <w:pPr>
        <w:adjustRightInd w:val="0"/>
        <w:snapToGrid w:val="0"/>
        <w:spacing w:line="360" w:lineRule="auto"/>
        <w:rPr>
          <w:rFonts w:ascii="宋体" w:cs="宋体"/>
          <w:b/>
          <w:sz w:val="11"/>
          <w:szCs w:val="11"/>
        </w:rPr>
      </w:pPr>
    </w:p>
    <w:p>
      <w:pPr>
        <w:adjustRightInd w:val="0"/>
        <w:snapToGrid w:val="0"/>
        <w:spacing w:line="360" w:lineRule="auto"/>
        <w:jc w:val="center"/>
        <w:rPr>
          <w:rFonts w:ascii="宋体" w:cs="宋体"/>
          <w:b/>
          <w:sz w:val="56"/>
          <w:szCs w:val="56"/>
        </w:rPr>
      </w:pPr>
      <w:r>
        <w:rPr>
          <w:rFonts w:hint="eastAsia" w:ascii="宋体" w:cs="宋体"/>
          <w:b/>
          <w:sz w:val="56"/>
          <w:szCs w:val="56"/>
        </w:rPr>
        <w:t>西北大学</w:t>
      </w:r>
    </w:p>
    <w:p>
      <w:pPr>
        <w:adjustRightInd w:val="0"/>
        <w:snapToGrid w:val="0"/>
        <w:spacing w:line="360" w:lineRule="auto"/>
        <w:jc w:val="center"/>
        <w:rPr>
          <w:rFonts w:ascii="宋体" w:cs="宋体"/>
          <w:b/>
          <w:sz w:val="72"/>
          <w:szCs w:val="72"/>
        </w:rPr>
      </w:pPr>
      <w:r>
        <w:rPr>
          <w:rFonts w:hint="eastAsia" w:ascii="宋体" w:cs="宋体"/>
          <w:b/>
          <w:sz w:val="56"/>
          <w:szCs w:val="56"/>
          <w:lang w:eastAsia="zh-CN"/>
        </w:rPr>
        <w:t>光热显微红外光谱仪采购项目</w:t>
      </w:r>
    </w:p>
    <w:p>
      <w:pPr>
        <w:adjustRightInd w:val="0"/>
        <w:snapToGrid w:val="0"/>
        <w:spacing w:line="360" w:lineRule="auto"/>
        <w:jc w:val="left"/>
        <w:rPr>
          <w:rFonts w:ascii="宋体" w:cs="宋体"/>
          <w:b/>
          <w:sz w:val="52"/>
          <w:szCs w:val="52"/>
        </w:rPr>
      </w:pPr>
    </w:p>
    <w:p>
      <w:pPr>
        <w:adjustRightInd w:val="0"/>
        <w:snapToGrid w:val="0"/>
        <w:spacing w:line="360" w:lineRule="auto"/>
        <w:jc w:val="left"/>
        <w:rPr>
          <w:rFonts w:ascii="宋体" w:cs="宋体"/>
          <w:b/>
          <w:sz w:val="52"/>
          <w:szCs w:val="52"/>
        </w:rPr>
      </w:pPr>
    </w:p>
    <w:p/>
    <w:p>
      <w:pPr>
        <w:tabs>
          <w:tab w:val="left" w:pos="0"/>
        </w:tabs>
        <w:adjustRightInd w:val="0"/>
        <w:snapToGrid w:val="0"/>
        <w:spacing w:line="360" w:lineRule="auto"/>
        <w:jc w:val="center"/>
        <w:rPr>
          <w:rFonts w:ascii="宋体" w:cs="宋体"/>
          <w:b/>
          <w:sz w:val="30"/>
        </w:rPr>
      </w:pPr>
      <w:r>
        <w:rPr>
          <w:rFonts w:hint="eastAsia" w:ascii="宋体" w:hAnsi="宋体" w:cs="宋体"/>
          <w:b/>
          <w:sz w:val="84"/>
          <w:szCs w:val="84"/>
        </w:rPr>
        <w:t>单一来源采购文件</w:t>
      </w:r>
    </w:p>
    <w:p>
      <w:pPr>
        <w:adjustRightInd w:val="0"/>
        <w:snapToGrid w:val="0"/>
        <w:spacing w:line="360" w:lineRule="auto"/>
        <w:jc w:val="left"/>
        <w:rPr>
          <w:rFonts w:ascii="宋体" w:cs="宋体"/>
          <w:b/>
          <w:sz w:val="30"/>
        </w:rPr>
      </w:pPr>
    </w:p>
    <w:p>
      <w:pPr>
        <w:pStyle w:val="8"/>
        <w:rPr>
          <w:rFonts w:ascii="宋体" w:cs="宋体"/>
          <w:b/>
          <w:sz w:val="30"/>
        </w:rPr>
      </w:pPr>
    </w:p>
    <w:p>
      <w:pPr>
        <w:pStyle w:val="9"/>
        <w:rPr>
          <w:rFonts w:ascii="宋体" w:cs="宋体"/>
          <w:b/>
          <w:sz w:val="30"/>
        </w:rPr>
      </w:pPr>
    </w:p>
    <w:p>
      <w:pPr>
        <w:pStyle w:val="9"/>
        <w:rPr>
          <w:rFonts w:ascii="宋体" w:cs="宋体"/>
          <w:b/>
          <w:sz w:val="30"/>
        </w:rPr>
      </w:pPr>
    </w:p>
    <w:p>
      <w:pPr>
        <w:pStyle w:val="9"/>
        <w:rPr>
          <w:rFonts w:ascii="宋体" w:cs="宋体"/>
          <w:b/>
          <w:sz w:val="30"/>
        </w:rPr>
      </w:pPr>
    </w:p>
    <w:p>
      <w:pPr>
        <w:pStyle w:val="9"/>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05</w:t>
      </w:r>
      <w:r>
        <w:rPr>
          <w:rFonts w:hint="eastAsia" w:ascii="宋体" w:hAnsi="宋体" w:cs="宋体"/>
          <w:b/>
          <w:sz w:val="32"/>
          <w:szCs w:val="32"/>
        </w:rPr>
        <w:t>月</w:t>
      </w:r>
    </w:p>
    <w:p>
      <w:pPr>
        <w:adjustRightInd w:val="0"/>
        <w:snapToGrid w:val="0"/>
        <w:spacing w:line="600" w:lineRule="auto"/>
        <w:rPr>
          <w:rFonts w:ascii="宋体" w:cs="宋体"/>
          <w:b/>
          <w:sz w:val="40"/>
          <w:szCs w:val="40"/>
        </w:rPr>
        <w:sectPr>
          <w:headerReference r:id="rId7" w:type="first"/>
          <w:footerReference r:id="rId10" w:type="first"/>
          <w:headerReference r:id="rId5" w:type="default"/>
          <w:footerReference r:id="rId8" w:type="default"/>
          <w:headerReference r:id="rId6" w:type="even"/>
          <w:footerReference r:id="rId9" w:type="even"/>
          <w:pgSz w:w="11906" w:h="16838"/>
          <w:pgMar w:top="1440" w:right="1486" w:bottom="1440" w:left="1800" w:header="851" w:footer="992" w:gutter="0"/>
          <w:pgNumType w:start="1"/>
          <w:cols w:space="720" w:num="1"/>
          <w:docGrid w:type="lines" w:linePitch="312" w:charSpace="0"/>
        </w:sectPr>
      </w:pPr>
    </w:p>
    <w:p>
      <w:pPr>
        <w:pStyle w:val="21"/>
        <w:tabs>
          <w:tab w:val="right" w:leader="dot" w:pos="8306"/>
        </w:tabs>
        <w:spacing w:line="360" w:lineRule="auto"/>
        <w:rPr>
          <w:rFonts w:ascii="宋体" w:hAnsi="宋体" w:cs="宋体"/>
          <w:b/>
          <w:bCs/>
          <w:sz w:val="36"/>
          <w:szCs w:val="36"/>
        </w:rPr>
      </w:pPr>
    </w:p>
    <w:p>
      <w:pPr>
        <w:pStyle w:val="21"/>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21"/>
        <w:tabs>
          <w:tab w:val="right" w:leader="dot" w:pos="8306"/>
        </w:tabs>
        <w:rPr>
          <w:b w:val="0"/>
          <w:bCs w:val="0"/>
        </w:rPr>
      </w:pPr>
      <w:r>
        <w:rPr>
          <w:rFonts w:ascii="宋体" w:hAnsi="宋体" w:cs="宋体"/>
          <w:b w:val="0"/>
          <w:bCs w:val="0"/>
          <w:sz w:val="24"/>
          <w:szCs w:val="24"/>
        </w:rPr>
        <w:fldChar w:fldCharType="begin"/>
      </w:r>
      <w:r>
        <w:rPr>
          <w:rFonts w:ascii="宋体" w:hAnsi="宋体" w:cs="宋体"/>
          <w:b w:val="0"/>
          <w:bCs w:val="0"/>
          <w:sz w:val="24"/>
          <w:szCs w:val="24"/>
        </w:rPr>
        <w:instrText xml:space="preserve">TOC \o "1-2" \h \u </w:instrText>
      </w:r>
      <w:r>
        <w:rPr>
          <w:rFonts w:ascii="宋体" w:hAnsi="宋体" w:cs="宋体"/>
          <w:b w:val="0"/>
          <w:bCs w:val="0"/>
          <w:sz w:val="24"/>
          <w:szCs w:val="24"/>
        </w:rPr>
        <w:fldChar w:fldCharType="separate"/>
      </w:r>
      <w:r>
        <w:rPr>
          <w:rFonts w:ascii="宋体" w:hAnsi="宋体" w:cs="宋体"/>
          <w:b w:val="0"/>
          <w:bCs w:val="0"/>
          <w:szCs w:val="24"/>
        </w:rPr>
        <w:fldChar w:fldCharType="begin"/>
      </w:r>
      <w:r>
        <w:rPr>
          <w:rFonts w:ascii="宋体" w:hAnsi="宋体" w:cs="宋体"/>
          <w:b w:val="0"/>
          <w:bCs w:val="0"/>
          <w:szCs w:val="24"/>
        </w:rPr>
        <w:instrText xml:space="preserve"> HYPERLINK \l _Toc8620 </w:instrText>
      </w:r>
      <w:r>
        <w:rPr>
          <w:rFonts w:ascii="宋体" w:hAnsi="宋体" w:cs="宋体"/>
          <w:b w:val="0"/>
          <w:bCs w:val="0"/>
          <w:szCs w:val="24"/>
        </w:rPr>
        <w:fldChar w:fldCharType="separate"/>
      </w:r>
      <w:r>
        <w:rPr>
          <w:rFonts w:hint="eastAsia" w:ascii="宋体" w:hAnsi="宋体" w:cs="宋体"/>
          <w:b w:val="0"/>
          <w:bCs w:val="0"/>
          <w:szCs w:val="36"/>
        </w:rPr>
        <w:t>第一部分</w:t>
      </w:r>
      <w:r>
        <w:rPr>
          <w:rFonts w:ascii="宋体" w:hAnsi="宋体" w:cs="宋体"/>
          <w:b w:val="0"/>
          <w:bCs w:val="0"/>
          <w:szCs w:val="36"/>
        </w:rPr>
        <w:t xml:space="preserve">  </w:t>
      </w:r>
      <w:r>
        <w:rPr>
          <w:rFonts w:hint="eastAsia" w:ascii="宋体" w:hAnsi="宋体" w:cs="宋体"/>
          <w:b w:val="0"/>
          <w:bCs w:val="0"/>
          <w:szCs w:val="36"/>
        </w:rPr>
        <w:t>单一来源邀请函</w:t>
      </w:r>
      <w:r>
        <w:rPr>
          <w:b w:val="0"/>
          <w:bCs w:val="0"/>
        </w:rPr>
        <w:t>   </w:t>
      </w:r>
      <w:r>
        <w:rPr>
          <w:b w:val="0"/>
          <w:bCs w:val="0"/>
        </w:rPr>
        <w:tab/>
      </w:r>
      <w:r>
        <w:rPr>
          <w:b w:val="0"/>
          <w:bCs w:val="0"/>
        </w:rPr>
        <w:fldChar w:fldCharType="begin"/>
      </w:r>
      <w:r>
        <w:rPr>
          <w:b w:val="0"/>
          <w:bCs w:val="0"/>
        </w:rPr>
        <w:instrText xml:space="preserve"> PAGEREF _Toc8620 </w:instrText>
      </w:r>
      <w:r>
        <w:rPr>
          <w:b w:val="0"/>
          <w:bCs w:val="0"/>
        </w:rPr>
        <w:fldChar w:fldCharType="separate"/>
      </w:r>
      <w:r>
        <w:rPr>
          <w:b w:val="0"/>
          <w:bCs w:val="0"/>
        </w:rPr>
        <w:t>1</w:t>
      </w:r>
      <w:r>
        <w:rPr>
          <w:b w:val="0"/>
          <w:bCs w:val="0"/>
        </w:rPr>
        <w:fldChar w:fldCharType="end"/>
      </w:r>
      <w:r>
        <w:rPr>
          <w:rFonts w:ascii="宋体" w:hAnsi="宋体" w:cs="宋体"/>
          <w:b w:val="0"/>
          <w:bCs w:val="0"/>
          <w:szCs w:val="24"/>
        </w:rPr>
        <w:fldChar w:fldCharType="end"/>
      </w:r>
    </w:p>
    <w:p>
      <w:pPr>
        <w:pStyle w:val="21"/>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_Toc19619 </w:instrText>
      </w:r>
      <w:r>
        <w:rPr>
          <w:rFonts w:ascii="宋体" w:hAnsi="宋体" w:cs="宋体"/>
          <w:b w:val="0"/>
          <w:bCs w:val="0"/>
          <w:szCs w:val="24"/>
        </w:rPr>
        <w:fldChar w:fldCharType="separate"/>
      </w:r>
      <w:r>
        <w:rPr>
          <w:rFonts w:hint="eastAsia" w:ascii="宋体" w:hAnsi="宋体" w:cs="宋体"/>
          <w:b w:val="0"/>
          <w:bCs w:val="0"/>
          <w:szCs w:val="36"/>
        </w:rPr>
        <w:t>第二部分</w:t>
      </w:r>
      <w:r>
        <w:rPr>
          <w:rFonts w:ascii="宋体" w:hAnsi="宋体" w:cs="宋体"/>
          <w:b w:val="0"/>
          <w:bCs w:val="0"/>
          <w:szCs w:val="36"/>
        </w:rPr>
        <w:t xml:space="preserve">  </w:t>
      </w:r>
      <w:r>
        <w:rPr>
          <w:rFonts w:hint="eastAsia" w:ascii="宋体" w:hAnsi="宋体" w:cs="宋体"/>
          <w:b w:val="0"/>
          <w:bCs w:val="0"/>
          <w:szCs w:val="36"/>
        </w:rPr>
        <w:t>供应商须知前附表</w:t>
      </w:r>
      <w:r>
        <w:rPr>
          <w:b w:val="0"/>
          <w:bCs w:val="0"/>
        </w:rPr>
        <w:tab/>
      </w:r>
      <w:r>
        <w:rPr>
          <w:b w:val="0"/>
          <w:bCs w:val="0"/>
        </w:rPr>
        <w:fldChar w:fldCharType="begin"/>
      </w:r>
      <w:r>
        <w:rPr>
          <w:b w:val="0"/>
          <w:bCs w:val="0"/>
        </w:rPr>
        <w:instrText xml:space="preserve"> PAGEREF _Toc19619 </w:instrText>
      </w:r>
      <w:r>
        <w:rPr>
          <w:b w:val="0"/>
          <w:bCs w:val="0"/>
        </w:rPr>
        <w:fldChar w:fldCharType="separate"/>
      </w:r>
      <w:r>
        <w:rPr>
          <w:b w:val="0"/>
          <w:bCs w:val="0"/>
        </w:rPr>
        <w:t>5</w:t>
      </w:r>
      <w:r>
        <w:rPr>
          <w:b w:val="0"/>
          <w:bCs w:val="0"/>
        </w:rPr>
        <w:fldChar w:fldCharType="end"/>
      </w:r>
      <w:r>
        <w:rPr>
          <w:rFonts w:ascii="宋体" w:hAnsi="宋体" w:cs="宋体"/>
          <w:b w:val="0"/>
          <w:bCs w:val="0"/>
          <w:szCs w:val="24"/>
        </w:rPr>
        <w:fldChar w:fldCharType="end"/>
      </w:r>
    </w:p>
    <w:p>
      <w:pPr>
        <w:pStyle w:val="21"/>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_Toc9976 </w:instrText>
      </w:r>
      <w:r>
        <w:rPr>
          <w:rFonts w:ascii="宋体" w:hAnsi="宋体" w:cs="宋体"/>
          <w:b w:val="0"/>
          <w:bCs w:val="0"/>
          <w:szCs w:val="24"/>
        </w:rPr>
        <w:fldChar w:fldCharType="separate"/>
      </w:r>
      <w:r>
        <w:rPr>
          <w:rFonts w:hint="eastAsia" w:ascii="宋体" w:hAnsi="宋体" w:cs="宋体"/>
          <w:b w:val="0"/>
          <w:bCs w:val="0"/>
          <w:szCs w:val="36"/>
        </w:rPr>
        <w:t>第三部分</w:t>
      </w:r>
      <w:r>
        <w:rPr>
          <w:rFonts w:ascii="宋体" w:hAnsi="宋体" w:cs="宋体"/>
          <w:b w:val="0"/>
          <w:bCs w:val="0"/>
          <w:szCs w:val="36"/>
        </w:rPr>
        <w:t xml:space="preserve">  </w:t>
      </w:r>
      <w:r>
        <w:rPr>
          <w:rFonts w:hint="eastAsia" w:ascii="宋体" w:hAnsi="宋体" w:cs="宋体"/>
          <w:b w:val="0"/>
          <w:bCs w:val="0"/>
          <w:szCs w:val="36"/>
        </w:rPr>
        <w:t>供应商须知</w:t>
      </w:r>
      <w:r>
        <w:rPr>
          <w:b w:val="0"/>
          <w:bCs w:val="0"/>
        </w:rPr>
        <w:tab/>
      </w:r>
      <w:r>
        <w:rPr>
          <w:b w:val="0"/>
          <w:bCs w:val="0"/>
        </w:rPr>
        <w:fldChar w:fldCharType="begin"/>
      </w:r>
      <w:r>
        <w:rPr>
          <w:b w:val="0"/>
          <w:bCs w:val="0"/>
        </w:rPr>
        <w:instrText xml:space="preserve"> PAGEREF _Toc9976 </w:instrText>
      </w:r>
      <w:r>
        <w:rPr>
          <w:b w:val="0"/>
          <w:bCs w:val="0"/>
        </w:rPr>
        <w:fldChar w:fldCharType="separate"/>
      </w:r>
      <w:r>
        <w:rPr>
          <w:b w:val="0"/>
          <w:bCs w:val="0"/>
        </w:rPr>
        <w:t>11</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_Toc9528 </w:instrText>
      </w:r>
      <w:r>
        <w:rPr>
          <w:rFonts w:ascii="宋体" w:hAnsi="宋体" w:cs="宋体"/>
          <w:b w:val="0"/>
          <w:bCs w:val="0"/>
          <w:szCs w:val="24"/>
        </w:rPr>
        <w:fldChar w:fldCharType="separate"/>
      </w:r>
      <w:r>
        <w:rPr>
          <w:rFonts w:hint="eastAsia" w:ascii="宋体" w:hAnsi="宋体" w:cs="宋体"/>
          <w:b w:val="0"/>
          <w:bCs w:val="0"/>
        </w:rPr>
        <w:t>一、总</w:t>
      </w:r>
      <w:r>
        <w:rPr>
          <w:rFonts w:ascii="宋体" w:hAnsi="宋体" w:cs="宋体"/>
          <w:b w:val="0"/>
          <w:bCs w:val="0"/>
        </w:rPr>
        <w:t xml:space="preserve"> </w:t>
      </w:r>
      <w:r>
        <w:rPr>
          <w:rFonts w:hint="eastAsia" w:ascii="宋体" w:hAnsi="宋体" w:cs="宋体"/>
          <w:b w:val="0"/>
          <w:bCs w:val="0"/>
        </w:rPr>
        <w:t>则</w:t>
      </w:r>
      <w:r>
        <w:rPr>
          <w:b w:val="0"/>
          <w:bCs w:val="0"/>
        </w:rPr>
        <w:tab/>
      </w:r>
      <w:r>
        <w:rPr>
          <w:b w:val="0"/>
          <w:bCs w:val="0"/>
        </w:rPr>
        <w:fldChar w:fldCharType="begin"/>
      </w:r>
      <w:r>
        <w:rPr>
          <w:b w:val="0"/>
          <w:bCs w:val="0"/>
        </w:rPr>
        <w:instrText xml:space="preserve"> PAGEREF _Toc9528 </w:instrText>
      </w:r>
      <w:r>
        <w:rPr>
          <w:b w:val="0"/>
          <w:bCs w:val="0"/>
        </w:rPr>
        <w:fldChar w:fldCharType="separate"/>
      </w:r>
      <w:r>
        <w:rPr>
          <w:b w:val="0"/>
          <w:bCs w:val="0"/>
        </w:rPr>
        <w:t>11</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_Toc26093 </w:instrText>
      </w:r>
      <w:r>
        <w:rPr>
          <w:rFonts w:ascii="宋体" w:hAnsi="宋体" w:cs="宋体"/>
          <w:b w:val="0"/>
          <w:bCs w:val="0"/>
          <w:szCs w:val="24"/>
        </w:rPr>
        <w:fldChar w:fldCharType="separate"/>
      </w:r>
      <w:r>
        <w:rPr>
          <w:rFonts w:hint="eastAsia" w:ascii="宋体" w:hAnsi="宋体" w:cs="宋体"/>
          <w:b w:val="0"/>
          <w:bCs w:val="0"/>
        </w:rPr>
        <w:t>二、采购文件</w:t>
      </w:r>
      <w:r>
        <w:rPr>
          <w:b w:val="0"/>
          <w:bCs w:val="0"/>
        </w:rPr>
        <w:tab/>
      </w:r>
      <w:r>
        <w:rPr>
          <w:b w:val="0"/>
          <w:bCs w:val="0"/>
        </w:rPr>
        <w:fldChar w:fldCharType="begin"/>
      </w:r>
      <w:r>
        <w:rPr>
          <w:b w:val="0"/>
          <w:bCs w:val="0"/>
        </w:rPr>
        <w:instrText xml:space="preserve"> PAGEREF _Toc26093 </w:instrText>
      </w:r>
      <w:r>
        <w:rPr>
          <w:b w:val="0"/>
          <w:bCs w:val="0"/>
        </w:rPr>
        <w:fldChar w:fldCharType="separate"/>
      </w:r>
      <w:r>
        <w:rPr>
          <w:b w:val="0"/>
          <w:bCs w:val="0"/>
        </w:rPr>
        <w:t>13</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_Toc2020 </w:instrText>
      </w:r>
      <w:r>
        <w:rPr>
          <w:rFonts w:ascii="宋体" w:hAnsi="宋体" w:cs="宋体"/>
          <w:b w:val="0"/>
          <w:bCs w:val="0"/>
          <w:szCs w:val="24"/>
        </w:rPr>
        <w:fldChar w:fldCharType="separate"/>
      </w:r>
      <w:r>
        <w:rPr>
          <w:rFonts w:hint="eastAsia" w:ascii="宋体" w:hAnsi="宋体" w:cs="宋体"/>
          <w:b w:val="0"/>
          <w:bCs w:val="0"/>
        </w:rPr>
        <w:t>三、响应文件</w:t>
      </w:r>
      <w:r>
        <w:rPr>
          <w:b w:val="0"/>
          <w:bCs w:val="0"/>
        </w:rPr>
        <w:tab/>
      </w:r>
      <w:r>
        <w:rPr>
          <w:b w:val="0"/>
          <w:bCs w:val="0"/>
        </w:rPr>
        <w:fldChar w:fldCharType="begin"/>
      </w:r>
      <w:r>
        <w:rPr>
          <w:b w:val="0"/>
          <w:bCs w:val="0"/>
        </w:rPr>
        <w:instrText xml:space="preserve"> PAGEREF _Toc2020 </w:instrText>
      </w:r>
      <w:r>
        <w:rPr>
          <w:b w:val="0"/>
          <w:bCs w:val="0"/>
        </w:rPr>
        <w:fldChar w:fldCharType="separate"/>
      </w:r>
      <w:r>
        <w:rPr>
          <w:b w:val="0"/>
          <w:bCs w:val="0"/>
        </w:rPr>
        <w:t>15</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_Toc2959 </w:instrText>
      </w:r>
      <w:r>
        <w:rPr>
          <w:rFonts w:ascii="宋体" w:hAnsi="宋体" w:cs="宋体"/>
          <w:b w:val="0"/>
          <w:bCs w:val="0"/>
          <w:szCs w:val="24"/>
        </w:rPr>
        <w:fldChar w:fldCharType="separate"/>
      </w:r>
      <w:r>
        <w:rPr>
          <w:rFonts w:hint="eastAsia" w:ascii="宋体" w:hAnsi="宋体" w:cs="宋体"/>
          <w:b w:val="0"/>
          <w:bCs w:val="0"/>
          <w:kern w:val="0"/>
          <w:szCs w:val="28"/>
        </w:rPr>
        <w:t>四、响应文件的递交</w:t>
      </w:r>
      <w:r>
        <w:rPr>
          <w:b w:val="0"/>
          <w:bCs w:val="0"/>
        </w:rPr>
        <w:tab/>
      </w:r>
      <w:r>
        <w:rPr>
          <w:b w:val="0"/>
          <w:bCs w:val="0"/>
        </w:rPr>
        <w:fldChar w:fldCharType="begin"/>
      </w:r>
      <w:r>
        <w:rPr>
          <w:b w:val="0"/>
          <w:bCs w:val="0"/>
        </w:rPr>
        <w:instrText xml:space="preserve"> PAGEREF _Toc2959 </w:instrText>
      </w:r>
      <w:r>
        <w:rPr>
          <w:b w:val="0"/>
          <w:bCs w:val="0"/>
        </w:rPr>
        <w:fldChar w:fldCharType="separate"/>
      </w:r>
      <w:r>
        <w:rPr>
          <w:b w:val="0"/>
          <w:bCs w:val="0"/>
        </w:rPr>
        <w:t>17</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_Toc6195 </w:instrText>
      </w:r>
      <w:r>
        <w:rPr>
          <w:rFonts w:ascii="宋体" w:hAnsi="宋体" w:cs="宋体"/>
          <w:b w:val="0"/>
          <w:bCs w:val="0"/>
          <w:szCs w:val="24"/>
        </w:rPr>
        <w:fldChar w:fldCharType="separate"/>
      </w:r>
      <w:r>
        <w:rPr>
          <w:rFonts w:hint="eastAsia" w:ascii="宋体" w:hAnsi="宋体" w:cs="宋体"/>
          <w:b w:val="0"/>
          <w:bCs w:val="0"/>
          <w:kern w:val="0"/>
          <w:szCs w:val="28"/>
        </w:rPr>
        <w:t>五、</w:t>
      </w:r>
      <w:r>
        <w:rPr>
          <w:rFonts w:ascii="宋体" w:hAnsi="宋体" w:cs="宋体"/>
          <w:b w:val="0"/>
          <w:bCs w:val="0"/>
          <w:kern w:val="0"/>
          <w:szCs w:val="28"/>
        </w:rPr>
        <w:t xml:space="preserve"> </w:t>
      </w:r>
      <w:r>
        <w:rPr>
          <w:rFonts w:hint="eastAsia" w:ascii="宋体" w:hAnsi="宋体" w:cs="宋体"/>
          <w:b w:val="0"/>
          <w:bCs w:val="0"/>
          <w:kern w:val="0"/>
          <w:szCs w:val="28"/>
        </w:rPr>
        <w:t>采购程序</w:t>
      </w:r>
      <w:r>
        <w:rPr>
          <w:b w:val="0"/>
          <w:bCs w:val="0"/>
        </w:rPr>
        <w:tab/>
      </w:r>
      <w:r>
        <w:rPr>
          <w:b w:val="0"/>
          <w:bCs w:val="0"/>
        </w:rPr>
        <w:fldChar w:fldCharType="begin"/>
      </w:r>
      <w:r>
        <w:rPr>
          <w:b w:val="0"/>
          <w:bCs w:val="0"/>
        </w:rPr>
        <w:instrText xml:space="preserve"> PAGEREF _Toc6195 </w:instrText>
      </w:r>
      <w:r>
        <w:rPr>
          <w:b w:val="0"/>
          <w:bCs w:val="0"/>
        </w:rPr>
        <w:fldChar w:fldCharType="separate"/>
      </w:r>
      <w:r>
        <w:rPr>
          <w:b w:val="0"/>
          <w:bCs w:val="0"/>
        </w:rPr>
        <w:t>17</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_Toc880 </w:instrText>
      </w:r>
      <w:r>
        <w:rPr>
          <w:rFonts w:ascii="宋体" w:hAnsi="宋体" w:cs="宋体"/>
          <w:b w:val="0"/>
          <w:bCs w:val="0"/>
          <w:szCs w:val="24"/>
        </w:rPr>
        <w:fldChar w:fldCharType="separate"/>
      </w:r>
      <w:r>
        <w:rPr>
          <w:rFonts w:hint="eastAsia" w:ascii="宋体" w:hAnsi="宋体" w:cs="宋体"/>
          <w:b w:val="0"/>
          <w:bCs w:val="0"/>
          <w:kern w:val="0"/>
          <w:szCs w:val="28"/>
        </w:rPr>
        <w:t>六、签订合同</w:t>
      </w:r>
      <w:r>
        <w:rPr>
          <w:b w:val="0"/>
          <w:bCs w:val="0"/>
        </w:rPr>
        <w:tab/>
      </w:r>
      <w:r>
        <w:rPr>
          <w:b w:val="0"/>
          <w:bCs w:val="0"/>
        </w:rPr>
        <w:fldChar w:fldCharType="begin"/>
      </w:r>
      <w:r>
        <w:rPr>
          <w:b w:val="0"/>
          <w:bCs w:val="0"/>
        </w:rPr>
        <w:instrText xml:space="preserve"> PAGEREF _Toc880 </w:instrText>
      </w:r>
      <w:r>
        <w:rPr>
          <w:b w:val="0"/>
          <w:bCs w:val="0"/>
        </w:rPr>
        <w:fldChar w:fldCharType="separate"/>
      </w:r>
      <w:r>
        <w:rPr>
          <w:b w:val="0"/>
          <w:bCs w:val="0"/>
        </w:rPr>
        <w:t>19</w:t>
      </w:r>
      <w:r>
        <w:rPr>
          <w:b w:val="0"/>
          <w:bCs w:val="0"/>
        </w:rPr>
        <w:fldChar w:fldCharType="end"/>
      </w:r>
      <w:r>
        <w:rPr>
          <w:rFonts w:ascii="宋体" w:hAnsi="宋体" w:cs="宋体"/>
          <w:b w:val="0"/>
          <w:bCs w:val="0"/>
          <w:szCs w:val="24"/>
        </w:rPr>
        <w:fldChar w:fldCharType="end"/>
      </w:r>
    </w:p>
    <w:p>
      <w:pPr>
        <w:pStyle w:val="21"/>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_Toc493 </w:instrText>
      </w:r>
      <w:r>
        <w:rPr>
          <w:rFonts w:ascii="宋体" w:hAnsi="宋体" w:cs="宋体"/>
          <w:b w:val="0"/>
          <w:bCs w:val="0"/>
          <w:szCs w:val="24"/>
        </w:rPr>
        <w:fldChar w:fldCharType="separate"/>
      </w:r>
      <w:r>
        <w:rPr>
          <w:rFonts w:ascii="宋体" w:cs="Times New Roman"/>
          <w:b w:val="0"/>
          <w:bCs w:val="0"/>
          <w:szCs w:val="36"/>
        </w:rPr>
        <w:t>第四部</w:t>
      </w:r>
      <w:r>
        <w:rPr>
          <w:rFonts w:hint="eastAsia" w:ascii="宋体" w:hAnsi="宋体" w:cs="宋体"/>
          <w:b w:val="0"/>
          <w:bCs w:val="0"/>
          <w:szCs w:val="36"/>
        </w:rPr>
        <w:t>分</w:t>
      </w:r>
      <w:r>
        <w:rPr>
          <w:rFonts w:ascii="宋体" w:hAnsi="宋体" w:cs="宋体"/>
          <w:b w:val="0"/>
          <w:bCs w:val="0"/>
          <w:szCs w:val="36"/>
        </w:rPr>
        <w:t xml:space="preserve">  </w:t>
      </w:r>
      <w:r>
        <w:rPr>
          <w:rFonts w:hint="eastAsia" w:ascii="宋体" w:hAnsi="宋体" w:cs="宋体"/>
          <w:b w:val="0"/>
          <w:bCs w:val="0"/>
          <w:szCs w:val="36"/>
        </w:rPr>
        <w:t>评审办法</w:t>
      </w:r>
      <w:r>
        <w:rPr>
          <w:b w:val="0"/>
          <w:bCs w:val="0"/>
        </w:rPr>
        <w:tab/>
      </w:r>
      <w:r>
        <w:rPr>
          <w:b w:val="0"/>
          <w:bCs w:val="0"/>
        </w:rPr>
        <w:fldChar w:fldCharType="begin"/>
      </w:r>
      <w:r>
        <w:rPr>
          <w:b w:val="0"/>
          <w:bCs w:val="0"/>
        </w:rPr>
        <w:instrText xml:space="preserve"> PAGEREF _Toc493 </w:instrText>
      </w:r>
      <w:r>
        <w:rPr>
          <w:b w:val="0"/>
          <w:bCs w:val="0"/>
        </w:rPr>
        <w:fldChar w:fldCharType="separate"/>
      </w:r>
      <w:r>
        <w:rPr>
          <w:b w:val="0"/>
          <w:bCs w:val="0"/>
        </w:rPr>
        <w:t>21</w:t>
      </w:r>
      <w:r>
        <w:rPr>
          <w:b w:val="0"/>
          <w:bCs w:val="0"/>
        </w:rPr>
        <w:fldChar w:fldCharType="end"/>
      </w:r>
      <w:r>
        <w:rPr>
          <w:rFonts w:ascii="宋体" w:hAnsi="宋体" w:cs="宋体"/>
          <w:b w:val="0"/>
          <w:bCs w:val="0"/>
          <w:szCs w:val="24"/>
        </w:rPr>
        <w:fldChar w:fldCharType="end"/>
      </w:r>
    </w:p>
    <w:p>
      <w:pPr>
        <w:pStyle w:val="21"/>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_Toc10953 </w:instrText>
      </w:r>
      <w:r>
        <w:rPr>
          <w:rFonts w:ascii="宋体" w:hAnsi="宋体" w:cs="宋体"/>
          <w:b w:val="0"/>
          <w:bCs w:val="0"/>
          <w:szCs w:val="24"/>
        </w:rPr>
        <w:fldChar w:fldCharType="separate"/>
      </w:r>
      <w:r>
        <w:rPr>
          <w:rFonts w:hint="eastAsia" w:ascii="宋体" w:hAnsi="宋体" w:cs="Times New Roman"/>
          <w:b w:val="0"/>
          <w:bCs w:val="0"/>
          <w:szCs w:val="36"/>
        </w:rPr>
        <w:t xml:space="preserve">第五部分 </w:t>
      </w:r>
      <w:r>
        <w:rPr>
          <w:rFonts w:hint="eastAsia" w:ascii="宋体" w:hAnsi="宋体" w:cs="宋体"/>
          <w:b w:val="0"/>
          <w:bCs w:val="0"/>
          <w:szCs w:val="36"/>
        </w:rPr>
        <w:t>采购要求</w:t>
      </w:r>
      <w:r>
        <w:rPr>
          <w:b w:val="0"/>
          <w:bCs w:val="0"/>
        </w:rPr>
        <w:tab/>
      </w:r>
      <w:r>
        <w:rPr>
          <w:b w:val="0"/>
          <w:bCs w:val="0"/>
        </w:rPr>
        <w:fldChar w:fldCharType="begin"/>
      </w:r>
      <w:r>
        <w:rPr>
          <w:b w:val="0"/>
          <w:bCs w:val="0"/>
        </w:rPr>
        <w:instrText xml:space="preserve"> PAGEREF _Toc10953 </w:instrText>
      </w:r>
      <w:r>
        <w:rPr>
          <w:b w:val="0"/>
          <w:bCs w:val="0"/>
        </w:rPr>
        <w:fldChar w:fldCharType="separate"/>
      </w:r>
      <w:r>
        <w:rPr>
          <w:b w:val="0"/>
          <w:bCs w:val="0"/>
        </w:rPr>
        <w:t>22</w:t>
      </w:r>
      <w:r>
        <w:rPr>
          <w:b w:val="0"/>
          <w:bCs w:val="0"/>
        </w:rPr>
        <w:fldChar w:fldCharType="end"/>
      </w:r>
      <w:r>
        <w:rPr>
          <w:rFonts w:ascii="宋体" w:hAnsi="宋体" w:cs="宋体"/>
          <w:b w:val="0"/>
          <w:bCs w:val="0"/>
          <w:szCs w:val="24"/>
        </w:rPr>
        <w:fldChar w:fldCharType="end"/>
      </w:r>
    </w:p>
    <w:p>
      <w:pPr>
        <w:pStyle w:val="21"/>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_Toc21614 </w:instrText>
      </w:r>
      <w:r>
        <w:rPr>
          <w:rFonts w:ascii="宋体" w:hAnsi="宋体" w:cs="宋体"/>
          <w:b w:val="0"/>
          <w:bCs w:val="0"/>
          <w:szCs w:val="24"/>
        </w:rPr>
        <w:fldChar w:fldCharType="separate"/>
      </w:r>
      <w:r>
        <w:rPr>
          <w:rFonts w:ascii="宋体" w:cs="Times New Roman"/>
          <w:b w:val="0"/>
          <w:bCs w:val="0"/>
          <w:szCs w:val="36"/>
        </w:rPr>
        <w:t>第六部</w:t>
      </w:r>
      <w:r>
        <w:rPr>
          <w:rFonts w:hint="eastAsia" w:ascii="宋体" w:hAnsi="宋体" w:cs="宋体"/>
          <w:b w:val="0"/>
          <w:bCs w:val="0"/>
          <w:szCs w:val="36"/>
        </w:rPr>
        <w:t>分</w:t>
      </w:r>
      <w:r>
        <w:rPr>
          <w:rFonts w:ascii="宋体" w:hAnsi="宋体" w:cs="宋体"/>
          <w:b w:val="0"/>
          <w:bCs w:val="0"/>
          <w:szCs w:val="36"/>
        </w:rPr>
        <w:t xml:space="preserve">  </w:t>
      </w:r>
      <w:r>
        <w:rPr>
          <w:rFonts w:hint="eastAsia" w:ascii="宋体" w:hAnsi="宋体" w:cs="宋体"/>
          <w:b w:val="0"/>
          <w:bCs w:val="0"/>
          <w:szCs w:val="36"/>
        </w:rPr>
        <w:t>合同条款</w:t>
      </w:r>
      <w:r>
        <w:rPr>
          <w:b w:val="0"/>
          <w:bCs w:val="0"/>
        </w:rPr>
        <w:tab/>
      </w:r>
      <w:r>
        <w:rPr>
          <w:b w:val="0"/>
          <w:bCs w:val="0"/>
        </w:rPr>
        <w:fldChar w:fldCharType="begin"/>
      </w:r>
      <w:r>
        <w:rPr>
          <w:b w:val="0"/>
          <w:bCs w:val="0"/>
        </w:rPr>
        <w:instrText xml:space="preserve"> PAGEREF _Toc21614 </w:instrText>
      </w:r>
      <w:r>
        <w:rPr>
          <w:b w:val="0"/>
          <w:bCs w:val="0"/>
        </w:rPr>
        <w:fldChar w:fldCharType="separate"/>
      </w:r>
      <w:r>
        <w:rPr>
          <w:b w:val="0"/>
          <w:bCs w:val="0"/>
        </w:rPr>
        <w:t>24</w:t>
      </w:r>
      <w:r>
        <w:rPr>
          <w:b w:val="0"/>
          <w:bCs w:val="0"/>
        </w:rPr>
        <w:fldChar w:fldCharType="end"/>
      </w:r>
      <w:r>
        <w:rPr>
          <w:rFonts w:ascii="宋体" w:hAnsi="宋体" w:cs="宋体"/>
          <w:b w:val="0"/>
          <w:bCs w:val="0"/>
          <w:szCs w:val="24"/>
        </w:rPr>
        <w:fldChar w:fldCharType="end"/>
      </w:r>
    </w:p>
    <w:p>
      <w:pPr>
        <w:pStyle w:val="21"/>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_Toc18973 </w:instrText>
      </w:r>
      <w:r>
        <w:rPr>
          <w:rFonts w:ascii="宋体" w:hAnsi="宋体" w:cs="宋体"/>
          <w:b w:val="0"/>
          <w:bCs w:val="0"/>
          <w:szCs w:val="24"/>
        </w:rPr>
        <w:fldChar w:fldCharType="separate"/>
      </w:r>
      <w:r>
        <w:rPr>
          <w:rFonts w:hint="eastAsia" w:ascii="宋体" w:hAnsi="宋体" w:cs="宋体"/>
          <w:b w:val="0"/>
          <w:bCs w:val="0"/>
          <w:szCs w:val="36"/>
        </w:rPr>
        <w:t>第七部分</w:t>
      </w:r>
      <w:r>
        <w:rPr>
          <w:rFonts w:ascii="宋体" w:hAnsi="宋体" w:cs="宋体"/>
          <w:b w:val="0"/>
          <w:bCs w:val="0"/>
          <w:szCs w:val="36"/>
        </w:rPr>
        <w:t xml:space="preserve">  </w:t>
      </w:r>
      <w:r>
        <w:rPr>
          <w:rFonts w:hint="eastAsia" w:ascii="宋体" w:hAnsi="宋体" w:cs="宋体"/>
          <w:b w:val="0"/>
          <w:bCs w:val="0"/>
          <w:szCs w:val="36"/>
        </w:rPr>
        <w:t>响应文件格式</w:t>
      </w:r>
      <w:r>
        <w:rPr>
          <w:b w:val="0"/>
          <w:bCs w:val="0"/>
        </w:rPr>
        <w:tab/>
      </w:r>
      <w:r>
        <w:rPr>
          <w:b w:val="0"/>
          <w:bCs w:val="0"/>
        </w:rPr>
        <w:fldChar w:fldCharType="begin"/>
      </w:r>
      <w:r>
        <w:rPr>
          <w:b w:val="0"/>
          <w:bCs w:val="0"/>
        </w:rPr>
        <w:instrText xml:space="preserve"> PAGEREF _Toc18973 </w:instrText>
      </w:r>
      <w:r>
        <w:rPr>
          <w:b w:val="0"/>
          <w:bCs w:val="0"/>
        </w:rPr>
        <w:fldChar w:fldCharType="separate"/>
      </w:r>
      <w:r>
        <w:rPr>
          <w:b w:val="0"/>
          <w:bCs w:val="0"/>
        </w:rPr>
        <w:t>29</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_Toc3954 </w:instrText>
      </w:r>
      <w:r>
        <w:rPr>
          <w:rFonts w:ascii="宋体" w:hAnsi="宋体" w:cs="宋体"/>
          <w:b w:val="0"/>
          <w:bCs w:val="0"/>
          <w:szCs w:val="24"/>
        </w:rPr>
        <w:fldChar w:fldCharType="separate"/>
      </w:r>
      <w:r>
        <w:rPr>
          <w:rFonts w:hint="eastAsia" w:ascii="宋体" w:hAnsi="宋体" w:cs="宋体"/>
          <w:b w:val="0"/>
          <w:bCs w:val="0"/>
          <w:szCs w:val="36"/>
        </w:rPr>
        <w:t>第一部分</w:t>
      </w:r>
      <w:r>
        <w:rPr>
          <w:rFonts w:ascii="宋体" w:hAnsi="宋体" w:cs="宋体"/>
          <w:b w:val="0"/>
          <w:bCs w:val="0"/>
          <w:szCs w:val="36"/>
        </w:rPr>
        <w:t xml:space="preserve">  </w:t>
      </w:r>
      <w:r>
        <w:rPr>
          <w:rFonts w:hint="eastAsia" w:ascii="宋体" w:hAnsi="宋体" w:cs="宋体"/>
          <w:b w:val="0"/>
          <w:bCs w:val="0"/>
          <w:szCs w:val="36"/>
        </w:rPr>
        <w:t>响应函</w:t>
      </w:r>
      <w:r>
        <w:rPr>
          <w:b w:val="0"/>
          <w:bCs w:val="0"/>
        </w:rPr>
        <w:tab/>
      </w:r>
      <w:r>
        <w:rPr>
          <w:b w:val="0"/>
          <w:bCs w:val="0"/>
        </w:rPr>
        <w:fldChar w:fldCharType="begin"/>
      </w:r>
      <w:r>
        <w:rPr>
          <w:b w:val="0"/>
          <w:bCs w:val="0"/>
        </w:rPr>
        <w:instrText xml:space="preserve"> PAGEREF _Toc3954 </w:instrText>
      </w:r>
      <w:r>
        <w:rPr>
          <w:b w:val="0"/>
          <w:bCs w:val="0"/>
        </w:rPr>
        <w:fldChar w:fldCharType="separate"/>
      </w:r>
      <w:r>
        <w:rPr>
          <w:b w:val="0"/>
          <w:bCs w:val="0"/>
        </w:rPr>
        <w:t>31</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_Toc30216 </w:instrText>
      </w:r>
      <w:r>
        <w:rPr>
          <w:rFonts w:ascii="宋体" w:hAnsi="宋体" w:cs="宋体"/>
          <w:b w:val="0"/>
          <w:bCs w:val="0"/>
          <w:szCs w:val="24"/>
        </w:rPr>
        <w:fldChar w:fldCharType="separate"/>
      </w:r>
      <w:r>
        <w:rPr>
          <w:rFonts w:hint="eastAsia" w:ascii="宋体" w:hAnsi="宋体" w:cs="宋体"/>
          <w:b w:val="0"/>
          <w:bCs w:val="0"/>
          <w:szCs w:val="36"/>
        </w:rPr>
        <w:t>第二部分 响应一览表</w:t>
      </w:r>
      <w:r>
        <w:rPr>
          <w:b w:val="0"/>
          <w:bCs w:val="0"/>
        </w:rPr>
        <w:tab/>
      </w:r>
      <w:r>
        <w:rPr>
          <w:b w:val="0"/>
          <w:bCs w:val="0"/>
        </w:rPr>
        <w:fldChar w:fldCharType="begin"/>
      </w:r>
      <w:r>
        <w:rPr>
          <w:b w:val="0"/>
          <w:bCs w:val="0"/>
        </w:rPr>
        <w:instrText xml:space="preserve"> PAGEREF _Toc30216 </w:instrText>
      </w:r>
      <w:r>
        <w:rPr>
          <w:b w:val="0"/>
          <w:bCs w:val="0"/>
        </w:rPr>
        <w:fldChar w:fldCharType="separate"/>
      </w:r>
      <w:r>
        <w:rPr>
          <w:b w:val="0"/>
          <w:bCs w:val="0"/>
        </w:rPr>
        <w:t>32</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_Toc3575 </w:instrText>
      </w:r>
      <w:r>
        <w:rPr>
          <w:rFonts w:ascii="宋体" w:hAnsi="宋体" w:cs="宋体"/>
          <w:b w:val="0"/>
          <w:bCs w:val="0"/>
          <w:szCs w:val="24"/>
        </w:rPr>
        <w:fldChar w:fldCharType="separate"/>
      </w:r>
      <w:r>
        <w:rPr>
          <w:rFonts w:hint="eastAsia" w:hAnsi="宋体" w:cs="宋体"/>
          <w:b w:val="0"/>
          <w:bCs w:val="0"/>
          <w:szCs w:val="36"/>
        </w:rPr>
        <w:t>第三部分</w:t>
      </w:r>
      <w:r>
        <w:rPr>
          <w:rFonts w:hAnsi="宋体" w:cs="宋体"/>
          <w:b w:val="0"/>
          <w:bCs w:val="0"/>
          <w:szCs w:val="36"/>
        </w:rPr>
        <w:t xml:space="preserve"> </w:t>
      </w:r>
      <w:r>
        <w:rPr>
          <w:rFonts w:hint="eastAsia" w:ascii="宋体" w:hAnsi="宋体" w:cs="宋体"/>
          <w:b w:val="0"/>
          <w:bCs w:val="0"/>
          <w:szCs w:val="36"/>
        </w:rPr>
        <w:t xml:space="preserve"> 商务及技术响应说明</w:t>
      </w:r>
      <w:r>
        <w:rPr>
          <w:b w:val="0"/>
          <w:bCs w:val="0"/>
        </w:rPr>
        <w:tab/>
      </w:r>
      <w:r>
        <w:rPr>
          <w:b w:val="0"/>
          <w:bCs w:val="0"/>
        </w:rPr>
        <w:fldChar w:fldCharType="begin"/>
      </w:r>
      <w:r>
        <w:rPr>
          <w:b w:val="0"/>
          <w:bCs w:val="0"/>
        </w:rPr>
        <w:instrText xml:space="preserve"> PAGEREF _Toc3575 </w:instrText>
      </w:r>
      <w:r>
        <w:rPr>
          <w:b w:val="0"/>
          <w:bCs w:val="0"/>
        </w:rPr>
        <w:fldChar w:fldCharType="separate"/>
      </w:r>
      <w:r>
        <w:rPr>
          <w:b w:val="0"/>
          <w:bCs w:val="0"/>
        </w:rPr>
        <w:t>34</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_Toc21704 </w:instrText>
      </w:r>
      <w:r>
        <w:rPr>
          <w:rFonts w:ascii="宋体" w:hAnsi="宋体" w:cs="宋体"/>
          <w:b w:val="0"/>
          <w:bCs w:val="0"/>
          <w:szCs w:val="24"/>
        </w:rPr>
        <w:fldChar w:fldCharType="separate"/>
      </w:r>
      <w:r>
        <w:rPr>
          <w:rFonts w:hint="eastAsia" w:ascii="宋体" w:hAnsi="宋体" w:eastAsia="宋体" w:cs="宋体"/>
          <w:b w:val="0"/>
          <w:bCs w:val="0"/>
          <w:kern w:val="0"/>
          <w:szCs w:val="36"/>
          <w:lang w:val="en-US" w:eastAsia="zh-CN" w:bidi="ar-SA"/>
        </w:rPr>
        <w:t>第四部分  供应商资格要求</w:t>
      </w:r>
      <w:r>
        <w:rPr>
          <w:b w:val="0"/>
          <w:bCs w:val="0"/>
        </w:rPr>
        <w:tab/>
      </w:r>
      <w:r>
        <w:rPr>
          <w:b w:val="0"/>
          <w:bCs w:val="0"/>
        </w:rPr>
        <w:fldChar w:fldCharType="begin"/>
      </w:r>
      <w:r>
        <w:rPr>
          <w:b w:val="0"/>
          <w:bCs w:val="0"/>
        </w:rPr>
        <w:instrText xml:space="preserve"> PAGEREF _Toc21704 </w:instrText>
      </w:r>
      <w:r>
        <w:rPr>
          <w:b w:val="0"/>
          <w:bCs w:val="0"/>
        </w:rPr>
        <w:fldChar w:fldCharType="separate"/>
      </w:r>
      <w:r>
        <w:rPr>
          <w:b w:val="0"/>
          <w:bCs w:val="0"/>
        </w:rPr>
        <w:t>36</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_Toc16233 </w:instrText>
      </w:r>
      <w:r>
        <w:rPr>
          <w:rFonts w:ascii="宋体" w:hAnsi="宋体" w:cs="宋体"/>
          <w:b w:val="0"/>
          <w:bCs w:val="0"/>
          <w:szCs w:val="24"/>
        </w:rPr>
        <w:fldChar w:fldCharType="separate"/>
      </w:r>
      <w:r>
        <w:rPr>
          <w:rFonts w:hint="eastAsia" w:ascii="宋体" w:hAnsi="宋体" w:cs="宋体"/>
          <w:b w:val="0"/>
          <w:bCs w:val="0"/>
          <w:szCs w:val="36"/>
          <w:lang w:eastAsia="zh-CN"/>
        </w:rPr>
        <w:t>第五部分</w:t>
      </w:r>
      <w:r>
        <w:rPr>
          <w:rFonts w:hint="eastAsia" w:ascii="宋体" w:hAnsi="宋体" w:cs="宋体"/>
          <w:b w:val="0"/>
          <w:bCs w:val="0"/>
          <w:szCs w:val="36"/>
          <w:lang w:val="en-US" w:eastAsia="zh-CN"/>
        </w:rPr>
        <w:t xml:space="preserve">  </w:t>
      </w:r>
      <w:r>
        <w:rPr>
          <w:rFonts w:hint="eastAsia" w:ascii="宋体" w:hAnsi="宋体" w:cs="宋体"/>
          <w:b w:val="0"/>
          <w:bCs w:val="0"/>
          <w:szCs w:val="36"/>
        </w:rPr>
        <w:t>技术与服务方案</w:t>
      </w:r>
      <w:r>
        <w:rPr>
          <w:b w:val="0"/>
          <w:bCs w:val="0"/>
        </w:rPr>
        <w:tab/>
      </w:r>
      <w:r>
        <w:rPr>
          <w:b w:val="0"/>
          <w:bCs w:val="0"/>
        </w:rPr>
        <w:fldChar w:fldCharType="begin"/>
      </w:r>
      <w:r>
        <w:rPr>
          <w:b w:val="0"/>
          <w:bCs w:val="0"/>
        </w:rPr>
        <w:instrText xml:space="preserve"> PAGEREF _Toc16233 </w:instrText>
      </w:r>
      <w:r>
        <w:rPr>
          <w:b w:val="0"/>
          <w:bCs w:val="0"/>
        </w:rPr>
        <w:fldChar w:fldCharType="separate"/>
      </w:r>
      <w:r>
        <w:rPr>
          <w:b w:val="0"/>
          <w:bCs w:val="0"/>
        </w:rPr>
        <w:t>47</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_Toc16757 </w:instrText>
      </w:r>
      <w:r>
        <w:rPr>
          <w:rFonts w:ascii="宋体" w:hAnsi="宋体" w:cs="宋体"/>
          <w:b w:val="0"/>
          <w:bCs w:val="0"/>
          <w:szCs w:val="24"/>
        </w:rPr>
        <w:fldChar w:fldCharType="separate"/>
      </w:r>
      <w:r>
        <w:rPr>
          <w:rFonts w:hint="eastAsia" w:ascii="宋体" w:hAnsi="宋体" w:cs="宋体"/>
          <w:b w:val="0"/>
          <w:bCs w:val="0"/>
          <w:szCs w:val="36"/>
        </w:rPr>
        <w:t>第</w:t>
      </w:r>
      <w:r>
        <w:rPr>
          <w:rFonts w:hint="eastAsia" w:ascii="宋体" w:hAnsi="宋体" w:cs="宋体"/>
          <w:b w:val="0"/>
          <w:bCs w:val="0"/>
          <w:szCs w:val="36"/>
          <w:lang w:eastAsia="zh-CN"/>
        </w:rPr>
        <w:t>六</w:t>
      </w:r>
      <w:r>
        <w:rPr>
          <w:rFonts w:hint="eastAsia" w:ascii="宋体" w:hAnsi="宋体" w:cs="宋体"/>
          <w:b w:val="0"/>
          <w:bCs w:val="0"/>
          <w:szCs w:val="36"/>
        </w:rPr>
        <w:t>部分  服务承诺</w:t>
      </w:r>
      <w:r>
        <w:rPr>
          <w:b w:val="0"/>
          <w:bCs w:val="0"/>
        </w:rPr>
        <w:tab/>
      </w:r>
      <w:r>
        <w:rPr>
          <w:b w:val="0"/>
          <w:bCs w:val="0"/>
        </w:rPr>
        <w:fldChar w:fldCharType="begin"/>
      </w:r>
      <w:r>
        <w:rPr>
          <w:b w:val="0"/>
          <w:bCs w:val="0"/>
        </w:rPr>
        <w:instrText xml:space="preserve"> PAGEREF _Toc16757 </w:instrText>
      </w:r>
      <w:r>
        <w:rPr>
          <w:b w:val="0"/>
          <w:bCs w:val="0"/>
        </w:rPr>
        <w:fldChar w:fldCharType="separate"/>
      </w:r>
      <w:r>
        <w:rPr>
          <w:b w:val="0"/>
          <w:bCs w:val="0"/>
        </w:rPr>
        <w:t>48</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_Toc14327 </w:instrText>
      </w:r>
      <w:r>
        <w:rPr>
          <w:rFonts w:ascii="宋体" w:hAnsi="宋体" w:cs="宋体"/>
          <w:b w:val="0"/>
          <w:bCs w:val="0"/>
          <w:szCs w:val="24"/>
        </w:rPr>
        <w:fldChar w:fldCharType="separate"/>
      </w:r>
      <w:r>
        <w:rPr>
          <w:rFonts w:hint="eastAsia" w:ascii="宋体" w:cs="宋体"/>
          <w:b w:val="0"/>
          <w:bCs w:val="0"/>
          <w:szCs w:val="36"/>
        </w:rPr>
        <w:t>第</w:t>
      </w:r>
      <w:r>
        <w:rPr>
          <w:rFonts w:hint="eastAsia" w:ascii="宋体" w:cs="宋体"/>
          <w:b w:val="0"/>
          <w:bCs w:val="0"/>
          <w:szCs w:val="36"/>
          <w:lang w:eastAsia="zh-CN"/>
        </w:rPr>
        <w:t>七</w:t>
      </w:r>
      <w:r>
        <w:rPr>
          <w:rFonts w:hint="eastAsia" w:ascii="宋体" w:cs="宋体"/>
          <w:b w:val="0"/>
          <w:bCs w:val="0"/>
          <w:szCs w:val="36"/>
        </w:rPr>
        <w:t xml:space="preserve">部分  </w:t>
      </w:r>
      <w:r>
        <w:rPr>
          <w:rFonts w:hint="eastAsia" w:ascii="宋体" w:hAnsi="宋体" w:cs="宋体"/>
          <w:b w:val="0"/>
          <w:bCs w:val="0"/>
          <w:szCs w:val="36"/>
        </w:rPr>
        <w:t>业绩一览表</w:t>
      </w:r>
      <w:r>
        <w:rPr>
          <w:b w:val="0"/>
          <w:bCs w:val="0"/>
        </w:rPr>
        <w:tab/>
      </w:r>
      <w:r>
        <w:rPr>
          <w:b w:val="0"/>
          <w:bCs w:val="0"/>
        </w:rPr>
        <w:fldChar w:fldCharType="begin"/>
      </w:r>
      <w:r>
        <w:rPr>
          <w:b w:val="0"/>
          <w:bCs w:val="0"/>
        </w:rPr>
        <w:instrText xml:space="preserve"> PAGEREF _Toc14327 </w:instrText>
      </w:r>
      <w:r>
        <w:rPr>
          <w:b w:val="0"/>
          <w:bCs w:val="0"/>
        </w:rPr>
        <w:fldChar w:fldCharType="separate"/>
      </w:r>
      <w:r>
        <w:rPr>
          <w:b w:val="0"/>
          <w:bCs w:val="0"/>
        </w:rPr>
        <w:t>49</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_Toc22319 </w:instrText>
      </w:r>
      <w:r>
        <w:rPr>
          <w:rFonts w:ascii="宋体" w:hAnsi="宋体" w:cs="宋体"/>
          <w:b w:val="0"/>
          <w:bCs w:val="0"/>
          <w:szCs w:val="24"/>
        </w:rPr>
        <w:fldChar w:fldCharType="separate"/>
      </w:r>
      <w:r>
        <w:rPr>
          <w:rFonts w:hint="eastAsia" w:ascii="宋体" w:hAnsi="宋体" w:cs="宋体"/>
          <w:b w:val="0"/>
          <w:bCs w:val="0"/>
          <w:szCs w:val="36"/>
        </w:rPr>
        <w:t>第</w:t>
      </w:r>
      <w:r>
        <w:rPr>
          <w:rFonts w:hint="eastAsia" w:ascii="宋体" w:hAnsi="宋体" w:cs="宋体"/>
          <w:b w:val="0"/>
          <w:bCs w:val="0"/>
          <w:szCs w:val="36"/>
          <w:lang w:eastAsia="zh-CN"/>
        </w:rPr>
        <w:t>八</w:t>
      </w:r>
      <w:r>
        <w:rPr>
          <w:rFonts w:hint="eastAsia" w:ascii="宋体" w:hAnsi="宋体" w:cs="宋体"/>
          <w:b w:val="0"/>
          <w:bCs w:val="0"/>
          <w:szCs w:val="36"/>
        </w:rPr>
        <w:t>部分  供应商认为有必要说明的其他问题</w:t>
      </w:r>
      <w:r>
        <w:rPr>
          <w:b w:val="0"/>
          <w:bCs w:val="0"/>
        </w:rPr>
        <w:tab/>
      </w:r>
      <w:r>
        <w:rPr>
          <w:b w:val="0"/>
          <w:bCs w:val="0"/>
        </w:rPr>
        <w:fldChar w:fldCharType="begin"/>
      </w:r>
      <w:r>
        <w:rPr>
          <w:b w:val="0"/>
          <w:bCs w:val="0"/>
        </w:rPr>
        <w:instrText xml:space="preserve"> PAGEREF _Toc22319 </w:instrText>
      </w:r>
      <w:r>
        <w:rPr>
          <w:b w:val="0"/>
          <w:bCs w:val="0"/>
        </w:rPr>
        <w:fldChar w:fldCharType="separate"/>
      </w:r>
      <w:r>
        <w:rPr>
          <w:b w:val="0"/>
          <w:bCs w:val="0"/>
        </w:rPr>
        <w:t>50</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_Toc18241 </w:instrText>
      </w:r>
      <w:r>
        <w:rPr>
          <w:rFonts w:ascii="宋体" w:hAnsi="宋体" w:cs="宋体"/>
          <w:b w:val="0"/>
          <w:bCs w:val="0"/>
          <w:szCs w:val="24"/>
        </w:rPr>
        <w:fldChar w:fldCharType="separate"/>
      </w:r>
      <w:r>
        <w:rPr>
          <w:rFonts w:hint="eastAsia" w:ascii="宋体" w:hAnsi="宋体" w:cs="宋体"/>
          <w:b w:val="0"/>
          <w:bCs w:val="0"/>
        </w:rPr>
        <w:t>附件一：封袋正面标识式样</w:t>
      </w:r>
      <w:r>
        <w:rPr>
          <w:b w:val="0"/>
          <w:bCs w:val="0"/>
        </w:rPr>
        <w:tab/>
      </w:r>
      <w:r>
        <w:rPr>
          <w:b w:val="0"/>
          <w:bCs w:val="0"/>
        </w:rPr>
        <w:fldChar w:fldCharType="begin"/>
      </w:r>
      <w:r>
        <w:rPr>
          <w:b w:val="0"/>
          <w:bCs w:val="0"/>
        </w:rPr>
        <w:instrText xml:space="preserve"> PAGEREF _Toc18241 </w:instrText>
      </w:r>
      <w:r>
        <w:rPr>
          <w:b w:val="0"/>
          <w:bCs w:val="0"/>
        </w:rPr>
        <w:fldChar w:fldCharType="separate"/>
      </w:r>
      <w:r>
        <w:rPr>
          <w:b w:val="0"/>
          <w:bCs w:val="0"/>
        </w:rPr>
        <w:t>51</w:t>
      </w:r>
      <w:r>
        <w:rPr>
          <w:b w:val="0"/>
          <w:bCs w:val="0"/>
        </w:rPr>
        <w:fldChar w:fldCharType="end"/>
      </w:r>
      <w:r>
        <w:rPr>
          <w:rFonts w:ascii="宋体" w:hAnsi="宋体" w:cs="宋体"/>
          <w:b w:val="0"/>
          <w:bCs w:val="0"/>
          <w:szCs w:val="24"/>
        </w:rPr>
        <w:fldChar w:fldCharType="end"/>
      </w:r>
    </w:p>
    <w:p>
      <w:pPr>
        <w:pStyle w:val="23"/>
        <w:tabs>
          <w:tab w:val="right" w:leader="dot" w:pos="8306"/>
        </w:tabs>
        <w:rPr>
          <w:b w:val="0"/>
          <w:bCs w:val="0"/>
        </w:rPr>
      </w:pPr>
      <w:r>
        <w:rPr>
          <w:rFonts w:ascii="宋体" w:hAnsi="宋体" w:cs="宋体"/>
          <w:b w:val="0"/>
          <w:bCs w:val="0"/>
          <w:szCs w:val="24"/>
        </w:rPr>
        <w:fldChar w:fldCharType="begin"/>
      </w:r>
      <w:r>
        <w:rPr>
          <w:rFonts w:ascii="宋体" w:hAnsi="宋体" w:cs="宋体"/>
          <w:b w:val="0"/>
          <w:bCs w:val="0"/>
          <w:szCs w:val="24"/>
        </w:rPr>
        <w:instrText xml:space="preserve"> HYPERLINK \l _Toc19468 </w:instrText>
      </w:r>
      <w:r>
        <w:rPr>
          <w:rFonts w:ascii="宋体" w:hAnsi="宋体" w:cs="宋体"/>
          <w:b w:val="0"/>
          <w:bCs w:val="0"/>
          <w:szCs w:val="24"/>
        </w:rPr>
        <w:fldChar w:fldCharType="separate"/>
      </w:r>
      <w:r>
        <w:rPr>
          <w:rFonts w:hint="eastAsia" w:ascii="宋体" w:hAnsi="宋体" w:cs="宋体"/>
          <w:b w:val="0"/>
          <w:bCs w:val="0"/>
        </w:rPr>
        <w:t>附件二：保证金退还账户信息确认表</w:t>
      </w:r>
      <w:r>
        <w:rPr>
          <w:b w:val="0"/>
          <w:bCs w:val="0"/>
        </w:rPr>
        <w:tab/>
      </w:r>
      <w:r>
        <w:rPr>
          <w:b w:val="0"/>
          <w:bCs w:val="0"/>
        </w:rPr>
        <w:fldChar w:fldCharType="begin"/>
      </w:r>
      <w:r>
        <w:rPr>
          <w:b w:val="0"/>
          <w:bCs w:val="0"/>
        </w:rPr>
        <w:instrText xml:space="preserve"> PAGEREF _Toc19468 </w:instrText>
      </w:r>
      <w:r>
        <w:rPr>
          <w:b w:val="0"/>
          <w:bCs w:val="0"/>
        </w:rPr>
        <w:fldChar w:fldCharType="separate"/>
      </w:r>
      <w:r>
        <w:rPr>
          <w:b w:val="0"/>
          <w:bCs w:val="0"/>
        </w:rPr>
        <w:t>53</w:t>
      </w:r>
      <w:r>
        <w:rPr>
          <w:b w:val="0"/>
          <w:bCs w:val="0"/>
        </w:rPr>
        <w:fldChar w:fldCharType="end"/>
      </w:r>
      <w:r>
        <w:rPr>
          <w:rFonts w:ascii="宋体" w:hAnsi="宋体" w:cs="宋体"/>
          <w:b w:val="0"/>
          <w:bCs w:val="0"/>
          <w:szCs w:val="24"/>
        </w:rPr>
        <w:fldChar w:fldCharType="end"/>
      </w:r>
    </w:p>
    <w:p>
      <w:pPr>
        <w:rPr>
          <w:b w:val="0"/>
          <w:bCs w:val="0"/>
        </w:rPr>
      </w:pPr>
      <w:r>
        <w:rPr>
          <w:rFonts w:ascii="宋体" w:hAnsi="宋体" w:cs="宋体"/>
          <w:b w:val="0"/>
          <w:bCs w:val="0"/>
          <w:szCs w:val="24"/>
        </w:rPr>
        <w:fldChar w:fldCharType="end"/>
      </w:r>
    </w:p>
    <w:p/>
    <w:p/>
    <w:p/>
    <w:p/>
    <w:p/>
    <w:p/>
    <w:p/>
    <w:p/>
    <w:p>
      <w:pPr>
        <w:tabs>
          <w:tab w:val="center" w:pos="4153"/>
        </w:tabs>
        <w:jc w:val="left"/>
        <w:sectPr>
          <w:headerReference r:id="rId11" w:type="default"/>
          <w:footerReference r:id="rId12" w:type="default"/>
          <w:pgSz w:w="11906" w:h="16838"/>
          <w:pgMar w:top="1440" w:right="1800" w:bottom="1440" w:left="1800" w:header="851" w:footer="992" w:gutter="0"/>
          <w:cols w:space="720" w:num="1"/>
          <w:docGrid w:type="lines" w:linePitch="312" w:charSpace="0"/>
        </w:sectPr>
      </w:pPr>
    </w:p>
    <w:p>
      <w:pPr>
        <w:pStyle w:val="2"/>
        <w:spacing w:before="312" w:beforeLines="100" w:after="468" w:afterLines="150" w:line="240" w:lineRule="auto"/>
      </w:pPr>
      <w:bookmarkStart w:id="1" w:name="_Toc26575"/>
      <w:bookmarkStart w:id="2" w:name="_Toc8620"/>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p>
    <w:p>
      <w:pPr>
        <w:pStyle w:val="93"/>
        <w:widowControl/>
        <w:spacing w:before="0" w:line="360" w:lineRule="auto"/>
        <w:rPr>
          <w:b w:val="0"/>
          <w:bCs/>
        </w:rPr>
      </w:pPr>
      <w:r>
        <w:rPr>
          <w:rFonts w:hint="eastAsia"/>
          <w:sz w:val="24"/>
          <w:szCs w:val="24"/>
        </w:rPr>
        <w:t xml:space="preserve">    </w:t>
      </w:r>
      <w:r>
        <w:rPr>
          <w:rFonts w:hint="eastAsia"/>
          <w:b w:val="0"/>
          <w:bCs/>
          <w:sz w:val="24"/>
          <w:szCs w:val="24"/>
          <w:lang w:eastAsia="zh-CN"/>
        </w:rPr>
        <w:t>西北大学光热显微红外光谱仪采购项目邀请</w:t>
      </w:r>
      <w:r>
        <w:rPr>
          <w:rFonts w:hint="eastAsia" w:ascii="宋体" w:hAnsi="宋体" w:eastAsia="宋体" w:cs="宋体"/>
          <w:b/>
          <w:bCs w:val="0"/>
          <w:sz w:val="24"/>
          <w:szCs w:val="24"/>
          <w:lang w:val="en-US" w:eastAsia="zh-CN"/>
        </w:rPr>
        <w:t>Quantum量子科学仪器贸易（北京）有限公司</w:t>
      </w:r>
      <w:r>
        <w:rPr>
          <w:b w:val="0"/>
          <w:bCs/>
          <w:sz w:val="24"/>
          <w:szCs w:val="24"/>
        </w:rPr>
        <w:t>在西安市雁塔区科技路</w:t>
      </w:r>
      <w:r>
        <w:rPr>
          <w:rFonts w:hint="eastAsia" w:ascii="宋体" w:hAnsi="宋体" w:eastAsia="宋体" w:cs="宋体"/>
          <w:b w:val="0"/>
          <w:kern w:val="0"/>
          <w:sz w:val="24"/>
          <w:szCs w:val="24"/>
          <w:lang w:val="en-US" w:eastAsia="zh-CN" w:bidi="ar-SA"/>
        </w:rPr>
        <w:t>10号华奥大厦A座20层2002室</w:t>
      </w:r>
      <w:r>
        <w:rPr>
          <w:b w:val="0"/>
          <w:bCs/>
          <w:sz w:val="24"/>
          <w:szCs w:val="24"/>
        </w:rPr>
        <w:t>获取采购文件，并于</w:t>
      </w:r>
      <w:r>
        <w:rPr>
          <w:rFonts w:hint="eastAsia" w:ascii="宋体" w:hAnsi="宋体" w:eastAsia="宋体" w:cs="宋体"/>
          <w:b w:val="0"/>
          <w:kern w:val="0"/>
          <w:sz w:val="24"/>
          <w:szCs w:val="24"/>
          <w:lang w:val="en-US" w:eastAsia="zh-CN" w:bidi="ar-SA"/>
        </w:rPr>
        <w:t>2022-</w:t>
      </w:r>
      <w:r>
        <w:rPr>
          <w:rFonts w:hint="eastAsia" w:ascii="宋体" w:hAnsi="宋体" w:cs="宋体"/>
          <w:b w:val="0"/>
          <w:kern w:val="0"/>
          <w:sz w:val="24"/>
          <w:szCs w:val="24"/>
          <w:lang w:val="en-US" w:eastAsia="zh-CN" w:bidi="ar-SA"/>
        </w:rPr>
        <w:t>07</w:t>
      </w:r>
      <w:r>
        <w:rPr>
          <w:rFonts w:hint="eastAsia" w:ascii="宋体" w:hAnsi="宋体" w:eastAsia="宋体" w:cs="宋体"/>
          <w:b w:val="0"/>
          <w:kern w:val="0"/>
          <w:sz w:val="24"/>
          <w:szCs w:val="24"/>
          <w:lang w:val="en-US" w:eastAsia="zh-CN" w:bidi="ar-SA"/>
        </w:rPr>
        <w:t>-</w:t>
      </w:r>
      <w:r>
        <w:rPr>
          <w:rFonts w:hint="eastAsia" w:ascii="宋体" w:hAnsi="宋体" w:cs="宋体"/>
          <w:b w:val="0"/>
          <w:kern w:val="0"/>
          <w:sz w:val="24"/>
          <w:szCs w:val="24"/>
          <w:lang w:val="en-US" w:eastAsia="zh-CN" w:bidi="ar-SA"/>
        </w:rPr>
        <w:t>21 10</w:t>
      </w:r>
      <w:r>
        <w:rPr>
          <w:rFonts w:hint="eastAsia" w:ascii="宋体" w:hAnsi="宋体" w:eastAsia="宋体" w:cs="宋体"/>
          <w:b w:val="0"/>
          <w:kern w:val="0"/>
          <w:sz w:val="24"/>
          <w:szCs w:val="24"/>
          <w:lang w:val="en-US" w:eastAsia="zh-CN" w:bidi="ar-SA"/>
        </w:rPr>
        <w:t>:</w:t>
      </w:r>
      <w:r>
        <w:rPr>
          <w:rFonts w:hint="eastAsia" w:ascii="宋体" w:hAnsi="宋体" w:cs="宋体"/>
          <w:b w:val="0"/>
          <w:kern w:val="0"/>
          <w:sz w:val="24"/>
          <w:szCs w:val="24"/>
          <w:lang w:val="en-US" w:eastAsia="zh-CN" w:bidi="ar-SA"/>
        </w:rPr>
        <w:t>0</w:t>
      </w:r>
      <w:r>
        <w:rPr>
          <w:rFonts w:hint="eastAsia" w:ascii="宋体" w:hAnsi="宋体" w:eastAsia="宋体" w:cs="宋体"/>
          <w:b w:val="0"/>
          <w:kern w:val="0"/>
          <w:sz w:val="24"/>
          <w:szCs w:val="24"/>
          <w:lang w:val="en-US" w:eastAsia="zh-CN" w:bidi="ar-SA"/>
        </w:rPr>
        <w:t>0:00</w:t>
      </w:r>
      <w:r>
        <w:rPr>
          <w:b w:val="0"/>
          <w:bCs/>
          <w:sz w:val="24"/>
          <w:szCs w:val="24"/>
        </w:rPr>
        <w:t>前递交响应文件。</w:t>
      </w:r>
      <w:r>
        <w:rPr>
          <w:b w:val="0"/>
          <w:bCs/>
        </w:rPr>
        <w:t xml:space="preserve"> </w:t>
      </w:r>
    </w:p>
    <w:p>
      <w:pPr>
        <w:pStyle w:val="93"/>
        <w:widowControl/>
        <w:spacing w:before="0" w:line="360" w:lineRule="auto"/>
        <w:rPr>
          <w:b w:val="0"/>
          <w:bCs/>
          <w:sz w:val="24"/>
          <w:szCs w:val="24"/>
        </w:rPr>
      </w:pPr>
      <w:r>
        <w:rPr>
          <w:b w:val="0"/>
          <w:bCs/>
          <w:sz w:val="24"/>
          <w:szCs w:val="24"/>
        </w:rPr>
        <w:t>一、项目基本情况：</w:t>
      </w:r>
    </w:p>
    <w:p>
      <w:pPr>
        <w:pStyle w:val="25"/>
        <w:spacing w:before="0" w:beforeAutospacing="0" w:after="0" w:afterAutospacing="0" w:line="360" w:lineRule="auto"/>
        <w:ind w:firstLine="420"/>
        <w:rPr>
          <w:rFonts w:hint="eastAsia"/>
          <w:highlight w:val="none"/>
          <w:lang w:eastAsia="zh-CN"/>
        </w:rPr>
      </w:pPr>
      <w:r>
        <w:rPr>
          <w:highlight w:val="none"/>
        </w:rPr>
        <w:t>项目编号：</w:t>
      </w:r>
      <w:r>
        <w:rPr>
          <w:rFonts w:hint="eastAsia"/>
          <w:highlight w:val="none"/>
          <w:lang w:eastAsia="zh-CN"/>
        </w:rPr>
        <w:t xml:space="preserve">ZMZB2022XBDX-59 </w:t>
      </w:r>
    </w:p>
    <w:p>
      <w:pPr>
        <w:pStyle w:val="25"/>
        <w:spacing w:before="0" w:beforeAutospacing="0" w:after="0" w:afterAutospacing="0" w:line="360" w:lineRule="auto"/>
        <w:ind w:firstLine="420"/>
        <w:rPr>
          <w:rFonts w:hint="default"/>
          <w:lang w:val="en-US" w:eastAsia="zh-CN"/>
        </w:rPr>
      </w:pPr>
      <w:r>
        <w:t>项目名称：</w:t>
      </w:r>
      <w:r>
        <w:rPr>
          <w:rFonts w:hint="eastAsia"/>
          <w:b w:val="0"/>
          <w:bCs/>
          <w:sz w:val="24"/>
          <w:szCs w:val="24"/>
          <w:lang w:eastAsia="zh-CN"/>
        </w:rPr>
        <w:t>西北大学光热显微红外光谱仪采购项目</w:t>
      </w:r>
    </w:p>
    <w:p>
      <w:pPr>
        <w:pStyle w:val="25"/>
        <w:spacing w:before="0" w:beforeAutospacing="0" w:after="0" w:afterAutospacing="0" w:line="360" w:lineRule="auto"/>
        <w:ind w:firstLine="420"/>
        <w:rPr>
          <w:rFonts w:hint="eastAsia"/>
        </w:rPr>
      </w:pPr>
      <w:r>
        <w:rPr>
          <w:rFonts w:hint="eastAsia"/>
        </w:rPr>
        <w:t>采购方式：单一来源</w:t>
      </w:r>
    </w:p>
    <w:p>
      <w:pPr>
        <w:pStyle w:val="25"/>
        <w:spacing w:before="0" w:beforeAutospacing="0" w:after="0" w:afterAutospacing="0" w:line="360" w:lineRule="auto"/>
        <w:ind w:firstLine="420"/>
        <w:rPr>
          <w:rFonts w:hint="default" w:eastAsia="宋体"/>
          <w:lang w:val="en-US" w:eastAsia="zh-CN"/>
        </w:rPr>
      </w:pPr>
      <w:r>
        <w:rPr>
          <w:rFonts w:hint="eastAsia"/>
        </w:rPr>
        <w:t>预算金额：</w:t>
      </w:r>
      <w:r>
        <w:rPr>
          <w:rFonts w:hint="eastAsia"/>
          <w:lang w:val="en-US" w:eastAsia="zh-CN"/>
        </w:rPr>
        <w:t>2800000.00元</w:t>
      </w:r>
    </w:p>
    <w:p>
      <w:pPr>
        <w:pStyle w:val="25"/>
        <w:spacing w:before="0" w:beforeAutospacing="0" w:after="0" w:afterAutospacing="0" w:line="360" w:lineRule="auto"/>
        <w:ind w:firstLine="420"/>
      </w:pPr>
      <w:r>
        <w:t>采购需求：</w:t>
      </w:r>
    </w:p>
    <w:p>
      <w:pPr>
        <w:pStyle w:val="25"/>
        <w:spacing w:before="0" w:beforeAutospacing="0" w:after="0" w:afterAutospacing="0" w:line="360" w:lineRule="auto"/>
        <w:ind w:firstLine="420"/>
      </w:pPr>
      <w:r>
        <w:rPr>
          <w:rFonts w:hint="eastAsia"/>
        </w:rPr>
        <w:t>合同包1(</w:t>
      </w:r>
      <w:r>
        <w:rPr>
          <w:rFonts w:hint="eastAsia"/>
          <w:b w:val="0"/>
          <w:bCs/>
          <w:sz w:val="24"/>
          <w:szCs w:val="24"/>
          <w:lang w:eastAsia="zh-CN"/>
        </w:rPr>
        <w:t>光热显微红外光谱仪</w:t>
      </w:r>
      <w:r>
        <w:rPr>
          <w:rFonts w:hint="eastAsia"/>
        </w:rPr>
        <w:t>):</w:t>
      </w:r>
    </w:p>
    <w:p>
      <w:pPr>
        <w:pStyle w:val="25"/>
        <w:spacing w:before="0" w:beforeAutospacing="0" w:after="0" w:afterAutospacing="0" w:line="360" w:lineRule="auto"/>
        <w:ind w:firstLine="420"/>
        <w:rPr>
          <w:rFonts w:hint="eastAsia"/>
          <w:lang w:val="en-US" w:eastAsia="zh-CN"/>
        </w:rPr>
      </w:pPr>
      <w:r>
        <w:rPr>
          <w:rFonts w:hint="eastAsia"/>
        </w:rPr>
        <w:t>合同包预算金额：</w:t>
      </w:r>
      <w:r>
        <w:rPr>
          <w:rFonts w:hint="eastAsia"/>
          <w:lang w:val="en-US" w:eastAsia="zh-CN"/>
        </w:rPr>
        <w:t>2800000.00元</w:t>
      </w:r>
    </w:p>
    <w:p>
      <w:pPr>
        <w:pStyle w:val="25"/>
        <w:spacing w:before="0" w:beforeAutospacing="0" w:after="0" w:afterAutospacing="0" w:line="360" w:lineRule="auto"/>
        <w:ind w:firstLine="420"/>
      </w:pPr>
      <w:r>
        <w:rPr>
          <w:rFonts w:hint="eastAsia"/>
        </w:rPr>
        <w:t>合同包最高限价：</w:t>
      </w:r>
      <w:r>
        <w:rPr>
          <w:rFonts w:hint="eastAsia"/>
          <w:lang w:val="en-US" w:eastAsia="zh-CN"/>
        </w:rPr>
        <w:t>2800000.00元</w:t>
      </w:r>
    </w:p>
    <w:tbl>
      <w:tblPr>
        <w:tblStyle w:val="29"/>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384"/>
        <w:gridCol w:w="1500"/>
        <w:gridCol w:w="1216"/>
        <w:gridCol w:w="1567"/>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42"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品目号</w:t>
            </w:r>
          </w:p>
        </w:tc>
        <w:tc>
          <w:tcPr>
            <w:tcW w:w="1384"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vertAlign w:val="baseline"/>
                <w:lang w:val="en-US" w:eastAsia="zh-CN"/>
              </w:rPr>
              <w:t>品目名称</w:t>
            </w:r>
          </w:p>
        </w:tc>
        <w:tc>
          <w:tcPr>
            <w:tcW w:w="1500"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vertAlign w:val="baseline"/>
                <w:lang w:val="en-US" w:eastAsia="zh-CN"/>
              </w:rPr>
              <w:t>采购标的</w:t>
            </w:r>
          </w:p>
        </w:tc>
        <w:tc>
          <w:tcPr>
            <w:tcW w:w="1216" w:type="dxa"/>
            <w:vAlign w:val="center"/>
          </w:tcPr>
          <w:p>
            <w:pPr>
              <w:pStyle w:val="25"/>
              <w:spacing w:before="0" w:beforeAutospacing="0" w:after="0" w:afterAutospacing="0" w:line="360" w:lineRule="auto"/>
              <w:jc w:val="center"/>
              <w:rPr>
                <w:rFonts w:hint="eastAsia"/>
                <w:vertAlign w:val="baseline"/>
                <w:lang w:val="en-US" w:eastAsia="zh-CN"/>
              </w:rPr>
            </w:pPr>
            <w:r>
              <w:rPr>
                <w:rFonts w:hint="eastAsia"/>
                <w:vertAlign w:val="baseline"/>
                <w:lang w:val="en-US" w:eastAsia="zh-CN"/>
              </w:rPr>
              <w:t>数量</w:t>
            </w:r>
          </w:p>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（单位）</w:t>
            </w:r>
          </w:p>
        </w:tc>
        <w:tc>
          <w:tcPr>
            <w:tcW w:w="1567" w:type="dxa"/>
            <w:vAlign w:val="center"/>
          </w:tcPr>
          <w:p>
            <w:pPr>
              <w:pStyle w:val="25"/>
              <w:spacing w:before="0" w:beforeAutospacing="0" w:after="0" w:afterAutospacing="0" w:line="360" w:lineRule="auto"/>
              <w:jc w:val="center"/>
              <w:rPr>
                <w:vertAlign w:val="baseline"/>
              </w:rPr>
            </w:pPr>
            <w:r>
              <w:rPr>
                <w:rFonts w:hint="eastAsia"/>
                <w:vertAlign w:val="baseline"/>
              </w:rPr>
              <w:t>技术规格、参数及要求</w:t>
            </w:r>
          </w:p>
        </w:tc>
        <w:tc>
          <w:tcPr>
            <w:tcW w:w="1600" w:type="dxa"/>
            <w:vAlign w:val="center"/>
          </w:tcPr>
          <w:p>
            <w:pPr>
              <w:pStyle w:val="25"/>
              <w:spacing w:before="0" w:beforeAutospacing="0" w:after="0" w:afterAutospacing="0" w:line="360" w:lineRule="auto"/>
              <w:jc w:val="center"/>
              <w:rPr>
                <w:vertAlign w:val="baseline"/>
              </w:rPr>
            </w:pPr>
            <w:r>
              <w:rPr>
                <w:rFonts w:hint="eastAsia"/>
                <w:vertAlign w:val="baseline"/>
              </w:rPr>
              <w:t>品目预算(元)</w:t>
            </w:r>
          </w:p>
        </w:tc>
        <w:tc>
          <w:tcPr>
            <w:tcW w:w="1600" w:type="dxa"/>
            <w:vAlign w:val="center"/>
          </w:tcPr>
          <w:p>
            <w:pPr>
              <w:pStyle w:val="25"/>
              <w:spacing w:before="0" w:beforeAutospacing="0" w:after="0" w:afterAutospacing="0" w:line="360" w:lineRule="auto"/>
              <w:jc w:val="center"/>
              <w:rPr>
                <w:vertAlign w:val="baseline"/>
              </w:rPr>
            </w:pPr>
            <w:r>
              <w:rPr>
                <w:rFonts w:hint="eastAsia"/>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2"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1-1</w:t>
            </w:r>
          </w:p>
        </w:tc>
        <w:tc>
          <w:tcPr>
            <w:tcW w:w="1384" w:type="dxa"/>
            <w:vAlign w:val="center"/>
          </w:tcPr>
          <w:p>
            <w:pPr>
              <w:pStyle w:val="25"/>
              <w:spacing w:before="0" w:beforeAutospacing="0" w:after="0" w:afterAutospacing="0" w:line="360" w:lineRule="auto"/>
              <w:jc w:val="center"/>
              <w:rPr>
                <w:vertAlign w:val="baseline"/>
              </w:rPr>
            </w:pPr>
            <w:r>
              <w:rPr>
                <w:vertAlign w:val="baseline"/>
              </w:rPr>
              <w:t>红外仪器</w:t>
            </w:r>
          </w:p>
        </w:tc>
        <w:tc>
          <w:tcPr>
            <w:tcW w:w="1500" w:type="dxa"/>
            <w:vAlign w:val="center"/>
          </w:tcPr>
          <w:p>
            <w:pPr>
              <w:pStyle w:val="25"/>
              <w:spacing w:before="0" w:beforeAutospacing="0" w:after="0" w:afterAutospacing="0" w:line="360" w:lineRule="auto"/>
              <w:jc w:val="center"/>
              <w:rPr>
                <w:vertAlign w:val="baseline"/>
              </w:rPr>
            </w:pPr>
            <w:r>
              <w:rPr>
                <w:vertAlign w:val="baseline"/>
              </w:rPr>
              <w:t>光热显微红外光谱仪</w:t>
            </w:r>
          </w:p>
        </w:tc>
        <w:tc>
          <w:tcPr>
            <w:tcW w:w="1216"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1（台）</w:t>
            </w:r>
          </w:p>
        </w:tc>
        <w:tc>
          <w:tcPr>
            <w:tcW w:w="1567"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详见采购文件</w:t>
            </w:r>
          </w:p>
        </w:tc>
        <w:tc>
          <w:tcPr>
            <w:tcW w:w="1600" w:type="dxa"/>
            <w:vAlign w:val="center"/>
          </w:tcPr>
          <w:p>
            <w:pPr>
              <w:pStyle w:val="25"/>
              <w:spacing w:before="0" w:beforeAutospacing="0" w:after="0" w:afterAutospacing="0" w:line="360" w:lineRule="auto"/>
              <w:jc w:val="center"/>
              <w:rPr>
                <w:vertAlign w:val="baseline"/>
              </w:rPr>
            </w:pPr>
            <w:r>
              <w:rPr>
                <w:rFonts w:hint="eastAsia"/>
                <w:vertAlign w:val="baseline"/>
                <w:lang w:val="en-US" w:eastAsia="zh-CN"/>
              </w:rPr>
              <w:t>2800000.00元</w:t>
            </w:r>
          </w:p>
        </w:tc>
        <w:tc>
          <w:tcPr>
            <w:tcW w:w="1600"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eastAsia="宋体"/>
                <w:vertAlign w:val="baseline"/>
                <w:lang w:val="en-US" w:eastAsia="zh-CN"/>
              </w:rPr>
              <w:t>2800000.00元</w:t>
            </w:r>
          </w:p>
        </w:tc>
      </w:tr>
    </w:tbl>
    <w:p>
      <w:pPr>
        <w:pStyle w:val="25"/>
        <w:spacing w:before="0" w:beforeAutospacing="0" w:after="0" w:afterAutospacing="0" w:line="360" w:lineRule="auto"/>
        <w:ind w:firstLine="420"/>
        <w:rPr>
          <w:rFonts w:hint="eastAsia"/>
          <w:highlight w:val="none"/>
        </w:rPr>
      </w:pPr>
      <w:r>
        <w:rPr>
          <w:rFonts w:hint="eastAsia"/>
          <w:highlight w:val="none"/>
        </w:rPr>
        <w:t>本合同包不接受联合体投标</w:t>
      </w:r>
    </w:p>
    <w:p>
      <w:pPr>
        <w:pStyle w:val="25"/>
        <w:spacing w:before="0" w:beforeAutospacing="0" w:after="0" w:afterAutospacing="0" w:line="360" w:lineRule="auto"/>
        <w:ind w:firstLine="420"/>
      </w:pPr>
      <w:r>
        <w:rPr>
          <w:highlight w:val="none"/>
        </w:rPr>
        <w:t>合同履行期限：</w:t>
      </w:r>
      <w:r>
        <w:rPr>
          <w:rFonts w:hint="eastAsia"/>
          <w:highlight w:val="none"/>
        </w:rPr>
        <w:t>自合同签订后到该项目</w:t>
      </w:r>
      <w:r>
        <w:rPr>
          <w:rFonts w:hint="eastAsia"/>
          <w:highlight w:val="none"/>
          <w:lang w:eastAsia="zh-CN"/>
        </w:rPr>
        <w:t>质保</w:t>
      </w:r>
      <w:r>
        <w:rPr>
          <w:rFonts w:hint="eastAsia"/>
          <w:highlight w:val="none"/>
        </w:rPr>
        <w:t>期结束（具体服务起止日期可随合同签订时间相应顺延）</w:t>
      </w:r>
    </w:p>
    <w:p>
      <w:pPr>
        <w:pStyle w:val="93"/>
        <w:widowControl/>
        <w:spacing w:before="0" w:line="360" w:lineRule="auto"/>
        <w:rPr>
          <w:b w:val="0"/>
          <w:bCs/>
          <w:sz w:val="24"/>
          <w:szCs w:val="24"/>
        </w:rPr>
      </w:pPr>
      <w:r>
        <w:rPr>
          <w:b w:val="0"/>
          <w:bCs/>
          <w:sz w:val="24"/>
          <w:szCs w:val="24"/>
        </w:rPr>
        <w:t xml:space="preserve">二、 </w:t>
      </w:r>
      <w:r>
        <w:rPr>
          <w:rFonts w:hint="eastAsia"/>
          <w:b w:val="0"/>
          <w:bCs/>
          <w:sz w:val="24"/>
          <w:szCs w:val="24"/>
          <w:lang w:val="en-US" w:eastAsia="zh-CN"/>
        </w:rPr>
        <w:t>申请人</w:t>
      </w:r>
      <w:r>
        <w:rPr>
          <w:b w:val="0"/>
          <w:bCs/>
          <w:sz w:val="24"/>
          <w:szCs w:val="24"/>
        </w:rPr>
        <w:t xml:space="preserve">的资格要求 </w:t>
      </w:r>
    </w:p>
    <w:p>
      <w:pPr>
        <w:pStyle w:val="25"/>
        <w:spacing w:before="0" w:beforeAutospacing="0" w:after="0" w:afterAutospacing="0" w:line="360" w:lineRule="auto"/>
        <w:ind w:firstLine="420"/>
        <w:rPr>
          <w:rFonts w:hint="eastAsia" w:eastAsia="宋体"/>
          <w:lang w:eastAsia="zh-CN"/>
        </w:rPr>
      </w:pPr>
      <w:r>
        <w:t>1、满足《中华人民共和国政府采购法》第二十二条规定</w:t>
      </w:r>
      <w:r>
        <w:rPr>
          <w:rFonts w:hint="eastAsia"/>
          <w:lang w:eastAsia="zh-CN"/>
        </w:rPr>
        <w:t>；</w:t>
      </w:r>
    </w:p>
    <w:p>
      <w:pPr>
        <w:pStyle w:val="25"/>
        <w:spacing w:before="0" w:beforeAutospacing="0" w:after="0" w:afterAutospacing="0" w:line="360" w:lineRule="auto"/>
        <w:ind w:firstLine="420"/>
      </w:pPr>
      <w:r>
        <w:t>2、落实政府采购政策需满足的资格要求：</w:t>
      </w:r>
    </w:p>
    <w:p>
      <w:pPr>
        <w:pStyle w:val="25"/>
        <w:spacing w:before="0" w:beforeAutospacing="0" w:after="0" w:afterAutospacing="0" w:line="360" w:lineRule="auto"/>
        <w:ind w:firstLine="420"/>
      </w:pPr>
      <w:r>
        <w:rPr>
          <w:rFonts w:hint="eastAsia"/>
        </w:rPr>
        <w:t>合同包1(</w:t>
      </w:r>
      <w:r>
        <w:rPr>
          <w:rFonts w:hint="eastAsia"/>
          <w:b w:val="0"/>
          <w:bCs/>
          <w:sz w:val="24"/>
          <w:szCs w:val="24"/>
          <w:lang w:eastAsia="zh-CN"/>
        </w:rPr>
        <w:t>光热显微红外光谱仪</w:t>
      </w:r>
      <w:r>
        <w:rPr>
          <w:rFonts w:hint="eastAsia"/>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（8）陕西省财政厅关于印发《陕西省中小企业政府采购信用融资办法》（陕财办采〔2018〕23号）。</w:t>
      </w:r>
    </w:p>
    <w:p>
      <w:pPr>
        <w:spacing w:line="360" w:lineRule="auto"/>
        <w:ind w:firstLine="420" w:firstLineChars="175"/>
        <w:rPr>
          <w:rFonts w:ascii="宋体" w:hAnsi="宋体" w:cs="宋体"/>
          <w:kern w:val="0"/>
          <w:sz w:val="24"/>
          <w:szCs w:val="24"/>
        </w:rPr>
      </w:pPr>
      <w:r>
        <w:rPr>
          <w:rFonts w:ascii="宋体" w:hAnsi="宋体" w:cs="宋体"/>
          <w:kern w:val="0"/>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b w:val="0"/>
          <w:bCs/>
          <w:sz w:val="24"/>
          <w:szCs w:val="24"/>
          <w:lang w:eastAsia="zh-CN"/>
        </w:rPr>
        <w:t>光热显微红外光谱仪</w:t>
      </w:r>
      <w:r>
        <w:rPr>
          <w:rFonts w:hint="eastAsia" w:ascii="宋体" w:hAnsi="宋体" w:eastAsia="宋体" w:cs="宋体"/>
          <w:sz w:val="24"/>
          <w:szCs w:val="24"/>
        </w:rPr>
        <w:t>)</w:t>
      </w:r>
      <w:r>
        <w:rPr>
          <w:rFonts w:hint="eastAsia" w:ascii="宋体" w:hAnsi="宋体" w:cs="宋体"/>
          <w:sz w:val="24"/>
          <w:szCs w:val="24"/>
          <w:lang w:val="en-US" w:eastAsia="zh-CN"/>
        </w:rPr>
        <w:t>特定</w:t>
      </w:r>
      <w:r>
        <w:rPr>
          <w:rFonts w:hint="eastAsia" w:ascii="宋体" w:hAnsi="宋体" w:eastAsia="宋体" w:cs="宋体"/>
          <w:sz w:val="24"/>
          <w:szCs w:val="24"/>
        </w:rPr>
        <w:t>资格要求如下: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w:t>
      </w:r>
      <w:r>
        <w:rPr>
          <w:rFonts w:hint="eastAsia" w:ascii="宋体" w:hAnsi="宋体" w:cs="宋体"/>
          <w:sz w:val="24"/>
          <w:szCs w:val="24"/>
          <w:highlight w:val="none"/>
        </w:rPr>
        <w:t>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rPr>
          <w:rFonts w:hint="eastAsia"/>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lang w:eastAsia="zh-CN"/>
        </w:rPr>
        <w:t>（</w:t>
      </w:r>
      <w:r>
        <w:rPr>
          <w:rFonts w:hint="eastAsia"/>
          <w:lang w:val="en-US" w:eastAsia="zh-CN"/>
        </w:rPr>
        <w:t>7</w:t>
      </w:r>
      <w:r>
        <w:rPr>
          <w:rFonts w:hint="eastAsia"/>
          <w:lang w:eastAsia="zh-CN"/>
        </w:rPr>
        <w:t>）</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pStyle w:val="25"/>
        <w:keepNext w:val="0"/>
        <w:keepLines w:val="0"/>
        <w:widowControl/>
        <w:suppressLineNumbers w:val="0"/>
        <w:spacing w:before="0" w:beforeAutospacing="0" w:after="0" w:afterAutospacing="0" w:line="510" w:lineRule="atLeast"/>
        <w:ind w:left="0" w:right="0" w:firstLine="420"/>
        <w:rPr>
          <w:rFonts w:hint="eastAsia"/>
          <w:lang w:val="en-US" w:eastAsia="zh-CN"/>
        </w:rPr>
      </w:pPr>
      <w:r>
        <w:rPr>
          <w:rFonts w:hint="eastAsia"/>
          <w:lang w:val="en-US" w:eastAsia="zh-CN"/>
        </w:rPr>
        <w:t>（8）所投产品为进口产品的，供应商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25"/>
        <w:keepNext w:val="0"/>
        <w:keepLines w:val="0"/>
        <w:widowControl/>
        <w:suppressLineNumbers w:val="0"/>
        <w:spacing w:before="0" w:beforeAutospacing="0" w:after="0" w:afterAutospacing="0" w:line="510" w:lineRule="atLeast"/>
        <w:ind w:left="0" w:right="0" w:firstLine="420"/>
        <w:rPr>
          <w:rFonts w:hint="default"/>
          <w:lang w:val="en-US" w:eastAsia="zh-CN"/>
        </w:rPr>
      </w:pPr>
      <w:r>
        <w:rPr>
          <w:rFonts w:hint="eastAsia"/>
          <w:lang w:val="en-US" w:eastAsia="zh-CN"/>
        </w:rPr>
        <w:t>（9）提供同品牌业绩两份（供应商或生产厂家）；</w:t>
      </w:r>
    </w:p>
    <w:p>
      <w:pPr>
        <w:pStyle w:val="25"/>
        <w:spacing w:before="0" w:beforeAutospacing="0" w:after="0" w:afterAutospacing="0" w:line="360" w:lineRule="auto"/>
        <w:ind w:firstLine="420"/>
      </w:pPr>
      <w:r>
        <w:rPr>
          <w:rFonts w:hint="eastAsia"/>
        </w:rPr>
        <w:t>（</w:t>
      </w:r>
      <w:r>
        <w:rPr>
          <w:rFonts w:hint="eastAsia"/>
          <w:lang w:val="en-US" w:eastAsia="zh-CN"/>
        </w:rPr>
        <w:t>10</w:t>
      </w:r>
      <w:r>
        <w:rPr>
          <w:rFonts w:hint="eastAsia"/>
        </w:rPr>
        <w:t>）本项目不接受联合体投标。</w:t>
      </w:r>
    </w:p>
    <w:p>
      <w:pPr>
        <w:pStyle w:val="93"/>
        <w:widowControl/>
        <w:spacing w:before="0" w:line="360" w:lineRule="auto"/>
        <w:rPr>
          <w:b w:val="0"/>
          <w:bCs/>
          <w:sz w:val="24"/>
          <w:szCs w:val="24"/>
        </w:rPr>
      </w:pPr>
      <w:r>
        <w:rPr>
          <w:b w:val="0"/>
          <w:bCs/>
          <w:sz w:val="24"/>
          <w:szCs w:val="24"/>
        </w:rPr>
        <w:t xml:space="preserve">三、 获取采购文件 </w:t>
      </w:r>
    </w:p>
    <w:p>
      <w:pPr>
        <w:pStyle w:val="25"/>
        <w:spacing w:before="0" w:beforeAutospacing="0" w:after="0" w:afterAutospacing="0" w:line="360" w:lineRule="auto"/>
        <w:ind w:firstLine="420"/>
        <w:rPr>
          <w:rFonts w:hint="eastAsia"/>
          <w:highlight w:val="none"/>
        </w:rPr>
      </w:pPr>
      <w:r>
        <w:rPr>
          <w:highlight w:val="none"/>
        </w:rPr>
        <w:t>时间：</w:t>
      </w:r>
      <w:r>
        <w:rPr>
          <w:rFonts w:hint="eastAsia"/>
          <w:highlight w:val="none"/>
        </w:rPr>
        <w:t>2022年05月</w:t>
      </w:r>
      <w:r>
        <w:rPr>
          <w:rFonts w:hint="eastAsia"/>
          <w:highlight w:val="none"/>
          <w:lang w:val="en-US" w:eastAsia="zh-CN"/>
        </w:rPr>
        <w:t>31</w:t>
      </w:r>
      <w:r>
        <w:rPr>
          <w:rFonts w:hint="eastAsia"/>
          <w:highlight w:val="none"/>
        </w:rPr>
        <w:t>日 至 2022年</w:t>
      </w:r>
      <w:r>
        <w:rPr>
          <w:rFonts w:hint="eastAsia"/>
          <w:highlight w:val="none"/>
          <w:lang w:val="en-US" w:eastAsia="zh-CN"/>
        </w:rPr>
        <w:t>06</w:t>
      </w:r>
      <w:r>
        <w:rPr>
          <w:rFonts w:hint="eastAsia"/>
          <w:highlight w:val="none"/>
        </w:rPr>
        <w:t>月</w:t>
      </w:r>
      <w:r>
        <w:rPr>
          <w:rFonts w:hint="eastAsia"/>
          <w:highlight w:val="none"/>
          <w:lang w:val="en-US" w:eastAsia="zh-CN"/>
        </w:rPr>
        <w:t>06</w:t>
      </w:r>
      <w:r>
        <w:rPr>
          <w:rFonts w:hint="eastAsia"/>
          <w:highlight w:val="none"/>
        </w:rPr>
        <w:t>日 ，每天上午 09:00:00 至 12:00:00 ，下午 13:30:00 至 17:00:00 （北京时间,法定节假日除外）</w:t>
      </w:r>
    </w:p>
    <w:p>
      <w:pPr>
        <w:pStyle w:val="25"/>
        <w:spacing w:before="0" w:beforeAutospacing="0" w:after="0" w:afterAutospacing="0" w:line="360" w:lineRule="auto"/>
        <w:ind w:firstLine="420"/>
      </w:pPr>
      <w:r>
        <w:t>地点：</w:t>
      </w:r>
      <w:r>
        <w:rPr>
          <w:rFonts w:hint="eastAsia"/>
        </w:rPr>
        <w:t>西安市雁塔区科技路10号华奥大厦A座20层2002室</w:t>
      </w:r>
    </w:p>
    <w:p>
      <w:pPr>
        <w:pStyle w:val="25"/>
        <w:spacing w:before="0" w:beforeAutospacing="0" w:after="0" w:afterAutospacing="0" w:line="360" w:lineRule="auto"/>
        <w:ind w:firstLine="420"/>
        <w:rPr>
          <w:rFonts w:hint="eastAsia" w:eastAsia="宋体"/>
          <w:lang w:eastAsia="zh-CN"/>
        </w:rPr>
      </w:pPr>
      <w:r>
        <w:t>方式：现场</w:t>
      </w:r>
      <w:r>
        <w:rPr>
          <w:rFonts w:hint="eastAsia"/>
          <w:lang w:val="en-US" w:eastAsia="zh-CN"/>
        </w:rPr>
        <w:t>获取</w:t>
      </w:r>
    </w:p>
    <w:p>
      <w:pPr>
        <w:pStyle w:val="25"/>
        <w:spacing w:before="0" w:beforeAutospacing="0" w:after="0" w:afterAutospacing="0" w:line="360" w:lineRule="auto"/>
        <w:ind w:firstLine="420"/>
      </w:pPr>
      <w:r>
        <w:t>售价：500元</w:t>
      </w:r>
    </w:p>
    <w:p>
      <w:pPr>
        <w:pStyle w:val="93"/>
        <w:widowControl/>
        <w:spacing w:before="0" w:line="360" w:lineRule="auto"/>
        <w:rPr>
          <w:b w:val="0"/>
          <w:bCs/>
          <w:sz w:val="24"/>
          <w:szCs w:val="24"/>
        </w:rPr>
      </w:pPr>
      <w:r>
        <w:rPr>
          <w:b w:val="0"/>
          <w:bCs/>
          <w:sz w:val="24"/>
          <w:szCs w:val="24"/>
        </w:rPr>
        <w:t>四、 响应文件</w:t>
      </w:r>
      <w:r>
        <w:rPr>
          <w:rFonts w:hint="eastAsia"/>
          <w:b w:val="0"/>
          <w:bCs/>
          <w:sz w:val="24"/>
          <w:szCs w:val="24"/>
          <w:lang w:val="en-US" w:eastAsia="zh-CN"/>
        </w:rPr>
        <w:t>提交</w:t>
      </w:r>
      <w:r>
        <w:rPr>
          <w:b w:val="0"/>
          <w:bCs/>
          <w:sz w:val="24"/>
          <w:szCs w:val="24"/>
        </w:rPr>
        <w:t xml:space="preserve"> </w:t>
      </w:r>
    </w:p>
    <w:p>
      <w:pPr>
        <w:pStyle w:val="25"/>
        <w:spacing w:before="0" w:beforeAutospacing="0" w:after="0" w:afterAutospacing="0" w:line="360" w:lineRule="auto"/>
        <w:ind w:firstLine="420"/>
      </w:pPr>
      <w:r>
        <w:rPr>
          <w:rStyle w:val="31"/>
          <w:rFonts w:ascii="Times New Roman" w:hAnsi="Times New Roman"/>
          <w:b w:val="0"/>
          <w:bCs/>
        </w:rPr>
        <w:t>截止时间</w:t>
      </w:r>
      <w:r>
        <w:t>：</w:t>
      </w:r>
      <w:r>
        <w:rPr>
          <w:u w:val="none"/>
        </w:rPr>
        <w:t>202</w:t>
      </w:r>
      <w:r>
        <w:rPr>
          <w:rFonts w:hint="eastAsia"/>
          <w:u w:val="none"/>
          <w:lang w:val="en-US" w:eastAsia="zh-CN"/>
        </w:rPr>
        <w:t>2年</w:t>
      </w:r>
      <w:r>
        <w:rPr>
          <w:rFonts w:hint="eastAsia"/>
          <w:u w:val="none"/>
        </w:rPr>
        <w:t>0</w:t>
      </w:r>
      <w:r>
        <w:rPr>
          <w:rFonts w:hint="eastAsia"/>
          <w:u w:val="none"/>
          <w:lang w:val="en-US" w:eastAsia="zh-CN"/>
        </w:rPr>
        <w:t>7月21日</w:t>
      </w:r>
      <w:r>
        <w:rPr>
          <w:rFonts w:hint="eastAsia"/>
          <w:lang w:val="en-US" w:eastAsia="zh-CN"/>
        </w:rPr>
        <w:t>10时00分</w:t>
      </w:r>
      <w:r>
        <w:t>00</w:t>
      </w:r>
      <w:r>
        <w:rPr>
          <w:rFonts w:hint="eastAsia"/>
          <w:lang w:val="en-US" w:eastAsia="zh-CN"/>
        </w:rPr>
        <w:t>秒</w:t>
      </w:r>
      <w:r>
        <w:t xml:space="preserve"> </w:t>
      </w:r>
    </w:p>
    <w:p>
      <w:pPr>
        <w:spacing w:line="360" w:lineRule="auto"/>
        <w:ind w:firstLine="480" w:firstLineChars="200"/>
        <w:rPr>
          <w:rFonts w:ascii="Calibri" w:hAnsi="Calibri" w:eastAsia="宋体" w:cs="Times New Roman"/>
          <w:b w:val="0"/>
          <w:bCs/>
          <w:kern w:val="0"/>
          <w:sz w:val="24"/>
          <w:szCs w:val="24"/>
          <w:lang w:val="en-US" w:eastAsia="zh-CN" w:bidi="ar-SA"/>
        </w:rPr>
      </w:pPr>
      <w:r>
        <w:rPr>
          <w:rFonts w:ascii="Calibri" w:hAnsi="Calibri" w:eastAsia="宋体" w:cs="Times New Roman"/>
          <w:b w:val="0"/>
          <w:bCs/>
          <w:kern w:val="0"/>
          <w:sz w:val="24"/>
          <w:szCs w:val="24"/>
          <w:lang w:val="en-US" w:eastAsia="zh-CN" w:bidi="ar-SA"/>
        </w:rPr>
        <w:t>地点：</w:t>
      </w:r>
      <w:bookmarkStart w:id="91" w:name="_GoBack"/>
      <w:r>
        <w:rPr>
          <w:rFonts w:hint="eastAsia" w:ascii="Calibri" w:hAnsi="Calibri" w:eastAsia="宋体" w:cs="Times New Roman"/>
          <w:b w:val="0"/>
          <w:bCs/>
          <w:kern w:val="0"/>
          <w:sz w:val="24"/>
          <w:szCs w:val="24"/>
          <w:lang w:val="en-US" w:eastAsia="zh-CN" w:bidi="ar-SA"/>
        </w:rPr>
        <w:t>西安市雁塔区科技</w:t>
      </w:r>
      <w:r>
        <w:rPr>
          <w:rFonts w:hint="eastAsia" w:ascii="宋体" w:hAnsi="宋体" w:eastAsia="宋体" w:cs="宋体"/>
          <w:b w:val="0"/>
          <w:bCs/>
          <w:kern w:val="0"/>
          <w:sz w:val="24"/>
          <w:szCs w:val="24"/>
          <w:lang w:val="en-US" w:eastAsia="zh-CN" w:bidi="ar-SA"/>
        </w:rPr>
        <w:t>路10号</w:t>
      </w:r>
      <w:r>
        <w:rPr>
          <w:rFonts w:hint="eastAsia" w:ascii="Calibri" w:hAnsi="Calibri" w:eastAsia="宋体" w:cs="Times New Roman"/>
          <w:b w:val="0"/>
          <w:bCs/>
          <w:kern w:val="0"/>
          <w:sz w:val="24"/>
          <w:szCs w:val="24"/>
          <w:lang w:val="en-US" w:eastAsia="zh-CN" w:bidi="ar-SA"/>
        </w:rPr>
        <w:t>华奥大厦</w:t>
      </w:r>
      <w:r>
        <w:rPr>
          <w:rFonts w:hint="eastAsia" w:ascii="宋体" w:hAnsi="宋体" w:eastAsia="宋体" w:cs="宋体"/>
          <w:kern w:val="0"/>
          <w:sz w:val="24"/>
          <w:szCs w:val="24"/>
          <w:lang w:val="en-US" w:eastAsia="zh-CN" w:bidi="ar-SA"/>
        </w:rPr>
        <w:t>A座</w:t>
      </w:r>
      <w:r>
        <w:rPr>
          <w:rFonts w:hint="eastAsia" w:ascii="宋体" w:hAnsi="宋体" w:cs="宋体"/>
          <w:kern w:val="0"/>
          <w:sz w:val="24"/>
          <w:szCs w:val="24"/>
          <w:lang w:val="en-US" w:eastAsia="zh-CN" w:bidi="ar-SA"/>
        </w:rPr>
        <w:t>10</w:t>
      </w:r>
      <w:r>
        <w:rPr>
          <w:rFonts w:hint="eastAsia" w:ascii="宋体" w:hAnsi="宋体" w:eastAsia="宋体" w:cs="宋体"/>
          <w:kern w:val="0"/>
          <w:sz w:val="24"/>
          <w:szCs w:val="24"/>
          <w:lang w:val="en-US" w:eastAsia="zh-CN" w:bidi="ar-SA"/>
        </w:rPr>
        <w:t>层</w:t>
      </w:r>
      <w:r>
        <w:rPr>
          <w:rFonts w:hint="eastAsia" w:ascii="宋体" w:hAnsi="宋体" w:cs="宋体"/>
          <w:kern w:val="0"/>
          <w:sz w:val="24"/>
          <w:szCs w:val="24"/>
          <w:lang w:val="en-US" w:eastAsia="zh-CN" w:bidi="ar-SA"/>
        </w:rPr>
        <w:t>1001</w:t>
      </w:r>
      <w:r>
        <w:rPr>
          <w:rFonts w:hint="eastAsia" w:ascii="宋体" w:hAnsi="宋体" w:eastAsia="宋体" w:cs="宋体"/>
          <w:kern w:val="0"/>
          <w:sz w:val="24"/>
          <w:szCs w:val="24"/>
          <w:lang w:val="en-US" w:eastAsia="zh-CN" w:bidi="ar-SA"/>
        </w:rPr>
        <w:t>室</w:t>
      </w:r>
      <w:bookmarkEnd w:id="91"/>
      <w:r>
        <w:rPr>
          <w:rFonts w:hint="eastAsia" w:ascii="宋体" w:hAnsi="宋体" w:eastAsia="宋体" w:cs="宋体"/>
          <w:kern w:val="0"/>
          <w:sz w:val="24"/>
          <w:szCs w:val="24"/>
          <w:lang w:val="en-US" w:eastAsia="zh-CN" w:bidi="ar-SA"/>
        </w:rPr>
        <w:t>开标室</w:t>
      </w:r>
    </w:p>
    <w:p>
      <w:pPr>
        <w:pStyle w:val="93"/>
        <w:widowControl/>
        <w:spacing w:before="0" w:line="360" w:lineRule="auto"/>
        <w:rPr>
          <w:rFonts w:hint="eastAsia"/>
          <w:b w:val="0"/>
          <w:bCs/>
          <w:sz w:val="24"/>
          <w:szCs w:val="24"/>
        </w:rPr>
      </w:pPr>
      <w:r>
        <w:rPr>
          <w:rFonts w:hint="eastAsia"/>
          <w:b w:val="0"/>
          <w:bCs/>
          <w:sz w:val="24"/>
          <w:szCs w:val="24"/>
        </w:rPr>
        <w:t>五、开启</w:t>
      </w:r>
    </w:p>
    <w:p>
      <w:pPr>
        <w:pStyle w:val="25"/>
        <w:spacing w:before="0" w:beforeAutospacing="0" w:after="0" w:afterAutospacing="0" w:line="360" w:lineRule="auto"/>
        <w:ind w:firstLine="420"/>
        <w:rPr>
          <w:rStyle w:val="31"/>
          <w:rFonts w:hint="eastAsia" w:ascii="Times New Roman" w:hAnsi="Times New Roman"/>
          <w:b w:val="0"/>
          <w:bCs/>
        </w:rPr>
      </w:pPr>
      <w:r>
        <w:rPr>
          <w:rStyle w:val="31"/>
          <w:rFonts w:hint="eastAsia" w:ascii="Times New Roman" w:hAnsi="Times New Roman"/>
          <w:b w:val="0"/>
          <w:bCs/>
        </w:rPr>
        <w:t>时间：</w:t>
      </w:r>
      <w:r>
        <w:rPr>
          <w:rFonts w:hint="eastAsia"/>
          <w:u w:val="none"/>
          <w:lang w:val="en-US" w:eastAsia="zh-CN"/>
        </w:rPr>
        <w:t xml:space="preserve"> 2022年07月21日 10时00分00秒 （北京时间）</w:t>
      </w:r>
    </w:p>
    <w:p>
      <w:pPr>
        <w:pStyle w:val="25"/>
        <w:spacing w:before="0" w:beforeAutospacing="0" w:after="0" w:afterAutospacing="0" w:line="360" w:lineRule="auto"/>
        <w:ind w:firstLine="420"/>
        <w:rPr>
          <w:rFonts w:hint="eastAsia"/>
          <w:u w:val="none"/>
          <w:lang w:val="en-US" w:eastAsia="zh-CN"/>
        </w:rPr>
      </w:pPr>
      <w:r>
        <w:rPr>
          <w:rStyle w:val="31"/>
          <w:rFonts w:hint="eastAsia" w:ascii="Times New Roman" w:hAnsi="Times New Roman"/>
          <w:b w:val="0"/>
          <w:bCs/>
        </w:rPr>
        <w:t>地点：</w:t>
      </w:r>
      <w:r>
        <w:rPr>
          <w:rFonts w:hint="eastAsia"/>
          <w:u w:val="none"/>
          <w:lang w:val="en-US" w:eastAsia="zh-CN"/>
        </w:rPr>
        <w:t>西安市雁塔区科技路10号华奥大厦A座10层1001室开标室</w:t>
      </w:r>
    </w:p>
    <w:p>
      <w:pPr>
        <w:pStyle w:val="25"/>
        <w:spacing w:before="0" w:beforeAutospacing="0" w:after="0" w:afterAutospacing="0" w:line="360" w:lineRule="auto"/>
        <w:rPr>
          <w:rStyle w:val="31"/>
          <w:rFonts w:ascii="Times New Roman" w:hAnsi="Times New Roman"/>
          <w:b w:val="0"/>
          <w:bCs/>
        </w:rPr>
      </w:pPr>
      <w:r>
        <w:rPr>
          <w:rStyle w:val="31"/>
          <w:rFonts w:hint="eastAsia" w:ascii="Times New Roman" w:hAnsi="Times New Roman"/>
          <w:b w:val="0"/>
          <w:bCs/>
          <w:lang w:val="en-US" w:eastAsia="zh-CN"/>
        </w:rPr>
        <w:t>六</w:t>
      </w:r>
      <w:r>
        <w:rPr>
          <w:rStyle w:val="31"/>
          <w:rFonts w:ascii="Times New Roman" w:hAnsi="Times New Roman"/>
          <w:b w:val="0"/>
          <w:bCs/>
        </w:rPr>
        <w:t>、公告期限</w:t>
      </w:r>
    </w:p>
    <w:p>
      <w:pPr>
        <w:pStyle w:val="25"/>
        <w:spacing w:before="0" w:beforeAutospacing="0" w:after="0" w:afterAutospacing="0" w:line="360" w:lineRule="auto"/>
        <w:ind w:firstLine="420"/>
        <w:rPr>
          <w:rFonts w:hint="eastAsia"/>
          <w:u w:val="none"/>
          <w:lang w:val="en-US" w:eastAsia="zh-CN"/>
        </w:rPr>
      </w:pPr>
      <w:r>
        <w:rPr>
          <w:rFonts w:hint="eastAsia"/>
          <w:u w:val="none"/>
          <w:lang w:val="en-US" w:eastAsia="zh-CN"/>
        </w:rPr>
        <w:t>自本公告发布之日起3个工作日。</w:t>
      </w:r>
    </w:p>
    <w:p>
      <w:pPr>
        <w:pStyle w:val="93"/>
        <w:widowControl/>
        <w:numPr>
          <w:ilvl w:val="0"/>
          <w:numId w:val="0"/>
        </w:numPr>
        <w:spacing w:before="0" w:line="360" w:lineRule="auto"/>
        <w:rPr>
          <w:b w:val="0"/>
          <w:bCs/>
          <w:sz w:val="24"/>
          <w:szCs w:val="24"/>
        </w:rPr>
      </w:pPr>
      <w:r>
        <w:rPr>
          <w:rFonts w:hint="eastAsia"/>
          <w:b w:val="0"/>
          <w:bCs/>
          <w:sz w:val="24"/>
          <w:szCs w:val="24"/>
          <w:lang w:val="en-US" w:eastAsia="zh-CN"/>
        </w:rPr>
        <w:t>七、</w:t>
      </w:r>
      <w:r>
        <w:rPr>
          <w:b w:val="0"/>
          <w:bCs/>
          <w:sz w:val="24"/>
          <w:szCs w:val="24"/>
        </w:rPr>
        <w:t>其他补充事宜</w:t>
      </w:r>
    </w:p>
    <w:p>
      <w:pPr>
        <w:pStyle w:val="25"/>
        <w:spacing w:before="0" w:beforeAutospacing="0" w:after="0" w:afterAutospacing="0" w:line="360" w:lineRule="auto"/>
        <w:ind w:firstLine="420"/>
        <w:rPr>
          <w:b w:val="0"/>
          <w:bCs/>
          <w:sz w:val="24"/>
          <w:szCs w:val="24"/>
        </w:rPr>
      </w:pPr>
      <w:r>
        <w:rPr>
          <w:rFonts w:hint="eastAsia" w:ascii="宋体" w:hAnsi="宋体" w:eastAsia="宋体" w:cs="宋体"/>
          <w:sz w:val="24"/>
          <w:szCs w:val="24"/>
          <w:lang w:val="en-US" w:eastAsia="zh-CN"/>
        </w:rPr>
        <w:t>（1）现场购买</w:t>
      </w:r>
      <w:r>
        <w:rPr>
          <w:rFonts w:hint="eastAsia" w:cs="宋体"/>
          <w:sz w:val="24"/>
          <w:szCs w:val="24"/>
          <w:lang w:val="en-US" w:eastAsia="zh-CN"/>
        </w:rPr>
        <w:t>采购</w:t>
      </w:r>
      <w:r>
        <w:rPr>
          <w:rFonts w:hint="eastAsia" w:ascii="宋体" w:hAnsi="宋体" w:eastAsia="宋体" w:cs="宋体"/>
          <w:sz w:val="24"/>
          <w:szCs w:val="24"/>
          <w:lang w:val="en-US" w:eastAsia="zh-CN"/>
        </w:rPr>
        <w:t>文件时请携带单位介绍信原件、身份证原件及复印件加盖公章，售后不退，谢绝邮递。（2）在</w:t>
      </w:r>
      <w:r>
        <w:rPr>
          <w:rFonts w:hint="eastAsia" w:cs="宋体"/>
          <w:sz w:val="24"/>
          <w:szCs w:val="24"/>
          <w:lang w:val="en-US" w:eastAsia="zh-CN"/>
        </w:rPr>
        <w:t>采购</w:t>
      </w:r>
      <w:r>
        <w:rPr>
          <w:rFonts w:hint="eastAsia" w:ascii="宋体" w:hAnsi="宋体" w:eastAsia="宋体" w:cs="宋体"/>
          <w:sz w:val="24"/>
          <w:szCs w:val="24"/>
          <w:lang w:val="en-US" w:eastAsia="zh-CN"/>
        </w:rPr>
        <w:t>文件获取时间内通过电子邮箱发送电子版报名资料的方式获取</w:t>
      </w:r>
      <w:r>
        <w:rPr>
          <w:rFonts w:hint="eastAsia" w:cs="宋体"/>
          <w:sz w:val="24"/>
          <w:szCs w:val="24"/>
          <w:lang w:val="en-US" w:eastAsia="zh-CN"/>
        </w:rPr>
        <w:t>采购文件</w:t>
      </w:r>
      <w:r>
        <w:rPr>
          <w:rFonts w:hint="eastAsia" w:ascii="宋体" w:hAnsi="宋体" w:eastAsia="宋体" w:cs="宋体"/>
          <w:sz w:val="24"/>
          <w:szCs w:val="24"/>
          <w:lang w:val="en-US" w:eastAsia="zh-CN"/>
        </w:rPr>
        <w:t>，供应商出具的对领取人的授权委托书或介绍信以及领取人的身份证，加盖公章后以扫描件形式发送至shanxizhuoming_zb@163.com邮箱，邮箱标题以</w:t>
      </w:r>
      <w:r>
        <w:rPr>
          <w:rFonts w:hint="eastAsia" w:cs="宋体"/>
          <w:sz w:val="24"/>
          <w:szCs w:val="24"/>
          <w:lang w:val="en-US" w:eastAsia="zh-CN"/>
        </w:rPr>
        <w:t>供应商</w:t>
      </w:r>
      <w:r>
        <w:rPr>
          <w:rFonts w:hint="eastAsia" w:ascii="宋体" w:hAnsi="宋体" w:eastAsia="宋体" w:cs="宋体"/>
          <w:sz w:val="24"/>
          <w:szCs w:val="24"/>
          <w:lang w:val="en-US" w:eastAsia="zh-CN"/>
        </w:rPr>
        <w:t>名称和项目名称的方式命名，</w:t>
      </w:r>
      <w:r>
        <w:rPr>
          <w:rFonts w:hint="eastAsia" w:cs="宋体"/>
          <w:sz w:val="24"/>
          <w:szCs w:val="24"/>
          <w:lang w:val="en-US" w:eastAsia="zh-CN"/>
        </w:rPr>
        <w:t>采购文件</w:t>
      </w:r>
      <w:r>
        <w:rPr>
          <w:rFonts w:hint="eastAsia" w:ascii="宋体" w:hAnsi="宋体" w:eastAsia="宋体" w:cs="宋体"/>
          <w:sz w:val="24"/>
          <w:szCs w:val="24"/>
          <w:lang w:val="en-US" w:eastAsia="zh-CN"/>
        </w:rPr>
        <w:t>将通过邮箱发送，</w:t>
      </w:r>
      <w:r>
        <w:rPr>
          <w:rFonts w:hint="eastAsia" w:ascii="宋体" w:hAnsi="宋体" w:cs="宋体"/>
          <w:sz w:val="24"/>
          <w:szCs w:val="24"/>
          <w:lang w:val="en-US" w:eastAsia="zh-CN"/>
        </w:rPr>
        <w:t>无须</w:t>
      </w:r>
      <w:r>
        <w:rPr>
          <w:rFonts w:hint="eastAsia" w:ascii="宋体" w:hAnsi="宋体" w:eastAsia="宋体" w:cs="宋体"/>
          <w:sz w:val="24"/>
          <w:szCs w:val="24"/>
          <w:lang w:val="en-US" w:eastAsia="zh-CN"/>
        </w:rPr>
        <w:t>现场购买。（3）请供应商按照陕西省财政厅关于政府采购供应商注册登记有关事项的通知中的要求，通过陕西省政府采购网（http://www.ccgp-shaanxi.gov.cn/）注册登记加入陕西省政府采购供应商库。</w:t>
      </w:r>
    </w:p>
    <w:p>
      <w:pPr>
        <w:pStyle w:val="93"/>
        <w:widowControl/>
        <w:spacing w:before="0" w:line="360" w:lineRule="auto"/>
        <w:rPr>
          <w:b w:val="0"/>
          <w:bCs/>
          <w:sz w:val="24"/>
          <w:szCs w:val="24"/>
        </w:rPr>
      </w:pPr>
      <w:r>
        <w:rPr>
          <w:rFonts w:hint="eastAsia"/>
          <w:b w:val="0"/>
          <w:bCs/>
          <w:sz w:val="24"/>
          <w:szCs w:val="24"/>
          <w:lang w:val="en-US" w:eastAsia="zh-CN"/>
        </w:rPr>
        <w:t>八</w:t>
      </w:r>
      <w:r>
        <w:rPr>
          <w:b w:val="0"/>
          <w:bCs/>
          <w:sz w:val="24"/>
          <w:szCs w:val="24"/>
        </w:rPr>
        <w:t>、</w:t>
      </w:r>
      <w:r>
        <w:rPr>
          <w:rFonts w:hint="eastAsia"/>
          <w:b w:val="0"/>
          <w:bCs/>
          <w:sz w:val="24"/>
          <w:szCs w:val="24"/>
          <w:lang w:val="en-US" w:eastAsia="zh-CN"/>
        </w:rPr>
        <w:t>凡</w:t>
      </w:r>
      <w:r>
        <w:rPr>
          <w:b w:val="0"/>
          <w:bCs/>
          <w:sz w:val="24"/>
          <w:szCs w:val="24"/>
        </w:rPr>
        <w:t xml:space="preserve">对本次采购提出询问，请按以下方式联系。 </w:t>
      </w:r>
    </w:p>
    <w:p>
      <w:pPr>
        <w:pStyle w:val="25"/>
        <w:spacing w:before="0" w:beforeAutospacing="0" w:after="0" w:afterAutospacing="0" w:line="360" w:lineRule="auto"/>
        <w:ind w:firstLine="240" w:firstLineChars="100"/>
        <w:rPr>
          <w:rFonts w:hint="eastAsia"/>
        </w:rPr>
      </w:pPr>
      <w:r>
        <w:rPr>
          <w:rFonts w:hint="eastAsia"/>
        </w:rPr>
        <w:t>1</w:t>
      </w:r>
      <w:r>
        <w:rPr>
          <w:rFonts w:hint="eastAsia"/>
          <w:lang w:val="en-US" w:eastAsia="zh-CN"/>
        </w:rPr>
        <w:t>.</w:t>
      </w:r>
      <w:r>
        <w:rPr>
          <w:rFonts w:hint="eastAsia"/>
        </w:rPr>
        <w:t>采购人信息：</w:t>
      </w:r>
    </w:p>
    <w:p>
      <w:pPr>
        <w:pStyle w:val="25"/>
        <w:spacing w:before="0" w:beforeAutospacing="0" w:after="0" w:afterAutospacing="0" w:line="360" w:lineRule="auto"/>
        <w:ind w:firstLine="480" w:firstLineChars="200"/>
        <w:rPr>
          <w:rFonts w:hint="default" w:eastAsia="宋体"/>
          <w:lang w:val="en-US" w:eastAsia="zh-CN"/>
        </w:rPr>
      </w:pPr>
      <w:r>
        <w:rPr>
          <w:rFonts w:hint="eastAsia"/>
          <w:lang w:val="en-US" w:eastAsia="zh-CN"/>
        </w:rPr>
        <w:t>名称：西北大学</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i w:val="0"/>
          <w:caps w:val="0"/>
          <w:color w:val="333333"/>
          <w:spacing w:val="0"/>
          <w:sz w:val="24"/>
          <w:szCs w:val="24"/>
          <w:shd w:val="clear" w:color="auto" w:fill="FFFFFF"/>
          <w:vertAlign w:val="baseline"/>
        </w:rPr>
        <w:t>地址：</w:t>
      </w:r>
      <w:r>
        <w:rPr>
          <w:rFonts w:hint="eastAsia"/>
        </w:rPr>
        <w:t>西安市长安区郭杜教育科技产业区学府大道1号</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i w:val="0"/>
          <w:caps w:val="0"/>
          <w:color w:val="333333"/>
          <w:spacing w:val="0"/>
          <w:sz w:val="24"/>
          <w:szCs w:val="24"/>
          <w:highlight w:val="none"/>
          <w:shd w:val="clear" w:color="auto" w:fill="FFFFFF"/>
          <w:vertAlign w:val="baseline"/>
        </w:rPr>
      </w:pPr>
      <w:r>
        <w:rPr>
          <w:rFonts w:hint="eastAsia" w:ascii="宋体" w:hAnsi="宋体" w:eastAsia="宋体" w:cs="宋体"/>
          <w:i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i w:val="0"/>
          <w:caps w:val="0"/>
          <w:color w:val="333333"/>
          <w:spacing w:val="0"/>
          <w:sz w:val="24"/>
          <w:szCs w:val="24"/>
          <w:shd w:val="clear" w:color="auto" w:fill="FFFFFF"/>
          <w:vertAlign w:val="baseline"/>
        </w:rPr>
        <w:t>联系方式：</w:t>
      </w:r>
      <w:r>
        <w:rPr>
          <w:rFonts w:hint="eastAsia" w:ascii="宋体" w:hAnsi="宋体" w:eastAsia="宋体" w:cs="宋体"/>
          <w:i w:val="0"/>
          <w:caps w:val="0"/>
          <w:color w:val="333333"/>
          <w:spacing w:val="0"/>
          <w:sz w:val="24"/>
          <w:szCs w:val="24"/>
          <w:highlight w:val="none"/>
          <w:shd w:val="clear" w:color="auto" w:fill="FFFFFF"/>
          <w:vertAlign w:val="baseline"/>
          <w:lang w:eastAsia="zh-CN"/>
        </w:rPr>
        <w:t>薛</w:t>
      </w:r>
      <w:r>
        <w:rPr>
          <w:rFonts w:hint="eastAsia" w:ascii="宋体" w:hAnsi="宋体" w:eastAsia="宋体" w:cs="宋体"/>
          <w:i w:val="0"/>
          <w:caps w:val="0"/>
          <w:color w:val="333333"/>
          <w:spacing w:val="0"/>
          <w:sz w:val="24"/>
          <w:szCs w:val="24"/>
          <w:highlight w:val="none"/>
          <w:shd w:val="clear" w:color="auto" w:fill="FFFFFF"/>
          <w:vertAlign w:val="baseline"/>
        </w:rPr>
        <w:t xml:space="preserve">老师 </w:t>
      </w:r>
      <w:r>
        <w:rPr>
          <w:rFonts w:hint="eastAsia" w:ascii="宋体" w:hAnsi="宋体" w:cs="宋体"/>
          <w:sz w:val="24"/>
          <w:szCs w:val="24"/>
        </w:rPr>
        <w:t>029-88302974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rightChars="0"/>
        <w:jc w:val="left"/>
        <w:textAlignment w:val="baseline"/>
        <w:outlineLvl w:val="9"/>
        <w:rPr>
          <w:rFonts w:hint="eastAsia" w:ascii="宋体" w:hAnsi="宋体" w:eastAsia="宋体" w:cs="宋体"/>
          <w:b w:val="0"/>
          <w:sz w:val="24"/>
          <w:szCs w:val="24"/>
        </w:rPr>
      </w:pPr>
      <w:r>
        <w:rPr>
          <w:rFonts w:hint="eastAsia" w:ascii="宋体" w:hAnsi="宋体" w:eastAsia="宋体" w:cs="宋体"/>
          <w:b w:val="0"/>
          <w:i w:val="0"/>
          <w:caps w:val="0"/>
          <w:color w:val="333333"/>
          <w:spacing w:val="0"/>
          <w:sz w:val="24"/>
          <w:szCs w:val="24"/>
          <w:shd w:val="clear" w:color="auto" w:fill="FFFFFF"/>
          <w:vertAlign w:val="baseline"/>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i w:val="0"/>
          <w:caps w:val="0"/>
          <w:color w:val="333333"/>
          <w:spacing w:val="0"/>
          <w:sz w:val="24"/>
          <w:szCs w:val="24"/>
          <w:shd w:val="clear" w:color="auto" w:fill="FFFFFF"/>
          <w:vertAlign w:val="baseline"/>
        </w:rPr>
        <w:t>名称：陕西卓佲项目管理有限公司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i w:val="0"/>
          <w:caps w:val="0"/>
          <w:color w:val="333333"/>
          <w:spacing w:val="0"/>
          <w:sz w:val="24"/>
          <w:szCs w:val="24"/>
          <w:shd w:val="clear" w:color="auto" w:fill="FFFFFF"/>
          <w:vertAlign w:val="baseline"/>
        </w:rPr>
        <w:t>地址：西安市雁塔区科技路10号华奥大厦A座20层2002室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i w:val="0"/>
          <w:caps w:val="0"/>
          <w:color w:val="333333"/>
          <w:spacing w:val="0"/>
          <w:sz w:val="24"/>
          <w:szCs w:val="24"/>
          <w:shd w:val="clear" w:color="auto" w:fill="FFFFFF"/>
          <w:vertAlign w:val="baseline"/>
        </w:rPr>
        <w:t>联系方式：029-88440695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rightChars="0"/>
        <w:jc w:val="left"/>
        <w:textAlignment w:val="baseline"/>
        <w:outlineLvl w:val="9"/>
        <w:rPr>
          <w:rFonts w:hint="eastAsia" w:ascii="宋体" w:hAnsi="宋体" w:eastAsia="宋体" w:cs="宋体"/>
          <w:b w:val="0"/>
          <w:sz w:val="24"/>
          <w:szCs w:val="24"/>
        </w:rPr>
      </w:pPr>
      <w:r>
        <w:rPr>
          <w:rFonts w:hint="eastAsia" w:ascii="宋体" w:hAnsi="宋体" w:eastAsia="宋体" w:cs="宋体"/>
          <w:b w:val="0"/>
          <w:i w:val="0"/>
          <w:caps w:val="0"/>
          <w:color w:val="333333"/>
          <w:spacing w:val="0"/>
          <w:sz w:val="24"/>
          <w:szCs w:val="24"/>
          <w:shd w:val="clear" w:color="auto" w:fill="FFFFFF"/>
          <w:vertAlign w:val="baseline"/>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i w:val="0"/>
          <w:caps w:val="0"/>
          <w:color w:val="333333"/>
          <w:spacing w:val="0"/>
          <w:sz w:val="24"/>
          <w:szCs w:val="24"/>
          <w:shd w:val="clear" w:color="auto" w:fill="FFFFFF"/>
          <w:vertAlign w:val="baseline"/>
        </w:rPr>
        <w:t>项目联系人：董菊莉 杜华龙 张倩</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baseline"/>
        <w:outlineLvl w:val="9"/>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color="auto" w:fill="FFFFFF"/>
          <w:vertAlign w:val="baseline"/>
          <w:lang w:val="en-US" w:eastAsia="zh-CN"/>
        </w:rPr>
        <w:t xml:space="preserve">  </w:t>
      </w:r>
      <w:r>
        <w:rPr>
          <w:rFonts w:hint="eastAsia" w:ascii="宋体" w:hAnsi="宋体" w:eastAsia="宋体" w:cs="宋体"/>
          <w:i w:val="0"/>
          <w:caps w:val="0"/>
          <w:color w:val="333333"/>
          <w:spacing w:val="0"/>
          <w:sz w:val="24"/>
          <w:szCs w:val="24"/>
          <w:shd w:val="clear" w:color="auto" w:fill="FFFFFF"/>
          <w:vertAlign w:val="baseline"/>
        </w:rPr>
        <w:t>电话：029-88440695</w:t>
      </w:r>
    </w:p>
    <w:p>
      <w:pPr>
        <w:widowControl/>
        <w:tabs>
          <w:tab w:val="left" w:pos="1620"/>
        </w:tabs>
        <w:snapToGrid w:val="0"/>
        <w:spacing w:line="360" w:lineRule="auto"/>
        <w:ind w:firstLine="420" w:firstLineChars="175"/>
        <w:jc w:val="right"/>
        <w:rPr>
          <w:rFonts w:hint="eastAsia" w:ascii="宋体" w:hAnsi="宋体" w:cs="宋体"/>
          <w:kern w:val="0"/>
          <w:sz w:val="24"/>
          <w:szCs w:val="24"/>
        </w:rPr>
      </w:pPr>
    </w:p>
    <w:p>
      <w:pPr>
        <w:widowControl/>
        <w:tabs>
          <w:tab w:val="left" w:pos="1620"/>
        </w:tabs>
        <w:snapToGrid w:val="0"/>
        <w:spacing w:line="360" w:lineRule="auto"/>
        <w:ind w:firstLine="420" w:firstLineChars="175"/>
        <w:jc w:val="right"/>
        <w:rPr>
          <w:rFonts w:ascii="宋体" w:cs="宋体"/>
          <w:kern w:val="0"/>
          <w:sz w:val="24"/>
          <w:szCs w:val="24"/>
        </w:rPr>
      </w:pPr>
      <w:r>
        <w:rPr>
          <w:rFonts w:hint="eastAsia" w:ascii="宋体" w:hAnsi="宋体" w:cs="宋体"/>
          <w:kern w:val="0"/>
          <w:sz w:val="24"/>
          <w:szCs w:val="24"/>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w:t>
      </w:r>
      <w:r>
        <w:rPr>
          <w:rFonts w:ascii="宋体" w:hAnsi="宋体" w:cs="宋体"/>
          <w:kern w:val="0"/>
          <w:sz w:val="24"/>
          <w:szCs w:val="24"/>
          <w:highlight w:val="none"/>
        </w:rPr>
        <w:t>202</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 xml:space="preserve">年 </w:t>
      </w:r>
      <w:r>
        <w:rPr>
          <w:rFonts w:hint="eastAsia" w:ascii="宋体" w:hAnsi="宋体" w:cs="宋体"/>
          <w:kern w:val="0"/>
          <w:sz w:val="24"/>
          <w:szCs w:val="24"/>
          <w:highlight w:val="none"/>
          <w:lang w:val="en-US" w:eastAsia="zh-CN"/>
        </w:rPr>
        <w:t>05</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31</w:t>
      </w:r>
      <w:r>
        <w:rPr>
          <w:rFonts w:hint="eastAsia" w:ascii="宋体" w:hAnsi="宋体" w:cs="宋体"/>
          <w:kern w:val="0"/>
          <w:sz w:val="24"/>
          <w:szCs w:val="24"/>
          <w:highlight w:val="none"/>
        </w:rPr>
        <w:t>日</w:t>
      </w:r>
    </w:p>
    <w:p>
      <w:pPr>
        <w:pStyle w:val="2"/>
        <w:spacing w:before="312" w:beforeLines="100" w:after="156" w:afterLines="50" w:line="600" w:lineRule="exact"/>
        <w:rPr>
          <w:rFonts w:ascii="宋体" w:hAnsi="宋体" w:cs="宋体"/>
          <w:sz w:val="36"/>
          <w:szCs w:val="36"/>
        </w:rPr>
      </w:pPr>
      <w:bookmarkStart w:id="3" w:name="_Toc30089"/>
      <w:bookmarkStart w:id="4" w:name="_Toc19619"/>
      <w:bookmarkStart w:id="5" w:name="_Toc438048787"/>
      <w:r>
        <w:rPr>
          <w:rFonts w:hint="eastAsia" w:ascii="宋体" w:hAnsi="宋体" w:cs="宋体"/>
          <w:sz w:val="36"/>
          <w:szCs w:val="36"/>
        </w:rPr>
        <w:br w:type="page"/>
      </w:r>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供应商须知前附表</w:t>
      </w:r>
      <w:bookmarkEnd w:id="3"/>
      <w:bookmarkEnd w:id="4"/>
      <w:bookmarkEnd w:id="5"/>
    </w:p>
    <w:p>
      <w:pPr>
        <w:tabs>
          <w:tab w:val="left" w:pos="6793"/>
        </w:tabs>
        <w:jc w:val="left"/>
      </w:pPr>
      <w:r>
        <w:rPr>
          <w:rFonts w:hint="eastAsia" w:ascii="宋体" w:hAnsi="宋体" w:cs="宋体"/>
          <w:sz w:val="36"/>
          <w:szCs w:val="36"/>
        </w:rPr>
        <w:tab/>
      </w:r>
      <w:r>
        <w:rPr>
          <w:rFonts w:hint="eastAsia" w:asciiTheme="minorHAnsi" w:hAnsiTheme="minorHAnsi" w:eastAsiaTheme="minorEastAsia" w:cstheme="minorBidi"/>
          <w:sz w:val="24"/>
          <w:szCs w:val="28"/>
        </w:rPr>
        <w:t> </w:t>
      </w:r>
    </w:p>
    <w:tbl>
      <w:tblPr>
        <w:tblStyle w:val="28"/>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360" w:lineRule="auto"/>
              <w:rPr>
                <w:rFonts w:hint="eastAsia" w:ascii="宋体" w:hAnsi="宋体" w:cs="宋体"/>
                <w:sz w:val="24"/>
                <w:szCs w:val="24"/>
              </w:rPr>
            </w:pPr>
            <w:r>
              <w:rPr>
                <w:rFonts w:hint="eastAsia" w:ascii="宋体" w:hAnsi="宋体" w:cs="宋体"/>
                <w:sz w:val="24"/>
                <w:szCs w:val="24"/>
              </w:rPr>
              <w:t>（二）特定资格要求：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w:t>
            </w:r>
            <w:r>
              <w:rPr>
                <w:rFonts w:hint="eastAsia" w:ascii="宋体" w:hAnsi="宋体" w:cs="宋体"/>
                <w:sz w:val="24"/>
                <w:szCs w:val="24"/>
                <w:highlight w:val="none"/>
              </w:rPr>
              <w:t>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rPr>
                <w:rFonts w:hint="eastAsia"/>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lang w:eastAsia="zh-CN"/>
              </w:rPr>
              <w:t>（</w:t>
            </w:r>
            <w:r>
              <w:rPr>
                <w:rFonts w:hint="eastAsia"/>
                <w:lang w:val="en-US" w:eastAsia="zh-CN"/>
              </w:rPr>
              <w:t>7</w:t>
            </w:r>
            <w:r>
              <w:rPr>
                <w:rFonts w:hint="eastAsia"/>
                <w:lang w:eastAsia="zh-CN"/>
              </w:rPr>
              <w:t>）</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pStyle w:val="25"/>
              <w:keepNext w:val="0"/>
              <w:keepLines w:val="0"/>
              <w:widowControl/>
              <w:suppressLineNumbers w:val="0"/>
              <w:spacing w:before="0" w:beforeAutospacing="0" w:after="0" w:afterAutospacing="0" w:line="510" w:lineRule="atLeast"/>
              <w:ind w:left="0" w:right="0" w:firstLine="420"/>
              <w:rPr>
                <w:rFonts w:hint="eastAsia"/>
                <w:lang w:val="en-US" w:eastAsia="zh-CN"/>
              </w:rPr>
            </w:pPr>
            <w:r>
              <w:rPr>
                <w:rFonts w:hint="eastAsia"/>
                <w:lang w:val="en-US" w:eastAsia="zh-CN"/>
              </w:rPr>
              <w:t>（8）所投产品为进口产品的，供应商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25"/>
              <w:keepNext w:val="0"/>
              <w:keepLines w:val="0"/>
              <w:widowControl/>
              <w:suppressLineNumbers w:val="0"/>
              <w:spacing w:before="0" w:beforeAutospacing="0" w:after="0" w:afterAutospacing="0" w:line="510" w:lineRule="atLeast"/>
              <w:ind w:left="0" w:right="0" w:firstLine="420"/>
              <w:rPr>
                <w:rFonts w:hint="default"/>
                <w:lang w:val="en-US" w:eastAsia="zh-CN"/>
              </w:rPr>
            </w:pPr>
            <w:r>
              <w:rPr>
                <w:rFonts w:hint="eastAsia"/>
                <w:lang w:val="en-US" w:eastAsia="zh-CN"/>
              </w:rPr>
              <w:t>（9）提供同品牌业绩两份（供应商或生产厂家）；</w:t>
            </w:r>
          </w:p>
          <w:p>
            <w:pPr>
              <w:pStyle w:val="25"/>
              <w:spacing w:before="0" w:beforeAutospacing="0" w:after="0" w:afterAutospacing="0" w:line="360" w:lineRule="auto"/>
              <w:ind w:firstLine="420"/>
            </w:pPr>
            <w:r>
              <w:rPr>
                <w:rFonts w:hint="eastAsia"/>
              </w:rPr>
              <w:t>（</w:t>
            </w:r>
            <w:r>
              <w:rPr>
                <w:rFonts w:hint="eastAsia"/>
                <w:lang w:val="en-US" w:eastAsia="zh-CN"/>
              </w:rPr>
              <w:t>10</w:t>
            </w:r>
            <w:r>
              <w:rPr>
                <w:rFonts w:hint="eastAsia"/>
              </w:rPr>
              <w:t>）本项目不接受联合体投标。</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以上项为资格审查必备资质。评审时，根据供应商响应文件中提供的上述资格证明文件（复印件加盖公章，原件备查）进行资格审查，未通过资格审查的，其响应文件将按无效响应文件处理。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符合性审查</w:t>
            </w:r>
          </w:p>
        </w:tc>
        <w:tc>
          <w:tcPr>
            <w:tcW w:w="7219" w:type="dxa"/>
          </w:tcPr>
          <w:p>
            <w:pPr>
              <w:pStyle w:val="15"/>
              <w:snapToGrid w:val="0"/>
              <w:spacing w:line="360" w:lineRule="auto"/>
              <w:ind w:firstLine="480" w:firstLineChars="200"/>
              <w:rPr>
                <w:rFonts w:hAnsi="宋体" w:cs="宋体"/>
                <w:sz w:val="24"/>
                <w:szCs w:val="24"/>
              </w:rPr>
            </w:pPr>
            <w:r>
              <w:rPr>
                <w:rFonts w:hint="eastAsia" w:hAnsi="宋体" w:cs="宋体"/>
                <w:sz w:val="24"/>
                <w:szCs w:val="24"/>
              </w:rPr>
              <w:t>有下列情形之一的，应在符合性审查时按照无效响应处理。</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响应报价超过采购预算； </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响应文件的</w:t>
            </w:r>
            <w:r>
              <w:rPr>
                <w:rFonts w:hint="eastAsia" w:ascii="宋体" w:hAnsi="宋体" w:eastAsia="宋体" w:cs="宋体"/>
                <w:sz w:val="24"/>
                <w:szCs w:val="24"/>
                <w:lang w:eastAsia="zh-CN"/>
              </w:rPr>
              <w:t>交货期</w:t>
            </w:r>
            <w:r>
              <w:rPr>
                <w:rFonts w:hint="eastAsia" w:ascii="宋体" w:hAnsi="宋体" w:eastAsia="宋体" w:cs="宋体"/>
                <w:sz w:val="24"/>
                <w:szCs w:val="24"/>
              </w:rPr>
              <w:t>不满足采购文件要求；</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响应文件的</w:t>
            </w:r>
            <w:r>
              <w:rPr>
                <w:rFonts w:hint="eastAsia" w:ascii="宋体" w:hAnsi="宋体" w:eastAsia="宋体" w:cs="宋体"/>
                <w:sz w:val="24"/>
                <w:szCs w:val="24"/>
                <w:lang w:eastAsia="zh-CN"/>
              </w:rPr>
              <w:t>质保期</w:t>
            </w:r>
            <w:r>
              <w:rPr>
                <w:rFonts w:hint="eastAsia" w:ascii="宋体" w:hAnsi="宋体" w:eastAsia="宋体" w:cs="宋体"/>
                <w:sz w:val="24"/>
                <w:szCs w:val="24"/>
              </w:rPr>
              <w:t>不满足采购文件要求；</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响应文件的数量、签署、盖章、装订不符合采购文件要求；</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响应文件无响应有效期或有效期达不到采购文件要求的；</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供应商未按照采购文件要求缴纳保证金或保证金缴纳少于采购文件要求的；</w:t>
            </w:r>
          </w:p>
          <w:p>
            <w:pPr>
              <w:numPr>
                <w:ilvl w:val="0"/>
                <w:numId w:val="2"/>
              </w:numPr>
              <w:spacing w:line="360" w:lineRule="auto"/>
              <w:ind w:firstLine="0"/>
              <w:rPr>
                <w:rFonts w:hint="eastAsia" w:ascii="宋体" w:hAnsi="宋体" w:eastAsia="宋体" w:cs="宋体"/>
                <w:sz w:val="24"/>
                <w:szCs w:val="24"/>
              </w:rPr>
            </w:pPr>
            <w:r>
              <w:rPr>
                <w:rFonts w:hint="eastAsia" w:ascii="宋体" w:hAnsi="宋体" w:eastAsia="宋体" w:cs="宋体"/>
                <w:sz w:val="24"/>
                <w:szCs w:val="24"/>
              </w:rPr>
              <w:t>供应商针对同一项目递交两份或多份内容不同的响应文件，未书面声明哪一份是有效的或出现选择性报价的；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响应文件出现漏项或</w:t>
            </w:r>
            <w:r>
              <w:rPr>
                <w:rFonts w:hint="eastAsia" w:ascii="宋体" w:hAnsi="宋体" w:cs="宋体"/>
                <w:sz w:val="24"/>
                <w:szCs w:val="24"/>
                <w:lang w:eastAsia="zh-CN"/>
              </w:rPr>
              <w:t>标的数量</w:t>
            </w:r>
            <w:r>
              <w:rPr>
                <w:rFonts w:hint="eastAsia" w:ascii="宋体" w:hAnsi="宋体" w:cs="宋体"/>
                <w:sz w:val="24"/>
                <w:szCs w:val="24"/>
              </w:rPr>
              <w:t>与要求不符的；</w:t>
            </w:r>
          </w:p>
          <w:p>
            <w:pPr>
              <w:numPr>
                <w:ilvl w:val="0"/>
                <w:numId w:val="2"/>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rPr>
                <w:rFonts w:ascii="宋体" w:hAnsi="宋体" w:cs="宋体"/>
                <w:b/>
                <w:bCs/>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）法律、法规和采</w:t>
            </w:r>
            <w:r>
              <w:rPr>
                <w:rFonts w:hint="eastAsia" w:ascii="Arial" w:hAnsi="Arial" w:cs="Arial"/>
                <w:sz w:val="24"/>
                <w:szCs w:val="24"/>
              </w:rPr>
              <w:t>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商务条款</w:t>
            </w:r>
          </w:p>
        </w:tc>
        <w:tc>
          <w:tcPr>
            <w:tcW w:w="7219" w:type="dxa"/>
          </w:tcPr>
          <w:p>
            <w:pPr>
              <w:tabs>
                <w:tab w:val="left" w:pos="7665"/>
              </w:tabs>
              <w:spacing w:line="360" w:lineRule="auto"/>
              <w:rPr>
                <w:rFonts w:hint="eastAsia" w:ascii="宋体" w:hAnsi="宋体" w:eastAsia="宋体" w:cs="宋体"/>
                <w:kern w:val="0"/>
                <w:sz w:val="24"/>
                <w:szCs w:val="20"/>
                <w:lang w:val="en-US" w:eastAsia="zh-CN" w:bidi="ar-SA"/>
              </w:rPr>
            </w:pPr>
            <w:r>
              <w:rPr>
                <w:rFonts w:hint="eastAsia" w:ascii="宋体" w:hAnsi="宋体" w:cs="宋体"/>
                <w:kern w:val="0"/>
                <w:sz w:val="24"/>
                <w:szCs w:val="20"/>
                <w:lang w:val="en-US" w:eastAsia="zh-CN" w:bidi="ar-SA"/>
              </w:rPr>
              <w:t>1、交货期</w:t>
            </w:r>
            <w:r>
              <w:rPr>
                <w:rFonts w:hint="eastAsia" w:ascii="宋体" w:hAnsi="宋体" w:eastAsia="宋体" w:cs="宋体"/>
                <w:kern w:val="0"/>
                <w:sz w:val="24"/>
                <w:szCs w:val="20"/>
                <w:lang w:val="en-US" w:eastAsia="zh-CN" w:bidi="ar-SA"/>
              </w:rPr>
              <w:t>：合同签订后</w:t>
            </w:r>
            <w:r>
              <w:rPr>
                <w:rFonts w:hint="eastAsia" w:ascii="宋体" w:hAnsi="宋体" w:cs="宋体"/>
                <w:kern w:val="0"/>
                <w:sz w:val="24"/>
                <w:szCs w:val="20"/>
                <w:lang w:val="en-US" w:eastAsia="zh-CN" w:bidi="ar-SA"/>
              </w:rPr>
              <w:t>8个月内；</w:t>
            </w:r>
          </w:p>
          <w:p>
            <w:pPr>
              <w:tabs>
                <w:tab w:val="left" w:pos="7665"/>
              </w:tabs>
              <w:spacing w:line="360" w:lineRule="auto"/>
              <w:rPr>
                <w:rFonts w:hint="eastAsia" w:ascii="宋体" w:hAnsi="宋体" w:eastAsia="宋体" w:cs="宋体"/>
                <w:kern w:val="0"/>
                <w:sz w:val="24"/>
                <w:szCs w:val="20"/>
                <w:lang w:val="en-US" w:eastAsia="zh-CN" w:bidi="ar-SA"/>
              </w:rPr>
            </w:pPr>
            <w:r>
              <w:rPr>
                <w:rFonts w:hint="eastAsia" w:ascii="宋体" w:hAnsi="宋体" w:cs="宋体"/>
                <w:kern w:val="0"/>
                <w:sz w:val="24"/>
                <w:szCs w:val="20"/>
                <w:lang w:val="en-US" w:eastAsia="zh-CN" w:bidi="ar-SA"/>
              </w:rPr>
              <w:t>2、</w:t>
            </w:r>
            <w:r>
              <w:rPr>
                <w:rFonts w:hint="eastAsia" w:ascii="宋体" w:hAnsi="宋体" w:eastAsia="宋体" w:cs="宋体"/>
                <w:kern w:val="0"/>
                <w:sz w:val="24"/>
                <w:szCs w:val="20"/>
                <w:lang w:val="en-US" w:eastAsia="zh-CN" w:bidi="ar-SA"/>
              </w:rPr>
              <w:t>质保期：</w:t>
            </w:r>
            <w:r>
              <w:rPr>
                <w:rFonts w:hint="eastAsia" w:ascii="宋体" w:hAnsi="宋体" w:cs="宋体"/>
                <w:kern w:val="0"/>
                <w:sz w:val="24"/>
                <w:szCs w:val="20"/>
                <w:lang w:val="en-US" w:eastAsia="zh-CN" w:bidi="ar-SA"/>
              </w:rPr>
              <w:t>验收合格后1年；</w:t>
            </w:r>
          </w:p>
          <w:p>
            <w:pPr>
              <w:spacing w:line="360" w:lineRule="auto"/>
              <w:rPr>
                <w:rFonts w:hint="eastAsia" w:ascii="宋体" w:hAnsi="宋体" w:cs="宋体"/>
                <w:sz w:val="24"/>
                <w:szCs w:val="24"/>
              </w:rPr>
            </w:pPr>
            <w:r>
              <w:rPr>
                <w:rFonts w:hint="eastAsia" w:ascii="宋体" w:hAnsi="宋体" w:cs="宋体"/>
                <w:sz w:val="24"/>
                <w:szCs w:val="24"/>
              </w:rPr>
              <w:t>3、交货地点：西北大学指定地点；</w:t>
            </w:r>
          </w:p>
          <w:p>
            <w:pPr>
              <w:spacing w:line="360" w:lineRule="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付款方式：</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进口合同付款方式：合同生效后，由甲方通过进出口业务代理公司向乙方开出100%信用证，</w:t>
            </w:r>
            <w:r>
              <w:rPr>
                <w:rFonts w:hint="eastAsia" w:ascii="宋体" w:hAnsi="宋体" w:cs="宋体"/>
                <w:sz w:val="24"/>
                <w:szCs w:val="24"/>
                <w:lang w:val="en-US" w:eastAsia="zh-CN"/>
              </w:rPr>
              <w:t>其中90%凭到货开箱验收报告解付，其余10%在学校最终验收合格后解付</w:t>
            </w:r>
            <w:r>
              <w:rPr>
                <w:rFonts w:hint="eastAsia" w:ascii="宋体" w:hAnsi="宋体" w:cs="宋体"/>
                <w:sz w:val="24"/>
                <w:szCs w:val="24"/>
              </w:rPr>
              <w:t>。</w:t>
            </w:r>
          </w:p>
          <w:p>
            <w:pPr>
              <w:pStyle w:val="15"/>
              <w:spacing w:line="360" w:lineRule="auto"/>
              <w:jc w:val="left"/>
              <w:rPr>
                <w:rFonts w:hint="eastAsia" w:ascii="宋体" w:hAnsi="宋体" w:cs="宋体"/>
                <w:sz w:val="24"/>
                <w:szCs w:val="24"/>
              </w:rPr>
            </w:pPr>
            <w:r>
              <w:rPr>
                <w:rFonts w:hint="eastAsia" w:hAnsi="宋体" w:cs="宋体"/>
                <w:sz w:val="24"/>
                <w:szCs w:val="24"/>
                <w:lang w:val="en-US" w:eastAsia="zh-CN"/>
              </w:rPr>
              <w:t>5</w:t>
            </w:r>
            <w:r>
              <w:rPr>
                <w:rFonts w:hint="eastAsia" w:ascii="宋体" w:hAnsi="宋体" w:cs="宋体"/>
                <w:sz w:val="24"/>
                <w:szCs w:val="24"/>
              </w:rPr>
              <w:t>、履约保证金：供应商中标后（无论整体或部分中标），供应商须向学校交纳合同履约保证金，合同履约保证金数量为中标金额的5%（取整），不足1万元的按1万元收取。</w:t>
            </w:r>
          </w:p>
          <w:p>
            <w:pPr>
              <w:pStyle w:val="15"/>
              <w:spacing w:line="360" w:lineRule="auto"/>
              <w:jc w:val="left"/>
              <w:rPr>
                <w:rFonts w:hAnsi="宋体" w:cs="宋体"/>
                <w:kern w:val="2"/>
                <w:sz w:val="24"/>
                <w:szCs w:val="24"/>
              </w:rPr>
            </w:pPr>
            <w:r>
              <w:rPr>
                <w:rFonts w:hint="eastAsia" w:ascii="宋体" w:hAnsi="Courier New"/>
                <w:b/>
                <w:bCs/>
                <w:kern w:val="2"/>
                <w:sz w:val="24"/>
                <w:szCs w:val="24"/>
                <w:lang w:val="en-US" w:eastAsia="zh-CN"/>
              </w:rPr>
              <w:t>注：商务条款为实质性响应条款，不允许负偏离。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hint="eastAsia" w:ascii="宋体" w:hAnsi="宋体" w:cs="宋体"/>
                <w:sz w:val="24"/>
                <w:szCs w:val="24"/>
              </w:rPr>
            </w:pPr>
            <w:r>
              <w:rPr>
                <w:rFonts w:hint="eastAsia" w:ascii="宋体" w:hAnsi="宋体" w:cs="宋体"/>
                <w:sz w:val="24"/>
                <w:szCs w:val="24"/>
              </w:rPr>
              <w:t>4</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投标保证金</w:t>
            </w:r>
          </w:p>
          <w:p>
            <w:pPr>
              <w:spacing w:line="360" w:lineRule="auto"/>
              <w:jc w:val="center"/>
              <w:rPr>
                <w:rFonts w:hint="eastAsia" w:ascii="宋体" w:hAnsi="宋体" w:cs="宋体"/>
                <w:sz w:val="24"/>
                <w:szCs w:val="24"/>
              </w:rPr>
            </w:pPr>
            <w:r>
              <w:rPr>
                <w:rFonts w:hint="eastAsia" w:ascii="宋体" w:hAnsi="宋体" w:cs="宋体"/>
                <w:sz w:val="24"/>
                <w:szCs w:val="24"/>
              </w:rPr>
              <w:t>缴纳</w:t>
            </w:r>
          </w:p>
        </w:tc>
        <w:tc>
          <w:tcPr>
            <w:tcW w:w="7219" w:type="dxa"/>
          </w:tcPr>
          <w:p>
            <w:pPr>
              <w:spacing w:line="500" w:lineRule="exact"/>
              <w:jc w:val="left"/>
              <w:rPr>
                <w:rFonts w:hint="eastAsia" w:ascii="宋体" w:hAnsi="宋体" w:cs="宋体"/>
                <w:sz w:val="24"/>
                <w:szCs w:val="24"/>
              </w:rPr>
            </w:pPr>
            <w:r>
              <w:rPr>
                <w:rFonts w:hint="eastAsia" w:ascii="宋体" w:hAnsi="宋体" w:cs="宋体"/>
                <w:sz w:val="24"/>
                <w:szCs w:val="24"/>
              </w:rPr>
              <w:t>1、投标保证金的缴纳</w:t>
            </w:r>
          </w:p>
          <w:p>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人民币</w:t>
            </w:r>
            <w:r>
              <w:rPr>
                <w:rFonts w:hint="eastAsia" w:ascii="宋体" w:hAnsi="宋体" w:cs="宋体"/>
                <w:sz w:val="24"/>
                <w:szCs w:val="24"/>
                <w:lang w:eastAsia="zh-CN"/>
              </w:rPr>
              <w:t>伍万元整</w:t>
            </w:r>
            <w:r>
              <w:rPr>
                <w:rFonts w:hint="eastAsia" w:ascii="宋体" w:hAnsi="宋体" w:cs="宋体"/>
                <w:sz w:val="24"/>
                <w:szCs w:val="24"/>
              </w:rPr>
              <w:t>（¥</w:t>
            </w:r>
            <w:r>
              <w:rPr>
                <w:rFonts w:hint="eastAsia" w:ascii="宋体" w:hAnsi="宋体" w:cs="宋体"/>
                <w:sz w:val="24"/>
                <w:szCs w:val="24"/>
                <w:lang w:val="en-US" w:eastAsia="zh-CN"/>
              </w:rPr>
              <w:t>50000</w:t>
            </w:r>
            <w:r>
              <w:rPr>
                <w:rFonts w:hint="eastAsia" w:ascii="宋体" w:hAnsi="宋体" w:cs="宋体"/>
                <w:sz w:val="24"/>
                <w:szCs w:val="24"/>
              </w:rPr>
              <w:t>元）</w:t>
            </w:r>
          </w:p>
          <w:p>
            <w:pPr>
              <w:spacing w:line="360" w:lineRule="auto"/>
              <w:ind w:firstLine="420" w:firstLineChars="175"/>
              <w:jc w:val="left"/>
              <w:rPr>
                <w:rFonts w:hint="eastAsia" w:ascii="宋体" w:hAnsi="宋体" w:cs="宋体"/>
                <w:sz w:val="24"/>
                <w:szCs w:val="24"/>
              </w:rPr>
            </w:pPr>
            <w:r>
              <w:rPr>
                <w:rFonts w:hint="eastAsia" w:ascii="宋体" w:hAnsi="宋体" w:cs="宋体"/>
                <w:sz w:val="24"/>
                <w:szCs w:val="24"/>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500" w:lineRule="exact"/>
              <w:jc w:val="left"/>
              <w:rPr>
                <w:rFonts w:hint="eastAsia" w:ascii="宋体" w:hAnsi="宋体" w:cs="宋体"/>
                <w:sz w:val="24"/>
                <w:szCs w:val="24"/>
              </w:rPr>
            </w:pPr>
            <w:r>
              <w:rPr>
                <w:rFonts w:hint="eastAsia" w:ascii="宋体" w:hAnsi="宋体" w:cs="宋体"/>
                <w:sz w:val="24"/>
                <w:szCs w:val="24"/>
              </w:rPr>
              <w:t>户名：陕西卓佲项目管理有限公司</w:t>
            </w:r>
          </w:p>
          <w:p>
            <w:pPr>
              <w:spacing w:line="500" w:lineRule="exact"/>
              <w:jc w:val="left"/>
              <w:rPr>
                <w:rFonts w:hint="eastAsia"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hint="eastAsia" w:ascii="宋体" w:hAnsi="宋体" w:cs="宋体"/>
                <w:sz w:val="24"/>
                <w:szCs w:val="24"/>
              </w:rPr>
            </w:pPr>
            <w:r>
              <w:rPr>
                <w:rFonts w:hint="eastAsia" w:ascii="宋体" w:hAnsi="宋体" w:cs="宋体"/>
                <w:sz w:val="24"/>
                <w:szCs w:val="24"/>
              </w:rPr>
              <w:t>账号：78590188000191476</w:t>
            </w:r>
          </w:p>
          <w:p>
            <w:pPr>
              <w:spacing w:line="500" w:lineRule="exact"/>
              <w:jc w:val="left"/>
              <w:rPr>
                <w:rFonts w:hint="eastAsia"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hint="eastAsia" w:ascii="宋体" w:hAnsi="宋体" w:cs="宋体"/>
                <w:sz w:val="24"/>
                <w:szCs w:val="24"/>
              </w:rPr>
            </w:pPr>
            <w:r>
              <w:rPr>
                <w:rFonts w:hint="eastAsia" w:ascii="宋体" w:hAnsi="宋体" w:cs="宋体"/>
                <w:sz w:val="24"/>
                <w:szCs w:val="24"/>
              </w:rPr>
              <w:t>转账摘要：西大-</w:t>
            </w:r>
            <w:r>
              <w:rPr>
                <w:rFonts w:hint="eastAsia" w:ascii="宋体" w:hAnsi="宋体" w:cs="宋体"/>
                <w:sz w:val="24"/>
                <w:szCs w:val="24"/>
                <w:lang w:val="en-US" w:eastAsia="zh-CN"/>
              </w:rPr>
              <w:t>59</w:t>
            </w:r>
            <w:r>
              <w:rPr>
                <w:rFonts w:hint="eastAsia" w:ascii="宋体" w:hAnsi="宋体" w:cs="宋体"/>
                <w:sz w:val="24"/>
                <w:szCs w:val="24"/>
              </w:rPr>
              <w:t>保证金</w:t>
            </w:r>
          </w:p>
          <w:p>
            <w:pPr>
              <w:pStyle w:val="5"/>
              <w:numPr>
                <w:ilvl w:val="0"/>
                <w:numId w:val="3"/>
              </w:numPr>
              <w:rPr>
                <w:rFonts w:hint="eastAsia" w:ascii="宋体" w:hAnsi="宋体" w:cs="宋体"/>
                <w:sz w:val="24"/>
                <w:szCs w:val="24"/>
              </w:rPr>
            </w:pPr>
            <w:r>
              <w:rPr>
                <w:rFonts w:hint="eastAsia" w:ascii="宋体" w:hAnsi="宋体" w:cs="宋体"/>
                <w:sz w:val="24"/>
                <w:szCs w:val="24"/>
              </w:rPr>
              <w:t>投标保证金的退还</w:t>
            </w:r>
          </w:p>
          <w:p>
            <w:pPr>
              <w:tabs>
                <w:tab w:val="left" w:pos="0"/>
              </w:tabs>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2.1未成交的供应商在退取投标保证金时，须携带以下资料办理到代理机构的财务部门办理:</w:t>
            </w:r>
          </w:p>
          <w:p>
            <w:pPr>
              <w:numPr>
                <w:ilvl w:val="0"/>
                <w:numId w:val="4"/>
              </w:numPr>
              <w:adjustRightInd w:val="0"/>
              <w:snapToGrid w:val="0"/>
              <w:spacing w:line="360" w:lineRule="auto"/>
              <w:rPr>
                <w:rFonts w:hint="eastAsia" w:ascii="宋体" w:hAnsi="宋体" w:cs="宋体"/>
                <w:sz w:val="24"/>
                <w:szCs w:val="24"/>
              </w:rPr>
            </w:pPr>
            <w:r>
              <w:rPr>
                <w:rFonts w:hint="eastAsia" w:ascii="宋体" w:hAnsi="宋体" w:cs="宋体"/>
                <w:sz w:val="24"/>
                <w:szCs w:val="24"/>
              </w:rPr>
              <w:t>投标保证金汇款凭证复印件加盖公章；</w:t>
            </w:r>
          </w:p>
          <w:p>
            <w:pPr>
              <w:numPr>
                <w:ilvl w:val="0"/>
                <w:numId w:val="4"/>
              </w:numPr>
              <w:adjustRightInd w:val="0"/>
              <w:snapToGrid w:val="0"/>
              <w:spacing w:line="360" w:lineRule="auto"/>
              <w:rPr>
                <w:rFonts w:hint="eastAsia" w:ascii="宋体" w:hAnsi="宋体" w:cs="宋体"/>
                <w:sz w:val="24"/>
                <w:szCs w:val="24"/>
              </w:rPr>
            </w:pPr>
            <w:r>
              <w:rPr>
                <w:rFonts w:hint="eastAsia" w:ascii="宋体" w:hAnsi="宋体" w:cs="宋体"/>
                <w:sz w:val="24"/>
                <w:szCs w:val="24"/>
              </w:rPr>
              <w:t>保证金退还账户信息确认表（加盖公章）见附件二。</w:t>
            </w:r>
          </w:p>
          <w:p>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投标保证金汇款凭证复印件加盖公章一并交给工作人员，当天未提交投标保证金退还账户信息确认表与投标保证金汇款凭证复印件加盖公章的供应商，在开标后将以上资料盖章扫描件发送至邮箱shanxizhuoming_zb@163.com并致电告知。</w:t>
            </w:r>
          </w:p>
          <w:p>
            <w:pPr>
              <w:pStyle w:val="13"/>
              <w:spacing w:line="360" w:lineRule="auto"/>
              <w:rPr>
                <w:rFonts w:ascii="宋体" w:hAnsi="宋体" w:cs="宋体"/>
                <w:kern w:val="2"/>
              </w:rPr>
            </w:pPr>
            <w:r>
              <w:rPr>
                <w:rFonts w:hint="eastAsia" w:ascii="宋体" w:hAnsi="宋体" w:cs="宋体"/>
                <w:bCs/>
                <w:kern w:val="2"/>
                <w:sz w:val="24"/>
                <w:szCs w:val="24"/>
              </w:rPr>
              <w:t xml:space="preserve">    2.2成交供应商在退取投标保证金时，除携带上述资料外还需携带与采购人签订的采购合同。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本次采购采用</w:t>
            </w:r>
            <w:r>
              <w:rPr>
                <w:rFonts w:hint="eastAsia" w:ascii="宋体" w:hAnsi="宋体" w:cs="宋体"/>
                <w:sz w:val="24"/>
                <w:szCs w:val="24"/>
                <w:lang w:eastAsia="zh-CN"/>
              </w:rPr>
              <w:t>整体打包</w:t>
            </w:r>
            <w:r>
              <w:rPr>
                <w:rFonts w:hint="eastAsia" w:ascii="宋体" w:hAnsi="宋体" w:cs="宋体"/>
                <w:sz w:val="24"/>
                <w:szCs w:val="24"/>
              </w:rPr>
              <w:t>方式，供应商可根据自身的资质情况和经营范围对本项目进行投标，不得将其自行分解或只对本次项目中的品目进行不完全投标，任何不完全的投标将按无效投标处理。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响应文件有效期为从协商之日起有效期为90日历天。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2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5"/>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5"/>
              </w:numPr>
              <w:spacing w:line="360" w:lineRule="auto"/>
              <w:ind w:firstLine="0"/>
              <w:jc w:val="left"/>
              <w:rPr>
                <w:rFonts w:hint="eastAsia" w:ascii="宋体" w:hAnsi="宋体" w:cs="宋体"/>
                <w:sz w:val="24"/>
                <w:szCs w:val="24"/>
              </w:rPr>
            </w:pPr>
            <w:r>
              <w:rPr>
                <w:rFonts w:hint="eastAsia" w:ascii="宋体" w:hAnsi="宋体" w:cs="宋体"/>
                <w:sz w:val="24"/>
                <w:szCs w:val="24"/>
              </w:rPr>
              <w:t>投标总报价是指设备到达使用地点、验收合格达到正常使用条件前的所有费用，包括但不限于以下费用：货物价值、安装调试费、国内外运杂费（含保险）、仓储保管费、技术培训费、检测费、施工费、人工费、进口业务相关费用（按合同金额的0.83%收取。包括外贸代理公司进口业务代理费、国内外银行手续费、报关费、商检费等）及进口货物按国家政策征收的一切税费（按国家政策规定甲方可以享受的免税部分除外）等。</w:t>
            </w:r>
          </w:p>
          <w:p>
            <w:pPr>
              <w:pStyle w:val="2"/>
              <w:keepNext/>
              <w:keepLines/>
              <w:pageBreakBefore w:val="0"/>
              <w:widowControl w:val="0"/>
              <w:kinsoku/>
              <w:wordWrap/>
              <w:overflowPunct/>
              <w:topLinePunct w:val="0"/>
              <w:autoSpaceDE/>
              <w:autoSpaceDN/>
              <w:bidi w:val="0"/>
              <w:adjustRightInd/>
              <w:snapToGrid/>
              <w:spacing w:line="360" w:lineRule="auto"/>
              <w:jc w:val="left"/>
              <w:textAlignment w:val="auto"/>
              <w:rPr>
                <w:rFonts w:hint="eastAsia"/>
              </w:rPr>
            </w:pPr>
            <w:r>
              <w:rPr>
                <w:rFonts w:hint="eastAsia" w:ascii="宋体" w:hAnsi="宋体" w:cs="宋体"/>
                <w:b w:val="0"/>
                <w:kern w:val="2"/>
                <w:sz w:val="24"/>
                <w:szCs w:val="24"/>
                <w:lang w:val="en-US" w:eastAsia="zh-CN" w:bidi="ar-SA"/>
              </w:rPr>
              <w:t>3、供应商</w:t>
            </w:r>
            <w:r>
              <w:rPr>
                <w:rFonts w:hint="eastAsia" w:ascii="宋体" w:hAnsi="宋体" w:eastAsia="宋体" w:cs="宋体"/>
                <w:b w:val="0"/>
                <w:kern w:val="2"/>
                <w:sz w:val="24"/>
                <w:szCs w:val="24"/>
                <w:lang w:val="en-US" w:eastAsia="zh-CN" w:bidi="ar-SA"/>
              </w:rPr>
              <w:t>所提供的产品型号、产地等重要信息，需要与仪器机身保持一致。因</w:t>
            </w:r>
            <w:r>
              <w:rPr>
                <w:rFonts w:hint="eastAsia" w:ascii="宋体" w:hAnsi="宋体" w:cs="宋体"/>
                <w:b w:val="0"/>
                <w:kern w:val="2"/>
                <w:sz w:val="24"/>
                <w:szCs w:val="24"/>
                <w:lang w:val="en-US" w:eastAsia="zh-CN" w:bidi="ar-SA"/>
              </w:rPr>
              <w:t>供应商</w:t>
            </w:r>
            <w:r>
              <w:rPr>
                <w:rFonts w:hint="eastAsia" w:ascii="宋体" w:hAnsi="宋体" w:eastAsia="宋体" w:cs="宋体"/>
                <w:b w:val="0"/>
                <w:kern w:val="2"/>
                <w:sz w:val="24"/>
                <w:szCs w:val="24"/>
                <w:lang w:val="en-US" w:eastAsia="zh-CN" w:bidi="ar-SA"/>
              </w:rPr>
              <w:t>原因（有且不限于型号有误、出具的净重、参数等证明有误、保税区内税号问题等）造成进口货物无法正常报关产生的一切后果及费用由</w:t>
            </w:r>
            <w:r>
              <w:rPr>
                <w:rFonts w:hint="eastAsia" w:ascii="宋体" w:hAnsi="宋体" w:cs="宋体"/>
                <w:b w:val="0"/>
                <w:kern w:val="2"/>
                <w:sz w:val="24"/>
                <w:szCs w:val="24"/>
                <w:lang w:val="en-US" w:eastAsia="zh-CN" w:bidi="ar-SA"/>
              </w:rPr>
              <w:t>供应商</w:t>
            </w:r>
            <w:r>
              <w:rPr>
                <w:rFonts w:hint="eastAsia" w:ascii="宋体" w:hAnsi="宋体" w:eastAsia="宋体" w:cs="宋体"/>
                <w:b w:val="0"/>
                <w:kern w:val="2"/>
                <w:sz w:val="24"/>
                <w:szCs w:val="24"/>
                <w:lang w:val="en-US" w:eastAsia="zh-CN" w:bidi="ar-SA"/>
              </w:rPr>
              <w:t>自行承担。最终无法清关的，</w:t>
            </w:r>
            <w:r>
              <w:rPr>
                <w:rFonts w:hint="eastAsia" w:ascii="宋体" w:hAnsi="宋体" w:cs="宋体"/>
                <w:b w:val="0"/>
                <w:kern w:val="2"/>
                <w:sz w:val="24"/>
                <w:szCs w:val="24"/>
                <w:lang w:val="en-US" w:eastAsia="zh-CN" w:bidi="ar-SA"/>
              </w:rPr>
              <w:t>供应商</w:t>
            </w:r>
            <w:r>
              <w:rPr>
                <w:rFonts w:hint="eastAsia" w:ascii="宋体" w:hAnsi="宋体" w:eastAsia="宋体" w:cs="宋体"/>
                <w:b w:val="0"/>
                <w:kern w:val="2"/>
                <w:sz w:val="24"/>
                <w:szCs w:val="24"/>
                <w:lang w:val="en-US" w:eastAsia="zh-CN" w:bidi="ar-SA"/>
              </w:rPr>
              <w:t>须重新发运外贸合同中约定的货物。</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供应商应在响应文件中的响应报价一览表上，标明总报价、</w:t>
            </w:r>
            <w:r>
              <w:rPr>
                <w:rFonts w:hint="eastAsia" w:ascii="宋体" w:hAnsi="宋体" w:cs="宋体"/>
                <w:sz w:val="24"/>
                <w:szCs w:val="24"/>
                <w:lang w:eastAsia="zh-CN"/>
              </w:rPr>
              <w:t>交货期、质保期</w:t>
            </w:r>
            <w:r>
              <w:rPr>
                <w:rFonts w:hint="eastAsia" w:ascii="宋体" w:hAnsi="宋体" w:cs="宋体"/>
                <w:sz w:val="24"/>
                <w:szCs w:val="24"/>
              </w:rPr>
              <w:t>等，并由法定代表人或被授权人代表签署；任何有选择的报价不予接受。</w:t>
            </w:r>
          </w:p>
          <w:p>
            <w:pPr>
              <w:numPr>
                <w:ilvl w:val="0"/>
                <w:numId w:val="0"/>
              </w:numPr>
              <w:spacing w:line="360" w:lineRule="auto"/>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供应商对响应报价若有说明应在响应报价一览表显著处注明。</w:t>
            </w:r>
          </w:p>
          <w:p>
            <w:pPr>
              <w:spacing w:line="360" w:lineRule="auto"/>
              <w:jc w:val="left"/>
              <w:rPr>
                <w:rFonts w:ascii="宋体" w:hAnsi="宋体" w:cs="宋体"/>
                <w:sz w:val="24"/>
                <w:szCs w:val="24"/>
              </w:rPr>
            </w:pPr>
            <w:r>
              <w:rPr>
                <w:rFonts w:hint="eastAsia" w:ascii="宋体" w:hAnsi="宋体" w:cs="宋体"/>
                <w:sz w:val="24"/>
                <w:szCs w:val="24"/>
              </w:rPr>
              <w:t>响应报价一览表与分项报价表中的价格，在合同执行过程中，均不得以任何理由变更。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份、响应报价一览表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pStyle w:val="13"/>
              <w:spacing w:line="360" w:lineRule="auto"/>
              <w:rPr>
                <w:rFonts w:ascii="宋体" w:hAnsi="宋体" w:cs="宋体"/>
                <w:kern w:val="2"/>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报价一览表。</w:t>
            </w:r>
          </w:p>
          <w:p>
            <w:p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5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6"/>
              </w:numPr>
              <w:spacing w:line="360" w:lineRule="auto"/>
              <w:ind w:firstLine="0"/>
              <w:jc w:val="left"/>
              <w:rPr>
                <w:rFonts w:hint="eastAsia"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6"/>
              </w:numPr>
              <w:spacing w:line="360" w:lineRule="auto"/>
              <w:ind w:firstLine="0"/>
              <w:jc w:val="left"/>
              <w:rPr>
                <w:rFonts w:hint="eastAsia"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pStyle w:val="111"/>
              <w:spacing w:line="360" w:lineRule="auto"/>
              <w:rPr>
                <w:kern w:val="2"/>
              </w:rPr>
            </w:pPr>
            <w:r>
              <w:rPr>
                <w:rFonts w:hint="eastAsia"/>
                <w:kern w:val="2"/>
              </w:rPr>
              <w:t>1、密封要求：</w:t>
            </w:r>
          </w:p>
          <w:p>
            <w:pPr>
              <w:pStyle w:val="111"/>
              <w:spacing w:line="360" w:lineRule="auto"/>
              <w:rPr>
                <w:kern w:val="2"/>
              </w:rPr>
            </w:pPr>
            <w:r>
              <w:rPr>
                <w:rFonts w:hint="eastAsia"/>
                <w:kern w:val="2"/>
                <w:lang w:eastAsia="zh-CN"/>
              </w:rPr>
              <w:t>响应</w:t>
            </w:r>
            <w:r>
              <w:rPr>
                <w:rFonts w:hint="eastAsia"/>
                <w:kern w:val="2"/>
              </w:rPr>
              <w:t>一览表单独密封递交，</w:t>
            </w:r>
          </w:p>
          <w:p>
            <w:pPr>
              <w:pStyle w:val="111"/>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w:t>
            </w:r>
            <w:r>
              <w:rPr>
                <w:rFonts w:hint="eastAsia" w:ascii="宋体" w:hAnsi="宋体" w:cs="宋体"/>
                <w:sz w:val="24"/>
                <w:szCs w:val="24"/>
                <w:lang w:eastAsia="zh-CN"/>
              </w:rPr>
              <w:t>响应</w:t>
            </w:r>
            <w:r>
              <w:rPr>
                <w:rFonts w:hint="eastAsia" w:ascii="宋体" w:hAnsi="宋体" w:cs="宋体"/>
                <w:sz w:val="24"/>
                <w:szCs w:val="24"/>
              </w:rPr>
              <w:t>一览表”字样。封袋应密封完整，封袋正面要粘贴供应商全称、项目名称、编号、等标识、且</w:t>
            </w:r>
            <w:r>
              <w:rPr>
                <w:rFonts w:hint="eastAsia" w:ascii="宋体" w:hAnsi="宋体" w:cs="宋体"/>
                <w:sz w:val="24"/>
                <w:szCs w:val="24"/>
                <w:lang w:eastAsia="zh-CN"/>
              </w:rPr>
              <w:t>响应</w:t>
            </w:r>
            <w:r>
              <w:rPr>
                <w:rFonts w:hint="eastAsia" w:ascii="宋体" w:hAnsi="宋体" w:cs="宋体"/>
                <w:sz w:val="24"/>
                <w:szCs w:val="24"/>
              </w:rPr>
              <w:t>文件袋上应加盖供应商公章（封面标识见</w:t>
            </w:r>
            <w:r>
              <w:rPr>
                <w:rFonts w:hint="eastAsia" w:ascii="宋体" w:hAnsi="宋体" w:cs="宋体"/>
                <w:sz w:val="24"/>
                <w:szCs w:val="24"/>
                <w:lang w:eastAsia="zh-CN"/>
              </w:rPr>
              <w:t>单一来源</w:t>
            </w:r>
            <w:r>
              <w:rPr>
                <w:rFonts w:hint="eastAsia" w:ascii="宋体" w:hAnsi="宋体" w:cs="宋体"/>
                <w:sz w:val="24"/>
                <w:szCs w:val="24"/>
              </w:rPr>
              <w:t>文件附件一）如果未按上述规定进行密封，供应商的</w:t>
            </w:r>
            <w:r>
              <w:rPr>
                <w:rFonts w:hint="eastAsia" w:ascii="宋体" w:hAnsi="宋体" w:cs="宋体"/>
                <w:sz w:val="24"/>
                <w:szCs w:val="24"/>
                <w:lang w:eastAsia="zh-CN"/>
              </w:rPr>
              <w:t>响应</w:t>
            </w:r>
            <w:r>
              <w:rPr>
                <w:rFonts w:hint="eastAsia" w:ascii="宋体" w:hAnsi="宋体" w:cs="宋体"/>
                <w:sz w:val="24"/>
                <w:szCs w:val="24"/>
              </w:rPr>
              <w:t>文件有权被拒绝</w:t>
            </w:r>
            <w:r>
              <w:rPr>
                <w:rFonts w:hint="eastAsia" w:ascii="宋体" w:hAnsi="宋体" w:cs="宋体"/>
                <w:sz w:val="24"/>
                <w:szCs w:val="24"/>
                <w:lang w:eastAsia="zh-CN"/>
              </w:rPr>
              <w:t>，</w:t>
            </w:r>
            <w:r>
              <w:rPr>
                <w:rFonts w:hint="eastAsia" w:ascii="宋体" w:hAnsi="宋体" w:cs="宋体"/>
                <w:sz w:val="24"/>
                <w:szCs w:val="24"/>
                <w:highlight w:val="none"/>
                <w:lang w:eastAsia="zh-CN"/>
              </w:rPr>
              <w:t>密封以不泄露供应商商业机密、响应文件内容为标准</w:t>
            </w:r>
            <w:r>
              <w:rPr>
                <w:rFonts w:hint="eastAsia" w:ascii="宋体" w:hAnsi="宋体" w:cs="宋体"/>
                <w:sz w:val="24"/>
                <w:szCs w:val="24"/>
                <w:highlight w:val="none"/>
              </w:rPr>
              <w:t>。</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w:t>
            </w:r>
            <w:r>
              <w:rPr>
                <w:rFonts w:hint="eastAsia" w:ascii="宋体" w:hAnsi="宋体" w:cs="宋体"/>
                <w:sz w:val="24"/>
                <w:szCs w:val="24"/>
                <w:lang w:eastAsia="zh-CN"/>
              </w:rPr>
              <w:t>响应</w:t>
            </w:r>
            <w:r>
              <w:rPr>
                <w:rFonts w:hint="eastAsia" w:ascii="宋体" w:hAnsi="宋体" w:cs="宋体"/>
                <w:sz w:val="24"/>
                <w:szCs w:val="24"/>
              </w:rPr>
              <w:t>文件被视为无效</w:t>
            </w:r>
            <w:r>
              <w:rPr>
                <w:rFonts w:hint="eastAsia" w:ascii="宋体" w:hAnsi="宋体" w:cs="宋体"/>
                <w:sz w:val="24"/>
                <w:szCs w:val="24"/>
                <w:lang w:eastAsia="zh-CN"/>
              </w:rPr>
              <w:t>响应</w:t>
            </w:r>
            <w:r>
              <w:rPr>
                <w:rFonts w:hint="eastAsia" w:ascii="宋体" w:hAnsi="宋体" w:cs="宋体"/>
                <w:sz w:val="24"/>
                <w:szCs w:val="24"/>
              </w:rPr>
              <w:t>文件的风险。</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本次招标只接受简体中文文字的</w:t>
            </w:r>
            <w:r>
              <w:rPr>
                <w:rFonts w:hint="eastAsia" w:ascii="宋体" w:hAnsi="宋体" w:cs="宋体"/>
                <w:sz w:val="24"/>
                <w:szCs w:val="24"/>
                <w:lang w:eastAsia="zh-CN"/>
              </w:rPr>
              <w:t>响应</w:t>
            </w:r>
            <w:r>
              <w:rPr>
                <w:rFonts w:hint="eastAsia" w:ascii="宋体" w:hAnsi="宋体" w:cs="宋体"/>
                <w:sz w:val="24"/>
                <w:szCs w:val="24"/>
              </w:rPr>
              <w:t>文件；如</w:t>
            </w:r>
            <w:r>
              <w:rPr>
                <w:rFonts w:hint="eastAsia" w:ascii="宋体" w:hAnsi="宋体" w:cs="宋体"/>
                <w:sz w:val="24"/>
                <w:szCs w:val="24"/>
                <w:lang w:eastAsia="zh-CN"/>
              </w:rPr>
              <w:t>响应</w:t>
            </w:r>
            <w:r>
              <w:rPr>
                <w:rFonts w:hint="eastAsia" w:ascii="宋体" w:hAnsi="宋体" w:cs="宋体"/>
                <w:sz w:val="24"/>
                <w:szCs w:val="24"/>
              </w:rPr>
              <w:t>文件中出现外文资料，必须配以中文译文。否则，由此引发的一切责任由供应商自负。</w:t>
            </w:r>
          </w:p>
          <w:p>
            <w:pPr>
              <w:spacing w:line="360" w:lineRule="auto"/>
              <w:jc w:val="left"/>
              <w:rPr>
                <w:rFonts w:ascii="宋体" w:hAnsi="宋体" w:cs="宋体"/>
                <w:sz w:val="24"/>
                <w:szCs w:val="24"/>
              </w:rPr>
            </w:pPr>
            <w:r>
              <w:rPr>
                <w:rFonts w:hint="eastAsia" w:ascii="宋体" w:hAnsi="宋体" w:cs="宋体"/>
                <w:sz w:val="24"/>
                <w:szCs w:val="24"/>
              </w:rPr>
              <w:t>4、拒绝接受以电话、传真、电子邮件形式的</w:t>
            </w:r>
            <w:r>
              <w:rPr>
                <w:rFonts w:hint="eastAsia" w:ascii="宋体" w:hAnsi="宋体" w:cs="宋体"/>
                <w:sz w:val="24"/>
                <w:szCs w:val="24"/>
                <w:lang w:eastAsia="zh-CN"/>
              </w:rPr>
              <w:t>响应</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ind w:firstLine="240" w:firstLineChars="100"/>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cs="宋体"/>
                <w:sz w:val="24"/>
                <w:szCs w:val="24"/>
              </w:rPr>
              <w:t>1</w:t>
            </w:r>
            <w:r>
              <w:rPr>
                <w:rFonts w:hint="eastAsia" w:ascii="宋体" w:hAnsi="宋体" w:cs="宋体"/>
                <w:sz w:val="24"/>
                <w:szCs w:val="24"/>
                <w:lang w:val="en-US" w:eastAsia="zh-CN"/>
              </w:rPr>
              <w:t>4</w:t>
            </w:r>
          </w:p>
        </w:tc>
        <w:tc>
          <w:tcPr>
            <w:tcW w:w="1494" w:type="dxa"/>
            <w:vAlign w:val="center"/>
          </w:tcPr>
          <w:p>
            <w:pPr>
              <w:spacing w:line="56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rPr>
              <w:t>进口产品规定</w:t>
            </w:r>
          </w:p>
        </w:tc>
        <w:tc>
          <w:tcPr>
            <w:tcW w:w="7219" w:type="dxa"/>
            <w:vAlign w:val="center"/>
          </w:tcPr>
          <w:p>
            <w:pPr>
              <w:spacing w:line="560" w:lineRule="exact"/>
              <w:jc w:val="left"/>
              <w:rPr>
                <w:rFonts w:hint="eastAsia" w:ascii="宋体" w:hAnsi="宋体" w:eastAsia="宋体" w:cs="宋体"/>
                <w:kern w:val="2"/>
                <w:sz w:val="24"/>
                <w:szCs w:val="24"/>
                <w:lang w:val="en-US" w:eastAsia="zh-CN" w:bidi="ar-SA"/>
              </w:rPr>
            </w:pPr>
            <w:r>
              <w:rPr>
                <w:rFonts w:hint="eastAsia"/>
                <w:b/>
                <w:bCs/>
                <w:sz w:val="24"/>
                <w:szCs w:val="24"/>
                <w:lang w:eastAsia="zh-CN"/>
              </w:rPr>
              <w:t>光热显微红外光谱仪</w:t>
            </w:r>
            <w:r>
              <w:rPr>
                <w:rFonts w:hint="eastAsia"/>
                <w:b/>
                <w:bCs/>
                <w:sz w:val="24"/>
                <w:szCs w:val="24"/>
              </w:rPr>
              <w:t>经</w:t>
            </w:r>
            <w:r>
              <w:rPr>
                <w:rFonts w:hint="eastAsia"/>
                <w:b/>
                <w:bCs/>
                <w:sz w:val="24"/>
                <w:szCs w:val="24"/>
                <w:lang w:eastAsia="zh-CN"/>
              </w:rPr>
              <w:t>财政部门</w:t>
            </w:r>
            <w:r>
              <w:rPr>
                <w:rFonts w:hint="eastAsia"/>
                <w:b/>
                <w:bCs/>
                <w:sz w:val="24"/>
                <w:szCs w:val="24"/>
              </w:rPr>
              <w:t>批准允许采购进口产品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494"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highlight w:val="none"/>
              </w:rPr>
              <w:t>是否专门面向中小企业</w:t>
            </w:r>
          </w:p>
        </w:tc>
        <w:tc>
          <w:tcPr>
            <w:tcW w:w="7219" w:type="dxa"/>
            <w:vAlign w:val="center"/>
          </w:tcPr>
          <w:p>
            <w:pPr>
              <w:ind w:right="158" w:rightChars="75"/>
              <w:rPr>
                <w:rFonts w:hint="eastAsia"/>
                <w:b/>
                <w:bCs/>
                <w:sz w:val="24"/>
                <w:szCs w:val="24"/>
                <w:lang w:eastAsia="zh-CN"/>
              </w:rPr>
            </w:pPr>
            <w:r>
              <w:rPr>
                <w:rFonts w:hint="eastAsia"/>
                <w:b/>
                <w:bCs/>
                <w:sz w:val="24"/>
                <w:szCs w:val="24"/>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sym w:font="Wingdings" w:char="00FE"/>
            </w: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7</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hint="eastAsia" w:ascii="宋体" w:hAnsi="宋体" w:cs="宋体"/>
                <w:sz w:val="24"/>
                <w:szCs w:val="24"/>
                <w:highlight w:val="none"/>
              </w:rPr>
            </w:pPr>
            <w:r>
              <w:rPr>
                <w:rFonts w:hint="eastAsia" w:ascii="宋体" w:hAnsi="宋体" w:cs="宋体"/>
                <w:sz w:val="24"/>
                <w:szCs w:val="24"/>
                <w:highlight w:val="none"/>
              </w:rPr>
              <w:t>参照国家计委颁布的《招标代理服务收费管理暂行办法》（计价格</w:t>
            </w:r>
            <w:r>
              <w:rPr>
                <w:rFonts w:hint="eastAsia" w:ascii="宋体" w:hAnsi="宋体" w:eastAsia="宋体" w:cs="宋体"/>
                <w:sz w:val="24"/>
                <w:szCs w:val="24"/>
                <w:highlight w:val="none"/>
              </w:rPr>
              <w:t>〔</w:t>
            </w:r>
            <w:r>
              <w:rPr>
                <w:rFonts w:hint="eastAsia" w:ascii="宋体" w:hAnsi="宋体" w:cs="宋体"/>
                <w:sz w:val="24"/>
                <w:szCs w:val="24"/>
                <w:highlight w:val="none"/>
              </w:rPr>
              <w:t>2002</w:t>
            </w:r>
            <w:r>
              <w:rPr>
                <w:rFonts w:hint="eastAsia" w:ascii="宋体" w:hAnsi="宋体" w:eastAsia="宋体" w:cs="宋体"/>
                <w:sz w:val="24"/>
                <w:szCs w:val="24"/>
                <w:highlight w:val="none"/>
              </w:rPr>
              <w:t>〕</w:t>
            </w:r>
            <w:r>
              <w:rPr>
                <w:rFonts w:hint="eastAsia" w:ascii="宋体" w:hAnsi="宋体" w:cs="宋体"/>
                <w:sz w:val="24"/>
                <w:szCs w:val="24"/>
                <w:highlight w:val="none"/>
              </w:rPr>
              <w:t>1980号）和发改办价格</w:t>
            </w:r>
            <w:r>
              <w:rPr>
                <w:rFonts w:hint="eastAsia" w:ascii="宋体" w:hAnsi="宋体" w:eastAsia="宋体" w:cs="宋体"/>
                <w:sz w:val="24"/>
                <w:szCs w:val="24"/>
                <w:highlight w:val="none"/>
              </w:rPr>
              <w:t>〔</w:t>
            </w:r>
            <w:r>
              <w:rPr>
                <w:rFonts w:hint="eastAsia" w:ascii="宋体" w:hAnsi="宋体" w:cs="宋体"/>
                <w:sz w:val="24"/>
                <w:szCs w:val="24"/>
                <w:highlight w:val="none"/>
              </w:rPr>
              <w:t>2003</w:t>
            </w:r>
            <w:r>
              <w:rPr>
                <w:rFonts w:hint="eastAsia" w:ascii="宋体" w:hAnsi="宋体" w:eastAsia="宋体" w:cs="宋体"/>
                <w:sz w:val="24"/>
                <w:szCs w:val="24"/>
                <w:highlight w:val="none"/>
              </w:rPr>
              <w:t>〕</w:t>
            </w:r>
            <w:r>
              <w:rPr>
                <w:rFonts w:hint="eastAsia" w:ascii="宋体" w:hAnsi="宋体" w:cs="宋体"/>
                <w:sz w:val="24"/>
                <w:szCs w:val="24"/>
                <w:highlight w:val="none"/>
              </w:rPr>
              <w:t>857号文件等法律法规规定的计价标准收取（含税），按照</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w:t>
            </w:r>
            <w:r>
              <w:rPr>
                <w:rFonts w:hint="eastAsia" w:ascii="宋体" w:hAnsi="宋体" w:cs="宋体"/>
                <w:sz w:val="24"/>
                <w:szCs w:val="24"/>
                <w:lang w:val="en-US" w:eastAsia="zh-CN"/>
              </w:rPr>
              <w:t>成交</w:t>
            </w:r>
            <w:r>
              <w:rPr>
                <w:rFonts w:hint="eastAsia" w:ascii="宋体" w:hAnsi="宋体" w:cs="宋体"/>
                <w:sz w:val="24"/>
                <w:szCs w:val="24"/>
              </w:rPr>
              <w:t>单位在领取</w:t>
            </w:r>
            <w:r>
              <w:rPr>
                <w:rFonts w:hint="eastAsia" w:ascii="宋体" w:hAnsi="宋体" w:cs="宋体"/>
                <w:sz w:val="24"/>
                <w:szCs w:val="24"/>
                <w:lang w:eastAsia="zh-CN"/>
              </w:rPr>
              <w:t>成交</w:t>
            </w:r>
            <w:r>
              <w:rPr>
                <w:rFonts w:hint="eastAsia" w:ascii="宋体" w:hAnsi="宋体" w:cs="宋体"/>
                <w:sz w:val="24"/>
                <w:szCs w:val="24"/>
              </w:rPr>
              <w:t>通知书前，须向采购代理机构一次性支付招标代理服务费；代理服务费以转账、电汇或现金等形式交纳。</w:t>
            </w:r>
          </w:p>
          <w:p>
            <w:pPr>
              <w:spacing w:line="360" w:lineRule="auto"/>
              <w:rPr>
                <w:rFonts w:ascii="宋体" w:hAnsi="宋体" w:cs="宋体"/>
                <w:sz w:val="24"/>
                <w:szCs w:val="24"/>
              </w:rPr>
            </w:pPr>
            <w:r>
              <w:rPr>
                <w:rFonts w:hint="eastAsia" w:ascii="宋体" w:hAnsi="宋体" w:cs="宋体"/>
                <w:sz w:val="24"/>
                <w:szCs w:val="24"/>
              </w:rPr>
              <w:t>招标代理服务费按差额定率累进法计算：</w:t>
            </w:r>
          </w:p>
          <w:tbl>
            <w:tblPr>
              <w:tblStyle w:val="28"/>
              <w:tblW w:w="7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558"/>
              <w:gridCol w:w="15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50" w:type="dxa"/>
                </w:tcPr>
                <w:p>
                  <w:pPr>
                    <w:rPr>
                      <w:rFonts w:ascii="仿宋" w:hAnsi="仿宋" w:cs="Courier New"/>
                      <w:color w:val="000000"/>
                      <w:szCs w:val="21"/>
                    </w:rPr>
                  </w:pPr>
                  <w:r>
                    <w:rPr>
                      <w:rFonts w:hint="eastAsia" w:ascii="仿宋" w:hAnsi="仿宋" w:cs="Courier New"/>
                      <w:color w:val="000000"/>
                      <w:szCs w:val="21"/>
                    </w:rPr>
                    <w:t>服务类型/费率/中标金额（万元）</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货物招标</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服务招标</w:t>
                  </w:r>
                </w:p>
              </w:tc>
              <w:tc>
                <w:tcPr>
                  <w:tcW w:w="1587" w:type="dxa"/>
                  <w:vAlign w:val="center"/>
                </w:tcPr>
                <w:p>
                  <w:pPr>
                    <w:jc w:val="center"/>
                    <w:rPr>
                      <w:rFonts w:ascii="仿宋" w:hAnsi="仿宋" w:cs="Courier New"/>
                      <w:color w:val="000000"/>
                      <w:szCs w:val="21"/>
                    </w:rPr>
                  </w:pPr>
                  <w:r>
                    <w:rPr>
                      <w:rFonts w:hint="eastAsia" w:ascii="仿宋" w:hAnsi="仿宋" w:cs="Courier New"/>
                      <w:color w:val="00000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100以下</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87" w:type="dxa"/>
                </w:tcPr>
                <w:p>
                  <w:pPr>
                    <w:jc w:val="center"/>
                    <w:rPr>
                      <w:rFonts w:ascii="仿宋" w:hAnsi="仿宋" w:cs="Courier New"/>
                      <w:color w:val="000000"/>
                      <w:szCs w:val="21"/>
                    </w:rPr>
                  </w:pPr>
                  <w:r>
                    <w:rPr>
                      <w:rFonts w:hint="eastAsia" w:ascii="仿宋" w:hAnsi="仿宋" w:cs="Courier New"/>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100-500</w:t>
                  </w:r>
                </w:p>
              </w:tc>
              <w:tc>
                <w:tcPr>
                  <w:tcW w:w="1558" w:type="dxa"/>
                </w:tcPr>
                <w:p>
                  <w:pPr>
                    <w:jc w:val="center"/>
                    <w:rPr>
                      <w:rFonts w:ascii="仿宋" w:hAnsi="仿宋" w:cs="Courier New"/>
                      <w:color w:val="000000"/>
                      <w:szCs w:val="21"/>
                    </w:rPr>
                  </w:pPr>
                  <w:r>
                    <w:rPr>
                      <w:rFonts w:hint="eastAsia" w:ascii="仿宋" w:hAnsi="仿宋" w:cs="Courier New"/>
                      <w:color w:val="000000"/>
                      <w:szCs w:val="21"/>
                    </w:rPr>
                    <w:t>1.1%</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87" w:type="dxa"/>
                </w:tcPr>
                <w:p>
                  <w:pPr>
                    <w:jc w:val="center"/>
                    <w:rPr>
                      <w:rFonts w:ascii="仿宋" w:hAnsi="仿宋" w:cs="Courier New"/>
                      <w:color w:val="000000"/>
                      <w:szCs w:val="21"/>
                    </w:rPr>
                  </w:pPr>
                  <w:r>
                    <w:rPr>
                      <w:rFonts w:hint="eastAsia" w:ascii="仿宋" w:hAnsi="仿宋" w:cs="Courier New"/>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500-1000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58" w:type="dxa"/>
                </w:tcPr>
                <w:p>
                  <w:pPr>
                    <w:jc w:val="center"/>
                    <w:rPr>
                      <w:rFonts w:ascii="仿宋" w:hAnsi="仿宋" w:cs="Courier New"/>
                      <w:color w:val="000000"/>
                      <w:szCs w:val="21"/>
                    </w:rPr>
                  </w:pPr>
                  <w:r>
                    <w:rPr>
                      <w:rFonts w:hint="eastAsia" w:ascii="仿宋" w:hAnsi="仿宋" w:cs="Courier New"/>
                      <w:color w:val="000000"/>
                      <w:szCs w:val="21"/>
                    </w:rPr>
                    <w:t>0.45%</w:t>
                  </w:r>
                </w:p>
              </w:tc>
              <w:tc>
                <w:tcPr>
                  <w:tcW w:w="1587" w:type="dxa"/>
                </w:tcPr>
                <w:p>
                  <w:pPr>
                    <w:jc w:val="center"/>
                    <w:rPr>
                      <w:rFonts w:ascii="仿宋" w:hAnsi="仿宋" w:cs="Courier New"/>
                      <w:color w:val="000000"/>
                      <w:szCs w:val="21"/>
                    </w:rPr>
                  </w:pPr>
                  <w:r>
                    <w:rPr>
                      <w:rFonts w:hint="eastAsia" w:ascii="仿宋" w:hAnsi="仿宋" w:cs="Courier New"/>
                      <w:color w:val="00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1000-5000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87" w:type="dxa"/>
                </w:tcPr>
                <w:p>
                  <w:pPr>
                    <w:jc w:val="center"/>
                    <w:rPr>
                      <w:rFonts w:ascii="仿宋" w:hAnsi="仿宋" w:cs="Courier New"/>
                      <w:color w:val="000000"/>
                      <w:szCs w:val="21"/>
                    </w:rPr>
                  </w:pPr>
                  <w:r>
                    <w:rPr>
                      <w:rFonts w:hint="eastAsia" w:ascii="仿宋" w:hAnsi="仿宋" w:cs="Courier New"/>
                      <w:color w:val="00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5000-10000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58" w:type="dxa"/>
                </w:tcPr>
                <w:p>
                  <w:pPr>
                    <w:jc w:val="center"/>
                    <w:rPr>
                      <w:rFonts w:ascii="仿宋" w:hAnsi="仿宋" w:cs="Courier New"/>
                      <w:color w:val="000000"/>
                      <w:szCs w:val="21"/>
                    </w:rPr>
                  </w:pPr>
                  <w:r>
                    <w:rPr>
                      <w:rFonts w:hint="eastAsia" w:ascii="仿宋" w:hAnsi="仿宋" w:cs="Courier New"/>
                      <w:color w:val="000000"/>
                      <w:szCs w:val="21"/>
                    </w:rPr>
                    <w:t>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10000-100000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87" w:type="dxa"/>
                </w:tcPr>
                <w:p>
                  <w:pPr>
                    <w:jc w:val="center"/>
                    <w:rPr>
                      <w:rFonts w:ascii="仿宋" w:hAnsi="仿宋" w:cs="Courier New"/>
                      <w:color w:val="000000"/>
                      <w:szCs w:val="21"/>
                    </w:rPr>
                  </w:pPr>
                  <w:r>
                    <w:rPr>
                      <w:rFonts w:hint="eastAsia" w:ascii="仿宋" w:hAnsi="仿宋" w:cs="Courier New"/>
                      <w:color w:val="00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1000000以上</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0.01%</w:t>
                  </w:r>
                </w:p>
              </w:tc>
            </w:tr>
          </w:tbl>
          <w:p>
            <w:pPr>
              <w:pStyle w:val="15"/>
              <w:spacing w:line="336" w:lineRule="auto"/>
              <w:jc w:val="left"/>
              <w:rPr>
                <w:rFonts w:ascii="仿宋" w:hAnsi="仿宋"/>
                <w:color w:val="000000"/>
                <w:sz w:val="24"/>
                <w:szCs w:val="24"/>
              </w:rPr>
            </w:pPr>
            <w:r>
              <w:rPr>
                <w:rFonts w:hint="eastAsia" w:ascii="仿宋" w:hAnsi="仿宋"/>
                <w:color w:val="000000"/>
                <w:sz w:val="24"/>
                <w:szCs w:val="24"/>
              </w:rPr>
              <w:t>例如：某服务招标中标金额为678.2万元，招标代理服务费计算如下：</w:t>
            </w:r>
          </w:p>
          <w:p>
            <w:pPr>
              <w:pStyle w:val="15"/>
              <w:spacing w:line="336" w:lineRule="auto"/>
              <w:jc w:val="left"/>
              <w:rPr>
                <w:rFonts w:ascii="仿宋" w:hAnsi="仿宋"/>
                <w:color w:val="000000"/>
                <w:sz w:val="24"/>
                <w:szCs w:val="24"/>
              </w:rPr>
            </w:pPr>
            <w:r>
              <w:rPr>
                <w:rFonts w:hint="eastAsia" w:ascii="仿宋" w:hAnsi="仿宋"/>
                <w:color w:val="000000"/>
                <w:sz w:val="24"/>
                <w:szCs w:val="24"/>
              </w:rPr>
              <w:t>100万元*1.5%=1.5</w:t>
            </w:r>
            <w:r>
              <w:rPr>
                <w:rFonts w:ascii="仿宋" w:hAnsi="仿宋"/>
                <w:color w:val="000000"/>
                <w:sz w:val="24"/>
                <w:szCs w:val="24"/>
              </w:rPr>
              <w:t>0</w:t>
            </w:r>
            <w:r>
              <w:rPr>
                <w:rFonts w:hint="eastAsia" w:ascii="仿宋" w:hAnsi="仿宋"/>
                <w:color w:val="000000"/>
                <w:sz w:val="24"/>
                <w:szCs w:val="24"/>
              </w:rPr>
              <w:t xml:space="preserve">万元 </w:t>
            </w:r>
          </w:p>
          <w:p>
            <w:pPr>
              <w:pStyle w:val="15"/>
              <w:spacing w:line="336" w:lineRule="auto"/>
              <w:jc w:val="left"/>
              <w:rPr>
                <w:rFonts w:ascii="仿宋" w:hAnsi="仿宋"/>
                <w:color w:val="000000"/>
                <w:sz w:val="24"/>
                <w:szCs w:val="24"/>
              </w:rPr>
            </w:pPr>
            <w:r>
              <w:rPr>
                <w:rFonts w:hint="eastAsia" w:ascii="仿宋" w:hAnsi="仿宋"/>
                <w:color w:val="000000"/>
                <w:sz w:val="24"/>
                <w:szCs w:val="24"/>
              </w:rPr>
              <w:t>(500-100)*</w:t>
            </w:r>
            <w:r>
              <w:rPr>
                <w:rFonts w:ascii="仿宋" w:hAnsi="仿宋"/>
                <w:color w:val="000000"/>
                <w:sz w:val="24"/>
                <w:szCs w:val="24"/>
              </w:rPr>
              <w:t>0.8</w:t>
            </w:r>
            <w:r>
              <w:rPr>
                <w:rFonts w:hint="eastAsia" w:ascii="仿宋" w:hAnsi="仿宋"/>
                <w:color w:val="000000"/>
                <w:sz w:val="24"/>
                <w:szCs w:val="24"/>
              </w:rPr>
              <w:t>%=</w:t>
            </w:r>
            <w:r>
              <w:rPr>
                <w:rFonts w:ascii="仿宋" w:hAnsi="仿宋"/>
                <w:color w:val="000000"/>
                <w:sz w:val="24"/>
                <w:szCs w:val="24"/>
              </w:rPr>
              <w:t>3</w:t>
            </w:r>
            <w:r>
              <w:rPr>
                <w:rFonts w:hint="eastAsia" w:ascii="仿宋" w:hAnsi="仿宋"/>
                <w:color w:val="000000"/>
                <w:sz w:val="24"/>
                <w:szCs w:val="24"/>
              </w:rPr>
              <w:t>.</w:t>
            </w:r>
            <w:r>
              <w:rPr>
                <w:rFonts w:ascii="仿宋" w:hAnsi="仿宋"/>
                <w:color w:val="000000"/>
                <w:sz w:val="24"/>
                <w:szCs w:val="24"/>
              </w:rPr>
              <w:t>20</w:t>
            </w:r>
            <w:r>
              <w:rPr>
                <w:rFonts w:hint="eastAsia" w:ascii="仿宋" w:hAnsi="仿宋"/>
                <w:color w:val="000000"/>
                <w:sz w:val="24"/>
                <w:szCs w:val="24"/>
              </w:rPr>
              <w:t>万元</w:t>
            </w:r>
          </w:p>
          <w:p>
            <w:pPr>
              <w:pStyle w:val="15"/>
              <w:spacing w:line="336" w:lineRule="auto"/>
              <w:jc w:val="left"/>
              <w:rPr>
                <w:rFonts w:ascii="仿宋" w:hAnsi="仿宋"/>
                <w:color w:val="000000"/>
                <w:sz w:val="24"/>
                <w:szCs w:val="24"/>
              </w:rPr>
            </w:pPr>
            <w:r>
              <w:rPr>
                <w:rFonts w:hint="eastAsia" w:ascii="仿宋" w:hAnsi="仿宋"/>
                <w:color w:val="000000"/>
                <w:sz w:val="24"/>
                <w:szCs w:val="24"/>
              </w:rPr>
              <w:t>(678.2-500)*0.</w:t>
            </w:r>
            <w:r>
              <w:rPr>
                <w:rFonts w:ascii="仿宋" w:hAnsi="仿宋"/>
                <w:color w:val="000000"/>
                <w:sz w:val="24"/>
                <w:szCs w:val="24"/>
              </w:rPr>
              <w:t>45</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万元</w:t>
            </w:r>
          </w:p>
          <w:p>
            <w:pPr>
              <w:spacing w:line="560" w:lineRule="exact"/>
              <w:ind w:firstLine="480" w:firstLineChars="200"/>
              <w:jc w:val="left"/>
              <w:rPr>
                <w:rFonts w:ascii="宋体" w:hAnsi="宋体" w:cs="宋体"/>
                <w:sz w:val="24"/>
                <w:szCs w:val="24"/>
              </w:rPr>
            </w:pPr>
            <w:r>
              <w:rPr>
                <w:rFonts w:hint="eastAsia" w:ascii="仿宋" w:hAnsi="仿宋"/>
                <w:color w:val="000000"/>
                <w:sz w:val="24"/>
                <w:szCs w:val="24"/>
              </w:rPr>
              <w:t>服务费=1.5</w:t>
            </w:r>
            <w:r>
              <w:rPr>
                <w:rFonts w:ascii="仿宋" w:hAnsi="仿宋"/>
                <w:color w:val="000000"/>
                <w:sz w:val="24"/>
                <w:szCs w:val="24"/>
              </w:rPr>
              <w:t>0</w:t>
            </w:r>
            <w:r>
              <w:rPr>
                <w:rFonts w:hint="eastAsia" w:ascii="仿宋" w:hAnsi="仿宋"/>
                <w:color w:val="000000"/>
                <w:sz w:val="24"/>
                <w:szCs w:val="24"/>
              </w:rPr>
              <w:t>+</w:t>
            </w:r>
            <w:r>
              <w:rPr>
                <w:rFonts w:ascii="仿宋" w:hAnsi="仿宋"/>
                <w:color w:val="000000"/>
                <w:sz w:val="24"/>
                <w:szCs w:val="24"/>
              </w:rPr>
              <w:t>3.20</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w:t>
            </w:r>
            <w:r>
              <w:rPr>
                <w:rFonts w:ascii="仿宋" w:hAnsi="仿宋"/>
                <w:color w:val="000000"/>
                <w:sz w:val="24"/>
                <w:szCs w:val="24"/>
              </w:rPr>
              <w:t>5.5019</w:t>
            </w:r>
            <w:r>
              <w:rPr>
                <w:rFonts w:hint="eastAsia" w:ascii="仿宋" w:hAnsi="仿宋"/>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tc>
      </w:tr>
    </w:tbl>
    <w:p>
      <w:pPr>
        <w:tabs>
          <w:tab w:val="left" w:pos="6793"/>
        </w:tabs>
        <w:jc w:val="left"/>
      </w:pPr>
    </w:p>
    <w:p>
      <w:pPr>
        <w:pStyle w:val="2"/>
        <w:keepLines w:val="0"/>
        <w:jc w:val="both"/>
        <w:rPr>
          <w:rFonts w:ascii="宋体" w:cs="宋体"/>
        </w:rPr>
        <w:sectPr>
          <w:headerReference r:id="rId13" w:type="default"/>
          <w:footerReference r:id="rId14" w:type="default"/>
          <w:pgSz w:w="11906" w:h="16838"/>
          <w:pgMar w:top="1440" w:right="1706" w:bottom="1440" w:left="1800" w:header="851" w:footer="992" w:gutter="0"/>
          <w:pgNumType w:fmt="decimal" w:start="1"/>
          <w:cols w:space="720" w:num="1"/>
          <w:docGrid w:type="lines" w:linePitch="312" w:charSpace="0"/>
        </w:sectPr>
      </w:pPr>
    </w:p>
    <w:p>
      <w:pPr>
        <w:pStyle w:val="2"/>
        <w:keepLines w:val="0"/>
        <w:spacing w:before="312" w:beforeLines="100" w:after="312" w:afterLines="100" w:line="500" w:lineRule="exact"/>
        <w:rPr>
          <w:rFonts w:ascii="宋体" w:cs="宋体"/>
          <w:sz w:val="36"/>
          <w:szCs w:val="36"/>
        </w:rPr>
      </w:pPr>
      <w:bookmarkStart w:id="6" w:name="_Toc19272"/>
      <w:bookmarkStart w:id="7" w:name="_Toc9976"/>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供应商须知</w:t>
      </w:r>
      <w:bookmarkEnd w:id="6"/>
      <w:bookmarkEnd w:id="7"/>
    </w:p>
    <w:p>
      <w:pPr>
        <w:pStyle w:val="3"/>
        <w:rPr>
          <w:rFonts w:ascii="宋体" w:cs="宋体"/>
        </w:rPr>
      </w:pPr>
      <w:bookmarkStart w:id="8" w:name="_Toc26739"/>
      <w:bookmarkStart w:id="9" w:name="_Toc9528"/>
      <w:r>
        <w:rPr>
          <w:rFonts w:hint="eastAsia" w:ascii="宋体" w:hAnsi="宋体" w:cs="宋体"/>
        </w:rPr>
        <w:t>一、总</w:t>
      </w:r>
      <w:r>
        <w:rPr>
          <w:rFonts w:ascii="宋体" w:hAnsi="宋体" w:cs="宋体"/>
        </w:rPr>
        <w:t xml:space="preserve"> </w:t>
      </w:r>
      <w:r>
        <w:rPr>
          <w:rFonts w:hint="eastAsia" w:ascii="宋体" w:hAnsi="宋体" w:cs="宋体"/>
        </w:rPr>
        <w:t>则</w:t>
      </w:r>
      <w:bookmarkEnd w:id="8"/>
      <w:bookmarkEnd w:id="9"/>
    </w:p>
    <w:p>
      <w:pPr>
        <w:pStyle w:val="4"/>
        <w:numPr>
          <w:ilvl w:val="0"/>
          <w:numId w:val="8"/>
        </w:numPr>
        <w:spacing w:line="500" w:lineRule="exact"/>
        <w:ind w:firstLine="643" w:firstLineChars="200"/>
        <w:rPr>
          <w:rFonts w:ascii="宋体" w:cs="宋体"/>
          <w:szCs w:val="28"/>
        </w:rPr>
      </w:pPr>
      <w:bookmarkStart w:id="10" w:name="_Toc9257"/>
      <w:bookmarkStart w:id="11" w:name="_Toc6742"/>
      <w:bookmarkStart w:id="12" w:name="_Toc358364319"/>
      <w:bookmarkStart w:id="13" w:name="_Toc380336725"/>
      <w:r>
        <w:rPr>
          <w:rFonts w:hint="eastAsia" w:ascii="宋体" w:hAnsi="宋体" w:cs="宋体"/>
          <w:szCs w:val="28"/>
        </w:rPr>
        <w:t>适用范围</w:t>
      </w:r>
      <w:bookmarkEnd w:id="10"/>
      <w:bookmarkEnd w:id="11"/>
      <w:bookmarkEnd w:id="12"/>
      <w:bookmarkEnd w:id="13"/>
    </w:p>
    <w:p>
      <w:pPr>
        <w:widowControl/>
        <w:spacing w:line="500" w:lineRule="exact"/>
        <w:ind w:left="420" w:leftChars="200"/>
        <w:rPr>
          <w:rFonts w:asci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本次采购属政府采购，采购人、采购代理机构、供应商、</w:t>
      </w:r>
      <w:r>
        <w:rPr>
          <w:rFonts w:hint="eastAsia" w:ascii="宋体" w:hAnsi="宋体" w:cs="宋体"/>
          <w:kern w:val="0"/>
          <w:sz w:val="24"/>
          <w:szCs w:val="24"/>
          <w:lang w:eastAsia="zh-CN"/>
        </w:rPr>
        <w:t>协商小组</w:t>
      </w:r>
      <w:r>
        <w:rPr>
          <w:rFonts w:hint="eastAsia" w:ascii="宋体" w:hAnsi="宋体" w:cs="宋体"/>
          <w:kern w:val="0"/>
          <w:sz w:val="24"/>
          <w:szCs w:val="24"/>
        </w:rPr>
        <w:t>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4"/>
        <w:numPr>
          <w:ilvl w:val="0"/>
          <w:numId w:val="8"/>
        </w:numPr>
        <w:spacing w:line="500" w:lineRule="exact"/>
        <w:ind w:firstLine="643" w:firstLineChars="200"/>
        <w:rPr>
          <w:rFonts w:ascii="宋体" w:cs="宋体"/>
          <w:szCs w:val="28"/>
        </w:rPr>
      </w:pPr>
      <w:bookmarkStart w:id="14" w:name="_Toc17676"/>
      <w:bookmarkStart w:id="15" w:name="_Toc358364321"/>
      <w:bookmarkStart w:id="16" w:name="_Toc23781"/>
      <w:bookmarkStart w:id="17" w:name="_Toc380336727"/>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9"/>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18" w:name="_Toc22444"/>
      <w:bookmarkStart w:id="19" w:name="_Toc540"/>
      <w:bookmarkStart w:id="20" w:name="_Toc380336728"/>
      <w:bookmarkStart w:id="21" w:name="_Toc358364322"/>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18"/>
    <w:bookmarkEnd w:id="19"/>
    <w:bookmarkEnd w:id="20"/>
    <w:bookmarkEnd w:id="21"/>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4"/>
        <w:numPr>
          <w:ilvl w:val="0"/>
          <w:numId w:val="8"/>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6" w:h="16838"/>
          <w:pgMar w:top="1440" w:right="1706" w:bottom="1440" w:left="1800" w:header="851" w:footer="992" w:gutter="0"/>
          <w:pgNumType w:fmt="decimal"/>
          <w:cols w:space="720" w:num="1"/>
          <w:docGrid w:type="lines" w:linePitch="312" w:charSpace="0"/>
        </w:sectPr>
      </w:pPr>
    </w:p>
    <w:p>
      <w:pPr>
        <w:pStyle w:val="3"/>
        <w:jc w:val="center"/>
        <w:rPr>
          <w:rFonts w:ascii="宋体" w:cs="宋体"/>
        </w:rPr>
      </w:pPr>
      <w:bookmarkStart w:id="22" w:name="_Toc26093"/>
      <w:bookmarkStart w:id="23" w:name="_Toc7144"/>
      <w:r>
        <w:rPr>
          <w:rFonts w:hint="eastAsia" w:ascii="宋体" w:hAnsi="宋体" w:cs="宋体"/>
        </w:rPr>
        <w:t>二、采购文件</w:t>
      </w:r>
      <w:bookmarkEnd w:id="22"/>
      <w:bookmarkEnd w:id="23"/>
    </w:p>
    <w:p>
      <w:pPr>
        <w:pStyle w:val="4"/>
        <w:keepNext w:val="0"/>
        <w:keepLines w:val="0"/>
        <w:numPr>
          <w:ilvl w:val="0"/>
          <w:numId w:val="10"/>
        </w:numPr>
        <w:spacing w:line="360" w:lineRule="auto"/>
        <w:ind w:firstLine="643" w:firstLineChars="200"/>
        <w:rPr>
          <w:rFonts w:ascii="宋体" w:cs="宋体"/>
          <w:szCs w:val="28"/>
        </w:rPr>
      </w:pPr>
      <w:bookmarkStart w:id="24" w:name="_Toc17817"/>
      <w:bookmarkStart w:id="25" w:name="_Toc5801"/>
      <w:r>
        <w:rPr>
          <w:rFonts w:hint="eastAsia" w:ascii="宋体" w:hAnsi="宋体" w:cs="宋体"/>
          <w:szCs w:val="28"/>
        </w:rPr>
        <w:t>采购文件</w:t>
      </w:r>
      <w:bookmarkEnd w:id="24"/>
      <w:r>
        <w:rPr>
          <w:rFonts w:hint="eastAsia" w:ascii="宋体" w:hAnsi="宋体" w:cs="宋体"/>
          <w:szCs w:val="28"/>
        </w:rPr>
        <w:t>的构成</w:t>
      </w:r>
      <w:bookmarkEnd w:id="25"/>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单一来源邀请函；</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供应商须知前附表；</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供应商须知；</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评审办法；</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采购要求；</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合同条款；</w:t>
      </w:r>
    </w:p>
    <w:p>
      <w:pPr>
        <w:numPr>
          <w:ilvl w:val="0"/>
          <w:numId w:val="11"/>
        </w:numPr>
        <w:tabs>
          <w:tab w:val="left" w:pos="0"/>
        </w:tabs>
        <w:adjustRightInd w:val="0"/>
        <w:snapToGrid w:val="0"/>
        <w:spacing w:line="360" w:lineRule="auto"/>
        <w:jc w:val="left"/>
        <w:rPr>
          <w:rFonts w:ascii="宋体" w:cs="宋体"/>
          <w:sz w:val="24"/>
          <w:szCs w:val="24"/>
        </w:rPr>
      </w:pPr>
      <w:r>
        <w:rPr>
          <w:rFonts w:hint="eastAsia" w:ascii="宋体" w:hAnsi="宋体" w:cs="宋体"/>
          <w:sz w:val="24"/>
          <w:szCs w:val="24"/>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4"/>
        <w:keepNext w:val="0"/>
        <w:keepLines w:val="0"/>
        <w:numPr>
          <w:ilvl w:val="0"/>
          <w:numId w:val="10"/>
        </w:numPr>
        <w:spacing w:line="360" w:lineRule="auto"/>
        <w:ind w:firstLine="643" w:firstLineChars="200"/>
        <w:rPr>
          <w:rFonts w:ascii="宋体" w:cs="宋体"/>
          <w:szCs w:val="28"/>
        </w:rPr>
      </w:pPr>
      <w:bookmarkStart w:id="26" w:name="_Toc19797"/>
      <w:r>
        <w:rPr>
          <w:rFonts w:hint="eastAsia" w:ascii="宋体" w:hAnsi="宋体" w:cs="宋体"/>
          <w:szCs w:val="28"/>
        </w:rPr>
        <w:t>采购文件的澄清</w:t>
      </w:r>
      <w:bookmarkEnd w:id="26"/>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4"/>
        <w:keepNext w:val="0"/>
        <w:keepLines w:val="0"/>
        <w:numPr>
          <w:ilvl w:val="0"/>
          <w:numId w:val="10"/>
        </w:numPr>
        <w:spacing w:line="500" w:lineRule="exact"/>
        <w:ind w:firstLine="643" w:firstLineChars="200"/>
        <w:rPr>
          <w:rFonts w:ascii="宋体" w:cs="宋体"/>
          <w:szCs w:val="28"/>
        </w:rPr>
      </w:pPr>
      <w:bookmarkStart w:id="27" w:name="_Toc6390"/>
      <w:r>
        <w:rPr>
          <w:rFonts w:hint="eastAsia" w:ascii="宋体" w:hAnsi="宋体" w:cs="宋体"/>
          <w:szCs w:val="28"/>
        </w:rPr>
        <w:t>采购文件的修改</w:t>
      </w:r>
      <w:bookmarkEnd w:id="27"/>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4"/>
        <w:numPr>
          <w:ilvl w:val="0"/>
          <w:numId w:val="10"/>
        </w:numPr>
        <w:ind w:firstLine="643" w:firstLineChars="200"/>
        <w:rPr>
          <w:rFonts w:ascii="宋体" w:cs="宋体"/>
        </w:rPr>
      </w:pPr>
      <w:bookmarkStart w:id="28" w:name="_Toc5095"/>
      <w:r>
        <w:rPr>
          <w:rFonts w:hint="eastAsia" w:ascii="宋体" w:hAnsi="宋体" w:cs="宋体"/>
        </w:rPr>
        <w:t>单一来源采购文件的解释权归代理机构。</w:t>
      </w:r>
      <w:bookmarkEnd w:id="28"/>
    </w:p>
    <w:p>
      <w:pPr>
        <w:pStyle w:val="3"/>
        <w:jc w:val="center"/>
        <w:rPr>
          <w:rFonts w:ascii="宋体" w:hAnsi="宋体" w:cs="宋体"/>
        </w:rPr>
        <w:sectPr>
          <w:pgSz w:w="11906" w:h="16838"/>
          <w:pgMar w:top="1440" w:right="1706" w:bottom="1440" w:left="1800" w:header="851" w:footer="992" w:gutter="0"/>
          <w:pgNumType w:fmt="decimal"/>
          <w:cols w:space="720" w:num="1"/>
          <w:docGrid w:type="lines" w:linePitch="312" w:charSpace="0"/>
        </w:sectPr>
      </w:pPr>
      <w:bookmarkStart w:id="29" w:name="_Toc15601"/>
    </w:p>
    <w:p>
      <w:pPr>
        <w:pStyle w:val="3"/>
        <w:jc w:val="center"/>
        <w:rPr>
          <w:rFonts w:ascii="宋体" w:cs="宋体"/>
        </w:rPr>
      </w:pPr>
      <w:bookmarkStart w:id="30" w:name="_Toc2020"/>
      <w:r>
        <w:rPr>
          <w:rFonts w:hint="eastAsia" w:ascii="宋体" w:hAnsi="宋体" w:cs="宋体"/>
        </w:rPr>
        <w:t>三、</w:t>
      </w:r>
      <w:bookmarkEnd w:id="29"/>
      <w:r>
        <w:rPr>
          <w:rFonts w:hint="eastAsia" w:ascii="宋体" w:hAnsi="宋体" w:cs="宋体"/>
        </w:rPr>
        <w:t>响应文件</w:t>
      </w:r>
      <w:bookmarkEnd w:id="30"/>
    </w:p>
    <w:p>
      <w:pPr>
        <w:pStyle w:val="4"/>
        <w:numPr>
          <w:ilvl w:val="0"/>
          <w:numId w:val="12"/>
        </w:numPr>
        <w:spacing w:line="500" w:lineRule="exact"/>
        <w:ind w:firstLine="643" w:firstLineChars="200"/>
        <w:rPr>
          <w:rFonts w:ascii="宋体" w:cs="宋体"/>
          <w:szCs w:val="28"/>
        </w:rPr>
      </w:pPr>
      <w:bookmarkStart w:id="31" w:name="_Toc17549"/>
      <w:r>
        <w:rPr>
          <w:rFonts w:hint="eastAsia" w:ascii="宋体" w:hAnsi="宋体" w:cs="宋体"/>
          <w:szCs w:val="28"/>
        </w:rPr>
        <w:t>响应文件的编制</w:t>
      </w:r>
      <w:bookmarkEnd w:id="31"/>
    </w:p>
    <w:p>
      <w:pPr>
        <w:tabs>
          <w:tab w:val="left" w:pos="0"/>
        </w:tabs>
        <w:spacing w:line="500" w:lineRule="exact"/>
        <w:ind w:firstLine="420" w:firstLineChars="175"/>
        <w:jc w:val="left"/>
        <w:rPr>
          <w:rFonts w:ascii="宋体" w:hAnsi="宋体" w:cs="宋体"/>
          <w:sz w:val="24"/>
          <w:szCs w:val="24"/>
        </w:rPr>
      </w:pPr>
      <w:bookmarkStart w:id="32"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32"/>
    <w:p>
      <w:pPr>
        <w:pStyle w:val="4"/>
        <w:numPr>
          <w:ilvl w:val="0"/>
          <w:numId w:val="12"/>
        </w:numPr>
        <w:rPr>
          <w:rFonts w:ascii="宋体" w:hAnsi="宋体" w:cs="宋体"/>
        </w:rPr>
      </w:pPr>
      <w:bookmarkStart w:id="33"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4"/>
        <w:numPr>
          <w:ilvl w:val="0"/>
          <w:numId w:val="12"/>
        </w:numPr>
        <w:rPr>
          <w:rFonts w:ascii="宋体" w:cs="宋体"/>
        </w:rPr>
      </w:pPr>
      <w:r>
        <w:rPr>
          <w:rFonts w:hint="eastAsia" w:ascii="宋体" w:hAnsi="宋体" w:cs="宋体"/>
        </w:rPr>
        <w:t>货币</w:t>
      </w:r>
    </w:p>
    <w:p>
      <w:pPr>
        <w:ind w:firstLine="480" w:firstLineChars="200"/>
        <w:rPr>
          <w:rFonts w:ascii="宋体" w:cs="宋体"/>
        </w:rPr>
      </w:pPr>
      <w:bookmarkStart w:id="34" w:name="_Toc1311"/>
      <w:r>
        <w:rPr>
          <w:rFonts w:hint="eastAsia" w:ascii="宋体" w:hAnsi="宋体" w:cs="宋体"/>
          <w:kern w:val="0"/>
          <w:sz w:val="24"/>
        </w:rPr>
        <w:t>详见供应商须知前附表；</w:t>
      </w:r>
    </w:p>
    <w:bookmarkEnd w:id="34"/>
    <w:p>
      <w:pPr>
        <w:pStyle w:val="4"/>
        <w:numPr>
          <w:ilvl w:val="0"/>
          <w:numId w:val="12"/>
        </w:numPr>
        <w:rPr>
          <w:rFonts w:ascii="宋体" w:cs="宋体"/>
        </w:rPr>
      </w:pPr>
      <w:r>
        <w:rPr>
          <w:rFonts w:hint="eastAsia" w:ascii="宋体" w:hAnsi="宋体" w:cs="宋体"/>
        </w:rPr>
        <w:t>投标保证金</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rPr>
        <w:t>4.1</w:t>
      </w:r>
      <w:r>
        <w:rPr>
          <w:rFonts w:hint="eastAsia" w:ascii="宋体" w:hAnsi="宋体" w:cs="宋体"/>
          <w:sz w:val="24"/>
        </w:rPr>
        <w:t>投标保证金按缴纳及退还</w:t>
      </w:r>
      <w:r>
        <w:rPr>
          <w:rFonts w:hint="eastAsia" w:ascii="宋体" w:hAnsi="宋体" w:cs="宋体"/>
          <w:b/>
          <w:bCs/>
          <w:sz w:val="24"/>
        </w:rPr>
        <w:t>详见供应商须知前附表</w:t>
      </w:r>
      <w:r>
        <w:rPr>
          <w:rFonts w:hint="eastAsia" w:ascii="宋体" w:hAnsi="宋体" w:cs="宋体"/>
          <w:sz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4.2</w:t>
      </w:r>
      <w:r>
        <w:rPr>
          <w:rFonts w:hint="eastAsia" w:ascii="宋体" w:hAnsi="宋体" w:cs="宋体"/>
          <w:sz w:val="24"/>
          <w:szCs w:val="24"/>
        </w:rPr>
        <w:t>供应商未按照采购文件要求交纳投标</w:t>
      </w:r>
      <w:r>
        <w:rPr>
          <w:rFonts w:hint="eastAsia" w:ascii="宋体" w:hAnsi="宋体" w:cs="宋体"/>
          <w:sz w:val="24"/>
        </w:rPr>
        <w:t>保证金</w:t>
      </w:r>
      <w:r>
        <w:rPr>
          <w:rFonts w:hint="eastAsia" w:ascii="宋体" w:hAnsi="宋体" w:cs="宋体"/>
          <w:sz w:val="24"/>
          <w:szCs w:val="24"/>
        </w:rPr>
        <w:t>的或投标</w:t>
      </w:r>
      <w:r>
        <w:rPr>
          <w:rFonts w:hint="eastAsia" w:ascii="宋体" w:hAnsi="宋体" w:cs="宋体"/>
          <w:sz w:val="24"/>
        </w:rPr>
        <w:t>保证金</w:t>
      </w:r>
      <w:r>
        <w:rPr>
          <w:rFonts w:hint="eastAsia" w:ascii="宋体" w:hAnsi="宋体" w:cs="宋体"/>
          <w:sz w:val="24"/>
          <w:szCs w:val="24"/>
        </w:rPr>
        <w:t>的交付单位和供应商的名称必须一致，视为无效</w:t>
      </w:r>
      <w:r>
        <w:rPr>
          <w:rFonts w:hint="eastAsia" w:ascii="宋体" w:hAnsi="宋体" w:cs="宋体"/>
          <w:sz w:val="24"/>
        </w:rPr>
        <w:t>响应</w:t>
      </w:r>
      <w:r>
        <w:rPr>
          <w:rFonts w:hint="eastAsia" w:ascii="宋体" w:hAnsi="宋体" w:cs="宋体"/>
          <w:sz w:val="24"/>
          <w:szCs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4.3</w:t>
      </w:r>
      <w:r>
        <w:rPr>
          <w:rFonts w:hint="eastAsia" w:ascii="宋体" w:hAnsi="宋体" w:cs="宋体"/>
          <w:sz w:val="24"/>
          <w:szCs w:val="24"/>
        </w:rPr>
        <w:t>未成交供应商的投标</w:t>
      </w:r>
      <w:r>
        <w:rPr>
          <w:rFonts w:hint="eastAsia" w:ascii="宋体" w:hAnsi="宋体" w:cs="宋体"/>
          <w:sz w:val="24"/>
        </w:rPr>
        <w:t>保证金</w:t>
      </w:r>
      <w:r>
        <w:rPr>
          <w:rFonts w:hint="eastAsia" w:ascii="宋体" w:hAnsi="宋体" w:cs="宋体"/>
          <w:sz w:val="24"/>
          <w:szCs w:val="24"/>
        </w:rPr>
        <w:t>，在成交通知书发出后</w:t>
      </w:r>
      <w:r>
        <w:rPr>
          <w:rFonts w:ascii="宋体" w:hAnsi="宋体" w:cs="宋体"/>
          <w:sz w:val="24"/>
          <w:szCs w:val="24"/>
        </w:rPr>
        <w:t>5</w:t>
      </w:r>
      <w:r>
        <w:rPr>
          <w:rFonts w:hint="eastAsia" w:ascii="宋体" w:hAnsi="宋体" w:cs="宋体"/>
          <w:sz w:val="24"/>
          <w:szCs w:val="24"/>
        </w:rPr>
        <w:t>个工作日内无息退还；成交供应商的投标</w:t>
      </w:r>
      <w:r>
        <w:rPr>
          <w:rFonts w:hint="eastAsia" w:ascii="宋体" w:hAnsi="宋体" w:cs="宋体"/>
          <w:sz w:val="24"/>
        </w:rPr>
        <w:t>保证金</w:t>
      </w:r>
      <w:r>
        <w:rPr>
          <w:rFonts w:hint="eastAsia" w:ascii="宋体" w:hAnsi="宋体" w:cs="宋体"/>
          <w:sz w:val="24"/>
          <w:szCs w:val="24"/>
        </w:rPr>
        <w:t>在合同签订后</w:t>
      </w:r>
      <w:r>
        <w:rPr>
          <w:rFonts w:ascii="宋体" w:hAnsi="宋体" w:cs="宋体"/>
          <w:sz w:val="24"/>
          <w:szCs w:val="24"/>
        </w:rPr>
        <w:t>5</w:t>
      </w:r>
      <w:r>
        <w:rPr>
          <w:rFonts w:hint="eastAsia" w:ascii="宋体" w:hAnsi="宋体" w:cs="宋体"/>
          <w:sz w:val="24"/>
          <w:szCs w:val="24"/>
        </w:rPr>
        <w:t>个工作日内无息退还。</w:t>
      </w:r>
    </w:p>
    <w:p>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发生下列情形之一的，代理机构将不予退还供应商交纳的投标</w:t>
      </w:r>
      <w:r>
        <w:rPr>
          <w:rFonts w:hint="eastAsia" w:ascii="宋体" w:hAnsi="宋体" w:cs="宋体"/>
          <w:sz w:val="24"/>
        </w:rPr>
        <w:t>保证金</w:t>
      </w:r>
      <w:r>
        <w:rPr>
          <w:rFonts w:hint="eastAsia" w:ascii="宋体" w:hAnsi="宋体" w:cs="宋体"/>
          <w:sz w:val="24"/>
          <w:szCs w:val="24"/>
        </w:rPr>
        <w:t>：</w:t>
      </w:r>
    </w:p>
    <w:p>
      <w:pPr>
        <w:numPr>
          <w:ilvl w:val="0"/>
          <w:numId w:val="13"/>
        </w:numPr>
        <w:tabs>
          <w:tab w:val="left" w:pos="0"/>
        </w:tabs>
        <w:adjustRightInd w:val="0"/>
        <w:snapToGrid w:val="0"/>
        <w:spacing w:line="360" w:lineRule="auto"/>
        <w:rPr>
          <w:rFonts w:ascii="宋体" w:cs="宋体"/>
          <w:sz w:val="24"/>
          <w:szCs w:val="24"/>
        </w:rPr>
      </w:pPr>
      <w:r>
        <w:rPr>
          <w:rFonts w:hint="eastAsia" w:ascii="宋体" w:hAnsi="宋体" w:cs="宋体"/>
          <w:sz w:val="24"/>
        </w:rPr>
        <w:t>在采购文件规定的响应有效期间，供应商撤回其响应文件</w:t>
      </w:r>
      <w:r>
        <w:rPr>
          <w:rFonts w:hint="eastAsia" w:ascii="宋体" w:hAnsi="宋体" w:cs="宋体"/>
          <w:sz w:val="24"/>
          <w:szCs w:val="24"/>
        </w:rPr>
        <w:t>；</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在采购人确定成交供应商以前放弃成交候选资格的；</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由于成交供应商原因未能按照采购文件的规定与采购人签订合同；</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由于成交供应商原因未能按照采购文件的规定交纳履约保证金；</w:t>
      </w:r>
    </w:p>
    <w:p>
      <w:pPr>
        <w:numPr>
          <w:ilvl w:val="0"/>
          <w:numId w:val="13"/>
        </w:numPr>
        <w:adjustRightInd w:val="0"/>
        <w:snapToGrid w:val="0"/>
        <w:spacing w:line="360" w:lineRule="auto"/>
        <w:rPr>
          <w:rFonts w:ascii="宋体" w:cs="宋体"/>
          <w:sz w:val="24"/>
          <w:szCs w:val="24"/>
        </w:rPr>
      </w:pPr>
      <w:r>
        <w:rPr>
          <w:rFonts w:hint="eastAsia" w:ascii="宋体" w:hAnsi="宋体" w:cs="宋体"/>
          <w:sz w:val="24"/>
          <w:szCs w:val="24"/>
        </w:rPr>
        <w:t>响应有效期内，供应商在政府采购活动中有违法、违规、违纪行为。</w:t>
      </w:r>
    </w:p>
    <w:p>
      <w:pPr>
        <w:pStyle w:val="4"/>
        <w:numPr>
          <w:ilvl w:val="0"/>
          <w:numId w:val="12"/>
        </w:numPr>
        <w:rPr>
          <w:rFonts w:ascii="宋体" w:cs="宋体"/>
        </w:rPr>
      </w:pPr>
      <w:bookmarkStart w:id="35" w:name="_Toc19668"/>
      <w:r>
        <w:rPr>
          <w:rFonts w:hint="eastAsia" w:ascii="宋体" w:hAnsi="宋体" w:cs="宋体"/>
        </w:rPr>
        <w:t>响应有效期</w:t>
      </w:r>
      <w:bookmarkEnd w:id="35"/>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4"/>
        <w:numPr>
          <w:ilvl w:val="0"/>
          <w:numId w:val="12"/>
        </w:numPr>
        <w:rPr>
          <w:rFonts w:ascii="宋体" w:cs="宋体"/>
        </w:rPr>
      </w:pPr>
      <w:bookmarkStart w:id="36" w:name="_Toc24827"/>
      <w:r>
        <w:rPr>
          <w:rFonts w:hint="eastAsia" w:ascii="宋体" w:hAnsi="宋体" w:cs="宋体"/>
        </w:rPr>
        <w:t>响应文件的格式、装订、密封和签署</w:t>
      </w:r>
      <w:bookmarkEnd w:id="36"/>
    </w:p>
    <w:p>
      <w:pPr>
        <w:tabs>
          <w:tab w:val="left" w:pos="0"/>
        </w:tabs>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33"/>
    <w:p>
      <w:pPr>
        <w:pStyle w:val="13"/>
      </w:pPr>
    </w:p>
    <w:p>
      <w:pPr>
        <w:widowControl/>
        <w:numPr>
          <w:ilvl w:val="0"/>
          <w:numId w:val="14"/>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37" w:name="_Toc3736"/>
    </w:p>
    <w:p>
      <w:pPr>
        <w:widowControl/>
        <w:spacing w:before="159" w:beforeLines="50" w:after="159" w:afterLines="50" w:line="500" w:lineRule="exact"/>
        <w:jc w:val="center"/>
        <w:outlineLvl w:val="1"/>
        <w:rPr>
          <w:rFonts w:ascii="宋体" w:cs="宋体"/>
          <w:b/>
          <w:bCs/>
          <w:kern w:val="0"/>
          <w:sz w:val="32"/>
          <w:szCs w:val="28"/>
        </w:rPr>
      </w:pPr>
      <w:bookmarkStart w:id="38" w:name="_Toc2959"/>
      <w:bookmarkStart w:id="39" w:name="_Toc3565"/>
      <w:r>
        <w:rPr>
          <w:rFonts w:hint="eastAsia" w:ascii="宋体" w:hAnsi="宋体" w:cs="宋体"/>
          <w:b/>
          <w:bCs/>
          <w:kern w:val="0"/>
          <w:sz w:val="32"/>
          <w:szCs w:val="28"/>
        </w:rPr>
        <w:t>四、响应文件的递交</w:t>
      </w:r>
      <w:bookmarkEnd w:id="38"/>
      <w:bookmarkEnd w:id="39"/>
    </w:p>
    <w:bookmarkEnd w:id="37"/>
    <w:p>
      <w:pPr>
        <w:pStyle w:val="4"/>
        <w:keepNext w:val="0"/>
        <w:keepLines w:val="0"/>
        <w:numPr>
          <w:ilvl w:val="0"/>
          <w:numId w:val="15"/>
        </w:numPr>
        <w:spacing w:line="500" w:lineRule="exact"/>
        <w:ind w:firstLine="643" w:firstLineChars="200"/>
        <w:rPr>
          <w:rFonts w:ascii="宋体" w:cs="宋体"/>
          <w:szCs w:val="28"/>
        </w:rPr>
      </w:pPr>
      <w:bookmarkStart w:id="40" w:name="_Toc3685"/>
      <w:r>
        <w:rPr>
          <w:rFonts w:hint="eastAsia" w:ascii="宋体" w:hAnsi="宋体" w:cs="宋体"/>
          <w:szCs w:val="28"/>
        </w:rPr>
        <w:t>响应文件递交</w:t>
      </w:r>
      <w:bookmarkEnd w:id="40"/>
    </w:p>
    <w:p>
      <w:pPr>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无论供应商成交与否，其响应文件恕不退还。</w:t>
      </w:r>
    </w:p>
    <w:p>
      <w:pPr>
        <w:pStyle w:val="4"/>
        <w:keepNext w:val="0"/>
        <w:keepLines w:val="0"/>
        <w:numPr>
          <w:ilvl w:val="0"/>
          <w:numId w:val="15"/>
        </w:numPr>
        <w:spacing w:line="500" w:lineRule="exact"/>
        <w:ind w:firstLine="643" w:firstLineChars="200"/>
        <w:rPr>
          <w:rFonts w:ascii="宋体" w:cs="宋体"/>
          <w:szCs w:val="28"/>
        </w:rPr>
      </w:pPr>
      <w:bookmarkStart w:id="41" w:name="_Toc12741"/>
      <w:r>
        <w:rPr>
          <w:rFonts w:hint="eastAsia" w:ascii="宋体" w:hAnsi="宋体" w:cs="宋体"/>
          <w:szCs w:val="28"/>
        </w:rPr>
        <w:t>响应文件的修改和撤回</w:t>
      </w:r>
      <w:bookmarkEnd w:id="41"/>
    </w:p>
    <w:p>
      <w:pPr>
        <w:spacing w:line="500" w:lineRule="exact"/>
        <w:ind w:firstLine="480" w:firstLineChars="2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在响应截止时间之后，供应商不得对其响应文件进行补充、修改或撤回。</w:t>
      </w:r>
    </w:p>
    <w:p>
      <w:pPr>
        <w:widowControl/>
        <w:spacing w:before="159" w:beforeLines="50" w:after="159" w:afterLines="50" w:line="500" w:lineRule="exact"/>
        <w:jc w:val="center"/>
        <w:outlineLvl w:val="1"/>
        <w:rPr>
          <w:rFonts w:ascii="宋体" w:cs="宋体"/>
          <w:b/>
          <w:bCs/>
          <w:kern w:val="0"/>
          <w:sz w:val="32"/>
          <w:szCs w:val="28"/>
        </w:rPr>
      </w:pPr>
      <w:bookmarkStart w:id="42" w:name="_Toc27066"/>
      <w:bookmarkStart w:id="43" w:name="_Toc14415"/>
      <w:bookmarkStart w:id="44" w:name="_Toc6195"/>
      <w:r>
        <w:rPr>
          <w:rFonts w:hint="eastAsia" w:ascii="宋体" w:hAnsi="宋体" w:cs="宋体"/>
          <w:b/>
          <w:bCs/>
          <w:kern w:val="0"/>
          <w:sz w:val="32"/>
          <w:szCs w:val="28"/>
        </w:rPr>
        <w:t>五、</w:t>
      </w:r>
      <w:r>
        <w:rPr>
          <w:rFonts w:ascii="宋体" w:hAnsi="宋体" w:cs="宋体"/>
          <w:b/>
          <w:bCs/>
          <w:kern w:val="0"/>
          <w:sz w:val="32"/>
          <w:szCs w:val="28"/>
        </w:rPr>
        <w:t xml:space="preserve"> </w:t>
      </w:r>
      <w:bookmarkEnd w:id="42"/>
      <w:bookmarkEnd w:id="43"/>
      <w:r>
        <w:rPr>
          <w:rFonts w:hint="eastAsia" w:ascii="宋体" w:hAnsi="宋体" w:cs="宋体"/>
          <w:b/>
          <w:bCs/>
          <w:kern w:val="0"/>
          <w:sz w:val="32"/>
          <w:szCs w:val="28"/>
        </w:rPr>
        <w:t>采购程序</w:t>
      </w:r>
      <w:bookmarkEnd w:id="44"/>
    </w:p>
    <w:p>
      <w:pPr>
        <w:pStyle w:val="4"/>
        <w:keepNext w:val="0"/>
        <w:keepLines w:val="0"/>
        <w:numPr>
          <w:ilvl w:val="0"/>
          <w:numId w:val="16"/>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 xml:space="preserve">1.1 </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7"/>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7"/>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7"/>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7"/>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r>
        <w:rPr>
          <w:rFonts w:ascii="宋体" w:hAnsi="宋体" w:cs="宋体"/>
          <w:sz w:val="24"/>
          <w:szCs w:val="24"/>
        </w:rPr>
        <w:t xml:space="preserve"> </w:t>
      </w:r>
    </w:p>
    <w:p>
      <w:pPr>
        <w:numPr>
          <w:ilvl w:val="0"/>
          <w:numId w:val="17"/>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7"/>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4"/>
        <w:keepNext w:val="0"/>
        <w:keepLines w:val="0"/>
        <w:numPr>
          <w:ilvl w:val="0"/>
          <w:numId w:val="16"/>
        </w:numPr>
        <w:spacing w:line="500" w:lineRule="exact"/>
        <w:ind w:firstLine="643" w:firstLineChars="200"/>
        <w:rPr>
          <w:rFonts w:ascii="宋体" w:cs="宋体"/>
          <w:szCs w:val="28"/>
        </w:rPr>
      </w:pPr>
      <w:r>
        <w:rPr>
          <w:rFonts w:hint="eastAsia" w:ascii="宋体" w:cs="宋体"/>
          <w:szCs w:val="28"/>
        </w:rPr>
        <w:t>协商小组</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为确保协商工作公开、公平、公正，依法成立协商小组。</w:t>
      </w:r>
      <w:r>
        <w:rPr>
          <w:rFonts w:ascii="宋体" w:hAnsi="宋体" w:cs="宋体"/>
          <w:sz w:val="24"/>
          <w:szCs w:val="24"/>
        </w:rPr>
        <w:t xml:space="preserve"> </w:t>
      </w:r>
      <w:r>
        <w:rPr>
          <w:rFonts w:hint="eastAsia" w:ascii="宋体" w:hAnsi="宋体" w:cs="宋体"/>
          <w:sz w:val="24"/>
          <w:szCs w:val="24"/>
        </w:rPr>
        <w:t>协商小组应当为</w:t>
      </w:r>
      <w:r>
        <w:rPr>
          <w:rFonts w:ascii="宋体" w:hAnsi="宋体" w:cs="宋体"/>
          <w:sz w:val="24"/>
          <w:szCs w:val="24"/>
        </w:rPr>
        <w:t>3</w:t>
      </w:r>
      <w:r>
        <w:rPr>
          <w:rFonts w:hint="eastAsia" w:ascii="宋体" w:hAnsi="宋体" w:cs="宋体"/>
          <w:sz w:val="24"/>
          <w:szCs w:val="24"/>
        </w:rPr>
        <w:t>人（含）以上单数。协商小组成员应当遵守并履行下列责任和义务：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4"/>
        <w:numPr>
          <w:ilvl w:val="0"/>
          <w:numId w:val="16"/>
        </w:numPr>
        <w:spacing w:line="500" w:lineRule="exact"/>
        <w:ind w:firstLine="643" w:firstLineChars="200"/>
        <w:rPr>
          <w:rFonts w:ascii="宋体" w:cs="宋体"/>
          <w:szCs w:val="28"/>
        </w:rPr>
      </w:pPr>
      <w:bookmarkStart w:id="45" w:name="_Toc386129876"/>
      <w:bookmarkStart w:id="46" w:name="_Toc27940"/>
      <w:bookmarkStart w:id="47" w:name="_Toc385958808"/>
      <w:bookmarkStart w:id="48" w:name="_Toc28085"/>
      <w:r>
        <w:rPr>
          <w:rFonts w:hint="eastAsia" w:ascii="宋体" w:hAnsi="宋体" w:cs="宋体"/>
          <w:szCs w:val="28"/>
        </w:rPr>
        <w:t>响应文件初审</w:t>
      </w:r>
      <w:bookmarkEnd w:id="45"/>
      <w:bookmarkEnd w:id="46"/>
      <w:bookmarkEnd w:id="47"/>
      <w:bookmarkEnd w:id="48"/>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w:t>
      </w:r>
      <w:r>
        <w:rPr>
          <w:rFonts w:hint="eastAsia" w:ascii="宋体" w:hAnsi="宋体" w:cs="宋体"/>
          <w:color w:val="000000"/>
          <w:kern w:val="0"/>
          <w:sz w:val="24"/>
          <w:szCs w:val="24"/>
          <w:lang w:eastAsia="zh-CN"/>
        </w:rPr>
        <w:t>采购人或采购代理机构</w:t>
      </w:r>
      <w:r>
        <w:rPr>
          <w:rFonts w:hint="eastAsia" w:ascii="宋体" w:hAnsi="宋体" w:cs="宋体"/>
          <w:color w:val="000000"/>
          <w:kern w:val="0"/>
          <w:sz w:val="24"/>
          <w:szCs w:val="24"/>
        </w:rPr>
        <w:t>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lang w:eastAsia="zh-CN"/>
        </w:rPr>
        <w:t>协商</w:t>
      </w:r>
      <w:r>
        <w:rPr>
          <w:rFonts w:hint="eastAsia" w:ascii="宋体" w:hAnsi="宋体" w:cs="宋体"/>
          <w:kern w:val="0"/>
          <w:sz w:val="24"/>
          <w:szCs w:val="24"/>
        </w:rPr>
        <w:t>小组应当对符合资格的供应商的响应文件进行符合性审查，以确定其是否满足采购文件的实质性要求。符合性审查内容详见供应商须知前附表。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r>
        <w:rPr>
          <w:rFonts w:hint="eastAsia" w:ascii="宋体" w:hAnsi="宋体" w:cs="宋体"/>
          <w:sz w:val="24"/>
          <w:szCs w:val="24"/>
        </w:rPr>
        <w:t xml:space="preserve"> </w:t>
      </w:r>
    </w:p>
    <w:p>
      <w:pPr>
        <w:pStyle w:val="4"/>
        <w:numPr>
          <w:ilvl w:val="0"/>
          <w:numId w:val="16"/>
        </w:numPr>
        <w:spacing w:line="500" w:lineRule="exact"/>
        <w:ind w:firstLine="643" w:firstLineChars="200"/>
        <w:rPr>
          <w:rFonts w:ascii="宋体" w:cs="宋体"/>
          <w:szCs w:val="28"/>
        </w:rPr>
      </w:pPr>
      <w:bookmarkStart w:id="49" w:name="_Toc17705"/>
      <w:r>
        <w:rPr>
          <w:rFonts w:hint="eastAsia" w:ascii="宋体" w:hAnsi="宋体" w:cs="宋体"/>
          <w:szCs w:val="28"/>
        </w:rPr>
        <w:t>响应文件澄清</w:t>
      </w:r>
      <w:bookmarkEnd w:id="49"/>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w:t>
      </w:r>
      <w:r>
        <w:rPr>
          <w:rFonts w:hint="eastAsia" w:ascii="宋体" w:hAnsi="宋体" w:cs="宋体"/>
          <w:sz w:val="24"/>
          <w:szCs w:val="24"/>
          <w:lang w:eastAsia="zh-CN"/>
        </w:rPr>
        <w:t>协商小组</w:t>
      </w:r>
      <w:r>
        <w:rPr>
          <w:rFonts w:hint="eastAsia" w:ascii="宋体" w:hAnsi="宋体" w:cs="宋体"/>
          <w:sz w:val="24"/>
          <w:szCs w:val="24"/>
        </w:rPr>
        <w:t>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w:t>
      </w:r>
      <w:r>
        <w:rPr>
          <w:rFonts w:hint="eastAsia" w:ascii="宋体" w:hAnsi="宋体" w:cs="宋体"/>
          <w:kern w:val="0"/>
          <w:sz w:val="24"/>
          <w:szCs w:val="24"/>
          <w:lang w:eastAsia="zh-CN"/>
        </w:rPr>
        <w:t>协商小组</w:t>
      </w:r>
      <w:r>
        <w:rPr>
          <w:rFonts w:hint="eastAsia" w:ascii="宋体" w:hAnsi="宋体" w:cs="宋体"/>
          <w:kern w:val="0"/>
          <w:sz w:val="24"/>
          <w:szCs w:val="24"/>
        </w:rPr>
        <w:t>通知的内容和时间做出书面答复，该答复经法定代表人或供应商代表的签字认可，将作为响应文件内容的一部分。供应商拒不按照要求对响应文件进行澄清、说明或者补正的，供应商将自行承担无效响应的风险。</w:t>
      </w:r>
      <w:r>
        <w:rPr>
          <w:rFonts w:ascii="宋体" w:hAnsi="宋体" w:cs="宋体"/>
          <w:kern w:val="0"/>
          <w:sz w:val="24"/>
          <w:szCs w:val="24"/>
        </w:rPr>
        <w:t xml:space="preserve"> </w:t>
      </w:r>
    </w:p>
    <w:p>
      <w:pPr>
        <w:pStyle w:val="4"/>
        <w:numPr>
          <w:ilvl w:val="0"/>
          <w:numId w:val="16"/>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协商小组</w:t>
      </w:r>
      <w:r>
        <w:rPr>
          <w:rFonts w:hint="eastAsia" w:ascii="宋体" w:hAnsi="宋体" w:cs="宋体"/>
          <w:sz w:val="24"/>
          <w:szCs w:val="24"/>
        </w:rPr>
        <w:t>应严格按照采购文件的要求和条件进行；具体协商原则和成交条件详见采购文件第四部分“评审办法”。</w:t>
      </w:r>
    </w:p>
    <w:p>
      <w:pPr>
        <w:pStyle w:val="4"/>
        <w:numPr>
          <w:ilvl w:val="0"/>
          <w:numId w:val="16"/>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159" w:beforeLines="50" w:after="159" w:afterLines="50" w:line="500" w:lineRule="exact"/>
        <w:jc w:val="center"/>
        <w:outlineLvl w:val="1"/>
        <w:rPr>
          <w:rFonts w:ascii="宋体" w:cs="宋体"/>
          <w:b/>
          <w:bCs/>
          <w:kern w:val="0"/>
          <w:sz w:val="32"/>
          <w:szCs w:val="28"/>
        </w:rPr>
      </w:pPr>
      <w:bookmarkStart w:id="50" w:name="_Toc19972"/>
      <w:bookmarkStart w:id="51" w:name="_Toc25308"/>
      <w:bookmarkStart w:id="52" w:name="_Toc880"/>
      <w:r>
        <w:rPr>
          <w:rFonts w:hint="eastAsia" w:ascii="宋体" w:hAnsi="宋体" w:cs="宋体"/>
          <w:b/>
          <w:bCs/>
          <w:kern w:val="0"/>
          <w:sz w:val="32"/>
          <w:szCs w:val="28"/>
        </w:rPr>
        <w:t>六、签订合同</w:t>
      </w:r>
      <w:bookmarkEnd w:id="50"/>
      <w:bookmarkEnd w:id="51"/>
      <w:bookmarkEnd w:id="52"/>
    </w:p>
    <w:p>
      <w:pPr>
        <w:spacing w:line="360" w:lineRule="auto"/>
        <w:ind w:firstLine="420" w:firstLineChars="175"/>
        <w:jc w:val="left"/>
        <w:rPr>
          <w:rFonts w:ascii="宋体" w:cs="宋体"/>
          <w:sz w:val="24"/>
        </w:rPr>
      </w:pPr>
      <w:bookmarkStart w:id="53" w:name="_Toc3298"/>
      <w:r>
        <w:rPr>
          <w:rFonts w:ascii="宋体" w:cs="宋体"/>
          <w:sz w:val="24"/>
        </w:rPr>
        <w:t xml:space="preserve">6.1 </w:t>
      </w:r>
      <w:r>
        <w:rPr>
          <w:rFonts w:hint="eastAsia" w:ascii="宋体" w:cs="宋体"/>
          <w:sz w:val="24"/>
        </w:rPr>
        <w:t>成交后，成交供应商与采购人洽谈合同条款，并签订供货合同，同时送代理机构归档，单一来源采购文件及成交供应商的响应文件均作为合同的组成部分。</w:t>
      </w:r>
      <w:r>
        <w:rPr>
          <w:rFonts w:hint="eastAsia" w:ascii="宋体" w:hAnsi="宋体" w:cs="宋体"/>
          <w:sz w:val="24"/>
          <w:szCs w:val="24"/>
        </w:rPr>
        <w:t>供应商中标后（无论整体或部分中标），供应商须向学校交纳合同履约保证金，合同履约保证金数量为中标金额的5%（取整），不足1万元的按1万元收取。</w:t>
      </w:r>
    </w:p>
    <w:p>
      <w:pPr>
        <w:spacing w:line="360" w:lineRule="auto"/>
        <w:ind w:firstLine="420" w:firstLineChars="175"/>
        <w:jc w:val="left"/>
        <w:rPr>
          <w:rFonts w:hint="eastAsia" w:ascii="宋体" w:hAnsi="宋体" w:cs="宋体"/>
          <w:color w:val="000000"/>
          <w:sz w:val="24"/>
        </w:rPr>
      </w:pPr>
      <w:r>
        <w:rPr>
          <w:rFonts w:hint="eastAsia" w:ascii="宋体" w:hAnsi="宋体" w:cs="宋体"/>
          <w:color w:val="000000"/>
          <w:sz w:val="24"/>
        </w:rPr>
        <w:t xml:space="preserve"> 转账账号：西北大学</w:t>
      </w:r>
    </w:p>
    <w:p>
      <w:pPr>
        <w:spacing w:line="360" w:lineRule="auto"/>
        <w:ind w:firstLine="420" w:firstLineChars="175"/>
        <w:jc w:val="left"/>
        <w:rPr>
          <w:rFonts w:hint="eastAsia" w:ascii="宋体" w:hAnsi="宋体" w:cs="宋体"/>
          <w:color w:val="000000"/>
          <w:sz w:val="24"/>
        </w:rPr>
      </w:pPr>
      <w:r>
        <w:rPr>
          <w:rFonts w:hint="eastAsia" w:ascii="宋体" w:hAnsi="宋体" w:cs="宋体"/>
          <w:color w:val="000000"/>
          <w:sz w:val="24"/>
        </w:rPr>
        <w:t xml:space="preserve">           611301015018001145006</w:t>
      </w:r>
    </w:p>
    <w:p>
      <w:pPr>
        <w:spacing w:line="360" w:lineRule="auto"/>
        <w:ind w:firstLine="420" w:firstLineChars="175"/>
        <w:jc w:val="left"/>
        <w:rPr>
          <w:rFonts w:hint="eastAsia" w:ascii="宋体" w:hAnsi="宋体" w:cs="宋体"/>
          <w:color w:val="000000"/>
          <w:sz w:val="24"/>
        </w:rPr>
      </w:pPr>
      <w:r>
        <w:rPr>
          <w:rFonts w:hint="eastAsia" w:ascii="宋体" w:hAnsi="宋体" w:cs="宋体"/>
          <w:color w:val="000000"/>
          <w:sz w:val="24"/>
        </w:rPr>
        <w:t xml:space="preserve">           交通银行太白路支行</w:t>
      </w:r>
    </w:p>
    <w:p>
      <w:pPr>
        <w:spacing w:line="360" w:lineRule="auto"/>
        <w:ind w:firstLine="420" w:firstLineChars="175"/>
        <w:jc w:val="left"/>
        <w:rPr>
          <w:rFonts w:ascii="宋体" w:cs="宋体"/>
          <w:sz w:val="24"/>
        </w:rPr>
      </w:pPr>
      <w:r>
        <w:rPr>
          <w:rFonts w:hint="eastAsia" w:ascii="宋体" w:cs="宋体"/>
          <w:sz w:val="24"/>
        </w:rPr>
        <w:t>待合同执行完毕、验收合格后凭验收单和缴款收据，合同履约保证金予以无息退还。如遇下列情况之一者，合同履约保证金不予退还，作为对招标人的赔偿：</w:t>
      </w:r>
    </w:p>
    <w:p>
      <w:pPr>
        <w:spacing w:line="360" w:lineRule="auto"/>
        <w:ind w:firstLine="420" w:firstLineChars="175"/>
        <w:jc w:val="left"/>
        <w:rPr>
          <w:rFonts w:ascii="宋体" w:cs="宋体"/>
          <w:sz w:val="24"/>
        </w:rPr>
      </w:pPr>
      <w:r>
        <w:rPr>
          <w:rFonts w:hint="eastAsia" w:ascii="宋体" w:cs="宋体"/>
          <w:sz w:val="24"/>
        </w:rPr>
        <w:t>（1）合同签订后不能按合同时限要求供货或安装调试的；</w:t>
      </w:r>
    </w:p>
    <w:p>
      <w:pPr>
        <w:spacing w:line="360" w:lineRule="auto"/>
        <w:ind w:firstLine="420" w:firstLineChars="175"/>
        <w:jc w:val="left"/>
        <w:rPr>
          <w:rFonts w:ascii="宋体" w:cs="宋体"/>
          <w:sz w:val="24"/>
        </w:rPr>
      </w:pPr>
      <w:r>
        <w:rPr>
          <w:rFonts w:hint="eastAsia" w:ascii="宋体" w:cs="宋体"/>
          <w:sz w:val="24"/>
        </w:rPr>
        <w:t>（2）与合同不符或验收不合格的；</w:t>
      </w:r>
    </w:p>
    <w:p>
      <w:pPr>
        <w:spacing w:line="360" w:lineRule="auto"/>
        <w:ind w:firstLine="420" w:firstLineChars="175"/>
        <w:jc w:val="left"/>
        <w:rPr>
          <w:rFonts w:ascii="宋体" w:cs="宋体"/>
          <w:sz w:val="24"/>
        </w:rPr>
      </w:pPr>
      <w:r>
        <w:rPr>
          <w:rFonts w:hint="eastAsia" w:ascii="宋体" w:cs="宋体"/>
          <w:sz w:val="24"/>
        </w:rPr>
        <w:t>（3）不能按合同履约的。</w:t>
      </w:r>
    </w:p>
    <w:p>
      <w:pPr>
        <w:spacing w:line="360" w:lineRule="auto"/>
        <w:jc w:val="left"/>
        <w:rPr>
          <w:rFonts w:ascii="宋体" w:cs="宋体"/>
          <w:sz w:val="24"/>
        </w:rPr>
      </w:pPr>
      <w:r>
        <w:rPr>
          <w:rFonts w:ascii="宋体" w:cs="宋体"/>
          <w:sz w:val="24"/>
        </w:rPr>
        <w:t xml:space="preserve">   6.2</w:t>
      </w:r>
      <w:r>
        <w:rPr>
          <w:rFonts w:hint="eastAsia" w:ascii="宋体" w:cs="宋体"/>
          <w:sz w:val="24"/>
        </w:rPr>
        <w:t>根据需要，代理机构应协助采购人监督、协调和处理履约过程中出现的问题。</w:t>
      </w:r>
    </w:p>
    <w:p>
      <w:pPr>
        <w:spacing w:line="360" w:lineRule="auto"/>
        <w:ind w:firstLine="420" w:firstLineChars="175"/>
        <w:jc w:val="left"/>
        <w:rPr>
          <w:rFonts w:ascii="宋体" w:cs="宋体"/>
          <w:sz w:val="24"/>
        </w:rPr>
      </w:pPr>
      <w:r>
        <w:rPr>
          <w:rFonts w:ascii="宋体" w:cs="宋体"/>
          <w:sz w:val="24"/>
        </w:rPr>
        <w:t>6.3</w:t>
      </w:r>
      <w:r>
        <w:rPr>
          <w:rFonts w:hint="eastAsia" w:ascii="宋体" w:cs="宋体"/>
          <w:sz w:val="24"/>
        </w:rPr>
        <w:t>陕西省财政厅政府采购管理处在合同履行期间以及履行期后，可以随时检查项目的执行情况，对采购标准、采购内容进行调查核实，并对发现的问题进行处理。</w:t>
      </w:r>
    </w:p>
    <w:p>
      <w:pPr>
        <w:pStyle w:val="2"/>
        <w:pageBreakBefore/>
        <w:numPr>
          <w:ilvl w:val="0"/>
          <w:numId w:val="18"/>
        </w:numPr>
        <w:spacing w:before="319" w:beforeLines="100" w:after="319" w:afterLines="100" w:line="500" w:lineRule="exact"/>
        <w:rPr>
          <w:rFonts w:ascii="宋体" w:cs="宋体"/>
          <w:color w:val="000000"/>
          <w:sz w:val="36"/>
          <w:szCs w:val="36"/>
        </w:rPr>
      </w:pPr>
      <w:bookmarkStart w:id="54" w:name="_Toc493"/>
      <w:r>
        <w:rPr>
          <w:rFonts w:hint="eastAsia" w:ascii="宋体" w:hAnsi="宋体" w:cs="宋体"/>
          <w:color w:val="000000"/>
          <w:sz w:val="36"/>
          <w:szCs w:val="36"/>
        </w:rPr>
        <w:t>分</w:t>
      </w:r>
      <w:r>
        <w:rPr>
          <w:rFonts w:ascii="宋体" w:hAnsi="宋体" w:cs="宋体"/>
          <w:color w:val="000000"/>
          <w:sz w:val="36"/>
          <w:szCs w:val="36"/>
        </w:rPr>
        <w:t xml:space="preserve">  </w:t>
      </w:r>
      <w:bookmarkEnd w:id="53"/>
      <w:r>
        <w:rPr>
          <w:rFonts w:hint="eastAsia" w:ascii="宋体" w:hAnsi="宋体" w:cs="宋体"/>
          <w:color w:val="000000"/>
          <w:sz w:val="36"/>
          <w:szCs w:val="36"/>
        </w:rPr>
        <w:t>评审办法</w:t>
      </w:r>
      <w:bookmarkEnd w:id="54"/>
    </w:p>
    <w:p>
      <w:pPr>
        <w:spacing w:line="360" w:lineRule="auto"/>
        <w:ind w:firstLine="482" w:firstLineChars="200"/>
        <w:rPr>
          <w:b/>
          <w:bCs/>
          <w:sz w:val="24"/>
          <w:szCs w:val="24"/>
        </w:rPr>
      </w:pPr>
      <w:r>
        <w:rPr>
          <w:rFonts w:hint="eastAsia"/>
          <w:b/>
          <w:bCs/>
          <w:sz w:val="24"/>
          <w:szCs w:val="24"/>
        </w:rPr>
        <w:t>1、评定原则：</w:t>
      </w:r>
    </w:p>
    <w:p>
      <w:pPr>
        <w:spacing w:line="360" w:lineRule="auto"/>
        <w:ind w:firstLine="480"/>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spacing w:line="360" w:lineRule="auto"/>
        <w:ind w:firstLine="480"/>
        <w:rPr>
          <w:sz w:val="24"/>
          <w:szCs w:val="24"/>
        </w:rPr>
      </w:pPr>
      <w:r>
        <w:rPr>
          <w:rFonts w:hint="eastAsia"/>
          <w:b/>
          <w:bCs/>
          <w:sz w:val="24"/>
          <w:szCs w:val="24"/>
        </w:rPr>
        <w:t>2、谈判方式及程序：</w:t>
      </w:r>
    </w:p>
    <w:p>
      <w:pPr>
        <w:spacing w:line="360" w:lineRule="auto"/>
        <w:rPr>
          <w:sz w:val="24"/>
          <w:szCs w:val="24"/>
        </w:rPr>
      </w:pPr>
      <w:r>
        <w:rPr>
          <w:rFonts w:hint="eastAsia"/>
          <w:sz w:val="24"/>
          <w:szCs w:val="24"/>
        </w:rPr>
        <w:t xml:space="preserve">    2.1.初审和初评：由</w:t>
      </w:r>
      <w:r>
        <w:rPr>
          <w:rFonts w:hint="eastAsia"/>
          <w:sz w:val="24"/>
          <w:szCs w:val="24"/>
          <w:lang w:eastAsia="zh-CN"/>
        </w:rPr>
        <w:t>协商小组</w:t>
      </w:r>
      <w:r>
        <w:rPr>
          <w:rFonts w:hint="eastAsia"/>
          <w:sz w:val="24"/>
          <w:szCs w:val="24"/>
        </w:rPr>
        <w:t>对参谈供应商提供的文件资料进行初审和初评。</w:t>
      </w:r>
    </w:p>
    <w:p>
      <w:pPr>
        <w:spacing w:line="360" w:lineRule="auto"/>
        <w:rPr>
          <w:sz w:val="24"/>
          <w:szCs w:val="24"/>
        </w:rPr>
      </w:pPr>
      <w:r>
        <w:rPr>
          <w:rFonts w:hint="eastAsia"/>
          <w:sz w:val="24"/>
          <w:szCs w:val="24"/>
        </w:rPr>
        <w:t xml:space="preserve">    2.2.第一轮谈判：对参谈供应商再次进行评审、质疑和澄清。在此阶段，</w:t>
      </w:r>
      <w:r>
        <w:rPr>
          <w:rFonts w:hint="eastAsia"/>
          <w:sz w:val="24"/>
          <w:szCs w:val="24"/>
          <w:lang w:eastAsia="zh-CN"/>
        </w:rPr>
        <w:t>协商小组</w:t>
      </w:r>
      <w:r>
        <w:rPr>
          <w:rFonts w:hint="eastAsia"/>
          <w:sz w:val="24"/>
          <w:szCs w:val="24"/>
        </w:rPr>
        <w:t>依据参谈供应商递交的文件资料进行服务和商务谈判，根据评审情况要求参谈供应商进行重新承诺服务和第二次报价，以满足采购人最大需求。</w:t>
      </w:r>
    </w:p>
    <w:p>
      <w:pPr>
        <w:spacing w:line="360" w:lineRule="auto"/>
        <w:rPr>
          <w:sz w:val="24"/>
          <w:szCs w:val="24"/>
        </w:rPr>
      </w:pPr>
      <w:r>
        <w:rPr>
          <w:rFonts w:hint="eastAsia"/>
          <w:sz w:val="24"/>
          <w:szCs w:val="24"/>
        </w:rPr>
        <w:t xml:space="preserve">    2.3.第二轮谈判：对第一轮谈判结果不满意，</w:t>
      </w:r>
      <w:r>
        <w:rPr>
          <w:rFonts w:hint="eastAsia"/>
          <w:sz w:val="24"/>
          <w:szCs w:val="24"/>
          <w:lang w:eastAsia="zh-CN"/>
        </w:rPr>
        <w:t>协商小组</w:t>
      </w:r>
      <w:r>
        <w:rPr>
          <w:rFonts w:hint="eastAsia"/>
          <w:sz w:val="24"/>
          <w:szCs w:val="24"/>
        </w:rPr>
        <w:t>可以再次要求参谈供应商进行第二轮谈判，谈判内容及要求跟第一轮谈判一样。</w:t>
      </w:r>
    </w:p>
    <w:p>
      <w:pPr>
        <w:spacing w:line="360" w:lineRule="auto"/>
        <w:rPr>
          <w:sz w:val="24"/>
          <w:szCs w:val="24"/>
        </w:rPr>
      </w:pPr>
      <w:r>
        <w:rPr>
          <w:rFonts w:hint="eastAsia"/>
          <w:sz w:val="24"/>
          <w:szCs w:val="24"/>
        </w:rPr>
        <w:t xml:space="preserve">    2. 4.谈判轮次最多不得超过三轮。</w:t>
      </w:r>
    </w:p>
    <w:p>
      <w:pPr>
        <w:spacing w:line="360" w:lineRule="auto"/>
        <w:rPr>
          <w:sz w:val="24"/>
          <w:szCs w:val="24"/>
        </w:rPr>
      </w:pPr>
      <w:r>
        <w:rPr>
          <w:rFonts w:hint="eastAsia"/>
          <w:sz w:val="24"/>
          <w:szCs w:val="24"/>
        </w:rPr>
        <w:t xml:space="preserve">    2.5.最终报价：谈判结束前，</w:t>
      </w:r>
      <w:r>
        <w:rPr>
          <w:rFonts w:hint="eastAsia"/>
          <w:sz w:val="24"/>
          <w:szCs w:val="24"/>
          <w:lang w:eastAsia="zh-CN"/>
        </w:rPr>
        <w:t>协商小组</w:t>
      </w:r>
      <w:r>
        <w:rPr>
          <w:rFonts w:hint="eastAsia"/>
          <w:sz w:val="24"/>
          <w:szCs w:val="24"/>
        </w:rPr>
        <w:t>需对参谈供应商要求一次最后的报价。</w:t>
      </w:r>
    </w:p>
    <w:p>
      <w:pPr>
        <w:spacing w:line="360" w:lineRule="auto"/>
        <w:rPr>
          <w:sz w:val="24"/>
          <w:szCs w:val="24"/>
        </w:rPr>
      </w:pPr>
      <w:r>
        <w:rPr>
          <w:rFonts w:hint="eastAsia"/>
          <w:sz w:val="24"/>
          <w:szCs w:val="24"/>
        </w:rPr>
        <w:t xml:space="preserve">    2. 6.如果</w:t>
      </w:r>
      <w:r>
        <w:rPr>
          <w:rFonts w:hint="eastAsia"/>
          <w:sz w:val="24"/>
          <w:szCs w:val="24"/>
          <w:lang w:eastAsia="zh-CN"/>
        </w:rPr>
        <w:t>协商小组</w:t>
      </w:r>
      <w:r>
        <w:rPr>
          <w:rFonts w:hint="eastAsia"/>
          <w:sz w:val="24"/>
          <w:szCs w:val="24"/>
        </w:rPr>
        <w:t>对最终结果还是不满意的，</w:t>
      </w:r>
      <w:r>
        <w:rPr>
          <w:rFonts w:hint="eastAsia"/>
          <w:sz w:val="24"/>
          <w:szCs w:val="24"/>
          <w:lang w:eastAsia="zh-CN"/>
        </w:rPr>
        <w:t>协商小组</w:t>
      </w:r>
      <w:r>
        <w:rPr>
          <w:rFonts w:hint="eastAsia"/>
          <w:sz w:val="24"/>
          <w:szCs w:val="24"/>
        </w:rPr>
        <w:t>有权决定拒绝谈判。</w:t>
      </w:r>
    </w:p>
    <w:p>
      <w:pPr>
        <w:spacing w:line="360" w:lineRule="auto"/>
        <w:rPr>
          <w:sz w:val="24"/>
          <w:szCs w:val="24"/>
        </w:rPr>
      </w:pPr>
      <w:r>
        <w:rPr>
          <w:rFonts w:hint="eastAsia"/>
          <w:sz w:val="24"/>
          <w:szCs w:val="24"/>
        </w:rPr>
        <w:t xml:space="preserve">    2.7.谈判时，供应商应派代表参加谈判。参谈供应商人员必须在由采购代理机构指定的地点，并及时解释和澄清参谈文件内容及重新承诺书等。</w:t>
      </w:r>
    </w:p>
    <w:p>
      <w:pPr>
        <w:spacing w:line="360" w:lineRule="auto"/>
        <w:rPr>
          <w:sz w:val="24"/>
          <w:szCs w:val="24"/>
        </w:rPr>
      </w:pPr>
      <w:r>
        <w:rPr>
          <w:rFonts w:hint="eastAsia"/>
          <w:b/>
          <w:bCs/>
          <w:sz w:val="24"/>
          <w:szCs w:val="24"/>
          <w:lang w:val="en-US" w:eastAsia="zh-CN"/>
        </w:rPr>
        <w:t xml:space="preserve">    </w:t>
      </w:r>
      <w:r>
        <w:rPr>
          <w:rFonts w:hint="eastAsia"/>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pPr>
    </w:p>
    <w:p>
      <w:pPr>
        <w:pStyle w:val="2"/>
        <w:pageBreakBefore/>
        <w:numPr>
          <w:ilvl w:val="0"/>
          <w:numId w:val="19"/>
        </w:numPr>
        <w:spacing w:before="319" w:beforeLines="100" w:after="319" w:afterLines="100" w:line="500" w:lineRule="exact"/>
        <w:rPr>
          <w:rFonts w:ascii="宋体" w:hAnsi="宋体" w:cs="宋体"/>
          <w:sz w:val="36"/>
          <w:szCs w:val="36"/>
        </w:rPr>
      </w:pPr>
      <w:r>
        <w:rPr>
          <w:rFonts w:ascii="宋体" w:hAnsi="宋体" w:cs="宋体"/>
          <w:sz w:val="36"/>
          <w:szCs w:val="36"/>
        </w:rPr>
        <w:t xml:space="preserve">  </w:t>
      </w:r>
      <w:bookmarkStart w:id="55" w:name="_Toc10953"/>
      <w:r>
        <w:rPr>
          <w:rFonts w:hint="eastAsia" w:ascii="宋体" w:hAnsi="宋体" w:cs="宋体"/>
          <w:sz w:val="36"/>
          <w:szCs w:val="36"/>
        </w:rPr>
        <w:t>采购要求</w:t>
      </w:r>
      <w:bookmarkEnd w:id="55"/>
    </w:p>
    <w:p>
      <w:pPr>
        <w:rPr>
          <w:rFonts w:hint="eastAsia" w:ascii="仿宋" w:hAnsi="仿宋" w:eastAsia="仿宋" w:cs="仿宋"/>
          <w:b/>
          <w:bCs/>
          <w:sz w:val="28"/>
          <w:szCs w:val="28"/>
          <w:highlight w:val="yellow"/>
        </w:rPr>
      </w:pPr>
      <w:r>
        <w:rPr>
          <w:rFonts w:hint="eastAsia" w:ascii="仿宋" w:hAnsi="仿宋" w:eastAsia="仿宋" w:cs="仿宋"/>
          <w:b/>
          <w:bCs/>
          <w:sz w:val="28"/>
          <w:szCs w:val="28"/>
          <w:highlight w:val="yellow"/>
          <w:lang w:eastAsia="zh-CN"/>
        </w:rPr>
        <w:t>注：★</w:t>
      </w:r>
      <w:r>
        <w:rPr>
          <w:rFonts w:hint="eastAsia" w:ascii="仿宋" w:hAnsi="仿宋" w:eastAsia="仿宋" w:cs="仿宋"/>
          <w:b/>
          <w:bCs/>
          <w:sz w:val="28"/>
          <w:szCs w:val="28"/>
          <w:highlight w:val="yellow"/>
        </w:rPr>
        <w:t>为实质性要求，不得负偏离，否则按无效响应处理。</w:t>
      </w:r>
    </w:p>
    <w:p>
      <w:pPr>
        <w:jc w:val="left"/>
        <w:outlineLvl w:val="9"/>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1、技术要求</w:t>
      </w:r>
    </w:p>
    <w:tbl>
      <w:tblPr>
        <w:tblStyle w:val="29"/>
        <w:tblpPr w:leftFromText="180" w:rightFromText="180" w:vertAnchor="text" w:tblpXSpec="center" w:tblpY="1"/>
        <w:tblOverlap w:val="never"/>
        <w:tblW w:w="91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3"/>
        <w:gridCol w:w="831"/>
        <w:gridCol w:w="7321"/>
        <w:gridCol w:w="5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仪器名称</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技术指标</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1</w:t>
            </w:r>
          </w:p>
        </w:tc>
        <w:tc>
          <w:tcPr>
            <w:tcW w:w="0" w:type="auto"/>
            <w:vAlign w:val="center"/>
          </w:tcPr>
          <w:p>
            <w:pPr>
              <w:jc w:val="center"/>
              <w:rPr>
                <w:rFonts w:hint="eastAsia" w:ascii="宋体" w:hAnsi="宋体" w:eastAsia="宋体" w:cs="宋体"/>
                <w:b/>
                <w:sz w:val="16"/>
                <w:szCs w:val="16"/>
              </w:rPr>
            </w:pPr>
            <w:r>
              <w:rPr>
                <w:rFonts w:hint="eastAsia" w:ascii="宋体" w:hAnsi="宋体" w:eastAsia="宋体" w:cs="宋体"/>
                <w:b/>
                <w:sz w:val="24"/>
                <w:szCs w:val="24"/>
              </w:rPr>
              <w:t>光热显微红外光谱仪</w:t>
            </w:r>
          </w:p>
        </w:tc>
        <w:tc>
          <w:tcPr>
            <w:tcW w:w="0" w:type="auto"/>
            <w:vAlign w:val="center"/>
          </w:tcPr>
          <w:p>
            <w:pPr>
              <w:adjustRightInd w:val="0"/>
              <w:snapToGrid w:val="0"/>
              <w:spacing w:before="312" w:beforeLines="100" w:after="156" w:afterLines="50"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一、用途：</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红外光谱属于分子振动光谱。通过谱图解析可以获取分子结构的信息。由于每种化合物均有红外吸收，尤其是有机化合物的红外光谱能提供丰富的结构信息，因此红外光谱法是有机化合物结构解析的重要手段之一。显微红外光谱成像系统是利用红外光谱和成像分析进行微区检测，进一步检测微区样品的红外光谱和成像，对样品微区进行精准的成分和组成分布分析，从而得到微区样品分子结构和分布信息。</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本次拟购置的</w:t>
            </w:r>
            <w:r>
              <w:rPr>
                <w:rFonts w:hint="eastAsia" w:ascii="Times New Roman" w:hAnsi="Times New Roman" w:cs="Times New Roman"/>
                <w:sz w:val="24"/>
                <w:szCs w:val="24"/>
              </w:rPr>
              <w:t>光热</w:t>
            </w:r>
            <w:r>
              <w:rPr>
                <w:rFonts w:ascii="Times New Roman" w:hAnsi="Times New Roman" w:cs="Times New Roman"/>
                <w:sz w:val="24"/>
                <w:szCs w:val="24"/>
              </w:rPr>
              <w:t>显微红外光谱成像系统将主要用于非接触无损分析化石样品中的残余有机质的红外光谱和成像分析，解析其有机组成和分布。主要研究对象为毫米至厘米尺度的动植物残余化石有机质以及微米尺度的微生物化石和微体化石残余有机质，主要研究介质为化石标本以及岩石薄片。</w:t>
            </w:r>
          </w:p>
          <w:p>
            <w:pPr>
              <w:numPr>
                <w:ilvl w:val="0"/>
                <w:numId w:val="20"/>
              </w:num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技术指标</w:t>
            </w:r>
          </w:p>
          <w:p>
            <w:pPr>
              <w:adjustRightInd w:val="0"/>
              <w:snapToGrid w:val="0"/>
              <w:spacing w:before="156" w:beforeLines="50" w:line="360" w:lineRule="auto"/>
              <w:ind w:firstLine="600" w:firstLineChars="250"/>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（1）光谱范围：涵盖化石有机质红外光谱的主要分布范围，包括红外指纹区(1800~950 cm</w:t>
            </w:r>
            <w:r>
              <w:rPr>
                <w:rFonts w:ascii="Times New Roman" w:hAnsi="Times New Roman" w:cs="Times New Roman"/>
                <w:sz w:val="24"/>
                <w:szCs w:val="24"/>
                <w:vertAlign w:val="superscript"/>
              </w:rPr>
              <w:t>-1</w:t>
            </w:r>
            <w:r>
              <w:rPr>
                <w:rFonts w:ascii="Times New Roman" w:hAnsi="Times New Roman" w:cs="Times New Roman"/>
                <w:sz w:val="24"/>
                <w:szCs w:val="24"/>
              </w:rPr>
              <w:t>)和C-H红外振动区域 (3600~2800 cm</w:t>
            </w:r>
            <w:r>
              <w:rPr>
                <w:rFonts w:ascii="Times New Roman" w:hAnsi="Times New Roman" w:cs="Times New Roman"/>
                <w:sz w:val="24"/>
                <w:szCs w:val="24"/>
                <w:vertAlign w:val="superscript"/>
              </w:rPr>
              <w:t>-1</w:t>
            </w:r>
            <w:r>
              <w:rPr>
                <w:rFonts w:ascii="Times New Roman" w:hAnsi="Times New Roman" w:cs="Times New Roman"/>
                <w:sz w:val="24"/>
                <w:szCs w:val="24"/>
              </w:rPr>
              <w:t>)；</w:t>
            </w:r>
          </w:p>
          <w:p>
            <w:pPr>
              <w:adjustRightInd w:val="0"/>
              <w:snapToGrid w:val="0"/>
              <w:spacing w:line="360" w:lineRule="auto"/>
              <w:ind w:firstLine="600" w:firstLineChars="250"/>
              <w:rPr>
                <w:rFonts w:hint="eastAsia"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光谱分辨率(QCL激光器)：≤ 2.0 cm</w:t>
            </w:r>
            <w:r>
              <w:rPr>
                <w:rFonts w:hint="eastAsia" w:ascii="Times New Roman" w:hAnsi="Times New Roman" w:cs="Times New Roman"/>
                <w:sz w:val="24"/>
                <w:szCs w:val="24"/>
                <w:vertAlign w:val="superscript"/>
              </w:rPr>
              <w:t>-1</w:t>
            </w:r>
            <w:r>
              <w:rPr>
                <w:rFonts w:hint="eastAsia" w:ascii="Times New Roman" w:hAnsi="Times New Roman" w:cs="Times New Roman"/>
                <w:sz w:val="24"/>
                <w:szCs w:val="24"/>
              </w:rPr>
              <w:t>；</w:t>
            </w:r>
          </w:p>
          <w:p>
            <w:pPr>
              <w:adjustRightInd w:val="0"/>
              <w:snapToGrid w:val="0"/>
              <w:spacing w:line="360" w:lineRule="auto"/>
              <w:ind w:firstLine="600" w:firstLineChars="250"/>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（3）空间分辨率：</w:t>
            </w:r>
            <w:r>
              <w:rPr>
                <w:rFonts w:hint="eastAsia" w:ascii="Times New Roman" w:hAnsi="Times New Roman" w:cs="Times New Roman"/>
                <w:sz w:val="24"/>
                <w:szCs w:val="24"/>
              </w:rPr>
              <w:t>≤</w:t>
            </w:r>
            <w:r>
              <w:rPr>
                <w:rFonts w:ascii="Times New Roman" w:hAnsi="Times New Roman" w:cs="Times New Roman"/>
                <w:sz w:val="24"/>
                <w:szCs w:val="24"/>
              </w:rPr>
              <w:t xml:space="preserve"> 2 μm；</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（4）波数精度</w:t>
            </w:r>
            <w:r>
              <w:rPr>
                <w:rFonts w:hint="eastAsia" w:ascii="Times New Roman" w:hAnsi="Times New Roman" w:cs="Times New Roman"/>
                <w:sz w:val="24"/>
                <w:szCs w:val="24"/>
              </w:rPr>
              <w:t>(QCL激光器)</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 xml:space="preserve"> 2</w:t>
            </w:r>
            <w:r>
              <w:rPr>
                <w:rFonts w:hint="eastAsia" w:ascii="Times New Roman" w:hAnsi="Times New Roman" w:cs="Times New Roman"/>
                <w:sz w:val="24"/>
                <w:szCs w:val="24"/>
              </w:rPr>
              <w:t>.</w:t>
            </w:r>
            <w:r>
              <w:rPr>
                <w:rFonts w:ascii="Times New Roman" w:hAnsi="Times New Roman" w:cs="Times New Roman"/>
                <w:sz w:val="24"/>
                <w:szCs w:val="24"/>
              </w:rPr>
              <w:t>5 cm</w:t>
            </w:r>
            <w:r>
              <w:rPr>
                <w:rFonts w:ascii="Times New Roman" w:hAnsi="Times New Roman" w:cs="Times New Roman"/>
                <w:sz w:val="24"/>
                <w:szCs w:val="24"/>
                <w:vertAlign w:val="superscript"/>
              </w:rPr>
              <w:t>-1</w:t>
            </w:r>
            <w:r>
              <w:rPr>
                <w:rFonts w:ascii="Times New Roman" w:hAnsi="Times New Roman" w:cs="Times New Roman"/>
                <w:sz w:val="24"/>
                <w:szCs w:val="24"/>
              </w:rPr>
              <w:t>；</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（5）波数重现性</w:t>
            </w:r>
            <w:r>
              <w:rPr>
                <w:rFonts w:hint="eastAsia" w:ascii="Times New Roman" w:hAnsi="Times New Roman" w:cs="Times New Roman"/>
                <w:sz w:val="24"/>
                <w:szCs w:val="24"/>
              </w:rPr>
              <w:t>(QCL激光器)</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 xml:space="preserve"> 2 cm</w:t>
            </w:r>
            <w:r>
              <w:rPr>
                <w:rFonts w:ascii="Times New Roman" w:hAnsi="Times New Roman" w:cs="Times New Roman"/>
                <w:sz w:val="24"/>
                <w:szCs w:val="24"/>
                <w:vertAlign w:val="superscript"/>
              </w:rPr>
              <w:t>-1</w:t>
            </w:r>
            <w:r>
              <w:rPr>
                <w:rFonts w:ascii="Times New Roman" w:hAnsi="Times New Roman" w:cs="Times New Roman"/>
                <w:sz w:val="24"/>
                <w:szCs w:val="24"/>
              </w:rPr>
              <w:t>；</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（6）显微观察系统：使用高分辨</w:t>
            </w:r>
            <w:r>
              <w:rPr>
                <w:rFonts w:hint="eastAsia" w:ascii="Times New Roman" w:hAnsi="Times New Roman" w:cs="Times New Roman"/>
                <w:sz w:val="24"/>
                <w:szCs w:val="24"/>
              </w:rPr>
              <w:t>（分辨率≥ 5</w:t>
            </w:r>
            <w:r>
              <w:rPr>
                <w:rFonts w:ascii="Times New Roman" w:hAnsi="Times New Roman" w:cs="Times New Roman"/>
                <w:sz w:val="24"/>
                <w:szCs w:val="24"/>
              </w:rPr>
              <w:t xml:space="preserve"> MP</w:t>
            </w:r>
            <w:r>
              <w:rPr>
                <w:rFonts w:hint="eastAsia" w:ascii="Times New Roman" w:hAnsi="Times New Roman" w:cs="Times New Roman"/>
                <w:sz w:val="24"/>
                <w:szCs w:val="24"/>
              </w:rPr>
              <w:t>）</w:t>
            </w:r>
            <w:r>
              <w:rPr>
                <w:rFonts w:ascii="Times New Roman" w:hAnsi="Times New Roman" w:cs="Times New Roman"/>
                <w:sz w:val="24"/>
                <w:szCs w:val="24"/>
              </w:rPr>
              <w:t>数字相机进行光学观察</w:t>
            </w:r>
            <w:r>
              <w:rPr>
                <w:rFonts w:hint="eastAsia" w:ascii="Times New Roman" w:hAnsi="Times New Roman" w:cs="Times New Roman"/>
                <w:sz w:val="24"/>
                <w:szCs w:val="24"/>
              </w:rPr>
              <w:t>，</w:t>
            </w:r>
            <w:r>
              <w:rPr>
                <w:rFonts w:ascii="Times New Roman" w:hAnsi="Times New Roman" w:cs="Times New Roman"/>
                <w:sz w:val="24"/>
                <w:szCs w:val="24"/>
              </w:rPr>
              <w:t>具备多个物镜镜头</w:t>
            </w:r>
            <w:r>
              <w:rPr>
                <w:rFonts w:hint="eastAsia" w:ascii="Times New Roman" w:hAnsi="Times New Roman" w:cs="Times New Roman"/>
                <w:sz w:val="24"/>
                <w:szCs w:val="24"/>
              </w:rPr>
              <w:t>（含4倍可见光Cassegrain物镜和40倍全反射的Cassegrain可见光/红外物镜）</w:t>
            </w:r>
            <w:r>
              <w:rPr>
                <w:rFonts w:ascii="Times New Roman" w:hAnsi="Times New Roman" w:cs="Times New Roman"/>
                <w:sz w:val="24"/>
                <w:szCs w:val="24"/>
              </w:rPr>
              <w:t>，系统可通过软件控制在不同倍率物镜之间实现自动快速切换；</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（7）测试模式：反射模式</w:t>
            </w:r>
            <w:r>
              <w:rPr>
                <w:rFonts w:hint="eastAsia" w:ascii="Times New Roman" w:hAnsi="Times New Roman" w:cs="Times New Roman"/>
                <w:sz w:val="24"/>
                <w:szCs w:val="24"/>
              </w:rPr>
              <w:t>，</w:t>
            </w:r>
            <w:r>
              <w:rPr>
                <w:rFonts w:ascii="Times New Roman" w:hAnsi="Times New Roman" w:cs="Times New Roman"/>
                <w:sz w:val="24"/>
                <w:szCs w:val="24"/>
              </w:rPr>
              <w:t>能够直接对化石样品和不加盖玻片的岩石薄片进行观测和红外光谱的采集，支持自动背景测量</w:t>
            </w:r>
            <w:r>
              <w:rPr>
                <w:rFonts w:hint="eastAsia" w:ascii="Times New Roman" w:hAnsi="Times New Roman" w:cs="Times New Roman"/>
                <w:sz w:val="24"/>
                <w:szCs w:val="24"/>
              </w:rPr>
              <w:t>，</w:t>
            </w:r>
            <w:r>
              <w:rPr>
                <w:rFonts w:ascii="Times New Roman" w:hAnsi="Times New Roman" w:cs="Times New Roman"/>
                <w:sz w:val="24"/>
                <w:szCs w:val="24"/>
              </w:rPr>
              <w:t>可对表面</w:t>
            </w:r>
            <w:r>
              <w:rPr>
                <w:rFonts w:hint="eastAsia" w:ascii="Times New Roman" w:hAnsi="Times New Roman" w:cs="Times New Roman"/>
                <w:sz w:val="24"/>
                <w:szCs w:val="24"/>
              </w:rPr>
              <w:t>有</w:t>
            </w:r>
            <w:r>
              <w:rPr>
                <w:rFonts w:ascii="Times New Roman" w:hAnsi="Times New Roman" w:cs="Times New Roman"/>
                <w:sz w:val="24"/>
                <w:szCs w:val="24"/>
              </w:rPr>
              <w:t>高度</w:t>
            </w:r>
            <w:r>
              <w:rPr>
                <w:rFonts w:hint="eastAsia" w:ascii="Times New Roman" w:hAnsi="Times New Roman" w:cs="Times New Roman"/>
                <w:sz w:val="24"/>
                <w:szCs w:val="24"/>
              </w:rPr>
              <w:t>差的自然样品</w:t>
            </w:r>
            <w:r>
              <w:rPr>
                <w:rFonts w:ascii="Times New Roman" w:hAnsi="Times New Roman" w:cs="Times New Roman"/>
                <w:sz w:val="24"/>
                <w:szCs w:val="24"/>
              </w:rPr>
              <w:t>实现连续点测和面扫描红外光谱分析；</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（8）干涉仪：需具备高速动态自动准直功能，自动准直频率不小于100,000 次/秒自动准直频率，或其他与此相当或更优的准直技术；</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（9）光路设计：确保红外监测点与可见光观察点完全重叠</w:t>
            </w:r>
            <w:r>
              <w:rPr>
                <w:rFonts w:hint="eastAsia" w:ascii="Times New Roman" w:hAnsi="Times New Roman" w:cs="Times New Roman"/>
                <w:sz w:val="24"/>
                <w:szCs w:val="24"/>
              </w:rPr>
              <w:t xml:space="preserve">（光学和红外通常相互偏移不到≤ </w:t>
            </w:r>
            <w:r>
              <w:rPr>
                <w:rFonts w:ascii="Times New Roman" w:hAnsi="Times New Roman" w:cs="Times New Roman"/>
                <w:sz w:val="24"/>
                <w:szCs w:val="24"/>
              </w:rPr>
              <w:t>1μm</w:t>
            </w:r>
            <w:r>
              <w:rPr>
                <w:rFonts w:hint="eastAsia" w:ascii="Times New Roman" w:hAnsi="Times New Roman" w:cs="Times New Roman"/>
                <w:sz w:val="24"/>
                <w:szCs w:val="24"/>
              </w:rPr>
              <w:t>）</w:t>
            </w:r>
            <w:r>
              <w:rPr>
                <w:rFonts w:ascii="Times New Roman" w:hAnsi="Times New Roman" w:cs="Times New Roman"/>
                <w:sz w:val="24"/>
                <w:szCs w:val="24"/>
              </w:rPr>
              <w:t>；</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（10）干扰峰扣除：光谱采集过程中实时扣除空气中的水和二氧化碳功能；</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（11）分析模式：</w:t>
            </w:r>
            <w:r>
              <w:rPr>
                <w:rFonts w:hint="eastAsia" w:ascii="Times New Roman" w:hAnsi="Times New Roman" w:cs="Times New Roman"/>
                <w:sz w:val="24"/>
                <w:szCs w:val="24"/>
              </w:rPr>
              <w:t>能够实现单点、线扫和面扫等多种模式的红外光谱采集</w:t>
            </w:r>
            <w:r>
              <w:rPr>
                <w:rFonts w:ascii="Times New Roman" w:hAnsi="Times New Roman" w:cs="Times New Roman"/>
                <w:sz w:val="24"/>
                <w:szCs w:val="24"/>
              </w:rPr>
              <w:t>；</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（12）红外光源：</w:t>
            </w:r>
            <w:r>
              <w:rPr>
                <w:rFonts w:hint="eastAsia" w:ascii="Times New Roman" w:hAnsi="Times New Roman" w:cs="Times New Roman"/>
                <w:sz w:val="24"/>
                <w:szCs w:val="24"/>
              </w:rPr>
              <w:t>平均功率范围为1~30</w:t>
            </w:r>
            <w:r>
              <w:rPr>
                <w:rFonts w:ascii="Times New Roman" w:hAnsi="Times New Roman" w:cs="Times New Roman"/>
                <w:sz w:val="24"/>
                <w:szCs w:val="24"/>
              </w:rPr>
              <w:t xml:space="preserve"> mW</w:t>
            </w:r>
            <w:r>
              <w:rPr>
                <w:rFonts w:hint="eastAsia" w:ascii="Times New Roman" w:hAnsi="Times New Roman" w:cs="Times New Roman"/>
                <w:sz w:val="24"/>
                <w:szCs w:val="24"/>
              </w:rPr>
              <w:t>，波长精度在2</w:t>
            </w:r>
            <w:r>
              <w:rPr>
                <w:rFonts w:ascii="Times New Roman" w:hAnsi="Times New Roman" w:cs="Times New Roman"/>
                <w:sz w:val="24"/>
                <w:szCs w:val="24"/>
              </w:rPr>
              <w:t xml:space="preserve"> </w:t>
            </w:r>
            <w:r>
              <w:rPr>
                <w:rFonts w:hint="eastAsia" w:ascii="Times New Roman" w:hAnsi="Times New Roman" w:cs="Times New Roman"/>
                <w:sz w:val="24"/>
                <w:szCs w:val="24"/>
              </w:rPr>
              <w:t>cm</w:t>
            </w:r>
            <w:r>
              <w:rPr>
                <w:rFonts w:hint="eastAsia" w:ascii="Times New Roman" w:hAnsi="Times New Roman" w:cs="Times New Roman"/>
                <w:sz w:val="24"/>
                <w:szCs w:val="24"/>
                <w:vertAlign w:val="superscript"/>
              </w:rPr>
              <w:t>-1</w:t>
            </w:r>
            <w:r>
              <w:rPr>
                <w:rFonts w:hint="eastAsia" w:ascii="Times New Roman" w:hAnsi="Times New Roman" w:cs="Times New Roman"/>
                <w:sz w:val="24"/>
                <w:szCs w:val="24"/>
              </w:rPr>
              <w:t>以内</w:t>
            </w:r>
            <w:r>
              <w:rPr>
                <w:rFonts w:ascii="Times New Roman" w:hAnsi="Times New Roman" w:cs="Times New Roman"/>
                <w:sz w:val="24"/>
                <w:szCs w:val="24"/>
              </w:rPr>
              <w:t>，可扩展光谱范围和多光源系统；</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（13）自动样品台：XYZ三维自动化样品台，移动</w:t>
            </w:r>
            <w:r>
              <w:rPr>
                <w:rFonts w:hint="eastAsia" w:ascii="Times New Roman" w:hAnsi="Times New Roman" w:cs="Times New Roman"/>
                <w:sz w:val="24"/>
                <w:szCs w:val="24"/>
              </w:rPr>
              <w:t xml:space="preserve">精度≤ </w:t>
            </w:r>
            <w:r>
              <w:rPr>
                <w:rFonts w:ascii="Times New Roman" w:hAnsi="Times New Roman" w:cs="Times New Roman"/>
                <w:sz w:val="24"/>
                <w:szCs w:val="24"/>
              </w:rPr>
              <w:t>0.1 μm，计算机控制，在X和Y方向上的移动范围</w:t>
            </w:r>
            <w:r>
              <w:rPr>
                <w:rFonts w:hint="eastAsia" w:ascii="Times New Roman" w:hAnsi="Times New Roman" w:cs="Times New Roman"/>
                <w:sz w:val="24"/>
                <w:szCs w:val="24"/>
              </w:rPr>
              <w:t>≥</w:t>
            </w:r>
            <w:r>
              <w:rPr>
                <w:rFonts w:ascii="Times New Roman" w:hAnsi="Times New Roman" w:cs="Times New Roman"/>
                <w:sz w:val="24"/>
                <w:szCs w:val="24"/>
              </w:rPr>
              <w:t xml:space="preserve">75 x 50 </w:t>
            </w:r>
            <w:r>
              <w:rPr>
                <w:rFonts w:hint="eastAsia" w:ascii="Times New Roman" w:hAnsi="Times New Roman" w:cs="Times New Roman"/>
                <w:sz w:val="24"/>
                <w:szCs w:val="24"/>
              </w:rPr>
              <w:t>mm</w:t>
            </w:r>
            <w:r>
              <w:rPr>
                <w:rFonts w:ascii="Times New Roman" w:hAnsi="Times New Roman" w:cs="Times New Roman"/>
                <w:sz w:val="24"/>
                <w:szCs w:val="24"/>
              </w:rPr>
              <w:t>；</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（14）仪器自检：提供仪器实时状态数据和各类光谱仪数据处理及显示功能，实时诊断可显示主机系统状态，给出系统内实时湿度和温度值；组件错误或故障可提示，报告并记录，并提供故障排除指导；</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（15）红外软件：Windows 10系统，搭配原厂软件用于数据的采集和谱图处理分析；系统红外软件授权数量</w:t>
            </w:r>
            <w:r>
              <w:rPr>
                <w:rFonts w:hint="eastAsia" w:ascii="Times New Roman" w:hAnsi="Times New Roman" w:cs="Times New Roman"/>
                <w:sz w:val="24"/>
                <w:szCs w:val="24"/>
              </w:rPr>
              <w:t>≥</w:t>
            </w:r>
            <w:r>
              <w:rPr>
                <w:rFonts w:ascii="Times New Roman" w:hAnsi="Times New Roman" w:cs="Times New Roman"/>
                <w:sz w:val="24"/>
                <w:szCs w:val="24"/>
              </w:rPr>
              <w:t>3台，红外谱图数据库光谱图</w:t>
            </w:r>
            <w:r>
              <w:rPr>
                <w:rFonts w:hint="eastAsia" w:ascii="Times New Roman" w:hAnsi="Times New Roman" w:cs="Times New Roman"/>
                <w:sz w:val="24"/>
                <w:szCs w:val="24"/>
              </w:rPr>
              <w:t>≥</w:t>
            </w:r>
            <w:r>
              <w:rPr>
                <w:rFonts w:ascii="Times New Roman" w:hAnsi="Times New Roman" w:cs="Times New Roman"/>
                <w:sz w:val="24"/>
                <w:szCs w:val="24"/>
              </w:rPr>
              <w:t>15万张，授权</w:t>
            </w:r>
            <w:r>
              <w:rPr>
                <w:rFonts w:hint="eastAsia" w:ascii="Times New Roman" w:hAnsi="Times New Roman" w:cs="Times New Roman"/>
                <w:sz w:val="24"/>
                <w:szCs w:val="24"/>
              </w:rPr>
              <w:t>≥</w:t>
            </w:r>
            <w:r>
              <w:rPr>
                <w:rFonts w:ascii="Times New Roman" w:hAnsi="Times New Roman" w:cs="Times New Roman"/>
                <w:sz w:val="24"/>
                <w:szCs w:val="24"/>
              </w:rPr>
              <w:t>1台，授权免费更新数据库谱图</w:t>
            </w:r>
            <w:r>
              <w:rPr>
                <w:rFonts w:hint="eastAsia" w:ascii="Times New Roman" w:hAnsi="Times New Roman" w:cs="Times New Roman"/>
                <w:sz w:val="24"/>
                <w:szCs w:val="24"/>
              </w:rPr>
              <w:t>≥</w:t>
            </w:r>
            <w:r>
              <w:rPr>
                <w:rFonts w:ascii="Times New Roman" w:hAnsi="Times New Roman" w:cs="Times New Roman"/>
                <w:sz w:val="24"/>
                <w:szCs w:val="24"/>
              </w:rPr>
              <w:t>1年；</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（16）数据处理：谱图处理功能包含平滑，降噪，算术，偏移，归一化，峰值拾取，峰值高度和峰值面积</w:t>
            </w:r>
            <w:r>
              <w:rPr>
                <w:rFonts w:hint="eastAsia" w:ascii="Times New Roman" w:hAnsi="Times New Roman" w:cs="Times New Roman"/>
                <w:sz w:val="24"/>
                <w:szCs w:val="24"/>
              </w:rPr>
              <w:t>等</w:t>
            </w:r>
            <w:r>
              <w:rPr>
                <w:rFonts w:ascii="Times New Roman" w:hAnsi="Times New Roman" w:cs="Times New Roman"/>
                <w:sz w:val="24"/>
                <w:szCs w:val="24"/>
              </w:rPr>
              <w:t>计算。图像处理功能包含单一波长下红外图像分析，以及不同单一波长下红外图像的比值图像。</w:t>
            </w:r>
          </w:p>
          <w:p>
            <w:pPr>
              <w:adjustRightInd w:val="0"/>
              <w:snapToGrid w:val="0"/>
              <w:spacing w:line="360" w:lineRule="auto"/>
              <w:ind w:firstLine="600" w:firstLineChars="250"/>
              <w:rPr>
                <w:rFonts w:ascii="Times New Roman" w:hAnsi="Times New Roman" w:cs="Times New Roman"/>
                <w:sz w:val="24"/>
                <w:szCs w:val="24"/>
              </w:rPr>
            </w:pPr>
            <w:r>
              <w:rPr>
                <w:rFonts w:ascii="Times New Roman" w:hAnsi="Times New Roman" w:cs="Times New Roman"/>
                <w:sz w:val="24"/>
                <w:szCs w:val="24"/>
              </w:rPr>
              <w:t>三、配置要求</w:t>
            </w:r>
          </w:p>
          <w:p>
            <w:pPr>
              <w:adjustRightInd w:val="0"/>
              <w:snapToGrid w:val="0"/>
              <w:spacing w:line="360" w:lineRule="auto"/>
              <w:ind w:firstLine="600" w:firstLineChars="250"/>
              <w:jc w:val="left"/>
              <w:rPr>
                <w:rFonts w:ascii="Times New Roman" w:hAnsi="Times New Roman" w:cs="Times New Roman"/>
                <w:sz w:val="24"/>
                <w:szCs w:val="24"/>
              </w:rPr>
            </w:pPr>
            <w:r>
              <w:rPr>
                <w:rFonts w:ascii="Times New Roman" w:hAnsi="Times New Roman" w:cs="Times New Roman"/>
                <w:sz w:val="24"/>
                <w:szCs w:val="24"/>
              </w:rPr>
              <w:t>（1）显微红外光谱成像系统1套；</w:t>
            </w:r>
          </w:p>
          <w:p>
            <w:pPr>
              <w:adjustRightInd w:val="0"/>
              <w:snapToGrid w:val="0"/>
              <w:spacing w:line="360" w:lineRule="auto"/>
              <w:ind w:firstLine="600" w:firstLineChars="250"/>
              <w:jc w:val="left"/>
              <w:rPr>
                <w:rFonts w:ascii="Times New Roman" w:hAnsi="Times New Roman" w:cs="Times New Roman"/>
                <w:sz w:val="24"/>
                <w:szCs w:val="24"/>
              </w:rPr>
            </w:pPr>
            <w:r>
              <w:rPr>
                <w:rFonts w:ascii="Times New Roman" w:hAnsi="Times New Roman" w:cs="Times New Roman"/>
                <w:sz w:val="24"/>
                <w:szCs w:val="24"/>
              </w:rPr>
              <w:t>（2）显微镜单元，包含集成的低/高倍光学显微镜；</w:t>
            </w:r>
          </w:p>
          <w:p>
            <w:pPr>
              <w:adjustRightInd w:val="0"/>
              <w:snapToGrid w:val="0"/>
              <w:spacing w:line="360" w:lineRule="auto"/>
              <w:ind w:firstLine="600" w:firstLineChars="250"/>
              <w:jc w:val="left"/>
              <w:rPr>
                <w:rFonts w:ascii="Times New Roman" w:hAnsi="Times New Roman" w:cs="Times New Roman"/>
                <w:sz w:val="24"/>
                <w:szCs w:val="24"/>
              </w:rPr>
            </w:pPr>
            <w:r>
              <w:rPr>
                <w:rFonts w:ascii="Times New Roman" w:hAnsi="Times New Roman" w:cs="Times New Roman"/>
                <w:sz w:val="24"/>
                <w:szCs w:val="24"/>
              </w:rPr>
              <w:t>（3）精密样品工作台一套，计算机自动控制；</w:t>
            </w:r>
          </w:p>
          <w:p>
            <w:pPr>
              <w:adjustRightInd w:val="0"/>
              <w:snapToGrid w:val="0"/>
              <w:spacing w:line="360" w:lineRule="auto"/>
              <w:ind w:firstLine="600" w:firstLineChars="250"/>
              <w:jc w:val="left"/>
              <w:rPr>
                <w:rFonts w:ascii="Times New Roman" w:hAnsi="Times New Roman" w:cs="Times New Roman"/>
                <w:sz w:val="24"/>
                <w:szCs w:val="24"/>
              </w:rPr>
            </w:pPr>
            <w:r>
              <w:rPr>
                <w:rFonts w:ascii="Times New Roman" w:hAnsi="Times New Roman" w:cs="Times New Roman"/>
                <w:sz w:val="24"/>
                <w:szCs w:val="24"/>
              </w:rPr>
              <w:t>（4）标准测试样品一套；</w:t>
            </w:r>
          </w:p>
          <w:p>
            <w:pPr>
              <w:adjustRightInd w:val="0"/>
              <w:snapToGrid w:val="0"/>
              <w:spacing w:line="360" w:lineRule="auto"/>
              <w:ind w:firstLine="600" w:firstLineChars="250"/>
              <w:jc w:val="left"/>
              <w:rPr>
                <w:rFonts w:ascii="Times New Roman" w:hAnsi="Times New Roman" w:cs="Times New Roman"/>
                <w:sz w:val="24"/>
                <w:szCs w:val="24"/>
              </w:rPr>
            </w:pPr>
            <w:r>
              <w:rPr>
                <w:rFonts w:ascii="Times New Roman" w:hAnsi="Times New Roman" w:cs="Times New Roman"/>
                <w:sz w:val="24"/>
                <w:szCs w:val="24"/>
              </w:rPr>
              <w:t>（5）数据和图像分析处理软件1套；</w:t>
            </w:r>
          </w:p>
          <w:p>
            <w:pPr>
              <w:adjustRightInd w:val="0"/>
              <w:snapToGrid w:val="0"/>
              <w:spacing w:line="360" w:lineRule="auto"/>
              <w:ind w:firstLine="600" w:firstLineChars="250"/>
              <w:jc w:val="left"/>
              <w:rPr>
                <w:rFonts w:ascii="Times New Roman" w:hAnsi="Times New Roman" w:cs="Times New Roman"/>
                <w:sz w:val="24"/>
                <w:szCs w:val="24"/>
              </w:rPr>
            </w:pPr>
            <w:r>
              <w:rPr>
                <w:rFonts w:ascii="Times New Roman" w:hAnsi="Times New Roman" w:cs="Times New Roman"/>
                <w:sz w:val="24"/>
                <w:szCs w:val="24"/>
              </w:rPr>
              <w:t>（6）计算机工作站（含计算机主机和两个宽屏显示器</w:t>
            </w:r>
            <w:r>
              <w:rPr>
                <w:rFonts w:hint="eastAsia" w:ascii="Times New Roman" w:hAnsi="Times New Roman" w:cs="Times New Roman"/>
                <w:sz w:val="24"/>
                <w:szCs w:val="24"/>
              </w:rPr>
              <w:t>（22寸，1080P</w:t>
            </w:r>
            <w:r>
              <w:rPr>
                <w:rFonts w:ascii="Times New Roman" w:hAnsi="Times New Roman" w:cs="Times New Roman"/>
                <w:sz w:val="24"/>
                <w:szCs w:val="24"/>
              </w:rPr>
              <w:t>））和</w:t>
            </w:r>
            <w:r>
              <w:rPr>
                <w:rFonts w:hint="eastAsia" w:ascii="Times New Roman" w:hAnsi="Times New Roman" w:cs="Times New Roman"/>
                <w:sz w:val="24"/>
                <w:szCs w:val="24"/>
              </w:rPr>
              <w:t>设备控制器</w:t>
            </w:r>
            <w:r>
              <w:rPr>
                <w:rFonts w:ascii="Times New Roman" w:hAnsi="Times New Roman" w:cs="Times New Roman"/>
                <w:sz w:val="24"/>
                <w:szCs w:val="24"/>
              </w:rPr>
              <w:t>一套；</w:t>
            </w:r>
          </w:p>
          <w:p>
            <w:pPr>
              <w:adjustRightInd w:val="0"/>
              <w:snapToGrid w:val="0"/>
              <w:spacing w:line="360" w:lineRule="auto"/>
              <w:ind w:firstLine="600" w:firstLineChars="250"/>
              <w:jc w:val="left"/>
              <w:rPr>
                <w:rFonts w:hint="eastAsia" w:ascii="宋体" w:hAnsi="宋体" w:eastAsia="宋体" w:cs="宋体"/>
                <w:sz w:val="22"/>
                <w:szCs w:val="22"/>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7</w:t>
            </w:r>
            <w:r>
              <w:rPr>
                <w:rFonts w:ascii="Times New Roman" w:hAnsi="Times New Roman" w:cs="Times New Roman"/>
                <w:sz w:val="24"/>
                <w:szCs w:val="24"/>
              </w:rPr>
              <w:t>）免费移机一次。</w:t>
            </w:r>
          </w:p>
        </w:tc>
        <w:tc>
          <w:tcPr>
            <w:tcW w:w="0" w:type="auto"/>
            <w:vAlign w:val="center"/>
          </w:tcPr>
          <w:p>
            <w:pPr>
              <w:jc w:val="center"/>
              <w:rPr>
                <w:rFonts w:hint="eastAsia" w:ascii="宋体" w:hAnsi="宋体" w:eastAsia="宋体" w:cs="宋体"/>
                <w:b/>
                <w:sz w:val="16"/>
                <w:szCs w:val="16"/>
              </w:rPr>
            </w:pPr>
            <w:r>
              <w:rPr>
                <w:rFonts w:hint="eastAsia" w:ascii="宋体" w:hAnsi="宋体" w:eastAsia="宋体" w:cs="宋体"/>
                <w:b/>
                <w:sz w:val="20"/>
                <w:szCs w:val="20"/>
              </w:rPr>
              <w:t>1</w:t>
            </w:r>
          </w:p>
        </w:tc>
      </w:tr>
    </w:tbl>
    <w:p>
      <w:pPr>
        <w:numPr>
          <w:ilvl w:val="0"/>
          <w:numId w:val="0"/>
        </w:numPr>
        <w:outlineLvl w:val="9"/>
        <w:rPr>
          <w:rFonts w:hint="eastAsia"/>
          <w:b/>
          <w:bCs/>
          <w:sz w:val="28"/>
          <w:szCs w:val="28"/>
          <w:lang w:eastAsia="zh-CN"/>
        </w:rPr>
      </w:pPr>
      <w:bookmarkStart w:id="56" w:name="_Toc6835"/>
      <w:bookmarkStart w:id="57" w:name="_Toc15647"/>
      <w:bookmarkStart w:id="58" w:name="_Toc21614"/>
    </w:p>
    <w:p>
      <w:pPr>
        <w:numPr>
          <w:ilvl w:val="0"/>
          <w:numId w:val="0"/>
        </w:numPr>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二、响应时效：</w:t>
      </w:r>
    </w:p>
    <w:p>
      <w:pPr>
        <w:numPr>
          <w:ilvl w:val="0"/>
          <w:numId w:val="0"/>
        </w:numPr>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即时响应（包括电话响应）；电话响应无法解决72小时内到达现场。修复时间48小时内解决；如48小时内无法修复，应提供相应解决方案。</w:t>
      </w:r>
    </w:p>
    <w:p>
      <w:pPr>
        <w:jc w:val="left"/>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三、验收标准：（进口设备）</w:t>
      </w:r>
    </w:p>
    <w:p>
      <w:pPr>
        <w:jc w:val="left"/>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1、验收分初次开箱验收和学校最终验收两个阶段，以最终验收为准。</w:t>
      </w:r>
    </w:p>
    <w:p>
      <w:pPr>
        <w:jc w:val="left"/>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货物到货后，甲方（使用单位）、乙方会同海关共同开箱验收。在检查货物原产地、规格、型号、配置符合合同要求后，由乙方负责安装调试。甲方（使用单位）先进行技术验收（乙方协助），验收以国际标准或以合同文本中描述的有关技术要求为准。</w:t>
      </w:r>
    </w:p>
    <w:p>
      <w:pPr>
        <w:jc w:val="left"/>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3、学校根据使用单位技术验收结果，组织有关专家进行的最终验收。</w:t>
      </w:r>
    </w:p>
    <w:p>
      <w:pPr>
        <w:numPr>
          <w:ilvl w:val="0"/>
          <w:numId w:val="0"/>
        </w:numPr>
        <w:ind w:leftChars="250"/>
        <w:jc w:val="both"/>
        <w:outlineLvl w:val="9"/>
        <w:rPr>
          <w:rFonts w:hint="eastAsia"/>
          <w:lang w:eastAsia="zh-CN"/>
        </w:rPr>
      </w:pPr>
    </w:p>
    <w:p>
      <w:pPr>
        <w:pStyle w:val="2"/>
        <w:pageBreakBefore/>
        <w:numPr>
          <w:ilvl w:val="0"/>
          <w:numId w:val="0"/>
        </w:numPr>
        <w:spacing w:before="319" w:beforeLines="100" w:after="478" w:afterLines="150" w:line="500" w:lineRule="exact"/>
        <w:jc w:val="center"/>
        <w:rPr>
          <w:rFonts w:ascii="宋体" w:cs="宋体"/>
          <w:sz w:val="36"/>
          <w:szCs w:val="36"/>
        </w:rPr>
      </w:pPr>
      <w:r>
        <w:rPr>
          <w:rFonts w:hint="eastAsia" w:ascii="宋体" w:hAnsi="宋体" w:cs="宋体"/>
          <w:sz w:val="36"/>
          <w:szCs w:val="36"/>
          <w:lang w:eastAsia="zh-CN"/>
        </w:rPr>
        <w:t>第六部</w:t>
      </w:r>
      <w:r>
        <w:rPr>
          <w:rFonts w:hint="eastAsia" w:ascii="宋体" w:hAnsi="宋体" w:cs="宋体"/>
          <w:sz w:val="36"/>
          <w:szCs w:val="36"/>
        </w:rPr>
        <w:t>分</w:t>
      </w:r>
      <w:r>
        <w:rPr>
          <w:rFonts w:ascii="宋体" w:hAnsi="宋体" w:cs="宋体"/>
          <w:sz w:val="36"/>
          <w:szCs w:val="36"/>
        </w:rPr>
        <w:t xml:space="preserve">  </w:t>
      </w:r>
      <w:r>
        <w:rPr>
          <w:rFonts w:hint="eastAsia" w:ascii="宋体" w:hAnsi="宋体" w:cs="宋体"/>
          <w:sz w:val="36"/>
          <w:szCs w:val="36"/>
        </w:rPr>
        <w:t>合同条款</w:t>
      </w:r>
      <w:bookmarkEnd w:id="56"/>
      <w:bookmarkEnd w:id="57"/>
      <w:bookmarkEnd w:id="58"/>
    </w:p>
    <w:p>
      <w:pPr>
        <w:spacing w:line="360" w:lineRule="auto"/>
        <w:jc w:val="center"/>
        <w:rPr>
          <w:rFonts w:hint="eastAsia" w:ascii="黑体" w:eastAsia="黑体"/>
          <w:sz w:val="32"/>
        </w:rPr>
      </w:pPr>
      <w:bookmarkStart w:id="59" w:name="_Toc2234"/>
      <w:r>
        <w:rPr>
          <w:rFonts w:hint="eastAsia" w:ascii="黑体" w:eastAsia="黑体"/>
          <w:sz w:val="32"/>
          <w:lang w:val="en-US" w:eastAsia="zh-CN"/>
        </w:rPr>
        <w:t>西北大学</w:t>
      </w:r>
      <w:r>
        <w:rPr>
          <w:rFonts w:hint="eastAsia" w:ascii="黑体" w:eastAsia="黑体"/>
          <w:sz w:val="32"/>
        </w:rPr>
        <w:t>购货合同</w:t>
      </w:r>
    </w:p>
    <w:p>
      <w:pPr>
        <w:spacing w:line="360" w:lineRule="auto"/>
        <w:jc w:val="center"/>
        <w:rPr>
          <w:rFonts w:hint="eastAsia"/>
          <w:color w:val="FF0000"/>
        </w:rPr>
      </w:pPr>
      <w:r>
        <w:rPr>
          <w:rFonts w:hint="eastAsia"/>
          <w:color w:val="FF0000"/>
        </w:rPr>
        <w:t>（进口合同模板）</w:t>
      </w:r>
    </w:p>
    <w:p>
      <w:pPr>
        <w:spacing w:line="360" w:lineRule="auto"/>
        <w:ind w:firstLine="420" w:firstLineChars="200"/>
        <w:jc w:val="left"/>
        <w:rPr>
          <w:rFonts w:hint="default" w:eastAsia="宋体"/>
          <w:color w:val="FF0000"/>
          <w:lang w:val="en-US" w:eastAsia="zh-CN"/>
        </w:rPr>
      </w:pPr>
      <w:r>
        <w:rPr>
          <w:rFonts w:hint="eastAsia"/>
          <w:color w:val="FF0000"/>
          <w:lang w:val="en-US" w:eastAsia="zh-CN"/>
        </w:rPr>
        <w:t>特别说明：以下内容只作为合同基本条款，在签订具体项目购货合同时，请根据项目实际情况再签订技术协议作为合同的附件。</w:t>
      </w:r>
    </w:p>
    <w:p>
      <w:pPr>
        <w:spacing w:line="360" w:lineRule="auto"/>
        <w:ind w:firstLine="420" w:firstLineChars="200"/>
        <w:rPr>
          <w:rFonts w:hint="eastAsia" w:ascii="宋体" w:hAnsi="Calibri" w:eastAsia="宋体" w:cs="Times New Roman"/>
          <w:sz w:val="21"/>
          <w:szCs w:val="24"/>
        </w:rPr>
      </w:pPr>
    </w:p>
    <w:p>
      <w:pPr>
        <w:spacing w:line="360" w:lineRule="auto"/>
        <w:ind w:firstLine="420" w:firstLineChars="200"/>
      </w:pPr>
      <w:r>
        <w:rPr>
          <w:rFonts w:hint="eastAsia" w:ascii="宋体" w:hAnsi="Calibri" w:eastAsia="宋体" w:cs="Times New Roman"/>
          <w:sz w:val="21"/>
          <w:szCs w:val="24"/>
        </w:rPr>
        <w:t>根据《中华人民共和国政府采购法》、《中华人民共和国民法典》及有关法律规定，遵循平等、自愿、公平和诚实信用的原则，</w:t>
      </w:r>
      <w:r>
        <w:rPr>
          <w:rFonts w:hint="eastAsia" w:ascii="宋体"/>
        </w:rPr>
        <w:t>西北大学（甲方）与××××</w:t>
      </w:r>
      <w:r>
        <w:rPr>
          <w:rFonts w:hint="eastAsia"/>
        </w:rPr>
        <w:t>公司（乙方）</w:t>
      </w:r>
      <w:r>
        <w:rPr>
          <w:rFonts w:hint="eastAsia" w:ascii="宋体"/>
        </w:rPr>
        <w:t>就西北大学××××学院（系）购置的××××等</w:t>
      </w:r>
      <w:r>
        <w:rPr>
          <w:rFonts w:hint="eastAsia" w:ascii="宋体"/>
          <w:lang w:val="en-US" w:eastAsia="zh-CN"/>
        </w:rPr>
        <w:t>货物</w:t>
      </w:r>
      <w:r>
        <w:rPr>
          <w:rFonts w:hint="eastAsia" w:ascii="宋体"/>
        </w:rPr>
        <w:t>（招标编号：</w:t>
      </w:r>
      <w:r>
        <w:rPr>
          <w:rFonts w:hint="eastAsia" w:ascii="宋体"/>
          <w:u w:val="single"/>
        </w:rPr>
        <w:t>　　　　　</w:t>
      </w:r>
      <w:r>
        <w:rPr>
          <w:rFonts w:hint="eastAsia" w:ascii="宋体"/>
        </w:rPr>
        <w:t>）</w:t>
      </w:r>
      <w:r>
        <w:rPr>
          <w:rFonts w:hint="eastAsia"/>
        </w:rPr>
        <w:t>经双方协商达成如下技术合同条款：</w:t>
      </w:r>
    </w:p>
    <w:p>
      <w:pPr>
        <w:spacing w:line="360" w:lineRule="auto"/>
        <w:rPr>
          <w:b/>
          <w:sz w:val="24"/>
        </w:rPr>
      </w:pPr>
      <w:r>
        <w:rPr>
          <w:rFonts w:hint="eastAsia"/>
          <w:b/>
          <w:sz w:val="24"/>
        </w:rPr>
        <w:t>一、合同内容</w:t>
      </w:r>
    </w:p>
    <w:p>
      <w:pPr>
        <w:spacing w:line="360" w:lineRule="auto"/>
        <w:ind w:firstLine="420" w:firstLineChars="200"/>
        <w:rPr>
          <w:rFonts w:hint="eastAsia"/>
          <w:b/>
        </w:rPr>
      </w:pPr>
      <w:r>
        <w:rPr>
          <w:rFonts w:hint="eastAsia"/>
        </w:rPr>
        <w:t>乙方按本合同中确定的</w:t>
      </w:r>
      <w:r>
        <w:rPr>
          <w:rFonts w:hint="eastAsia"/>
          <w:lang w:val="en-US" w:eastAsia="zh-CN"/>
        </w:rPr>
        <w:t>货物</w:t>
      </w:r>
      <w:r>
        <w:rPr>
          <w:rFonts w:hint="eastAsia"/>
        </w:rPr>
        <w:t>名称、型号与规格、产地、数量及配套内容进行供货；乙方按时将</w:t>
      </w:r>
      <w:r>
        <w:rPr>
          <w:rFonts w:hint="eastAsia"/>
          <w:lang w:eastAsia="zh-CN"/>
        </w:rPr>
        <w:t>货物</w:t>
      </w:r>
      <w:r>
        <w:rPr>
          <w:rFonts w:hint="eastAsia"/>
        </w:rPr>
        <w:t>运送到甲方指定的地点，负责</w:t>
      </w:r>
      <w:r>
        <w:rPr>
          <w:rFonts w:hint="eastAsia"/>
          <w:lang w:val="en-US" w:eastAsia="zh-CN"/>
        </w:rPr>
        <w:t>货物</w:t>
      </w:r>
      <w:r>
        <w:rPr>
          <w:rFonts w:hint="eastAsia"/>
        </w:rPr>
        <w:t>的安装与调试，达到正常使用；乙方负责为甲方培训操作、维护人员，质保期内负责指导</w:t>
      </w:r>
      <w:r>
        <w:rPr>
          <w:rFonts w:hint="eastAsia"/>
          <w:lang w:val="en-US" w:eastAsia="zh-CN"/>
        </w:rPr>
        <w:t>货物</w:t>
      </w:r>
      <w:r>
        <w:rPr>
          <w:rFonts w:hint="eastAsia"/>
        </w:rPr>
        <w:t>的操作使用和保养维修，做好售后服务工作。甲方在乙方完成合同明确规定的责任和义务后，按合同要求付给乙方相应的货款。</w:t>
      </w:r>
    </w:p>
    <w:p>
      <w:pPr>
        <w:numPr>
          <w:ilvl w:val="0"/>
          <w:numId w:val="21"/>
        </w:numPr>
        <w:spacing w:line="360" w:lineRule="auto"/>
      </w:pPr>
      <w:r>
        <w:rPr>
          <w:rFonts w:hint="eastAsia"/>
        </w:rPr>
        <w:t>购置清单（人民币）</w:t>
      </w:r>
    </w:p>
    <w:tbl>
      <w:tblPr>
        <w:tblStyle w:val="2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5"/>
        <w:gridCol w:w="1545"/>
        <w:gridCol w:w="1440"/>
        <w:gridCol w:w="720"/>
        <w:gridCol w:w="720"/>
        <w:gridCol w:w="90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lang w:eastAsia="zh-CN"/>
              </w:rPr>
              <w:t>货物</w:t>
            </w:r>
            <w:r>
              <w:rPr>
                <w:rFonts w:hint="eastAsia"/>
              </w:rPr>
              <w:t>名称</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型号与规格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生产商、产地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单价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5"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p>
        </w:tc>
        <w:tc>
          <w:tcPr>
            <w:tcW w:w="1545"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2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合计金额（大写）：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小写</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rPr>
            </w:pPr>
          </w:p>
        </w:tc>
      </w:tr>
    </w:tbl>
    <w:p>
      <w:pPr>
        <w:spacing w:line="360" w:lineRule="auto"/>
        <w:ind w:left="539" w:leftChars="200" w:hanging="119" w:hangingChars="57"/>
      </w:pPr>
      <w:r>
        <w:t>2</w:t>
      </w:r>
      <w:r>
        <w:rPr>
          <w:rFonts w:hint="eastAsia"/>
        </w:rPr>
        <w:t>、本合同总额为</w:t>
      </w:r>
      <w:r>
        <w:rPr>
          <w:rFonts w:hint="eastAsia"/>
          <w:lang w:val="en-US" w:eastAsia="zh-CN"/>
        </w:rPr>
        <w:t>货物</w:t>
      </w:r>
      <w:r>
        <w:rPr>
          <w:rFonts w:hint="eastAsia"/>
        </w:rPr>
        <w:t>到达西北大学指定</w:t>
      </w:r>
      <w:r>
        <w:rPr>
          <w:rFonts w:hint="eastAsia"/>
          <w:lang w:val="en-US" w:eastAsia="zh-CN"/>
        </w:rPr>
        <w:t>地点</w:t>
      </w:r>
      <w:r>
        <w:rPr>
          <w:rFonts w:hint="eastAsia"/>
        </w:rPr>
        <w:t>价格（大写）：</w:t>
      </w:r>
      <w:r>
        <w:rPr>
          <w:u w:val="single"/>
        </w:rPr>
        <w:t xml:space="preserve">      </w:t>
      </w:r>
      <w:r>
        <w:rPr>
          <w:rFonts w:hint="eastAsia"/>
          <w:u w:val="single"/>
        </w:rPr>
        <w:t xml:space="preserve">    </w:t>
      </w:r>
      <w:r>
        <w:rPr>
          <w:u w:val="single"/>
        </w:rPr>
        <w:t xml:space="preserve">  </w:t>
      </w:r>
      <w:r>
        <w:rPr>
          <w:rFonts w:hint="eastAsia"/>
        </w:rPr>
        <w:t>元。</w:t>
      </w:r>
    </w:p>
    <w:p>
      <w:pPr>
        <w:tabs>
          <w:tab w:val="left" w:pos="0"/>
        </w:tabs>
        <w:spacing w:line="500" w:lineRule="exact"/>
        <w:ind w:firstLine="420" w:firstLineChars="200"/>
        <w:rPr>
          <w:rFonts w:hint="eastAsia"/>
        </w:rPr>
      </w:pPr>
      <w:r>
        <w:t>3</w:t>
      </w:r>
      <w:r>
        <w:rPr>
          <w:rFonts w:hint="eastAsia"/>
        </w:rPr>
        <w:t>、本合同总额为</w:t>
      </w:r>
      <w:r>
        <w:rPr>
          <w:rFonts w:hint="eastAsia"/>
          <w:lang w:val="en-US" w:eastAsia="zh-CN"/>
        </w:rPr>
        <w:t>货物</w:t>
      </w:r>
      <w:r>
        <w:rPr>
          <w:rFonts w:hint="eastAsia"/>
        </w:rPr>
        <w:t>到达使用地点、验收合格达到正常使用条件前的所有费用，包括但不限于以下费用：</w:t>
      </w:r>
      <w:r>
        <w:rPr>
          <w:rFonts w:hint="eastAsia"/>
          <w:lang w:eastAsia="zh-CN"/>
        </w:rPr>
        <w:t>货物</w:t>
      </w:r>
      <w:r>
        <w:rPr>
          <w:rFonts w:hint="eastAsia"/>
        </w:rPr>
        <w:t>价值、安装调试费、国内外运杂费（含保险）、仓储保管费、技术培训费、检测费、施工费、人工费、进口业务</w:t>
      </w:r>
      <w:r>
        <w:rPr>
          <w:rFonts w:hint="eastAsia"/>
          <w:lang w:val="en-US" w:eastAsia="zh-CN"/>
        </w:rPr>
        <w:t>相关费用（</w:t>
      </w:r>
      <w:r>
        <w:rPr>
          <w:rFonts w:hint="eastAsia"/>
        </w:rPr>
        <w:t>按合同金额的</w:t>
      </w:r>
      <w:r>
        <w:rPr>
          <w:rFonts w:hint="eastAsia"/>
          <w:lang w:val="en-US" w:eastAsia="zh-CN"/>
        </w:rPr>
        <w:t>0.83</w:t>
      </w:r>
      <w:r>
        <w:rPr>
          <w:rFonts w:hint="eastAsia"/>
        </w:rPr>
        <w:t>%收取</w:t>
      </w:r>
      <w:r>
        <w:rPr>
          <w:rFonts w:hint="eastAsia"/>
          <w:lang w:eastAsia="zh-CN"/>
        </w:rPr>
        <w:t>。</w:t>
      </w:r>
      <w:r>
        <w:rPr>
          <w:rFonts w:hint="eastAsia"/>
          <w:lang w:val="en-US" w:eastAsia="zh-CN"/>
        </w:rPr>
        <w:t>包括外贸代理公司进口业务</w:t>
      </w:r>
      <w:r>
        <w:rPr>
          <w:rFonts w:hint="eastAsia"/>
        </w:rPr>
        <w:t>代理费</w:t>
      </w:r>
      <w:r>
        <w:rPr>
          <w:rFonts w:hint="eastAsia"/>
          <w:lang w:eastAsia="zh-CN"/>
        </w:rPr>
        <w:t>、</w:t>
      </w:r>
      <w:r>
        <w:rPr>
          <w:rFonts w:hint="eastAsia"/>
        </w:rPr>
        <w:t>国内外银行手续费、报关费、商检费</w:t>
      </w:r>
      <w:r>
        <w:rPr>
          <w:rFonts w:hint="eastAsia"/>
          <w:lang w:val="en-US" w:eastAsia="zh-CN"/>
        </w:rPr>
        <w:t>等）</w:t>
      </w:r>
      <w:r>
        <w:rPr>
          <w:rFonts w:hint="eastAsia"/>
        </w:rPr>
        <w:t>及进口</w:t>
      </w:r>
      <w:r>
        <w:rPr>
          <w:rFonts w:hint="eastAsia"/>
          <w:lang w:eastAsia="zh-CN"/>
        </w:rPr>
        <w:t>货物</w:t>
      </w:r>
      <w:r>
        <w:rPr>
          <w:rFonts w:hint="eastAsia"/>
        </w:rPr>
        <w:t>按国家政策征收的一切税费（按国家政策规定甲方可以享受的免税部分除外）等。</w:t>
      </w:r>
    </w:p>
    <w:p>
      <w:pPr>
        <w:tabs>
          <w:tab w:val="left" w:pos="0"/>
        </w:tabs>
        <w:spacing w:line="500" w:lineRule="exact"/>
        <w:ind w:firstLine="420" w:firstLineChars="200"/>
        <w:rPr>
          <w:rFonts w:hint="eastAsia"/>
        </w:rPr>
      </w:pPr>
      <w:r>
        <w:rPr>
          <w:rFonts w:hint="eastAsia"/>
        </w:rPr>
        <w:t>4、本合同总额不受市场价格及外汇汇率变化的影响，在合同不发生变更时作为付款结算的依据。</w:t>
      </w:r>
    </w:p>
    <w:p>
      <w:pPr>
        <w:spacing w:line="360" w:lineRule="auto"/>
        <w:rPr>
          <w:b/>
          <w:sz w:val="24"/>
        </w:rPr>
      </w:pPr>
      <w:r>
        <w:rPr>
          <w:rFonts w:hint="eastAsia"/>
          <w:b/>
          <w:sz w:val="24"/>
        </w:rPr>
        <w:t>二、交货时间及交货地点</w:t>
      </w:r>
    </w:p>
    <w:p>
      <w:pPr>
        <w:spacing w:line="360" w:lineRule="auto"/>
        <w:ind w:firstLine="420" w:firstLineChars="200"/>
        <w:rPr>
          <w:rFonts w:hint="eastAsia"/>
        </w:rPr>
      </w:pPr>
      <w:r>
        <w:rPr>
          <w:rFonts w:hint="eastAsia"/>
        </w:rPr>
        <w:t>1、交货时间为本合同生效后</w:t>
      </w:r>
      <w:r>
        <w:rPr>
          <w:u w:val="single"/>
        </w:rPr>
        <w:t xml:space="preserve"> </w:t>
      </w:r>
      <w:r>
        <w:rPr>
          <w:rFonts w:hint="eastAsia"/>
          <w:u w:val="single"/>
        </w:rPr>
        <w:t>　</w:t>
      </w:r>
      <w:r>
        <w:rPr>
          <w:u w:val="single"/>
        </w:rPr>
        <w:t xml:space="preserve"> </w:t>
      </w:r>
      <w:r>
        <w:rPr>
          <w:rFonts w:hint="eastAsia"/>
        </w:rPr>
        <w:t>天内到货，到货地点为西安西北大学</w:t>
      </w:r>
      <w:r>
        <w:rPr>
          <w:rFonts w:hint="eastAsia" w:ascii="宋体"/>
        </w:rPr>
        <w:t>××××学院（系）</w:t>
      </w:r>
      <w:r>
        <w:rPr>
          <w:rFonts w:hint="eastAsia"/>
          <w:lang w:val="en-US" w:eastAsia="zh-CN"/>
        </w:rPr>
        <w:t>指定地点</w:t>
      </w:r>
      <w:r>
        <w:rPr>
          <w:rFonts w:hint="eastAsia"/>
        </w:rPr>
        <w:t>。</w:t>
      </w:r>
    </w:p>
    <w:p>
      <w:pPr>
        <w:spacing w:line="360" w:lineRule="auto"/>
        <w:ind w:firstLine="420" w:firstLineChars="200"/>
        <w:rPr>
          <w:rFonts w:hint="eastAsia"/>
        </w:rPr>
      </w:pPr>
      <w:r>
        <w:rPr>
          <w:rFonts w:hint="eastAsia"/>
        </w:rPr>
        <w:t>2、</w:t>
      </w:r>
      <w:r>
        <w:rPr>
          <w:rFonts w:hint="eastAsia"/>
          <w:lang w:val="en-US" w:eastAsia="zh-CN"/>
        </w:rPr>
        <w:t>货物</w:t>
      </w:r>
      <w:r>
        <w:rPr>
          <w:rFonts w:hint="eastAsia"/>
        </w:rPr>
        <w:t>的运输方式由乙方自行选择，但包装必须符合国际标准或行业标准，满足航空、铁路或公路运输以及</w:t>
      </w:r>
      <w:r>
        <w:rPr>
          <w:rFonts w:hint="eastAsia"/>
          <w:lang w:eastAsia="zh-CN"/>
        </w:rPr>
        <w:t>货物</w:t>
      </w:r>
      <w:r>
        <w:rPr>
          <w:rFonts w:hint="eastAsia"/>
        </w:rPr>
        <w:t>装卸要求，保证使用人收到的是无任何损伤的</w:t>
      </w:r>
      <w:r>
        <w:rPr>
          <w:rFonts w:hint="eastAsia"/>
          <w:lang w:eastAsia="zh-CN"/>
        </w:rPr>
        <w:t>货物</w:t>
      </w:r>
      <w:r>
        <w:rPr>
          <w:rFonts w:hint="eastAsia"/>
        </w:rPr>
        <w:t>。否则，因此造成的损失由乙方自行承担。</w:t>
      </w:r>
    </w:p>
    <w:p>
      <w:pPr>
        <w:spacing w:line="360" w:lineRule="auto"/>
        <w:rPr>
          <w:b/>
          <w:sz w:val="24"/>
        </w:rPr>
      </w:pPr>
      <w:r>
        <w:rPr>
          <w:rFonts w:hint="eastAsia"/>
          <w:b/>
          <w:sz w:val="24"/>
        </w:rPr>
        <w:t>三、</w:t>
      </w:r>
      <w:r>
        <w:rPr>
          <w:rFonts w:hint="eastAsia"/>
          <w:b/>
          <w:sz w:val="24"/>
          <w:lang w:eastAsia="zh-CN"/>
        </w:rPr>
        <w:t>货物</w:t>
      </w:r>
      <w:r>
        <w:rPr>
          <w:rFonts w:hint="eastAsia"/>
          <w:b/>
          <w:sz w:val="24"/>
        </w:rPr>
        <w:t>质量保证</w:t>
      </w:r>
    </w:p>
    <w:p>
      <w:pPr>
        <w:spacing w:line="360" w:lineRule="auto"/>
        <w:ind w:firstLine="420" w:firstLineChars="200"/>
        <w:rPr>
          <w:rFonts w:hint="eastAsia"/>
        </w:rPr>
      </w:pPr>
      <w:r>
        <w:t>1</w:t>
      </w:r>
      <w:r>
        <w:rPr>
          <w:rFonts w:hint="eastAsia"/>
        </w:rPr>
        <w:t>、乙方必须保证所提供的</w:t>
      </w:r>
      <w:r>
        <w:rPr>
          <w:rFonts w:hint="eastAsia"/>
          <w:lang w:val="en-US" w:eastAsia="zh-CN"/>
        </w:rPr>
        <w:t>货物</w:t>
      </w:r>
      <w:r>
        <w:rPr>
          <w:rFonts w:hint="eastAsia"/>
        </w:rPr>
        <w:t>及配套</w:t>
      </w:r>
      <w:r>
        <w:rPr>
          <w:rFonts w:hint="eastAsia"/>
          <w:lang w:val="en-US" w:eastAsia="zh-CN"/>
        </w:rPr>
        <w:t>产品</w:t>
      </w:r>
      <w:r>
        <w:rPr>
          <w:rFonts w:hint="eastAsia"/>
        </w:rPr>
        <w:t>是合同规定厂家制造的、崭新的、未曾使用过的合格</w:t>
      </w:r>
      <w:r>
        <w:rPr>
          <w:rFonts w:hint="eastAsia"/>
          <w:lang w:eastAsia="zh-CN"/>
        </w:rPr>
        <w:t>货物</w:t>
      </w:r>
      <w:r>
        <w:rPr>
          <w:rFonts w:hint="eastAsia"/>
        </w:rPr>
        <w:t>。</w:t>
      </w:r>
    </w:p>
    <w:p>
      <w:pPr>
        <w:spacing w:line="360" w:lineRule="auto"/>
        <w:ind w:firstLine="420" w:firstLineChars="200"/>
      </w:pPr>
      <w:r>
        <w:t>2</w:t>
      </w:r>
      <w:r>
        <w:rPr>
          <w:rFonts w:hint="eastAsia"/>
        </w:rPr>
        <w:t>、乙方提供的</w:t>
      </w:r>
      <w:r>
        <w:rPr>
          <w:rFonts w:hint="eastAsia"/>
          <w:lang w:val="en-US" w:eastAsia="zh-CN"/>
        </w:rPr>
        <w:t>货物</w:t>
      </w:r>
      <w:r>
        <w:rPr>
          <w:rFonts w:hint="eastAsia"/>
        </w:rPr>
        <w:t>及配套</w:t>
      </w:r>
      <w:r>
        <w:rPr>
          <w:rFonts w:hint="eastAsia"/>
          <w:lang w:val="en-US" w:eastAsia="zh-CN"/>
        </w:rPr>
        <w:t>产品</w:t>
      </w:r>
      <w:r>
        <w:rPr>
          <w:rFonts w:hint="eastAsia"/>
        </w:rPr>
        <w:t>必须等同或优于合同技术指标要求，并能按国际标准（行业标准）检测调试和验收，确保</w:t>
      </w:r>
      <w:r>
        <w:rPr>
          <w:rFonts w:hint="eastAsia"/>
          <w:lang w:eastAsia="zh-CN"/>
        </w:rPr>
        <w:t>货物</w:t>
      </w:r>
      <w:r>
        <w:rPr>
          <w:rFonts w:hint="eastAsia"/>
        </w:rPr>
        <w:t>技术指标满足使用要求。</w:t>
      </w:r>
    </w:p>
    <w:p>
      <w:pPr>
        <w:spacing w:line="360" w:lineRule="auto"/>
      </w:pPr>
      <w:r>
        <w:t xml:space="preserve">    3</w:t>
      </w:r>
      <w:r>
        <w:rPr>
          <w:rFonts w:hint="eastAsia"/>
        </w:rPr>
        <w:t>、</w:t>
      </w:r>
      <w:r>
        <w:rPr>
          <w:rFonts w:hint="eastAsia"/>
          <w:lang w:eastAsia="zh-CN"/>
        </w:rPr>
        <w:t>货物</w:t>
      </w:r>
      <w:r>
        <w:rPr>
          <w:rFonts w:hint="eastAsia"/>
        </w:rPr>
        <w:t>质量保修期为</w:t>
      </w:r>
      <w:r>
        <w:rPr>
          <w:rFonts w:hint="eastAsia"/>
          <w:lang w:val="en-US" w:eastAsia="zh-CN"/>
        </w:rPr>
        <w:t>货物</w:t>
      </w:r>
      <w:r>
        <w:rPr>
          <w:rFonts w:hint="eastAsia"/>
        </w:rPr>
        <w:t>验收合格后</w:t>
      </w:r>
      <w:r>
        <w:rPr>
          <w:u w:val="single"/>
        </w:rPr>
        <w:t xml:space="preserve"> </w:t>
      </w:r>
      <w:r>
        <w:rPr>
          <w:rFonts w:hint="eastAsia"/>
          <w:u w:val="single"/>
        </w:rPr>
        <w:t xml:space="preserve"> </w:t>
      </w:r>
      <w:r>
        <w:rPr>
          <w:rFonts w:hint="eastAsia"/>
        </w:rPr>
        <w:t>年。质量保修期内乙方免费维修，包括</w:t>
      </w:r>
      <w:r>
        <w:rPr>
          <w:rFonts w:hint="eastAsia"/>
          <w:lang w:val="en-US" w:eastAsia="zh-CN"/>
        </w:rPr>
        <w:t>货物</w:t>
      </w:r>
      <w:r>
        <w:rPr>
          <w:rFonts w:hint="eastAsia"/>
        </w:rPr>
        <w:t>的零配件及国内不能解决的故障需要返回生产厂维修时所发生的一切费用。质量保期满后，乙方负责</w:t>
      </w:r>
      <w:r>
        <w:rPr>
          <w:rFonts w:hint="eastAsia"/>
          <w:lang w:val="en-US" w:eastAsia="zh-CN"/>
        </w:rPr>
        <w:t>货物</w:t>
      </w:r>
      <w:r>
        <w:rPr>
          <w:rFonts w:hint="eastAsia"/>
        </w:rPr>
        <w:t>的终身维修。</w:t>
      </w:r>
      <w:r>
        <w:rPr>
          <w:rFonts w:hint="eastAsia" w:ascii="宋体"/>
        </w:rPr>
        <w:t>甲方如需更换</w:t>
      </w:r>
      <w:r>
        <w:rPr>
          <w:rFonts w:hint="eastAsia"/>
          <w:lang w:val="en-US" w:eastAsia="zh-CN"/>
        </w:rPr>
        <w:t>货物</w:t>
      </w:r>
      <w:r>
        <w:rPr>
          <w:rFonts w:hint="eastAsia"/>
        </w:rPr>
        <w:t>的零配件，乙方只收取零配件的成本费，并由乙方负责更换。</w:t>
      </w:r>
    </w:p>
    <w:p>
      <w:pPr>
        <w:spacing w:line="360" w:lineRule="auto"/>
        <w:rPr>
          <w:b/>
          <w:sz w:val="24"/>
        </w:rPr>
      </w:pPr>
      <w:r>
        <w:rPr>
          <w:rFonts w:hint="eastAsia"/>
          <w:b/>
          <w:sz w:val="24"/>
        </w:rPr>
        <w:t>四、技术服务承诺</w:t>
      </w:r>
    </w:p>
    <w:p>
      <w:pPr>
        <w:pStyle w:val="17"/>
        <w:spacing w:line="360" w:lineRule="auto"/>
        <w:ind w:left="0" w:firstLine="420" w:firstLineChars="200"/>
        <w:rPr>
          <w:rFonts w:ascii="宋体"/>
          <w:sz w:val="21"/>
          <w:szCs w:val="24"/>
        </w:rPr>
      </w:pPr>
      <w:r>
        <w:rPr>
          <w:rFonts w:hint="eastAsia" w:ascii="宋体"/>
          <w:sz w:val="21"/>
          <w:szCs w:val="24"/>
        </w:rPr>
        <w:t>1、乙方负责提供</w:t>
      </w:r>
      <w:r>
        <w:rPr>
          <w:rFonts w:hint="eastAsia" w:ascii="宋体"/>
          <w:kern w:val="2"/>
          <w:sz w:val="21"/>
          <w:szCs w:val="24"/>
          <w:lang w:val="en-US" w:eastAsia="zh-CN" w:bidi="ar-SA"/>
        </w:rPr>
        <w:t>货物相应的技</w:t>
      </w:r>
      <w:r>
        <w:rPr>
          <w:rFonts w:hint="eastAsia" w:ascii="宋体"/>
          <w:sz w:val="21"/>
          <w:szCs w:val="24"/>
        </w:rPr>
        <w:t>术资料，包括</w:t>
      </w:r>
      <w:r>
        <w:rPr>
          <w:rFonts w:hint="eastAsia"/>
          <w:sz w:val="21"/>
          <w:szCs w:val="24"/>
        </w:rPr>
        <w:t>产品</w:t>
      </w:r>
      <w:r>
        <w:rPr>
          <w:rFonts w:hint="eastAsia" w:ascii="宋体"/>
          <w:sz w:val="21"/>
          <w:szCs w:val="24"/>
        </w:rPr>
        <w:t>合格证、</w:t>
      </w:r>
      <w:r>
        <w:rPr>
          <w:rFonts w:hint="eastAsia"/>
          <w:sz w:val="21"/>
          <w:szCs w:val="24"/>
        </w:rPr>
        <w:t>产品</w:t>
      </w:r>
      <w:r>
        <w:rPr>
          <w:rFonts w:hint="eastAsia" w:ascii="宋体"/>
          <w:sz w:val="21"/>
          <w:szCs w:val="24"/>
        </w:rPr>
        <w:t>保修单、安装使用及维护说明书以及运输装箱清单等</w:t>
      </w:r>
      <w:r>
        <w:rPr>
          <w:rFonts w:hint="eastAsia" w:ascii="宋体"/>
          <w:sz w:val="21"/>
          <w:szCs w:val="24"/>
          <w:lang w:eastAsia="zh-CN"/>
        </w:rPr>
        <w:t>，</w:t>
      </w:r>
      <w:r>
        <w:rPr>
          <w:rFonts w:hint="eastAsia" w:ascii="宋体"/>
          <w:sz w:val="21"/>
          <w:szCs w:val="24"/>
          <w:lang w:val="en-US" w:eastAsia="zh-CN"/>
        </w:rPr>
        <w:t>外文资料需同时提供生意人中文翻译文本</w:t>
      </w:r>
      <w:r>
        <w:rPr>
          <w:rFonts w:hint="eastAsia" w:ascii="宋体"/>
          <w:sz w:val="21"/>
          <w:szCs w:val="24"/>
        </w:rPr>
        <w:t>。</w:t>
      </w:r>
    </w:p>
    <w:p>
      <w:pPr>
        <w:spacing w:line="360" w:lineRule="auto"/>
        <w:ind w:firstLine="420" w:firstLineChars="200"/>
      </w:pPr>
      <w:r>
        <w:rPr>
          <w:rFonts w:hint="eastAsia" w:ascii="宋体"/>
        </w:rPr>
        <w:t>2、人员培训：乙方免费为甲方培训使用人员。培训内容包括：操作、维护、简单维修</w:t>
      </w:r>
      <w:r>
        <w:rPr>
          <w:rFonts w:hint="eastAsia"/>
        </w:rPr>
        <w:t>等。</w:t>
      </w:r>
    </w:p>
    <w:p>
      <w:pPr>
        <w:spacing w:line="360" w:lineRule="auto"/>
        <w:ind w:firstLine="420" w:firstLineChars="200"/>
      </w:pPr>
      <w:r>
        <w:t>3</w:t>
      </w:r>
      <w:r>
        <w:rPr>
          <w:rFonts w:hint="eastAsia"/>
        </w:rPr>
        <w:t>、</w:t>
      </w:r>
      <w:r>
        <w:rPr>
          <w:rFonts w:hint="eastAsia"/>
          <w:lang w:val="en-US" w:eastAsia="zh-CN"/>
        </w:rPr>
        <w:t>货物</w:t>
      </w:r>
      <w:r>
        <w:rPr>
          <w:rFonts w:hint="eastAsia"/>
        </w:rPr>
        <w:t>到货后，由乙方技术人员会同</w:t>
      </w:r>
      <w:r>
        <w:rPr>
          <w:rFonts w:hint="eastAsia" w:ascii="宋体"/>
        </w:rPr>
        <w:t>甲方和</w:t>
      </w:r>
      <w:r>
        <w:rPr>
          <w:rFonts w:hint="eastAsia" w:ascii="宋体"/>
          <w:lang w:val="en-US" w:eastAsia="zh-CN"/>
        </w:rPr>
        <w:t>海关</w:t>
      </w:r>
      <w:r>
        <w:rPr>
          <w:rFonts w:hint="eastAsia" w:ascii="宋体"/>
        </w:rPr>
        <w:t>在甲方现场</w:t>
      </w:r>
      <w:r>
        <w:rPr>
          <w:rFonts w:hint="eastAsia"/>
        </w:rPr>
        <w:t>免费安装调试。</w:t>
      </w:r>
    </w:p>
    <w:p>
      <w:pPr>
        <w:spacing w:line="360" w:lineRule="auto"/>
        <w:ind w:firstLine="420" w:firstLineChars="200"/>
      </w:pPr>
      <w:r>
        <w:t>4</w:t>
      </w:r>
      <w:r>
        <w:rPr>
          <w:rFonts w:hint="eastAsia"/>
        </w:rPr>
        <w:t>、售后服务：质量保修期内乙方对甲方提出的服务响应不得超出（</w:t>
      </w:r>
      <w:r>
        <w:t xml:space="preserve"> </w:t>
      </w:r>
      <w:r>
        <w:rPr>
          <w:rFonts w:hint="eastAsia"/>
        </w:rPr>
        <w:t>48</w:t>
      </w:r>
      <w:r>
        <w:t xml:space="preserve"> </w:t>
      </w:r>
      <w:r>
        <w:rPr>
          <w:rFonts w:hint="eastAsia"/>
        </w:rPr>
        <w:t>）小时，并派人到</w:t>
      </w:r>
      <w:r>
        <w:rPr>
          <w:rFonts w:hint="eastAsia" w:ascii="宋体"/>
        </w:rPr>
        <w:t>现场</w:t>
      </w:r>
      <w:r>
        <w:rPr>
          <w:rFonts w:hint="eastAsia"/>
        </w:rPr>
        <w:t>排除故障或制订解决方案。</w:t>
      </w:r>
    </w:p>
    <w:p>
      <w:pPr>
        <w:spacing w:line="360" w:lineRule="auto"/>
        <w:rPr>
          <w:b/>
          <w:sz w:val="24"/>
        </w:rPr>
      </w:pPr>
      <w:r>
        <w:rPr>
          <w:rFonts w:hint="eastAsia"/>
          <w:b/>
          <w:sz w:val="24"/>
        </w:rPr>
        <w:t>五、验收方法及标准</w:t>
      </w:r>
    </w:p>
    <w:p>
      <w:pPr>
        <w:spacing w:line="360" w:lineRule="auto"/>
        <w:ind w:firstLine="420"/>
        <w:rPr>
          <w:rFonts w:hint="eastAsia"/>
        </w:rPr>
      </w:pPr>
      <w:r>
        <w:t>1</w:t>
      </w:r>
      <w:r>
        <w:rPr>
          <w:rFonts w:hint="eastAsia"/>
        </w:rPr>
        <w:t>、</w:t>
      </w:r>
      <w:r>
        <w:rPr>
          <w:rFonts w:hint="eastAsia"/>
          <w:lang w:val="en-US" w:eastAsia="zh-CN"/>
        </w:rPr>
        <w:t>验收分初次开箱验收和学校最终验收两个阶段，以最终验收为准。</w:t>
      </w:r>
    </w:p>
    <w:p>
      <w:pPr>
        <w:spacing w:line="360" w:lineRule="auto"/>
        <w:ind w:firstLine="420"/>
      </w:pPr>
      <w:r>
        <w:rPr>
          <w:rFonts w:hint="eastAsia"/>
          <w:lang w:val="en-US" w:eastAsia="zh-CN"/>
        </w:rPr>
        <w:t>2、货物</w:t>
      </w:r>
      <w:r>
        <w:rPr>
          <w:rFonts w:hint="eastAsia"/>
        </w:rPr>
        <w:t>到货后，甲方、乙方双方共同开</w:t>
      </w:r>
      <w:r>
        <w:rPr>
          <w:rFonts w:hint="eastAsia" w:ascii="宋体"/>
        </w:rPr>
        <w:t>箱验收</w:t>
      </w:r>
      <w:r>
        <w:rPr>
          <w:rFonts w:hint="eastAsia" w:ascii="宋体"/>
          <w:lang w:eastAsia="zh-CN"/>
        </w:rPr>
        <w:t>，</w:t>
      </w:r>
      <w:r>
        <w:rPr>
          <w:rFonts w:hint="eastAsia" w:ascii="宋体"/>
          <w:lang w:val="en-US" w:eastAsia="zh-CN"/>
        </w:rPr>
        <w:t>如属于</w:t>
      </w:r>
      <w:r>
        <w:rPr>
          <w:rFonts w:hint="eastAsia" w:ascii="宋体"/>
        </w:rPr>
        <w:t>检验检疫法检目录</w:t>
      </w:r>
      <w:r>
        <w:rPr>
          <w:rFonts w:hint="eastAsia" w:ascii="宋体"/>
          <w:lang w:val="en-US" w:eastAsia="zh-CN"/>
        </w:rPr>
        <w:t>内货物，由甲乙双</w:t>
      </w:r>
      <w:r>
        <w:rPr>
          <w:rFonts w:hint="eastAsia"/>
          <w:lang w:val="en-US" w:eastAsia="zh-CN"/>
        </w:rPr>
        <w:t>方</w:t>
      </w:r>
      <w:r>
        <w:rPr>
          <w:rFonts w:hint="eastAsia"/>
        </w:rPr>
        <w:t>会同</w:t>
      </w:r>
      <w:r>
        <w:rPr>
          <w:rFonts w:hint="eastAsia" w:ascii="宋体"/>
          <w:lang w:val="en-US" w:eastAsia="zh-CN"/>
        </w:rPr>
        <w:t>海关</w:t>
      </w:r>
      <w:r>
        <w:rPr>
          <w:rFonts w:hint="eastAsia" w:ascii="宋体"/>
        </w:rPr>
        <w:t>共同</w:t>
      </w:r>
      <w:r>
        <w:rPr>
          <w:rFonts w:hint="eastAsia"/>
        </w:rPr>
        <w:t>开箱验收。在检查</w:t>
      </w:r>
      <w:r>
        <w:rPr>
          <w:rFonts w:hint="eastAsia"/>
          <w:lang w:val="en-US" w:eastAsia="zh-CN"/>
        </w:rPr>
        <w:t>货物</w:t>
      </w:r>
      <w:r>
        <w:rPr>
          <w:rFonts w:hint="eastAsia"/>
        </w:rPr>
        <w:t>原产地、规格、型号、配置符合合同要求后，由乙方负责安装调试</w:t>
      </w:r>
      <w:r>
        <w:rPr>
          <w:rFonts w:hint="eastAsia"/>
          <w:lang w:eastAsia="zh-CN"/>
        </w:rPr>
        <w:t>、</w:t>
      </w:r>
      <w:r>
        <w:rPr>
          <w:rFonts w:hint="eastAsia"/>
        </w:rPr>
        <w:t>甲方（使用单位）先进行技术验收（乙方协助），验收以国际标准或以合同文本中描述的有关技术要求为准。</w:t>
      </w:r>
    </w:p>
    <w:p>
      <w:pPr>
        <w:spacing w:line="360" w:lineRule="auto"/>
        <w:ind w:firstLine="422" w:firstLineChars="200"/>
      </w:pPr>
      <w:r>
        <w:rPr>
          <w:rFonts w:hint="eastAsia"/>
          <w:b/>
          <w:bCs/>
          <w:lang w:val="en-US" w:eastAsia="zh-CN"/>
        </w:rPr>
        <w:t>3</w:t>
      </w:r>
      <w:r>
        <w:rPr>
          <w:rFonts w:hint="eastAsia"/>
          <w:b/>
          <w:bCs/>
        </w:rPr>
        <w:t>、</w:t>
      </w:r>
      <w:r>
        <w:rPr>
          <w:rFonts w:hint="eastAsia"/>
        </w:rPr>
        <w:t>学校根据使用单位技术验收结果，组织有关专家进行的最终验收。</w:t>
      </w:r>
    </w:p>
    <w:p>
      <w:pPr>
        <w:spacing w:line="360" w:lineRule="auto"/>
        <w:rPr>
          <w:b/>
          <w:sz w:val="24"/>
        </w:rPr>
      </w:pPr>
      <w:r>
        <w:rPr>
          <w:rFonts w:hint="eastAsia"/>
          <w:b/>
          <w:sz w:val="24"/>
        </w:rPr>
        <w:t>六、合同款项支付方式</w:t>
      </w:r>
    </w:p>
    <w:p>
      <w:pPr>
        <w:spacing w:line="360" w:lineRule="auto"/>
        <w:ind w:firstLine="420" w:firstLineChars="200"/>
        <w:rPr>
          <w:rFonts w:hint="eastAsia" w:eastAsia="宋体" w:cs="Times New Roman"/>
        </w:rPr>
      </w:pPr>
      <w:r>
        <w:rPr>
          <w:rFonts w:hint="eastAsia" w:eastAsia="宋体" w:cs="Times New Roman"/>
        </w:rPr>
        <w:t>合同生效后，由甲方通过进出口业务代理公司向乙方开出100%信用证，</w:t>
      </w:r>
      <w:r>
        <w:rPr>
          <w:rFonts w:hint="eastAsia" w:eastAsia="宋体" w:cs="Times New Roman"/>
          <w:lang w:val="en-US" w:eastAsia="zh-CN"/>
        </w:rPr>
        <w:t>其中90%凭到货开箱验收报告解付，其余10%在学校最终验收合格后解付</w:t>
      </w:r>
      <w:r>
        <w:rPr>
          <w:rFonts w:hint="eastAsia" w:eastAsia="宋体" w:cs="Times New Roman"/>
        </w:rPr>
        <w:t>。</w:t>
      </w:r>
    </w:p>
    <w:p>
      <w:pPr>
        <w:spacing w:line="360" w:lineRule="auto"/>
        <w:rPr>
          <w:b/>
          <w:sz w:val="24"/>
        </w:rPr>
      </w:pPr>
      <w:r>
        <w:rPr>
          <w:rFonts w:hint="eastAsia"/>
          <w:b/>
          <w:sz w:val="24"/>
        </w:rPr>
        <w:t>七、违约责任</w:t>
      </w:r>
    </w:p>
    <w:p>
      <w:pPr>
        <w:spacing w:line="360" w:lineRule="auto"/>
        <w:ind w:firstLine="420" w:firstLineChars="200"/>
      </w:pPr>
      <w:r>
        <w:t>1</w:t>
      </w:r>
      <w:r>
        <w:rPr>
          <w:rFonts w:hint="eastAsia"/>
        </w:rPr>
        <w:t>、合同生效后，甲乙双方应按合同规定认真履约，合同履约责任只涉及合同甲乙双方，不考虑第三方因素。</w:t>
      </w:r>
    </w:p>
    <w:p>
      <w:pPr>
        <w:spacing w:line="360" w:lineRule="auto"/>
        <w:ind w:firstLine="420" w:firstLineChars="200"/>
      </w:pPr>
      <w:r>
        <w:t>2</w:t>
      </w:r>
      <w:r>
        <w:rPr>
          <w:rFonts w:hint="eastAsia"/>
        </w:rPr>
        <w:t>、除不可抗力原因外，如遇下列情况之一者，甲方有权不予退还乙方所缴纳的合同履约、</w:t>
      </w:r>
      <w:r>
        <w:rPr>
          <w:rFonts w:hint="eastAsia"/>
          <w:lang w:eastAsia="zh-CN"/>
        </w:rPr>
        <w:t>货物</w:t>
      </w:r>
      <w:r>
        <w:rPr>
          <w:rFonts w:hint="eastAsia"/>
        </w:rPr>
        <w:t>质量保证金，作为对甲方的赔偿：（</w:t>
      </w:r>
      <w:r>
        <w:t>1</w:t>
      </w:r>
      <w:r>
        <w:rPr>
          <w:rFonts w:hint="eastAsia"/>
        </w:rPr>
        <w:t>）合同签订后不能按合同时限要求供货或安装调试；（</w:t>
      </w:r>
      <w:r>
        <w:t>2</w:t>
      </w:r>
      <w:r>
        <w:rPr>
          <w:rFonts w:hint="eastAsia"/>
        </w:rPr>
        <w:t>）所供</w:t>
      </w:r>
      <w:r>
        <w:rPr>
          <w:rFonts w:hint="eastAsia"/>
          <w:lang w:val="en-US" w:eastAsia="zh-CN"/>
        </w:rPr>
        <w:t>货物</w:t>
      </w:r>
      <w:r>
        <w:rPr>
          <w:rFonts w:hint="eastAsia"/>
        </w:rPr>
        <w:t>不合格</w:t>
      </w:r>
      <w:r>
        <w:rPr>
          <w:rFonts w:hint="eastAsia"/>
          <w:b/>
        </w:rPr>
        <w:t>、</w:t>
      </w:r>
      <w:r>
        <w:rPr>
          <w:rFonts w:hint="eastAsia"/>
        </w:rPr>
        <w:t>与合同不符；（</w:t>
      </w:r>
      <w:r>
        <w:t>3</w:t>
      </w:r>
      <w:r>
        <w:rPr>
          <w:rFonts w:hint="eastAsia"/>
        </w:rPr>
        <w:t>）不能按合同履约；（</w:t>
      </w:r>
      <w:r>
        <w:t>4</w:t>
      </w:r>
      <w:r>
        <w:rPr>
          <w:rFonts w:hint="eastAsia"/>
        </w:rPr>
        <w:t>）</w:t>
      </w:r>
      <w:r>
        <w:rPr>
          <w:rFonts w:hint="eastAsia"/>
          <w:lang w:val="en-US" w:eastAsia="zh-CN"/>
        </w:rPr>
        <w:t>货物</w:t>
      </w:r>
      <w:r>
        <w:rPr>
          <w:rFonts w:hint="eastAsia"/>
        </w:rPr>
        <w:t>验收不合格。</w:t>
      </w:r>
      <w:r>
        <w:rPr>
          <w:rFonts w:hint="eastAsia" w:ascii="Calibri" w:hAnsi="Calibri" w:eastAsia="宋体"/>
          <w:sz w:val="21"/>
          <w:szCs w:val="24"/>
        </w:rPr>
        <w:t>如乙方的合同履约、</w:t>
      </w:r>
      <w:r>
        <w:rPr>
          <w:rFonts w:hint="eastAsia" w:ascii="Calibri" w:hAnsi="Calibri" w:eastAsia="宋体"/>
          <w:sz w:val="21"/>
          <w:szCs w:val="24"/>
          <w:lang w:eastAsia="zh-CN"/>
        </w:rPr>
        <w:t>货物</w:t>
      </w:r>
      <w:r>
        <w:rPr>
          <w:rFonts w:hint="eastAsia" w:ascii="Calibri" w:hAnsi="Calibri" w:eastAsia="宋体"/>
          <w:sz w:val="21"/>
          <w:szCs w:val="24"/>
        </w:rPr>
        <w:t>质量保证金不足以弥补甲方损失时，甲方有权要求乙方继续承担赔偿责任</w:t>
      </w:r>
      <w:r>
        <w:rPr>
          <w:rFonts w:hint="eastAsia" w:ascii="Calibri" w:hAnsi="Calibri" w:eastAsia="宋体"/>
          <w:sz w:val="21"/>
          <w:szCs w:val="24"/>
          <w:lang w:eastAsia="zh-CN"/>
        </w:rPr>
        <w:t>。</w:t>
      </w:r>
    </w:p>
    <w:p>
      <w:pPr>
        <w:spacing w:line="360" w:lineRule="auto"/>
        <w:ind w:firstLine="420" w:firstLineChars="200"/>
      </w:pPr>
      <w:r>
        <w:t>3</w:t>
      </w:r>
      <w:r>
        <w:rPr>
          <w:rFonts w:hint="eastAsia"/>
        </w:rPr>
        <w:t>、乙方对所供</w:t>
      </w:r>
      <w:r>
        <w:rPr>
          <w:rFonts w:hint="eastAsia"/>
          <w:lang w:eastAsia="zh-CN"/>
        </w:rPr>
        <w:t>货物</w:t>
      </w:r>
      <w:r>
        <w:rPr>
          <w:rFonts w:hint="eastAsia"/>
        </w:rPr>
        <w:t>出现的问题推委、拖延，（48）小时未作出服务响应，应接受甲方的合理处罚。并且，甲方有权拒绝乙方以后参加学校竞标。</w:t>
      </w:r>
    </w:p>
    <w:p>
      <w:pPr>
        <w:spacing w:line="360" w:lineRule="auto"/>
        <w:ind w:firstLine="420" w:firstLineChars="200"/>
      </w:pPr>
      <w:r>
        <w:t>4</w:t>
      </w:r>
      <w:r>
        <w:rPr>
          <w:rFonts w:hint="eastAsia"/>
        </w:rPr>
        <w:t>、合同履约过程中，甲方应积极配合乙方进行</w:t>
      </w:r>
      <w:r>
        <w:rPr>
          <w:rFonts w:hint="eastAsia"/>
          <w:lang w:val="en-US" w:eastAsia="zh-CN"/>
        </w:rPr>
        <w:t>货物</w:t>
      </w:r>
      <w:r>
        <w:rPr>
          <w:rFonts w:hint="eastAsia"/>
        </w:rPr>
        <w:t>验收以及验收前的外围配套等工作。否则，因此导致</w:t>
      </w:r>
      <w:r>
        <w:rPr>
          <w:rFonts w:hint="eastAsia"/>
          <w:lang w:val="en-US" w:eastAsia="zh-CN"/>
        </w:rPr>
        <w:t>货物</w:t>
      </w:r>
      <w:r>
        <w:rPr>
          <w:rFonts w:hint="eastAsia"/>
        </w:rPr>
        <w:t>不能按期验收时，不能追究乙方责任；正常情况下应在</w:t>
      </w:r>
      <w:r>
        <w:rPr>
          <w:rFonts w:hint="eastAsia"/>
          <w:lang w:val="en-US" w:eastAsia="zh-CN"/>
        </w:rPr>
        <w:t>货物</w:t>
      </w:r>
      <w:r>
        <w:rPr>
          <w:rFonts w:hint="eastAsia"/>
        </w:rPr>
        <w:t>验收合格后</w:t>
      </w:r>
      <w:r>
        <w:t>15</w:t>
      </w:r>
      <w:r>
        <w:rPr>
          <w:rFonts w:hint="eastAsia"/>
        </w:rPr>
        <w:t>天内按规定向乙方付款，最长时间不能超过</w:t>
      </w:r>
      <w:r>
        <w:t>30</w:t>
      </w:r>
      <w:r>
        <w:rPr>
          <w:rFonts w:hint="eastAsia"/>
        </w:rPr>
        <w:t>天。否则，每超过一周应向乙方支付合同应付款3‰的滞纳金。</w:t>
      </w:r>
    </w:p>
    <w:p>
      <w:pPr>
        <w:spacing w:line="360" w:lineRule="auto"/>
        <w:rPr>
          <w:b/>
          <w:sz w:val="24"/>
        </w:rPr>
      </w:pPr>
      <w:r>
        <w:rPr>
          <w:rFonts w:hint="eastAsia"/>
          <w:b/>
          <w:sz w:val="24"/>
        </w:rPr>
        <w:t>八、其它事项</w:t>
      </w:r>
    </w:p>
    <w:p>
      <w:pPr>
        <w:spacing w:line="360" w:lineRule="auto"/>
        <w:ind w:firstLine="420" w:firstLineChars="200"/>
        <w:rPr>
          <w:rFonts w:hint="eastAsia"/>
        </w:rPr>
      </w:pPr>
      <w:r>
        <w:rPr>
          <w:rFonts w:hint="eastAsia"/>
        </w:rPr>
        <w:t>1、合同经双方签字盖章后生效。本合同一式柒份，甲方执伍份（</w:t>
      </w:r>
      <w:r>
        <w:rPr>
          <w:rFonts w:hint="eastAsia"/>
          <w:lang w:val="en-US" w:eastAsia="zh-CN"/>
        </w:rPr>
        <w:t>采招</w:t>
      </w:r>
      <w:r>
        <w:rPr>
          <w:rFonts w:hint="eastAsia"/>
        </w:rPr>
        <w:t>办1份，财</w:t>
      </w:r>
      <w:r>
        <w:rPr>
          <w:rFonts w:hint="eastAsia"/>
          <w:lang w:val="en-US" w:eastAsia="zh-CN"/>
        </w:rPr>
        <w:t>资部</w:t>
      </w:r>
      <w:r>
        <w:rPr>
          <w:rFonts w:hint="eastAsia"/>
        </w:rPr>
        <w:t>2份，使用单位2份），乙方执壹份，招标公司执壹份，执行完毕后自行失效。</w:t>
      </w:r>
    </w:p>
    <w:p>
      <w:pPr>
        <w:spacing w:line="360" w:lineRule="auto"/>
        <w:ind w:firstLine="420" w:firstLineChars="200"/>
        <w:rPr>
          <w:rFonts w:hint="eastAsia"/>
        </w:rPr>
      </w:pPr>
      <w:r>
        <w:t>2</w:t>
      </w:r>
      <w:r>
        <w:rPr>
          <w:rFonts w:hint="eastAsia"/>
        </w:rPr>
        <w:t>、下述文件为本合同的一部分，并与本合同一起阅读和解释，且具有同等法律效力：</w:t>
      </w:r>
    </w:p>
    <w:p>
      <w:pPr>
        <w:spacing w:line="360" w:lineRule="auto"/>
        <w:ind w:firstLine="525" w:firstLineChars="250"/>
        <w:rPr>
          <w:rFonts w:hint="eastAsia" w:ascii="宋体" w:hAnsi="宋体"/>
        </w:rPr>
      </w:pPr>
      <w:r>
        <w:rPr>
          <w:rFonts w:hint="eastAsia" w:ascii="宋体" w:hAnsi="宋体"/>
        </w:rPr>
        <w:t>①合同附件1：</w:t>
      </w:r>
      <w:r>
        <w:rPr>
          <w:rFonts w:hint="eastAsia"/>
          <w:sz w:val="21"/>
          <w:szCs w:val="24"/>
        </w:rPr>
        <w:t>产品</w:t>
      </w:r>
      <w:r>
        <w:rPr>
          <w:rFonts w:hint="eastAsia" w:ascii="宋体" w:hAnsi="宋体"/>
        </w:rPr>
        <w:t>功能要求、技术规格及配置详单；</w:t>
      </w:r>
    </w:p>
    <w:p>
      <w:pPr>
        <w:spacing w:line="360" w:lineRule="auto"/>
        <w:ind w:firstLine="560"/>
        <w:rPr>
          <w:rFonts w:hint="eastAsia" w:ascii="宋体" w:hAnsi="宋体"/>
        </w:rPr>
      </w:pPr>
      <w:r>
        <w:rPr>
          <w:rFonts w:hint="eastAsia" w:ascii="宋体" w:hAnsi="宋体"/>
        </w:rPr>
        <w:t>②合同附件2：补充条款（如果有）；</w:t>
      </w:r>
    </w:p>
    <w:p>
      <w:pPr>
        <w:spacing w:line="360" w:lineRule="auto"/>
        <w:ind w:firstLine="560"/>
        <w:rPr>
          <w:rFonts w:hint="eastAsia" w:ascii="宋体" w:hAnsi="宋体"/>
        </w:rPr>
      </w:pPr>
      <w:r>
        <w:rPr>
          <w:rFonts w:hint="eastAsia" w:ascii="宋体" w:hAnsi="宋体"/>
        </w:rPr>
        <w:t>③合同附件3：澄清函及最终报价和承诺（如果有）；</w:t>
      </w:r>
    </w:p>
    <w:p>
      <w:pPr>
        <w:spacing w:line="360" w:lineRule="auto"/>
        <w:ind w:firstLine="560"/>
        <w:rPr>
          <w:rFonts w:hint="eastAsia" w:ascii="宋体" w:hAnsi="宋体"/>
        </w:rPr>
      </w:pPr>
      <w:r>
        <w:rPr>
          <w:rFonts w:hint="eastAsia" w:ascii="宋体" w:hAnsi="宋体"/>
        </w:rPr>
        <w:t>④招标文件；</w:t>
      </w:r>
    </w:p>
    <w:p>
      <w:pPr>
        <w:spacing w:line="360" w:lineRule="auto"/>
        <w:ind w:firstLine="560"/>
        <w:rPr>
          <w:rFonts w:hint="eastAsia" w:ascii="宋体" w:hAnsi="宋体"/>
        </w:rPr>
      </w:pPr>
      <w:r>
        <w:rPr>
          <w:rFonts w:hint="eastAsia" w:ascii="宋体" w:hAnsi="宋体"/>
        </w:rPr>
        <w:t>⑤投标文件；</w:t>
      </w:r>
    </w:p>
    <w:p>
      <w:pPr>
        <w:spacing w:line="360" w:lineRule="auto"/>
        <w:ind w:firstLine="560"/>
        <w:rPr>
          <w:rFonts w:hint="eastAsia" w:ascii="宋体" w:hAnsi="宋体"/>
        </w:rPr>
      </w:pPr>
      <w:r>
        <w:rPr>
          <w:rFonts w:hint="eastAsia" w:ascii="宋体" w:hAnsi="宋体"/>
        </w:rPr>
        <w:t>⑥进出口代理协议；</w:t>
      </w:r>
    </w:p>
    <w:p>
      <w:pPr>
        <w:spacing w:line="360" w:lineRule="auto"/>
        <w:ind w:firstLine="560"/>
      </w:pPr>
      <w:r>
        <w:rPr>
          <w:rFonts w:hint="eastAsia" w:ascii="宋体" w:hAnsi="宋体"/>
        </w:rPr>
        <w:t>⑦中标通知书。</w:t>
      </w:r>
    </w:p>
    <w:p>
      <w:pPr>
        <w:spacing w:line="360" w:lineRule="auto"/>
        <w:ind w:firstLine="420" w:firstLineChars="200"/>
      </w:pPr>
      <w:r>
        <w:t>3</w:t>
      </w:r>
      <w:r>
        <w:rPr>
          <w:rFonts w:hint="eastAsia"/>
        </w:rPr>
        <w:t>、在本合同执行过程中，甲、乙双方协商签订的补充合同与原合同具有同等法律效力。</w:t>
      </w:r>
    </w:p>
    <w:p>
      <w:pPr>
        <w:spacing w:line="360" w:lineRule="auto"/>
        <w:rPr>
          <w:rFonts w:hint="eastAsia"/>
        </w:rPr>
      </w:pPr>
      <w:r>
        <w:t xml:space="preserve">    4</w:t>
      </w:r>
      <w:r>
        <w:rPr>
          <w:rFonts w:hint="eastAsia"/>
        </w:rPr>
        <w:t>、未尽事宜，双方协商解决。</w:t>
      </w:r>
    </w:p>
    <w:p>
      <w:pPr>
        <w:spacing w:line="360" w:lineRule="auto"/>
        <w:ind w:firstLine="420" w:firstLineChars="200"/>
        <w:rPr>
          <w:rFonts w:hint="eastAsia"/>
        </w:rPr>
      </w:pPr>
      <w:r>
        <w:rPr>
          <w:rFonts w:hint="eastAsia"/>
        </w:rPr>
        <w:t>5、合同签订地点：西安</w:t>
      </w:r>
      <w:r>
        <w:t>.</w:t>
      </w:r>
      <w:r>
        <w:rPr>
          <w:rFonts w:hint="eastAsia"/>
        </w:rPr>
        <w:t>西北大学</w:t>
      </w:r>
    </w:p>
    <w:p>
      <w:pPr>
        <w:spacing w:line="360" w:lineRule="auto"/>
        <w:ind w:firstLine="420" w:firstLineChars="200"/>
        <w:rPr>
          <w:rFonts w:hint="eastAsia"/>
        </w:rPr>
      </w:pPr>
      <w:r>
        <w:rPr>
          <w:rFonts w:hint="eastAsia"/>
        </w:rPr>
        <w:t>6、合同签订时间：</w:t>
      </w:r>
      <w:r>
        <w:rPr>
          <w:rFonts w:hint="eastAsia"/>
          <w:u w:val="single"/>
        </w:rPr>
        <w:t>　　</w:t>
      </w:r>
      <w:r>
        <w:rPr>
          <w:u w:val="single"/>
        </w:rPr>
        <w:t xml:space="preserve"> </w:t>
      </w:r>
      <w:r>
        <w:rPr>
          <w:rFonts w:hint="eastAsia"/>
          <w:u w:val="single"/>
        </w:rPr>
        <w:t>　　</w:t>
      </w:r>
      <w:r>
        <w:rPr>
          <w:rFonts w:hint="eastAsia"/>
        </w:rPr>
        <w:t>年</w:t>
      </w:r>
      <w:r>
        <w:rPr>
          <w:rFonts w:hint="eastAsia"/>
          <w:u w:val="single"/>
        </w:rPr>
        <w:t>　</w:t>
      </w:r>
      <w:r>
        <w:rPr>
          <w:u w:val="single"/>
        </w:rPr>
        <w:t xml:space="preserve">  </w:t>
      </w:r>
      <w:r>
        <w:rPr>
          <w:rFonts w:hint="eastAsia"/>
        </w:rPr>
        <w:t>月</w:t>
      </w:r>
      <w:r>
        <w:rPr>
          <w:rFonts w:hint="eastAsia"/>
          <w:u w:val="single"/>
        </w:rPr>
        <w:t>　</w:t>
      </w:r>
      <w:r>
        <w:rPr>
          <w:u w:val="single"/>
        </w:rPr>
        <w:t xml:space="preserve">  </w:t>
      </w:r>
      <w:r>
        <w:rPr>
          <w:rFonts w:hint="eastAsia"/>
        </w:rPr>
        <w:t>日</w:t>
      </w:r>
    </w:p>
    <w:p>
      <w:pPr>
        <w:spacing w:line="360" w:lineRule="auto"/>
        <w:ind w:firstLine="555"/>
        <w:rPr>
          <w:b/>
        </w:rPr>
      </w:pPr>
      <w:r>
        <w:rPr>
          <w:rFonts w:hint="eastAsia"/>
          <w:b/>
        </w:rPr>
        <w:t>甲</w:t>
      </w:r>
      <w:r>
        <w:rPr>
          <w:b/>
        </w:rPr>
        <w:t xml:space="preserve">    </w:t>
      </w:r>
      <w:r>
        <w:rPr>
          <w:rFonts w:hint="eastAsia"/>
          <w:b/>
        </w:rPr>
        <w:t>方</w:t>
      </w:r>
      <w:r>
        <w:rPr>
          <w:b/>
        </w:rPr>
        <w:t xml:space="preserve">                        </w:t>
      </w:r>
      <w:r>
        <w:rPr>
          <w:rFonts w:hint="eastAsia"/>
          <w:b/>
        </w:rPr>
        <w:t xml:space="preserve">              乙</w:t>
      </w:r>
      <w:r>
        <w:rPr>
          <w:b/>
        </w:rPr>
        <w:t xml:space="preserve">    </w:t>
      </w:r>
      <w:r>
        <w:rPr>
          <w:rFonts w:hint="eastAsia"/>
          <w:b/>
        </w:rPr>
        <w:t>方（全填）</w:t>
      </w:r>
    </w:p>
    <w:p>
      <w:pPr>
        <w:spacing w:line="360" w:lineRule="auto"/>
        <w:ind w:firstLine="560"/>
        <w:rPr>
          <w:b/>
        </w:rPr>
      </w:pPr>
      <w:r>
        <w:rPr>
          <w:rFonts w:hint="eastAsia"/>
        </w:rPr>
        <w:t>单位名称（盖章）：</w:t>
      </w:r>
      <w:r>
        <w:t xml:space="preserve">              </w:t>
      </w:r>
      <w:r>
        <w:rPr>
          <w:rFonts w:hint="eastAsia"/>
        </w:rPr>
        <w:t xml:space="preserve">               单位名称（盖章）：</w:t>
      </w:r>
    </w:p>
    <w:p>
      <w:pPr>
        <w:spacing w:line="360" w:lineRule="auto"/>
        <w:ind w:firstLine="540"/>
      </w:pPr>
      <w:r>
        <w:rPr>
          <w:rFonts w:hint="eastAsia"/>
        </w:rPr>
        <w:t>地</w:t>
      </w:r>
      <w:r>
        <w:t xml:space="preserve">    </w:t>
      </w:r>
      <w:r>
        <w:rPr>
          <w:rFonts w:hint="eastAsia"/>
        </w:rPr>
        <w:t>址：</w:t>
      </w:r>
      <w:r>
        <w:t xml:space="preserve">                     </w:t>
      </w:r>
      <w:r>
        <w:rPr>
          <w:rFonts w:hint="eastAsia"/>
        </w:rPr>
        <w:t xml:space="preserve">               地</w:t>
      </w:r>
      <w:r>
        <w:t xml:space="preserve">    </w:t>
      </w:r>
      <w:r>
        <w:rPr>
          <w:rFonts w:hint="eastAsia"/>
        </w:rPr>
        <w:t>址：</w:t>
      </w:r>
    </w:p>
    <w:p>
      <w:pPr>
        <w:spacing w:line="360" w:lineRule="auto"/>
        <w:ind w:firstLine="560"/>
        <w:rPr>
          <w:rFonts w:hint="eastAsia"/>
        </w:rPr>
      </w:pPr>
      <w:r>
        <w:rPr>
          <w:rFonts w:hint="eastAsia"/>
        </w:rPr>
        <w:t>法定代表人：                                  法定代表人：（盖章/签字）</w:t>
      </w:r>
    </w:p>
    <w:p>
      <w:pPr>
        <w:spacing w:line="360" w:lineRule="auto"/>
        <w:ind w:firstLine="560"/>
      </w:pPr>
      <w:r>
        <w:rPr>
          <w:rFonts w:hint="eastAsia"/>
        </w:rPr>
        <w:t>委托代理人：（签字）                           委托代理人：（签字）</w:t>
      </w:r>
    </w:p>
    <w:p>
      <w:pPr>
        <w:spacing w:line="360" w:lineRule="auto"/>
        <w:ind w:firstLine="540"/>
        <w:rPr>
          <w:rFonts w:hint="eastAsia"/>
        </w:rPr>
      </w:pPr>
      <w:r>
        <w:rPr>
          <w:rFonts w:hint="eastAsia"/>
        </w:rPr>
        <w:t>电话：　　　　　　　　　　　　　　　　　　　　电话：</w:t>
      </w:r>
    </w:p>
    <w:p>
      <w:pPr>
        <w:spacing w:line="360" w:lineRule="auto"/>
        <w:ind w:firstLine="540"/>
      </w:pPr>
      <w:r>
        <w:rPr>
          <w:rFonts w:hint="eastAsia"/>
        </w:rPr>
        <w:t>传真：</w:t>
      </w:r>
      <w:r>
        <w:t xml:space="preserve">                     </w:t>
      </w:r>
      <w:r>
        <w:rPr>
          <w:rFonts w:hint="eastAsia"/>
        </w:rPr>
        <w:t xml:space="preserve">               　　传真：</w:t>
      </w:r>
    </w:p>
    <w:p>
      <w:pPr>
        <w:spacing w:line="360" w:lineRule="auto"/>
        <w:ind w:firstLine="570"/>
        <w:rPr>
          <w:rFonts w:hint="eastAsia"/>
        </w:rPr>
      </w:pPr>
      <w:r>
        <w:rPr>
          <w:rFonts w:hint="eastAsia"/>
        </w:rPr>
        <w:t>邮编：　　　　　　　　　　　　　　　　　　　　邮编：</w:t>
      </w:r>
    </w:p>
    <w:p>
      <w:pPr>
        <w:spacing w:line="360" w:lineRule="auto"/>
        <w:ind w:firstLine="570"/>
        <w:rPr>
          <w:rFonts w:hint="eastAsia"/>
        </w:rPr>
      </w:pPr>
      <w:r>
        <w:rPr>
          <w:rFonts w:hint="eastAsia"/>
        </w:rPr>
        <w:t>　　　　　　　　　　　　　　　　　　　　　　　开户银行及账号：</w:t>
      </w:r>
    </w:p>
    <w:p>
      <w:pPr>
        <w:spacing w:line="360" w:lineRule="auto"/>
        <w:ind w:firstLine="570"/>
        <w:rPr>
          <w:rFonts w:hint="eastAsia"/>
        </w:rPr>
      </w:pPr>
    </w:p>
    <w:p>
      <w:pPr>
        <w:spacing w:line="360" w:lineRule="auto"/>
        <w:ind w:firstLine="570"/>
        <w:rPr>
          <w:rFonts w:hint="eastAsia"/>
        </w:rPr>
      </w:pPr>
    </w:p>
    <w:p>
      <w:pPr>
        <w:spacing w:line="360" w:lineRule="auto"/>
        <w:ind w:firstLine="560"/>
        <w:rPr>
          <w:rFonts w:hint="eastAsia" w:ascii="Calibri" w:hAnsi="Calibri"/>
          <w:b/>
          <w:bCs/>
        </w:rPr>
      </w:pPr>
      <w:r>
        <w:rPr>
          <w:rFonts w:hint="eastAsia" w:ascii="Calibri" w:hAnsi="Calibri"/>
          <w:b/>
          <w:bCs/>
        </w:rPr>
        <w:t>招标代理机构名称：陕西卓佲项目管理有限公司</w:t>
      </w:r>
    </w:p>
    <w:p>
      <w:pPr>
        <w:spacing w:line="360" w:lineRule="auto"/>
        <w:ind w:firstLine="560"/>
        <w:rPr>
          <w:rFonts w:hint="eastAsia" w:ascii="Calibri" w:hAnsi="Calibri"/>
        </w:rPr>
      </w:pPr>
      <w:r>
        <w:rPr>
          <w:rFonts w:hint="eastAsia" w:ascii="Calibri" w:hAnsi="Calibri"/>
        </w:rPr>
        <w:t>联系人: 董菊莉</w:t>
      </w:r>
    </w:p>
    <w:p>
      <w:pPr>
        <w:spacing w:line="360" w:lineRule="auto"/>
        <w:ind w:firstLine="560"/>
        <w:rPr>
          <w:rFonts w:ascii="Calibri" w:hAnsi="Calibri"/>
        </w:rPr>
      </w:pPr>
      <w:r>
        <w:rPr>
          <w:rFonts w:hint="eastAsia" w:ascii="Calibri" w:hAnsi="Calibri"/>
        </w:rPr>
        <w:t>联系电话：029-88440695</w:t>
      </w:r>
    </w:p>
    <w:p>
      <w:pPr>
        <w:spacing w:line="360" w:lineRule="auto"/>
        <w:ind w:firstLine="560"/>
        <w:rPr>
          <w:rFonts w:hint="eastAsia" w:ascii="Calibri" w:hAnsi="Calibri" w:eastAsia="宋体" w:cs="Times New Roman"/>
          <w:sz w:val="21"/>
          <w:szCs w:val="22"/>
          <w:lang w:val="en-US" w:eastAsia="zh-CN"/>
        </w:rPr>
        <w:sectPr>
          <w:pgSz w:w="11906" w:h="16838"/>
          <w:pgMar w:top="1440" w:right="1803" w:bottom="1440" w:left="1803" w:header="851" w:footer="992" w:gutter="0"/>
          <w:pgNumType w:fmt="decimal"/>
          <w:cols w:space="720" w:num="1"/>
          <w:docGrid w:type="lines" w:linePitch="319" w:charSpace="0"/>
        </w:sectPr>
      </w:pPr>
    </w:p>
    <w:p>
      <w:pPr>
        <w:pStyle w:val="2"/>
        <w:keepNext w:val="0"/>
        <w:pageBreakBefore/>
        <w:spacing w:before="319" w:beforeLines="100" w:after="478" w:afterLines="150" w:line="500" w:lineRule="exact"/>
        <w:rPr>
          <w:rFonts w:ascii="宋体" w:cs="宋体"/>
        </w:rPr>
      </w:pPr>
      <w:bookmarkStart w:id="60" w:name="_Toc18973"/>
      <w:r>
        <w:rPr>
          <w:rFonts w:hint="eastAsia" w:ascii="宋体" w:hAnsi="宋体" w:cs="宋体"/>
          <w:sz w:val="36"/>
          <w:szCs w:val="36"/>
        </w:rPr>
        <w:t>第七部分</w:t>
      </w:r>
      <w:r>
        <w:rPr>
          <w:rFonts w:ascii="宋体" w:hAnsi="宋体" w:cs="宋体"/>
          <w:sz w:val="36"/>
          <w:szCs w:val="36"/>
        </w:rPr>
        <w:t xml:space="preserve">  </w:t>
      </w:r>
      <w:r>
        <w:rPr>
          <w:rFonts w:hint="eastAsia" w:ascii="宋体" w:hAnsi="宋体" w:cs="宋体"/>
          <w:sz w:val="36"/>
          <w:szCs w:val="36"/>
        </w:rPr>
        <w:t>响应文件格式</w:t>
      </w:r>
      <w:bookmarkEnd w:id="59"/>
      <w:bookmarkEnd w:id="60"/>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ascii="宋体" w:hAnsi="宋体" w:cs="宋体"/>
          <w:b/>
          <w:w w:val="120"/>
          <w:sz w:val="28"/>
          <w:szCs w:val="28"/>
        </w:rPr>
        <w:t xml:space="preserve"> </w:t>
      </w:r>
      <w:r>
        <w:rPr>
          <w:rFonts w:hint="eastAsia" w:ascii="宋体" w:hAnsi="宋体" w:cs="宋体"/>
          <w:b/>
          <w:w w:val="120"/>
          <w:sz w:val="28"/>
          <w:szCs w:val="28"/>
          <w:lang w:eastAsia="zh-CN"/>
        </w:rPr>
        <w:t>ZMZB2022XBDX-59</w:t>
      </w:r>
      <w:r>
        <w:rPr>
          <w:rFonts w:ascii="宋体" w:hAnsi="宋体" w:cs="宋体"/>
          <w:b/>
          <w:w w:val="120"/>
          <w:sz w:val="28"/>
          <w:szCs w:val="28"/>
        </w:rPr>
        <w:t xml:space="preserve">       </w:t>
      </w:r>
      <w:r>
        <w:rPr>
          <w:rFonts w:hint="eastAsia" w:ascii="宋体" w:hAnsi="宋体" w:cs="宋体"/>
          <w:b/>
          <w:w w:val="120"/>
          <w:sz w:val="28"/>
          <w:szCs w:val="28"/>
        </w:rPr>
        <w:t>（正本或副本）</w:t>
      </w:r>
    </w:p>
    <w:p>
      <w:pPr>
        <w:snapToGrid w:val="0"/>
        <w:spacing w:line="360" w:lineRule="auto"/>
        <w:ind w:right="-99" w:rightChars="-47"/>
        <w:rPr>
          <w:rFonts w:ascii="宋体" w:cs="宋体"/>
          <w:b/>
          <w:bCs/>
          <w:sz w:val="72"/>
          <w:szCs w:val="72"/>
        </w:rPr>
      </w:pPr>
    </w:p>
    <w:p>
      <w:pPr>
        <w:adjustRightInd w:val="0"/>
        <w:snapToGrid w:val="0"/>
        <w:spacing w:line="360" w:lineRule="auto"/>
        <w:jc w:val="center"/>
        <w:rPr>
          <w:rFonts w:ascii="宋体" w:cs="宋体"/>
          <w:b/>
          <w:sz w:val="56"/>
          <w:szCs w:val="56"/>
        </w:rPr>
      </w:pPr>
      <w:r>
        <w:rPr>
          <w:rFonts w:hint="eastAsia" w:ascii="宋体" w:cs="宋体"/>
          <w:b/>
          <w:sz w:val="56"/>
          <w:szCs w:val="56"/>
        </w:rPr>
        <w:t>西北大学</w:t>
      </w:r>
    </w:p>
    <w:p>
      <w:pPr>
        <w:adjustRightInd w:val="0"/>
        <w:snapToGrid w:val="0"/>
        <w:spacing w:line="360" w:lineRule="auto"/>
        <w:jc w:val="center"/>
        <w:rPr>
          <w:rFonts w:ascii="宋体" w:cs="宋体"/>
          <w:b/>
          <w:sz w:val="72"/>
          <w:szCs w:val="72"/>
        </w:rPr>
      </w:pPr>
      <w:r>
        <w:rPr>
          <w:rFonts w:hint="eastAsia" w:ascii="宋体" w:cs="宋体"/>
          <w:b/>
          <w:sz w:val="56"/>
          <w:szCs w:val="56"/>
          <w:lang w:eastAsia="zh-CN"/>
        </w:rPr>
        <w:t>光热显微红外光谱仪采购项目</w:t>
      </w:r>
    </w:p>
    <w:p>
      <w:pPr>
        <w:snapToGrid w:val="0"/>
        <w:spacing w:line="480" w:lineRule="auto"/>
        <w:ind w:firstLine="2891" w:firstLineChars="400"/>
        <w:rPr>
          <w:rFonts w:hint="eastAsia" w:ascii="宋体" w:hAnsi="宋体" w:cs="宋体"/>
          <w:b/>
          <w:bCs/>
          <w:sz w:val="72"/>
          <w:szCs w:val="72"/>
        </w:rPr>
      </w:pPr>
    </w:p>
    <w:p>
      <w:pPr>
        <w:outlineLvl w:val="9"/>
        <w:rPr>
          <w:rFonts w:hint="eastAsia"/>
        </w:rPr>
      </w:pPr>
    </w:p>
    <w:p>
      <w:pPr>
        <w:snapToGrid w:val="0"/>
        <w:spacing w:line="480" w:lineRule="auto"/>
        <w:ind w:firstLine="2891" w:firstLineChars="400"/>
        <w:rPr>
          <w:rFonts w:ascii="宋体" w:cs="宋体"/>
          <w:b/>
          <w:bCs/>
          <w:sz w:val="72"/>
          <w:szCs w:val="72"/>
        </w:rPr>
      </w:pPr>
      <w:r>
        <w:rPr>
          <w:rFonts w:hint="eastAsia" w:ascii="宋体" w:hAnsi="宋体" w:cs="宋体"/>
          <w:b/>
          <w:bCs/>
          <w:sz w:val="72"/>
          <w:szCs w:val="72"/>
        </w:rPr>
        <w:t>响应文件</w:t>
      </w:r>
    </w:p>
    <w:p>
      <w:pPr>
        <w:snapToGrid w:val="0"/>
        <w:spacing w:line="360" w:lineRule="auto"/>
        <w:ind w:firstLine="1600" w:firstLineChars="500"/>
        <w:jc w:val="left"/>
        <w:rPr>
          <w:rFonts w:ascii="宋体" w:cs="宋体"/>
          <w:sz w:val="32"/>
          <w:szCs w:val="32"/>
          <w:lang w:val="zh-CN"/>
        </w:rPr>
      </w:pPr>
    </w:p>
    <w:p>
      <w:pPr>
        <w:snapToGrid w:val="0"/>
        <w:spacing w:line="360" w:lineRule="auto"/>
        <w:jc w:val="left"/>
        <w:rPr>
          <w:rFonts w:ascii="宋体" w:hAnsi="宋体" w:cs="宋体"/>
          <w:sz w:val="32"/>
          <w:szCs w:val="32"/>
        </w:rPr>
      </w:pPr>
    </w:p>
    <w:p>
      <w:pPr>
        <w:outlineLvl w:val="9"/>
      </w:pPr>
    </w:p>
    <w:p>
      <w:pPr>
        <w:pStyle w:val="39"/>
      </w:pP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pageBreakBefore/>
        <w:spacing w:beforeLines="100" w:afterLines="150" w:line="500" w:lineRule="exact"/>
        <w:ind w:firstLine="723" w:firstLineChars="200"/>
        <w:jc w:val="center"/>
        <w:rPr>
          <w:rFonts w:ascii="宋体" w:cs="宋体"/>
          <w:b/>
          <w:sz w:val="50"/>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第一部分  响应函</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 xml:space="preserve">第二部分  </w:t>
      </w:r>
      <w:r>
        <w:rPr>
          <w:rFonts w:hint="eastAsia" w:ascii="宋体" w:hAnsi="宋体" w:cs="宋体"/>
          <w:b/>
          <w:bCs/>
          <w:sz w:val="28"/>
          <w:szCs w:val="28"/>
          <w:lang w:eastAsia="zh-CN"/>
        </w:rPr>
        <w:t>响应一览表</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商务及技术响应说明</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第四部分</w:t>
      </w:r>
      <w:r>
        <w:rPr>
          <w:rFonts w:hint="eastAsia" w:ascii="宋体" w:hAnsi="宋体" w:cs="宋体"/>
          <w:b/>
          <w:bCs/>
          <w:sz w:val="28"/>
          <w:szCs w:val="28"/>
          <w:lang w:val="en-US" w:eastAsia="zh-CN"/>
        </w:rPr>
        <w:t xml:space="preserve">  </w:t>
      </w:r>
      <w:r>
        <w:rPr>
          <w:rFonts w:hint="eastAsia" w:hAnsi="宋体" w:cs="宋体"/>
          <w:b/>
          <w:sz w:val="28"/>
          <w:szCs w:val="28"/>
        </w:rPr>
        <w:t>供应商资格要求</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第五部分</w:t>
      </w:r>
      <w:r>
        <w:rPr>
          <w:rFonts w:hint="eastAsia" w:ascii="宋体" w:hAnsi="宋体" w:cs="宋体"/>
          <w:b/>
          <w:bCs/>
          <w:sz w:val="28"/>
          <w:szCs w:val="28"/>
          <w:lang w:val="en-US" w:eastAsia="zh-CN"/>
        </w:rPr>
        <w:t xml:space="preserve">  </w:t>
      </w:r>
      <w:r>
        <w:rPr>
          <w:rFonts w:hint="eastAsia" w:hAnsi="宋体" w:cs="宋体"/>
          <w:b/>
          <w:sz w:val="28"/>
          <w:szCs w:val="28"/>
        </w:rPr>
        <w:t>技术与服务方案</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六</w:t>
      </w:r>
      <w:r>
        <w:rPr>
          <w:rFonts w:hint="eastAsia" w:ascii="宋体" w:hAnsi="宋体" w:cs="宋体"/>
          <w:b/>
          <w:bCs/>
          <w:sz w:val="28"/>
          <w:szCs w:val="28"/>
        </w:rPr>
        <w:t>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七</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业绩一览表</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第</w:t>
      </w:r>
      <w:r>
        <w:rPr>
          <w:rFonts w:hint="eastAsia" w:ascii="宋体" w:hAnsi="宋体" w:cs="宋体"/>
          <w:b/>
          <w:bCs/>
          <w:sz w:val="28"/>
          <w:szCs w:val="28"/>
          <w:lang w:eastAsia="zh-CN"/>
        </w:rPr>
        <w:t>八</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供应商认为有必要说明的其他问题</w:t>
      </w:r>
    </w:p>
    <w:p>
      <w:pPr>
        <w:snapToGrid w:val="0"/>
        <w:spacing w:line="480" w:lineRule="auto"/>
        <w:ind w:firstLine="562" w:firstLineChars="200"/>
        <w:jc w:val="left"/>
        <w:rPr>
          <w:rFonts w:ascii="宋体" w:cs="宋体"/>
          <w:b/>
          <w:bCs/>
          <w:sz w:val="28"/>
          <w:szCs w:val="28"/>
        </w:rPr>
        <w:sectPr>
          <w:pgSz w:w="11906" w:h="16838"/>
          <w:pgMar w:top="1440" w:right="1803" w:bottom="1440" w:left="1803" w:header="851" w:footer="992" w:gutter="0"/>
          <w:pgNumType w:fmt="decimal"/>
          <w:cols w:space="720" w:num="1"/>
          <w:docGrid w:type="lines" w:linePitch="319" w:charSpace="0"/>
        </w:sectPr>
      </w:pPr>
    </w:p>
    <w:p>
      <w:pPr>
        <w:pStyle w:val="3"/>
        <w:pageBreakBefore/>
        <w:spacing w:before="319" w:beforeLines="100" w:after="478" w:afterLines="150" w:line="500" w:lineRule="exact"/>
        <w:jc w:val="center"/>
        <w:rPr>
          <w:rFonts w:ascii="宋体" w:cs="宋体"/>
          <w:sz w:val="36"/>
          <w:szCs w:val="36"/>
        </w:rPr>
      </w:pPr>
      <w:bookmarkStart w:id="61" w:name="_Toc3954"/>
      <w:bookmarkStart w:id="62" w:name="_Toc2536"/>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响应函</w:t>
      </w:r>
      <w:bookmarkEnd w:id="61"/>
      <w:bookmarkEnd w:id="62"/>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我单位收到项目名称：</w:t>
      </w:r>
      <w:r>
        <w:rPr>
          <w:rFonts w:hint="eastAsia" w:ascii="宋体" w:hAnsi="宋体" w:cs="宋体"/>
          <w:sz w:val="24"/>
          <w:szCs w:val="24"/>
          <w:u w:val="single"/>
        </w:rPr>
        <w:t xml:space="preserve">               </w:t>
      </w:r>
      <w:r>
        <w:rPr>
          <w:rFonts w:hint="eastAsia" w:ascii="宋体" w:hAnsi="宋体" w:cs="宋体"/>
          <w:sz w:val="24"/>
          <w:szCs w:val="24"/>
        </w:rPr>
        <w:t>编号为：</w:t>
      </w:r>
      <w:r>
        <w:rPr>
          <w:rFonts w:hint="eastAsia" w:ascii="宋体" w:hAnsi="宋体" w:cs="宋体"/>
          <w:sz w:val="24"/>
          <w:szCs w:val="24"/>
          <w:u w:val="single"/>
        </w:rPr>
        <w:t xml:space="preserve">                 </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4、如果我方在规定的响应有效期内撤回响应文件及承诺，我们的保证金将被对方没收。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w:t>
      </w:r>
      <w:r>
        <w:rPr>
          <w:rFonts w:hint="eastAsia" w:ascii="宋体" w:hAnsi="宋体" w:cs="宋体"/>
          <w:b/>
          <w:bCs/>
          <w:sz w:val="24"/>
          <w:szCs w:val="24"/>
          <w:lang w:eastAsia="zh-CN"/>
        </w:rPr>
        <w:t>响应</w:t>
      </w:r>
      <w:r>
        <w:rPr>
          <w:rFonts w:hint="eastAsia" w:ascii="宋体" w:hAnsi="宋体" w:cs="宋体"/>
          <w:b/>
          <w:bCs/>
          <w:sz w:val="24"/>
          <w:szCs w:val="24"/>
        </w:rPr>
        <w:t>有效期为开标后</w:t>
      </w:r>
      <w:r>
        <w:rPr>
          <w:rFonts w:hint="eastAsia" w:ascii="宋体" w:hAnsi="宋体" w:cs="宋体"/>
          <w:b/>
          <w:bCs/>
          <w:sz w:val="24"/>
          <w:szCs w:val="24"/>
          <w:u w:val="single"/>
        </w:rPr>
        <w:t>90</w:t>
      </w:r>
      <w:r>
        <w:rPr>
          <w:rFonts w:hint="eastAsia" w:ascii="宋体" w:hAnsi="宋体" w:cs="宋体"/>
          <w:b/>
          <w:bCs/>
          <w:sz w:val="24"/>
          <w:szCs w:val="24"/>
        </w:rPr>
        <w:t>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widowControl/>
        <w:spacing w:line="460" w:lineRule="exact"/>
        <w:ind w:firstLine="480" w:firstLineChars="200"/>
        <w:jc w:val="left"/>
        <w:rPr>
          <w:rFonts w:ascii="宋体" w:cs="宋体"/>
          <w:sz w:val="24"/>
          <w:szCs w:val="24"/>
          <w:u w:val="single"/>
        </w:rPr>
      </w:pPr>
    </w:p>
    <w:p>
      <w:pPr>
        <w:pStyle w:val="15"/>
        <w:spacing w:line="480" w:lineRule="auto"/>
        <w:ind w:firstLine="643" w:firstLineChars="200"/>
        <w:jc w:val="center"/>
        <w:rPr>
          <w:rFonts w:cs="宋体"/>
          <w:b/>
          <w:sz w:val="32"/>
        </w:rPr>
      </w:pPr>
    </w:p>
    <w:p>
      <w:pPr>
        <w:pStyle w:val="3"/>
        <w:numPr>
          <w:ilvl w:val="0"/>
          <w:numId w:val="22"/>
        </w:numPr>
        <w:spacing w:before="319" w:beforeLines="100" w:after="478" w:afterLines="150" w:line="500" w:lineRule="exact"/>
        <w:jc w:val="center"/>
        <w:rPr>
          <w:rFonts w:ascii="宋体" w:hAnsi="宋体" w:cs="宋体"/>
          <w:sz w:val="28"/>
          <w:szCs w:val="28"/>
        </w:rPr>
      </w:pPr>
      <w:bookmarkStart w:id="63" w:name="_Toc28494"/>
      <w:r>
        <w:rPr>
          <w:rFonts w:hint="eastAsia" w:ascii="宋体" w:hAnsi="宋体" w:cs="宋体"/>
          <w:sz w:val="36"/>
          <w:szCs w:val="36"/>
          <w:lang w:val="en-US" w:eastAsia="zh-CN"/>
        </w:rPr>
        <w:t xml:space="preserve"> </w:t>
      </w:r>
      <w:r>
        <w:rPr>
          <w:rFonts w:ascii="宋体" w:hAnsi="宋体" w:cs="宋体"/>
          <w:sz w:val="36"/>
          <w:szCs w:val="36"/>
        </w:rPr>
        <w:t xml:space="preserve"> </w:t>
      </w:r>
      <w:bookmarkStart w:id="64" w:name="_Toc30216"/>
      <w:r>
        <w:rPr>
          <w:rFonts w:hint="eastAsia" w:ascii="宋体" w:hAnsi="宋体" w:cs="宋体"/>
          <w:sz w:val="36"/>
          <w:szCs w:val="36"/>
        </w:rPr>
        <w:t>响应一览表</w:t>
      </w:r>
      <w:bookmarkEnd w:id="63"/>
      <w:bookmarkEnd w:id="64"/>
      <w:r>
        <w:rPr>
          <w:rFonts w:ascii="宋体" w:hAnsi="宋体" w:cs="宋体"/>
          <w:sz w:val="36"/>
          <w:szCs w:val="36"/>
        </w:rPr>
        <w:t xml:space="preserve"> </w:t>
      </w:r>
      <w:r>
        <w:rPr>
          <w:rFonts w:ascii="宋体" w:hAnsi="宋体" w:cs="宋体"/>
          <w:sz w:val="28"/>
          <w:szCs w:val="28"/>
        </w:rPr>
        <w:t xml:space="preserve">    </w:t>
      </w:r>
    </w:p>
    <w:p>
      <w:pPr>
        <w:widowControl/>
        <w:wordWrap w:val="0"/>
        <w:spacing w:line="360" w:lineRule="auto"/>
        <w:jc w:val="left"/>
        <w:rPr>
          <w:rFonts w:ascii="宋体" w:cs="宋体"/>
          <w:sz w:val="24"/>
        </w:rPr>
      </w:pPr>
      <w:r>
        <w:rPr>
          <w:rFonts w:hint="eastAsia" w:ascii="宋体" w:cs="宋体"/>
          <w:sz w:val="24"/>
        </w:rPr>
        <w:t>项目名称：</w:t>
      </w:r>
      <w:r>
        <w:rPr>
          <w:rFonts w:hint="eastAsia" w:ascii="宋体" w:cs="宋体"/>
          <w:sz w:val="24"/>
          <w:lang w:eastAsia="zh-CN"/>
        </w:rPr>
        <w:t>西北大学光热显微红外光谱仪采购项目</w:t>
      </w:r>
      <w:r>
        <w:rPr>
          <w:rFonts w:hint="eastAsia" w:ascii="宋体" w:cs="宋体"/>
          <w:sz w:val="24"/>
        </w:rPr>
        <w:t xml:space="preserve">                          </w:t>
      </w:r>
    </w:p>
    <w:p>
      <w:pPr>
        <w:widowControl/>
        <w:wordWrap w:val="0"/>
        <w:spacing w:line="360" w:lineRule="auto"/>
        <w:jc w:val="left"/>
        <w:rPr>
          <w:rFonts w:ascii="宋体" w:cs="宋体"/>
          <w:sz w:val="24"/>
        </w:rPr>
      </w:pPr>
      <w:r>
        <w:rPr>
          <w:rFonts w:hint="eastAsia" w:ascii="宋体" w:cs="宋体"/>
          <w:sz w:val="24"/>
        </w:rPr>
        <w:t xml:space="preserve">项目编号： </w:t>
      </w:r>
      <w:r>
        <w:rPr>
          <w:rFonts w:hint="eastAsia" w:ascii="宋体" w:cs="宋体"/>
          <w:sz w:val="24"/>
          <w:lang w:eastAsia="zh-CN"/>
        </w:rPr>
        <w:t>ZMZB2022XBDX-59</w:t>
      </w:r>
    </w:p>
    <w:p>
      <w:pPr>
        <w:widowControl/>
        <w:wordWrap w:val="0"/>
        <w:spacing w:line="360" w:lineRule="auto"/>
        <w:jc w:val="left"/>
        <w:rPr>
          <w:rFonts w:ascii="宋体" w:cs="宋体"/>
          <w:sz w:val="24"/>
        </w:rPr>
      </w:pPr>
      <w:r>
        <w:rPr>
          <w:rFonts w:hint="eastAsia" w:ascii="宋体" w:cs="宋体"/>
          <w:sz w:val="24"/>
        </w:rPr>
        <w:t xml:space="preserve">供应商名称： </w:t>
      </w:r>
      <w:r>
        <w:rPr>
          <w:rFonts w:ascii="宋体" w:hAnsi="宋体" w:cs="宋体"/>
          <w:sz w:val="28"/>
          <w:szCs w:val="28"/>
        </w:rPr>
        <w:t xml:space="preserve">        </w:t>
      </w:r>
      <w:r>
        <w:rPr>
          <w:rFonts w:hint="eastAsia" w:ascii="宋体" w:hAnsi="宋体" w:cs="宋体"/>
          <w:sz w:val="28"/>
          <w:szCs w:val="28"/>
        </w:rPr>
        <w:t xml:space="preserve">                    </w:t>
      </w:r>
      <w:r>
        <w:rPr>
          <w:rFonts w:hint="eastAsia" w:ascii="宋体" w:cs="宋体"/>
          <w:sz w:val="24"/>
        </w:rPr>
        <w:t xml:space="preserve">  </w:t>
      </w:r>
    </w:p>
    <w:tbl>
      <w:tblPr>
        <w:tblStyle w:val="28"/>
        <w:tblpPr w:leftFromText="180" w:rightFromText="180" w:vertAnchor="text" w:horzAnchor="page" w:tblpX="1985" w:tblpY="313"/>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1870"/>
        <w:gridCol w:w="1772"/>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2634" w:type="dxa"/>
            <w:tcBorders>
              <w:tl2br w:val="single" w:color="auto" w:sz="4" w:space="0"/>
            </w:tcBorders>
          </w:tcPr>
          <w:p>
            <w:pPr>
              <w:kinsoku w:val="0"/>
              <w:spacing w:line="480" w:lineRule="auto"/>
              <w:jc w:val="left"/>
              <w:rPr>
                <w:rFonts w:ascii="宋体" w:cs="宋体"/>
                <w:szCs w:val="21"/>
              </w:rPr>
            </w:pPr>
            <w:r>
              <w:rPr>
                <w:rFonts w:hint="eastAsia" w:ascii="宋体" w:hAnsi="宋体" w:cs="宋体"/>
                <w:szCs w:val="21"/>
              </w:rPr>
              <w:t xml:space="preserve">             协商内容</w:t>
            </w:r>
          </w:p>
          <w:p>
            <w:pPr>
              <w:kinsoku w:val="0"/>
              <w:jc w:val="left"/>
              <w:rPr>
                <w:rFonts w:ascii="宋体" w:cs="宋体"/>
                <w:szCs w:val="21"/>
              </w:rPr>
            </w:pPr>
          </w:p>
          <w:p>
            <w:pPr>
              <w:kinsoku w:val="0"/>
              <w:spacing w:line="480" w:lineRule="auto"/>
              <w:jc w:val="left"/>
              <w:rPr>
                <w:rFonts w:ascii="宋体" w:cs="宋体"/>
                <w:szCs w:val="21"/>
              </w:rPr>
            </w:pPr>
            <w:r>
              <w:rPr>
                <w:rFonts w:hint="eastAsia" w:ascii="宋体" w:hAnsi="宋体" w:cs="宋体"/>
                <w:szCs w:val="21"/>
              </w:rPr>
              <w:t>响应内容</w:t>
            </w:r>
          </w:p>
        </w:tc>
        <w:tc>
          <w:tcPr>
            <w:tcW w:w="1870" w:type="dxa"/>
            <w:vAlign w:val="center"/>
          </w:tcPr>
          <w:p>
            <w:pPr>
              <w:kinsoku w:val="0"/>
              <w:spacing w:line="480" w:lineRule="auto"/>
              <w:jc w:val="center"/>
              <w:rPr>
                <w:rFonts w:ascii="宋体" w:cs="宋体"/>
                <w:szCs w:val="21"/>
              </w:rPr>
            </w:pPr>
            <w:r>
              <w:rPr>
                <w:rFonts w:hint="eastAsia" w:ascii="宋体" w:hAnsi="宋体" w:cs="宋体"/>
                <w:szCs w:val="21"/>
              </w:rPr>
              <w:t>总报价（元）</w:t>
            </w:r>
          </w:p>
        </w:tc>
        <w:tc>
          <w:tcPr>
            <w:tcW w:w="1772" w:type="dxa"/>
            <w:vAlign w:val="center"/>
          </w:tcPr>
          <w:p>
            <w:pPr>
              <w:kinsoku w:val="0"/>
              <w:spacing w:line="480" w:lineRule="auto"/>
              <w:jc w:val="center"/>
              <w:rPr>
                <w:rFonts w:hint="eastAsia" w:ascii="宋体" w:hAnsi="宋体" w:eastAsia="宋体" w:cs="宋体"/>
                <w:szCs w:val="21"/>
                <w:lang w:eastAsia="zh-CN"/>
              </w:rPr>
            </w:pPr>
            <w:r>
              <w:rPr>
                <w:rFonts w:hint="eastAsia" w:ascii="宋体" w:hAnsi="宋体" w:cs="宋体"/>
                <w:szCs w:val="21"/>
                <w:lang w:eastAsia="zh-CN"/>
              </w:rPr>
              <w:t>交货期</w:t>
            </w:r>
          </w:p>
        </w:tc>
        <w:tc>
          <w:tcPr>
            <w:tcW w:w="1764" w:type="dxa"/>
            <w:vAlign w:val="center"/>
          </w:tcPr>
          <w:p>
            <w:pPr>
              <w:kinsoku w:val="0"/>
              <w:spacing w:line="480" w:lineRule="auto"/>
              <w:jc w:val="center"/>
              <w:rPr>
                <w:rFonts w:hint="eastAsia" w:ascii="宋体" w:hAnsi="宋体" w:cs="宋体"/>
                <w:szCs w:val="21"/>
                <w:lang w:eastAsia="zh-CN"/>
              </w:rPr>
            </w:pPr>
            <w:r>
              <w:rPr>
                <w:rFonts w:hint="eastAsia" w:ascii="宋体" w:hAnsi="宋体" w:cs="宋体"/>
                <w:szCs w:val="21"/>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2634" w:type="dxa"/>
            <w:vAlign w:val="center"/>
          </w:tcPr>
          <w:p>
            <w:pPr>
              <w:kinsoku w:val="0"/>
              <w:spacing w:line="480" w:lineRule="auto"/>
              <w:jc w:val="left"/>
              <w:rPr>
                <w:rFonts w:hint="eastAsia" w:ascii="宋体" w:eastAsia="宋体" w:cs="宋体"/>
                <w:szCs w:val="21"/>
                <w:lang w:eastAsia="zh-CN"/>
              </w:rPr>
            </w:pPr>
            <w:r>
              <w:rPr>
                <w:rFonts w:hint="eastAsia" w:ascii="宋体" w:hAnsi="宋体" w:cs="宋体"/>
                <w:szCs w:val="21"/>
                <w:lang w:eastAsia="zh-CN"/>
              </w:rPr>
              <w:t>西北大学光热显微红外光谱仪采购项目</w:t>
            </w:r>
          </w:p>
        </w:tc>
        <w:tc>
          <w:tcPr>
            <w:tcW w:w="1870" w:type="dxa"/>
            <w:vAlign w:val="center"/>
          </w:tcPr>
          <w:p>
            <w:pPr>
              <w:kinsoku w:val="0"/>
              <w:spacing w:line="480" w:lineRule="auto"/>
              <w:jc w:val="left"/>
              <w:rPr>
                <w:rFonts w:ascii="宋体" w:cs="宋体"/>
                <w:szCs w:val="21"/>
              </w:rPr>
            </w:pPr>
          </w:p>
        </w:tc>
        <w:tc>
          <w:tcPr>
            <w:tcW w:w="1772" w:type="dxa"/>
            <w:vAlign w:val="center"/>
          </w:tcPr>
          <w:p>
            <w:pPr>
              <w:kinsoku w:val="0"/>
              <w:spacing w:line="480" w:lineRule="auto"/>
              <w:jc w:val="left"/>
              <w:rPr>
                <w:rFonts w:ascii="宋体" w:hAnsi="宋体" w:cs="宋体"/>
                <w:szCs w:val="20"/>
              </w:rPr>
            </w:pPr>
          </w:p>
        </w:tc>
        <w:tc>
          <w:tcPr>
            <w:tcW w:w="1764" w:type="dxa"/>
            <w:vAlign w:val="center"/>
          </w:tcPr>
          <w:p>
            <w:pPr>
              <w:kinsoku w:val="0"/>
              <w:spacing w:line="480" w:lineRule="auto"/>
              <w:jc w:val="left"/>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040" w:type="dxa"/>
            <w:gridSpan w:val="4"/>
            <w:vAlign w:val="center"/>
          </w:tcPr>
          <w:p>
            <w:pPr>
              <w:kinsoku w:val="0"/>
              <w:jc w:val="left"/>
              <w:rPr>
                <w:rFonts w:hint="eastAsia" w:ascii="宋体" w:hAnsi="宋体" w:cs="宋体"/>
                <w:szCs w:val="21"/>
              </w:rPr>
            </w:pPr>
            <w:r>
              <w:rPr>
                <w:rFonts w:hint="eastAsia" w:ascii="宋体" w:hAnsi="宋体" w:cs="宋体"/>
                <w:szCs w:val="21"/>
              </w:rPr>
              <w:t>总报价：（大写）</w:t>
            </w:r>
            <w:r>
              <w:rPr>
                <w:rFonts w:ascii="宋体" w:hAnsi="宋体" w:cs="宋体"/>
                <w:szCs w:val="21"/>
                <w:u w:val="single"/>
              </w:rPr>
              <w:t xml:space="preserve">                             </w:t>
            </w:r>
            <w:r>
              <w:rPr>
                <w:rFonts w:hint="eastAsia" w:ascii="宋体" w:hAnsi="宋体" w:cs="宋体"/>
                <w:szCs w:val="21"/>
              </w:rPr>
              <w:t>；（小写）</w:t>
            </w:r>
            <w:r>
              <w:rPr>
                <w:rFonts w:ascii="宋体" w:hAnsi="宋体" w:cs="宋体"/>
                <w:szCs w:val="21"/>
                <w:u w:val="single"/>
              </w:rPr>
              <w:t xml:space="preserve"> </w:t>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040" w:type="dxa"/>
            <w:gridSpan w:val="4"/>
            <w:vAlign w:val="center"/>
          </w:tcPr>
          <w:p>
            <w:pPr>
              <w:kinsoku w:val="0"/>
              <w:jc w:val="left"/>
              <w:rPr>
                <w:rFonts w:hint="eastAsia" w:ascii="宋体" w:hAnsi="宋体" w:cs="宋体"/>
                <w:szCs w:val="21"/>
              </w:rPr>
            </w:pPr>
            <w:r>
              <w:rPr>
                <w:rFonts w:hint="eastAsia" w:ascii="宋体" w:hAnsi="宋体" w:cs="宋体"/>
                <w:szCs w:val="21"/>
              </w:rPr>
              <w:t>备注：表内报价内容以元为单位，精确到小数点后两位。</w:t>
            </w:r>
          </w:p>
        </w:tc>
      </w:tr>
    </w:tbl>
    <w:p>
      <w:pPr>
        <w:widowControl/>
        <w:tabs>
          <w:tab w:val="left" w:pos="4000"/>
        </w:tabs>
        <w:snapToGrid w:val="0"/>
        <w:spacing w:line="300" w:lineRule="auto"/>
        <w:jc w:val="left"/>
        <w:rPr>
          <w:rFonts w:ascii="宋体" w:cs="宋体"/>
          <w:b/>
          <w:bCs/>
          <w:spacing w:val="20"/>
          <w:kern w:val="0"/>
          <w:sz w:val="28"/>
          <w:szCs w:val="28"/>
        </w:rPr>
      </w:pPr>
    </w:p>
    <w:p>
      <w:pPr>
        <w:widowControl/>
        <w:tabs>
          <w:tab w:val="left" w:pos="4000"/>
        </w:tabs>
        <w:snapToGrid w:val="0"/>
        <w:spacing w:line="300" w:lineRule="auto"/>
        <w:jc w:val="left"/>
        <w:rPr>
          <w:rFonts w:ascii="宋体" w:cs="宋体"/>
          <w:b/>
          <w:bCs/>
          <w:spacing w:val="20"/>
          <w:kern w:val="0"/>
          <w:sz w:val="28"/>
          <w:szCs w:val="28"/>
        </w:rPr>
      </w:pPr>
      <w:r>
        <w:rPr>
          <w:rFonts w:ascii="宋体" w:hAnsi="宋体" w:cs="宋体"/>
          <w:b/>
          <w:bCs/>
          <w:spacing w:val="20"/>
          <w:kern w:val="0"/>
          <w:sz w:val="28"/>
          <w:szCs w:val="28"/>
        </w:rPr>
        <w:t xml:space="preserve">   </w:t>
      </w:r>
    </w:p>
    <w:p>
      <w:pPr>
        <w:snapToGrid w:val="0"/>
        <w:spacing w:line="360" w:lineRule="auto"/>
        <w:jc w:val="left"/>
        <w:rPr>
          <w:rFonts w:ascii="宋体" w:hAnsi="宋体" w:cs="宋体"/>
          <w:sz w:val="24"/>
          <w:szCs w:val="24"/>
        </w:rPr>
      </w:pPr>
      <w:r>
        <w:rPr>
          <w:rFonts w:hint="eastAsia" w:ascii="宋体" w:hAnsi="宋体" w:cs="宋体"/>
          <w:sz w:val="24"/>
          <w:szCs w:val="24"/>
        </w:rPr>
        <w:t>供应商（单位名称及公章）：____________________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p>
      <w:pPr>
        <w:snapToGrid w:val="0"/>
        <w:spacing w:line="360" w:lineRule="auto"/>
        <w:jc w:val="left"/>
        <w:rPr>
          <w:rFonts w:ascii="宋体" w:cs="宋体"/>
          <w:sz w:val="24"/>
          <w:szCs w:val="24"/>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4"/>
          <w:szCs w:val="24"/>
        </w:rPr>
        <w:t>__________</w:t>
      </w:r>
    </w:p>
    <w:p>
      <w:pPr>
        <w:jc w:val="center"/>
        <w:rPr>
          <w:rFonts w:hint="eastAsia" w:ascii="宋体" w:hAnsi="宋体" w:eastAsia="宋体" w:cs="宋体"/>
          <w:sz w:val="24"/>
          <w:u w:val="single"/>
          <w:lang w:eastAsia="zh-CN"/>
        </w:rPr>
      </w:pPr>
      <w:r>
        <w:rPr>
          <w:rFonts w:ascii="宋体" w:hAnsi="宋体" w:cs="宋体"/>
          <w:sz w:val="28"/>
          <w:szCs w:val="28"/>
        </w:rPr>
        <w:br w:type="page"/>
      </w:r>
      <w:bookmarkStart w:id="65" w:name="_Toc14444"/>
      <w:r>
        <w:rPr>
          <w:rFonts w:hint="eastAsia" w:ascii="宋体" w:hAnsi="宋体" w:cs="宋体"/>
          <w:sz w:val="36"/>
          <w:szCs w:val="36"/>
        </w:rPr>
        <w:t>分项报价表</w:t>
      </w:r>
      <w:bookmarkEnd w:id="65"/>
    </w:p>
    <w:tbl>
      <w:tblPr>
        <w:tblStyle w:val="28"/>
        <w:tblpPr w:leftFromText="180" w:rightFromText="180" w:vertAnchor="text" w:horzAnchor="page" w:tblpX="1527" w:tblpY="1164"/>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highlight w:val="none"/>
              </w:rPr>
            </w:pPr>
            <w:r>
              <w:rPr>
                <w:rFonts w:hint="eastAsia" w:ascii="宋体" w:cs="宋体"/>
                <w:sz w:val="22"/>
                <w:highlight w:val="none"/>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highlight w:val="none"/>
              </w:rPr>
            </w:pPr>
            <w:r>
              <w:rPr>
                <w:rFonts w:hint="eastAsia" w:ascii="宋体" w:cs="宋体"/>
                <w:sz w:val="22"/>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highlight w:val="none"/>
              </w:rPr>
            </w:pPr>
            <w:r>
              <w:rPr>
                <w:rFonts w:hint="eastAsia" w:ascii="宋体" w:cs="宋体"/>
                <w:sz w:val="22"/>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highlight w:val="none"/>
              </w:rPr>
            </w:pPr>
            <w:r>
              <w:rPr>
                <w:rFonts w:hint="eastAsia" w:ascii="宋体" w:cs="宋体"/>
                <w:sz w:val="22"/>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highlight w:val="none"/>
              </w:rPr>
            </w:pPr>
            <w:r>
              <w:rPr>
                <w:rFonts w:hint="eastAsia" w:ascii="宋体" w:cs="宋体"/>
                <w:sz w:val="22"/>
                <w:highlight w:val="none"/>
              </w:rPr>
              <w:t>单价</w:t>
            </w:r>
          </w:p>
          <w:p>
            <w:pPr>
              <w:spacing w:after="120"/>
              <w:jc w:val="center"/>
              <w:rPr>
                <w:rFonts w:ascii="宋体" w:cs="宋体"/>
                <w:bCs/>
                <w:sz w:val="22"/>
                <w:highlight w:val="none"/>
              </w:rPr>
            </w:pPr>
            <w:r>
              <w:rPr>
                <w:rFonts w:hint="eastAsia" w:ascii="宋体" w:cs="宋体"/>
                <w:sz w:val="22"/>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highlight w:val="none"/>
              </w:rPr>
            </w:pPr>
            <w:r>
              <w:rPr>
                <w:rFonts w:hint="eastAsia" w:ascii="宋体" w:cs="宋体"/>
                <w:bCs/>
                <w:sz w:val="22"/>
                <w:highlight w:val="none"/>
              </w:rPr>
              <w:t>总价</w:t>
            </w:r>
          </w:p>
          <w:p>
            <w:pPr>
              <w:spacing w:after="120"/>
              <w:jc w:val="center"/>
              <w:rPr>
                <w:rFonts w:ascii="宋体" w:cs="宋体"/>
                <w:bCs/>
                <w:sz w:val="22"/>
                <w:highlight w:val="none"/>
              </w:rPr>
            </w:pPr>
            <w:r>
              <w:rPr>
                <w:rFonts w:hint="eastAsia" w:ascii="宋体" w:cs="宋体"/>
                <w:bCs/>
                <w:sz w:val="22"/>
                <w:highlight w:val="none"/>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highlight w:val="none"/>
              </w:rPr>
            </w:pPr>
            <w:r>
              <w:rPr>
                <w:rFonts w:hint="eastAsia" w:ascii="宋体" w:cs="宋体"/>
                <w:sz w:val="22"/>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highlight w:val="none"/>
              </w:rPr>
            </w:pPr>
            <w:r>
              <w:rPr>
                <w:rFonts w:hint="eastAsia" w:ascii="宋体" w:cs="宋体"/>
                <w:sz w:val="22"/>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highlight w:val="none"/>
              </w:rPr>
            </w:pPr>
            <w:r>
              <w:rPr>
                <w:rFonts w:hint="eastAsia" w:ascii="宋体" w:cs="宋体"/>
                <w:sz w:val="22"/>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highlight w:val="none"/>
              </w:rPr>
            </w:pPr>
            <w:r>
              <w:rPr>
                <w:rFonts w:hint="eastAsia" w:ascii="宋体" w:cs="宋体"/>
                <w:sz w:val="22"/>
                <w:highlight w:val="none"/>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highlight w:val="none"/>
              </w:rPr>
            </w:pPr>
            <w:r>
              <w:rPr>
                <w:rFonts w:hint="eastAsia" w:ascii="宋体" w:cs="宋体"/>
                <w:sz w:val="22"/>
                <w:highlight w:val="none"/>
              </w:rPr>
              <w:t>大写：</w:t>
            </w:r>
            <w:r>
              <w:rPr>
                <w:rFonts w:hint="eastAsia" w:ascii="宋体" w:cs="宋体"/>
                <w:sz w:val="22"/>
                <w:highlight w:val="none"/>
                <w:u w:val="single"/>
              </w:rPr>
              <w:t xml:space="preserve">                  </w:t>
            </w:r>
            <w:r>
              <w:rPr>
                <w:rFonts w:hint="eastAsia" w:ascii="宋体" w:cs="宋体"/>
                <w:sz w:val="22"/>
                <w:highlight w:val="none"/>
              </w:rPr>
              <w:t xml:space="preserve"> 小写：</w:t>
            </w:r>
            <w:r>
              <w:rPr>
                <w:rFonts w:hint="eastAsia" w:ascii="宋体" w:cs="宋体"/>
                <w:sz w:val="22"/>
                <w:highlight w:val="none"/>
                <w:u w:val="single"/>
              </w:rPr>
              <w:t xml:space="preserve">    </w:t>
            </w:r>
            <w:r>
              <w:rPr>
                <w:rFonts w:hint="eastAsia" w:ascii="宋体" w:cs="宋体"/>
                <w:sz w:val="22"/>
                <w:highlight w:val="none"/>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highlight w:val="none"/>
              </w:rPr>
            </w:pPr>
            <w:r>
              <w:rPr>
                <w:rFonts w:hint="eastAsia" w:ascii="宋体" w:cs="宋体"/>
                <w:sz w:val="22"/>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highlight w:val="none"/>
              </w:rPr>
            </w:pPr>
            <w:r>
              <w:rPr>
                <w:rFonts w:hint="eastAsia" w:ascii="宋体" w:cs="宋体"/>
                <w:spacing w:val="-6"/>
                <w:sz w:val="22"/>
                <w:highlight w:val="none"/>
              </w:rPr>
              <w:t>保留小数点后两位。</w:t>
            </w:r>
          </w:p>
        </w:tc>
      </w:tr>
    </w:tbl>
    <w:p>
      <w:pPr>
        <w:widowControl/>
        <w:wordWrap w:val="0"/>
        <w:spacing w:line="360" w:lineRule="auto"/>
        <w:jc w:val="left"/>
        <w:rPr>
          <w:rFonts w:ascii="宋体" w:cs="宋体"/>
          <w:sz w:val="24"/>
        </w:rPr>
      </w:pPr>
      <w:r>
        <w:rPr>
          <w:rFonts w:hint="eastAsia" w:ascii="宋体" w:cs="宋体"/>
          <w:sz w:val="24"/>
        </w:rPr>
        <w:t>项目名称：</w:t>
      </w:r>
      <w:r>
        <w:rPr>
          <w:rFonts w:hint="eastAsia" w:ascii="宋体" w:cs="宋体"/>
          <w:sz w:val="24"/>
          <w:lang w:eastAsia="zh-CN"/>
        </w:rPr>
        <w:t>西北大学光热显微红外光谱仪采购项目</w:t>
      </w:r>
      <w:r>
        <w:rPr>
          <w:rFonts w:hint="eastAsia" w:ascii="宋体" w:cs="宋体"/>
          <w:sz w:val="24"/>
        </w:rPr>
        <w:t xml:space="preserve">                          </w:t>
      </w:r>
    </w:p>
    <w:p>
      <w:pPr>
        <w:widowControl/>
        <w:wordWrap w:val="0"/>
        <w:spacing w:line="360" w:lineRule="auto"/>
        <w:jc w:val="left"/>
        <w:rPr>
          <w:rFonts w:ascii="宋体" w:cs="宋体"/>
          <w:sz w:val="24"/>
        </w:rPr>
      </w:pPr>
      <w:r>
        <w:rPr>
          <w:rFonts w:hint="eastAsia" w:ascii="宋体" w:cs="宋体"/>
          <w:sz w:val="24"/>
        </w:rPr>
        <w:t xml:space="preserve">项目编号： </w:t>
      </w:r>
      <w:r>
        <w:rPr>
          <w:rFonts w:hint="eastAsia" w:ascii="宋体" w:cs="宋体"/>
          <w:sz w:val="24"/>
          <w:lang w:eastAsia="zh-CN"/>
        </w:rPr>
        <w:t>ZMZB2022XBDX-59</w:t>
      </w:r>
    </w:p>
    <w:p>
      <w:pPr>
        <w:rPr>
          <w:rFonts w:ascii="宋体" w:hAnsi="宋体" w:cs="宋体"/>
          <w:sz w:val="24"/>
          <w:szCs w:val="24"/>
        </w:rPr>
      </w:pPr>
      <w:r>
        <w:rPr>
          <w:rFonts w:ascii="宋体" w:hAnsi="宋体" w:cs="宋体"/>
          <w:sz w:val="28"/>
          <w:szCs w:val="28"/>
        </w:rPr>
        <w:t xml:space="preserve">      </w:t>
      </w:r>
    </w:p>
    <w:p>
      <w:pPr>
        <w:adjustRightInd w:val="0"/>
        <w:snapToGrid w:val="0"/>
        <w:spacing w:line="480" w:lineRule="auto"/>
        <w:rPr>
          <w:rFonts w:ascii="宋体" w:hAnsi="宋体" w:cs="宋体"/>
          <w:sz w:val="24"/>
          <w:szCs w:val="24"/>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______</w:t>
      </w:r>
      <w:r>
        <w:rPr>
          <w:rFonts w:hint="eastAsia" w:ascii="宋体" w:hAnsi="宋体" w:cs="宋体"/>
          <w:sz w:val="24"/>
          <w:szCs w:val="24"/>
        </w:rPr>
        <w:t xml:space="preserve"> 年</w:t>
      </w:r>
      <w:r>
        <w:rPr>
          <w:rFonts w:hint="eastAsia" w:ascii="宋体" w:hAnsi="宋体" w:cs="宋体"/>
          <w:sz w:val="24"/>
        </w:rPr>
        <w:t>______</w:t>
      </w:r>
      <w:r>
        <w:rPr>
          <w:rFonts w:hint="eastAsia" w:ascii="宋体" w:hAnsi="宋体" w:cs="宋体"/>
          <w:sz w:val="24"/>
          <w:szCs w:val="24"/>
        </w:rPr>
        <w:t>月</w:t>
      </w:r>
      <w:r>
        <w:rPr>
          <w:rFonts w:hint="eastAsia" w:ascii="宋体" w:hAnsi="宋体" w:cs="宋体"/>
          <w:sz w:val="24"/>
        </w:rPr>
        <w:t>______</w:t>
      </w:r>
      <w:r>
        <w:rPr>
          <w:rFonts w:hint="eastAsia" w:ascii="宋体" w:hAnsi="宋体" w:cs="宋体"/>
          <w:sz w:val="24"/>
          <w:szCs w:val="24"/>
        </w:rPr>
        <w:t>日</w:t>
      </w:r>
    </w:p>
    <w:p>
      <w:pPr>
        <w:sectPr>
          <w:pgSz w:w="11906" w:h="16838"/>
          <w:pgMar w:top="1440" w:right="1803" w:bottom="1440" w:left="1803" w:header="851" w:footer="992" w:gutter="0"/>
          <w:pgNumType w:fmt="decimal"/>
          <w:cols w:space="720" w:num="1"/>
          <w:docGrid w:type="lines" w:linePitch="319" w:charSpace="0"/>
        </w:sectPr>
      </w:pPr>
    </w:p>
    <w:p>
      <w:pPr>
        <w:pStyle w:val="3"/>
        <w:jc w:val="center"/>
        <w:rPr>
          <w:rFonts w:ascii="宋体" w:hAnsi="宋体" w:cs="宋体"/>
          <w:sz w:val="36"/>
          <w:szCs w:val="36"/>
        </w:rPr>
      </w:pPr>
      <w:bookmarkStart w:id="66" w:name="_Toc19766"/>
      <w:bookmarkStart w:id="67" w:name="_Toc3575"/>
      <w:r>
        <w:rPr>
          <w:rFonts w:hint="eastAsia" w:hAnsi="宋体" w:cs="宋体"/>
          <w:sz w:val="36"/>
          <w:szCs w:val="36"/>
        </w:rPr>
        <w:t>第三部分</w:t>
      </w:r>
      <w:r>
        <w:rPr>
          <w:rFonts w:hAnsi="宋体" w:cs="宋体"/>
          <w:sz w:val="36"/>
          <w:szCs w:val="36"/>
        </w:rPr>
        <w:t xml:space="preserve"> </w:t>
      </w:r>
      <w:bookmarkEnd w:id="66"/>
      <w:r>
        <w:rPr>
          <w:rFonts w:hint="eastAsia" w:ascii="宋体" w:hAnsi="宋体" w:cs="宋体"/>
          <w:sz w:val="36"/>
          <w:szCs w:val="36"/>
        </w:rPr>
        <w:t xml:space="preserve"> 商务及技术响应说明</w:t>
      </w:r>
      <w:bookmarkEnd w:id="67"/>
    </w:p>
    <w:p>
      <w:pPr>
        <w:jc w:val="center"/>
        <w:rPr>
          <w:rFonts w:ascii="宋体" w:hAnsi="宋体" w:cs="宋体"/>
        </w:rPr>
      </w:pPr>
      <w:r>
        <w:rPr>
          <w:rFonts w:hint="eastAsia" w:ascii="宋体" w:hAnsi="宋体" w:cs="宋体"/>
          <w:b/>
          <w:bCs/>
          <w:sz w:val="28"/>
          <w:szCs w:val="32"/>
        </w:rPr>
        <w:t>商务偏离表</w:t>
      </w:r>
    </w:p>
    <w:tbl>
      <w:tblPr>
        <w:tblStyle w:val="28"/>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640"/>
        <w:gridCol w:w="151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15"/>
              <w:spacing w:line="480" w:lineRule="auto"/>
              <w:jc w:val="center"/>
              <w:rPr>
                <w:rFonts w:hAnsi="宋体" w:cs="宋体"/>
                <w:sz w:val="24"/>
                <w:szCs w:val="24"/>
              </w:rPr>
            </w:pPr>
            <w:r>
              <w:rPr>
                <w:rFonts w:hint="eastAsia" w:hAnsi="宋体" w:cs="宋体"/>
                <w:sz w:val="28"/>
                <w:szCs w:val="28"/>
              </w:rPr>
              <w:t xml:space="preserve"> </w:t>
            </w:r>
            <w:r>
              <w:rPr>
                <w:rFonts w:hint="eastAsia" w:hAnsi="宋体" w:cs="宋体"/>
                <w:sz w:val="24"/>
                <w:szCs w:val="24"/>
              </w:rPr>
              <w:t>序号</w:t>
            </w:r>
          </w:p>
        </w:tc>
        <w:tc>
          <w:tcPr>
            <w:tcW w:w="1663" w:type="dxa"/>
            <w:vAlign w:val="center"/>
          </w:tcPr>
          <w:p>
            <w:pPr>
              <w:pStyle w:val="15"/>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15"/>
              <w:spacing w:line="480" w:lineRule="auto"/>
              <w:jc w:val="left"/>
              <w:rPr>
                <w:rFonts w:hAnsi="宋体" w:cs="宋体"/>
                <w:sz w:val="24"/>
                <w:szCs w:val="24"/>
              </w:rPr>
            </w:pPr>
            <w:r>
              <w:rPr>
                <w:rFonts w:hint="eastAsia" w:hAnsi="宋体" w:cs="宋体"/>
                <w:sz w:val="24"/>
                <w:szCs w:val="24"/>
              </w:rPr>
              <w:t>商务要求内容</w:t>
            </w:r>
          </w:p>
        </w:tc>
        <w:tc>
          <w:tcPr>
            <w:tcW w:w="2640" w:type="dxa"/>
            <w:vAlign w:val="center"/>
          </w:tcPr>
          <w:p>
            <w:pPr>
              <w:pStyle w:val="15"/>
              <w:spacing w:line="480" w:lineRule="auto"/>
              <w:rPr>
                <w:rFonts w:hAnsi="宋体" w:cs="宋体"/>
                <w:sz w:val="24"/>
                <w:szCs w:val="24"/>
              </w:rPr>
            </w:pPr>
            <w:r>
              <w:rPr>
                <w:rFonts w:hint="eastAsia" w:hAnsi="宋体" w:cs="宋体"/>
                <w:sz w:val="24"/>
                <w:szCs w:val="24"/>
              </w:rPr>
              <w:t>响应文件响应商务内容</w:t>
            </w:r>
          </w:p>
        </w:tc>
        <w:tc>
          <w:tcPr>
            <w:tcW w:w="1510" w:type="dxa"/>
            <w:vAlign w:val="center"/>
          </w:tcPr>
          <w:p>
            <w:pPr>
              <w:pStyle w:val="15"/>
              <w:spacing w:line="480" w:lineRule="auto"/>
              <w:jc w:val="center"/>
              <w:rPr>
                <w:rFonts w:hAnsi="宋体" w:cs="宋体"/>
                <w:sz w:val="24"/>
                <w:szCs w:val="24"/>
              </w:rPr>
            </w:pPr>
            <w:r>
              <w:rPr>
                <w:rFonts w:hint="eastAsia" w:hAnsi="宋体" w:cs="宋体"/>
                <w:sz w:val="24"/>
                <w:szCs w:val="24"/>
              </w:rPr>
              <w:t>偏离情况</w:t>
            </w:r>
          </w:p>
        </w:tc>
        <w:tc>
          <w:tcPr>
            <w:tcW w:w="993" w:type="dxa"/>
            <w:vAlign w:val="center"/>
          </w:tcPr>
          <w:p>
            <w:pPr>
              <w:pStyle w:val="15"/>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vAlign w:val="center"/>
          </w:tcPr>
          <w:p>
            <w:pPr>
              <w:pStyle w:val="15"/>
              <w:spacing w:line="480" w:lineRule="auto"/>
              <w:ind w:firstLine="480" w:firstLineChars="200"/>
              <w:jc w:val="left"/>
              <w:rPr>
                <w:rFonts w:hAnsi="宋体" w:cs="宋体"/>
                <w:sz w:val="24"/>
                <w:szCs w:val="24"/>
              </w:rPr>
            </w:pPr>
          </w:p>
        </w:tc>
        <w:tc>
          <w:tcPr>
            <w:tcW w:w="2640" w:type="dxa"/>
            <w:vAlign w:val="center"/>
          </w:tcPr>
          <w:p>
            <w:pPr>
              <w:pStyle w:val="15"/>
              <w:spacing w:line="480" w:lineRule="auto"/>
              <w:ind w:firstLine="480" w:firstLineChars="200"/>
              <w:jc w:val="left"/>
              <w:rPr>
                <w:rFonts w:hAnsi="宋体" w:cs="宋体"/>
                <w:sz w:val="24"/>
                <w:szCs w:val="24"/>
              </w:rPr>
            </w:pPr>
          </w:p>
        </w:tc>
        <w:tc>
          <w:tcPr>
            <w:tcW w:w="1510" w:type="dxa"/>
            <w:vAlign w:val="center"/>
          </w:tcPr>
          <w:p>
            <w:pPr>
              <w:pStyle w:val="15"/>
              <w:spacing w:line="480" w:lineRule="auto"/>
              <w:ind w:firstLine="480" w:firstLineChars="200"/>
              <w:jc w:val="left"/>
              <w:rPr>
                <w:rFonts w:hAnsi="宋体" w:cs="宋体"/>
                <w:sz w:val="24"/>
                <w:szCs w:val="24"/>
              </w:rPr>
            </w:pPr>
          </w:p>
        </w:tc>
        <w:tc>
          <w:tcPr>
            <w:tcW w:w="993"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15"/>
              <w:spacing w:line="480" w:lineRule="auto"/>
              <w:jc w:val="left"/>
              <w:rPr>
                <w:rFonts w:hAnsi="宋体" w:cs="宋体"/>
                <w:sz w:val="24"/>
                <w:szCs w:val="24"/>
              </w:rPr>
            </w:pPr>
          </w:p>
        </w:tc>
        <w:tc>
          <w:tcPr>
            <w:tcW w:w="1663" w:type="dxa"/>
          </w:tcPr>
          <w:p>
            <w:pPr>
              <w:pStyle w:val="15"/>
              <w:spacing w:line="480" w:lineRule="auto"/>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bl>
    <w:p>
      <w:pPr>
        <w:pStyle w:val="8"/>
        <w:numPr>
          <w:ilvl w:val="0"/>
          <w:numId w:val="23"/>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 xml:space="preserve"> 日</w:t>
      </w:r>
    </w:p>
    <w:p>
      <w:pPr>
        <w:rPr>
          <w:rFonts w:ascii="宋体" w:hAnsi="宋体" w:cs="宋体"/>
          <w:sz w:val="24"/>
          <w:szCs w:val="24"/>
        </w:rPr>
      </w:pPr>
    </w:p>
    <w:p/>
    <w:p>
      <w:pPr>
        <w:rPr>
          <w:rFonts w:ascii="宋体" w:hAnsi="宋体" w:cs="宋体"/>
          <w:sz w:val="24"/>
          <w:szCs w:val="24"/>
        </w:rPr>
      </w:pPr>
    </w:p>
    <w:p>
      <w:pPr>
        <w:rPr>
          <w:rFonts w:ascii="宋体" w:hAnsi="宋体" w:cs="宋体"/>
          <w:sz w:val="24"/>
          <w:szCs w:val="24"/>
        </w:rPr>
      </w:pPr>
    </w:p>
    <w:p>
      <w:pPr>
        <w:jc w:val="center"/>
        <w:rPr>
          <w:rFonts w:ascii="宋体" w:hAnsi="宋体" w:cs="宋体"/>
          <w:sz w:val="24"/>
          <w:szCs w:val="24"/>
        </w:rPr>
      </w:pPr>
      <w:r>
        <w:rPr>
          <w:rFonts w:hint="eastAsia" w:ascii="宋体" w:hAnsi="宋体" w:cs="宋体"/>
          <w:b/>
          <w:bCs/>
          <w:sz w:val="28"/>
          <w:szCs w:val="32"/>
        </w:rPr>
        <w:t>技术偏离表</w:t>
      </w:r>
    </w:p>
    <w:tbl>
      <w:tblPr>
        <w:tblStyle w:val="28"/>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Ansi="宋体" w:cs="宋体"/>
                <w:sz w:val="24"/>
                <w:szCs w:val="24"/>
              </w:rPr>
            </w:pPr>
            <w:r>
              <w:rPr>
                <w:rFonts w:hint="eastAsia"/>
                <w:sz w:val="24"/>
              </w:rPr>
              <w:t>产品名称</w:t>
            </w:r>
          </w:p>
        </w:tc>
        <w:tc>
          <w:tcPr>
            <w:tcW w:w="1600" w:type="dxa"/>
            <w:vAlign w:val="center"/>
          </w:tcPr>
          <w:p>
            <w:pPr>
              <w:spacing w:line="500" w:lineRule="exact"/>
              <w:jc w:val="center"/>
              <w:rPr>
                <w:sz w:val="24"/>
              </w:rPr>
            </w:pPr>
            <w:r>
              <w:rPr>
                <w:rFonts w:hint="eastAsia"/>
                <w:sz w:val="24"/>
              </w:rPr>
              <w:t>采购要求</w:t>
            </w:r>
          </w:p>
          <w:p>
            <w:pPr>
              <w:spacing w:line="500" w:lineRule="exact"/>
              <w:jc w:val="center"/>
              <w:rPr>
                <w:rFonts w:hAnsi="宋体" w:cs="宋体"/>
                <w:sz w:val="24"/>
                <w:szCs w:val="24"/>
              </w:rPr>
            </w:pPr>
            <w:r>
              <w:rPr>
                <w:rFonts w:hint="eastAsia"/>
                <w:sz w:val="24"/>
              </w:rPr>
              <w:t>技术指标</w:t>
            </w:r>
          </w:p>
        </w:tc>
        <w:tc>
          <w:tcPr>
            <w:tcW w:w="1938" w:type="dxa"/>
            <w:vAlign w:val="center"/>
          </w:tcPr>
          <w:p>
            <w:pPr>
              <w:spacing w:line="500" w:lineRule="exact"/>
              <w:jc w:val="center"/>
              <w:rPr>
                <w:sz w:val="24"/>
              </w:rPr>
            </w:pPr>
            <w:r>
              <w:rPr>
                <w:rFonts w:hint="eastAsia"/>
                <w:sz w:val="24"/>
              </w:rPr>
              <w:t>响应内容</w:t>
            </w:r>
          </w:p>
          <w:p>
            <w:pPr>
              <w:spacing w:line="500" w:lineRule="exact"/>
              <w:jc w:val="center"/>
              <w:rPr>
                <w:rFonts w:hAnsi="宋体" w:cs="宋体"/>
                <w:sz w:val="24"/>
                <w:szCs w:val="24"/>
              </w:rPr>
            </w:pPr>
            <w:r>
              <w:rPr>
                <w:rFonts w:hint="eastAsia"/>
                <w:sz w:val="24"/>
              </w:rPr>
              <w:t>技术指标</w:t>
            </w:r>
          </w:p>
        </w:tc>
        <w:tc>
          <w:tcPr>
            <w:tcW w:w="1410" w:type="dxa"/>
            <w:vAlign w:val="center"/>
          </w:tcPr>
          <w:p>
            <w:pPr>
              <w:spacing w:line="500" w:lineRule="exact"/>
              <w:jc w:val="center"/>
              <w:rPr>
                <w:rFonts w:hAnsi="宋体" w:cs="宋体"/>
                <w:sz w:val="24"/>
                <w:szCs w:val="24"/>
              </w:rPr>
            </w:pPr>
            <w:r>
              <w:rPr>
                <w:rFonts w:hint="eastAsia"/>
                <w:sz w:val="24"/>
              </w:rPr>
              <w:t>偏离说明</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8"/>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b/>
          <w:bCs/>
          <w:kern w:val="0"/>
          <w:sz w:val="36"/>
          <w:szCs w:val="36"/>
          <w:lang w:val="en-US" w:eastAsia="zh-CN" w:bidi="ar-SA"/>
        </w:rPr>
        <w:sectPr>
          <w:headerReference r:id="rId15" w:type="default"/>
          <w:footerReference r:id="rId16"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numPr>
          <w:ilvl w:val="0"/>
          <w:numId w:val="0"/>
        </w:numPr>
        <w:tabs>
          <w:tab w:val="left" w:pos="0"/>
        </w:tabs>
        <w:ind w:leftChars="0"/>
        <w:jc w:val="center"/>
        <w:outlineLvl w:val="1"/>
        <w:rPr>
          <w:rFonts w:hint="eastAsia" w:ascii="宋体" w:hAnsi="宋体" w:eastAsia="宋体" w:cs="宋体"/>
          <w:b/>
          <w:bCs/>
          <w:kern w:val="0"/>
          <w:sz w:val="36"/>
          <w:szCs w:val="36"/>
          <w:lang w:val="en-US" w:eastAsia="zh-CN" w:bidi="ar-SA"/>
        </w:rPr>
      </w:pPr>
      <w:bookmarkStart w:id="68" w:name="_Toc9172"/>
      <w:bookmarkStart w:id="69" w:name="_Toc19138"/>
      <w:bookmarkStart w:id="70" w:name="_Toc26254"/>
      <w:bookmarkStart w:id="71" w:name="_Toc21704"/>
      <w:bookmarkStart w:id="72" w:name="_Toc1803"/>
      <w:bookmarkStart w:id="73" w:name="_Toc16790"/>
      <w:bookmarkStart w:id="74" w:name="_Toc19652"/>
      <w:bookmarkStart w:id="75" w:name="_Toc2049"/>
      <w:r>
        <w:rPr>
          <w:rFonts w:hint="eastAsia" w:ascii="宋体" w:hAnsi="宋体" w:eastAsia="宋体" w:cs="宋体"/>
          <w:b/>
          <w:bCs/>
          <w:kern w:val="0"/>
          <w:sz w:val="36"/>
          <w:szCs w:val="36"/>
          <w:lang w:val="en-US" w:eastAsia="zh-CN" w:bidi="ar-SA"/>
        </w:rPr>
        <w:t xml:space="preserve">第四部分 </w:t>
      </w:r>
      <w:bookmarkEnd w:id="68"/>
      <w:bookmarkEnd w:id="69"/>
      <w:r>
        <w:rPr>
          <w:rFonts w:hint="eastAsia" w:ascii="宋体" w:hAnsi="宋体" w:eastAsia="宋体" w:cs="宋体"/>
          <w:b/>
          <w:bCs/>
          <w:kern w:val="0"/>
          <w:sz w:val="36"/>
          <w:szCs w:val="36"/>
          <w:lang w:val="en-US" w:eastAsia="zh-CN" w:bidi="ar-SA"/>
        </w:rPr>
        <w:t xml:space="preserve"> </w:t>
      </w:r>
      <w:bookmarkEnd w:id="70"/>
      <w:r>
        <w:rPr>
          <w:rFonts w:hint="eastAsia" w:ascii="宋体" w:hAnsi="宋体" w:eastAsia="宋体" w:cs="宋体"/>
          <w:b/>
          <w:bCs/>
          <w:kern w:val="0"/>
          <w:sz w:val="36"/>
          <w:szCs w:val="36"/>
          <w:lang w:val="en-US" w:eastAsia="zh-CN" w:bidi="ar-SA"/>
        </w:rPr>
        <w:t>供应商资格要求</w:t>
      </w:r>
      <w:bookmarkEnd w:id="71"/>
    </w:p>
    <w:p>
      <w:pPr>
        <w:numPr>
          <w:ilvl w:val="0"/>
          <w:numId w:val="0"/>
        </w:numPr>
        <w:tabs>
          <w:tab w:val="left" w:pos="0"/>
        </w:tabs>
        <w:ind w:leftChars="0"/>
        <w:jc w:val="center"/>
        <w:outlineLvl w:val="9"/>
        <w:rPr>
          <w:rFonts w:hint="eastAsia" w:ascii="宋体" w:hAnsi="宋体" w:eastAsia="宋体" w:cs="宋体"/>
          <w:b/>
          <w:bCs/>
          <w:kern w:val="0"/>
          <w:sz w:val="36"/>
          <w:szCs w:val="36"/>
          <w:lang w:val="en-US" w:eastAsia="zh-CN" w:bidi="ar-SA"/>
        </w:rPr>
      </w:pPr>
      <w:r>
        <w:rPr>
          <w:rFonts w:hint="eastAsia" w:ascii="宋体" w:hAnsi="宋体" w:eastAsia="宋体" w:cs="宋体"/>
          <w:b/>
          <w:bCs/>
          <w:kern w:val="0"/>
          <w:sz w:val="36"/>
          <w:szCs w:val="36"/>
          <w:lang w:val="en-US" w:eastAsia="zh-CN" w:bidi="ar-SA"/>
        </w:rPr>
        <w:t>基本资格条件：</w:t>
      </w:r>
    </w:p>
    <w:p>
      <w:pPr>
        <w:pStyle w:val="13"/>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3"/>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3"/>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5"/>
        <w:spacing w:line="500" w:lineRule="exact"/>
        <w:jc w:val="left"/>
        <w:rPr>
          <w:rFonts w:hAnsi="宋体" w:cs="宋体"/>
          <w:sz w:val="24"/>
          <w:szCs w:val="24"/>
        </w:rPr>
      </w:pPr>
    </w:p>
    <w:p>
      <w:pPr>
        <w:pStyle w:val="15"/>
        <w:spacing w:line="480" w:lineRule="auto"/>
        <w:jc w:val="left"/>
        <w:rPr>
          <w:rFonts w:hAnsi="宋体" w:cs="宋体"/>
          <w:sz w:val="24"/>
        </w:rPr>
      </w:pPr>
    </w:p>
    <w:p>
      <w:pPr>
        <w:pStyle w:val="15"/>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
    <w:p/>
    <w:p/>
    <w:p/>
    <w:p>
      <w:pPr>
        <w:outlineLvl w:val="9"/>
        <w:rPr>
          <w:rFonts w:ascii="宋体" w:cs="宋体"/>
          <w:b/>
          <w:bCs/>
          <w:sz w:val="28"/>
          <w:szCs w:val="28"/>
        </w:rPr>
      </w:pPr>
      <w:r>
        <w:rPr>
          <w:rFonts w:hint="eastAsia" w:ascii="宋体" w:cs="宋体"/>
          <w:b/>
          <w:bCs/>
          <w:sz w:val="28"/>
          <w:szCs w:val="28"/>
        </w:rPr>
        <w:t>特定资格条件：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w:t>
      </w:r>
      <w:r>
        <w:rPr>
          <w:rFonts w:hint="eastAsia" w:ascii="宋体" w:hAnsi="宋体" w:cs="宋体"/>
          <w:sz w:val="24"/>
          <w:szCs w:val="24"/>
          <w:highlight w:val="none"/>
        </w:rPr>
        <w:t>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月以来至少一个月的纳税证明或完税证明，依法免税的单位应提供相关证明材料；</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rPr>
          <w:rFonts w:ascii="宋体" w:hAnsi="宋体" w:cs="宋体"/>
          <w:sz w:val="24"/>
          <w:szCs w:val="24"/>
        </w:rPr>
      </w:pPr>
      <w:r>
        <w:rPr>
          <w:rFonts w:hint="eastAsia" w:ascii="宋体" w:hAnsi="宋体" w:cs="宋体"/>
          <w:sz w:val="24"/>
          <w:szCs w:val="24"/>
        </w:rPr>
        <w:t>（5）法定代表人证明书及法定代表人授权书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5-1法定代表人证明书</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noWrap w:val="0"/>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noWrap w:val="0"/>
            <w:vAlign w:val="center"/>
          </w:tcPr>
          <w:p>
            <w:pPr>
              <w:tabs>
                <w:tab w:val="left" w:pos="210"/>
              </w:tabs>
              <w:spacing w:line="360" w:lineRule="auto"/>
              <w:ind w:firstLine="420" w:firstLineChars="200"/>
              <w:jc w:val="left"/>
              <w:rPr>
                <w:rFonts w:ascii="宋体" w:hAnsi="宋体" w:cs="宋体"/>
                <w:kern w:val="0"/>
              </w:rPr>
            </w:pPr>
          </w:p>
        </w:tc>
        <w:tc>
          <w:tcPr>
            <w:tcW w:w="2156" w:type="dxa"/>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noWrap w:val="0"/>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noWrap w:val="0"/>
            <w:vAlign w:val="center"/>
          </w:tcPr>
          <w:p>
            <w:pPr>
              <w:tabs>
                <w:tab w:val="left" w:pos="210"/>
              </w:tabs>
              <w:spacing w:line="360" w:lineRule="auto"/>
              <w:jc w:val="left"/>
              <w:rPr>
                <w:rFonts w:ascii="宋体" w:hAnsi="宋体" w:cs="宋体"/>
                <w:kern w:val="0"/>
              </w:rPr>
            </w:pPr>
          </w:p>
        </w:tc>
        <w:tc>
          <w:tcPr>
            <w:tcW w:w="2156" w:type="dxa"/>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noWrap w:val="0"/>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0"/>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noWrap w:val="0"/>
            <w:vAlign w:val="center"/>
          </w:tcPr>
          <w:p>
            <w:pPr>
              <w:tabs>
                <w:tab w:val="left" w:pos="210"/>
              </w:tabs>
              <w:spacing w:line="360" w:lineRule="auto"/>
              <w:ind w:firstLine="420" w:firstLineChars="200"/>
              <w:jc w:val="left"/>
              <w:rPr>
                <w:rFonts w:ascii="宋体" w:hAnsi="宋体" w:cs="宋体"/>
                <w:kern w:val="0"/>
              </w:rPr>
            </w:pPr>
          </w:p>
        </w:tc>
        <w:tc>
          <w:tcPr>
            <w:tcW w:w="4500" w:type="dxa"/>
            <w:gridSpan w:val="3"/>
            <w:noWrap w:val="0"/>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5"/>
        <w:sectPr>
          <w:pgSz w:w="11906" w:h="16838"/>
          <w:pgMar w:top="1440" w:right="1803" w:bottom="1440" w:left="1803" w:header="851" w:footer="992" w:gutter="0"/>
          <w:pgNumType w:fmt="decimal"/>
          <w:cols w:space="720" w:num="1"/>
          <w:docGrid w:type="lines" w:linePitch="319" w:charSpace="0"/>
        </w:sectPr>
      </w:pPr>
    </w:p>
    <w:p>
      <w:pPr>
        <w:keepNext w:val="0"/>
        <w:keepLines w:val="0"/>
        <w:pageBreakBefore/>
        <w:widowControl w:val="0"/>
        <w:tabs>
          <w:tab w:val="left" w:pos="210"/>
        </w:tabs>
        <w:kinsoku/>
        <w:wordWrap/>
        <w:overflowPunct/>
        <w:topLinePunct w:val="0"/>
        <w:autoSpaceDE/>
        <w:autoSpaceDN/>
        <w:bidi w:val="0"/>
        <w:adjustRightInd/>
        <w:snapToGrid/>
        <w:spacing w:line="360" w:lineRule="auto"/>
        <w:jc w:val="center"/>
        <w:textAlignment w:val="auto"/>
        <w:rPr>
          <w:rFonts w:cs="宋体"/>
          <w:sz w:val="24"/>
          <w:szCs w:val="24"/>
        </w:rPr>
      </w:pPr>
      <w:r>
        <w:rPr>
          <w:rFonts w:hint="eastAsia" w:ascii="宋体" w:cs="宋体"/>
          <w:b/>
          <w:kern w:val="0"/>
          <w:sz w:val="24"/>
          <w:szCs w:val="24"/>
        </w:rPr>
        <w:t>5-2</w:t>
      </w:r>
      <w:r>
        <w:rPr>
          <w:rFonts w:hint="eastAsia" w:cs="宋体"/>
          <w:b/>
          <w:sz w:val="24"/>
          <w:szCs w:val="24"/>
        </w:rPr>
        <w:t>法定代表人授权书</w:t>
      </w:r>
    </w:p>
    <w:p>
      <w:pPr>
        <w:pStyle w:val="15"/>
        <w:spacing w:line="500" w:lineRule="exact"/>
        <w:jc w:val="left"/>
        <w:rPr>
          <w:rFonts w:hint="eastAsia"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hint="eastAsia"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hint="eastAsia" w:ascii="宋体" w:hAnsi="宋体" w:cs="宋体"/>
          <w:b/>
          <w:bCs/>
          <w:sz w:val="24"/>
          <w:szCs w:val="24"/>
        </w:rPr>
      </w:pPr>
      <w:r>
        <w:rPr>
          <w:rFonts w:hint="eastAsia" w:ascii="宋体" w:hAnsi="宋体" w:cs="宋体"/>
          <w:b/>
          <w:bCs/>
          <w:sz w:val="24"/>
        </w:rPr>
        <w:t>本授权书自</w:t>
      </w:r>
      <w:r>
        <w:rPr>
          <w:rFonts w:hint="eastAsia" w:ascii="宋体" w:hAnsi="宋体" w:cs="宋体"/>
          <w:b/>
          <w:bCs/>
          <w:sz w:val="24"/>
          <w:lang w:eastAsia="zh-CN"/>
        </w:rPr>
        <w:t>响应</w:t>
      </w:r>
      <w:r>
        <w:rPr>
          <w:rFonts w:hint="eastAsia" w:ascii="宋体" w:hAnsi="宋体" w:cs="宋体"/>
          <w:b/>
          <w:bCs/>
          <w:sz w:val="24"/>
        </w:rPr>
        <w:t>文件递交截止之日起生效，有效期与</w:t>
      </w:r>
      <w:r>
        <w:rPr>
          <w:rFonts w:hint="eastAsia" w:ascii="宋体" w:hAnsi="宋体" w:cs="宋体"/>
          <w:b/>
          <w:bCs/>
          <w:sz w:val="24"/>
          <w:lang w:eastAsia="zh-CN"/>
        </w:rPr>
        <w:t>响应</w:t>
      </w:r>
      <w:r>
        <w:rPr>
          <w:rFonts w:hint="eastAsia" w:ascii="宋体" w:hAnsi="宋体" w:cs="宋体"/>
          <w:b/>
          <w:bCs/>
          <w:sz w:val="24"/>
        </w:rPr>
        <w:t>文件有效期一致，特此声明。</w:t>
      </w:r>
    </w:p>
    <w:p>
      <w:pPr>
        <w:pStyle w:val="15"/>
        <w:spacing w:line="500" w:lineRule="exact"/>
        <w:ind w:firstLine="480" w:firstLineChars="200"/>
        <w:jc w:val="left"/>
        <w:rPr>
          <w:rFonts w:hint="eastAsia"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5"/>
        <w:spacing w:line="500" w:lineRule="exact"/>
        <w:ind w:firstLine="480" w:firstLineChars="200"/>
        <w:jc w:val="left"/>
        <w:rPr>
          <w:rFonts w:hint="eastAsia"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5"/>
        <w:spacing w:line="500" w:lineRule="exact"/>
        <w:ind w:firstLine="480" w:firstLineChars="200"/>
        <w:jc w:val="left"/>
        <w:rPr>
          <w:rFonts w:hint="eastAsia"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5"/>
        <w:spacing w:line="500" w:lineRule="exact"/>
        <w:ind w:firstLine="480" w:firstLineChars="200"/>
        <w:jc w:val="left"/>
        <w:rPr>
          <w:rFonts w:hint="eastAsia"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5"/>
        <w:spacing w:line="500" w:lineRule="exact"/>
        <w:ind w:firstLine="480" w:firstLineChars="200"/>
        <w:jc w:val="left"/>
        <w:rPr>
          <w:rFonts w:hint="eastAsia"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5"/>
        <w:spacing w:line="500" w:lineRule="exact"/>
        <w:ind w:firstLine="480" w:firstLineChars="200"/>
        <w:jc w:val="left"/>
        <w:rPr>
          <w:rFonts w:hint="eastAsia" w:hAnsi="宋体" w:cs="宋体"/>
          <w:sz w:val="24"/>
          <w:szCs w:val="24"/>
        </w:rPr>
      </w:pPr>
      <w:r>
        <w:rPr>
          <w:rFonts w:hint="eastAsia" w:hAnsi="宋体" w:cs="宋体"/>
          <w:sz w:val="24"/>
          <w:szCs w:val="24"/>
        </w:rPr>
        <w:t>法定代表人及被授权人身份证复印件</w:t>
      </w:r>
      <w:r>
        <w:rPr>
          <w:rFonts w:hint="eastAsia" w:hAnsi="宋体" w:cs="宋体"/>
          <w:sz w:val="24"/>
          <w:szCs w:val="24"/>
          <w:lang w:eastAsia="zh-CN"/>
        </w:rPr>
        <w:t>或</w:t>
      </w:r>
      <w:r>
        <w:rPr>
          <w:rFonts w:hint="eastAsia" w:hAnsi="宋体" w:cs="宋体"/>
          <w:sz w:val="24"/>
          <w:szCs w:val="24"/>
        </w:rPr>
        <w:t>扫描件</w:t>
      </w:r>
    </w:p>
    <w:tbl>
      <w:tblPr>
        <w:tblStyle w:val="28"/>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0"/>
            <w:vAlign w:val="center"/>
          </w:tcPr>
          <w:p>
            <w:pPr>
              <w:pStyle w:val="15"/>
              <w:spacing w:line="500" w:lineRule="exact"/>
              <w:jc w:val="left"/>
              <w:rPr>
                <w:rFonts w:hint="eastAsia"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5"/>
              <w:spacing w:line="500" w:lineRule="exact"/>
              <w:jc w:val="left"/>
              <w:rPr>
                <w:rFonts w:hint="eastAsia" w:hAnsi="宋体" w:cs="宋体"/>
                <w:sz w:val="24"/>
                <w:szCs w:val="24"/>
                <w:shd w:val="pct10" w:color="auto" w:fill="FFFFFF"/>
              </w:rPr>
            </w:pPr>
          </w:p>
        </w:tc>
        <w:tc>
          <w:tcPr>
            <w:tcW w:w="4546" w:type="dxa"/>
            <w:shd w:val="clear" w:color="auto" w:fill="D9D9D9"/>
            <w:noWrap w:val="0"/>
            <w:vAlign w:val="center"/>
          </w:tcPr>
          <w:p>
            <w:pPr>
              <w:pStyle w:val="15"/>
              <w:spacing w:line="500" w:lineRule="exact"/>
              <w:ind w:firstLine="480" w:firstLineChars="200"/>
              <w:jc w:val="left"/>
              <w:rPr>
                <w:rFonts w:hint="eastAsia"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5"/>
              <w:spacing w:line="500" w:lineRule="exact"/>
              <w:ind w:firstLine="480" w:firstLineChars="200"/>
              <w:jc w:val="left"/>
              <w:rPr>
                <w:rFonts w:hint="eastAsia" w:hAnsi="宋体" w:cs="宋体"/>
                <w:sz w:val="24"/>
                <w:szCs w:val="24"/>
                <w:shd w:val="pct10" w:color="auto" w:fill="FFFFFF"/>
              </w:rPr>
            </w:pPr>
          </w:p>
        </w:tc>
      </w:tr>
    </w:tbl>
    <w:p>
      <w:pPr>
        <w:keepNext/>
        <w:keepLines/>
        <w:spacing w:line="413" w:lineRule="auto"/>
        <w:jc w:val="center"/>
        <w:rPr>
          <w:rFonts w:ascii="宋体" w:hAnsi="宋体" w:cs="宋体"/>
          <w:sz w:val="32"/>
          <w:szCs w:val="24"/>
        </w:rPr>
      </w:pPr>
      <w:r>
        <w:rPr>
          <w:rFonts w:hint="eastAsia" w:ascii="宋体" w:hAnsi="宋体" w:cs="宋体"/>
          <w:b w:val="0"/>
          <w:bCs w:val="0"/>
          <w:color w:val="auto"/>
          <w:sz w:val="24"/>
          <w:szCs w:val="24"/>
          <w:highlight w:val="none"/>
        </w:rPr>
        <w:br w:type="page"/>
      </w:r>
      <w:r>
        <w:rPr>
          <w:rFonts w:hint="eastAsia" w:ascii="宋体" w:hAnsi="宋体" w:cs="宋体"/>
          <w:sz w:val="28"/>
          <w:szCs w:val="28"/>
        </w:rPr>
        <w:t>（6）无重大违法记录声明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项目名称)单一来源谈判，我单位郑重声明：我方参加本项目单一来源谈判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pPr>
        <w:pStyle w:val="3"/>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7" w:type="default"/>
          <w:pgSz w:w="11906" w:h="16838"/>
          <w:pgMar w:top="1440" w:right="1803" w:bottom="1440" w:left="1803" w:header="851" w:footer="992" w:gutter="0"/>
          <w:pgNumType w:fmt="decimal"/>
          <w:cols w:space="720" w:num="1"/>
          <w:docGrid w:type="lines" w:linePitch="319" w:charSpace="0"/>
        </w:sectPr>
      </w:pPr>
    </w:p>
    <w:p>
      <w:pPr>
        <w:pStyle w:val="25"/>
        <w:spacing w:before="0" w:beforeAutospacing="0" w:after="0" w:afterAutospacing="0" w:line="360" w:lineRule="auto"/>
        <w:ind w:firstLine="420"/>
      </w:pPr>
      <w:r>
        <w:rPr>
          <w:rFonts w:hint="eastAsia"/>
          <w:lang w:eastAsia="zh-CN"/>
        </w:rPr>
        <w:t>（</w:t>
      </w:r>
      <w:r>
        <w:rPr>
          <w:rFonts w:hint="eastAsia"/>
          <w:lang w:val="en-US" w:eastAsia="zh-CN"/>
        </w:rPr>
        <w:t>7</w:t>
      </w:r>
      <w:r>
        <w:rPr>
          <w:rFonts w:hint="eastAsia"/>
          <w:lang w:eastAsia="zh-CN"/>
        </w:rPr>
        <w:t>）</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int="eastAsia" w:hAnsi="宋体" w:cs="宋体"/>
          <w:sz w:val="24"/>
          <w:szCs w:val="24"/>
        </w:rPr>
      </w:pPr>
    </w:p>
    <w:p>
      <w:pPr>
        <w:pStyle w:val="15"/>
        <w:spacing w:line="480" w:lineRule="auto"/>
        <w:jc w:val="left"/>
        <w:rPr>
          <w:rFonts w:hint="eastAsia" w:hAnsi="宋体" w:cs="宋体"/>
          <w:sz w:val="24"/>
        </w:rPr>
      </w:pPr>
    </w:p>
    <w:p>
      <w:pPr>
        <w:pStyle w:val="15"/>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pStyle w:val="25"/>
        <w:keepNext w:val="0"/>
        <w:keepLines w:val="0"/>
        <w:widowControl/>
        <w:suppressLineNumbers w:val="0"/>
        <w:spacing w:before="0" w:beforeAutospacing="0" w:after="0" w:afterAutospacing="0" w:line="510" w:lineRule="atLeast"/>
        <w:ind w:left="0" w:right="0" w:firstLine="420"/>
        <w:rPr>
          <w:rFonts w:hint="eastAsia"/>
          <w:lang w:val="en-US" w:eastAsia="zh-CN"/>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rPr>
        <w:br w:type="page"/>
      </w:r>
      <w:r>
        <w:rPr>
          <w:rFonts w:hint="eastAsia"/>
          <w:lang w:val="en-US" w:eastAsia="zh-CN"/>
        </w:rPr>
        <w:t>（8）所投产品为进口产品的，供应商为非所投产品制造厂家的，需提供产品制造厂家对所投进口产品的授权书，或具有授权权限的代理商对所投进口产品的授权书（且需提供该代理商具有有效授权权限的相关证明文件，证明文件需能显示设备制造厂家对所投产品授权链条的完整性），产品制造厂家直投不需要提供；</w:t>
      </w:r>
    </w:p>
    <w:p>
      <w:pPr>
        <w:pStyle w:val="25"/>
        <w:keepNext w:val="0"/>
        <w:keepLines w:val="0"/>
        <w:widowControl/>
        <w:suppressLineNumbers w:val="0"/>
        <w:spacing w:before="0" w:beforeAutospacing="0" w:after="0" w:afterAutospacing="0" w:line="510" w:lineRule="atLeast"/>
        <w:ind w:right="0"/>
        <w:rPr>
          <w:rFonts w:hint="default"/>
          <w:lang w:val="en-US" w:eastAsia="zh-CN"/>
        </w:rPr>
      </w:pPr>
      <w:r>
        <w:rPr>
          <w:rFonts w:hint="eastAsia"/>
          <w:lang w:val="en-US" w:eastAsia="zh-CN"/>
        </w:rPr>
        <w:t>（9）提供同品牌业绩两份（供应商或生产厂家）；</w:t>
      </w:r>
    </w:p>
    <w:p>
      <w:pPr>
        <w:pStyle w:val="25"/>
        <w:spacing w:before="0" w:beforeAutospacing="0" w:after="0" w:afterAutospacing="0" w:line="360" w:lineRule="auto"/>
        <w:ind w:firstLine="420"/>
      </w:pPr>
      <w:r>
        <w:rPr>
          <w:rFonts w:hint="eastAsia"/>
        </w:rPr>
        <w:br w:type="page"/>
      </w:r>
      <w:r>
        <w:rPr>
          <w:rFonts w:hint="eastAsia"/>
        </w:rPr>
        <w:t>（</w:t>
      </w:r>
      <w:r>
        <w:rPr>
          <w:rFonts w:hint="eastAsia"/>
          <w:lang w:val="en-US" w:eastAsia="zh-CN"/>
        </w:rPr>
        <w:t>10</w:t>
      </w:r>
      <w:r>
        <w:rPr>
          <w:rFonts w:hint="eastAsia"/>
        </w:rPr>
        <w:t>）本项目不接受联合体投标。</w:t>
      </w:r>
    </w:p>
    <w:p>
      <w:pPr>
        <w:widowControl/>
        <w:spacing w:line="360" w:lineRule="auto"/>
        <w:ind w:left="420"/>
        <w:jc w:val="center"/>
        <w:rPr>
          <w:rFonts w:ascii="宋体" w:cs="宋体"/>
          <w:sz w:val="24"/>
          <w:szCs w:val="24"/>
        </w:rPr>
      </w:pPr>
      <w:r>
        <w:rPr>
          <w:rFonts w:hint="eastAsia" w:ascii="宋体" w:cs="宋体"/>
          <w:sz w:val="24"/>
          <w:szCs w:val="24"/>
        </w:rPr>
        <w:t>非联合体投标声明</w:t>
      </w:r>
    </w:p>
    <w:p>
      <w:pPr>
        <w:widowControl/>
        <w:spacing w:line="360" w:lineRule="auto"/>
        <w:ind w:firstLine="480"/>
        <w:rPr>
          <w:rFonts w:ascii="宋体" w:cs="宋体"/>
          <w:kern w:val="0"/>
          <w:sz w:val="24"/>
          <w:szCs w:val="24"/>
        </w:rPr>
      </w:pPr>
      <w:r>
        <w:rPr>
          <w:rFonts w:hint="eastAsia" w:ascii="宋体" w:cs="宋体"/>
          <w:bCs/>
          <w:color w:val="000000"/>
          <w:sz w:val="24"/>
          <w:szCs w:val="24"/>
        </w:rPr>
        <w:t>我司参加本次</w:t>
      </w:r>
      <w:r>
        <w:rPr>
          <w:rFonts w:hint="eastAsia" w:ascii="宋体" w:cs="宋体"/>
          <w:bCs/>
          <w:color w:val="000000"/>
          <w:sz w:val="24"/>
          <w:szCs w:val="24"/>
          <w:u w:val="single"/>
        </w:rPr>
        <w:t xml:space="preserve">项目名称：              </w:t>
      </w:r>
      <w:r>
        <w:rPr>
          <w:rFonts w:hint="eastAsia" w:ascii="宋体" w:cs="宋体"/>
          <w:kern w:val="0"/>
          <w:sz w:val="24"/>
          <w:szCs w:val="24"/>
          <w:u w:val="single"/>
        </w:rPr>
        <w:t xml:space="preserve">编号：        </w:t>
      </w:r>
      <w:r>
        <w:rPr>
          <w:rFonts w:hint="eastAsia" w:ascii="宋体" w:cs="宋体"/>
          <w:kern w:val="0"/>
          <w:sz w:val="24"/>
          <w:szCs w:val="24"/>
        </w:rPr>
        <w:t>政府采购的投标，非联合体投标，如有虚假，承担相应责任。</w:t>
      </w:r>
    </w:p>
    <w:p>
      <w:pPr>
        <w:widowControl/>
        <w:spacing w:line="360" w:lineRule="auto"/>
        <w:ind w:firstLine="480"/>
        <w:rPr>
          <w:rFonts w:ascii="宋体" w:cs="宋体"/>
          <w:kern w:val="0"/>
          <w:sz w:val="24"/>
          <w:szCs w:val="24"/>
        </w:rPr>
      </w:pPr>
      <w:r>
        <w:rPr>
          <w:rFonts w:hint="eastAsia" w:ascii="宋体" w:cs="宋体"/>
          <w:kern w:val="0"/>
          <w:sz w:val="24"/>
          <w:szCs w:val="24"/>
        </w:rPr>
        <w:t>特此声明！</w:t>
      </w:r>
    </w:p>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15"/>
        <w:spacing w:line="480" w:lineRule="auto"/>
        <w:jc w:val="left"/>
        <w:rPr>
          <w:rFonts w:cs="宋体"/>
          <w:sz w:val="24"/>
        </w:rPr>
      </w:pPr>
      <w:r>
        <w:rPr>
          <w:rFonts w:hint="eastAsia" w:cs="宋体"/>
          <w:sz w:val="24"/>
        </w:rPr>
        <w:t>供应商（单位名称及公章）：</w:t>
      </w:r>
    </w:p>
    <w:p>
      <w:pPr>
        <w:pStyle w:val="15"/>
        <w:spacing w:line="480" w:lineRule="auto"/>
        <w:jc w:val="left"/>
        <w:rPr>
          <w:rFonts w:cs="宋体"/>
          <w:sz w:val="24"/>
        </w:rPr>
      </w:pPr>
      <w:r>
        <w:rPr>
          <w:rFonts w:hint="eastAsia" w:cs="宋体"/>
          <w:sz w:val="24"/>
        </w:rPr>
        <w:t>法定代表人/被授权人（签字或盖章）：</w:t>
      </w:r>
    </w:p>
    <w:p>
      <w:pPr>
        <w:pStyle w:val="8"/>
        <w:ind w:firstLine="0"/>
        <w:rPr>
          <w:rFonts w:cs="宋体"/>
          <w:kern w:val="0"/>
          <w:sz w:val="24"/>
        </w:rPr>
      </w:pPr>
      <w:r>
        <w:rPr>
          <w:rFonts w:hint="eastAsia" w:cs="宋体"/>
          <w:kern w:val="0"/>
          <w:sz w:val="24"/>
        </w:rPr>
        <w:t xml:space="preserve">日    期：             </w:t>
      </w:r>
    </w:p>
    <w:p>
      <w:pPr>
        <w:jc w:val="center"/>
        <w:outlineLvl w:val="1"/>
        <w:rPr>
          <w:rFonts w:ascii="宋体" w:hAnsi="宋体" w:cs="宋体"/>
          <w:sz w:val="36"/>
          <w:szCs w:val="36"/>
        </w:rPr>
      </w:pPr>
      <w:r>
        <w:rPr>
          <w:rFonts w:hint="eastAsia" w:cs="宋体"/>
          <w:kern w:val="0"/>
          <w:sz w:val="24"/>
          <w:u w:val="single"/>
        </w:rPr>
        <w:br w:type="page"/>
      </w:r>
      <w:bookmarkStart w:id="76" w:name="_Toc16233"/>
      <w:r>
        <w:rPr>
          <w:rFonts w:hint="eastAsia" w:ascii="宋体" w:hAnsi="宋体" w:cs="宋体"/>
          <w:b/>
          <w:bCs/>
          <w:sz w:val="36"/>
          <w:szCs w:val="36"/>
          <w:lang w:eastAsia="zh-CN"/>
        </w:rPr>
        <w:t>第五部分</w:t>
      </w:r>
      <w:r>
        <w:rPr>
          <w:rFonts w:hint="eastAsia" w:ascii="宋体" w:hAnsi="宋体" w:cs="宋体"/>
          <w:b/>
          <w:bCs/>
          <w:sz w:val="36"/>
          <w:szCs w:val="36"/>
          <w:lang w:val="en-US" w:eastAsia="zh-CN"/>
        </w:rPr>
        <w:t xml:space="preserve">  </w:t>
      </w:r>
      <w:r>
        <w:rPr>
          <w:rFonts w:hint="eastAsia" w:ascii="宋体" w:hAnsi="宋体" w:cs="宋体"/>
          <w:b/>
          <w:bCs/>
          <w:sz w:val="36"/>
          <w:szCs w:val="36"/>
        </w:rPr>
        <w:t>技术与服务方案</w:t>
      </w:r>
      <w:bookmarkEnd w:id="76"/>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cs="宋体"/>
          <w:sz w:val="24"/>
          <w:szCs w:val="24"/>
        </w:rPr>
      </w:pPr>
    </w:p>
    <w:p>
      <w:pPr>
        <w:rPr>
          <w:rFonts w:ascii="宋体" w:cs="宋体"/>
          <w:sz w:val="24"/>
          <w:szCs w:val="24"/>
        </w:rPr>
        <w:sectPr>
          <w:pgSz w:w="11906" w:h="16838"/>
          <w:pgMar w:top="1440" w:right="1769" w:bottom="1440" w:left="1803" w:header="851" w:footer="992" w:gutter="0"/>
          <w:pgNumType w:fmt="decimal"/>
          <w:cols w:space="720" w:num="1"/>
          <w:docGrid w:type="lines" w:linePitch="319" w:charSpace="0"/>
        </w:sectPr>
      </w:pPr>
    </w:p>
    <w:bookmarkEnd w:id="72"/>
    <w:bookmarkEnd w:id="73"/>
    <w:bookmarkEnd w:id="74"/>
    <w:bookmarkEnd w:id="75"/>
    <w:p>
      <w:pPr>
        <w:pStyle w:val="3"/>
        <w:spacing w:before="319" w:beforeLines="100" w:after="478" w:afterLines="150" w:line="500" w:lineRule="exact"/>
        <w:jc w:val="center"/>
        <w:rPr>
          <w:rFonts w:ascii="宋体" w:hAnsi="宋体" w:cs="宋体"/>
          <w:sz w:val="36"/>
          <w:szCs w:val="36"/>
        </w:rPr>
      </w:pPr>
      <w:bookmarkStart w:id="77" w:name="_Toc8571"/>
      <w:bookmarkStart w:id="78" w:name="_Toc498694581"/>
      <w:bookmarkStart w:id="79" w:name="_Toc27213"/>
      <w:bookmarkStart w:id="80" w:name="_Toc32033"/>
      <w:bookmarkStart w:id="81" w:name="_Toc16757"/>
      <w:r>
        <w:rPr>
          <w:rFonts w:hint="eastAsia" w:ascii="宋体" w:hAnsi="宋体" w:cs="宋体"/>
          <w:sz w:val="36"/>
          <w:szCs w:val="36"/>
        </w:rPr>
        <w:t>第</w:t>
      </w:r>
      <w:r>
        <w:rPr>
          <w:rFonts w:hint="eastAsia" w:ascii="宋体" w:hAnsi="宋体" w:cs="宋体"/>
          <w:sz w:val="36"/>
          <w:szCs w:val="36"/>
          <w:lang w:eastAsia="zh-CN"/>
        </w:rPr>
        <w:t>六</w:t>
      </w:r>
      <w:r>
        <w:rPr>
          <w:rFonts w:hint="eastAsia" w:ascii="宋体" w:hAnsi="宋体" w:cs="宋体"/>
          <w:sz w:val="36"/>
          <w:szCs w:val="36"/>
        </w:rPr>
        <w:t xml:space="preserve">部分  </w:t>
      </w:r>
      <w:bookmarkEnd w:id="77"/>
      <w:bookmarkEnd w:id="78"/>
      <w:bookmarkEnd w:id="79"/>
      <w:r>
        <w:rPr>
          <w:rFonts w:hint="eastAsia" w:ascii="宋体" w:hAnsi="宋体" w:cs="宋体"/>
          <w:sz w:val="36"/>
          <w:szCs w:val="36"/>
        </w:rPr>
        <w:t>服务承诺</w:t>
      </w:r>
      <w:bookmarkEnd w:id="80"/>
      <w:bookmarkEnd w:id="81"/>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3"/>
        <w:adjustRightInd w:val="0"/>
        <w:spacing w:before="319" w:beforeLines="100" w:after="478" w:afterLines="150" w:line="500" w:lineRule="exact"/>
        <w:jc w:val="center"/>
        <w:textAlignment w:val="baseline"/>
        <w:rPr>
          <w:rFonts w:ascii="宋体" w:hAnsi="宋体" w:cs="宋体"/>
          <w:sz w:val="36"/>
          <w:szCs w:val="36"/>
        </w:rPr>
      </w:pPr>
      <w:bookmarkStart w:id="82" w:name="_Toc14327"/>
      <w:bookmarkStart w:id="83" w:name="_Toc16262"/>
      <w:r>
        <w:rPr>
          <w:rFonts w:hint="eastAsia" w:ascii="宋体" w:cs="宋体"/>
          <w:sz w:val="36"/>
          <w:szCs w:val="36"/>
        </w:rPr>
        <w:t>第</w:t>
      </w:r>
      <w:r>
        <w:rPr>
          <w:rFonts w:hint="eastAsia" w:ascii="宋体" w:cs="宋体"/>
          <w:sz w:val="36"/>
          <w:szCs w:val="36"/>
          <w:lang w:eastAsia="zh-CN"/>
        </w:rPr>
        <w:t>七</w:t>
      </w:r>
      <w:r>
        <w:rPr>
          <w:rFonts w:hint="eastAsia" w:ascii="宋体" w:cs="宋体"/>
          <w:sz w:val="36"/>
          <w:szCs w:val="36"/>
        </w:rPr>
        <w:t xml:space="preserve">部分  </w:t>
      </w:r>
      <w:r>
        <w:rPr>
          <w:rFonts w:hint="eastAsia" w:ascii="宋体" w:hAnsi="宋体" w:cs="宋体"/>
          <w:sz w:val="36"/>
          <w:szCs w:val="36"/>
        </w:rPr>
        <w:t>业绩一览表</w:t>
      </w:r>
      <w:bookmarkEnd w:id="82"/>
      <w:bookmarkEnd w:id="83"/>
    </w:p>
    <w:tbl>
      <w:tblPr>
        <w:tblStyle w:val="28"/>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240"/>
        <w:gridCol w:w="1590"/>
        <w:gridCol w:w="1748"/>
        <w:gridCol w:w="1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4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2240"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590" w:type="dxa"/>
            <w:tcBorders>
              <w:top w:val="single" w:color="auto" w:sz="4" w:space="0"/>
            </w:tcBorders>
            <w:vAlign w:val="center"/>
          </w:tcPr>
          <w:p>
            <w:pPr>
              <w:spacing w:line="400" w:lineRule="exact"/>
              <w:jc w:val="center"/>
              <w:rPr>
                <w:rFonts w:hint="eastAsia" w:ascii="宋体" w:hAnsi="宋体" w:eastAsia="宋体" w:cs="宋体"/>
                <w:lang w:eastAsia="zh-CN"/>
              </w:rPr>
            </w:pPr>
            <w:r>
              <w:rPr>
                <w:rFonts w:hint="eastAsia" w:ascii="宋体" w:hAnsi="宋体" w:cs="宋体"/>
                <w:lang w:eastAsia="zh-CN"/>
              </w:rPr>
              <w:t>签订时间</w:t>
            </w:r>
          </w:p>
        </w:tc>
        <w:tc>
          <w:tcPr>
            <w:tcW w:w="1748" w:type="dxa"/>
            <w:tcBorders>
              <w:top w:val="single" w:color="auto" w:sz="4" w:space="0"/>
              <w:right w:val="single" w:color="auto" w:sz="4" w:space="0"/>
            </w:tcBorders>
            <w:vAlign w:val="center"/>
          </w:tcPr>
          <w:p>
            <w:pPr>
              <w:spacing w:line="400" w:lineRule="exact"/>
              <w:ind w:left="204" w:hanging="203" w:hangingChars="97"/>
              <w:jc w:val="center"/>
              <w:rPr>
                <w:rFonts w:ascii="宋体" w:hAnsi="宋体" w:cs="宋体"/>
              </w:rPr>
            </w:pPr>
            <w:r>
              <w:rPr>
                <w:rFonts w:hint="eastAsia" w:ascii="宋体" w:hAnsi="宋体" w:cs="宋体"/>
              </w:rPr>
              <w:t>合同金额</w:t>
            </w:r>
          </w:p>
        </w:tc>
        <w:tc>
          <w:tcPr>
            <w:tcW w:w="1046"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vAlign w:val="center"/>
          </w:tcPr>
          <w:p>
            <w:pPr>
              <w:spacing w:line="400" w:lineRule="exact"/>
              <w:jc w:val="center"/>
              <w:rPr>
                <w:rFonts w:ascii="宋体" w:hAnsi="宋体" w:cs="宋体"/>
              </w:rPr>
            </w:pPr>
          </w:p>
        </w:tc>
        <w:tc>
          <w:tcPr>
            <w:tcW w:w="2240" w:type="dxa"/>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宋体"/>
              </w:rPr>
            </w:pPr>
          </w:p>
        </w:tc>
        <w:tc>
          <w:tcPr>
            <w:tcW w:w="1440" w:type="dxa"/>
            <w:tcBorders>
              <w:right w:val="single" w:color="auto" w:sz="4" w:space="0"/>
            </w:tcBorders>
            <w:vAlign w:val="center"/>
          </w:tcPr>
          <w:p>
            <w:pPr>
              <w:spacing w:line="400" w:lineRule="exact"/>
              <w:jc w:val="center"/>
              <w:rPr>
                <w:rFonts w:ascii="宋体" w:hAnsi="宋体" w:cs="宋体"/>
              </w:rPr>
            </w:pPr>
          </w:p>
        </w:tc>
        <w:tc>
          <w:tcPr>
            <w:tcW w:w="2240" w:type="dxa"/>
            <w:tcBorders>
              <w:left w:val="single" w:color="auto" w:sz="4" w:space="0"/>
            </w:tcBorders>
            <w:vAlign w:val="center"/>
          </w:tcPr>
          <w:p>
            <w:pPr>
              <w:spacing w:line="400" w:lineRule="exact"/>
              <w:jc w:val="center"/>
              <w:rPr>
                <w:rFonts w:ascii="宋体" w:hAnsi="宋体" w:cs="宋体"/>
              </w:rPr>
            </w:pPr>
          </w:p>
        </w:tc>
        <w:tc>
          <w:tcPr>
            <w:tcW w:w="1590" w:type="dxa"/>
            <w:vAlign w:val="center"/>
          </w:tcPr>
          <w:p>
            <w:pPr>
              <w:spacing w:line="400" w:lineRule="exact"/>
              <w:jc w:val="center"/>
              <w:rPr>
                <w:rFonts w:ascii="宋体" w:hAnsi="宋体" w:cs="宋体"/>
              </w:rPr>
            </w:pPr>
          </w:p>
        </w:tc>
        <w:tc>
          <w:tcPr>
            <w:tcW w:w="1748" w:type="dxa"/>
            <w:tcBorders>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ascii="宋体" w:hAnsi="宋体" w:cs="宋体"/>
              </w:rPr>
            </w:pPr>
          </w:p>
        </w:tc>
        <w:tc>
          <w:tcPr>
            <w:tcW w:w="1440" w:type="dxa"/>
            <w:tcBorders>
              <w:left w:val="single" w:color="auto" w:sz="4" w:space="0"/>
              <w:right w:val="single" w:color="auto" w:sz="4" w:space="0"/>
            </w:tcBorders>
            <w:vAlign w:val="center"/>
          </w:tcPr>
          <w:p>
            <w:pPr>
              <w:spacing w:line="400" w:lineRule="exact"/>
              <w:rPr>
                <w:rFonts w:ascii="宋体" w:hAnsi="宋体" w:cs="宋体"/>
              </w:rPr>
            </w:pPr>
          </w:p>
        </w:tc>
        <w:tc>
          <w:tcPr>
            <w:tcW w:w="2240" w:type="dxa"/>
            <w:tcBorders>
              <w:left w:val="single" w:color="auto" w:sz="4" w:space="0"/>
              <w:right w:val="single" w:color="auto" w:sz="4" w:space="0"/>
            </w:tcBorders>
            <w:vAlign w:val="center"/>
          </w:tcPr>
          <w:p>
            <w:pPr>
              <w:spacing w:line="400" w:lineRule="exact"/>
              <w:rPr>
                <w:rFonts w:ascii="宋体" w:hAnsi="宋体" w:cs="宋体"/>
              </w:rPr>
            </w:pPr>
          </w:p>
        </w:tc>
        <w:tc>
          <w:tcPr>
            <w:tcW w:w="1590" w:type="dxa"/>
            <w:tcBorders>
              <w:left w:val="single" w:color="auto" w:sz="4" w:space="0"/>
              <w:right w:val="single" w:color="auto" w:sz="4" w:space="0"/>
            </w:tcBorders>
            <w:vAlign w:val="center"/>
          </w:tcPr>
          <w:p>
            <w:pPr>
              <w:spacing w:line="400" w:lineRule="exact"/>
              <w:rPr>
                <w:rFonts w:ascii="宋体" w:hAnsi="宋体" w:cs="宋体"/>
              </w:rPr>
            </w:pPr>
          </w:p>
        </w:tc>
        <w:tc>
          <w:tcPr>
            <w:tcW w:w="1748" w:type="dxa"/>
            <w:tcBorders>
              <w:left w:val="single" w:color="auto" w:sz="4" w:space="0"/>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ascii="宋体" w:hAnsi="宋体" w:cs="宋体"/>
              </w:rPr>
            </w:pPr>
          </w:p>
        </w:tc>
        <w:tc>
          <w:tcPr>
            <w:tcW w:w="1440" w:type="dxa"/>
            <w:vAlign w:val="center"/>
          </w:tcPr>
          <w:p>
            <w:pPr>
              <w:spacing w:line="400" w:lineRule="exact"/>
              <w:rPr>
                <w:rFonts w:ascii="宋体" w:hAnsi="宋体" w:cs="宋体"/>
              </w:rPr>
            </w:pPr>
          </w:p>
        </w:tc>
        <w:tc>
          <w:tcPr>
            <w:tcW w:w="2240" w:type="dxa"/>
            <w:vAlign w:val="center"/>
          </w:tcPr>
          <w:p>
            <w:pPr>
              <w:spacing w:line="400" w:lineRule="exact"/>
              <w:rPr>
                <w:rFonts w:ascii="宋体" w:hAnsi="宋体" w:cs="宋体"/>
              </w:rPr>
            </w:pPr>
          </w:p>
        </w:tc>
        <w:tc>
          <w:tcPr>
            <w:tcW w:w="1590" w:type="dxa"/>
            <w:vAlign w:val="center"/>
          </w:tcPr>
          <w:p>
            <w:pPr>
              <w:spacing w:line="400" w:lineRule="exact"/>
              <w:rPr>
                <w:rFonts w:ascii="宋体" w:hAnsi="宋体" w:cs="宋体"/>
              </w:rPr>
            </w:pPr>
          </w:p>
        </w:tc>
        <w:tc>
          <w:tcPr>
            <w:tcW w:w="1748" w:type="dxa"/>
            <w:tcBorders>
              <w:right w:val="single" w:color="auto" w:sz="4" w:space="0"/>
            </w:tcBorders>
            <w:vAlign w:val="center"/>
          </w:tcPr>
          <w:p>
            <w:pPr>
              <w:spacing w:line="400" w:lineRule="exact"/>
              <w:rPr>
                <w:rFonts w:ascii="宋体" w:hAnsi="宋体" w:cs="宋体"/>
              </w:rPr>
            </w:pPr>
          </w:p>
        </w:tc>
        <w:tc>
          <w:tcPr>
            <w:tcW w:w="1046"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bottom w:val="single" w:color="auto" w:sz="4" w:space="0"/>
            </w:tcBorders>
            <w:vAlign w:val="center"/>
          </w:tcPr>
          <w:p>
            <w:pPr>
              <w:spacing w:line="400" w:lineRule="exact"/>
              <w:jc w:val="center"/>
              <w:rPr>
                <w:rFonts w:ascii="宋体" w:hAnsi="宋体" w:cs="宋体"/>
              </w:rPr>
            </w:pPr>
          </w:p>
        </w:tc>
        <w:tc>
          <w:tcPr>
            <w:tcW w:w="1440" w:type="dxa"/>
            <w:tcBorders>
              <w:bottom w:val="single" w:color="auto" w:sz="4" w:space="0"/>
            </w:tcBorders>
            <w:vAlign w:val="center"/>
          </w:tcPr>
          <w:p>
            <w:pPr>
              <w:spacing w:line="400" w:lineRule="exact"/>
              <w:jc w:val="center"/>
              <w:rPr>
                <w:rFonts w:ascii="宋体" w:hAnsi="宋体" w:cs="宋体"/>
              </w:rPr>
            </w:pPr>
          </w:p>
        </w:tc>
        <w:tc>
          <w:tcPr>
            <w:tcW w:w="2240" w:type="dxa"/>
            <w:tcBorders>
              <w:bottom w:val="single" w:color="auto" w:sz="4" w:space="0"/>
            </w:tcBorders>
            <w:vAlign w:val="center"/>
          </w:tcPr>
          <w:p>
            <w:pPr>
              <w:spacing w:line="400" w:lineRule="exact"/>
              <w:jc w:val="center"/>
              <w:rPr>
                <w:rFonts w:ascii="宋体" w:hAnsi="宋体" w:cs="宋体"/>
              </w:rPr>
            </w:pPr>
          </w:p>
        </w:tc>
        <w:tc>
          <w:tcPr>
            <w:tcW w:w="1590" w:type="dxa"/>
            <w:tcBorders>
              <w:bottom w:val="single" w:color="auto" w:sz="4" w:space="0"/>
            </w:tcBorders>
            <w:vAlign w:val="center"/>
          </w:tcPr>
          <w:p>
            <w:pPr>
              <w:spacing w:line="400" w:lineRule="exact"/>
              <w:jc w:val="center"/>
              <w:rPr>
                <w:rFonts w:ascii="宋体" w:hAnsi="宋体" w:cs="宋体"/>
              </w:rPr>
            </w:pPr>
          </w:p>
        </w:tc>
        <w:tc>
          <w:tcPr>
            <w:tcW w:w="1748"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046"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jc w:val="center"/>
        <w:outlineLvl w:val="1"/>
        <w:rPr>
          <w:rFonts w:ascii="宋体" w:cs="宋体"/>
          <w:b/>
          <w:bCs/>
          <w:color w:val="FF0000"/>
          <w:sz w:val="36"/>
          <w:szCs w:val="36"/>
        </w:rPr>
      </w:pPr>
      <w:bookmarkStart w:id="84" w:name="_Toc10026"/>
      <w:bookmarkStart w:id="85" w:name="_Toc22319"/>
      <w:r>
        <w:rPr>
          <w:rFonts w:hint="eastAsia" w:ascii="宋体" w:hAnsi="宋体" w:cs="宋体"/>
          <w:b/>
          <w:bCs/>
          <w:sz w:val="36"/>
          <w:szCs w:val="36"/>
        </w:rPr>
        <w:t>第</w:t>
      </w:r>
      <w:r>
        <w:rPr>
          <w:rFonts w:hint="eastAsia" w:ascii="宋体" w:hAnsi="宋体" w:cs="宋体"/>
          <w:b/>
          <w:bCs/>
          <w:sz w:val="36"/>
          <w:szCs w:val="36"/>
          <w:lang w:eastAsia="zh-CN"/>
        </w:rPr>
        <w:t>八</w:t>
      </w:r>
      <w:r>
        <w:rPr>
          <w:rFonts w:hint="eastAsia" w:ascii="宋体" w:hAnsi="宋体" w:cs="宋体"/>
          <w:b/>
          <w:bCs/>
          <w:sz w:val="36"/>
          <w:szCs w:val="36"/>
        </w:rPr>
        <w:t>部分  供应商认为有必要说明的其他问题</w:t>
      </w:r>
      <w:bookmarkEnd w:id="84"/>
      <w:bookmarkEnd w:id="85"/>
    </w:p>
    <w:p>
      <w:r>
        <w:t xml:space="preserve">  </w:t>
      </w:r>
    </w:p>
    <w:p/>
    <w:p>
      <w:r>
        <w:rPr>
          <w:rFonts w:hint="eastAsia"/>
        </w:rPr>
        <w:t>例如：投标保证金缴纳凭证</w:t>
      </w:r>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18" w:type="default"/>
          <w:pgSz w:w="11906" w:h="16838"/>
          <w:pgMar w:top="1440" w:right="1803" w:bottom="1440" w:left="1803" w:header="851" w:footer="992" w:gutter="0"/>
          <w:pgNumType w:fmt="decimal"/>
          <w:cols w:space="720" w:num="1"/>
          <w:docGrid w:type="lines" w:linePitch="319" w:charSpace="0"/>
        </w:sectPr>
      </w:pPr>
    </w:p>
    <w:p>
      <w:pPr>
        <w:pStyle w:val="3"/>
        <w:adjustRightInd w:val="0"/>
        <w:spacing w:line="500" w:lineRule="exact"/>
        <w:textAlignment w:val="baseline"/>
        <w:rPr>
          <w:rFonts w:ascii="宋体" w:cs="宋体"/>
        </w:rPr>
      </w:pPr>
      <w:bookmarkStart w:id="86" w:name="_Toc18241"/>
      <w:r>
        <w:rPr>
          <w:rFonts w:hint="eastAsia" w:ascii="宋体" w:hAnsi="宋体" w:cs="宋体"/>
        </w:rPr>
        <w:t>附件一：封袋正面标识式样</w:t>
      </w:r>
      <w:bookmarkEnd w:id="86"/>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w:pict>
          <v:shape id="Text Box 3" o:spid="_x0000_s1029" o:spt="202" type="#_x0000_t202" style="position:absolute;left:0pt;margin-left:-19.9pt;margin-top:0.9pt;height:264.9pt;width:477.6pt;z-index:251659264;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ZMZB2022XBDX-59</w:t>
                  </w:r>
                </w:p>
                <w:p>
                  <w:pPr>
                    <w:rPr>
                      <w:b/>
                      <w:sz w:val="44"/>
                      <w:szCs w:val="44"/>
                    </w:rPr>
                  </w:pPr>
                  <w:r>
                    <w:rPr>
                      <w:rFonts w:hint="eastAsia"/>
                      <w:sz w:val="28"/>
                      <w:szCs w:val="28"/>
                    </w:rPr>
                    <w:t>项目名称：</w:t>
                  </w:r>
                  <w:r>
                    <w:rPr>
                      <w:rFonts w:hint="eastAsia"/>
                      <w:sz w:val="28"/>
                      <w:szCs w:val="28"/>
                      <w:lang w:eastAsia="zh-CN"/>
                    </w:rPr>
                    <w:t>西北大学光热显微红外光谱仪采购项目</w:t>
                  </w:r>
                  <w:r>
                    <w:rPr>
                      <w:sz w:val="28"/>
                      <w:szCs w:val="28"/>
                    </w:rPr>
                    <w:t xml:space="preserve">             </w:t>
                  </w:r>
                </w:p>
                <w:p>
                  <w:pPr>
                    <w:jc w:val="center"/>
                    <w:rPr>
                      <w:b/>
                      <w:sz w:val="44"/>
                      <w:szCs w:val="44"/>
                    </w:rPr>
                  </w:pPr>
                  <w:r>
                    <w:rPr>
                      <w:rFonts w:hint="eastAsia"/>
                      <w:b/>
                      <w:sz w:val="44"/>
                      <w:szCs w:val="44"/>
                    </w:rPr>
                    <w:t>响应文件（正本）</w:t>
                  </w:r>
                </w:p>
                <w:p>
                  <w:pPr>
                    <w:pStyle w:val="5"/>
                  </w:pPr>
                  <w:r>
                    <w:rPr>
                      <w:rFonts w:hint="eastAsia"/>
                      <w:sz w:val="44"/>
                      <w:szCs w:val="44"/>
                    </w:rPr>
                    <w:t xml:space="preserve">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20" w:firstLineChars="200"/>
        <w:jc w:val="left"/>
        <w:rPr>
          <w:rFonts w:ascii="宋体" w:cs="宋体"/>
          <w:b/>
          <w:sz w:val="24"/>
        </w:rPr>
      </w:pPr>
      <w:r>
        <w:pict>
          <v:shape id="Text Box 4" o:spid="_x0000_s1030" o:spt="202" type="#_x0000_t202" style="position:absolute;left:0pt;margin-left:-23.7pt;margin-top:20.8pt;height:293.35pt;width:480.2pt;z-index:251660288;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ZMZB2022XBDX-59</w:t>
                  </w:r>
                </w:p>
                <w:p>
                  <w:pPr>
                    <w:jc w:val="both"/>
                    <w:rPr>
                      <w:sz w:val="28"/>
                      <w:szCs w:val="28"/>
                    </w:rPr>
                  </w:pPr>
                  <w:r>
                    <w:rPr>
                      <w:rFonts w:hint="eastAsia"/>
                      <w:sz w:val="28"/>
                      <w:szCs w:val="28"/>
                    </w:rPr>
                    <w:t>项目名称：</w:t>
                  </w:r>
                  <w:r>
                    <w:rPr>
                      <w:rFonts w:hint="eastAsia"/>
                      <w:sz w:val="28"/>
                      <w:szCs w:val="28"/>
                      <w:lang w:eastAsia="zh-CN"/>
                    </w:rPr>
                    <w:t>西北大学光热显微红外光谱仪采购项目</w:t>
                  </w:r>
                  <w:r>
                    <w:rPr>
                      <w:sz w:val="28"/>
                      <w:szCs w:val="28"/>
                    </w:rPr>
                    <w:t xml:space="preserve">   </w:t>
                  </w:r>
                </w:p>
                <w:p>
                  <w:pPr>
                    <w:jc w:val="center"/>
                    <w:rPr>
                      <w:b/>
                      <w:sz w:val="44"/>
                      <w:szCs w:val="44"/>
                    </w:rPr>
                  </w:pPr>
                  <w:r>
                    <w:rPr>
                      <w:rFonts w:hint="eastAsia"/>
                      <w:b/>
                      <w:sz w:val="44"/>
                      <w:szCs w:val="44"/>
                    </w:rPr>
                    <w:t xml:space="preserve">响应文件（副本） </w:t>
                  </w:r>
                </w:p>
                <w:p>
                  <w:pPr>
                    <w:jc w:val="center"/>
                    <w:rPr>
                      <w:b/>
                      <w:sz w:val="44"/>
                      <w:szCs w:val="44"/>
                    </w:rPr>
                  </w:pPr>
                </w:p>
                <w:p>
                  <w:pPr>
                    <w:jc w:val="center"/>
                    <w:rPr>
                      <w:sz w:val="28"/>
                      <w:szCs w:val="28"/>
                    </w:rPr>
                  </w:pPr>
                  <w:r>
                    <w:rPr>
                      <w:rFonts w:hint="eastAsia"/>
                      <w:sz w:val="28"/>
                      <w:szCs w:val="28"/>
                    </w:rPr>
                    <w:t>（非采购会议不得启封）</w:t>
                  </w:r>
                </w:p>
                <w:p>
                  <w:pPr>
                    <w:pStyle w:val="5"/>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jc w:val="left"/>
        <w:rPr>
          <w:rFonts w:ascii="宋体" w:cs="宋体"/>
          <w:b/>
          <w:sz w:val="28"/>
          <w:szCs w:val="28"/>
        </w:rPr>
      </w:pPr>
      <w:r>
        <w:rPr>
          <w:rFonts w:hint="eastAsia" w:ascii="宋体" w:hAnsi="宋体" w:cs="宋体"/>
          <w:b/>
          <w:sz w:val="28"/>
          <w:szCs w:val="28"/>
        </w:rPr>
        <w:t>附件一：</w:t>
      </w: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w:pict>
          <v:shape id="_x0000_s1031" o:spid="_x0000_s1031" o:spt="202" type="#_x0000_t202" style="position:absolute;left:0pt;margin-left:-21.7pt;margin-top:17.95pt;height:269.4pt;width:479.4pt;z-index:251661312;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ZMZB2022XBDX-59</w:t>
                  </w:r>
                </w:p>
                <w:p>
                  <w:pPr>
                    <w:jc w:val="both"/>
                    <w:rPr>
                      <w:sz w:val="28"/>
                      <w:szCs w:val="28"/>
                    </w:rPr>
                  </w:pPr>
                  <w:r>
                    <w:rPr>
                      <w:rFonts w:hint="eastAsia"/>
                      <w:sz w:val="28"/>
                      <w:szCs w:val="28"/>
                    </w:rPr>
                    <w:t>项目名称：</w:t>
                  </w:r>
                  <w:r>
                    <w:rPr>
                      <w:rFonts w:hint="eastAsia"/>
                      <w:sz w:val="28"/>
                      <w:szCs w:val="28"/>
                      <w:lang w:eastAsia="zh-CN"/>
                    </w:rPr>
                    <w:t>西北大学光热显微红外光谱仪采购项目</w:t>
                  </w:r>
                  <w:r>
                    <w:rPr>
                      <w:sz w:val="28"/>
                      <w:szCs w:val="28"/>
                    </w:rPr>
                    <w:t xml:space="preserve">   </w:t>
                  </w:r>
                </w:p>
                <w:p>
                  <w:pPr>
                    <w:jc w:val="center"/>
                    <w:rPr>
                      <w:b/>
                      <w:sz w:val="44"/>
                      <w:szCs w:val="44"/>
                    </w:rPr>
                  </w:pPr>
                  <w:r>
                    <w:rPr>
                      <w:rFonts w:hint="eastAsia"/>
                      <w:b/>
                      <w:sz w:val="44"/>
                      <w:szCs w:val="44"/>
                    </w:rPr>
                    <w:t xml:space="preserve">响应一览表 </w:t>
                  </w:r>
                </w:p>
                <w:p>
                  <w:pP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w:pict>
          <v:shape id="_x0000_s1032" o:spid="_x0000_s1032" o:spt="202" type="#_x0000_t202" style="position:absolute;left:0pt;margin-left:-28.35pt;margin-top:11.85pt;height:271.15pt;width:483.5pt;z-index:251661312;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lang w:eastAsia="zh-CN"/>
                    </w:rPr>
                    <w:t>ZMZB2022XBDX-59</w:t>
                  </w:r>
                </w:p>
                <w:p>
                  <w:pPr>
                    <w:jc w:val="both"/>
                    <w:rPr>
                      <w:sz w:val="28"/>
                      <w:szCs w:val="28"/>
                    </w:rPr>
                  </w:pPr>
                  <w:r>
                    <w:rPr>
                      <w:rFonts w:hint="eastAsia"/>
                      <w:sz w:val="28"/>
                      <w:szCs w:val="28"/>
                    </w:rPr>
                    <w:t>项目名称：</w:t>
                  </w:r>
                  <w:r>
                    <w:rPr>
                      <w:rFonts w:hint="eastAsia"/>
                      <w:sz w:val="28"/>
                      <w:szCs w:val="28"/>
                      <w:lang w:eastAsia="zh-CN"/>
                    </w:rPr>
                    <w:t>西北大学光热显微红外光谱仪采购项目</w:t>
                  </w:r>
                  <w:r>
                    <w:rPr>
                      <w:sz w:val="28"/>
                      <w:szCs w:val="28"/>
                    </w:rPr>
                    <w:t xml:space="preserve">   </w:t>
                  </w:r>
                </w:p>
                <w:p>
                  <w:pPr>
                    <w:jc w:val="center"/>
                    <w:rPr>
                      <w:b/>
                      <w:sz w:val="44"/>
                      <w:szCs w:val="44"/>
                    </w:rPr>
                  </w:pPr>
                  <w:r>
                    <w:rPr>
                      <w:rFonts w:hint="eastAsia"/>
                      <w:b/>
                      <w:sz w:val="44"/>
                      <w:szCs w:val="44"/>
                    </w:rPr>
                    <w:t xml:space="preserve">电子文档 </w:t>
                  </w:r>
                </w:p>
                <w:p>
                  <w:pPr>
                    <w:jc w:val="cente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pageBreakBefore/>
        <w:spacing w:line="420" w:lineRule="auto"/>
        <w:rPr>
          <w:rFonts w:ascii="宋体" w:cs="宋体"/>
          <w:b/>
          <w:bCs/>
          <w:sz w:val="36"/>
          <w:szCs w:val="36"/>
        </w:rPr>
        <w:sectPr>
          <w:pgSz w:w="11906" w:h="16838"/>
          <w:pgMar w:top="1440" w:right="1803" w:bottom="1440" w:left="1803" w:header="851" w:footer="992" w:gutter="0"/>
          <w:pgNumType w:fmt="decimal"/>
          <w:cols w:space="720" w:num="1"/>
          <w:docGrid w:type="lines" w:linePitch="319" w:charSpace="0"/>
        </w:sectPr>
      </w:pPr>
    </w:p>
    <w:bookmarkEnd w:id="0"/>
    <w:p>
      <w:pPr>
        <w:pStyle w:val="3"/>
        <w:adjustRightInd w:val="0"/>
        <w:spacing w:line="416" w:lineRule="atLeast"/>
        <w:textAlignment w:val="baseline"/>
        <w:rPr>
          <w:rFonts w:ascii="宋体" w:cs="宋体"/>
        </w:rPr>
      </w:pPr>
      <w:bookmarkStart w:id="87" w:name="_Toc16538"/>
      <w:bookmarkStart w:id="88" w:name="_Toc19468"/>
      <w:r>
        <w:rPr>
          <w:rFonts w:hint="eastAsia" w:ascii="宋体" w:hAnsi="宋体" w:cs="宋体"/>
        </w:rPr>
        <w:t>附件二：保证金退还账户信息确认表</w:t>
      </w:r>
      <w:bookmarkEnd w:id="87"/>
      <w:bookmarkEnd w:id="88"/>
      <w:bookmarkStart w:id="89" w:name="_Toc378248335"/>
    </w:p>
    <w:p/>
    <w:p>
      <w:pPr>
        <w:rPr>
          <w:sz w:val="28"/>
          <w:szCs w:val="28"/>
        </w:rPr>
      </w:pPr>
      <w:r>
        <w:rPr>
          <w:rFonts w:hint="eastAsia"/>
          <w:sz w:val="28"/>
          <w:szCs w:val="28"/>
        </w:rPr>
        <w:t>项目名称：</w:t>
      </w:r>
    </w:p>
    <w:p>
      <w:pPr>
        <w:rPr>
          <w:sz w:val="28"/>
          <w:szCs w:val="28"/>
        </w:rPr>
      </w:pPr>
      <w:r>
        <w:rPr>
          <w:rFonts w:hint="eastAsia"/>
          <w:sz w:val="28"/>
          <w:szCs w:val="28"/>
        </w:rPr>
        <w:t>项目编号：</w:t>
      </w:r>
      <w:bookmarkEnd w:id="89"/>
    </w:p>
    <w:p/>
    <w:tbl>
      <w:tblPr>
        <w:tblStyle w:val="28"/>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sz w:val="24"/>
              </w:rPr>
            </w:pPr>
            <w:r>
              <w:rPr>
                <w:rFonts w:hint="eastAsia" w:ascii="宋体" w:hAnsi="宋体"/>
                <w:sz w:val="24"/>
              </w:rPr>
              <w:t>应退投标保证金</w:t>
            </w:r>
          </w:p>
        </w:tc>
        <w:tc>
          <w:tcPr>
            <w:tcW w:w="6204" w:type="dxa"/>
            <w:gridSpan w:val="2"/>
            <w:vAlign w:val="center"/>
          </w:tcPr>
          <w:p>
            <w:pP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vAlign w:val="center"/>
          </w:tcPr>
          <w:p>
            <w:pPr>
              <w:jc w:val="center"/>
              <w:rPr>
                <w:rFonts w:ascii="宋体"/>
                <w:sz w:val="24"/>
              </w:rPr>
            </w:pPr>
          </w:p>
        </w:tc>
        <w:tc>
          <w:tcPr>
            <w:tcW w:w="6204" w:type="dxa"/>
            <w:gridSpan w:val="2"/>
            <w:vAlign w:val="center"/>
          </w:tcPr>
          <w:p>
            <w:pPr>
              <w:rPr>
                <w:rFonts w:ascii="宋体"/>
                <w:sz w:val="24"/>
              </w:rPr>
            </w:pPr>
            <w:r>
              <w:rPr>
                <w:rFonts w:hint="eastAsia" w:ascii="宋体" w:hAnsi="宋体"/>
                <w:sz w:val="24"/>
              </w:rPr>
              <w:t>大</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sz w:val="24"/>
              </w:rPr>
            </w:pPr>
            <w:r>
              <w:rPr>
                <w:rFonts w:hint="eastAsia" w:ascii="宋体" w:hAnsi="宋体"/>
                <w:sz w:val="24"/>
              </w:rPr>
              <w:t>收款单位（盖章）</w:t>
            </w:r>
          </w:p>
        </w:tc>
        <w:tc>
          <w:tcPr>
            <w:tcW w:w="2370" w:type="dxa"/>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联系人及电话</w:t>
            </w:r>
          </w:p>
        </w:tc>
        <w:tc>
          <w:tcPr>
            <w:tcW w:w="3834" w:type="dxa"/>
            <w:vAlign w:val="center"/>
          </w:tcPr>
          <w:p>
            <w:pPr>
              <w:rPr>
                <w:rFonts w:ascii="宋体"/>
                <w:sz w:val="24"/>
              </w:rPr>
            </w:pPr>
          </w:p>
        </w:tc>
      </w:tr>
    </w:tbl>
    <w:p>
      <w:pPr>
        <w:keepNext/>
        <w:keepLines/>
        <w:adjustRightInd w:val="0"/>
        <w:spacing w:line="416" w:lineRule="atLeast"/>
        <w:textAlignment w:val="baseline"/>
        <w:rPr>
          <w:rFonts w:ascii="宋体"/>
          <w:b/>
          <w:sz w:val="24"/>
        </w:rPr>
      </w:pPr>
    </w:p>
    <w:p>
      <w:pPr>
        <w:keepNext/>
        <w:keepLines/>
        <w:adjustRightInd w:val="0"/>
        <w:spacing w:line="416" w:lineRule="atLeast"/>
        <w:textAlignment w:val="baseline"/>
        <w:rPr>
          <w:rFonts w:ascii="宋体"/>
          <w:b/>
          <w:sz w:val="24"/>
        </w:rPr>
      </w:pPr>
      <w:r>
        <w:rPr>
          <w:rFonts w:hint="eastAsia" w:ascii="宋体" w:hAnsi="宋体"/>
          <w:b/>
          <w:sz w:val="24"/>
        </w:rPr>
        <w:t>注：本表在退保证金时填写，单位公章需清晰完整。</w:t>
      </w:r>
    </w:p>
    <w:p>
      <w:pPr>
        <w:jc w:val="left"/>
        <w:rPr>
          <w:rFonts w:ascii="宋体" w:cs="宋体"/>
          <w:b/>
          <w:spacing w:val="48"/>
          <w:sz w:val="72"/>
          <w:szCs w:val="72"/>
        </w:rPr>
      </w:pPr>
    </w:p>
    <w:p>
      <w:pPr>
        <w:jc w:val="left"/>
        <w:rPr>
          <w:rFonts w:ascii="宋体" w:cs="宋体"/>
          <w:b/>
          <w:spacing w:val="48"/>
          <w:sz w:val="72"/>
          <w:szCs w:val="72"/>
        </w:rPr>
      </w:pPr>
    </w:p>
    <w:p>
      <w:pPr>
        <w:jc w:val="left"/>
        <w:rPr>
          <w:rFonts w:ascii="宋体" w:cs="宋体"/>
          <w:b/>
          <w:spacing w:val="48"/>
          <w:sz w:val="72"/>
          <w:szCs w:val="72"/>
        </w:rPr>
        <w:sectPr>
          <w:headerReference r:id="rId19" w:type="default"/>
          <w:footerReference r:id="rId20"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hint="eastAsia" w:ascii="宋体" w:hAnsi="宋体" w:cs="宋体"/>
          <w:b/>
          <w:spacing w:val="48"/>
          <w:sz w:val="72"/>
          <w:szCs w:val="72"/>
        </w:r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ascii="宋体" w:hAnsi="宋体" w:cs="宋体"/>
          <w:b/>
          <w:spacing w:val="48"/>
          <w:sz w:val="72"/>
          <w:szCs w:val="72"/>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ascii="宋体" w:hAnsi="宋体" w:cs="宋体"/>
          <w:b/>
          <w:spacing w:val="48"/>
          <w:sz w:val="72"/>
          <w:szCs w:val="72"/>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w:t>
      </w:r>
      <w:r>
        <w:rPr>
          <w:rFonts w:hint="eastAsia" w:ascii="宋体" w:hAnsi="宋体" w:cs="宋体"/>
          <w:b/>
          <w:sz w:val="30"/>
          <w:szCs w:val="30"/>
          <w:lang w:val="en-US" w:eastAsia="zh-CN"/>
        </w:rPr>
        <w:t>20层</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footerReference r:id="rId2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Courier New"/>
    <w:panose1 w:val="00000000000000000000"/>
    <w:charset w:val="00"/>
    <w:family w:val="auto"/>
    <w:pitch w:val="default"/>
    <w:sig w:usb0="00000000" w:usb1="00000000" w:usb2="00000000" w:usb3="00000000" w:csb0="00000001" w:csb1="00000000"/>
  </w:font>
  <w:font w:name="等线">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rFonts w:hint="eastAsia" w:ascii="宋体" w:hAnsi="宋体" w:cs="宋体"/>
      </w:rPr>
      <w:t>陕西卓佲</w:t>
    </w:r>
    <w:r>
      <w:rPr>
        <w:rFonts w:hint="eastAsia" w:ascii="宋体" w:hAnsi="宋体" w:cs="宋体"/>
        <w:lang w:eastAsia="zh-CN"/>
      </w:rPr>
      <w:t>项目管理</w:t>
    </w:r>
    <w:r>
      <w:rPr>
        <w:rFonts w:hint="eastAsia" w:ascii="宋体" w:hAnsi="宋体" w:cs="宋体"/>
      </w:rPr>
      <w:t>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81" o:spid="_x0000_s2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53</w:t>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82" o:spid="_x0000_s208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32</w:t>
                </w:r>
                <w:r>
                  <w:fldChar w:fldCharType="end"/>
                </w:r>
                <w:r>
                  <w:t xml:space="preserve"> 页 共 </w:t>
                </w:r>
                <w:r>
                  <w:rPr>
                    <w:rFonts w:hint="eastAsia"/>
                    <w:lang w:val="en-US" w:eastAsia="zh-CN"/>
                  </w:rPr>
                  <w:t>53</w:t>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83" o:spid="_x0000_s208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rPr>
                    <w:rFonts w:hint="eastAsia"/>
                    <w:lang w:val="en-US" w:eastAsia="zh-CN"/>
                  </w:rPr>
                  <w:t>53</w:t>
                </w:r>
                <w:r>
                  <w:t>页</w:t>
                </w:r>
              </w:p>
            </w:txbxContent>
          </v:textbox>
        </v:shape>
      </w:pict>
    </w: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9"/>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r>
      <w:rPr>
        <w:rFonts w:hint="eastAsia" w:ascii="宋体" w:hAnsi="宋体" w:cs="宋体"/>
        <w:sz w:val="15"/>
        <w:szCs w:val="15"/>
        <w:u w:val="single"/>
        <w:lang w:eastAsia="zh-CN"/>
      </w:rPr>
      <w:t>西北大学光热显微红外光谱仪采购项目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b/>
        <w:sz w:val="15"/>
        <w:szCs w:val="15"/>
        <w:u w:val="single"/>
        <w:lang w:eastAsia="zh-CN"/>
      </w:rPr>
      <w:t>ZMZB2022XBDX-59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西安外国语大学长安校区中心机房改造项目</w:t>
    </w:r>
    <w:r>
      <w:rPr>
        <w:rFonts w:ascii="宋体" w:hAnsi="宋体" w:cs="宋体"/>
        <w:sz w:val="15"/>
        <w:szCs w:val="15"/>
        <w:u w:val="single"/>
      </w:rPr>
      <w:t xml:space="preserve">                                                      </w:t>
    </w:r>
    <w:bookmarkStart w:id="90" w:name="OLE_LINK16"/>
    <w:r>
      <w:rPr>
        <w:rFonts w:ascii="宋体" w:hAnsi="宋体" w:cs="宋体"/>
        <w:sz w:val="15"/>
        <w:szCs w:val="15"/>
        <w:u w:val="single"/>
      </w:rPr>
      <w:t>SXWZ2017ZB-XAWGY-02</w:t>
    </w:r>
    <w:bookmarkEnd w:id="9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sz w:val="15"/>
        <w:szCs w:val="15"/>
        <w:u w:val="single"/>
      </w:rPr>
    </w:pPr>
  </w:p>
  <w:p>
    <w:pPr>
      <w:adjustRightInd w:val="0"/>
      <w:snapToGrid w:val="0"/>
      <w:spacing w:line="360" w:lineRule="auto"/>
      <w:jc w:val="left"/>
    </w:pPr>
    <w:r>
      <w:rPr>
        <w:rFonts w:hint="eastAsia" w:ascii="宋体" w:hAnsi="宋体" w:cs="宋体"/>
        <w:sz w:val="15"/>
        <w:szCs w:val="15"/>
        <w:u w:val="single"/>
        <w:lang w:eastAsia="zh-CN"/>
      </w:rPr>
      <w:t>西北大学光热显微红外光谱仪采购项目</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ZMZB2022XBDX-59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u w:val="single"/>
      </w:rPr>
    </w:pPr>
    <w:r>
      <w:rPr>
        <w:rFonts w:hint="eastAsia" w:ascii="宋体" w:hAnsi="宋体" w:cs="宋体"/>
        <w:sz w:val="15"/>
        <w:szCs w:val="15"/>
        <w:u w:val="single"/>
        <w:lang w:eastAsia="zh-CN"/>
      </w:rPr>
      <w:t>西北大学光热显微红外光谱仪采购项目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ZMZB2022XBDX-59</w:t>
    </w: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西北大学光热显微红外光谱仪采购项目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ZMZB2022XBDX-59</w:t>
    </w:r>
  </w:p>
  <w:p>
    <w:pPr>
      <w:adjustRightInd w:val="0"/>
      <w:snapToGrid w:val="0"/>
      <w:spacing w:line="360" w:lineRule="auto"/>
      <w:jc w:val="left"/>
      <w:rPr>
        <w:rFonts w:ascii="宋体" w:hAnsi="宋体" w:cs="宋体"/>
        <w:sz w:val="15"/>
        <w:szCs w:val="15"/>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西北大学光热显微红外光谱仪采购项目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ZMZB2022XBDX-59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西北大学光热显微红外光谱仪采购项目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ZMZB2022XBDX-59</w:t>
    </w:r>
  </w:p>
  <w:p>
    <w:pPr>
      <w:adjustRightInd w:val="0"/>
      <w:snapToGrid w:val="0"/>
      <w:spacing w:line="360" w:lineRule="auto"/>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西北大学光热显微红外光谱仪采购项目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ZMZB2022XBDX-59</w:t>
    </w:r>
  </w:p>
  <w:p>
    <w:pPr>
      <w:adjustRightInd w:val="0"/>
      <w:snapToGrid w:val="0"/>
      <w:spacing w:line="360" w:lineRule="auto"/>
      <w:jc w:val="left"/>
    </w:pPr>
  </w:p>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B2E078CD"/>
    <w:multiLevelType w:val="singleLevel"/>
    <w:tmpl w:val="B2E078CD"/>
    <w:lvl w:ilvl="0" w:tentative="0">
      <w:start w:val="2"/>
      <w:numFmt w:val="chineseCounting"/>
      <w:suff w:val="nothing"/>
      <w:lvlText w:val="%1、"/>
      <w:lvlJc w:val="left"/>
      <w:rPr>
        <w:rFonts w:hint="eastAsia"/>
      </w:rPr>
    </w:lvl>
  </w:abstractNum>
  <w:abstractNum w:abstractNumId="2">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3">
    <w:nsid w:val="11BF566B"/>
    <w:multiLevelType w:val="singleLevel"/>
    <w:tmpl w:val="11BF566B"/>
    <w:lvl w:ilvl="0" w:tentative="0">
      <w:start w:val="2"/>
      <w:numFmt w:val="chineseCounting"/>
      <w:suff w:val="space"/>
      <w:lvlText w:val="第%1部分"/>
      <w:lvlJc w:val="left"/>
      <w:rPr>
        <w:rFonts w:hint="eastAsia"/>
        <w:sz w:val="36"/>
        <w:szCs w:val="36"/>
      </w:rPr>
    </w:lvl>
  </w:abstractNum>
  <w:abstractNum w:abstractNumId="4">
    <w:nsid w:val="19B057FC"/>
    <w:multiLevelType w:val="singleLevel"/>
    <w:tmpl w:val="19B057FC"/>
    <w:lvl w:ilvl="0" w:tentative="0">
      <w:start w:val="1"/>
      <w:numFmt w:val="decimal"/>
      <w:suff w:val="nothing"/>
      <w:lvlText w:val="%1、"/>
      <w:lvlJc w:val="left"/>
      <w:pPr>
        <w:ind w:left="140" w:firstLine="0"/>
      </w:pPr>
    </w:lvl>
  </w:abstractNum>
  <w:abstractNum w:abstractNumId="5">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6">
    <w:nsid w:val="55698368"/>
    <w:multiLevelType w:val="singleLevel"/>
    <w:tmpl w:val="55698368"/>
    <w:lvl w:ilvl="0" w:tentative="0">
      <w:start w:val="1"/>
      <w:numFmt w:val="decimal"/>
      <w:suff w:val="nothing"/>
      <w:lvlText w:val="%1、"/>
      <w:lvlJc w:val="left"/>
      <w:pPr>
        <w:ind w:firstLine="420"/>
      </w:pPr>
      <w:rPr>
        <w:rFonts w:hint="default" w:cs="Times New Roman"/>
      </w:rPr>
    </w:lvl>
  </w:abstractNum>
  <w:abstractNum w:abstractNumId="7">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8">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9">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0">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1">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2">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3">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4">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5">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6">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7">
    <w:nsid w:val="5902B6A7"/>
    <w:multiLevelType w:val="singleLevel"/>
    <w:tmpl w:val="5902B6A7"/>
    <w:lvl w:ilvl="0" w:tentative="0">
      <w:start w:val="1"/>
      <w:numFmt w:val="decimal"/>
      <w:pStyle w:val="7"/>
      <w:lvlText w:val="%1."/>
      <w:lvlJc w:val="left"/>
      <w:pPr>
        <w:tabs>
          <w:tab w:val="left" w:pos="360"/>
        </w:tabs>
        <w:ind w:left="360" w:hanging="360"/>
      </w:pPr>
      <w:rPr>
        <w:rFonts w:cs="Times New Roman"/>
      </w:rPr>
    </w:lvl>
  </w:abstractNum>
  <w:abstractNum w:abstractNumId="18">
    <w:nsid w:val="59F098B5"/>
    <w:multiLevelType w:val="singleLevel"/>
    <w:tmpl w:val="59F098B5"/>
    <w:lvl w:ilvl="0" w:tentative="0">
      <w:start w:val="1"/>
      <w:numFmt w:val="decimal"/>
      <w:suff w:val="nothing"/>
      <w:lvlText w:val="（%1）"/>
      <w:lvlJc w:val="left"/>
      <w:pPr>
        <w:ind w:firstLine="420"/>
      </w:pPr>
      <w:rPr>
        <w:rFonts w:hint="default" w:cs="Times New Roman"/>
      </w:rPr>
    </w:lvl>
  </w:abstractNum>
  <w:abstractNum w:abstractNumId="19">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0">
    <w:nsid w:val="5A0A7AC5"/>
    <w:multiLevelType w:val="singleLevel"/>
    <w:tmpl w:val="5A0A7AC5"/>
    <w:lvl w:ilvl="0" w:tentative="0">
      <w:start w:val="4"/>
      <w:numFmt w:val="chineseCounting"/>
      <w:suff w:val="nothing"/>
      <w:lvlText w:val="第%1部"/>
      <w:lvlJc w:val="left"/>
      <w:rPr>
        <w:rFonts w:cs="Times New Roman"/>
      </w:rPr>
    </w:lvl>
  </w:abstractNum>
  <w:abstractNum w:abstractNumId="21">
    <w:nsid w:val="744D776A"/>
    <w:multiLevelType w:val="singleLevel"/>
    <w:tmpl w:val="744D776A"/>
    <w:lvl w:ilvl="0" w:tentative="0">
      <w:start w:val="2"/>
      <w:numFmt w:val="decimal"/>
      <w:suff w:val="nothing"/>
      <w:lvlText w:val="%1、"/>
      <w:lvlJc w:val="left"/>
    </w:lvl>
  </w:abstractNum>
  <w:abstractNum w:abstractNumId="22">
    <w:nsid w:val="7454A098"/>
    <w:multiLevelType w:val="singleLevel"/>
    <w:tmpl w:val="7454A098"/>
    <w:lvl w:ilvl="0" w:tentative="0">
      <w:start w:val="5"/>
      <w:numFmt w:val="chineseCounting"/>
      <w:suff w:val="space"/>
      <w:lvlText w:val="第%1部分"/>
      <w:lvlJc w:val="left"/>
      <w:rPr>
        <w:rFonts w:hint="eastAsia" w:cs="Times New Roman"/>
      </w:rPr>
    </w:lvl>
  </w:abstractNum>
  <w:abstractNum w:abstractNumId="23">
    <w:nsid w:val="75687443"/>
    <w:multiLevelType w:val="multilevel"/>
    <w:tmpl w:val="75687443"/>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7"/>
  </w:num>
  <w:num w:numId="2">
    <w:abstractNumId w:val="16"/>
  </w:num>
  <w:num w:numId="3">
    <w:abstractNumId w:val="21"/>
  </w:num>
  <w:num w:numId="4">
    <w:abstractNumId w:val="19"/>
  </w:num>
  <w:num w:numId="5">
    <w:abstractNumId w:val="2"/>
  </w:num>
  <w:num w:numId="6">
    <w:abstractNumId w:val="0"/>
  </w:num>
  <w:num w:numId="7">
    <w:abstractNumId w:val="6"/>
  </w:num>
  <w:num w:numId="8">
    <w:abstractNumId w:val="9"/>
  </w:num>
  <w:num w:numId="9">
    <w:abstractNumId w:val="7"/>
  </w:num>
  <w:num w:numId="10">
    <w:abstractNumId w:val="13"/>
  </w:num>
  <w:num w:numId="11">
    <w:abstractNumId w:val="14"/>
  </w:num>
  <w:num w:numId="12">
    <w:abstractNumId w:val="10"/>
  </w:num>
  <w:num w:numId="13">
    <w:abstractNumId w:val="18"/>
  </w:num>
  <w:num w:numId="14">
    <w:abstractNumId w:val="8"/>
  </w:num>
  <w:num w:numId="15">
    <w:abstractNumId w:val="11"/>
  </w:num>
  <w:num w:numId="16">
    <w:abstractNumId w:val="12"/>
  </w:num>
  <w:num w:numId="17">
    <w:abstractNumId w:val="15"/>
  </w:num>
  <w:num w:numId="18">
    <w:abstractNumId w:val="20"/>
  </w:num>
  <w:num w:numId="19">
    <w:abstractNumId w:val="22"/>
  </w:num>
  <w:num w:numId="20">
    <w:abstractNumId w:val="1"/>
  </w:num>
  <w:num w:numId="21">
    <w:abstractNumId w:val="23"/>
  </w:num>
  <w:num w:numId="22">
    <w:abstractNumId w:val="3"/>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Q3YjRkMGE3NzQxYjczMTVhMGMzZWI2OGY4N2I2NjYifQ=="/>
  </w:docVars>
  <w:rsids>
    <w:rsidRoot w:val="2627224F"/>
    <w:rsid w:val="00067C11"/>
    <w:rsid w:val="000A043D"/>
    <w:rsid w:val="000A2C45"/>
    <w:rsid w:val="000B3DD4"/>
    <w:rsid w:val="000C0895"/>
    <w:rsid w:val="000C673D"/>
    <w:rsid w:val="000D590C"/>
    <w:rsid w:val="000D7288"/>
    <w:rsid w:val="000E1394"/>
    <w:rsid w:val="000E2BA9"/>
    <w:rsid w:val="000E545B"/>
    <w:rsid w:val="0011607E"/>
    <w:rsid w:val="00156B1A"/>
    <w:rsid w:val="00161ACB"/>
    <w:rsid w:val="00167A28"/>
    <w:rsid w:val="00175AA2"/>
    <w:rsid w:val="00183973"/>
    <w:rsid w:val="00195011"/>
    <w:rsid w:val="001A439C"/>
    <w:rsid w:val="001B4163"/>
    <w:rsid w:val="001D76B9"/>
    <w:rsid w:val="001E7E49"/>
    <w:rsid w:val="001F5070"/>
    <w:rsid w:val="00205EEF"/>
    <w:rsid w:val="00233551"/>
    <w:rsid w:val="0025657F"/>
    <w:rsid w:val="002647A7"/>
    <w:rsid w:val="00295F6C"/>
    <w:rsid w:val="002C54CF"/>
    <w:rsid w:val="002D7A6D"/>
    <w:rsid w:val="002E07BF"/>
    <w:rsid w:val="002E67EA"/>
    <w:rsid w:val="002F6FCA"/>
    <w:rsid w:val="003040CA"/>
    <w:rsid w:val="00315495"/>
    <w:rsid w:val="00325C63"/>
    <w:rsid w:val="00332D32"/>
    <w:rsid w:val="00337601"/>
    <w:rsid w:val="00360C09"/>
    <w:rsid w:val="003A3201"/>
    <w:rsid w:val="003A62FB"/>
    <w:rsid w:val="003C2DEE"/>
    <w:rsid w:val="003C67F2"/>
    <w:rsid w:val="003C68C1"/>
    <w:rsid w:val="003D37C1"/>
    <w:rsid w:val="003D5D13"/>
    <w:rsid w:val="003E1DDF"/>
    <w:rsid w:val="003E65D8"/>
    <w:rsid w:val="003E7B81"/>
    <w:rsid w:val="003F04B9"/>
    <w:rsid w:val="003F3874"/>
    <w:rsid w:val="003F3D18"/>
    <w:rsid w:val="003F5518"/>
    <w:rsid w:val="003F64A7"/>
    <w:rsid w:val="004057C8"/>
    <w:rsid w:val="004456E2"/>
    <w:rsid w:val="00481E05"/>
    <w:rsid w:val="00482B14"/>
    <w:rsid w:val="004862AD"/>
    <w:rsid w:val="004A79A8"/>
    <w:rsid w:val="004C18B4"/>
    <w:rsid w:val="004C2AF8"/>
    <w:rsid w:val="004D70C5"/>
    <w:rsid w:val="004D7327"/>
    <w:rsid w:val="004E4CF5"/>
    <w:rsid w:val="004F3D5C"/>
    <w:rsid w:val="0050491F"/>
    <w:rsid w:val="00520C66"/>
    <w:rsid w:val="005217F8"/>
    <w:rsid w:val="00522064"/>
    <w:rsid w:val="00525E3A"/>
    <w:rsid w:val="00530399"/>
    <w:rsid w:val="00536870"/>
    <w:rsid w:val="00536E83"/>
    <w:rsid w:val="005419F3"/>
    <w:rsid w:val="00562EC4"/>
    <w:rsid w:val="00571D17"/>
    <w:rsid w:val="00575B42"/>
    <w:rsid w:val="00576A5F"/>
    <w:rsid w:val="00576E0E"/>
    <w:rsid w:val="005931AD"/>
    <w:rsid w:val="00593B91"/>
    <w:rsid w:val="005A280C"/>
    <w:rsid w:val="005B3960"/>
    <w:rsid w:val="005D7A12"/>
    <w:rsid w:val="00604E52"/>
    <w:rsid w:val="00613B65"/>
    <w:rsid w:val="00632F20"/>
    <w:rsid w:val="00650037"/>
    <w:rsid w:val="006657C9"/>
    <w:rsid w:val="00682228"/>
    <w:rsid w:val="00696FBA"/>
    <w:rsid w:val="006A208B"/>
    <w:rsid w:val="006D77FD"/>
    <w:rsid w:val="006E169C"/>
    <w:rsid w:val="006E46DF"/>
    <w:rsid w:val="006F1FD6"/>
    <w:rsid w:val="00736BCC"/>
    <w:rsid w:val="0074281E"/>
    <w:rsid w:val="007447C1"/>
    <w:rsid w:val="00770871"/>
    <w:rsid w:val="0077254B"/>
    <w:rsid w:val="00784DDB"/>
    <w:rsid w:val="00787327"/>
    <w:rsid w:val="00792491"/>
    <w:rsid w:val="007941F2"/>
    <w:rsid w:val="007A4E4B"/>
    <w:rsid w:val="007D15F9"/>
    <w:rsid w:val="007E485E"/>
    <w:rsid w:val="007F0358"/>
    <w:rsid w:val="00811783"/>
    <w:rsid w:val="008259FA"/>
    <w:rsid w:val="008573C1"/>
    <w:rsid w:val="008634ED"/>
    <w:rsid w:val="008732D2"/>
    <w:rsid w:val="00874A96"/>
    <w:rsid w:val="008866C0"/>
    <w:rsid w:val="00895737"/>
    <w:rsid w:val="008962A7"/>
    <w:rsid w:val="008A367A"/>
    <w:rsid w:val="008E7C81"/>
    <w:rsid w:val="008F6EFE"/>
    <w:rsid w:val="00903A2C"/>
    <w:rsid w:val="0090653D"/>
    <w:rsid w:val="00906D0F"/>
    <w:rsid w:val="009450C0"/>
    <w:rsid w:val="00954CF1"/>
    <w:rsid w:val="00963883"/>
    <w:rsid w:val="009C5890"/>
    <w:rsid w:val="009D4B52"/>
    <w:rsid w:val="009E3BD2"/>
    <w:rsid w:val="009E7878"/>
    <w:rsid w:val="009F29DA"/>
    <w:rsid w:val="00A00F37"/>
    <w:rsid w:val="00A02D64"/>
    <w:rsid w:val="00A248F4"/>
    <w:rsid w:val="00A24F9A"/>
    <w:rsid w:val="00A40632"/>
    <w:rsid w:val="00A50E8F"/>
    <w:rsid w:val="00A51FDF"/>
    <w:rsid w:val="00A55ABC"/>
    <w:rsid w:val="00A6190D"/>
    <w:rsid w:val="00A62024"/>
    <w:rsid w:val="00A63494"/>
    <w:rsid w:val="00A73B47"/>
    <w:rsid w:val="00A8343C"/>
    <w:rsid w:val="00A921BA"/>
    <w:rsid w:val="00AB0730"/>
    <w:rsid w:val="00AB54D5"/>
    <w:rsid w:val="00AC7625"/>
    <w:rsid w:val="00AD6709"/>
    <w:rsid w:val="00AF40F8"/>
    <w:rsid w:val="00B2147D"/>
    <w:rsid w:val="00B32079"/>
    <w:rsid w:val="00B356BE"/>
    <w:rsid w:val="00B4047B"/>
    <w:rsid w:val="00B41325"/>
    <w:rsid w:val="00B530E4"/>
    <w:rsid w:val="00B577D8"/>
    <w:rsid w:val="00B73E01"/>
    <w:rsid w:val="00B74DE0"/>
    <w:rsid w:val="00B76303"/>
    <w:rsid w:val="00B76DB3"/>
    <w:rsid w:val="00BA44C1"/>
    <w:rsid w:val="00BC1AB3"/>
    <w:rsid w:val="00BC54D5"/>
    <w:rsid w:val="00BD2757"/>
    <w:rsid w:val="00BD2877"/>
    <w:rsid w:val="00BD3EC5"/>
    <w:rsid w:val="00C003AB"/>
    <w:rsid w:val="00C12CCF"/>
    <w:rsid w:val="00C22831"/>
    <w:rsid w:val="00C41E46"/>
    <w:rsid w:val="00C45FEF"/>
    <w:rsid w:val="00C51045"/>
    <w:rsid w:val="00C56615"/>
    <w:rsid w:val="00C7157F"/>
    <w:rsid w:val="00C965C9"/>
    <w:rsid w:val="00CB13A4"/>
    <w:rsid w:val="00CB1893"/>
    <w:rsid w:val="00CB3716"/>
    <w:rsid w:val="00CD133E"/>
    <w:rsid w:val="00CD2391"/>
    <w:rsid w:val="00CE65B1"/>
    <w:rsid w:val="00D01247"/>
    <w:rsid w:val="00D17176"/>
    <w:rsid w:val="00D574E4"/>
    <w:rsid w:val="00D576EF"/>
    <w:rsid w:val="00D75D78"/>
    <w:rsid w:val="00DA05D9"/>
    <w:rsid w:val="00DA4229"/>
    <w:rsid w:val="00DB7219"/>
    <w:rsid w:val="00DC1518"/>
    <w:rsid w:val="00DC1986"/>
    <w:rsid w:val="00DC7FB0"/>
    <w:rsid w:val="00E04145"/>
    <w:rsid w:val="00E13657"/>
    <w:rsid w:val="00E20E24"/>
    <w:rsid w:val="00E2372B"/>
    <w:rsid w:val="00E24AFE"/>
    <w:rsid w:val="00E45089"/>
    <w:rsid w:val="00E65904"/>
    <w:rsid w:val="00E85273"/>
    <w:rsid w:val="00E95F6A"/>
    <w:rsid w:val="00E9724B"/>
    <w:rsid w:val="00EA1ECE"/>
    <w:rsid w:val="00EA395A"/>
    <w:rsid w:val="00EC5558"/>
    <w:rsid w:val="00EC6E7A"/>
    <w:rsid w:val="00ED2AB6"/>
    <w:rsid w:val="00F15049"/>
    <w:rsid w:val="00F157FC"/>
    <w:rsid w:val="00F20B01"/>
    <w:rsid w:val="00F234ED"/>
    <w:rsid w:val="00F445F5"/>
    <w:rsid w:val="00F55543"/>
    <w:rsid w:val="00F57524"/>
    <w:rsid w:val="00F60BD8"/>
    <w:rsid w:val="00F66023"/>
    <w:rsid w:val="00F73715"/>
    <w:rsid w:val="00F75245"/>
    <w:rsid w:val="00F83555"/>
    <w:rsid w:val="00F8677F"/>
    <w:rsid w:val="00F94DCB"/>
    <w:rsid w:val="00FC4ED1"/>
    <w:rsid w:val="00FE167F"/>
    <w:rsid w:val="00FE3310"/>
    <w:rsid w:val="010000C7"/>
    <w:rsid w:val="01171A91"/>
    <w:rsid w:val="01272072"/>
    <w:rsid w:val="01334149"/>
    <w:rsid w:val="013A223F"/>
    <w:rsid w:val="01500663"/>
    <w:rsid w:val="01552F4F"/>
    <w:rsid w:val="018471C5"/>
    <w:rsid w:val="01920D21"/>
    <w:rsid w:val="01C34D19"/>
    <w:rsid w:val="01C4700A"/>
    <w:rsid w:val="01D31509"/>
    <w:rsid w:val="01F90F7C"/>
    <w:rsid w:val="02064B47"/>
    <w:rsid w:val="020A5EF3"/>
    <w:rsid w:val="02132B87"/>
    <w:rsid w:val="021A4A01"/>
    <w:rsid w:val="02293966"/>
    <w:rsid w:val="02701597"/>
    <w:rsid w:val="02733B30"/>
    <w:rsid w:val="0277484A"/>
    <w:rsid w:val="02854F8C"/>
    <w:rsid w:val="02DB4DF7"/>
    <w:rsid w:val="02ED7EC0"/>
    <w:rsid w:val="02F8646C"/>
    <w:rsid w:val="030A0C9E"/>
    <w:rsid w:val="030C784E"/>
    <w:rsid w:val="03205381"/>
    <w:rsid w:val="03315787"/>
    <w:rsid w:val="036F1D46"/>
    <w:rsid w:val="03AD5C47"/>
    <w:rsid w:val="03B61C9F"/>
    <w:rsid w:val="03C25B44"/>
    <w:rsid w:val="03C44107"/>
    <w:rsid w:val="03C84A6E"/>
    <w:rsid w:val="03CA6AE8"/>
    <w:rsid w:val="03F25F11"/>
    <w:rsid w:val="03FA6DFF"/>
    <w:rsid w:val="041378F5"/>
    <w:rsid w:val="041C2E32"/>
    <w:rsid w:val="04316655"/>
    <w:rsid w:val="04327F61"/>
    <w:rsid w:val="046469BF"/>
    <w:rsid w:val="049B0F6D"/>
    <w:rsid w:val="04CB5FDF"/>
    <w:rsid w:val="04E000E3"/>
    <w:rsid w:val="04E5250D"/>
    <w:rsid w:val="04F540AB"/>
    <w:rsid w:val="05132859"/>
    <w:rsid w:val="052B6233"/>
    <w:rsid w:val="053D1998"/>
    <w:rsid w:val="05402991"/>
    <w:rsid w:val="054E1CE0"/>
    <w:rsid w:val="05633974"/>
    <w:rsid w:val="057A7F6E"/>
    <w:rsid w:val="0582199D"/>
    <w:rsid w:val="05842543"/>
    <w:rsid w:val="058F6095"/>
    <w:rsid w:val="05BD25A6"/>
    <w:rsid w:val="05CF6EC6"/>
    <w:rsid w:val="05DD2B0F"/>
    <w:rsid w:val="05FC494C"/>
    <w:rsid w:val="0600061F"/>
    <w:rsid w:val="060454DB"/>
    <w:rsid w:val="062466F3"/>
    <w:rsid w:val="06686B0C"/>
    <w:rsid w:val="066D1D57"/>
    <w:rsid w:val="069960ED"/>
    <w:rsid w:val="06A523B7"/>
    <w:rsid w:val="06B81AE0"/>
    <w:rsid w:val="06BA1BC5"/>
    <w:rsid w:val="06BE30D0"/>
    <w:rsid w:val="06CC6E03"/>
    <w:rsid w:val="06EF35C6"/>
    <w:rsid w:val="070010C5"/>
    <w:rsid w:val="070309DD"/>
    <w:rsid w:val="0750265D"/>
    <w:rsid w:val="07944E69"/>
    <w:rsid w:val="079C7ECA"/>
    <w:rsid w:val="07B36083"/>
    <w:rsid w:val="07C96C38"/>
    <w:rsid w:val="08010166"/>
    <w:rsid w:val="08186ED9"/>
    <w:rsid w:val="08330D8B"/>
    <w:rsid w:val="08480F22"/>
    <w:rsid w:val="085B6064"/>
    <w:rsid w:val="08667849"/>
    <w:rsid w:val="086808A0"/>
    <w:rsid w:val="088A735E"/>
    <w:rsid w:val="08A75DFA"/>
    <w:rsid w:val="08B01D7D"/>
    <w:rsid w:val="08BA1E84"/>
    <w:rsid w:val="08C40C6D"/>
    <w:rsid w:val="08CC2D1D"/>
    <w:rsid w:val="08DD3836"/>
    <w:rsid w:val="08F85756"/>
    <w:rsid w:val="090A42F6"/>
    <w:rsid w:val="091F7003"/>
    <w:rsid w:val="09433010"/>
    <w:rsid w:val="094D7EEA"/>
    <w:rsid w:val="098B0A11"/>
    <w:rsid w:val="09EA213D"/>
    <w:rsid w:val="0A08744C"/>
    <w:rsid w:val="0A095ECA"/>
    <w:rsid w:val="0A0976BB"/>
    <w:rsid w:val="0A2B4F41"/>
    <w:rsid w:val="0A3E3F88"/>
    <w:rsid w:val="0A672A35"/>
    <w:rsid w:val="0A6A3D7A"/>
    <w:rsid w:val="0AAF6A88"/>
    <w:rsid w:val="0ADB202D"/>
    <w:rsid w:val="0B167DBC"/>
    <w:rsid w:val="0B190442"/>
    <w:rsid w:val="0B1E47BC"/>
    <w:rsid w:val="0B2B66AD"/>
    <w:rsid w:val="0B2C0444"/>
    <w:rsid w:val="0B462D50"/>
    <w:rsid w:val="0B5D1A85"/>
    <w:rsid w:val="0B64032A"/>
    <w:rsid w:val="0B6C3597"/>
    <w:rsid w:val="0B923335"/>
    <w:rsid w:val="0B923C35"/>
    <w:rsid w:val="0B986F9F"/>
    <w:rsid w:val="0BAE2F91"/>
    <w:rsid w:val="0BD2199B"/>
    <w:rsid w:val="0BE92434"/>
    <w:rsid w:val="0C22749B"/>
    <w:rsid w:val="0C4B1E57"/>
    <w:rsid w:val="0C62138A"/>
    <w:rsid w:val="0C662702"/>
    <w:rsid w:val="0C7A75F8"/>
    <w:rsid w:val="0C7F3BFC"/>
    <w:rsid w:val="0C9A6E94"/>
    <w:rsid w:val="0C9A7A9B"/>
    <w:rsid w:val="0CB6728F"/>
    <w:rsid w:val="0CEE3037"/>
    <w:rsid w:val="0CF14B0E"/>
    <w:rsid w:val="0CFD25BD"/>
    <w:rsid w:val="0D3A39B1"/>
    <w:rsid w:val="0D4A02A6"/>
    <w:rsid w:val="0D6046C4"/>
    <w:rsid w:val="0D933F5C"/>
    <w:rsid w:val="0D9E014B"/>
    <w:rsid w:val="0DAB1B73"/>
    <w:rsid w:val="0DB81EB3"/>
    <w:rsid w:val="0DDF6F9F"/>
    <w:rsid w:val="0DE66A16"/>
    <w:rsid w:val="0DFD2A28"/>
    <w:rsid w:val="0E0C42FA"/>
    <w:rsid w:val="0E2A0BC1"/>
    <w:rsid w:val="0E4D16C6"/>
    <w:rsid w:val="0E8B4F0A"/>
    <w:rsid w:val="0E9D07DC"/>
    <w:rsid w:val="0EA9643B"/>
    <w:rsid w:val="0EBE3F82"/>
    <w:rsid w:val="0EBE7EA1"/>
    <w:rsid w:val="0EF653FC"/>
    <w:rsid w:val="0EFB3DED"/>
    <w:rsid w:val="0F05205F"/>
    <w:rsid w:val="0F237E63"/>
    <w:rsid w:val="0F2D19E5"/>
    <w:rsid w:val="0F3E123E"/>
    <w:rsid w:val="0F4A771B"/>
    <w:rsid w:val="0F862A78"/>
    <w:rsid w:val="0F9C165C"/>
    <w:rsid w:val="0FC00610"/>
    <w:rsid w:val="0FD56007"/>
    <w:rsid w:val="10055616"/>
    <w:rsid w:val="100A749C"/>
    <w:rsid w:val="100F17AC"/>
    <w:rsid w:val="104B4EC7"/>
    <w:rsid w:val="10597FA0"/>
    <w:rsid w:val="106A6CB4"/>
    <w:rsid w:val="107B291F"/>
    <w:rsid w:val="10853848"/>
    <w:rsid w:val="108E6DDE"/>
    <w:rsid w:val="10D20FA3"/>
    <w:rsid w:val="10D83E38"/>
    <w:rsid w:val="110E1B5E"/>
    <w:rsid w:val="112E7DFF"/>
    <w:rsid w:val="112F26C0"/>
    <w:rsid w:val="114215F5"/>
    <w:rsid w:val="1144077B"/>
    <w:rsid w:val="114542EA"/>
    <w:rsid w:val="1149117E"/>
    <w:rsid w:val="1149499B"/>
    <w:rsid w:val="1158159D"/>
    <w:rsid w:val="115E258B"/>
    <w:rsid w:val="11651569"/>
    <w:rsid w:val="118C5030"/>
    <w:rsid w:val="11A41FA2"/>
    <w:rsid w:val="11B361D3"/>
    <w:rsid w:val="11C94C43"/>
    <w:rsid w:val="11E51BDB"/>
    <w:rsid w:val="11E75253"/>
    <w:rsid w:val="120B2859"/>
    <w:rsid w:val="121A3BD7"/>
    <w:rsid w:val="121B7591"/>
    <w:rsid w:val="12415950"/>
    <w:rsid w:val="124B62EC"/>
    <w:rsid w:val="125D587B"/>
    <w:rsid w:val="12650308"/>
    <w:rsid w:val="126E66D8"/>
    <w:rsid w:val="12766F68"/>
    <w:rsid w:val="12784E55"/>
    <w:rsid w:val="127A0A34"/>
    <w:rsid w:val="12886C29"/>
    <w:rsid w:val="12890478"/>
    <w:rsid w:val="128A78E8"/>
    <w:rsid w:val="128C33F4"/>
    <w:rsid w:val="12A60E26"/>
    <w:rsid w:val="12D80C3D"/>
    <w:rsid w:val="12FB01C6"/>
    <w:rsid w:val="131307AB"/>
    <w:rsid w:val="1314350A"/>
    <w:rsid w:val="131B2F33"/>
    <w:rsid w:val="13487675"/>
    <w:rsid w:val="134C0A8C"/>
    <w:rsid w:val="138D11BC"/>
    <w:rsid w:val="139D2FCC"/>
    <w:rsid w:val="13AB6434"/>
    <w:rsid w:val="13D84C83"/>
    <w:rsid w:val="14253493"/>
    <w:rsid w:val="142F30DE"/>
    <w:rsid w:val="143A40ED"/>
    <w:rsid w:val="144014E7"/>
    <w:rsid w:val="1441058C"/>
    <w:rsid w:val="14505634"/>
    <w:rsid w:val="14B00589"/>
    <w:rsid w:val="14B13614"/>
    <w:rsid w:val="14B629C7"/>
    <w:rsid w:val="14C35174"/>
    <w:rsid w:val="14CE6335"/>
    <w:rsid w:val="14F41582"/>
    <w:rsid w:val="15285578"/>
    <w:rsid w:val="152F6ADB"/>
    <w:rsid w:val="15486511"/>
    <w:rsid w:val="154B4CFB"/>
    <w:rsid w:val="15550B09"/>
    <w:rsid w:val="155550C1"/>
    <w:rsid w:val="155C7162"/>
    <w:rsid w:val="156664AB"/>
    <w:rsid w:val="156E26BA"/>
    <w:rsid w:val="15C56451"/>
    <w:rsid w:val="15C8772A"/>
    <w:rsid w:val="15CD6F92"/>
    <w:rsid w:val="15D9735E"/>
    <w:rsid w:val="15F47714"/>
    <w:rsid w:val="16162C58"/>
    <w:rsid w:val="163457C8"/>
    <w:rsid w:val="163D2AB4"/>
    <w:rsid w:val="164046D4"/>
    <w:rsid w:val="1647321B"/>
    <w:rsid w:val="1654287F"/>
    <w:rsid w:val="16557A45"/>
    <w:rsid w:val="16576DE7"/>
    <w:rsid w:val="166B3507"/>
    <w:rsid w:val="166F738D"/>
    <w:rsid w:val="168B5A4E"/>
    <w:rsid w:val="16AE086B"/>
    <w:rsid w:val="16BB29C9"/>
    <w:rsid w:val="16BF6BE7"/>
    <w:rsid w:val="16DA0B9D"/>
    <w:rsid w:val="17071B4A"/>
    <w:rsid w:val="170F7C04"/>
    <w:rsid w:val="172072CE"/>
    <w:rsid w:val="17563FF8"/>
    <w:rsid w:val="17634832"/>
    <w:rsid w:val="1768053A"/>
    <w:rsid w:val="17821F33"/>
    <w:rsid w:val="1782436C"/>
    <w:rsid w:val="17896B45"/>
    <w:rsid w:val="17907B2D"/>
    <w:rsid w:val="17B553DF"/>
    <w:rsid w:val="17CA5536"/>
    <w:rsid w:val="17F854E7"/>
    <w:rsid w:val="18636AB6"/>
    <w:rsid w:val="18656CB7"/>
    <w:rsid w:val="18783248"/>
    <w:rsid w:val="187B0115"/>
    <w:rsid w:val="188B1530"/>
    <w:rsid w:val="18921717"/>
    <w:rsid w:val="189749BB"/>
    <w:rsid w:val="18C160CE"/>
    <w:rsid w:val="18E02502"/>
    <w:rsid w:val="18E609DE"/>
    <w:rsid w:val="18FA490E"/>
    <w:rsid w:val="19107563"/>
    <w:rsid w:val="19225F28"/>
    <w:rsid w:val="192F739D"/>
    <w:rsid w:val="19330C97"/>
    <w:rsid w:val="193F5F21"/>
    <w:rsid w:val="19535114"/>
    <w:rsid w:val="195948F7"/>
    <w:rsid w:val="19805D37"/>
    <w:rsid w:val="199D289B"/>
    <w:rsid w:val="19A60E10"/>
    <w:rsid w:val="19C82216"/>
    <w:rsid w:val="19CC0FD2"/>
    <w:rsid w:val="19DD309C"/>
    <w:rsid w:val="19E85AD7"/>
    <w:rsid w:val="19ED0A5E"/>
    <w:rsid w:val="19F313F9"/>
    <w:rsid w:val="19F77FA4"/>
    <w:rsid w:val="19F86A5F"/>
    <w:rsid w:val="1A143CB2"/>
    <w:rsid w:val="1A167085"/>
    <w:rsid w:val="1A324F2D"/>
    <w:rsid w:val="1A42582D"/>
    <w:rsid w:val="1A462475"/>
    <w:rsid w:val="1A4B2F42"/>
    <w:rsid w:val="1A997EE2"/>
    <w:rsid w:val="1AF0507E"/>
    <w:rsid w:val="1B115D3C"/>
    <w:rsid w:val="1B1172F8"/>
    <w:rsid w:val="1B1E0896"/>
    <w:rsid w:val="1B501040"/>
    <w:rsid w:val="1B6A11E1"/>
    <w:rsid w:val="1B6A6896"/>
    <w:rsid w:val="1B754691"/>
    <w:rsid w:val="1B76020A"/>
    <w:rsid w:val="1B7E7971"/>
    <w:rsid w:val="1B807337"/>
    <w:rsid w:val="1B901A2D"/>
    <w:rsid w:val="1B99695D"/>
    <w:rsid w:val="1BA47C58"/>
    <w:rsid w:val="1BB3263F"/>
    <w:rsid w:val="1BB37A87"/>
    <w:rsid w:val="1BB80F43"/>
    <w:rsid w:val="1BC170B5"/>
    <w:rsid w:val="1BC85289"/>
    <w:rsid w:val="1BE45D74"/>
    <w:rsid w:val="1BE64759"/>
    <w:rsid w:val="1BEA1B07"/>
    <w:rsid w:val="1BF0529D"/>
    <w:rsid w:val="1BFB3FE9"/>
    <w:rsid w:val="1C0104E4"/>
    <w:rsid w:val="1C550846"/>
    <w:rsid w:val="1C557320"/>
    <w:rsid w:val="1C61645F"/>
    <w:rsid w:val="1C6C08F4"/>
    <w:rsid w:val="1C9B7F2C"/>
    <w:rsid w:val="1CD7431E"/>
    <w:rsid w:val="1CEF4C58"/>
    <w:rsid w:val="1D144517"/>
    <w:rsid w:val="1D385997"/>
    <w:rsid w:val="1D6965C6"/>
    <w:rsid w:val="1D6B0D1C"/>
    <w:rsid w:val="1DB74394"/>
    <w:rsid w:val="1DE173F1"/>
    <w:rsid w:val="1DEB4DB4"/>
    <w:rsid w:val="1DF44C32"/>
    <w:rsid w:val="1DF4614E"/>
    <w:rsid w:val="1DF97E9A"/>
    <w:rsid w:val="1E000AFE"/>
    <w:rsid w:val="1E4C6E90"/>
    <w:rsid w:val="1E6D42C6"/>
    <w:rsid w:val="1E957826"/>
    <w:rsid w:val="1EAF03E7"/>
    <w:rsid w:val="1EFB0510"/>
    <w:rsid w:val="1F0B61F0"/>
    <w:rsid w:val="1F175BAF"/>
    <w:rsid w:val="1F3F21C5"/>
    <w:rsid w:val="1F4A43EB"/>
    <w:rsid w:val="1F563715"/>
    <w:rsid w:val="1F7441F7"/>
    <w:rsid w:val="1F7678AB"/>
    <w:rsid w:val="1FC1428A"/>
    <w:rsid w:val="1FC4124F"/>
    <w:rsid w:val="1FEC37F2"/>
    <w:rsid w:val="1FF62459"/>
    <w:rsid w:val="20021A5F"/>
    <w:rsid w:val="209D0A3F"/>
    <w:rsid w:val="20A623B7"/>
    <w:rsid w:val="20A669F1"/>
    <w:rsid w:val="20DB699E"/>
    <w:rsid w:val="20F7685E"/>
    <w:rsid w:val="21170B84"/>
    <w:rsid w:val="21316003"/>
    <w:rsid w:val="213360E8"/>
    <w:rsid w:val="214D7F75"/>
    <w:rsid w:val="215A14EE"/>
    <w:rsid w:val="21692402"/>
    <w:rsid w:val="2196624D"/>
    <w:rsid w:val="21AC6C50"/>
    <w:rsid w:val="21B53414"/>
    <w:rsid w:val="21D60A7B"/>
    <w:rsid w:val="21FE0428"/>
    <w:rsid w:val="221D31A8"/>
    <w:rsid w:val="22292C54"/>
    <w:rsid w:val="22360BE8"/>
    <w:rsid w:val="224421A6"/>
    <w:rsid w:val="22530AD3"/>
    <w:rsid w:val="228C2DED"/>
    <w:rsid w:val="2302703B"/>
    <w:rsid w:val="231B37F5"/>
    <w:rsid w:val="23437DEB"/>
    <w:rsid w:val="23536B7C"/>
    <w:rsid w:val="238D208B"/>
    <w:rsid w:val="239C5114"/>
    <w:rsid w:val="23B034FE"/>
    <w:rsid w:val="23C635E2"/>
    <w:rsid w:val="23E303FA"/>
    <w:rsid w:val="23E3603F"/>
    <w:rsid w:val="23EC1646"/>
    <w:rsid w:val="23F85777"/>
    <w:rsid w:val="24292561"/>
    <w:rsid w:val="243C68DF"/>
    <w:rsid w:val="24575A93"/>
    <w:rsid w:val="24756793"/>
    <w:rsid w:val="24876E88"/>
    <w:rsid w:val="24A41B3A"/>
    <w:rsid w:val="24BE2F37"/>
    <w:rsid w:val="24BF59CA"/>
    <w:rsid w:val="24D66860"/>
    <w:rsid w:val="250331AC"/>
    <w:rsid w:val="25113ECB"/>
    <w:rsid w:val="252E1698"/>
    <w:rsid w:val="25326A1A"/>
    <w:rsid w:val="25414CCE"/>
    <w:rsid w:val="254730AC"/>
    <w:rsid w:val="2549701E"/>
    <w:rsid w:val="255F7AD2"/>
    <w:rsid w:val="256D4FBD"/>
    <w:rsid w:val="25890078"/>
    <w:rsid w:val="259D3142"/>
    <w:rsid w:val="25A9744D"/>
    <w:rsid w:val="25CC7C2C"/>
    <w:rsid w:val="25E8350B"/>
    <w:rsid w:val="25EF68E7"/>
    <w:rsid w:val="2627224F"/>
    <w:rsid w:val="263159B5"/>
    <w:rsid w:val="263C69EF"/>
    <w:rsid w:val="26507C71"/>
    <w:rsid w:val="265422D1"/>
    <w:rsid w:val="265D5752"/>
    <w:rsid w:val="265F6B76"/>
    <w:rsid w:val="26890D8F"/>
    <w:rsid w:val="26AC2B16"/>
    <w:rsid w:val="26E639F7"/>
    <w:rsid w:val="270C7E7B"/>
    <w:rsid w:val="271565C6"/>
    <w:rsid w:val="27180E6A"/>
    <w:rsid w:val="271D7B22"/>
    <w:rsid w:val="271E393C"/>
    <w:rsid w:val="2727416B"/>
    <w:rsid w:val="273A709B"/>
    <w:rsid w:val="274F43F6"/>
    <w:rsid w:val="27581696"/>
    <w:rsid w:val="2788719D"/>
    <w:rsid w:val="278F4995"/>
    <w:rsid w:val="279A0FF2"/>
    <w:rsid w:val="279C320C"/>
    <w:rsid w:val="27A577CF"/>
    <w:rsid w:val="27BA3E75"/>
    <w:rsid w:val="27C72AEF"/>
    <w:rsid w:val="28031598"/>
    <w:rsid w:val="281A748F"/>
    <w:rsid w:val="282B1EC6"/>
    <w:rsid w:val="282F1840"/>
    <w:rsid w:val="283E6198"/>
    <w:rsid w:val="286B6FAB"/>
    <w:rsid w:val="28A56A47"/>
    <w:rsid w:val="28A85DF1"/>
    <w:rsid w:val="28B34564"/>
    <w:rsid w:val="28ED3586"/>
    <w:rsid w:val="29216C5F"/>
    <w:rsid w:val="294409BC"/>
    <w:rsid w:val="29690D96"/>
    <w:rsid w:val="29840C22"/>
    <w:rsid w:val="298B2A87"/>
    <w:rsid w:val="29911DBB"/>
    <w:rsid w:val="29AC67B2"/>
    <w:rsid w:val="29B46D85"/>
    <w:rsid w:val="2A4A0382"/>
    <w:rsid w:val="2A604683"/>
    <w:rsid w:val="2A641987"/>
    <w:rsid w:val="2AA02867"/>
    <w:rsid w:val="2AB357E7"/>
    <w:rsid w:val="2ACD0A6A"/>
    <w:rsid w:val="2AF76423"/>
    <w:rsid w:val="2B395A62"/>
    <w:rsid w:val="2B3A4AA5"/>
    <w:rsid w:val="2B467033"/>
    <w:rsid w:val="2B521C82"/>
    <w:rsid w:val="2B63494F"/>
    <w:rsid w:val="2B9E6A50"/>
    <w:rsid w:val="2BAA024D"/>
    <w:rsid w:val="2BAC55B5"/>
    <w:rsid w:val="2BAD6E83"/>
    <w:rsid w:val="2BB23B01"/>
    <w:rsid w:val="2BC22732"/>
    <w:rsid w:val="2BDD7F5F"/>
    <w:rsid w:val="2BE43FF8"/>
    <w:rsid w:val="2BF7105C"/>
    <w:rsid w:val="2C2B3683"/>
    <w:rsid w:val="2C783CDC"/>
    <w:rsid w:val="2C831E0A"/>
    <w:rsid w:val="2CAC46BC"/>
    <w:rsid w:val="2CB42BE2"/>
    <w:rsid w:val="2CC9536F"/>
    <w:rsid w:val="2CCD23D1"/>
    <w:rsid w:val="2CE00083"/>
    <w:rsid w:val="2CE32F1B"/>
    <w:rsid w:val="2CF617E0"/>
    <w:rsid w:val="2CFC651F"/>
    <w:rsid w:val="2D167580"/>
    <w:rsid w:val="2D382A50"/>
    <w:rsid w:val="2D521469"/>
    <w:rsid w:val="2D5B1A46"/>
    <w:rsid w:val="2D6A3083"/>
    <w:rsid w:val="2D6C1A1A"/>
    <w:rsid w:val="2D926FDB"/>
    <w:rsid w:val="2DBB723B"/>
    <w:rsid w:val="2DBE42E8"/>
    <w:rsid w:val="2DC2192D"/>
    <w:rsid w:val="2DC37DF1"/>
    <w:rsid w:val="2DDD4AFC"/>
    <w:rsid w:val="2DEF7827"/>
    <w:rsid w:val="2E0D173F"/>
    <w:rsid w:val="2E183B3B"/>
    <w:rsid w:val="2E756ED5"/>
    <w:rsid w:val="2E825B76"/>
    <w:rsid w:val="2E8D2E9E"/>
    <w:rsid w:val="2EA5217A"/>
    <w:rsid w:val="2EAD2D14"/>
    <w:rsid w:val="2EAF195F"/>
    <w:rsid w:val="2EB035CF"/>
    <w:rsid w:val="2EC116C4"/>
    <w:rsid w:val="2EDD0D84"/>
    <w:rsid w:val="2EE57D02"/>
    <w:rsid w:val="2EED45EC"/>
    <w:rsid w:val="2F0B25ED"/>
    <w:rsid w:val="2F2303C4"/>
    <w:rsid w:val="2F4A1FBC"/>
    <w:rsid w:val="2F90771D"/>
    <w:rsid w:val="2F97555A"/>
    <w:rsid w:val="2F984ABB"/>
    <w:rsid w:val="2FAB667E"/>
    <w:rsid w:val="2FD664A1"/>
    <w:rsid w:val="2FE32412"/>
    <w:rsid w:val="2FE734F8"/>
    <w:rsid w:val="300D568E"/>
    <w:rsid w:val="30104CBD"/>
    <w:rsid w:val="301E2A15"/>
    <w:rsid w:val="30323073"/>
    <w:rsid w:val="30346EAA"/>
    <w:rsid w:val="30541F26"/>
    <w:rsid w:val="30561692"/>
    <w:rsid w:val="30642C10"/>
    <w:rsid w:val="30AA13BF"/>
    <w:rsid w:val="30B65918"/>
    <w:rsid w:val="30D53C1C"/>
    <w:rsid w:val="30EF0A8C"/>
    <w:rsid w:val="310C4A4C"/>
    <w:rsid w:val="31195802"/>
    <w:rsid w:val="31361745"/>
    <w:rsid w:val="31502380"/>
    <w:rsid w:val="31643061"/>
    <w:rsid w:val="316E648F"/>
    <w:rsid w:val="317A4765"/>
    <w:rsid w:val="31926D16"/>
    <w:rsid w:val="31934866"/>
    <w:rsid w:val="31A1306B"/>
    <w:rsid w:val="31A812D2"/>
    <w:rsid w:val="31DE7FBD"/>
    <w:rsid w:val="31F55596"/>
    <w:rsid w:val="320C19BC"/>
    <w:rsid w:val="324E226E"/>
    <w:rsid w:val="32B15F25"/>
    <w:rsid w:val="32B871AC"/>
    <w:rsid w:val="32D4454C"/>
    <w:rsid w:val="32F341BB"/>
    <w:rsid w:val="32FF588D"/>
    <w:rsid w:val="3341058C"/>
    <w:rsid w:val="33434A04"/>
    <w:rsid w:val="335C0F0C"/>
    <w:rsid w:val="336545F3"/>
    <w:rsid w:val="336A6D2A"/>
    <w:rsid w:val="33783A5F"/>
    <w:rsid w:val="33843069"/>
    <w:rsid w:val="3391004C"/>
    <w:rsid w:val="339E4194"/>
    <w:rsid w:val="33B0446E"/>
    <w:rsid w:val="33DC601A"/>
    <w:rsid w:val="34082B42"/>
    <w:rsid w:val="34187567"/>
    <w:rsid w:val="3437534A"/>
    <w:rsid w:val="343B185A"/>
    <w:rsid w:val="34433D9B"/>
    <w:rsid w:val="344A3B15"/>
    <w:rsid w:val="344A5CAF"/>
    <w:rsid w:val="34627E84"/>
    <w:rsid w:val="346678FC"/>
    <w:rsid w:val="3474527A"/>
    <w:rsid w:val="34761B3D"/>
    <w:rsid w:val="3498592F"/>
    <w:rsid w:val="34CE5A84"/>
    <w:rsid w:val="34E40917"/>
    <w:rsid w:val="34ED2EF3"/>
    <w:rsid w:val="34FB6280"/>
    <w:rsid w:val="3565162C"/>
    <w:rsid w:val="356D3F5E"/>
    <w:rsid w:val="35870680"/>
    <w:rsid w:val="35884C5D"/>
    <w:rsid w:val="359E1D7B"/>
    <w:rsid w:val="35BE55CE"/>
    <w:rsid w:val="360E3D96"/>
    <w:rsid w:val="36111515"/>
    <w:rsid w:val="36362A7C"/>
    <w:rsid w:val="36504388"/>
    <w:rsid w:val="36860188"/>
    <w:rsid w:val="36873437"/>
    <w:rsid w:val="369F5F8F"/>
    <w:rsid w:val="36D72354"/>
    <w:rsid w:val="36D954F0"/>
    <w:rsid w:val="370666E5"/>
    <w:rsid w:val="372F4C19"/>
    <w:rsid w:val="376B6B46"/>
    <w:rsid w:val="3782361C"/>
    <w:rsid w:val="37BB36C6"/>
    <w:rsid w:val="37F000D7"/>
    <w:rsid w:val="37F53C21"/>
    <w:rsid w:val="38243ABD"/>
    <w:rsid w:val="383A131B"/>
    <w:rsid w:val="385F1A9D"/>
    <w:rsid w:val="387E408E"/>
    <w:rsid w:val="389712F2"/>
    <w:rsid w:val="38A17658"/>
    <w:rsid w:val="38B22A36"/>
    <w:rsid w:val="38BA0B05"/>
    <w:rsid w:val="38BC5397"/>
    <w:rsid w:val="38BC5D6B"/>
    <w:rsid w:val="38C377DA"/>
    <w:rsid w:val="3903758B"/>
    <w:rsid w:val="390F2E15"/>
    <w:rsid w:val="3935437F"/>
    <w:rsid w:val="397841F4"/>
    <w:rsid w:val="398630C2"/>
    <w:rsid w:val="39A03524"/>
    <w:rsid w:val="39A15199"/>
    <w:rsid w:val="39CF0B7D"/>
    <w:rsid w:val="39E60D3D"/>
    <w:rsid w:val="39E901AB"/>
    <w:rsid w:val="39E91C6F"/>
    <w:rsid w:val="3A365E76"/>
    <w:rsid w:val="3A4A3FFD"/>
    <w:rsid w:val="3A621F66"/>
    <w:rsid w:val="3A657C2B"/>
    <w:rsid w:val="3A8D3267"/>
    <w:rsid w:val="3AA97504"/>
    <w:rsid w:val="3AB27FBA"/>
    <w:rsid w:val="3AD30754"/>
    <w:rsid w:val="3AD67AF1"/>
    <w:rsid w:val="3AF36F06"/>
    <w:rsid w:val="3B045404"/>
    <w:rsid w:val="3B1D2901"/>
    <w:rsid w:val="3B2128E6"/>
    <w:rsid w:val="3B3346E8"/>
    <w:rsid w:val="3B4F12B2"/>
    <w:rsid w:val="3B565AE5"/>
    <w:rsid w:val="3B606BFF"/>
    <w:rsid w:val="3B6952BA"/>
    <w:rsid w:val="3B730A2C"/>
    <w:rsid w:val="3B8D15A9"/>
    <w:rsid w:val="3BAC3AEF"/>
    <w:rsid w:val="3BAD5592"/>
    <w:rsid w:val="3BC760D0"/>
    <w:rsid w:val="3BFD75A8"/>
    <w:rsid w:val="3C0A04BB"/>
    <w:rsid w:val="3C560DD2"/>
    <w:rsid w:val="3C5F3058"/>
    <w:rsid w:val="3C7057AE"/>
    <w:rsid w:val="3C913DE4"/>
    <w:rsid w:val="3CA8627B"/>
    <w:rsid w:val="3CA97F92"/>
    <w:rsid w:val="3CD46105"/>
    <w:rsid w:val="3CF23AC0"/>
    <w:rsid w:val="3D0126CA"/>
    <w:rsid w:val="3D093678"/>
    <w:rsid w:val="3D18434A"/>
    <w:rsid w:val="3D311DC7"/>
    <w:rsid w:val="3D3712B0"/>
    <w:rsid w:val="3D48086F"/>
    <w:rsid w:val="3D4B442E"/>
    <w:rsid w:val="3D7D48B2"/>
    <w:rsid w:val="3DAA4390"/>
    <w:rsid w:val="3DB724DE"/>
    <w:rsid w:val="3DC63AB0"/>
    <w:rsid w:val="3DC70F93"/>
    <w:rsid w:val="3DDF67F8"/>
    <w:rsid w:val="3E1C78E7"/>
    <w:rsid w:val="3E2E431B"/>
    <w:rsid w:val="3E4522CA"/>
    <w:rsid w:val="3E4E23C4"/>
    <w:rsid w:val="3E74486F"/>
    <w:rsid w:val="3E752336"/>
    <w:rsid w:val="3E7F2494"/>
    <w:rsid w:val="3E8E6CA9"/>
    <w:rsid w:val="3EA96912"/>
    <w:rsid w:val="3EC12894"/>
    <w:rsid w:val="3EC7628C"/>
    <w:rsid w:val="3EDC2981"/>
    <w:rsid w:val="3EF0432B"/>
    <w:rsid w:val="3F02112C"/>
    <w:rsid w:val="3F0C2C0C"/>
    <w:rsid w:val="3F1B1231"/>
    <w:rsid w:val="3F41445E"/>
    <w:rsid w:val="3F43477F"/>
    <w:rsid w:val="3F4F1C39"/>
    <w:rsid w:val="3F5A50A4"/>
    <w:rsid w:val="3F6A25FF"/>
    <w:rsid w:val="3F6B14B3"/>
    <w:rsid w:val="3F6F4131"/>
    <w:rsid w:val="3FA46EF8"/>
    <w:rsid w:val="3FB05A8C"/>
    <w:rsid w:val="3FB273D0"/>
    <w:rsid w:val="3FD52BD0"/>
    <w:rsid w:val="3FDA0AC6"/>
    <w:rsid w:val="400D0DD6"/>
    <w:rsid w:val="401D79CF"/>
    <w:rsid w:val="40206E6E"/>
    <w:rsid w:val="40214852"/>
    <w:rsid w:val="404366F0"/>
    <w:rsid w:val="40596BBF"/>
    <w:rsid w:val="40890E81"/>
    <w:rsid w:val="40977A9B"/>
    <w:rsid w:val="40A86F45"/>
    <w:rsid w:val="40D82D33"/>
    <w:rsid w:val="40F76F36"/>
    <w:rsid w:val="41181D29"/>
    <w:rsid w:val="41303C39"/>
    <w:rsid w:val="414B2E3E"/>
    <w:rsid w:val="414F74CB"/>
    <w:rsid w:val="41513DF7"/>
    <w:rsid w:val="415B3C6B"/>
    <w:rsid w:val="415B6654"/>
    <w:rsid w:val="41610CC9"/>
    <w:rsid w:val="417C2EE6"/>
    <w:rsid w:val="41A0365E"/>
    <w:rsid w:val="41C92B51"/>
    <w:rsid w:val="41D301C3"/>
    <w:rsid w:val="41D623AF"/>
    <w:rsid w:val="41E618AB"/>
    <w:rsid w:val="420D79E6"/>
    <w:rsid w:val="422F49B3"/>
    <w:rsid w:val="42494A28"/>
    <w:rsid w:val="425B50E1"/>
    <w:rsid w:val="42802614"/>
    <w:rsid w:val="42B01704"/>
    <w:rsid w:val="42CC4106"/>
    <w:rsid w:val="42E068CB"/>
    <w:rsid w:val="43122A4F"/>
    <w:rsid w:val="433858A5"/>
    <w:rsid w:val="433E126A"/>
    <w:rsid w:val="43406343"/>
    <w:rsid w:val="43423125"/>
    <w:rsid w:val="43506DE5"/>
    <w:rsid w:val="43920E07"/>
    <w:rsid w:val="43951B04"/>
    <w:rsid w:val="43AA1A2A"/>
    <w:rsid w:val="43C31C84"/>
    <w:rsid w:val="43CB30F4"/>
    <w:rsid w:val="44185BB6"/>
    <w:rsid w:val="441952D0"/>
    <w:rsid w:val="44200C7E"/>
    <w:rsid w:val="4422721F"/>
    <w:rsid w:val="4441382D"/>
    <w:rsid w:val="44441E1C"/>
    <w:rsid w:val="44473B3D"/>
    <w:rsid w:val="4465559E"/>
    <w:rsid w:val="44740DDB"/>
    <w:rsid w:val="447B5189"/>
    <w:rsid w:val="44984355"/>
    <w:rsid w:val="44A8226D"/>
    <w:rsid w:val="44CC2C4F"/>
    <w:rsid w:val="44DC3315"/>
    <w:rsid w:val="44F913D3"/>
    <w:rsid w:val="4524498B"/>
    <w:rsid w:val="45254F87"/>
    <w:rsid w:val="452F7EEA"/>
    <w:rsid w:val="4576238A"/>
    <w:rsid w:val="45AA7E73"/>
    <w:rsid w:val="45BF355C"/>
    <w:rsid w:val="45C23580"/>
    <w:rsid w:val="45DC6777"/>
    <w:rsid w:val="45DE1EC3"/>
    <w:rsid w:val="45EA7483"/>
    <w:rsid w:val="45EF2CD6"/>
    <w:rsid w:val="45F2794A"/>
    <w:rsid w:val="45FB5A7C"/>
    <w:rsid w:val="45FD3E50"/>
    <w:rsid w:val="45FE2A7D"/>
    <w:rsid w:val="4601483F"/>
    <w:rsid w:val="462977B0"/>
    <w:rsid w:val="46301D5D"/>
    <w:rsid w:val="464E3334"/>
    <w:rsid w:val="466E33E3"/>
    <w:rsid w:val="46760020"/>
    <w:rsid w:val="467E34C4"/>
    <w:rsid w:val="46A7659A"/>
    <w:rsid w:val="46C853F2"/>
    <w:rsid w:val="46DD1D2C"/>
    <w:rsid w:val="46E9783E"/>
    <w:rsid w:val="46F722E3"/>
    <w:rsid w:val="4705563D"/>
    <w:rsid w:val="470A40B5"/>
    <w:rsid w:val="47124567"/>
    <w:rsid w:val="47170400"/>
    <w:rsid w:val="472B3FFD"/>
    <w:rsid w:val="47316B3D"/>
    <w:rsid w:val="4734684B"/>
    <w:rsid w:val="476A5FE9"/>
    <w:rsid w:val="4780564D"/>
    <w:rsid w:val="47952C69"/>
    <w:rsid w:val="47B0127B"/>
    <w:rsid w:val="47B9350B"/>
    <w:rsid w:val="47BA1BC8"/>
    <w:rsid w:val="47CC1367"/>
    <w:rsid w:val="47E744AA"/>
    <w:rsid w:val="48017210"/>
    <w:rsid w:val="48236679"/>
    <w:rsid w:val="482B1F03"/>
    <w:rsid w:val="484935F2"/>
    <w:rsid w:val="488E52A0"/>
    <w:rsid w:val="489A09D2"/>
    <w:rsid w:val="48A52420"/>
    <w:rsid w:val="48D22C29"/>
    <w:rsid w:val="48DB7360"/>
    <w:rsid w:val="48FF5525"/>
    <w:rsid w:val="49001E86"/>
    <w:rsid w:val="49085277"/>
    <w:rsid w:val="493D2F8A"/>
    <w:rsid w:val="4952637D"/>
    <w:rsid w:val="495C4C37"/>
    <w:rsid w:val="49734683"/>
    <w:rsid w:val="497B4E0F"/>
    <w:rsid w:val="49AF138D"/>
    <w:rsid w:val="49B94DB5"/>
    <w:rsid w:val="49F64E88"/>
    <w:rsid w:val="4A234FEC"/>
    <w:rsid w:val="4AB30EDE"/>
    <w:rsid w:val="4ABB7979"/>
    <w:rsid w:val="4AD2212C"/>
    <w:rsid w:val="4AE374EF"/>
    <w:rsid w:val="4B2F3BE7"/>
    <w:rsid w:val="4B341F77"/>
    <w:rsid w:val="4B3C528F"/>
    <w:rsid w:val="4B7D207A"/>
    <w:rsid w:val="4B875EB6"/>
    <w:rsid w:val="4BAD1EF1"/>
    <w:rsid w:val="4BAF7C51"/>
    <w:rsid w:val="4BB2318A"/>
    <w:rsid w:val="4BBA6469"/>
    <w:rsid w:val="4BCD5586"/>
    <w:rsid w:val="4BD73847"/>
    <w:rsid w:val="4BD84E86"/>
    <w:rsid w:val="4BEF4740"/>
    <w:rsid w:val="4C157042"/>
    <w:rsid w:val="4C182F26"/>
    <w:rsid w:val="4C1E3EFD"/>
    <w:rsid w:val="4C214F0E"/>
    <w:rsid w:val="4C3C3FBA"/>
    <w:rsid w:val="4C43598E"/>
    <w:rsid w:val="4C553EC6"/>
    <w:rsid w:val="4C6514B0"/>
    <w:rsid w:val="4C6C0D90"/>
    <w:rsid w:val="4C7003C0"/>
    <w:rsid w:val="4C737880"/>
    <w:rsid w:val="4C7D1FFD"/>
    <w:rsid w:val="4C7D2B41"/>
    <w:rsid w:val="4CB209AF"/>
    <w:rsid w:val="4CC637BD"/>
    <w:rsid w:val="4CE1500D"/>
    <w:rsid w:val="4CF5763E"/>
    <w:rsid w:val="4D216840"/>
    <w:rsid w:val="4D3F7CBF"/>
    <w:rsid w:val="4D58649D"/>
    <w:rsid w:val="4D62389D"/>
    <w:rsid w:val="4D6B6018"/>
    <w:rsid w:val="4D875A80"/>
    <w:rsid w:val="4DAA6920"/>
    <w:rsid w:val="4DC46301"/>
    <w:rsid w:val="4DDB0254"/>
    <w:rsid w:val="4DDF4EB1"/>
    <w:rsid w:val="4DE60A4C"/>
    <w:rsid w:val="4DF60896"/>
    <w:rsid w:val="4DFE3CC8"/>
    <w:rsid w:val="4E022606"/>
    <w:rsid w:val="4E34290C"/>
    <w:rsid w:val="4E4E418E"/>
    <w:rsid w:val="4E774C88"/>
    <w:rsid w:val="4E87316E"/>
    <w:rsid w:val="4EB9175E"/>
    <w:rsid w:val="4EF20653"/>
    <w:rsid w:val="4F0A7123"/>
    <w:rsid w:val="4F1403B8"/>
    <w:rsid w:val="4F1C1A77"/>
    <w:rsid w:val="4F2A3762"/>
    <w:rsid w:val="4F2E0DB1"/>
    <w:rsid w:val="4F356EFF"/>
    <w:rsid w:val="4F5E2B95"/>
    <w:rsid w:val="4F60510A"/>
    <w:rsid w:val="4F7A5394"/>
    <w:rsid w:val="4F990B00"/>
    <w:rsid w:val="4F9A2DBB"/>
    <w:rsid w:val="4FB018A6"/>
    <w:rsid w:val="4FC43ED6"/>
    <w:rsid w:val="4FD41C1D"/>
    <w:rsid w:val="4FD54DAA"/>
    <w:rsid w:val="4FED2322"/>
    <w:rsid w:val="4FFD53C6"/>
    <w:rsid w:val="501A3D27"/>
    <w:rsid w:val="50265E12"/>
    <w:rsid w:val="50355DE5"/>
    <w:rsid w:val="503D1B16"/>
    <w:rsid w:val="503E193F"/>
    <w:rsid w:val="504467DB"/>
    <w:rsid w:val="505E4959"/>
    <w:rsid w:val="5074268E"/>
    <w:rsid w:val="50876B84"/>
    <w:rsid w:val="508E47DC"/>
    <w:rsid w:val="50923520"/>
    <w:rsid w:val="509C363D"/>
    <w:rsid w:val="50A940E7"/>
    <w:rsid w:val="50AA17E4"/>
    <w:rsid w:val="50AE3F83"/>
    <w:rsid w:val="50CF7A4B"/>
    <w:rsid w:val="50FC1A18"/>
    <w:rsid w:val="51022777"/>
    <w:rsid w:val="51077E16"/>
    <w:rsid w:val="511C39D2"/>
    <w:rsid w:val="51254DDE"/>
    <w:rsid w:val="5135331A"/>
    <w:rsid w:val="5137564E"/>
    <w:rsid w:val="514A237E"/>
    <w:rsid w:val="515C0CB9"/>
    <w:rsid w:val="51610EDB"/>
    <w:rsid w:val="5168443D"/>
    <w:rsid w:val="516C1A4D"/>
    <w:rsid w:val="51821556"/>
    <w:rsid w:val="51A846EE"/>
    <w:rsid w:val="51B46774"/>
    <w:rsid w:val="51BF3983"/>
    <w:rsid w:val="51F10280"/>
    <w:rsid w:val="520923F4"/>
    <w:rsid w:val="5211020B"/>
    <w:rsid w:val="521C7493"/>
    <w:rsid w:val="52367A86"/>
    <w:rsid w:val="52424C81"/>
    <w:rsid w:val="524467AD"/>
    <w:rsid w:val="527D24BA"/>
    <w:rsid w:val="52873776"/>
    <w:rsid w:val="529E7DC9"/>
    <w:rsid w:val="52A1157D"/>
    <w:rsid w:val="52AD1C3B"/>
    <w:rsid w:val="52C276E1"/>
    <w:rsid w:val="52E87B38"/>
    <w:rsid w:val="52F30525"/>
    <w:rsid w:val="52F83F52"/>
    <w:rsid w:val="53046705"/>
    <w:rsid w:val="532452B2"/>
    <w:rsid w:val="533D3764"/>
    <w:rsid w:val="534461E7"/>
    <w:rsid w:val="5350294B"/>
    <w:rsid w:val="535B4CF0"/>
    <w:rsid w:val="536317EF"/>
    <w:rsid w:val="53773EDD"/>
    <w:rsid w:val="53907125"/>
    <w:rsid w:val="53A6039D"/>
    <w:rsid w:val="53D01CCC"/>
    <w:rsid w:val="53DA3C95"/>
    <w:rsid w:val="53DD39B2"/>
    <w:rsid w:val="53DE413A"/>
    <w:rsid w:val="53EA2399"/>
    <w:rsid w:val="5400093A"/>
    <w:rsid w:val="543E150A"/>
    <w:rsid w:val="54563CF7"/>
    <w:rsid w:val="547159D4"/>
    <w:rsid w:val="5486329D"/>
    <w:rsid w:val="54B13217"/>
    <w:rsid w:val="54BB040E"/>
    <w:rsid w:val="54F62233"/>
    <w:rsid w:val="551F414B"/>
    <w:rsid w:val="55411377"/>
    <w:rsid w:val="554169B9"/>
    <w:rsid w:val="5553507B"/>
    <w:rsid w:val="5569348D"/>
    <w:rsid w:val="55891C60"/>
    <w:rsid w:val="55992746"/>
    <w:rsid w:val="559E3812"/>
    <w:rsid w:val="55A4243F"/>
    <w:rsid w:val="55B00ABD"/>
    <w:rsid w:val="55EF58A5"/>
    <w:rsid w:val="55FB2450"/>
    <w:rsid w:val="566C6AAD"/>
    <w:rsid w:val="56880550"/>
    <w:rsid w:val="569549B7"/>
    <w:rsid w:val="569B59A6"/>
    <w:rsid w:val="56BA4008"/>
    <w:rsid w:val="56F00AC2"/>
    <w:rsid w:val="56F31CFD"/>
    <w:rsid w:val="56F65263"/>
    <w:rsid w:val="56F705B5"/>
    <w:rsid w:val="57132F95"/>
    <w:rsid w:val="572D56F6"/>
    <w:rsid w:val="575B54C2"/>
    <w:rsid w:val="5764383E"/>
    <w:rsid w:val="57690382"/>
    <w:rsid w:val="57737278"/>
    <w:rsid w:val="57806D53"/>
    <w:rsid w:val="57817915"/>
    <w:rsid w:val="581D3D33"/>
    <w:rsid w:val="5827740E"/>
    <w:rsid w:val="58430210"/>
    <w:rsid w:val="584B6565"/>
    <w:rsid w:val="5863214C"/>
    <w:rsid w:val="58717162"/>
    <w:rsid w:val="58781DC6"/>
    <w:rsid w:val="58853F70"/>
    <w:rsid w:val="589011C0"/>
    <w:rsid w:val="58914CFB"/>
    <w:rsid w:val="589A70FA"/>
    <w:rsid w:val="58A24B8B"/>
    <w:rsid w:val="58A725D8"/>
    <w:rsid w:val="58B8618D"/>
    <w:rsid w:val="58C45F58"/>
    <w:rsid w:val="58FE63E2"/>
    <w:rsid w:val="591279D6"/>
    <w:rsid w:val="592F1B5C"/>
    <w:rsid w:val="59811176"/>
    <w:rsid w:val="59F85DAB"/>
    <w:rsid w:val="5A145FB7"/>
    <w:rsid w:val="5A3571BF"/>
    <w:rsid w:val="5A400973"/>
    <w:rsid w:val="5A44572C"/>
    <w:rsid w:val="5A85791B"/>
    <w:rsid w:val="5A8A6ADB"/>
    <w:rsid w:val="5A971DBF"/>
    <w:rsid w:val="5AA549B2"/>
    <w:rsid w:val="5AB86784"/>
    <w:rsid w:val="5ACA34DF"/>
    <w:rsid w:val="5AF742D8"/>
    <w:rsid w:val="5B002D6C"/>
    <w:rsid w:val="5B201EB1"/>
    <w:rsid w:val="5B432E41"/>
    <w:rsid w:val="5B4D5E03"/>
    <w:rsid w:val="5B5104F9"/>
    <w:rsid w:val="5B6A7A00"/>
    <w:rsid w:val="5B6F2C19"/>
    <w:rsid w:val="5BAC4E3A"/>
    <w:rsid w:val="5BBC75A4"/>
    <w:rsid w:val="5BC20461"/>
    <w:rsid w:val="5BC71CBC"/>
    <w:rsid w:val="5BF32F12"/>
    <w:rsid w:val="5BFC15BD"/>
    <w:rsid w:val="5C040F8A"/>
    <w:rsid w:val="5C06547D"/>
    <w:rsid w:val="5C0A2FD8"/>
    <w:rsid w:val="5C0C484C"/>
    <w:rsid w:val="5C123043"/>
    <w:rsid w:val="5C1D42A1"/>
    <w:rsid w:val="5C230E90"/>
    <w:rsid w:val="5C362AF4"/>
    <w:rsid w:val="5C3E4720"/>
    <w:rsid w:val="5C472BC4"/>
    <w:rsid w:val="5C526BB4"/>
    <w:rsid w:val="5C5B57F8"/>
    <w:rsid w:val="5C715941"/>
    <w:rsid w:val="5C7523B0"/>
    <w:rsid w:val="5C802FB3"/>
    <w:rsid w:val="5C8F4BCF"/>
    <w:rsid w:val="5CA675F4"/>
    <w:rsid w:val="5CC34110"/>
    <w:rsid w:val="5CC87CE2"/>
    <w:rsid w:val="5D236172"/>
    <w:rsid w:val="5D3751CD"/>
    <w:rsid w:val="5D3D160C"/>
    <w:rsid w:val="5D4609D3"/>
    <w:rsid w:val="5D465377"/>
    <w:rsid w:val="5D635FCC"/>
    <w:rsid w:val="5D9E2345"/>
    <w:rsid w:val="5DB22A59"/>
    <w:rsid w:val="5DD07349"/>
    <w:rsid w:val="5DFE1B73"/>
    <w:rsid w:val="5E046391"/>
    <w:rsid w:val="5E074110"/>
    <w:rsid w:val="5E2869D2"/>
    <w:rsid w:val="5E401FD5"/>
    <w:rsid w:val="5E5474D9"/>
    <w:rsid w:val="5E56287D"/>
    <w:rsid w:val="5E58634F"/>
    <w:rsid w:val="5E9A2800"/>
    <w:rsid w:val="5EA51661"/>
    <w:rsid w:val="5EC52109"/>
    <w:rsid w:val="5ED167E0"/>
    <w:rsid w:val="5EDC6635"/>
    <w:rsid w:val="5EDF242A"/>
    <w:rsid w:val="5EEC4CC9"/>
    <w:rsid w:val="5F387DD8"/>
    <w:rsid w:val="5F50041F"/>
    <w:rsid w:val="5F5843B0"/>
    <w:rsid w:val="5F610F9A"/>
    <w:rsid w:val="5F674CD0"/>
    <w:rsid w:val="5F6800CC"/>
    <w:rsid w:val="5F766605"/>
    <w:rsid w:val="5F7B6EC0"/>
    <w:rsid w:val="5F827A0C"/>
    <w:rsid w:val="5F9B1418"/>
    <w:rsid w:val="5FAE7B2D"/>
    <w:rsid w:val="5FD50E06"/>
    <w:rsid w:val="600D41B4"/>
    <w:rsid w:val="600F713A"/>
    <w:rsid w:val="602B5CAC"/>
    <w:rsid w:val="60412AB3"/>
    <w:rsid w:val="60442474"/>
    <w:rsid w:val="605613A7"/>
    <w:rsid w:val="6089592F"/>
    <w:rsid w:val="60A07B49"/>
    <w:rsid w:val="60B4760E"/>
    <w:rsid w:val="60D31A6F"/>
    <w:rsid w:val="60E4245B"/>
    <w:rsid w:val="60F45521"/>
    <w:rsid w:val="61541900"/>
    <w:rsid w:val="61610817"/>
    <w:rsid w:val="618C6950"/>
    <w:rsid w:val="61905F8C"/>
    <w:rsid w:val="61B42655"/>
    <w:rsid w:val="61B64AE6"/>
    <w:rsid w:val="61DF648C"/>
    <w:rsid w:val="61EB04E9"/>
    <w:rsid w:val="620F7978"/>
    <w:rsid w:val="622F4266"/>
    <w:rsid w:val="62340A15"/>
    <w:rsid w:val="62462A72"/>
    <w:rsid w:val="62545E33"/>
    <w:rsid w:val="627A499B"/>
    <w:rsid w:val="62835C1F"/>
    <w:rsid w:val="628F5929"/>
    <w:rsid w:val="62ED7494"/>
    <w:rsid w:val="63030F14"/>
    <w:rsid w:val="63176B72"/>
    <w:rsid w:val="631F28F3"/>
    <w:rsid w:val="632068F5"/>
    <w:rsid w:val="636173F7"/>
    <w:rsid w:val="636C1F8E"/>
    <w:rsid w:val="639076DF"/>
    <w:rsid w:val="63A06A41"/>
    <w:rsid w:val="640377CE"/>
    <w:rsid w:val="640C3504"/>
    <w:rsid w:val="6413475D"/>
    <w:rsid w:val="64402990"/>
    <w:rsid w:val="645B5B40"/>
    <w:rsid w:val="64671E02"/>
    <w:rsid w:val="64A036C7"/>
    <w:rsid w:val="64B43D65"/>
    <w:rsid w:val="64B52719"/>
    <w:rsid w:val="64B87558"/>
    <w:rsid w:val="64DB7D2E"/>
    <w:rsid w:val="64E75BE6"/>
    <w:rsid w:val="64EC5F80"/>
    <w:rsid w:val="64F6132C"/>
    <w:rsid w:val="64F87AB2"/>
    <w:rsid w:val="6503529A"/>
    <w:rsid w:val="654235AD"/>
    <w:rsid w:val="65454B08"/>
    <w:rsid w:val="654F5B7F"/>
    <w:rsid w:val="656B6764"/>
    <w:rsid w:val="6586222B"/>
    <w:rsid w:val="65954339"/>
    <w:rsid w:val="65A12770"/>
    <w:rsid w:val="65F554EA"/>
    <w:rsid w:val="6612488F"/>
    <w:rsid w:val="661462F7"/>
    <w:rsid w:val="66231B10"/>
    <w:rsid w:val="66543314"/>
    <w:rsid w:val="667128E4"/>
    <w:rsid w:val="667C1F05"/>
    <w:rsid w:val="66A85798"/>
    <w:rsid w:val="66B329EA"/>
    <w:rsid w:val="66E30E48"/>
    <w:rsid w:val="66FD7A4F"/>
    <w:rsid w:val="67010AE3"/>
    <w:rsid w:val="672112E1"/>
    <w:rsid w:val="672A2D67"/>
    <w:rsid w:val="67420EC9"/>
    <w:rsid w:val="67685576"/>
    <w:rsid w:val="67686F27"/>
    <w:rsid w:val="67740C3E"/>
    <w:rsid w:val="67754B8E"/>
    <w:rsid w:val="67840E3F"/>
    <w:rsid w:val="678B7FCB"/>
    <w:rsid w:val="67A744C9"/>
    <w:rsid w:val="67C119C7"/>
    <w:rsid w:val="67C373D8"/>
    <w:rsid w:val="68002120"/>
    <w:rsid w:val="680D1350"/>
    <w:rsid w:val="68282E58"/>
    <w:rsid w:val="682859FC"/>
    <w:rsid w:val="6844684A"/>
    <w:rsid w:val="685343D6"/>
    <w:rsid w:val="68A42834"/>
    <w:rsid w:val="68E814B4"/>
    <w:rsid w:val="68F91EAB"/>
    <w:rsid w:val="69142EFB"/>
    <w:rsid w:val="69154D60"/>
    <w:rsid w:val="69466661"/>
    <w:rsid w:val="694A6DBA"/>
    <w:rsid w:val="69791826"/>
    <w:rsid w:val="697D31CA"/>
    <w:rsid w:val="697E3C44"/>
    <w:rsid w:val="69951D6A"/>
    <w:rsid w:val="69CD7FDE"/>
    <w:rsid w:val="69D709A9"/>
    <w:rsid w:val="69DA654F"/>
    <w:rsid w:val="6A066F7A"/>
    <w:rsid w:val="6A195354"/>
    <w:rsid w:val="6A313ACF"/>
    <w:rsid w:val="6A367232"/>
    <w:rsid w:val="6A3828E1"/>
    <w:rsid w:val="6A3E49CA"/>
    <w:rsid w:val="6A5B015F"/>
    <w:rsid w:val="6A615C08"/>
    <w:rsid w:val="6AC4631F"/>
    <w:rsid w:val="6AC9111D"/>
    <w:rsid w:val="6ACE2499"/>
    <w:rsid w:val="6ADD1396"/>
    <w:rsid w:val="6AE2354A"/>
    <w:rsid w:val="6AE91398"/>
    <w:rsid w:val="6B001D33"/>
    <w:rsid w:val="6B076250"/>
    <w:rsid w:val="6B0D2A8A"/>
    <w:rsid w:val="6B0F3217"/>
    <w:rsid w:val="6B22477C"/>
    <w:rsid w:val="6B320A31"/>
    <w:rsid w:val="6B491DA4"/>
    <w:rsid w:val="6B5D28FD"/>
    <w:rsid w:val="6B5E4D2E"/>
    <w:rsid w:val="6B634467"/>
    <w:rsid w:val="6B7D0AFE"/>
    <w:rsid w:val="6B837184"/>
    <w:rsid w:val="6BC71444"/>
    <w:rsid w:val="6BDC52A9"/>
    <w:rsid w:val="6BE116D3"/>
    <w:rsid w:val="6BF058FA"/>
    <w:rsid w:val="6C1978E6"/>
    <w:rsid w:val="6C2A7865"/>
    <w:rsid w:val="6C2C31E3"/>
    <w:rsid w:val="6C2D715B"/>
    <w:rsid w:val="6C3C1E75"/>
    <w:rsid w:val="6C4D516A"/>
    <w:rsid w:val="6C5207BE"/>
    <w:rsid w:val="6C6A54FD"/>
    <w:rsid w:val="6C82426E"/>
    <w:rsid w:val="6CC76B66"/>
    <w:rsid w:val="6CE229A5"/>
    <w:rsid w:val="6CE346E3"/>
    <w:rsid w:val="6CF40293"/>
    <w:rsid w:val="6CF839D9"/>
    <w:rsid w:val="6D257859"/>
    <w:rsid w:val="6D4119C0"/>
    <w:rsid w:val="6D555633"/>
    <w:rsid w:val="6D572015"/>
    <w:rsid w:val="6D8259F7"/>
    <w:rsid w:val="6DA306D8"/>
    <w:rsid w:val="6DB14B61"/>
    <w:rsid w:val="6DB166DC"/>
    <w:rsid w:val="6DB70CB4"/>
    <w:rsid w:val="6E094352"/>
    <w:rsid w:val="6E424BD5"/>
    <w:rsid w:val="6EBB7AF6"/>
    <w:rsid w:val="6EEA43DA"/>
    <w:rsid w:val="6F1537EE"/>
    <w:rsid w:val="6F525376"/>
    <w:rsid w:val="6F5834D8"/>
    <w:rsid w:val="6F815117"/>
    <w:rsid w:val="6F9456A2"/>
    <w:rsid w:val="6FB37FD9"/>
    <w:rsid w:val="6FC927B1"/>
    <w:rsid w:val="6FD55483"/>
    <w:rsid w:val="6FE85F62"/>
    <w:rsid w:val="6FFB71F0"/>
    <w:rsid w:val="70253E6C"/>
    <w:rsid w:val="7028758A"/>
    <w:rsid w:val="702A2DF0"/>
    <w:rsid w:val="704A1802"/>
    <w:rsid w:val="70557E0B"/>
    <w:rsid w:val="708F3F4F"/>
    <w:rsid w:val="70AA1938"/>
    <w:rsid w:val="70C413C2"/>
    <w:rsid w:val="70EC1752"/>
    <w:rsid w:val="7137018B"/>
    <w:rsid w:val="714856F9"/>
    <w:rsid w:val="714C6327"/>
    <w:rsid w:val="719E503F"/>
    <w:rsid w:val="71A30E24"/>
    <w:rsid w:val="71AC3D91"/>
    <w:rsid w:val="71BB1304"/>
    <w:rsid w:val="71D315A7"/>
    <w:rsid w:val="71D9326F"/>
    <w:rsid w:val="71E7403D"/>
    <w:rsid w:val="71F83376"/>
    <w:rsid w:val="71FF0740"/>
    <w:rsid w:val="71FF0BB1"/>
    <w:rsid w:val="7205522D"/>
    <w:rsid w:val="728733AE"/>
    <w:rsid w:val="728A466C"/>
    <w:rsid w:val="72A1542E"/>
    <w:rsid w:val="72D037B9"/>
    <w:rsid w:val="72D3059A"/>
    <w:rsid w:val="72D86580"/>
    <w:rsid w:val="72DD62F0"/>
    <w:rsid w:val="72EB0849"/>
    <w:rsid w:val="73005E81"/>
    <w:rsid w:val="73013FCC"/>
    <w:rsid w:val="7305661E"/>
    <w:rsid w:val="730B40D5"/>
    <w:rsid w:val="731516FB"/>
    <w:rsid w:val="734B3290"/>
    <w:rsid w:val="734E5AA8"/>
    <w:rsid w:val="73547991"/>
    <w:rsid w:val="736938A6"/>
    <w:rsid w:val="736B7CB7"/>
    <w:rsid w:val="73832C16"/>
    <w:rsid w:val="738E6C4C"/>
    <w:rsid w:val="739007EC"/>
    <w:rsid w:val="739169F9"/>
    <w:rsid w:val="739F15D1"/>
    <w:rsid w:val="73D11781"/>
    <w:rsid w:val="73F11FA4"/>
    <w:rsid w:val="73F328B4"/>
    <w:rsid w:val="73F8703D"/>
    <w:rsid w:val="740E561C"/>
    <w:rsid w:val="74366A2C"/>
    <w:rsid w:val="74375F03"/>
    <w:rsid w:val="7455588A"/>
    <w:rsid w:val="745D0A44"/>
    <w:rsid w:val="748D793D"/>
    <w:rsid w:val="749E119A"/>
    <w:rsid w:val="74D33EF6"/>
    <w:rsid w:val="74D901D8"/>
    <w:rsid w:val="74F62D22"/>
    <w:rsid w:val="750C0D23"/>
    <w:rsid w:val="750C3C60"/>
    <w:rsid w:val="75317252"/>
    <w:rsid w:val="756C1B2B"/>
    <w:rsid w:val="7572258D"/>
    <w:rsid w:val="75992D53"/>
    <w:rsid w:val="75A04E43"/>
    <w:rsid w:val="75A91B6E"/>
    <w:rsid w:val="75B35979"/>
    <w:rsid w:val="75BA093F"/>
    <w:rsid w:val="75D94171"/>
    <w:rsid w:val="75F770AF"/>
    <w:rsid w:val="75FB22F9"/>
    <w:rsid w:val="761A6A1B"/>
    <w:rsid w:val="761D211C"/>
    <w:rsid w:val="76250470"/>
    <w:rsid w:val="762E5215"/>
    <w:rsid w:val="76346F66"/>
    <w:rsid w:val="7654205F"/>
    <w:rsid w:val="767A50C2"/>
    <w:rsid w:val="7698243C"/>
    <w:rsid w:val="769A7B14"/>
    <w:rsid w:val="769D4442"/>
    <w:rsid w:val="76A842C4"/>
    <w:rsid w:val="76A95F35"/>
    <w:rsid w:val="76AC07FE"/>
    <w:rsid w:val="76AF515A"/>
    <w:rsid w:val="76B6368F"/>
    <w:rsid w:val="76CB150B"/>
    <w:rsid w:val="76E806D7"/>
    <w:rsid w:val="76E85B8D"/>
    <w:rsid w:val="770C3F16"/>
    <w:rsid w:val="773751BA"/>
    <w:rsid w:val="773D64AD"/>
    <w:rsid w:val="77647B24"/>
    <w:rsid w:val="77760F59"/>
    <w:rsid w:val="777703EE"/>
    <w:rsid w:val="777D4FCB"/>
    <w:rsid w:val="7798025B"/>
    <w:rsid w:val="77AF28E8"/>
    <w:rsid w:val="77CA5641"/>
    <w:rsid w:val="77DE7281"/>
    <w:rsid w:val="77E06E55"/>
    <w:rsid w:val="77F652C1"/>
    <w:rsid w:val="780D4DDE"/>
    <w:rsid w:val="78203AD8"/>
    <w:rsid w:val="78307537"/>
    <w:rsid w:val="785139C9"/>
    <w:rsid w:val="785B21C7"/>
    <w:rsid w:val="786979DB"/>
    <w:rsid w:val="786D2338"/>
    <w:rsid w:val="786E3042"/>
    <w:rsid w:val="78780CEE"/>
    <w:rsid w:val="78875582"/>
    <w:rsid w:val="788A489C"/>
    <w:rsid w:val="78936E26"/>
    <w:rsid w:val="78AB33EC"/>
    <w:rsid w:val="78C058C0"/>
    <w:rsid w:val="78C83AD2"/>
    <w:rsid w:val="78DA6ABA"/>
    <w:rsid w:val="7927660D"/>
    <w:rsid w:val="792A6984"/>
    <w:rsid w:val="79430AC2"/>
    <w:rsid w:val="796310BB"/>
    <w:rsid w:val="798A5C60"/>
    <w:rsid w:val="799675C9"/>
    <w:rsid w:val="79976B54"/>
    <w:rsid w:val="79A07515"/>
    <w:rsid w:val="79C03E2E"/>
    <w:rsid w:val="7A003E33"/>
    <w:rsid w:val="7A00729F"/>
    <w:rsid w:val="7A2E15EF"/>
    <w:rsid w:val="7A345080"/>
    <w:rsid w:val="7A392CE7"/>
    <w:rsid w:val="7A5D4A19"/>
    <w:rsid w:val="7A6944AD"/>
    <w:rsid w:val="7A6E07B0"/>
    <w:rsid w:val="7A9861CB"/>
    <w:rsid w:val="7ACA5466"/>
    <w:rsid w:val="7AD45C10"/>
    <w:rsid w:val="7AE3328E"/>
    <w:rsid w:val="7AF53A9D"/>
    <w:rsid w:val="7B015340"/>
    <w:rsid w:val="7B025A25"/>
    <w:rsid w:val="7B0A6A9B"/>
    <w:rsid w:val="7B0D2818"/>
    <w:rsid w:val="7B186573"/>
    <w:rsid w:val="7B260F87"/>
    <w:rsid w:val="7B994E29"/>
    <w:rsid w:val="7BA838BD"/>
    <w:rsid w:val="7BD41347"/>
    <w:rsid w:val="7BD673E4"/>
    <w:rsid w:val="7BE32FBE"/>
    <w:rsid w:val="7C2B048D"/>
    <w:rsid w:val="7C996138"/>
    <w:rsid w:val="7C9B7124"/>
    <w:rsid w:val="7CB82DCD"/>
    <w:rsid w:val="7CBB6BA4"/>
    <w:rsid w:val="7CC37A67"/>
    <w:rsid w:val="7CE41AA1"/>
    <w:rsid w:val="7D0E5203"/>
    <w:rsid w:val="7D174F06"/>
    <w:rsid w:val="7D1A1482"/>
    <w:rsid w:val="7D244665"/>
    <w:rsid w:val="7D393862"/>
    <w:rsid w:val="7D6D0647"/>
    <w:rsid w:val="7D7035DC"/>
    <w:rsid w:val="7D831B33"/>
    <w:rsid w:val="7DA9460F"/>
    <w:rsid w:val="7DDF08AD"/>
    <w:rsid w:val="7DE65FBE"/>
    <w:rsid w:val="7DF81DFD"/>
    <w:rsid w:val="7DFF6F70"/>
    <w:rsid w:val="7E1640FB"/>
    <w:rsid w:val="7E370647"/>
    <w:rsid w:val="7E3A6DE8"/>
    <w:rsid w:val="7E3B2283"/>
    <w:rsid w:val="7E56329C"/>
    <w:rsid w:val="7E6C5B31"/>
    <w:rsid w:val="7E6F6EBC"/>
    <w:rsid w:val="7E73271F"/>
    <w:rsid w:val="7E7B3986"/>
    <w:rsid w:val="7E826950"/>
    <w:rsid w:val="7E9064E4"/>
    <w:rsid w:val="7E9A2761"/>
    <w:rsid w:val="7E9A50CB"/>
    <w:rsid w:val="7E9E2C4F"/>
    <w:rsid w:val="7E9F4D2C"/>
    <w:rsid w:val="7EA30CDC"/>
    <w:rsid w:val="7EBA320B"/>
    <w:rsid w:val="7EE77D52"/>
    <w:rsid w:val="7EF82D86"/>
    <w:rsid w:val="7F2F0053"/>
    <w:rsid w:val="7F431180"/>
    <w:rsid w:val="7F511D57"/>
    <w:rsid w:val="7F545C0A"/>
    <w:rsid w:val="7F631191"/>
    <w:rsid w:val="7F6C1BA5"/>
    <w:rsid w:val="7F6C4C7C"/>
    <w:rsid w:val="7F7405C7"/>
    <w:rsid w:val="7F8A7F3B"/>
    <w:rsid w:val="7F9D3DF9"/>
    <w:rsid w:val="7FC342F2"/>
    <w:rsid w:val="7FC90C93"/>
    <w:rsid w:val="7FEB7E92"/>
    <w:rsid w:val="7FFA2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99"/>
    <w:pPr>
      <w:keepNext/>
      <w:keepLines/>
      <w:spacing w:line="576" w:lineRule="auto"/>
      <w:jc w:val="center"/>
      <w:outlineLvl w:val="0"/>
    </w:pPr>
    <w:rPr>
      <w:rFonts w:ascii="Times New Roman" w:hAnsi="Times New Roman"/>
      <w:b/>
      <w:kern w:val="44"/>
      <w:sz w:val="32"/>
      <w:szCs w:val="20"/>
    </w:rPr>
  </w:style>
  <w:style w:type="paragraph" w:styleId="3">
    <w:name w:val="heading 2"/>
    <w:basedOn w:val="1"/>
    <w:next w:val="1"/>
    <w:link w:val="41"/>
    <w:qFormat/>
    <w:uiPriority w:val="99"/>
    <w:pPr>
      <w:keepNext/>
      <w:keepLines/>
      <w:spacing w:line="413" w:lineRule="auto"/>
      <w:jc w:val="left"/>
      <w:outlineLvl w:val="1"/>
    </w:pPr>
    <w:rPr>
      <w:rFonts w:ascii="Cambria" w:hAnsi="Cambria"/>
      <w:b/>
      <w:bCs/>
      <w:kern w:val="0"/>
      <w:sz w:val="32"/>
      <w:szCs w:val="32"/>
    </w:rPr>
  </w:style>
  <w:style w:type="paragraph" w:styleId="4">
    <w:name w:val="heading 3"/>
    <w:basedOn w:val="1"/>
    <w:next w:val="1"/>
    <w:link w:val="42"/>
    <w:qFormat/>
    <w:uiPriority w:val="99"/>
    <w:pPr>
      <w:keepNext/>
      <w:keepLines/>
      <w:spacing w:line="413" w:lineRule="auto"/>
      <w:outlineLvl w:val="2"/>
    </w:pPr>
    <w:rPr>
      <w:b/>
      <w:bCs/>
      <w:kern w:val="0"/>
      <w:sz w:val="32"/>
      <w:szCs w:val="32"/>
    </w:rPr>
  </w:style>
  <w:style w:type="paragraph" w:styleId="5">
    <w:name w:val="heading 4"/>
    <w:basedOn w:val="1"/>
    <w:next w:val="1"/>
    <w:link w:val="43"/>
    <w:qFormat/>
    <w:uiPriority w:val="99"/>
    <w:pPr>
      <w:keepNext/>
      <w:keepLines/>
      <w:jc w:val="left"/>
      <w:outlineLvl w:val="3"/>
    </w:pPr>
    <w:rPr>
      <w:rFonts w:ascii="Cambria" w:hAnsi="Cambria"/>
      <w:b/>
      <w:bCs/>
      <w:kern w:val="0"/>
      <w:sz w:val="28"/>
      <w:szCs w:val="28"/>
    </w:rPr>
  </w:style>
  <w:style w:type="paragraph" w:styleId="6">
    <w:name w:val="heading 5"/>
    <w:basedOn w:val="1"/>
    <w:next w:val="1"/>
    <w:link w:val="44"/>
    <w:qFormat/>
    <w:uiPriority w:val="99"/>
    <w:pPr>
      <w:keepNext/>
      <w:keepLines/>
      <w:spacing w:line="372" w:lineRule="auto"/>
      <w:outlineLvl w:val="4"/>
    </w:pPr>
    <w:rPr>
      <w:b/>
      <w:bCs/>
      <w:kern w:val="0"/>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List Number"/>
    <w:basedOn w:val="1"/>
    <w:qFormat/>
    <w:uiPriority w:val="99"/>
    <w:pPr>
      <w:numPr>
        <w:ilvl w:val="0"/>
        <w:numId w:val="1"/>
      </w:numPr>
    </w:pPr>
  </w:style>
  <w:style w:type="paragraph" w:styleId="8">
    <w:name w:val="Normal Indent"/>
    <w:basedOn w:val="1"/>
    <w:next w:val="9"/>
    <w:qFormat/>
    <w:uiPriority w:val="99"/>
    <w:pPr>
      <w:ind w:firstLine="420"/>
    </w:pPr>
    <w:rPr>
      <w:szCs w:val="20"/>
    </w:rPr>
  </w:style>
  <w:style w:type="paragraph" w:styleId="9">
    <w:name w:val="Body Text First Indent 2"/>
    <w:basedOn w:val="10"/>
    <w:unhideWhenUsed/>
    <w:qFormat/>
    <w:locked/>
    <w:uiPriority w:val="0"/>
    <w:pPr>
      <w:ind w:firstLine="420" w:firstLineChars="200"/>
    </w:pPr>
  </w:style>
  <w:style w:type="paragraph" w:styleId="10">
    <w:name w:val="Body Text Indent"/>
    <w:basedOn w:val="1"/>
    <w:link w:val="50"/>
    <w:qFormat/>
    <w:uiPriority w:val="99"/>
    <w:pPr>
      <w:ind w:left="420" w:leftChars="200"/>
    </w:pPr>
    <w:rPr>
      <w:kern w:val="0"/>
      <w:sz w:val="20"/>
      <w:szCs w:val="20"/>
    </w:rPr>
  </w:style>
  <w:style w:type="paragraph" w:styleId="11">
    <w:name w:val="Document Map"/>
    <w:basedOn w:val="1"/>
    <w:link w:val="49"/>
    <w:qFormat/>
    <w:uiPriority w:val="99"/>
    <w:rPr>
      <w:rFonts w:ascii="宋体"/>
      <w:sz w:val="18"/>
      <w:szCs w:val="18"/>
    </w:rPr>
  </w:style>
  <w:style w:type="paragraph" w:styleId="12">
    <w:name w:val="annotation text"/>
    <w:basedOn w:val="1"/>
    <w:link w:val="45"/>
    <w:qFormat/>
    <w:uiPriority w:val="99"/>
    <w:pPr>
      <w:jc w:val="left"/>
    </w:pPr>
    <w:rPr>
      <w:rFonts w:ascii="宋体"/>
      <w:kern w:val="0"/>
      <w:sz w:val="22"/>
    </w:rPr>
  </w:style>
  <w:style w:type="paragraph" w:styleId="13">
    <w:name w:val="Body Text"/>
    <w:basedOn w:val="1"/>
    <w:next w:val="1"/>
    <w:link w:val="47"/>
    <w:qFormat/>
    <w:uiPriority w:val="99"/>
    <w:rPr>
      <w:kern w:val="0"/>
      <w:sz w:val="20"/>
      <w:szCs w:val="20"/>
    </w:rPr>
  </w:style>
  <w:style w:type="paragraph" w:styleId="14">
    <w:name w:val="toc 3"/>
    <w:basedOn w:val="1"/>
    <w:next w:val="1"/>
    <w:qFormat/>
    <w:uiPriority w:val="99"/>
    <w:pPr>
      <w:ind w:left="840" w:leftChars="400"/>
    </w:pPr>
  </w:style>
  <w:style w:type="paragraph" w:styleId="15">
    <w:name w:val="Plain Text"/>
    <w:basedOn w:val="1"/>
    <w:link w:val="51"/>
    <w:qFormat/>
    <w:uiPriority w:val="99"/>
    <w:pPr>
      <w:spacing w:line="324" w:lineRule="auto"/>
    </w:pPr>
    <w:rPr>
      <w:rFonts w:ascii="宋体" w:hAnsi="Courier New"/>
      <w:kern w:val="0"/>
      <w:szCs w:val="21"/>
    </w:rPr>
  </w:style>
  <w:style w:type="paragraph" w:styleId="16">
    <w:name w:val="Date"/>
    <w:basedOn w:val="1"/>
    <w:next w:val="1"/>
    <w:link w:val="52"/>
    <w:qFormat/>
    <w:uiPriority w:val="99"/>
    <w:rPr>
      <w:kern w:val="0"/>
      <w:sz w:val="20"/>
      <w:szCs w:val="20"/>
    </w:rPr>
  </w:style>
  <w:style w:type="paragraph" w:styleId="17">
    <w:name w:val="Body Text Indent 2"/>
    <w:basedOn w:val="1"/>
    <w:link w:val="53"/>
    <w:qFormat/>
    <w:uiPriority w:val="99"/>
    <w:pPr>
      <w:spacing w:after="120" w:line="480" w:lineRule="auto"/>
      <w:ind w:left="420" w:leftChars="200"/>
    </w:pPr>
    <w:rPr>
      <w:kern w:val="0"/>
      <w:sz w:val="20"/>
      <w:szCs w:val="20"/>
    </w:rPr>
  </w:style>
  <w:style w:type="paragraph" w:styleId="18">
    <w:name w:val="Balloon Text"/>
    <w:basedOn w:val="1"/>
    <w:link w:val="54"/>
    <w:qFormat/>
    <w:uiPriority w:val="99"/>
    <w:rPr>
      <w:sz w:val="18"/>
      <w:szCs w:val="18"/>
    </w:rPr>
  </w:style>
  <w:style w:type="paragraph" w:styleId="19">
    <w:name w:val="footer"/>
    <w:basedOn w:val="1"/>
    <w:link w:val="55"/>
    <w:qFormat/>
    <w:uiPriority w:val="99"/>
    <w:pPr>
      <w:tabs>
        <w:tab w:val="center" w:pos="4153"/>
        <w:tab w:val="right" w:pos="8306"/>
      </w:tabs>
      <w:snapToGrid w:val="0"/>
      <w:jc w:val="left"/>
    </w:pPr>
    <w:rPr>
      <w:kern w:val="0"/>
      <w:sz w:val="18"/>
      <w:szCs w:val="18"/>
    </w:rPr>
  </w:style>
  <w:style w:type="paragraph" w:styleId="20">
    <w:name w:val="header"/>
    <w:basedOn w:val="1"/>
    <w:link w:val="56"/>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99"/>
  </w:style>
  <w:style w:type="paragraph" w:styleId="22">
    <w:name w:val="footnote text"/>
    <w:basedOn w:val="1"/>
    <w:link w:val="57"/>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58"/>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2"/>
    <w:next w:val="12"/>
    <w:link w:val="46"/>
    <w:qFormat/>
    <w:uiPriority w:val="99"/>
    <w:rPr>
      <w:rFonts w:ascii="Calibri"/>
      <w:b/>
      <w:bCs/>
      <w:kern w:val="2"/>
    </w:rPr>
  </w:style>
  <w:style w:type="paragraph" w:styleId="27">
    <w:name w:val="Body Text First Indent"/>
    <w:basedOn w:val="13"/>
    <w:link w:val="48"/>
    <w:qFormat/>
    <w:uiPriority w:val="99"/>
    <w:pPr>
      <w:ind w:firstLine="420" w:firstLineChars="1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b/>
      <w:sz w:val="24"/>
    </w:rPr>
  </w:style>
  <w:style w:type="character" w:styleId="32">
    <w:name w:val="page number"/>
    <w:basedOn w:val="30"/>
    <w:qFormat/>
    <w:uiPriority w:val="99"/>
    <w:rPr>
      <w:rFonts w:cs="Times New Roman"/>
    </w:rPr>
  </w:style>
  <w:style w:type="character" w:styleId="33">
    <w:name w:val="FollowedHyperlink"/>
    <w:basedOn w:val="30"/>
    <w:qFormat/>
    <w:uiPriority w:val="99"/>
    <w:rPr>
      <w:rFonts w:ascii="宋体" w:hAnsi="宋体" w:eastAsia="宋体" w:cs="Times New Roman"/>
      <w:color w:val="000000"/>
      <w:sz w:val="18"/>
      <w:u w:val="none"/>
    </w:rPr>
  </w:style>
  <w:style w:type="character" w:styleId="34">
    <w:name w:val="Emphasis"/>
    <w:basedOn w:val="30"/>
    <w:qFormat/>
    <w:uiPriority w:val="99"/>
    <w:rPr>
      <w:rFonts w:cs="Times New Roman"/>
      <w:i/>
    </w:rPr>
  </w:style>
  <w:style w:type="character" w:styleId="35">
    <w:name w:val="Hyperlink"/>
    <w:basedOn w:val="30"/>
    <w:qFormat/>
    <w:uiPriority w:val="99"/>
    <w:rPr>
      <w:rFonts w:cs="Times New Roman"/>
      <w:color w:val="0000FF"/>
      <w:u w:val="single"/>
    </w:rPr>
  </w:style>
  <w:style w:type="character" w:styleId="36">
    <w:name w:val="annotation reference"/>
    <w:basedOn w:val="30"/>
    <w:qFormat/>
    <w:uiPriority w:val="99"/>
    <w:rPr>
      <w:rFonts w:cs="Times New Roman"/>
      <w:sz w:val="21"/>
    </w:rPr>
  </w:style>
  <w:style w:type="character" w:styleId="37">
    <w:name w:val="HTML Cite"/>
    <w:basedOn w:val="30"/>
    <w:qFormat/>
    <w:uiPriority w:val="99"/>
    <w:rPr>
      <w:rFonts w:cs="Times New Roman"/>
      <w:sz w:val="24"/>
    </w:rPr>
  </w:style>
  <w:style w:type="character" w:styleId="38">
    <w:name w:val="footnote reference"/>
    <w:basedOn w:val="30"/>
    <w:qFormat/>
    <w:uiPriority w:val="99"/>
    <w:rPr>
      <w:rFonts w:cs="Times New Roman"/>
      <w:vertAlign w:val="superscript"/>
    </w:rPr>
  </w:style>
  <w:style w:type="paragraph" w:customStyle="1" w:styleId="39">
    <w:name w:val="无间隔1"/>
    <w:qFormat/>
    <w:uiPriority w:val="0"/>
    <w:rPr>
      <w:rFonts w:ascii="Times New Roman" w:hAnsi="Times New Roman" w:eastAsia="宋体" w:cs="Times New Roman"/>
      <w:kern w:val="2"/>
      <w:sz w:val="21"/>
      <w:szCs w:val="22"/>
      <w:lang w:val="en-US" w:eastAsia="zh-CN" w:bidi="ar-SA"/>
    </w:rPr>
  </w:style>
  <w:style w:type="character" w:customStyle="1" w:styleId="40">
    <w:name w:val="标题 1 Char"/>
    <w:basedOn w:val="30"/>
    <w:link w:val="2"/>
    <w:qFormat/>
    <w:locked/>
    <w:uiPriority w:val="99"/>
    <w:rPr>
      <w:rFonts w:ascii="Times New Roman" w:hAnsi="Times New Roman" w:eastAsia="宋体"/>
      <w:b/>
      <w:kern w:val="44"/>
      <w:sz w:val="32"/>
    </w:rPr>
  </w:style>
  <w:style w:type="character" w:customStyle="1" w:styleId="41">
    <w:name w:val="标题 2 Char"/>
    <w:basedOn w:val="30"/>
    <w:link w:val="3"/>
    <w:semiHidden/>
    <w:qFormat/>
    <w:locked/>
    <w:uiPriority w:val="99"/>
    <w:rPr>
      <w:rFonts w:ascii="Cambria" w:hAnsi="Cambria" w:eastAsia="宋体"/>
      <w:b/>
      <w:sz w:val="32"/>
    </w:rPr>
  </w:style>
  <w:style w:type="character" w:customStyle="1" w:styleId="42">
    <w:name w:val="标题 3 Char"/>
    <w:basedOn w:val="30"/>
    <w:link w:val="4"/>
    <w:semiHidden/>
    <w:qFormat/>
    <w:locked/>
    <w:uiPriority w:val="99"/>
    <w:rPr>
      <w:rFonts w:ascii="Calibri" w:hAnsi="Calibri"/>
      <w:b/>
      <w:sz w:val="32"/>
    </w:rPr>
  </w:style>
  <w:style w:type="character" w:customStyle="1" w:styleId="43">
    <w:name w:val="标题 4 Char"/>
    <w:basedOn w:val="30"/>
    <w:link w:val="5"/>
    <w:semiHidden/>
    <w:qFormat/>
    <w:locked/>
    <w:uiPriority w:val="99"/>
    <w:rPr>
      <w:rFonts w:ascii="Cambria" w:hAnsi="Cambria" w:eastAsia="宋体"/>
      <w:b/>
      <w:sz w:val="28"/>
    </w:rPr>
  </w:style>
  <w:style w:type="character" w:customStyle="1" w:styleId="44">
    <w:name w:val="标题 5 Char"/>
    <w:basedOn w:val="30"/>
    <w:link w:val="6"/>
    <w:semiHidden/>
    <w:qFormat/>
    <w:locked/>
    <w:uiPriority w:val="99"/>
    <w:rPr>
      <w:rFonts w:ascii="Calibri" w:hAnsi="Calibri"/>
      <w:b/>
      <w:sz w:val="28"/>
    </w:rPr>
  </w:style>
  <w:style w:type="character" w:customStyle="1" w:styleId="45">
    <w:name w:val="批注文字 Char"/>
    <w:basedOn w:val="30"/>
    <w:link w:val="12"/>
    <w:qFormat/>
    <w:locked/>
    <w:uiPriority w:val="99"/>
    <w:rPr>
      <w:rFonts w:ascii="宋体" w:hAnsi="Calibri" w:eastAsia="宋体"/>
      <w:sz w:val="22"/>
    </w:rPr>
  </w:style>
  <w:style w:type="character" w:customStyle="1" w:styleId="46">
    <w:name w:val="批注主题 Char"/>
    <w:basedOn w:val="45"/>
    <w:link w:val="26"/>
    <w:qFormat/>
    <w:locked/>
    <w:uiPriority w:val="99"/>
    <w:rPr>
      <w:rFonts w:ascii="Calibri" w:hAnsi="Calibri" w:eastAsia="宋体"/>
      <w:b/>
      <w:kern w:val="2"/>
      <w:sz w:val="22"/>
    </w:rPr>
  </w:style>
  <w:style w:type="character" w:customStyle="1" w:styleId="47">
    <w:name w:val="正文文本 Char"/>
    <w:basedOn w:val="30"/>
    <w:link w:val="13"/>
    <w:semiHidden/>
    <w:qFormat/>
    <w:locked/>
    <w:uiPriority w:val="99"/>
    <w:rPr>
      <w:rFonts w:ascii="Calibri" w:hAnsi="Calibri"/>
    </w:rPr>
  </w:style>
  <w:style w:type="character" w:customStyle="1" w:styleId="48">
    <w:name w:val="正文首行缩进 Char"/>
    <w:basedOn w:val="47"/>
    <w:link w:val="27"/>
    <w:semiHidden/>
    <w:qFormat/>
    <w:locked/>
    <w:uiPriority w:val="99"/>
    <w:rPr>
      <w:rFonts w:ascii="Calibri" w:hAnsi="Calibri" w:cs="Times New Roman"/>
    </w:rPr>
  </w:style>
  <w:style w:type="character" w:customStyle="1" w:styleId="49">
    <w:name w:val="文档结构图 Char"/>
    <w:basedOn w:val="30"/>
    <w:link w:val="11"/>
    <w:qFormat/>
    <w:locked/>
    <w:uiPriority w:val="99"/>
    <w:rPr>
      <w:rFonts w:ascii="宋体" w:hAnsi="Calibri"/>
      <w:kern w:val="2"/>
      <w:sz w:val="18"/>
    </w:rPr>
  </w:style>
  <w:style w:type="character" w:customStyle="1" w:styleId="50">
    <w:name w:val="正文文本缩进 Char"/>
    <w:basedOn w:val="30"/>
    <w:link w:val="10"/>
    <w:semiHidden/>
    <w:qFormat/>
    <w:locked/>
    <w:uiPriority w:val="99"/>
    <w:rPr>
      <w:rFonts w:ascii="Calibri" w:hAnsi="Calibri"/>
    </w:rPr>
  </w:style>
  <w:style w:type="character" w:customStyle="1" w:styleId="51">
    <w:name w:val="纯文本 Char"/>
    <w:basedOn w:val="30"/>
    <w:link w:val="15"/>
    <w:semiHidden/>
    <w:qFormat/>
    <w:locked/>
    <w:uiPriority w:val="99"/>
    <w:rPr>
      <w:rFonts w:ascii="宋体" w:hAnsi="Courier New"/>
      <w:sz w:val="21"/>
    </w:rPr>
  </w:style>
  <w:style w:type="character" w:customStyle="1" w:styleId="52">
    <w:name w:val="日期 Char"/>
    <w:basedOn w:val="30"/>
    <w:link w:val="16"/>
    <w:semiHidden/>
    <w:qFormat/>
    <w:locked/>
    <w:uiPriority w:val="99"/>
    <w:rPr>
      <w:rFonts w:ascii="Calibri" w:hAnsi="Calibri"/>
    </w:rPr>
  </w:style>
  <w:style w:type="character" w:customStyle="1" w:styleId="53">
    <w:name w:val="正文文本缩进 2 Char"/>
    <w:basedOn w:val="30"/>
    <w:link w:val="17"/>
    <w:semiHidden/>
    <w:qFormat/>
    <w:locked/>
    <w:uiPriority w:val="99"/>
    <w:rPr>
      <w:rFonts w:ascii="Calibri" w:hAnsi="Calibri"/>
    </w:rPr>
  </w:style>
  <w:style w:type="character" w:customStyle="1" w:styleId="54">
    <w:name w:val="批注框文本 Char"/>
    <w:basedOn w:val="30"/>
    <w:link w:val="18"/>
    <w:qFormat/>
    <w:locked/>
    <w:uiPriority w:val="99"/>
    <w:rPr>
      <w:rFonts w:ascii="Calibri" w:hAnsi="Calibri" w:eastAsia="宋体"/>
      <w:kern w:val="2"/>
      <w:sz w:val="18"/>
    </w:rPr>
  </w:style>
  <w:style w:type="character" w:customStyle="1" w:styleId="55">
    <w:name w:val="页脚 Char"/>
    <w:basedOn w:val="30"/>
    <w:link w:val="19"/>
    <w:semiHidden/>
    <w:qFormat/>
    <w:locked/>
    <w:uiPriority w:val="99"/>
    <w:rPr>
      <w:rFonts w:ascii="Calibri" w:hAnsi="Calibri"/>
      <w:sz w:val="18"/>
    </w:rPr>
  </w:style>
  <w:style w:type="character" w:customStyle="1" w:styleId="56">
    <w:name w:val="页眉 Char"/>
    <w:basedOn w:val="30"/>
    <w:link w:val="20"/>
    <w:semiHidden/>
    <w:qFormat/>
    <w:locked/>
    <w:uiPriority w:val="99"/>
    <w:rPr>
      <w:rFonts w:ascii="Calibri" w:hAnsi="Calibri"/>
      <w:sz w:val="18"/>
    </w:rPr>
  </w:style>
  <w:style w:type="character" w:customStyle="1" w:styleId="57">
    <w:name w:val="脚注文本 Char"/>
    <w:basedOn w:val="30"/>
    <w:link w:val="22"/>
    <w:semiHidden/>
    <w:qFormat/>
    <w:locked/>
    <w:uiPriority w:val="99"/>
    <w:rPr>
      <w:rFonts w:ascii="Calibri" w:hAnsi="Calibri"/>
      <w:sz w:val="18"/>
    </w:rPr>
  </w:style>
  <w:style w:type="character" w:customStyle="1" w:styleId="58">
    <w:name w:val="正文文本 2 Char"/>
    <w:basedOn w:val="30"/>
    <w:link w:val="24"/>
    <w:semiHidden/>
    <w:qFormat/>
    <w:locked/>
    <w:uiPriority w:val="99"/>
    <w:rPr>
      <w:rFonts w:ascii="Calibri" w:hAnsi="Calibri"/>
    </w:rPr>
  </w:style>
  <w:style w:type="paragraph" w:customStyle="1" w:styleId="59">
    <w:name w:val="Char2 Char Char Char"/>
    <w:basedOn w:val="1"/>
    <w:qFormat/>
    <w:uiPriority w:val="99"/>
    <w:rPr>
      <w:rFonts w:ascii="Tahoma" w:hAnsi="Tahoma"/>
      <w:sz w:val="24"/>
      <w:szCs w:val="20"/>
    </w:rPr>
  </w:style>
  <w:style w:type="paragraph" w:customStyle="1" w:styleId="60">
    <w:name w:val="列出段落1"/>
    <w:basedOn w:val="1"/>
    <w:qFormat/>
    <w:uiPriority w:val="99"/>
    <w:pPr>
      <w:ind w:firstLine="420" w:firstLineChars="200"/>
    </w:pPr>
  </w:style>
  <w:style w:type="character" w:customStyle="1" w:styleId="61">
    <w:name w:val="10"/>
    <w:qFormat/>
    <w:uiPriority w:val="99"/>
    <w:rPr>
      <w:rFonts w:ascii="Calibri" w:hAnsi="Calibri"/>
    </w:rPr>
  </w:style>
  <w:style w:type="character" w:customStyle="1" w:styleId="62">
    <w:name w:val="15"/>
    <w:qFormat/>
    <w:uiPriority w:val="99"/>
    <w:rPr>
      <w:rFonts w:ascii="Calibri" w:hAnsi="Calibri"/>
      <w:i/>
    </w:rPr>
  </w:style>
  <w:style w:type="paragraph" w:customStyle="1" w:styleId="63">
    <w:name w:val="_Style 2"/>
    <w:basedOn w:val="1"/>
    <w:qFormat/>
    <w:uiPriority w:val="99"/>
    <w:pPr>
      <w:ind w:firstLine="420" w:firstLineChars="200"/>
    </w:pPr>
  </w:style>
  <w:style w:type="character" w:customStyle="1" w:styleId="64">
    <w:name w:val="apple-style-span"/>
    <w:qFormat/>
    <w:uiPriority w:val="99"/>
  </w:style>
  <w:style w:type="character" w:customStyle="1" w:styleId="65">
    <w:name w:val="del"/>
    <w:qFormat/>
    <w:uiPriority w:val="99"/>
  </w:style>
  <w:style w:type="character" w:customStyle="1" w:styleId="66">
    <w:name w:val="del1"/>
    <w:qFormat/>
    <w:uiPriority w:val="99"/>
    <w:rPr>
      <w:vanish/>
      <w:color w:val="666666"/>
      <w:sz w:val="18"/>
      <w:u w:val="single"/>
    </w:rPr>
  </w:style>
  <w:style w:type="character" w:customStyle="1" w:styleId="67">
    <w:name w:val="del2"/>
    <w:qFormat/>
    <w:uiPriority w:val="99"/>
    <w:rPr>
      <w:vanish/>
    </w:rPr>
  </w:style>
  <w:style w:type="character" w:customStyle="1" w:styleId="68">
    <w:name w:val="del3"/>
    <w:qFormat/>
    <w:uiPriority w:val="99"/>
    <w:rPr>
      <w:vanish/>
    </w:rPr>
  </w:style>
  <w:style w:type="paragraph" w:customStyle="1" w:styleId="69">
    <w:name w:val="列出段落2"/>
    <w:basedOn w:val="1"/>
    <w:qFormat/>
    <w:uiPriority w:val="99"/>
    <w:pPr>
      <w:ind w:firstLine="420" w:firstLineChars="200"/>
    </w:pPr>
    <w:rPr>
      <w:rFonts w:ascii="宋体"/>
      <w:sz w:val="28"/>
    </w:rPr>
  </w:style>
  <w:style w:type="paragraph" w:customStyle="1" w:styleId="70">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1">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2">
    <w:name w:val="列出段落3"/>
    <w:basedOn w:val="1"/>
    <w:qFormat/>
    <w:uiPriority w:val="99"/>
    <w:pPr>
      <w:ind w:firstLine="420" w:firstLineChars="200"/>
    </w:pPr>
    <w:rPr>
      <w:rFonts w:ascii="宋体"/>
      <w:sz w:val="28"/>
    </w:rPr>
  </w:style>
  <w:style w:type="paragraph" w:customStyle="1" w:styleId="73">
    <w:name w:val="list number ＋left spaceing"/>
    <w:basedOn w:val="7"/>
    <w:qFormat/>
    <w:uiPriority w:val="99"/>
    <w:pPr>
      <w:widowControl/>
      <w:tabs>
        <w:tab w:val="left" w:pos="839"/>
      </w:tabs>
      <w:ind w:left="0" w:firstLine="0"/>
      <w:jc w:val="left"/>
    </w:pPr>
    <w:rPr>
      <w:kern w:val="0"/>
    </w:rPr>
  </w:style>
  <w:style w:type="paragraph" w:customStyle="1" w:styleId="74">
    <w:name w:val="正文框"/>
    <w:basedOn w:val="1"/>
    <w:qFormat/>
    <w:uiPriority w:val="99"/>
    <w:pPr>
      <w:widowControl/>
      <w:adjustRightInd w:val="0"/>
      <w:spacing w:line="312" w:lineRule="atLeast"/>
      <w:jc w:val="left"/>
      <w:textAlignment w:val="baseline"/>
    </w:pPr>
    <w:rPr>
      <w:sz w:val="24"/>
    </w:rPr>
  </w:style>
  <w:style w:type="paragraph" w:customStyle="1" w:styleId="75">
    <w:name w:val="Char"/>
    <w:basedOn w:val="1"/>
    <w:qFormat/>
    <w:uiPriority w:val="99"/>
    <w:pPr>
      <w:jc w:val="left"/>
    </w:pPr>
    <w:rPr>
      <w:rFonts w:ascii="Tahoma" w:hAnsi="Tahoma"/>
      <w:sz w:val="24"/>
      <w:szCs w:val="20"/>
    </w:rPr>
  </w:style>
  <w:style w:type="character" w:customStyle="1" w:styleId="76">
    <w:name w:val="font11"/>
    <w:qFormat/>
    <w:uiPriority w:val="99"/>
    <w:rPr>
      <w:rFonts w:ascii="宋体" w:hAnsi="宋体" w:eastAsia="宋体"/>
      <w:color w:val="000000"/>
      <w:sz w:val="22"/>
      <w:u w:val="none"/>
    </w:rPr>
  </w:style>
  <w:style w:type="character" w:customStyle="1" w:styleId="77">
    <w:name w:val="font61"/>
    <w:qFormat/>
    <w:uiPriority w:val="99"/>
    <w:rPr>
      <w:rFonts w:ascii="Tahoma" w:hAnsi="Tahoma"/>
      <w:color w:val="000000"/>
      <w:sz w:val="22"/>
      <w:u w:val="none"/>
    </w:rPr>
  </w:style>
  <w:style w:type="character" w:customStyle="1" w:styleId="78">
    <w:name w:val="font01"/>
    <w:qFormat/>
    <w:uiPriority w:val="99"/>
    <w:rPr>
      <w:rFonts w:ascii="宋体" w:hAnsi="宋体" w:eastAsia="宋体"/>
      <w:b/>
      <w:color w:val="000000"/>
      <w:sz w:val="24"/>
      <w:u w:val="none"/>
    </w:rPr>
  </w:style>
  <w:style w:type="paragraph" w:customStyle="1" w:styleId="79">
    <w:name w:val="列出段落4"/>
    <w:basedOn w:val="1"/>
    <w:qFormat/>
    <w:uiPriority w:val="99"/>
    <w:pPr>
      <w:ind w:firstLine="420" w:firstLineChars="200"/>
    </w:pPr>
  </w:style>
  <w:style w:type="paragraph" w:customStyle="1" w:styleId="80">
    <w:name w:val="列出段落5"/>
    <w:basedOn w:val="1"/>
    <w:qFormat/>
    <w:uiPriority w:val="99"/>
    <w:pPr>
      <w:ind w:firstLine="420" w:firstLineChars="200"/>
    </w:pPr>
  </w:style>
  <w:style w:type="paragraph" w:customStyle="1" w:styleId="81">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2">
    <w:name w:val="列出段落11"/>
    <w:basedOn w:val="1"/>
    <w:qFormat/>
    <w:uiPriority w:val="99"/>
    <w:pPr>
      <w:ind w:firstLine="420" w:firstLineChars="200"/>
    </w:pPr>
  </w:style>
  <w:style w:type="paragraph" w:customStyle="1" w:styleId="83">
    <w:name w:val="列出段落6"/>
    <w:basedOn w:val="1"/>
    <w:qFormat/>
    <w:uiPriority w:val="99"/>
    <w:pPr>
      <w:widowControl/>
      <w:spacing w:after="200" w:line="276" w:lineRule="auto"/>
      <w:ind w:left="720"/>
      <w:contextualSpacing/>
      <w:jc w:val="left"/>
    </w:pPr>
    <w:rPr>
      <w:kern w:val="0"/>
      <w:sz w:val="22"/>
    </w:rPr>
  </w:style>
  <w:style w:type="paragraph" w:customStyle="1" w:styleId="84">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5">
    <w:name w:val="Default"/>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paragraph" w:customStyle="1" w:styleId="86">
    <w:name w:val="_Style 3"/>
    <w:basedOn w:val="1"/>
    <w:qFormat/>
    <w:uiPriority w:val="99"/>
    <w:pPr>
      <w:widowControl/>
      <w:ind w:firstLine="420"/>
    </w:pPr>
    <w:rPr>
      <w:rFonts w:ascii="等线" w:hAnsi="等线" w:eastAsia="等线" w:cs="宋体"/>
      <w:szCs w:val="21"/>
    </w:rPr>
  </w:style>
  <w:style w:type="paragraph" w:customStyle="1" w:styleId="87">
    <w:name w:val="_Style 1"/>
    <w:basedOn w:val="1"/>
    <w:qFormat/>
    <w:uiPriority w:val="99"/>
    <w:pPr>
      <w:ind w:firstLine="420" w:firstLineChars="200"/>
    </w:pPr>
    <w:rPr>
      <w:szCs w:val="21"/>
    </w:rPr>
  </w:style>
  <w:style w:type="paragraph" w:customStyle="1" w:styleId="88">
    <w:name w:val="List Paragraph1"/>
    <w:basedOn w:val="1"/>
    <w:qFormat/>
    <w:uiPriority w:val="99"/>
    <w:pPr>
      <w:ind w:firstLine="420" w:firstLineChars="200"/>
    </w:pPr>
    <w:rPr>
      <w:szCs w:val="21"/>
    </w:rPr>
  </w:style>
  <w:style w:type="paragraph" w:customStyle="1" w:styleId="89">
    <w:name w:val="List Paragraph11"/>
    <w:basedOn w:val="1"/>
    <w:qFormat/>
    <w:uiPriority w:val="99"/>
    <w:pPr>
      <w:ind w:firstLine="420" w:firstLineChars="200"/>
    </w:pPr>
    <w:rPr>
      <w:szCs w:val="21"/>
    </w:rPr>
  </w:style>
  <w:style w:type="paragraph" w:customStyle="1" w:styleId="90">
    <w:name w:val="列出段落7"/>
    <w:basedOn w:val="1"/>
    <w:qFormat/>
    <w:uiPriority w:val="99"/>
    <w:pPr>
      <w:ind w:firstLine="420" w:firstLineChars="200"/>
    </w:pPr>
  </w:style>
  <w:style w:type="paragraph" w:customStyle="1" w:styleId="91">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2">
    <w:name w:val="title1"/>
    <w:basedOn w:val="1"/>
    <w:qFormat/>
    <w:uiPriority w:val="0"/>
    <w:pPr>
      <w:spacing w:before="150"/>
      <w:jc w:val="left"/>
    </w:pPr>
    <w:rPr>
      <w:b/>
      <w:kern w:val="0"/>
      <w:sz w:val="22"/>
    </w:rPr>
  </w:style>
  <w:style w:type="paragraph" w:customStyle="1" w:styleId="93">
    <w:name w:val="title12"/>
    <w:basedOn w:val="1"/>
    <w:qFormat/>
    <w:uiPriority w:val="0"/>
    <w:pPr>
      <w:spacing w:before="150"/>
      <w:jc w:val="left"/>
    </w:pPr>
    <w:rPr>
      <w:b/>
      <w:kern w:val="0"/>
      <w:sz w:val="22"/>
    </w:rPr>
  </w:style>
  <w:style w:type="character" w:customStyle="1" w:styleId="94">
    <w:name w:val="number"/>
    <w:basedOn w:val="30"/>
    <w:qFormat/>
    <w:uiPriority w:val="0"/>
    <w:rPr>
      <w:color w:val="FF8833"/>
      <w:sz w:val="18"/>
      <w:szCs w:val="18"/>
    </w:rPr>
  </w:style>
  <w:style w:type="character" w:customStyle="1" w:styleId="95">
    <w:name w:val="proollist"/>
    <w:basedOn w:val="30"/>
    <w:qFormat/>
    <w:uiPriority w:val="0"/>
  </w:style>
  <w:style w:type="character" w:customStyle="1" w:styleId="96">
    <w:name w:val="phone"/>
    <w:basedOn w:val="30"/>
    <w:qFormat/>
    <w:uiPriority w:val="0"/>
    <w:rPr>
      <w:color w:val="FF8833"/>
      <w:sz w:val="18"/>
      <w:szCs w:val="18"/>
    </w:rPr>
  </w:style>
  <w:style w:type="character" w:customStyle="1" w:styleId="97">
    <w:name w:val="beforeinfotext"/>
    <w:basedOn w:val="30"/>
    <w:qFormat/>
    <w:uiPriority w:val="0"/>
    <w:rPr>
      <w:color w:val="666666"/>
    </w:rPr>
  </w:style>
  <w:style w:type="character" w:customStyle="1" w:styleId="98">
    <w:name w:val="stclosebtn"/>
    <w:basedOn w:val="30"/>
    <w:qFormat/>
    <w:uiPriority w:val="0"/>
  </w:style>
  <w:style w:type="character" w:customStyle="1" w:styleId="99">
    <w:name w:val="gjfg"/>
    <w:basedOn w:val="30"/>
    <w:qFormat/>
    <w:uiPriority w:val="0"/>
  </w:style>
  <w:style w:type="character" w:customStyle="1" w:styleId="100">
    <w:name w:val="qxdate"/>
    <w:basedOn w:val="30"/>
    <w:qFormat/>
    <w:uiPriority w:val="0"/>
    <w:rPr>
      <w:color w:val="333333"/>
      <w:sz w:val="18"/>
      <w:szCs w:val="18"/>
    </w:rPr>
  </w:style>
  <w:style w:type="character" w:customStyle="1" w:styleId="101">
    <w:name w:val="cfdate"/>
    <w:basedOn w:val="30"/>
    <w:qFormat/>
    <w:uiPriority w:val="0"/>
    <w:rPr>
      <w:color w:val="333333"/>
      <w:sz w:val="18"/>
      <w:szCs w:val="18"/>
    </w:rPr>
  </w:style>
  <w:style w:type="character" w:customStyle="1" w:styleId="102">
    <w:name w:val="prev2"/>
    <w:basedOn w:val="30"/>
    <w:qFormat/>
    <w:uiPriority w:val="0"/>
    <w:rPr>
      <w:rFonts w:ascii="微软雅黑" w:hAnsi="微软雅黑" w:eastAsia="微软雅黑" w:cs="微软雅黑"/>
      <w:sz w:val="21"/>
      <w:szCs w:val="21"/>
    </w:rPr>
  </w:style>
  <w:style w:type="character" w:customStyle="1" w:styleId="103">
    <w:name w:val="displayarti"/>
    <w:basedOn w:val="30"/>
    <w:qFormat/>
    <w:uiPriority w:val="0"/>
    <w:rPr>
      <w:color w:val="FFFFFF"/>
      <w:shd w:val="clear" w:color="auto" w:fill="A00000"/>
    </w:rPr>
  </w:style>
  <w:style w:type="character" w:customStyle="1" w:styleId="104">
    <w:name w:val="redfilefwwh"/>
    <w:basedOn w:val="30"/>
    <w:qFormat/>
    <w:uiPriority w:val="0"/>
    <w:rPr>
      <w:color w:val="BA2636"/>
      <w:sz w:val="18"/>
      <w:szCs w:val="18"/>
    </w:rPr>
  </w:style>
  <w:style w:type="character" w:customStyle="1" w:styleId="105">
    <w:name w:val="redfilenumber"/>
    <w:basedOn w:val="30"/>
    <w:qFormat/>
    <w:uiPriority w:val="0"/>
    <w:rPr>
      <w:color w:val="BA2636"/>
      <w:sz w:val="18"/>
      <w:szCs w:val="18"/>
    </w:rPr>
  </w:style>
  <w:style w:type="character" w:customStyle="1" w:styleId="106">
    <w:name w:val="next2"/>
    <w:basedOn w:val="30"/>
    <w:qFormat/>
    <w:uiPriority w:val="0"/>
    <w:rPr>
      <w:rFonts w:hint="eastAsia" w:ascii="微软雅黑" w:hAnsi="微软雅黑" w:eastAsia="微软雅黑" w:cs="微软雅黑"/>
      <w:sz w:val="21"/>
      <w:szCs w:val="21"/>
    </w:rPr>
  </w:style>
  <w:style w:type="character" w:customStyle="1" w:styleId="107">
    <w:name w:val="next3"/>
    <w:basedOn w:val="30"/>
    <w:qFormat/>
    <w:uiPriority w:val="0"/>
    <w:rPr>
      <w:color w:val="888888"/>
    </w:rPr>
  </w:style>
  <w:style w:type="character" w:customStyle="1" w:styleId="108">
    <w:name w:val="prev"/>
    <w:basedOn w:val="30"/>
    <w:qFormat/>
    <w:uiPriority w:val="0"/>
    <w:rPr>
      <w:color w:val="888888"/>
    </w:rPr>
  </w:style>
  <w:style w:type="character" w:customStyle="1" w:styleId="109">
    <w:name w:val="prev1"/>
    <w:basedOn w:val="30"/>
    <w:qFormat/>
    <w:uiPriority w:val="0"/>
    <w:rPr>
      <w:rFonts w:hint="eastAsia" w:ascii="微软雅黑" w:hAnsi="微软雅黑" w:eastAsia="微软雅黑" w:cs="微软雅黑"/>
      <w:sz w:val="21"/>
      <w:szCs w:val="21"/>
    </w:rPr>
  </w:style>
  <w:style w:type="paragraph" w:customStyle="1" w:styleId="110">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customStyle="1" w:styleId="1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81" textRotate="1"/>
    <customShpInfo spid="_x0000_s2082" textRotate="1"/>
    <customShpInfo spid="_x0000_s2083" textRotate="1"/>
    <customShpInfo spid="_x0000_s2053"/>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ADB5D-8B36-43F5-9079-88E9FD4F2DE4}">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56</Pages>
  <Words>17165</Words>
  <Characters>19108</Characters>
  <Lines>130</Lines>
  <Paragraphs>36</Paragraphs>
  <TotalTime>6</TotalTime>
  <ScaleCrop>false</ScaleCrop>
  <LinksUpToDate>false</LinksUpToDate>
  <CharactersWithSpaces>20182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2020-07-25T01:52:00Z</dcterms:created>
  <dc:creator>Administrator</dc:creator>
  <cp:lastModifiedBy>じ☆veSunny</cp:lastModifiedBy>
  <cp:lastPrinted>2021-05-23T01:43:00Z</cp:lastPrinted>
  <dcterms:modified xsi:type="dcterms:W3CDTF">2022-07-18T07:28:10Z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9027EAFCCC9441E68013EF4C1CE620F6</vt:lpwstr>
  </property>
</Properties>
</file>