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w:pict>
          <v:shape id="_x0000_s1036" o:spid="_x0000_s1036" o:spt="202" type="#_x0000_t202" style="position:absolute;left:0pt;margin-left:326.15pt;margin-top:-20.4pt;height:29.15pt;width:117.7pt;z-index:251668480;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ind w:left="-240" w:leftChars="-100" w:firstLine="239" w:firstLineChars="66"/>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HZGH-2022-041-01</w:t>
      </w:r>
    </w:p>
    <w:p>
      <w:pPr>
        <w:widowControl/>
        <w:wordWrap w:val="0"/>
        <w:spacing w:line="560" w:lineRule="exact"/>
        <w:rPr>
          <w:rFonts w:hint="eastAsia" w:ascii="仿宋" w:hAnsi="仿宋" w:eastAsia="仿宋" w:cs="仿宋"/>
          <w:b/>
          <w:bCs/>
          <w:color w:val="auto"/>
          <w:spacing w:val="20"/>
          <w:kern w:val="0"/>
          <w:sz w:val="84"/>
          <w:szCs w:val="84"/>
          <w:highlight w:val="none"/>
        </w:rPr>
      </w:pPr>
    </w:p>
    <w:p>
      <w:pPr>
        <w:widowControl/>
        <w:spacing w:line="560" w:lineRule="exact"/>
        <w:jc w:val="both"/>
        <w:rPr>
          <w:rFonts w:hint="eastAsia" w:ascii="仿宋" w:hAnsi="仿宋" w:eastAsia="仿宋" w:cs="仿宋"/>
          <w:b/>
          <w:color w:val="auto"/>
          <w:sz w:val="52"/>
          <w:szCs w:val="52"/>
          <w:highlight w:val="none"/>
        </w:rPr>
      </w:pPr>
    </w:p>
    <w:p>
      <w:pPr>
        <w:spacing w:line="360" w:lineRule="auto"/>
        <w:jc w:val="center"/>
        <w:rPr>
          <w:rFonts w:hint="eastAsia" w:ascii="仿宋" w:hAnsi="仿宋" w:eastAsia="仿宋" w:cs="仿宋"/>
          <w:b/>
          <w:color w:val="auto"/>
          <w:sz w:val="40"/>
          <w:szCs w:val="40"/>
          <w:highlight w:val="none"/>
          <w:shd w:val="clear" w:color="auto" w:fill="FFFFFF"/>
        </w:rPr>
      </w:pPr>
      <w:r>
        <w:rPr>
          <w:rFonts w:hint="eastAsia" w:ascii="仿宋" w:hAnsi="仿宋" w:eastAsia="仿宋" w:cs="仿宋"/>
          <w:b/>
          <w:bCs/>
          <w:color w:val="auto"/>
          <w:sz w:val="52"/>
          <w:szCs w:val="52"/>
          <w:highlight w:val="none"/>
          <w:lang w:eastAsia="zh-CN"/>
        </w:rPr>
        <w:t>膈肌起搏器等医疗设备采购项目</w:t>
      </w:r>
    </w:p>
    <w:p>
      <w:pPr>
        <w:spacing w:beforeLines="50" w:line="560" w:lineRule="exact"/>
        <w:jc w:val="center"/>
        <w:rPr>
          <w:rFonts w:hint="eastAsia" w:ascii="仿宋" w:hAnsi="仿宋" w:eastAsia="仿宋" w:cs="仿宋"/>
          <w:b/>
          <w:bCs/>
          <w:color w:val="auto"/>
          <w:spacing w:val="20"/>
          <w:kern w:val="0"/>
          <w:sz w:val="72"/>
          <w:szCs w:val="72"/>
          <w:highlight w:val="none"/>
        </w:rPr>
      </w:pPr>
    </w:p>
    <w:p>
      <w:pPr>
        <w:spacing w:beforeLines="50" w:line="560" w:lineRule="exact"/>
        <w:jc w:val="center"/>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spacing w:beforeLines="70" w:line="560" w:lineRule="exact"/>
        <w:jc w:val="center"/>
        <w:rPr>
          <w:rFonts w:hint="eastAsia" w:ascii="仿宋" w:hAnsi="仿宋" w:eastAsia="仿宋" w:cs="仿宋"/>
          <w:b/>
          <w:bCs/>
          <w:color w:val="auto"/>
          <w:sz w:val="32"/>
          <w:szCs w:val="32"/>
          <w:highlight w:val="none"/>
          <w:lang w:val="en-US" w:eastAsia="zh-CN"/>
        </w:rPr>
      </w:pPr>
    </w:p>
    <w:p>
      <w:pPr>
        <w:spacing w:beforeLines="70" w:line="56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第一标段：智能六分钟步行监测分析系统、膈肌起搏器、免疫印迹分析仪、遥测中央多参数监护系统、肌电图/诱发电位仪采购</w:t>
      </w:r>
    </w:p>
    <w:p>
      <w:pPr>
        <w:spacing w:beforeLines="70" w:line="560" w:lineRule="exact"/>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3360" behindDoc="1" locked="0" layoutInCell="1" allowOverlap="1">
            <wp:simplePos x="0" y="0"/>
            <wp:positionH relativeFrom="column">
              <wp:posOffset>2034540</wp:posOffset>
            </wp:positionH>
            <wp:positionV relativeFrom="paragraph">
              <wp:posOffset>123190</wp:posOffset>
            </wp:positionV>
            <wp:extent cx="1466215" cy="1390650"/>
            <wp:effectExtent l="0" t="0" r="1206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35"/>
                    <a:stretch>
                      <a:fillRect/>
                    </a:stretch>
                  </pic:blipFill>
                  <pic:spPr>
                    <a:xfrm>
                      <a:off x="0" y="0"/>
                      <a:ext cx="1466215" cy="1390650"/>
                    </a:xfrm>
                    <a:prstGeom prst="rect">
                      <a:avLst/>
                    </a:prstGeom>
                  </pic:spPr>
                </pic:pic>
              </a:graphicData>
            </a:graphic>
          </wp:anchor>
        </w:drawing>
      </w: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pStyle w:val="16"/>
        <w:rPr>
          <w:rFonts w:hint="eastAsia" w:ascii="仿宋" w:hAnsi="仿宋" w:eastAsia="仿宋" w:cs="仿宋"/>
          <w:color w:val="auto"/>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640" w:lineRule="exact"/>
        <w:ind w:left="0" w:leftChars="0" w:firstLine="1446" w:firstLineChars="450"/>
        <w:jc w:val="both"/>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lang w:eastAsia="zh-CN"/>
        </w:rPr>
        <w:t>人：陕西省第二人民医院</w:t>
      </w: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highlight w:val="none"/>
          <w:lang w:eastAsia="zh-CN"/>
        </w:rPr>
      </w:pPr>
      <w:r>
        <w:rPr>
          <w:rFonts w:hint="eastAsia" w:ascii="仿宋" w:hAnsi="仿宋" w:eastAsia="仿宋" w:cs="仿宋"/>
          <w:b/>
          <w:bCs/>
          <w:color w:val="auto"/>
          <w:sz w:val="32"/>
          <w:szCs w:val="32"/>
          <w:highlight w:val="none"/>
          <w:lang w:eastAsia="zh-CN"/>
        </w:rPr>
        <w:t>采购代理机构：华招广和项目管理有限公司</w:t>
      </w:r>
    </w:p>
    <w:p>
      <w:pPr>
        <w:spacing w:beforeLines="70" w:line="560" w:lineRule="exact"/>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w:t>
      </w:r>
      <w:r>
        <w:rPr>
          <w:rFonts w:hint="eastAsia" w:ascii="仿宋" w:hAnsi="仿宋" w:eastAsia="仿宋" w:cs="仿宋"/>
          <w:b/>
          <w:bCs/>
          <w:color w:val="auto"/>
          <w:sz w:val="32"/>
          <w:szCs w:val="32"/>
          <w:highlight w:val="none"/>
          <w:lang w:val="en-US" w:eastAsia="zh-CN"/>
        </w:rPr>
        <w:t>二二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月</w:t>
      </w:r>
    </w:p>
    <w:p>
      <w:pPr>
        <w:rPr>
          <w:rFonts w:hint="eastAsia" w:ascii="仿宋" w:hAnsi="仿宋" w:eastAsia="仿宋" w:cs="仿宋"/>
          <w:color w:val="auto"/>
          <w:sz w:val="48"/>
          <w:szCs w:val="48"/>
          <w:highlight w:val="none"/>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sz w:val="48"/>
          <w:szCs w:val="48"/>
          <w:highlight w:val="none"/>
          <w:lang w:val="zh-CN"/>
        </w:rPr>
        <w:br w:type="page"/>
      </w:r>
    </w:p>
    <w:p>
      <w:pPr>
        <w:jc w:val="center"/>
        <w:rPr>
          <w:rFonts w:hint="eastAsia" w:ascii="仿宋" w:hAnsi="仿宋" w:eastAsia="仿宋" w:cs="仿宋"/>
          <w:color w:val="auto"/>
          <w:sz w:val="48"/>
          <w:szCs w:val="48"/>
          <w:highlight w:val="none"/>
          <w:lang w:val="zh-CN"/>
        </w:rPr>
      </w:pPr>
    </w:p>
    <w:p>
      <w:pPr>
        <w:jc w:val="center"/>
        <w:rPr>
          <w:rFonts w:hint="eastAsia"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ind w:firstLine="422"/>
        <w:rPr>
          <w:rFonts w:hint="eastAsia" w:ascii="仿宋" w:hAnsi="仿宋" w:eastAsia="仿宋" w:cs="仿宋"/>
          <w:b/>
          <w:color w:val="auto"/>
          <w:sz w:val="21"/>
          <w:szCs w:val="21"/>
          <w:highlight w:val="none"/>
        </w:rPr>
      </w:pPr>
    </w:p>
    <w:p>
      <w:pPr>
        <w:spacing w:line="560" w:lineRule="exact"/>
        <w:ind w:firstLine="422"/>
        <w:rPr>
          <w:rFonts w:hint="eastAsia" w:ascii="仿宋" w:hAnsi="仿宋" w:eastAsia="仿宋" w:cs="仿宋"/>
          <w:b/>
          <w:color w:val="auto"/>
          <w:szCs w:val="24"/>
          <w:highlight w:val="none"/>
        </w:rPr>
      </w:pPr>
    </w:p>
    <w:p>
      <w:pPr>
        <w:spacing w:line="560" w:lineRule="exact"/>
        <w:ind w:left="0" w:leftChars="0" w:firstLine="0"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各投标人</w:t>
      </w:r>
      <w:r>
        <w:rPr>
          <w:rFonts w:hint="eastAsia" w:ascii="仿宋" w:hAnsi="仿宋" w:eastAsia="仿宋" w:cs="仿宋"/>
          <w:color w:val="auto"/>
          <w:szCs w:val="24"/>
          <w:highlight w:val="none"/>
        </w:rPr>
        <w:t>：在此我们特别善意地提醒您注意！</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1、请您仔细地阅读招标文件并正确理解招标文件中各项具体要求。</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2、请您严格按照招标文件载明的投标文件格式要求编制投标文件。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3、请您按照招标文件要求密封投标文件。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4、请您明确标记投标文件的正本、副本。</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5、请于购买招标文件后按照规定及时递交投标保证金。</w:t>
      </w:r>
    </w:p>
    <w:p>
      <w:pPr>
        <w:tabs>
          <w:tab w:val="left" w:pos="1064"/>
        </w:tabs>
        <w:spacing w:line="560" w:lineRule="exact"/>
        <w:ind w:firstLine="422"/>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6、如在投标文件递交截止时间前放弃本次投标，请以书面形式发出弃标函。</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7、请您于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14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CN"/>
        </w:rPr>
        <w:t>0</w:t>
      </w:r>
      <w:r>
        <w:rPr>
          <w:rFonts w:hint="eastAsia" w:ascii="仿宋" w:hAnsi="仿宋" w:eastAsia="仿宋" w:cs="仿宋"/>
          <w:color w:val="auto"/>
          <w:szCs w:val="24"/>
          <w:highlight w:val="none"/>
        </w:rPr>
        <w:t>前，准时到</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会议室（西安市朱雀大街南段1号汇成天玺C座18层1818室）递交投标文件并参加开标会议，避免迟误。</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8、请您到达开标会议地点后及时到签到处签字登记。</w:t>
      </w:r>
    </w:p>
    <w:p>
      <w:pPr>
        <w:tabs>
          <w:tab w:val="left" w:pos="1064"/>
        </w:tabs>
        <w:spacing w:line="560" w:lineRule="exact"/>
        <w:ind w:firstLine="420"/>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numPr>
          <w:ilvl w:val="0"/>
          <w:numId w:val="2"/>
        </w:num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b w:val="0"/>
          <w:bCs w:val="0"/>
          <w:color w:val="auto"/>
          <w:szCs w:val="24"/>
          <w:highlight w:val="none"/>
          <w:lang w:eastAsia="zh-CN"/>
        </w:rPr>
        <w:t>投标人</w:t>
      </w:r>
      <w:r>
        <w:rPr>
          <w:rFonts w:hint="eastAsia" w:ascii="仿宋" w:hAnsi="仿宋" w:eastAsia="仿宋" w:cs="仿宋"/>
          <w:b w:val="0"/>
          <w:bCs w:val="0"/>
          <w:color w:val="auto"/>
          <w:szCs w:val="24"/>
          <w:highlight w:val="none"/>
        </w:rPr>
        <w:t>只需拟派1人参与本项目</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须注册</w:t>
      </w:r>
      <w:r>
        <w:rPr>
          <w:rFonts w:hint="eastAsia" w:ascii="仿宋" w:hAnsi="仿宋" w:eastAsia="仿宋" w:cs="仿宋"/>
          <w:b w:val="0"/>
          <w:bCs w:val="0"/>
          <w:color w:val="auto"/>
          <w:szCs w:val="24"/>
          <w:highlight w:val="none"/>
          <w:lang w:eastAsia="zh-CN"/>
        </w:rPr>
        <w:t>西安市</w:t>
      </w:r>
      <w:r>
        <w:rPr>
          <w:rFonts w:hint="eastAsia" w:ascii="仿宋" w:hAnsi="仿宋" w:eastAsia="仿宋" w:cs="仿宋"/>
          <w:b w:val="0"/>
          <w:bCs w:val="0"/>
          <w:color w:val="auto"/>
          <w:szCs w:val="24"/>
          <w:highlight w:val="none"/>
        </w:rPr>
        <w:t>“一码通”且为绿码</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现场测量体温不得超过37℃</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参与</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会议的人员均需</w:t>
      </w:r>
      <w:r>
        <w:rPr>
          <w:rFonts w:hint="eastAsia" w:ascii="仿宋" w:hAnsi="仿宋" w:eastAsia="仿宋" w:cs="仿宋"/>
          <w:b w:val="0"/>
          <w:bCs w:val="0"/>
          <w:color w:val="auto"/>
          <w:szCs w:val="24"/>
          <w:highlight w:val="none"/>
          <w:lang w:eastAsia="zh-CN"/>
        </w:rPr>
        <w:t>佩戴</w:t>
      </w:r>
      <w:r>
        <w:rPr>
          <w:rFonts w:hint="eastAsia" w:ascii="仿宋" w:hAnsi="仿宋" w:eastAsia="仿宋" w:cs="仿宋"/>
          <w:b w:val="0"/>
          <w:bCs w:val="0"/>
          <w:color w:val="auto"/>
          <w:szCs w:val="24"/>
          <w:highlight w:val="none"/>
        </w:rPr>
        <w:t>口罩。</w:t>
      </w:r>
    </w:p>
    <w:p>
      <w:pPr>
        <w:tabs>
          <w:tab w:val="left" w:pos="1064"/>
        </w:tabs>
        <w:spacing w:line="560" w:lineRule="exact"/>
        <w:ind w:firstLine="420"/>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6"/>
        <w:spacing w:before="0" w:line="560" w:lineRule="exact"/>
        <w:jc w:val="center"/>
        <w:rPr>
          <w:rFonts w:hint="eastAsia" w:ascii="仿宋" w:hAnsi="仿宋" w:eastAsia="仿宋" w:cs="仿宋"/>
          <w:color w:val="auto"/>
          <w:sz w:val="48"/>
          <w:szCs w:val="48"/>
          <w:highlight w:val="none"/>
          <w:lang w:val="zh-CN"/>
        </w:rPr>
        <w:sectPr>
          <w:headerReference r:id="rId9" w:type="first"/>
          <w:footerReference r:id="rId11" w:type="first"/>
          <w:footerReference r:id="rId10" w:type="default"/>
          <w:pgSz w:w="11905" w:h="16840"/>
          <w:pgMar w:top="1417" w:right="1417" w:bottom="1417" w:left="1417" w:header="935" w:footer="771" w:gutter="0"/>
          <w:pgNumType w:fmt="decimal" w:start="1"/>
          <w:cols w:space="0" w:num="1"/>
          <w:titlePg/>
          <w:rtlGutter w:val="0"/>
          <w:docGrid w:linePitch="312" w:charSpace="0"/>
        </w:sectPr>
      </w:pPr>
    </w:p>
    <w:p>
      <w:pPr>
        <w:pStyle w:val="36"/>
        <w:spacing w:before="0" w:line="560" w:lineRule="exact"/>
        <w:jc w:val="cente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目 录</w:t>
      </w:r>
    </w:p>
    <w:p>
      <w:pPr>
        <w:spacing w:line="560" w:lineRule="exact"/>
        <w:rPr>
          <w:rFonts w:hint="eastAsia" w:ascii="仿宋" w:hAnsi="仿宋" w:eastAsia="仿宋" w:cs="仿宋"/>
          <w:color w:val="auto"/>
          <w:highlight w:val="none"/>
          <w:lang w:val="zh-CN"/>
        </w:rPr>
      </w:pP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"_Toc22111"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"_Toc30520"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"_Toc19356"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"_Toc4480"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"_Toc22244"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"_Toc1895"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"_Toc16697"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"_Toc10597"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十、招标服务费</w:t>
      </w:r>
      <w:bookmarkStart w:id="251" w:name="_GoBack"/>
      <w:bookmarkEnd w:id="251"/>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"_Toc22375"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"_Toc17723"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十二、询问、质疑与投诉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十三、特殊情形的处理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41</w:t>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"_Toc20119"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w:t>
      </w:r>
      <w:r>
        <w:rPr>
          <w:rFonts w:hint="eastAsia" w:ascii="仿宋" w:hAnsi="仿宋" w:eastAsia="仿宋" w:cs="仿宋"/>
          <w:color w:val="auto"/>
          <w:kern w:val="0"/>
          <w:sz w:val="24"/>
          <w:highlight w:val="none"/>
          <w:lang w:val="en-US" w:eastAsia="zh-CN"/>
        </w:rPr>
        <w:t>四</w:t>
      </w:r>
      <w:r>
        <w:rPr>
          <w:rFonts w:hint="eastAsia" w:ascii="仿宋" w:hAnsi="仿宋" w:eastAsia="仿宋" w:cs="仿宋"/>
          <w:color w:val="auto"/>
          <w:kern w:val="0"/>
          <w:sz w:val="24"/>
          <w:highlight w:val="none"/>
        </w:rPr>
        <w:t>、拒绝商业贿赂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"_Toc24042"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"_Toc25447"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sectPr>
          <w:headerReference r:id="rId12" w:type="first"/>
          <w:footerReference r:id="rId14" w:type="first"/>
          <w:footerReference r:id="rId13" w:type="default"/>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"_Toc19489"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 xml:space="preserve">第六章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3"/>
        <w:numPr>
          <w:ilvl w:val="0"/>
          <w:numId w:val="3"/>
        </w:numPr>
        <w:spacing w:line="560" w:lineRule="exact"/>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30185"/>
      <w:bookmarkStart w:id="1" w:name="_Toc19866"/>
      <w:bookmarkStart w:id="2" w:name="_Toc458617729"/>
      <w:bookmarkStart w:id="3" w:name="_Toc22111"/>
      <w:bookmarkStart w:id="4" w:name="_Toc458617452"/>
      <w:r>
        <w:rPr>
          <w:rFonts w:hint="eastAsia" w:ascii="仿宋" w:hAnsi="仿宋" w:eastAsia="仿宋" w:cs="仿宋"/>
          <w:color w:val="auto"/>
          <w:highlight w:val="none"/>
        </w:rPr>
        <w:t xml:space="preserve"> 招标公告</w:t>
      </w:r>
      <w:bookmarkEnd w:id="0"/>
      <w:bookmarkEnd w:id="1"/>
      <w:bookmarkEnd w:id="2"/>
      <w:bookmarkEnd w:id="3"/>
      <w:bookmarkEnd w:id="4"/>
    </w:p>
    <w:p>
      <w:pPr>
        <w:pStyle w:val="8"/>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 xml:space="preserve">项目概况 </w:t>
      </w:r>
    </w:p>
    <w:p>
      <w:pPr>
        <w:pStyle w:val="19"/>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膈肌起搏器等医疗设备采购项目</w:t>
      </w:r>
      <w:r>
        <w:rPr>
          <w:rFonts w:hint="eastAsia" w:ascii="仿宋" w:hAnsi="仿宋" w:eastAsia="仿宋" w:cs="仿宋"/>
          <w:color w:val="auto"/>
          <w:sz w:val="24"/>
          <w:szCs w:val="24"/>
          <w:highlight w:val="none"/>
        </w:rPr>
        <w:t>招标项目的潜在投标人应在西安市朱雀大街南段1号汇成天玺C座18层1812室获取招标文件，并于 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 xml:space="preserve">日 14时30分 （北京时间）前递交投标文件。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HZGH-2022-041</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膈肌起搏器等医疗设备采购项目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97</w:t>
      </w:r>
      <w:r>
        <w:rPr>
          <w:rFonts w:hint="eastAsia" w:ascii="仿宋" w:hAnsi="仿宋" w:eastAsia="仿宋" w:cs="仿宋"/>
          <w:color w:val="auto"/>
          <w:sz w:val="24"/>
          <w:szCs w:val="24"/>
          <w:highlight w:val="none"/>
          <w:lang w:eastAsia="zh-CN"/>
        </w:rPr>
        <w:t>0,000.00</w:t>
      </w:r>
      <w:r>
        <w:rPr>
          <w:rFonts w:hint="eastAsia" w:ascii="仿宋" w:hAnsi="仿宋" w:eastAsia="仿宋" w:cs="仿宋"/>
          <w:color w:val="auto"/>
          <w:sz w:val="24"/>
          <w:szCs w:val="24"/>
          <w:highlight w:val="none"/>
        </w:rPr>
        <w:t>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w:t>
      </w:r>
      <w:r>
        <w:rPr>
          <w:rFonts w:hint="eastAsia" w:ascii="仿宋" w:hAnsi="仿宋" w:eastAsia="仿宋" w:cs="仿宋"/>
          <w:i w:val="0"/>
          <w:iCs w:val="0"/>
          <w:caps w:val="0"/>
          <w:color w:val="auto"/>
          <w:spacing w:val="0"/>
          <w:sz w:val="24"/>
          <w:szCs w:val="24"/>
          <w:highlight w:val="none"/>
          <w:shd w:val="clear" w:fill="FFFFFF"/>
          <w:lang w:val="en-US" w:eastAsia="zh-CN"/>
        </w:rPr>
        <w:t>第一标段：智能六分钟步行监测分析系统、膈肌起搏器、免疫印迹分析仪、遥测中央多参数监护系统、肌电图/诱发电位仪采购</w:t>
      </w:r>
      <w:r>
        <w:rPr>
          <w:rFonts w:hint="eastAsia" w:ascii="仿宋" w:hAnsi="仿宋" w:eastAsia="仿宋" w:cs="仿宋"/>
          <w:i w:val="0"/>
          <w:iCs w:val="0"/>
          <w:caps w:val="0"/>
          <w:color w:val="auto"/>
          <w:spacing w:val="0"/>
          <w:sz w:val="24"/>
          <w:szCs w:val="24"/>
          <w:highlight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97</w:t>
      </w:r>
      <w:r>
        <w:rPr>
          <w:rFonts w:hint="eastAsia" w:ascii="仿宋" w:hAnsi="仿宋" w:eastAsia="仿宋" w:cs="仿宋"/>
          <w:i w:val="0"/>
          <w:iCs w:val="0"/>
          <w:caps w:val="0"/>
          <w:color w:val="auto"/>
          <w:spacing w:val="0"/>
          <w:sz w:val="24"/>
          <w:szCs w:val="24"/>
          <w:highlight w:val="none"/>
          <w:shd w:val="clear" w:fill="FFFFFF"/>
        </w:rPr>
        <w:t>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97</w:t>
      </w:r>
      <w:r>
        <w:rPr>
          <w:rFonts w:hint="eastAsia" w:ascii="仿宋" w:hAnsi="仿宋" w:eastAsia="仿宋" w:cs="仿宋"/>
          <w:i w:val="0"/>
          <w:iCs w:val="0"/>
          <w:caps w:val="0"/>
          <w:color w:val="auto"/>
          <w:spacing w:val="0"/>
          <w:sz w:val="24"/>
          <w:szCs w:val="24"/>
          <w:highlight w:val="none"/>
          <w:shd w:val="clear" w:fill="FFFFFF"/>
        </w:rPr>
        <w:t>0,000.00元</w:t>
      </w:r>
    </w:p>
    <w:tbl>
      <w:tblPr>
        <w:tblStyle w:val="2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39"/>
        <w:gridCol w:w="1819"/>
        <w:gridCol w:w="1422"/>
        <w:gridCol w:w="1037"/>
        <w:gridCol w:w="1352"/>
        <w:gridCol w:w="1521"/>
        <w:gridCol w:w="1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物理治疗、康复及体育治疗仪器设备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智能六分钟步行监测分析系统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膈肌起搏器</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免疫印迹分析仪</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60,000.00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60,000.00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遥测中央多参数监护系统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210,000.00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肌电图/诱发电位仪</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400,000.00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w:t>
      </w:r>
      <w:r>
        <w:rPr>
          <w:rFonts w:hint="eastAsia" w:ascii="仿宋" w:hAnsi="仿宋" w:eastAsia="仿宋" w:cs="仿宋"/>
          <w:i w:val="0"/>
          <w:iCs w:val="0"/>
          <w:caps w:val="0"/>
          <w:color w:val="auto"/>
          <w:spacing w:val="0"/>
          <w:sz w:val="24"/>
          <w:szCs w:val="24"/>
          <w:highlight w:val="none"/>
          <w:shd w:val="clear" w:fill="FFFFFF"/>
          <w:lang w:val="en-US" w:eastAsia="zh-CN"/>
        </w:rPr>
        <w:t>第二标段：</w:t>
      </w:r>
      <w:r>
        <w:rPr>
          <w:rFonts w:hint="eastAsia" w:ascii="仿宋" w:hAnsi="仿宋" w:eastAsia="仿宋" w:cs="仿宋"/>
          <w:i w:val="0"/>
          <w:iCs w:val="0"/>
          <w:caps w:val="0"/>
          <w:color w:val="auto"/>
          <w:spacing w:val="0"/>
          <w:sz w:val="24"/>
          <w:szCs w:val="24"/>
          <w:highlight w:val="none"/>
          <w:shd w:val="clear" w:fill="FFFFFF"/>
        </w:rPr>
        <w:t>消化道动力检测仪系统</w:t>
      </w:r>
      <w:r>
        <w:rPr>
          <w:rFonts w:hint="eastAsia" w:ascii="仿宋" w:hAnsi="仿宋" w:eastAsia="仿宋" w:cs="仿宋"/>
          <w:i w:val="0"/>
          <w:iCs w:val="0"/>
          <w:caps w:val="0"/>
          <w:color w:val="auto"/>
          <w:spacing w:val="0"/>
          <w:sz w:val="24"/>
          <w:szCs w:val="24"/>
          <w:highlight w:val="none"/>
          <w:shd w:val="clear" w:fill="FFFFFF"/>
          <w:lang w:eastAsia="zh-CN"/>
        </w:rPr>
        <w:t>、</w:t>
      </w:r>
      <w:r>
        <w:rPr>
          <w:rFonts w:hint="eastAsia" w:ascii="仿宋" w:hAnsi="仿宋" w:eastAsia="仿宋" w:cs="仿宋"/>
          <w:i w:val="0"/>
          <w:iCs w:val="0"/>
          <w:caps w:val="0"/>
          <w:color w:val="auto"/>
          <w:spacing w:val="0"/>
          <w:sz w:val="24"/>
          <w:szCs w:val="24"/>
          <w:highlight w:val="none"/>
          <w:shd w:val="clear" w:fill="FFFFFF"/>
        </w:rPr>
        <w:t>全自动软式内镜清洗消毒器</w:t>
      </w:r>
      <w:r>
        <w:rPr>
          <w:rFonts w:hint="eastAsia" w:ascii="仿宋" w:hAnsi="仿宋" w:eastAsia="仿宋" w:cs="仿宋"/>
          <w:i w:val="0"/>
          <w:iCs w:val="0"/>
          <w:caps w:val="0"/>
          <w:color w:val="auto"/>
          <w:spacing w:val="0"/>
          <w:sz w:val="24"/>
          <w:szCs w:val="24"/>
          <w:highlight w:val="none"/>
          <w:shd w:val="clear" w:fill="FFFFFF"/>
          <w:lang w:val="en-US" w:eastAsia="zh-CN"/>
        </w:rPr>
        <w:t>采购</w:t>
      </w:r>
      <w:r>
        <w:rPr>
          <w:rFonts w:hint="eastAsia" w:ascii="仿宋" w:hAnsi="仿宋" w:eastAsia="仿宋" w:cs="仿宋"/>
          <w:i w:val="0"/>
          <w:iCs w:val="0"/>
          <w:caps w:val="0"/>
          <w:color w:val="auto"/>
          <w:spacing w:val="0"/>
          <w:sz w:val="24"/>
          <w:szCs w:val="24"/>
          <w:highlight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65</w:t>
      </w:r>
      <w:r>
        <w:rPr>
          <w:rFonts w:hint="eastAsia" w:ascii="仿宋" w:hAnsi="仿宋" w:eastAsia="仿宋" w:cs="仿宋"/>
          <w:i w:val="0"/>
          <w:iCs w:val="0"/>
          <w:caps w:val="0"/>
          <w:color w:val="auto"/>
          <w:spacing w:val="0"/>
          <w:sz w:val="24"/>
          <w:szCs w:val="24"/>
          <w:highlight w:val="none"/>
          <w:shd w:val="clear" w:fill="FFFFFF"/>
        </w:rPr>
        <w:t>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65</w:t>
      </w:r>
      <w:r>
        <w:rPr>
          <w:rFonts w:hint="eastAsia" w:ascii="仿宋" w:hAnsi="仿宋" w:eastAsia="仿宋" w:cs="仿宋"/>
          <w:i w:val="0"/>
          <w:iCs w:val="0"/>
          <w:caps w:val="0"/>
          <w:color w:val="auto"/>
          <w:spacing w:val="0"/>
          <w:sz w:val="24"/>
          <w:szCs w:val="24"/>
          <w:highlight w:val="none"/>
          <w:shd w:val="clear" w:fill="FFFFFF"/>
        </w:rPr>
        <w:t>0,000.00元</w:t>
      </w:r>
    </w:p>
    <w:tbl>
      <w:tblPr>
        <w:tblStyle w:val="2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8"/>
        <w:gridCol w:w="1629"/>
        <w:gridCol w:w="1453"/>
        <w:gridCol w:w="1077"/>
        <w:gridCol w:w="1432"/>
        <w:gridCol w:w="1531"/>
        <w:gridCol w:w="1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default" w:ascii="仿宋" w:hAnsi="仿宋" w:eastAsia="仿宋" w:cs="仿宋"/>
                <w:i w:val="0"/>
                <w:iCs w:val="0"/>
                <w:caps w:val="0"/>
                <w:color w:val="auto"/>
                <w:spacing w:val="0"/>
                <w:sz w:val="24"/>
                <w:szCs w:val="24"/>
                <w:highlight w:val="none"/>
                <w:lang w:val="en-US"/>
              </w:rPr>
            </w:pPr>
            <w:r>
              <w:rPr>
                <w:rFonts w:hint="eastAsia" w:ascii="仿宋" w:hAnsi="仿宋" w:eastAsia="仿宋" w:cs="仿宋"/>
                <w:i w:val="0"/>
                <w:iCs w:val="0"/>
                <w:caps w:val="0"/>
                <w:color w:val="auto"/>
                <w:spacing w:val="0"/>
                <w:kern w:val="0"/>
                <w:sz w:val="24"/>
                <w:szCs w:val="24"/>
                <w:highlight w:val="none"/>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医用电子生理参数检测仪器设备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消化道动力检测仪系统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default" w:ascii="仿宋" w:hAnsi="仿宋" w:eastAsia="仿宋" w:cs="仿宋"/>
                <w:i w:val="0"/>
                <w:iCs w:val="0"/>
                <w:caps w:val="0"/>
                <w:color w:val="auto"/>
                <w:spacing w:val="0"/>
                <w:sz w:val="24"/>
                <w:szCs w:val="24"/>
                <w:highlight w:val="none"/>
                <w:lang w:val="en-US"/>
              </w:rPr>
            </w:pPr>
            <w:r>
              <w:rPr>
                <w:rFonts w:hint="eastAsia" w:ascii="仿宋" w:hAnsi="仿宋" w:eastAsia="仿宋" w:cs="仿宋"/>
                <w:i w:val="0"/>
                <w:iCs w:val="0"/>
                <w:caps w:val="0"/>
                <w:color w:val="auto"/>
                <w:spacing w:val="0"/>
                <w:kern w:val="0"/>
                <w:sz w:val="24"/>
                <w:szCs w:val="24"/>
                <w:highlight w:val="none"/>
                <w:lang w:val="en-US" w:eastAsia="zh-CN" w:bidi="ar"/>
              </w:rPr>
              <w:t>2-2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全自动软式内镜清洗消毒器</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200,000.00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二、申请人的资格要求：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2.落实政府采购政策需满足的资格要求：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val="en-US" w:eastAsia="zh-CN"/>
        </w:rPr>
        <w:t>第一标段：智能六分钟步行监测分析系统、膈肌起搏器、免疫印迹分析仪、遥测中央多参数监护系统、肌电图/诱发电位仪采购</w:t>
      </w:r>
      <w:r>
        <w:rPr>
          <w:rFonts w:hint="eastAsia" w:ascii="仿宋" w:hAnsi="仿宋" w:eastAsia="仿宋" w:cs="仿宋"/>
          <w:color w:val="auto"/>
          <w:sz w:val="24"/>
          <w:szCs w:val="24"/>
          <w:highlight w:val="none"/>
        </w:rPr>
        <w:t>)落实政府采购政策需满足的资格要求如下:</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（1）、《政府采购促进中小企业发展管理办法》的通知--财库[2020]46号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（2）、陕西省财政厅关于印发《陕西省中小企业政府采购信用融资办法》--(陕财办采[2018]23号)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《陕西省财政厅关于加快推进我省中小企业政府采购信用融资工作的通知》（陕财办采〔2020〕15号）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（4）、财政部司法部关于政府采购支持监狱企业发展有关问题的通知--财库〔2014〕68号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（5）、《国务院办公厅关于建立政府强制采购节能产品制度的通知》--国办发〔2007〕51号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（6）、《节能产品政府采购实施意见》（财库[2004]185号）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（7）、《环境标志产品政府采购实施的意见》（财库[2006]90号）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（8）、《财政部发展改革委生态环境部市场监督总局关于调整优化节能产品、环境标志产品政府采购执行机制的通知》--（财库[2019]9号） </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（9）、《市场监督总局关于发布参与实施政府采购节能产品、环境标志产品认证机构名录的公告》--2019年第16号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（10）、《财政部民政部中国残疾人联合会关于促进残疾人就业政府采购政策的通知》--（财库〔2017〕141号）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（11）、《财政部国务院扶贫办关于运用政府采购政策支持脱贫攻坚的通知》（财库〔2019〕27号）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（12）、《关于进一步加强政府绿色采购有关问题的通知》（陕财办采〔2021〕29号）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（13）、其他需要落实的政府采购政策。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合同包2(</w:t>
      </w:r>
      <w:r>
        <w:rPr>
          <w:rFonts w:hint="eastAsia" w:ascii="仿宋" w:hAnsi="仿宋" w:eastAsia="仿宋" w:cs="仿宋"/>
          <w:i w:val="0"/>
          <w:iCs w:val="0"/>
          <w:caps w:val="0"/>
          <w:color w:val="auto"/>
          <w:spacing w:val="0"/>
          <w:sz w:val="24"/>
          <w:szCs w:val="24"/>
          <w:highlight w:val="none"/>
          <w:shd w:val="clear" w:color="auto" w:fill="FFFFFF"/>
          <w:lang w:val="en-US" w:eastAsia="zh-CN"/>
        </w:rPr>
        <w:t>第二标段：</w:t>
      </w:r>
      <w:r>
        <w:rPr>
          <w:rFonts w:hint="eastAsia" w:ascii="仿宋" w:hAnsi="仿宋" w:eastAsia="仿宋" w:cs="仿宋"/>
          <w:i w:val="0"/>
          <w:iCs w:val="0"/>
          <w:caps w:val="0"/>
          <w:color w:val="auto"/>
          <w:spacing w:val="0"/>
          <w:sz w:val="24"/>
          <w:szCs w:val="24"/>
          <w:highlight w:val="none"/>
          <w:shd w:val="clear" w:color="auto" w:fill="FFFFFF"/>
        </w:rPr>
        <w:t>消化道动力检测仪系统</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全自动软式内镜清洗消毒器</w:t>
      </w:r>
      <w:r>
        <w:rPr>
          <w:rFonts w:hint="eastAsia" w:ascii="仿宋" w:hAnsi="仿宋" w:eastAsia="仿宋" w:cs="仿宋"/>
          <w:i w:val="0"/>
          <w:iCs w:val="0"/>
          <w:caps w:val="0"/>
          <w:color w:val="auto"/>
          <w:spacing w:val="0"/>
          <w:sz w:val="24"/>
          <w:szCs w:val="24"/>
          <w:highlight w:val="none"/>
          <w:shd w:val="clear" w:color="auto" w:fill="FFFFFF"/>
          <w:lang w:val="en-US" w:eastAsia="zh-CN"/>
        </w:rPr>
        <w:t>采购</w:t>
      </w:r>
      <w:r>
        <w:rPr>
          <w:rFonts w:hint="eastAsia" w:ascii="仿宋" w:hAnsi="仿宋" w:eastAsia="仿宋" w:cs="仿宋"/>
          <w:i w:val="0"/>
          <w:iCs w:val="0"/>
          <w:caps w:val="0"/>
          <w:color w:val="auto"/>
          <w:spacing w:val="0"/>
          <w:sz w:val="24"/>
          <w:szCs w:val="24"/>
          <w:highlight w:val="none"/>
          <w:shd w:val="clear" w:color="auto" w:fill="FFFFFF"/>
        </w:rPr>
        <w:t>)落实政府采购政策需满足的资格要求如下:</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（1）、《政府采购促进中小企业发展管理办法》的通知--财库[2020]46号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（2）、陕西省财政厅关于印发《陕西省中小企业政府采购信用融资办法》--(陕财办采[2018]23号)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（3）</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《陕西省财政厅关于加快推进我省中小企业政府采购信用融资工作的通知》（陕财办采〔2020〕15号）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（4）、财政部司法部关于政府采购支持监狱企业发展有关问题的通知--财库〔2014〕68号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（5）、《国务院办公厅关于建立政府强制采购节能产品制度的通知》--国办发〔2007〕51号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（6）、《节能产品政府采购实施意见》（财库[2004]185号）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（7）、《环境标志产品政府采购实施的意见》（财库[2006]90号）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（8）、《财政部发展改革委生态环境部市场监督总局关于调整优化节能产品、环境标志产品政府采购执行机制的通知》--（财库[2019]9号） </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（9）、《市场监督总局关于发布参与实施政府采购节能产品、环境标志产品认证机构名录的公告》--2019年第16号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（10）、《财政部民政部中国残疾人联合会关于促进残疾人就业政府采购政策的通知》--（财库〔2017〕141号）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（11）、《财政部国务院扶贫办关于运用政府采购政策支持脱贫攻坚的通知》（财库〔2019〕27号）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（12）、《关于进一步加强政府绿色采购有关问题的通知》（陕财办采〔2021〕29号）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（13）、其他需要落实的政府采购政策。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val="en-US" w:eastAsia="zh-CN"/>
        </w:rPr>
        <w:t>第一标段：智能六分钟步行监测分析系统、膈肌起搏器、免疫印迹分析仪、遥测中央多参数监护系统、肌电图/诱发电位仪采购</w:t>
      </w:r>
      <w:r>
        <w:rPr>
          <w:rFonts w:hint="eastAsia" w:ascii="仿宋" w:hAnsi="仿宋" w:eastAsia="仿宋" w:cs="仿宋"/>
          <w:color w:val="auto"/>
          <w:sz w:val="24"/>
          <w:szCs w:val="24"/>
          <w:highlight w:val="none"/>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3、税收缴纳证明：提供2021年1月1日至今任意一个月的缴费凭据；（依法免税的投标人应提供相关文件证明）。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4、社会保障资金缴纳证明：提供2021年1月1日至今任意一个月的社保缴费凭据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或社保机构开具的社会保险参保缴费情况证明；（依法不需要缴纳社会保障资金的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0" w:right="0" w:hanging="480" w:hanging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投标人应提供相关证明）。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5、提供具有履行本合同所必需的设备和专业技术能力的说明及承诺；（格式自拟，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0" w:right="0" w:hanging="480" w:hanging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6、提供参加政府采购活动前三年内在经营活动中没有重大违法记录的书面声明。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1、法定代表人或负责人参与投标时需提供法定代表人或负责人资格证明书（附法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2、被授权人参与投标时需提供法定代表人或负责人授权委托书（附法定代表人或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负责人及被授权人身份证复印件）；（被授权人须提供身份证原件，身份证原件可由本人持有）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19"/>
        <w:keepNext w:val="0"/>
        <w:keepLines w:val="0"/>
        <w:pageBreakBefore w:val="0"/>
        <w:widowControl/>
        <w:suppressLineNumbers w:val="0"/>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6</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8、本项目不接受联合体投标。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第二标段：</w:t>
      </w:r>
      <w:r>
        <w:rPr>
          <w:rFonts w:hint="eastAsia" w:ascii="仿宋" w:hAnsi="仿宋" w:eastAsia="仿宋" w:cs="仿宋"/>
          <w:color w:val="auto"/>
          <w:sz w:val="24"/>
          <w:szCs w:val="24"/>
          <w:highlight w:val="none"/>
        </w:rPr>
        <w:t>消化道动力检测仪系统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全自动软式内镜清洗消毒器</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3、税收缴纳证明：提供2021年1月1日至今任意一个月的缴费凭据；（依法免税的投标人应提供相关文件证明）。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4、社会保障资金缴纳证明：提供2021年1月1日至今任意一个月的社保缴费凭据或社保机构开具的社会保险参保缴费情况证明；（依法不需要缴纳社会保障资金的投标人应提供相关证明）。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5、提供具有履行本合同所必需的设备和专业技术能力的说明及承诺；（格式自拟，加盖投标人公章）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3、投标保证金交纳凭证；（保证金交纳凭证复印件加盖公章）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8、本项目不接受联合体投标。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三、获取招标文件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时间：2022年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日至2022年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日，每天上午09:00:00 至 12:00:00 ，下午 14:00:00 至 17:00:00 （北京时间,法定节假日除外）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地点：西安市朱雀大街南段1号汇成天玺C座18层1812室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方式：现场获取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00元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四、提交投标文件截止时间、开标时间和地点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 14时30分00秒 （北京时间）</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地点：西安市朱雀大街南段1号汇成天玺C座18层1818室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五、公告期限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六、其他补充事宜</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本项目开标地点：西安市朱雀大街南段1号汇成天玺C座18层1818室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仿宋" w:hAnsi="仿宋" w:eastAsia="仿宋" w:cs="仿宋"/>
          <w:color w:val="auto"/>
          <w:sz w:val="22"/>
          <w:szCs w:val="22"/>
          <w:highlight w:val="none"/>
        </w:rPr>
      </w:pPr>
      <w:r>
        <w:rPr>
          <w:rStyle w:val="26"/>
          <w:rFonts w:hint="eastAsia" w:ascii="仿宋" w:hAnsi="仿宋" w:eastAsia="仿宋" w:cs="仿宋"/>
          <w:b/>
          <w:bCs/>
          <w:i w:val="0"/>
          <w:iCs w:val="0"/>
          <w:caps w:val="0"/>
          <w:color w:val="auto"/>
          <w:spacing w:val="0"/>
          <w:kern w:val="0"/>
          <w:sz w:val="24"/>
          <w:szCs w:val="24"/>
          <w:highlight w:val="none"/>
          <w:shd w:val="clear" w:color="auto" w:fill="FFFFFF"/>
          <w:lang w:val="en-US" w:eastAsia="zh-CN" w:bidi="ar"/>
        </w:rPr>
        <w:t>注：获取招标文件时（9：00—12：00，14：00--17：00（节假日除外））请携带有效的单位介绍信及被介绍人身份证复印件，加盖投标人公章（鲜章）,可自带 U 盘拷贝电子文件（本项目仅支持现场报名获取，谢绝邮寄）。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七、对本次招标提出询问，请按以下方式联系。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陕西省第二人民医院</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尚勤路3号</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lang w:eastAsia="zh-CN"/>
        </w:rPr>
        <w:t>029-87421038</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名称：华招广和项目管理有限公司</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地址：西安市朱雀大街南段1号汇成天玺C座18层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联系方式：029-87592321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3.项目联系方式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eastAsia="zh-CN"/>
        </w:rPr>
        <w:t>党工</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电话：029-87592321</w:t>
      </w:r>
    </w:p>
    <w:p>
      <w:pPr>
        <w:pStyle w:val="1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color w:val="auto"/>
          <w:kern w:val="0"/>
          <w:sz w:val="24"/>
          <w:szCs w:val="22"/>
          <w:highlight w:val="none"/>
          <w:lang w:val="en-US" w:eastAsia="zh-CN" w:bidi="ar-SA"/>
        </w:rPr>
      </w:pPr>
      <w:r>
        <w:rPr>
          <w:rFonts w:hint="eastAsia" w:ascii="仿宋" w:hAnsi="仿宋" w:eastAsia="仿宋" w:cs="仿宋"/>
          <w:b/>
          <w:color w:val="auto"/>
          <w:highlight w:val="none"/>
        </w:rPr>
        <w:pict>
          <v:shape id="Text Box 2" o:spid="_x0000_s1026" o:spt="202" type="#_x0000_t202" style="position:absolute;left:0pt;margin-left:-20.9pt;margin-top:19.85pt;height:69.8pt;width:462.95pt;mso-wrap-distance-bottom:0pt;mso-wrap-distance-left:9pt;mso-wrap-distance-right:9pt;mso-wrap-distance-top:0pt;z-index:251660288;mso-width-relative:page;mso-height-relative:page;" fillcolor="#FFFFFF" filled="t" stroked="t" coordsize="21600,21600" o:gfxdata="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iQsT9kAAAAKAQAADwAAAAAAAAABACAAAAAiAAAAZHJzL2Rvd25yZXYueG1sUEsB&#10;AhQAFAAAAAgAh07iQJdzfR30AQAADwQAAA4AAAAAAAAAAQAgAAAAKAEAAGRycy9lMm9Eb2MueG1s&#10;UEsFBgAAAAAGAAYAWQEAAI4FAAAAAA==&#10;">
            <v:path/>
            <v:fill on="t" color2="#FFFFFF" focussize="0,0"/>
            <v:stroke color="#000000" joinstyle="miter"/>
            <v:imagedata o:title=""/>
            <o:lock v:ext="edit" aspectratio="f"/>
            <v:textbox>
              <w:txbxContent>
                <w:p>
                  <w:pPr>
                    <w:spacing w:line="560" w:lineRule="exact"/>
                    <w:rPr>
                      <w:rFonts w:hint="eastAsia" w:ascii="仿宋" w:hAnsi="仿宋" w:eastAsia="仿宋" w:cs="仿宋"/>
                      <w:b/>
                      <w:bCs w:val="0"/>
                      <w:sz w:val="24"/>
                      <w:szCs w:val="24"/>
                    </w:rPr>
                  </w:pPr>
                  <w:r>
                    <w:rPr>
                      <w:rFonts w:hint="eastAsia" w:ascii="仿宋" w:hAnsi="仿宋" w:eastAsia="仿宋" w:cs="仿宋"/>
                      <w:b/>
                      <w:bCs w:val="0"/>
                      <w:sz w:val="24"/>
                      <w:szCs w:val="24"/>
                    </w:rPr>
                    <w:t>温馨提示：购买招标文件后，请仔细阅读，特别注意粗体及划线部分，如有疑问请来电咨询。</w:t>
                  </w:r>
                </w:p>
              </w:txbxContent>
            </v:textbox>
            <w10:wrap type="square"/>
          </v:shape>
        </w:pict>
      </w:r>
    </w:p>
    <w:p>
      <w:pPr>
        <w:pStyle w:val="10"/>
        <w:rPr>
          <w:rFonts w:hint="eastAsia" w:ascii="仿宋" w:hAnsi="仿宋" w:eastAsia="仿宋" w:cs="仿宋"/>
          <w:color w:val="auto"/>
          <w:highlight w:val="none"/>
        </w:rPr>
      </w:pPr>
    </w:p>
    <w:p>
      <w:pPr>
        <w:rPr>
          <w:rFonts w:hint="eastAsia" w:ascii="仿宋" w:hAnsi="仿宋" w:eastAsia="仿宋" w:cs="仿宋"/>
          <w:color w:val="auto"/>
          <w:sz w:val="44"/>
          <w:szCs w:val="44"/>
          <w:highlight w:val="none"/>
        </w:rPr>
      </w:pPr>
      <w:bookmarkStart w:id="5" w:name="_Toc458617453"/>
      <w:bookmarkStart w:id="6" w:name="_Toc30520"/>
      <w:bookmarkStart w:id="7" w:name="_Toc458617730"/>
      <w:r>
        <w:rPr>
          <w:rFonts w:hint="eastAsia" w:ascii="仿宋" w:hAnsi="仿宋" w:eastAsia="仿宋" w:cs="仿宋"/>
          <w:color w:val="auto"/>
          <w:sz w:val="44"/>
          <w:szCs w:val="44"/>
          <w:highlight w:val="none"/>
        </w:rPr>
        <w:br w:type="page"/>
      </w:r>
    </w:p>
    <w:p>
      <w:pPr>
        <w:pStyle w:val="3"/>
        <w:bidi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第二章  投标人须知</w:t>
      </w:r>
      <w:bookmarkEnd w:id="5"/>
      <w:bookmarkEnd w:id="6"/>
      <w:bookmarkEnd w:id="7"/>
    </w:p>
    <w:p>
      <w:pPr>
        <w:pStyle w:val="4"/>
        <w:spacing w:line="360" w:lineRule="auto"/>
        <w:jc w:val="center"/>
        <w:rPr>
          <w:rFonts w:hint="eastAsia" w:ascii="仿宋" w:hAnsi="仿宋" w:eastAsia="仿宋" w:cs="仿宋"/>
          <w:color w:val="auto"/>
          <w:sz w:val="15"/>
          <w:szCs w:val="15"/>
          <w:highlight w:val="none"/>
        </w:rPr>
      </w:pPr>
      <w:bookmarkStart w:id="8" w:name="_Toc458617454"/>
      <w:bookmarkStart w:id="9" w:name="_Toc28725"/>
      <w:bookmarkStart w:id="10" w:name="_Toc458617731"/>
      <w:r>
        <w:rPr>
          <w:rFonts w:hint="eastAsia" w:ascii="仿宋" w:hAnsi="仿宋" w:eastAsia="仿宋" w:cs="仿宋"/>
          <w:color w:val="auto"/>
          <w:sz w:val="28"/>
          <w:szCs w:val="28"/>
          <w:highlight w:val="none"/>
        </w:rPr>
        <w:t>一、投标人须知前附表</w:t>
      </w:r>
      <w:bookmarkEnd w:id="8"/>
      <w:bookmarkEnd w:id="9"/>
      <w:bookmarkEnd w:id="10"/>
    </w:p>
    <w:tbl>
      <w:tblPr>
        <w:tblStyle w:val="2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1"/>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7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41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336"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33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陕西省第二人民医院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val="en-US" w:eastAsia="zh-CN"/>
              </w:rPr>
              <w:t>陕西省第二人民医院经办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尚勤路3号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029-87421038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华招广和项目管理有限公司</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spacing w:line="560" w:lineRule="exact"/>
              <w:rPr>
                <w:rFonts w:hint="eastAsia" w:ascii="仿宋" w:hAnsi="仿宋" w:eastAsia="仿宋" w:cs="仿宋"/>
                <w:color w:val="auto"/>
                <w:szCs w:val="24"/>
                <w:highlight w:val="none"/>
                <w:u w:val="wavyHeavy" w:color="FF0000"/>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党工</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陕西省财政厅政府采购管理处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336" w:type="dxa"/>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CN"/>
              </w:rPr>
              <w:t>膈肌起搏器等医疗设备采购项目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HZGH-2022-041-01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970000.00元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项目用途</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医疗设备采购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采购内容和要求</w:t>
            </w:r>
          </w:p>
        </w:tc>
        <w:tc>
          <w:tcPr>
            <w:tcW w:w="6336" w:type="dxa"/>
            <w:vAlign w:val="top"/>
          </w:tcPr>
          <w:p>
            <w:pPr>
              <w:pStyle w:val="37"/>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caps w:val="0"/>
                <w:color w:val="auto"/>
                <w:spacing w:val="0"/>
                <w:sz w:val="24"/>
                <w:szCs w:val="24"/>
                <w:highlight w:val="none"/>
                <w:shd w:val="clear" w:fill="FFFFFF"/>
                <w:lang w:val="en-US" w:eastAsia="zh-CN"/>
              </w:rPr>
              <w:t>第一标段：</w:t>
            </w:r>
            <w:r>
              <w:rPr>
                <w:rFonts w:hint="eastAsia" w:ascii="仿宋" w:hAnsi="仿宋" w:eastAsia="仿宋" w:cs="仿宋"/>
                <w:i w:val="0"/>
                <w:caps w:val="0"/>
                <w:color w:val="auto"/>
                <w:spacing w:val="0"/>
                <w:sz w:val="24"/>
                <w:szCs w:val="24"/>
                <w:highlight w:val="none"/>
                <w:shd w:val="clear" w:fill="FFFFFF"/>
                <w:lang w:eastAsia="zh-CN"/>
              </w:rPr>
              <w:t>智能六分钟步行监测分析系统、膈肌起搏器、免疫印迹分析仪、遥测中央多参数监护系统、肌电图/诱发电位仪</w:t>
            </w:r>
            <w:r>
              <w:rPr>
                <w:rFonts w:hint="eastAsia" w:ascii="仿宋" w:hAnsi="仿宋" w:eastAsia="仿宋" w:cs="仿宋"/>
                <w:i w:val="0"/>
                <w:caps w:val="0"/>
                <w:color w:val="auto"/>
                <w:spacing w:val="0"/>
                <w:sz w:val="24"/>
                <w:szCs w:val="24"/>
                <w:highlight w:val="none"/>
                <w:shd w:val="clear" w:fill="FFFFFF"/>
                <w:lang w:val="en-US" w:eastAsia="zh-CN"/>
              </w:rPr>
              <w:t>采购</w:t>
            </w:r>
            <w:r>
              <w:rPr>
                <w:rFonts w:hint="eastAsia" w:ascii="仿宋" w:hAnsi="仿宋" w:eastAsia="仿宋" w:cs="仿宋"/>
                <w:color w:val="auto"/>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336" w:type="dxa"/>
          </w:tcPr>
          <w:p>
            <w:pPr>
              <w:pStyle w:val="37"/>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（1）基本资格条件：符合《中华人民共和国政府采购法》第二十二条的规定：</w:t>
            </w:r>
          </w:p>
          <w:p>
            <w:pPr>
              <w:pStyle w:val="37"/>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5、提供具有履行本合同所必需的设备和专业技术能力的说明及承诺；（格式自拟，加盖投标人公章）</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6、提供参加政府采购活动前三年内在经营活动中没有重大违法记录的书面声明。（格式自拟，加盖投标人公章）</w:t>
            </w:r>
          </w:p>
          <w:p>
            <w:pPr>
              <w:pStyle w:val="37"/>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（2）、特定资格条件：</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1、法定代表人或负责人参与投标时需提供法定代表人或负责人资格证明书（附法定代表人或负责人身份证复印件）；（法定代表人或负责人须提供身份证原件，身份证原件可由本人持有）</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2、被授权人参与投标时需提供法定代表人或负责人授权委托书（附法定代表人或负责人及被授权人身份证复印件）；（被授权人须提供身份证原件，身份证原件可由本人持有）</w:t>
            </w:r>
          </w:p>
          <w:p>
            <w:pPr>
              <w:pStyle w:val="37"/>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3、投标保证金交纳凭证；（保证金交纳凭证复印件加盖公章）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lang w:val="en-US" w:eastAsia="zh-CN"/>
              </w:rPr>
              <w:t>8、本项目不接受联合体投标。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交货期、交货地点</w:t>
            </w:r>
          </w:p>
        </w:tc>
        <w:tc>
          <w:tcPr>
            <w:tcW w:w="6336" w:type="dxa"/>
            <w:vAlign w:val="top"/>
          </w:tcPr>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rPr>
              <w:t>交 货 期：自合同签订之日起</w:t>
            </w:r>
            <w:r>
              <w:rPr>
                <w:rFonts w:hint="eastAsia" w:ascii="仿宋" w:hAnsi="仿宋" w:eastAsia="仿宋" w:cs="仿宋"/>
                <w:color w:val="auto"/>
                <w:szCs w:val="24"/>
                <w:highlight w:val="none"/>
                <w:lang w:val="en-US" w:eastAsia="zh-CN"/>
              </w:rPr>
              <w:t>60个日历日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u w:val="wavyHeavy" w:color="5B9BD5" w:themeColor="accent1"/>
                <w:lang w:val="en-US" w:eastAsia="zh-CN" w:bidi="ar-SA"/>
              </w:rPr>
            </w:pPr>
            <w:r>
              <w:rPr>
                <w:rFonts w:hint="eastAsia" w:ascii="仿宋" w:hAnsi="仿宋" w:eastAsia="仿宋" w:cs="仿宋"/>
                <w:color w:val="auto"/>
                <w:szCs w:val="24"/>
                <w:highlight w:val="none"/>
              </w:rPr>
              <w:t>招标文件发售</w:t>
            </w:r>
          </w:p>
        </w:tc>
        <w:tc>
          <w:tcPr>
            <w:tcW w:w="6336" w:type="dxa"/>
            <w:vAlign w:val="top"/>
          </w:tcPr>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日上午9:00-12:00，下午2:00-5:</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时止（节假日除外）。</w:t>
            </w:r>
          </w:p>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发售地点：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联合体投标</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现场勘查、标前答疑会</w:t>
            </w:r>
          </w:p>
        </w:tc>
        <w:tc>
          <w:tcPr>
            <w:tcW w:w="6336" w:type="dxa"/>
            <w:vAlign w:val="center"/>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投标人对招标文件提出质疑的时间</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构成招标文件的其他文件</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2411" w:type="dxa"/>
            <w:vAlign w:val="center"/>
          </w:tcPr>
          <w:p>
            <w:pPr>
              <w:pStyle w:val="38"/>
              <w:spacing w:line="560" w:lineRule="exact"/>
              <w:rPr>
                <w:rFonts w:hint="eastAsia" w:ascii="仿宋" w:hAnsi="仿宋" w:eastAsia="仿宋" w:cs="仿宋"/>
                <w:color w:val="auto"/>
                <w:sz w:val="24"/>
                <w:szCs w:val="24"/>
                <w:highlight w:val="none"/>
                <w:u w:val="wavyHeavy" w:color="FF0000"/>
              </w:rPr>
            </w:pPr>
          </w:p>
          <w:p>
            <w:pPr>
              <w:pStyle w:val="38"/>
              <w:spacing w:line="560" w:lineRule="exact"/>
              <w:rPr>
                <w:rFonts w:hint="eastAsia" w:ascii="仿宋" w:hAnsi="仿宋" w:eastAsia="仿宋" w:cs="仿宋"/>
                <w:color w:val="auto"/>
                <w:kern w:val="0"/>
                <w:sz w:val="21"/>
                <w:szCs w:val="24"/>
                <w:highlight w:val="none"/>
                <w:lang w:val="en-US" w:eastAsia="zh-CN" w:bidi="ar-SA"/>
              </w:rPr>
            </w:pPr>
            <w:r>
              <w:rPr>
                <w:rFonts w:hint="eastAsia" w:ascii="仿宋" w:hAnsi="仿宋" w:eastAsia="仿宋" w:cs="仿宋"/>
                <w:color w:val="auto"/>
                <w:sz w:val="24"/>
                <w:szCs w:val="24"/>
                <w:highlight w:val="none"/>
              </w:rPr>
              <w:t>投标文件递交截止时间及开标时间和地点</w:t>
            </w:r>
          </w:p>
        </w:tc>
        <w:tc>
          <w:tcPr>
            <w:tcW w:w="6336" w:type="dxa"/>
            <w:vAlign w:val="top"/>
          </w:tcPr>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1、投标文件递交截止时间：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rPr>
              <w:t xml:space="preserve"> </w:t>
            </w:r>
          </w:p>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会议室（西安市朱雀大街南段1号汇成天玺C座18层1818室）</w:t>
            </w:r>
          </w:p>
          <w:p>
            <w:pPr>
              <w:pStyle w:val="37"/>
              <w:spacing w:line="560" w:lineRule="exact"/>
              <w:ind w:firstLine="0" w:firstLineChars="0"/>
              <w:rPr>
                <w:rFonts w:hint="eastAsia" w:ascii="仿宋" w:hAnsi="仿宋" w:eastAsia="仿宋" w:cs="仿宋"/>
                <w:b/>
                <w:color w:val="auto"/>
                <w:sz w:val="18"/>
                <w:szCs w:val="18"/>
                <w:highlight w:val="none"/>
                <w:lang w:eastAsia="zh-CN"/>
              </w:rPr>
            </w:pPr>
            <w:r>
              <w:rPr>
                <w:rFonts w:hint="eastAsia" w:ascii="仿宋" w:hAnsi="仿宋" w:eastAsia="仿宋" w:cs="仿宋"/>
                <w:color w:val="auto"/>
                <w:sz w:val="24"/>
                <w:szCs w:val="24"/>
                <w:highlight w:val="none"/>
              </w:rPr>
              <w:t>3、开标时间：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4、开标地点：</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投标有效期</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投标担保</w:t>
            </w:r>
          </w:p>
        </w:tc>
        <w:tc>
          <w:tcPr>
            <w:tcW w:w="6336" w:type="dxa"/>
            <w:vAlign w:val="top"/>
          </w:tcPr>
          <w:p>
            <w:pPr>
              <w:pStyle w:val="10"/>
              <w:spacing w:line="640" w:lineRule="exact"/>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1、投标保证金</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rPr>
              <w:t>人民币</w:t>
            </w:r>
            <w:r>
              <w:rPr>
                <w:rFonts w:hint="eastAsia" w:ascii="仿宋" w:hAnsi="仿宋" w:eastAsia="仿宋" w:cs="仿宋"/>
                <w:b/>
                <w:bCs/>
                <w:color w:val="auto"/>
                <w:szCs w:val="24"/>
                <w:highlight w:val="none"/>
                <w:lang w:val="en-US" w:eastAsia="zh-CN"/>
              </w:rPr>
              <w:t>壹万玖仟元整</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2、投标保证金交纳方式：投标人可自主选择以银行网银转账、支票、汇票、本票、保函等非现金形式交纳或提交投标保证金。</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3、请投标人按规定时间</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lang w:eastAsia="zh-CN"/>
              </w:rPr>
              <w:t>2022年</w:t>
            </w:r>
            <w:r>
              <w:rPr>
                <w:rFonts w:hint="eastAsia" w:ascii="仿宋" w:hAnsi="仿宋" w:eastAsia="仿宋" w:cs="仿宋"/>
                <w:b/>
                <w:bCs/>
                <w:color w:val="auto"/>
                <w:szCs w:val="24"/>
                <w:highlight w:val="none"/>
                <w:lang w:val="en-US" w:eastAsia="zh-CN"/>
              </w:rPr>
              <w:t>7</w:t>
            </w:r>
            <w:r>
              <w:rPr>
                <w:rFonts w:hint="eastAsia" w:ascii="仿宋" w:hAnsi="仿宋" w:eastAsia="仿宋" w:cs="仿宋"/>
                <w:b/>
                <w:bCs/>
                <w:color w:val="auto"/>
                <w:szCs w:val="24"/>
                <w:highlight w:val="none"/>
                <w:lang w:eastAsia="zh-CN"/>
              </w:rPr>
              <w:t>月</w:t>
            </w:r>
            <w:r>
              <w:rPr>
                <w:rFonts w:hint="eastAsia" w:ascii="仿宋" w:hAnsi="仿宋" w:eastAsia="仿宋" w:cs="仿宋"/>
                <w:b/>
                <w:bCs/>
                <w:color w:val="auto"/>
                <w:szCs w:val="24"/>
                <w:highlight w:val="none"/>
                <w:lang w:val="en-US" w:eastAsia="zh-CN"/>
              </w:rPr>
              <w:t>20</w:t>
            </w:r>
            <w:r>
              <w:rPr>
                <w:rFonts w:hint="eastAsia" w:ascii="仿宋" w:hAnsi="仿宋" w:eastAsia="仿宋" w:cs="仿宋"/>
                <w:b/>
                <w:bCs/>
                <w:color w:val="auto"/>
                <w:szCs w:val="24"/>
                <w:highlight w:val="none"/>
                <w:lang w:eastAsia="zh-CN"/>
              </w:rPr>
              <w:t>日14:</w:t>
            </w:r>
            <w:r>
              <w:rPr>
                <w:rFonts w:hint="eastAsia" w:ascii="仿宋" w:hAnsi="仿宋" w:eastAsia="仿宋" w:cs="仿宋"/>
                <w:b/>
                <w:bCs/>
                <w:color w:val="auto"/>
                <w:szCs w:val="24"/>
                <w:highlight w:val="none"/>
                <w:lang w:val="en-US" w:eastAsia="zh-CN"/>
              </w:rPr>
              <w:t>3</w:t>
            </w:r>
            <w:r>
              <w:rPr>
                <w:rFonts w:hint="eastAsia" w:ascii="仿宋" w:hAnsi="仿宋" w:eastAsia="仿宋" w:cs="仿宋"/>
                <w:b/>
                <w:bCs/>
                <w:color w:val="auto"/>
                <w:szCs w:val="24"/>
                <w:highlight w:val="none"/>
                <w:lang w:eastAsia="zh-CN"/>
              </w:rPr>
              <w:t>0</w:t>
            </w:r>
            <w:r>
              <w:rPr>
                <w:rFonts w:hint="eastAsia" w:ascii="仿宋" w:hAnsi="仿宋" w:eastAsia="仿宋" w:cs="仿宋"/>
                <w:b/>
                <w:bCs/>
                <w:color w:val="auto"/>
                <w:szCs w:val="24"/>
                <w:highlight w:val="none"/>
              </w:rPr>
              <w:t>前</w:t>
            </w:r>
            <w:r>
              <w:rPr>
                <w:rFonts w:hint="eastAsia" w:ascii="仿宋" w:hAnsi="仿宋" w:eastAsia="仿宋" w:cs="仿宋"/>
                <w:color w:val="auto"/>
                <w:szCs w:val="24"/>
                <w:highlight w:val="none"/>
              </w:rPr>
              <w:t>）和方式提交保证金，避免银行退票等原因出现保证金未按时到账等情况影响正常投标。请务必在转账时在摘要处注明：项目编号，同时请次日电话查询是否到账：029-8759232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 xml:space="preserve">。 </w:t>
            </w:r>
          </w:p>
          <w:p>
            <w:pPr>
              <w:pStyle w:val="1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4、投标人未按照招标文件要求提交保证金的，投标响应文件无效。投标保证金提交以到账时间为准。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汇款账户</w:t>
            </w:r>
          </w:p>
        </w:tc>
        <w:tc>
          <w:tcPr>
            <w:tcW w:w="6336" w:type="dxa"/>
            <w:vAlign w:val="top"/>
          </w:tcPr>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中国</w:t>
            </w: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rPr>
              <w:t>银行：</w:t>
            </w:r>
            <w:r>
              <w:rPr>
                <w:rFonts w:hint="eastAsia" w:ascii="仿宋" w:hAnsi="仿宋" w:eastAsia="仿宋" w:cs="仿宋"/>
                <w:b w:val="0"/>
                <w:bCs w:val="0"/>
                <w:color w:val="auto"/>
                <w:sz w:val="24"/>
                <w:szCs w:val="24"/>
                <w:highlight w:val="none"/>
              </w:rPr>
              <w:t>招标服务费</w:t>
            </w:r>
            <w:r>
              <w:rPr>
                <w:rFonts w:hint="eastAsia" w:ascii="仿宋" w:hAnsi="仿宋" w:eastAsia="仿宋" w:cs="仿宋"/>
                <w:color w:val="auto"/>
                <w:sz w:val="24"/>
                <w:szCs w:val="24"/>
                <w:highlight w:val="none"/>
                <w:lang w:eastAsia="zh-CN"/>
              </w:rPr>
              <w:t>（交纳账户）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中信银行：投标保证金、履约保证金（交纳专户）</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账号：8111 7010 1190 0609 835</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开户行：中信银行西安朱雀南路支行</w:t>
            </w:r>
          </w:p>
          <w:p>
            <w:pPr>
              <w:pStyle w:val="37"/>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注:标书费、招标服务费可以采用转账、现金形式交纳；</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和报价</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盖章签字</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投标文件数量、装订</w:t>
            </w:r>
          </w:p>
        </w:tc>
        <w:tc>
          <w:tcPr>
            <w:tcW w:w="6336" w:type="dxa"/>
            <w:vAlign w:val="center"/>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。投标文件正本一份，副本四份，电子</w:t>
            </w:r>
            <w:r>
              <w:rPr>
                <w:rFonts w:hint="eastAsia" w:ascii="仿宋" w:hAnsi="仿宋" w:eastAsia="仿宋" w:cs="仿宋"/>
                <w:color w:val="auto"/>
                <w:szCs w:val="24"/>
                <w:highlight w:val="none"/>
                <w:lang w:val="en-US" w:eastAsia="zh-CN"/>
              </w:rPr>
              <w:t>文件</w:t>
            </w:r>
            <w:r>
              <w:rPr>
                <w:rFonts w:hint="eastAsia" w:ascii="仿宋" w:hAnsi="仿宋" w:eastAsia="仿宋" w:cs="仿宋"/>
                <w:color w:val="auto"/>
                <w:szCs w:val="24"/>
                <w:highlight w:val="none"/>
              </w:rPr>
              <w:t>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），电子版投标文件提供投标文件正本的word版本及PDF版本（PDF文件为完整签字、盖章的正本扫描件）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投标报价</w:t>
            </w:r>
          </w:p>
        </w:tc>
        <w:tc>
          <w:tcPr>
            <w:tcW w:w="6336" w:type="dxa"/>
            <w:vAlign w:val="center"/>
          </w:tcPr>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本项目属于交钥匙项目，投标报价=设备价（含税）</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运输费+安装费+调试费+培训费+产品辅材费+售后服务费+保险费+相关伴随费用等。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评标办法及标准</w:t>
            </w:r>
          </w:p>
        </w:tc>
        <w:tc>
          <w:tcPr>
            <w:tcW w:w="6336" w:type="dxa"/>
            <w:vAlign w:val="center"/>
          </w:tcPr>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其它事项</w:t>
            </w:r>
          </w:p>
        </w:tc>
        <w:tc>
          <w:tcPr>
            <w:tcW w:w="6336" w:type="dxa"/>
            <w:vAlign w:val="center"/>
          </w:tcPr>
          <w:p>
            <w:pPr>
              <w:adjustRightInd w:val="0"/>
              <w:snapToGrid w:val="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30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28</w:t>
            </w:r>
          </w:p>
        </w:tc>
        <w:tc>
          <w:tcPr>
            <w:tcW w:w="241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本项目是否专门面向中小企业</w:t>
            </w:r>
          </w:p>
        </w:tc>
        <w:tc>
          <w:tcPr>
            <w:tcW w:w="6336" w:type="dxa"/>
            <w:vAlign w:val="center"/>
          </w:tcPr>
          <w:p>
            <w:pPr>
              <w:pStyle w:val="3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kern w:val="2"/>
                <w:sz w:val="24"/>
                <w:szCs w:val="24"/>
                <w:highlight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本项目所属行业</w:t>
            </w:r>
          </w:p>
        </w:tc>
        <w:tc>
          <w:tcPr>
            <w:tcW w:w="6336" w:type="dxa"/>
            <w:vAlign w:val="center"/>
          </w:tcPr>
          <w:p>
            <w:pPr>
              <w:adjustRightInd w:val="0"/>
              <w:snapToGrid w:val="0"/>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零售业</w:t>
            </w:r>
          </w:p>
        </w:tc>
      </w:tr>
    </w:tbl>
    <w:p>
      <w:pPr>
        <w:pStyle w:val="4"/>
        <w:spacing w:line="56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4"/>
        <w:spacing w:line="560" w:lineRule="exact"/>
        <w:rPr>
          <w:rFonts w:hint="eastAsia"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455"/>
      <w:bookmarkStart w:id="13" w:name="_Toc458617732"/>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4"/>
        <w:spacing w:line="560" w:lineRule="exact"/>
        <w:rPr>
          <w:rFonts w:hint="eastAsia" w:ascii="仿宋" w:hAnsi="仿宋" w:eastAsia="仿宋" w:cs="仿宋"/>
          <w:color w:val="auto"/>
          <w:kern w:val="0"/>
          <w:sz w:val="28"/>
          <w:szCs w:val="28"/>
          <w:highlight w:val="none"/>
        </w:rPr>
      </w:pPr>
      <w:bookmarkStart w:id="14" w:name="_Toc458617733"/>
      <w:bookmarkStart w:id="15" w:name="_Toc19356"/>
      <w:bookmarkStart w:id="16" w:name="_Toc458617456"/>
      <w:r>
        <w:rPr>
          <w:rFonts w:hint="eastAsia" w:ascii="仿宋" w:hAnsi="仿宋" w:eastAsia="仿宋" w:cs="仿宋"/>
          <w:color w:val="auto"/>
          <w:kern w:val="0"/>
          <w:sz w:val="28"/>
          <w:szCs w:val="28"/>
          <w:highlight w:val="none"/>
        </w:rPr>
        <w:t>三、招标文件</w:t>
      </w:r>
      <w:bookmarkEnd w:id="14"/>
      <w:bookmarkEnd w:id="15"/>
      <w:bookmarkEnd w:id="16"/>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spacing w:line="560" w:lineRule="exact"/>
        <w:ind w:firstLine="480" w:firstLineChars="200"/>
        <w:rPr>
          <w:rFonts w:hint="eastAsia" w:ascii="仿宋" w:hAnsi="仿宋" w:eastAsia="仿宋" w:cs="仿宋"/>
          <w:b/>
          <w:color w:val="auto"/>
          <w:kern w:val="0"/>
          <w:sz w:val="18"/>
          <w:szCs w:val="18"/>
          <w:highlight w:val="none"/>
          <w:u w:color="FF0000"/>
        </w:rPr>
      </w:pPr>
      <w:bookmarkStart w:id="17" w:name="_Toc458617457"/>
      <w:bookmarkStart w:id="18" w:name="_Toc458617734"/>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kinsoku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4"/>
        <w:spacing w:line="560" w:lineRule="exact"/>
        <w:rPr>
          <w:rFonts w:hint="eastAsia"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1、投标人资格要求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2、财务状况报告：提供具有财务审计资质单位出具的</w:t>
      </w:r>
      <w:r>
        <w:rPr>
          <w:rFonts w:hint="eastAsia" w:ascii="仿宋" w:hAnsi="仿宋" w:eastAsia="仿宋" w:cs="仿宋"/>
          <w:color w:val="auto"/>
          <w:sz w:val="24"/>
          <w:szCs w:val="24"/>
          <w:highlight w:val="none"/>
          <w:lang w:val="en-US" w:eastAsia="zh-CN"/>
        </w:rPr>
        <w:t>2020年度或2021年度</w:t>
      </w:r>
      <w:r>
        <w:rPr>
          <w:rFonts w:hint="eastAsia" w:ascii="仿宋" w:hAnsi="仿宋" w:eastAsia="仿宋" w:cs="仿宋"/>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r>
        <w:rPr>
          <w:rFonts w:hint="eastAsia" w:ascii="仿宋" w:hAnsi="仿宋" w:eastAsia="仿宋" w:cs="仿宋"/>
          <w:color w:val="auto"/>
          <w:szCs w:val="24"/>
          <w:highlight w:val="none"/>
        </w:rPr>
        <w:t>、投标保证金交纳凭证；（</w:t>
      </w:r>
      <w:r>
        <w:rPr>
          <w:rFonts w:hint="eastAsia" w:ascii="仿宋" w:hAnsi="仿宋" w:eastAsia="仿宋" w:cs="仿宋"/>
          <w:color w:val="auto"/>
          <w:szCs w:val="24"/>
          <w:highlight w:val="none"/>
          <w:lang w:eastAsia="zh-CN"/>
        </w:rPr>
        <w:t>保证金交纳凭证复印件加盖公章</w:t>
      </w:r>
      <w:r>
        <w:rPr>
          <w:rFonts w:hint="eastAsia" w:ascii="仿宋" w:hAnsi="仿宋" w:eastAsia="仿宋" w:cs="仿宋"/>
          <w:color w:val="auto"/>
          <w:szCs w:val="24"/>
          <w:highlight w:val="none"/>
        </w:rPr>
        <w:t xml:space="preserve">）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-5、投标人为制造厂家应出具《医疗器械经营许可证》（或医疗器械经营备案凭证）及《医疗器械生产许可证》（或医疗器械生产备案凭证）和所投产品《医疗器械产品注册证》（或《医疗器械产品备案凭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2-6、</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2-7</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2-8</w:t>
      </w:r>
      <w:r>
        <w:rPr>
          <w:rFonts w:hint="eastAsia" w:ascii="仿宋" w:hAnsi="仿宋" w:eastAsia="仿宋" w:cs="仿宋"/>
          <w:color w:val="auto"/>
          <w:szCs w:val="24"/>
          <w:highlight w:val="none"/>
        </w:rPr>
        <w:t>、本项目不接受联合体投标。</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3-1、采购人或采购代理机构将于本项目投标截止日在‘信用中国’网站、‘中国政府采购网’网站等渠道对供应商进行信用记录查询，查询的信用记录将进行打印存档</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、特别说明：</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4-4、节能环保、环境标志产品明细表（格式，若有）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、选配件报价表（格式，若有）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、货物说明一览表（格式）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、技术响应及偏离表（格式）</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、商务响应及偏离表（格式）</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、资格证明文件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10</w:t>
      </w:r>
      <w:r>
        <w:rPr>
          <w:rFonts w:hint="eastAsia" w:ascii="仿宋" w:hAnsi="仿宋" w:eastAsia="仿宋" w:cs="仿宋"/>
          <w:color w:val="auto"/>
          <w:kern w:val="0"/>
          <w:szCs w:val="24"/>
          <w:highlight w:val="none"/>
        </w:rPr>
        <w:t>、201</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年1月</w:t>
      </w:r>
      <w:r>
        <w:rPr>
          <w:rFonts w:hint="eastAsia" w:ascii="仿宋" w:hAnsi="仿宋" w:eastAsia="仿宋" w:cs="仿宋"/>
          <w:color w:val="auto"/>
          <w:kern w:val="0"/>
          <w:szCs w:val="24"/>
          <w:highlight w:val="none"/>
          <w:lang w:val="en-US" w:eastAsia="zh-CN"/>
        </w:rPr>
        <w:t>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（以合同为准</w:t>
      </w:r>
      <w:r>
        <w:rPr>
          <w:rFonts w:hint="eastAsia" w:ascii="仿宋" w:hAnsi="仿宋" w:eastAsia="仿宋" w:cs="仿宋"/>
          <w:color w:val="auto"/>
          <w:kern w:val="0"/>
          <w:szCs w:val="24"/>
          <w:highlight w:val="none"/>
          <w:lang w:eastAsia="zh-CN"/>
        </w:rPr>
        <w:t>，</w:t>
      </w:r>
      <w:r>
        <w:rPr>
          <w:rFonts w:hint="eastAsia" w:ascii="仿宋" w:hAnsi="仿宋" w:eastAsia="仿宋" w:cs="仿宋"/>
          <w:color w:val="auto"/>
          <w:kern w:val="0"/>
          <w:szCs w:val="24"/>
          <w:highlight w:val="none"/>
          <w:lang w:val="en-US" w:eastAsia="zh-CN"/>
        </w:rPr>
        <w:t>复印件加盖公章</w:t>
      </w:r>
      <w:r>
        <w:rPr>
          <w:rFonts w:hint="eastAsia" w:ascii="仿宋" w:hAnsi="仿宋" w:eastAsia="仿宋" w:cs="仿宋"/>
          <w:color w:val="auto"/>
          <w:kern w:val="0"/>
          <w:szCs w:val="24"/>
          <w:highlight w:val="none"/>
        </w:rPr>
        <w:t>）</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、产品的合法渠道证明文件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、项目实施方案</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、产品的技术文件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、质量保证</w:t>
      </w:r>
    </w:p>
    <w:p>
      <w:pPr>
        <w:spacing w:line="560" w:lineRule="exact"/>
        <w:ind w:firstLine="240" w:firstLineChars="1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eastAsia="zh-CN"/>
        </w:rPr>
        <w:t>及培训计划</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、招标文件要求的其他证明资料及投标人认为需要提供的资料。</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spacing w:line="560" w:lineRule="exact"/>
        <w:ind w:firstLine="240" w:firstLineChars="1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spacing w:line="560" w:lineRule="exact"/>
        <w:ind w:firstLine="240" w:firstLineChars="1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5-6、投标文件电子版内容须与投标文件纸质版正本中的内容一致。</w:t>
      </w:r>
    </w:p>
    <w:p>
      <w:pPr>
        <w:spacing w:line="560" w:lineRule="exact"/>
        <w:ind w:firstLine="232" w:firstLineChars="100"/>
        <w:rPr>
          <w:rFonts w:hint="eastAsia" w:ascii="仿宋" w:hAnsi="仿宋" w:eastAsia="仿宋" w:cs="仿宋"/>
          <w:color w:val="auto"/>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容，按格式要求填写，并单独密封提交，同时应保证“开标一览表”在投标文件正、副本中仍有且一致。如果不一致，以唱标内容为准。</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5-8、</w:t>
      </w:r>
      <w:r>
        <w:rPr>
          <w:rFonts w:hint="eastAsia" w:ascii="仿宋" w:hAnsi="仿宋" w:eastAsia="仿宋" w:cs="仿宋"/>
          <w:color w:val="auto"/>
          <w:szCs w:val="24"/>
          <w:highlight w:val="none"/>
        </w:rPr>
        <w:t>开标一览表</w:t>
      </w:r>
      <w:r>
        <w:rPr>
          <w:rFonts w:hint="eastAsia" w:ascii="仿宋" w:hAnsi="仿宋" w:eastAsia="仿宋" w:cs="仿宋"/>
          <w:color w:val="auto"/>
          <w:szCs w:val="24"/>
          <w:highlight w:val="none"/>
          <w:lang w:eastAsia="zh-CN"/>
        </w:rPr>
        <w:t>必须由法定代表人或被授权人签字并加盖投标人公章，否则将</w:t>
      </w:r>
      <w:r>
        <w:rPr>
          <w:rFonts w:hint="eastAsia" w:ascii="仿宋" w:hAnsi="仿宋" w:eastAsia="仿宋" w:cs="仿宋"/>
          <w:color w:val="auto"/>
          <w:szCs w:val="24"/>
          <w:highlight w:val="none"/>
          <w:lang w:val="en-US" w:eastAsia="zh-CN"/>
        </w:rPr>
        <w:t>作为无效投标处理</w:t>
      </w:r>
      <w:r>
        <w:rPr>
          <w:rFonts w:hint="eastAsia" w:ascii="仿宋" w:hAnsi="仿宋" w:eastAsia="仿宋" w:cs="仿宋"/>
          <w:color w:val="auto"/>
          <w:szCs w:val="24"/>
          <w:highlight w:val="none"/>
          <w:lang w:eastAsia="zh-CN"/>
        </w:rPr>
        <w:t>。</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6、投标文件的装订及密封</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，在投标文件书脊处必须写明项目名称、项目编号及投标人名称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电子文件一份（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，谢绝光盘），电子版投标文件提供投标文件正本的word版本及PDF版本（PDF文件为完整签字、盖章的正本扫描件），“开标一览表”一份。纸质投标文件均须A4纸打印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spacing w:line="560" w:lineRule="exact"/>
        <w:ind w:firstLine="480" w:firstLineChars="2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8-3、本项目为交钥匙项目，投标报价=设备价（含税）</w:t>
      </w:r>
      <w:r>
        <w:rPr>
          <w:rFonts w:hint="eastAsia" w:ascii="仿宋" w:hAnsi="仿宋" w:eastAsia="仿宋" w:cs="仿宋"/>
          <w:b w:val="0"/>
          <w:bCs w:val="0"/>
          <w:color w:val="auto"/>
          <w:kern w:val="2"/>
          <w:sz w:val="24"/>
          <w:szCs w:val="24"/>
          <w:highlight w:val="none"/>
          <w:lang w:val="en-US" w:eastAsia="zh-CN"/>
        </w:rPr>
        <w:t>+</w:t>
      </w:r>
      <w:r>
        <w:rPr>
          <w:rFonts w:hint="eastAsia" w:ascii="仿宋" w:hAnsi="仿宋" w:eastAsia="仿宋" w:cs="仿宋"/>
          <w:b/>
          <w:color w:val="auto"/>
          <w:szCs w:val="24"/>
          <w:highlight w:val="none"/>
        </w:rPr>
        <w:t>运输费+安装费+调试费+培训费+产品辅材费+售后服务费+保险费+相关伴随费用等。</w:t>
      </w:r>
    </w:p>
    <w:bookmarkEnd w:id="23"/>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r>
        <w:rPr>
          <w:rFonts w:hint="eastAsia" w:ascii="仿宋" w:hAnsi="仿宋" w:eastAsia="仿宋" w:cs="仿宋"/>
          <w:color w:val="auto"/>
          <w:szCs w:val="24"/>
          <w:highlight w:val="none"/>
        </w:rPr>
        <w:t>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spacing w:line="560" w:lineRule="exact"/>
        <w:ind w:firstLine="588" w:firstLineChars="245"/>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（5）货物运至指定地点的运输（含保险）费用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spacing w:line="560" w:lineRule="exact"/>
        <w:ind w:firstLine="470" w:firstLineChars="196"/>
        <w:rPr>
          <w:rFonts w:hint="eastAsia" w:ascii="仿宋" w:hAnsi="仿宋" w:eastAsia="仿宋" w:cs="仿宋"/>
          <w:color w:val="auto"/>
          <w:highlight w:val="none"/>
        </w:rPr>
      </w:pPr>
      <w:r>
        <w:rPr>
          <w:rFonts w:hint="eastAsia" w:ascii="仿宋" w:hAnsi="仿宋" w:eastAsia="仿宋" w:cs="仿宋"/>
          <w:color w:val="auto"/>
          <w:szCs w:val="24"/>
          <w:highlight w:val="none"/>
        </w:rPr>
        <w:t>（7）培训费</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、选配件是投标产品的附件，仅作为采购人后期选择购买，其报价不包含在本次投标总价内。</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458"/>
      <w:bookmarkStart w:id="25" w:name="_Toc458617735"/>
    </w:p>
    <w:p>
      <w:pPr>
        <w:pStyle w:val="4"/>
        <w:spacing w:line="560" w:lineRule="exact"/>
        <w:rPr>
          <w:rFonts w:hint="eastAsia"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tabs>
          <w:tab w:val="left" w:pos="7013"/>
        </w:tabs>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1、担保方式：见投标人须知前附表。</w:t>
      </w:r>
      <w:r>
        <w:rPr>
          <w:rFonts w:hint="eastAsia" w:ascii="仿宋" w:hAnsi="仿宋" w:eastAsia="仿宋" w:cs="仿宋"/>
          <w:color w:val="auto"/>
          <w:szCs w:val="24"/>
          <w:highlight w:val="none"/>
        </w:rPr>
        <w:tab/>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2、投标担保递交截止时间：见投标人须知前附表。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投标时，必须以招标文件规定的方式提交投标担保，并作为其投标的一部分。开标现场不办理投标担保收取事宜。若采购代理机构未在投标担保递交截止时间收到足额投标保证金或有效投标担保函的，或未在投标文件中附投标担保凭证的，其投标无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4、退还投标保证金：</w:t>
      </w:r>
    </w:p>
    <w:p>
      <w:pPr>
        <w:spacing w:line="56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u w:val="single"/>
        </w:rPr>
        <w:t>（3）中标人的投标保证金，将在签订合同后5个工作日内执合同予以退还（无息）。（</w:t>
      </w:r>
      <w:r>
        <w:rPr>
          <w:rFonts w:hint="eastAsia" w:ascii="仿宋" w:hAnsi="仿宋" w:eastAsia="仿宋" w:cs="仿宋"/>
          <w:b/>
          <w:color w:val="auto"/>
          <w:szCs w:val="24"/>
          <w:highlight w:val="none"/>
          <w:u w:val="single"/>
          <w:lang w:eastAsia="zh-CN"/>
        </w:rPr>
        <w:t>中标人</w:t>
      </w:r>
      <w:r>
        <w:rPr>
          <w:rFonts w:hint="eastAsia" w:ascii="仿宋" w:hAnsi="仿宋" w:eastAsia="仿宋" w:cs="仿宋"/>
          <w:b/>
          <w:color w:val="auto"/>
          <w:szCs w:val="24"/>
          <w:highlight w:val="none"/>
          <w:u w:val="single"/>
        </w:rPr>
        <w:t>须携带合同原件、合同复印件（加盖单位鲜章）各一份，同时将合同扫描件发送至</w:t>
      </w:r>
      <w:r>
        <w:rPr>
          <w:rFonts w:hint="eastAsia" w:ascii="仿宋" w:hAnsi="仿宋" w:eastAsia="仿宋" w:cs="仿宋"/>
          <w:b/>
          <w:color w:val="auto"/>
          <w:szCs w:val="24"/>
          <w:highlight w:val="none"/>
          <w:u w:val="single"/>
          <w:lang w:val="en-US" w:eastAsia="zh-CN"/>
        </w:rPr>
        <w:t>hzghxmglyxgs@163.com</w:t>
      </w:r>
      <w:r>
        <w:rPr>
          <w:rFonts w:hint="eastAsia" w:ascii="仿宋" w:hAnsi="仿宋" w:eastAsia="仿宋" w:cs="仿宋"/>
          <w:b/>
          <w:color w:val="auto"/>
          <w:szCs w:val="24"/>
          <w:highlight w:val="none"/>
          <w:u w:val="single"/>
        </w:rPr>
        <w:t>邮箱），但因中标人自身原因导致无法及时退还的除外。</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5-1、</w:t>
      </w:r>
      <w:r>
        <w:rPr>
          <w:rFonts w:hint="eastAsia" w:ascii="仿宋" w:hAnsi="仿宋" w:eastAsia="仿宋" w:cs="仿宋"/>
          <w:color w:val="auto"/>
          <w:szCs w:val="24"/>
          <w:highlight w:val="none"/>
          <w:u w:val="single"/>
        </w:rPr>
        <w:t>投标人提供虚假资质谋取中标的；</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5-2、</w:t>
      </w:r>
      <w:r>
        <w:rPr>
          <w:rFonts w:hint="eastAsia" w:ascii="仿宋" w:hAnsi="仿宋" w:eastAsia="仿宋" w:cs="仿宋"/>
          <w:color w:val="auto"/>
          <w:szCs w:val="24"/>
          <w:highlight w:val="none"/>
          <w:u w:val="single"/>
        </w:rPr>
        <w:t>有围标、串标现象，经查证属实的；</w:t>
      </w:r>
    </w:p>
    <w:p>
      <w:pPr>
        <w:spacing w:line="560" w:lineRule="exact"/>
        <w:ind w:left="574" w:leftChars="239"/>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5-3、</w:t>
      </w:r>
      <w:r>
        <w:rPr>
          <w:rFonts w:hint="eastAsia" w:ascii="仿宋" w:hAnsi="仿宋" w:eastAsia="仿宋" w:cs="仿宋"/>
          <w:color w:val="auto"/>
          <w:szCs w:val="24"/>
          <w:highlight w:val="none"/>
          <w:u w:val="single"/>
        </w:rPr>
        <w:t>投标人在招标文件规定的投标有效期内撤回投标的；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5-4、</w:t>
      </w:r>
      <w:r>
        <w:rPr>
          <w:rFonts w:hint="eastAsia" w:ascii="仿宋" w:hAnsi="仿宋" w:eastAsia="仿宋" w:cs="仿宋"/>
          <w:color w:val="auto"/>
          <w:szCs w:val="24"/>
          <w:highlight w:val="none"/>
          <w:u w:val="single"/>
          <w:lang w:val="en-US" w:eastAsia="zh-CN"/>
        </w:rPr>
        <w:t>投标人</w:t>
      </w:r>
      <w:r>
        <w:rPr>
          <w:rFonts w:hint="eastAsia" w:ascii="仿宋" w:hAnsi="仿宋" w:eastAsia="仿宋" w:cs="仿宋"/>
          <w:color w:val="auto"/>
          <w:szCs w:val="24"/>
          <w:highlight w:val="none"/>
          <w:u w:val="single"/>
        </w:rPr>
        <w:t>自行放弃</w:t>
      </w:r>
      <w:r>
        <w:rPr>
          <w:rFonts w:hint="eastAsia" w:ascii="仿宋" w:hAnsi="仿宋" w:eastAsia="仿宋" w:cs="仿宋"/>
          <w:color w:val="auto"/>
          <w:szCs w:val="24"/>
          <w:highlight w:val="none"/>
          <w:u w:val="single"/>
          <w:lang w:eastAsia="zh-CN"/>
        </w:rPr>
        <w:t>投标</w:t>
      </w:r>
      <w:r>
        <w:rPr>
          <w:rFonts w:hint="eastAsia" w:ascii="仿宋" w:hAnsi="仿宋" w:eastAsia="仿宋" w:cs="仿宋"/>
          <w:color w:val="auto"/>
          <w:szCs w:val="24"/>
          <w:highlight w:val="none"/>
          <w:u w:val="single"/>
        </w:rPr>
        <w:t>资格而未在</w:t>
      </w:r>
      <w:r>
        <w:rPr>
          <w:rFonts w:hint="eastAsia" w:ascii="仿宋" w:hAnsi="仿宋" w:eastAsia="仿宋" w:cs="仿宋"/>
          <w:color w:val="auto"/>
          <w:szCs w:val="24"/>
          <w:highlight w:val="none"/>
          <w:u w:val="single"/>
          <w:lang w:eastAsia="zh-CN"/>
        </w:rPr>
        <w:t>开标</w:t>
      </w:r>
      <w:r>
        <w:rPr>
          <w:rFonts w:hint="eastAsia" w:ascii="仿宋" w:hAnsi="仿宋" w:eastAsia="仿宋" w:cs="仿宋"/>
          <w:color w:val="auto"/>
          <w:szCs w:val="24"/>
          <w:highlight w:val="none"/>
          <w:u w:val="single"/>
        </w:rPr>
        <w:t>会议前一天以书面形式告知采购代理</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机构的；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投标人自行放弃中标资格的；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中标单位不在规定的时效内领取《中标通知书》的；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中标人不按规定支付招标服务费的；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中标人因自身原因未能在规定期限内与采购人签订合同的。</w:t>
      </w:r>
    </w:p>
    <w:p>
      <w:pPr>
        <w:pStyle w:val="4"/>
        <w:spacing w:line="560" w:lineRule="exact"/>
        <w:rPr>
          <w:rFonts w:hint="eastAsia" w:ascii="仿宋" w:hAnsi="仿宋" w:eastAsia="仿宋" w:cs="仿宋"/>
          <w:color w:val="auto"/>
          <w:kern w:val="0"/>
          <w:sz w:val="28"/>
          <w:szCs w:val="28"/>
          <w:highlight w:val="none"/>
        </w:rPr>
      </w:pPr>
      <w:bookmarkStart w:id="27" w:name="_Toc22244"/>
      <w:bookmarkStart w:id="28" w:name="_Toc458617736"/>
      <w:bookmarkStart w:id="29" w:name="_Toc458617459"/>
      <w:r>
        <w:rPr>
          <w:rFonts w:hint="eastAsia" w:ascii="仿宋" w:hAnsi="仿宋" w:eastAsia="仿宋" w:cs="仿宋"/>
          <w:color w:val="auto"/>
          <w:kern w:val="0"/>
          <w:sz w:val="28"/>
          <w:szCs w:val="28"/>
          <w:highlight w:val="none"/>
        </w:rPr>
        <w:t>六、投标</w:t>
      </w:r>
      <w:bookmarkEnd w:id="27"/>
      <w:bookmarkEnd w:id="28"/>
      <w:bookmarkEnd w:id="29"/>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1-1、投标人应在投标截止时间前将投标文件密封送达投标地点；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1-2、逾期送达或者未按照招标文件要求密封的投标文件，将被拒收；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1-3、逾期送达的必备资质文件，将被拒收；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1-4、本次招标不接受邮寄的投标文件、必备资质文件。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按招标文件要求密封、签署、盖章，并作为投标文件的组成部分；补充、修改的内容与相应文件不一致的，以补充、修改的内容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2-2、投标人提出修改要求的，须在投标截止时间前密封送到采购代理机构，并在封面上加注“修改”字样。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2-5、在投标截止时间至投标有效期满之前，投标人不得撤回其投标文件，否则其投标保证金将不予退还。提供投标担保的投标人将由专业担保机构先行偿付采购人损失。</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37"/>
        <w:spacing w:line="560" w:lineRule="exact"/>
        <w:ind w:firstLine="464"/>
        <w:rPr>
          <w:rFonts w:hint="eastAsia"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37"/>
        <w:spacing w:line="5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0"/>
      <w:bookmarkStart w:id="31" w:name="_Toc458617460"/>
      <w:bookmarkStart w:id="32" w:name="_Toc458617737"/>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5-6、不同投标人的投标保证金从同一单位或者个人的账户转出。</w:t>
      </w:r>
    </w:p>
    <w:p>
      <w:pPr>
        <w:pStyle w:val="4"/>
        <w:spacing w:line="560" w:lineRule="exact"/>
        <w:rPr>
          <w:rFonts w:hint="eastAsia"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spacing w:line="560" w:lineRule="exact"/>
        <w:ind w:firstLine="480" w:firstLineChars="200"/>
        <w:rPr>
          <w:rFonts w:hint="eastAsia" w:ascii="仿宋" w:hAnsi="仿宋" w:eastAsia="仿宋" w:cs="仿宋"/>
          <w:strike w:val="0"/>
          <w:color w:val="auto"/>
          <w:szCs w:val="24"/>
          <w:highlight w:val="none"/>
        </w:rPr>
      </w:pPr>
      <w:r>
        <w:rPr>
          <w:rFonts w:hint="eastAsia" w:ascii="仿宋" w:hAnsi="仿宋" w:eastAsia="仿宋" w:cs="仿宋"/>
          <w:color w:val="auto"/>
          <w:szCs w:val="24"/>
          <w:highlight w:val="none"/>
        </w:rPr>
        <w:t>1-4、投标人的法定代表人或被授权人与监标人当众检查所有投标文件的密封情况，签字确认并宣读检查结果。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采购代理机构依照提交的“开标一览表”的摆放顺序当众拆封，宣读投标人名称、投标价格和投标文件的其它主要内容并做记录。投标人确认无误后，由投标人的法定代表人或被授权人及监标人签字确认唱标内容。如投标人对宣读的“开标一览表”上的内容有异议，应在获得主持人同意后当场提出，如属于宣读错误，经现场监督人员核实后，当场予以更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1-6、主持人宣布开标会议结束，所有投标人离场。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1-7、采购代理机构对开标过程进行全程录音录像，并存档备查。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spacing w:line="560" w:lineRule="exact"/>
        <w:ind w:firstLine="482" w:firstLineChars="200"/>
        <w:rPr>
          <w:rFonts w:hint="eastAsia" w:ascii="仿宋" w:hAnsi="仿宋" w:eastAsia="仿宋" w:cs="仿宋"/>
          <w:bCs/>
          <w:color w:val="auto"/>
          <w:szCs w:val="24"/>
          <w:highlight w:val="none"/>
        </w:rPr>
      </w:pPr>
      <w:r>
        <w:rPr>
          <w:rFonts w:hint="eastAsia" w:ascii="仿宋" w:hAnsi="仿宋" w:eastAsia="仿宋" w:cs="仿宋"/>
          <w:b/>
          <w:bCs/>
          <w:color w:val="auto"/>
          <w:szCs w:val="24"/>
          <w:highlight w:val="none"/>
        </w:rPr>
        <w:t>开标结束后，由采购人依法对投标人的资格进行审查，审查合格的投标人方可进入评标阶段，缺项或一项不符合要求即不合格，不合格的投标人其投标无效。投标人须在提交投标文件截止时间前单独提交下述资质证明材料原件</w:t>
      </w:r>
      <w:r>
        <w:rPr>
          <w:rFonts w:hint="eastAsia" w:ascii="仿宋" w:hAnsi="仿宋" w:eastAsia="仿宋" w:cs="仿宋"/>
          <w:b/>
          <w:bCs/>
          <w:color w:val="auto"/>
          <w:szCs w:val="24"/>
          <w:highlight w:val="none"/>
          <w:lang w:eastAsia="zh-CN"/>
        </w:rPr>
        <w:t>或加盖公章的复印件</w:t>
      </w:r>
      <w:r>
        <w:rPr>
          <w:rFonts w:hint="eastAsia" w:ascii="仿宋" w:hAnsi="仿宋" w:eastAsia="仿宋" w:cs="仿宋"/>
          <w:b/>
          <w:bCs/>
          <w:color w:val="auto"/>
          <w:szCs w:val="24"/>
          <w:highlight w:val="none"/>
        </w:rPr>
        <w:t>，逾期不接受任何补充资料：</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（1）基本资格条件：符合《中华人民共和国政府采购法》第二十二条的规定：</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2、财务状况报告：提供具有财务审计资质单位出具的</w:t>
      </w:r>
      <w:r>
        <w:rPr>
          <w:rFonts w:hint="eastAsia" w:ascii="仿宋" w:hAnsi="仿宋" w:eastAsia="仿宋" w:cs="仿宋"/>
          <w:b w:val="0"/>
          <w:bCs/>
          <w:color w:val="auto"/>
          <w:szCs w:val="24"/>
          <w:highlight w:val="none"/>
          <w:lang w:val="en-US" w:eastAsia="zh-CN"/>
        </w:rPr>
        <w:t>2020年度或2021年度</w:t>
      </w:r>
      <w:r>
        <w:rPr>
          <w:rFonts w:hint="eastAsia" w:ascii="仿宋" w:hAnsi="仿宋" w:eastAsia="仿宋" w:cs="仿宋"/>
          <w:b w:val="0"/>
          <w:bCs/>
          <w:color w:val="auto"/>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r>
        <w:rPr>
          <w:rFonts w:hint="eastAsia" w:ascii="仿宋" w:hAnsi="仿宋" w:eastAsia="仿宋" w:cs="仿宋"/>
          <w:b w:val="0"/>
          <w:bCs/>
          <w:color w:val="auto"/>
          <w:szCs w:val="24"/>
          <w:highlight w:val="none"/>
        </w:rPr>
        <w:t xml:space="preserve">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rPr>
        <w:t>5、提供具有履行本合同所必需的设备和专业技术能力的说明及承诺；（格式自拟，加盖投标人公章）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6、提供参加政府采购活动前三年内在经营活动中没有重大违法记录的书面声明。（格式自拟，加盖投标人公章）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（2）、特定资格条件：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、投标保证金交纳凭证；（</w:t>
      </w:r>
      <w:r>
        <w:rPr>
          <w:rFonts w:hint="eastAsia" w:ascii="仿宋" w:hAnsi="仿宋" w:eastAsia="仿宋" w:cs="仿宋"/>
          <w:b w:val="0"/>
          <w:bCs/>
          <w:color w:val="auto"/>
          <w:szCs w:val="24"/>
          <w:highlight w:val="none"/>
          <w:lang w:eastAsia="zh-CN"/>
        </w:rPr>
        <w:t>保证金交纳凭证复印件加盖公章</w:t>
      </w:r>
      <w:r>
        <w:rPr>
          <w:rFonts w:hint="eastAsia" w:ascii="仿宋" w:hAnsi="仿宋" w:eastAsia="仿宋" w:cs="仿宋"/>
          <w:b w:val="0"/>
          <w:bCs/>
          <w:color w:val="auto"/>
          <w:szCs w:val="24"/>
          <w:highlight w:val="none"/>
        </w:rPr>
        <w:t xml:space="preserve">）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val="en-US" w:eastAsia="zh-CN"/>
        </w:rPr>
      </w:pPr>
      <w:r>
        <w:rPr>
          <w:rFonts w:hint="eastAsia" w:ascii="仿宋" w:hAnsi="仿宋" w:eastAsia="仿宋" w:cs="仿宋"/>
          <w:b w:val="0"/>
          <w:bCs/>
          <w:color w:val="auto"/>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val="en-US" w:eastAsia="zh-CN"/>
        </w:rPr>
      </w:pPr>
      <w:r>
        <w:rPr>
          <w:rFonts w:hint="eastAsia" w:ascii="仿宋" w:hAnsi="仿宋" w:eastAsia="仿宋" w:cs="仿宋"/>
          <w:b w:val="0"/>
          <w:bCs/>
          <w:color w:val="auto"/>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6、</w:t>
      </w:r>
      <w:r>
        <w:rPr>
          <w:rFonts w:hint="eastAsia" w:ascii="仿宋" w:hAnsi="仿宋" w:eastAsia="仿宋" w:cs="仿宋"/>
          <w:b w:val="0"/>
          <w:bCs/>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7</w:t>
      </w:r>
      <w:r>
        <w:rPr>
          <w:rFonts w:hint="eastAsia" w:ascii="仿宋" w:hAnsi="仿宋" w:eastAsia="仿宋" w:cs="仿宋"/>
          <w:b w:val="0"/>
          <w:bCs/>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3-4、有关人员对评标情况以及在评标过程中获悉的国家秘密、商业秘密负有保密责任。</w:t>
      </w:r>
    </w:p>
    <w:p>
      <w:pPr>
        <w:spacing w:line="56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5</w:t>
      </w:r>
      <w:r>
        <w:rPr>
          <w:rFonts w:hint="eastAsia" w:ascii="仿宋" w:hAnsi="仿宋" w:eastAsia="仿宋" w:cs="仿宋"/>
          <w:bCs/>
          <w:color w:val="auto"/>
          <w:szCs w:val="24"/>
          <w:highlight w:val="none"/>
        </w:rPr>
        <w:t>、评标原则：</w:t>
      </w:r>
      <w:r>
        <w:rPr>
          <w:rFonts w:hint="eastAsia" w:ascii="仿宋" w:hAnsi="仿宋" w:eastAsia="仿宋" w:cs="仿宋"/>
          <w:color w:val="auto"/>
          <w:szCs w:val="24"/>
          <w:highlight w:val="none"/>
        </w:rPr>
        <w:t>坚持公平、公正、科学、择优原则，禁止不正当竞争。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6</w:t>
      </w:r>
      <w:r>
        <w:rPr>
          <w:rFonts w:hint="eastAsia" w:ascii="仿宋" w:hAnsi="仿宋" w:eastAsia="仿宋" w:cs="仿宋"/>
          <w:bCs/>
          <w:color w:val="auto"/>
          <w:szCs w:val="24"/>
          <w:highlight w:val="none"/>
        </w:rPr>
        <w:t>、评标办法</w:t>
      </w:r>
      <w:r>
        <w:rPr>
          <w:rFonts w:hint="eastAsia" w:ascii="仿宋" w:hAnsi="仿宋" w:eastAsia="仿宋" w:cs="仿宋"/>
          <w:color w:val="auto"/>
          <w:szCs w:val="24"/>
          <w:highlight w:val="none"/>
        </w:rPr>
        <w:t>：本次招标采用综合评分法（详见本节评分标准）。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7</w:t>
      </w:r>
      <w:r>
        <w:rPr>
          <w:rFonts w:hint="eastAsia" w:ascii="仿宋" w:hAnsi="仿宋" w:eastAsia="仿宋" w:cs="仿宋"/>
          <w:b/>
          <w:color w:val="auto"/>
          <w:szCs w:val="24"/>
          <w:highlight w:val="none"/>
        </w:rPr>
        <w:t>、评标工作程序：</w:t>
      </w:r>
      <w:r>
        <w:rPr>
          <w:rFonts w:hint="eastAsia" w:ascii="仿宋" w:hAnsi="仿宋" w:eastAsia="仿宋" w:cs="仿宋"/>
          <w:color w:val="auto"/>
          <w:szCs w:val="24"/>
          <w:highlight w:val="none"/>
        </w:rPr>
        <w:t>符合性审查、澄清、评价、推荐中标候选人的工作程序进行评标。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-1、投标文件符合性审查</w:t>
      </w:r>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一致；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未</w:t>
      </w:r>
      <w:r>
        <w:rPr>
          <w:rFonts w:hint="eastAsia" w:ascii="仿宋" w:hAnsi="仿宋" w:eastAsia="仿宋" w:cs="仿宋"/>
          <w:color w:val="auto"/>
          <w:szCs w:val="24"/>
          <w:highlight w:val="none"/>
        </w:rPr>
        <w:t>按照招标文件的要求盖章签字；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符合招标文件要求的数量；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符合招标文件的要求；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（7）未对招标文件商务要求作出明确且实质性响应。</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 xml:space="preserve"> 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-2、投标文件的澄清：</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-3、评价：</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（3）其他需说明的情况：</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spacing w:line="560" w:lineRule="exact"/>
        <w:ind w:firstLine="600" w:firstLineChars="24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、评分标准：</w:t>
      </w:r>
    </w:p>
    <w:tbl>
      <w:tblPr>
        <w:tblStyle w:val="23"/>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报价</w:t>
            </w:r>
          </w:p>
        </w:tc>
        <w:tc>
          <w:tcPr>
            <w:tcW w:w="766" w:type="dxa"/>
            <w:vAlign w:val="center"/>
          </w:tcPr>
          <w:p>
            <w:pPr>
              <w:shd w:val="clear"/>
              <w:spacing w:line="560" w:lineRule="exact"/>
              <w:ind w:left="-134" w:leftChars="-56"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30分</w:t>
            </w:r>
          </w:p>
        </w:tc>
        <w:tc>
          <w:tcPr>
            <w:tcW w:w="8084" w:type="dxa"/>
            <w:vAlign w:val="center"/>
          </w:tcPr>
          <w:p>
            <w:pPr>
              <w:pStyle w:val="39"/>
              <w:shd w:val="clear"/>
              <w:spacing w:line="560" w:lineRule="exact"/>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hd w:val="clear"/>
              <w:spacing w:line="56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投标报价得分=（评标基准价/投标报价）×价格权值×100</w:t>
            </w:r>
          </w:p>
          <w:p>
            <w:pPr>
              <w:widowControl/>
              <w:shd w:val="clear"/>
              <w:spacing w:line="56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（因落实政府采购政策进行价格调整的，以调整后的价格计算评标基准价和投标报价，详见3-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-1至3-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节能、环保产品</w:t>
            </w:r>
          </w:p>
        </w:tc>
        <w:tc>
          <w:tcPr>
            <w:tcW w:w="766" w:type="dxa"/>
            <w:vAlign w:val="center"/>
          </w:tcPr>
          <w:p>
            <w:pPr>
              <w:shd w:val="clear"/>
              <w:spacing w:line="560" w:lineRule="exact"/>
              <w:ind w:left="-134" w:leftChars="-56" w:right="-108" w:rightChars="-45"/>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2分</w:t>
            </w:r>
          </w:p>
        </w:tc>
        <w:tc>
          <w:tcPr>
            <w:tcW w:w="8084" w:type="dxa"/>
            <w:vAlign w:val="center"/>
          </w:tcPr>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投标设备中每有一项为节能产品的得0.5分，每有一项为环境标志产品的得0.5分，投标人投标产品中每有一项产品同时为节能产品和环境标志产品的得1分，最多得2分。（提</w:t>
            </w:r>
            <w:r>
              <w:rPr>
                <w:rFonts w:hint="eastAsia" w:ascii="仿宋" w:hAnsi="仿宋" w:eastAsia="仿宋" w:cs="仿宋"/>
                <w:color w:val="auto"/>
                <w:szCs w:val="24"/>
                <w:highlight w:val="none"/>
                <w:lang w:eastAsia="zh-CN"/>
              </w:rPr>
              <w:t>供</w:t>
            </w:r>
            <w:r>
              <w:rPr>
                <w:rFonts w:hint="eastAsia" w:ascii="仿宋" w:hAnsi="仿宋" w:eastAsia="仿宋" w:cs="仿宋"/>
                <w:color w:val="auto"/>
                <w:szCs w:val="24"/>
                <w:highlight w:val="none"/>
              </w:rPr>
              <w:t>证明资料，详见3-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技术</w:t>
            </w:r>
          </w:p>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响应</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40</w:t>
            </w:r>
            <w:r>
              <w:rPr>
                <w:rFonts w:hint="eastAsia" w:ascii="仿宋" w:hAnsi="仿宋" w:eastAsia="仿宋" w:cs="仿宋"/>
                <w:color w:val="auto"/>
                <w:kern w:val="0"/>
                <w:szCs w:val="24"/>
                <w:highlight w:val="none"/>
              </w:rPr>
              <w:t>分</w:t>
            </w:r>
          </w:p>
        </w:tc>
        <w:tc>
          <w:tcPr>
            <w:tcW w:w="8084" w:type="dxa"/>
          </w:tcPr>
          <w:p>
            <w:pPr>
              <w:widowControl/>
              <w:numPr>
                <w:ilvl w:val="0"/>
                <w:numId w:val="4"/>
              </w:numPr>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投标人所投产品的技术参数和性能要求完全满足招标文件要求的得</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分；标注“★”的参数为重要技术参数，如有一项负偏离，扣</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分</w:t>
            </w:r>
            <w:r>
              <w:rPr>
                <w:rFonts w:hint="eastAsia" w:ascii="仿宋" w:hAnsi="仿宋" w:eastAsia="仿宋" w:cs="仿宋"/>
                <w:color w:val="auto"/>
                <w:szCs w:val="24"/>
                <w:highlight w:val="none"/>
                <w:lang w:eastAsia="zh-CN"/>
              </w:rPr>
              <w:t>，其余参数每负偏离一项扣</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CN"/>
              </w:rPr>
              <w:t>分，扣完为止；</w:t>
            </w:r>
          </w:p>
          <w:p>
            <w:pPr>
              <w:widowControl/>
              <w:numPr>
                <w:ilvl w:val="0"/>
                <w:numId w:val="0"/>
              </w:numPr>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2、产品有详细的使用说明介绍，技术指标满足</w:t>
            </w:r>
            <w:r>
              <w:rPr>
                <w:rFonts w:hint="eastAsia" w:ascii="仿宋" w:hAnsi="仿宋" w:eastAsia="仿宋" w:cs="仿宋"/>
                <w:color w:val="auto"/>
                <w:szCs w:val="24"/>
                <w:highlight w:val="none"/>
                <w:lang w:val="en-US" w:eastAsia="zh-CN"/>
              </w:rPr>
              <w:t>招标</w:t>
            </w:r>
            <w:r>
              <w:rPr>
                <w:rFonts w:hint="eastAsia" w:ascii="仿宋" w:hAnsi="仿宋" w:eastAsia="仿宋" w:cs="仿宋"/>
                <w:color w:val="auto"/>
                <w:szCs w:val="24"/>
                <w:highlight w:val="none"/>
              </w:rPr>
              <w:t>文件要求及用户实际使用需求且技术资料齐全，并能提供生产厂家出具的、响应的功能证明材料（包括但不限于检测报告、官网和功能截图、彩页、说明书等相关资料），</w:t>
            </w:r>
            <w:r>
              <w:rPr>
                <w:rFonts w:hint="eastAsia" w:ascii="仿宋" w:hAnsi="仿宋" w:eastAsia="仿宋" w:cs="仿宋"/>
                <w:color w:val="auto"/>
                <w:szCs w:val="24"/>
                <w:highlight w:val="none"/>
                <w:lang w:val="en-US" w:eastAsia="zh-CN"/>
              </w:rPr>
              <w:t>每提供一项证明材料得1分，最多得5分</w:t>
            </w:r>
            <w:r>
              <w:rPr>
                <w:rFonts w:hint="eastAsia" w:ascii="仿宋" w:hAnsi="仿宋" w:eastAsia="仿宋" w:cs="仿宋"/>
                <w:color w:val="auto"/>
                <w:szCs w:val="24"/>
                <w:highlight w:val="none"/>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、项目实施方案：项目组织实施计划完整可行，资金等保障措施可靠，能够保证按期供货，具有明确的项目组织机构及实施方案，评标委员会从以下方面进行比较后赋分。（1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p>
            <w:pPr>
              <w:widowControl/>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（1）、备货、供货进度及保证措施</w:t>
            </w:r>
            <w:r>
              <w:rPr>
                <w:rFonts w:hint="eastAsia" w:ascii="仿宋" w:hAnsi="仿宋" w:eastAsia="仿宋" w:cs="仿宋"/>
                <w:color w:val="auto"/>
                <w:szCs w:val="24"/>
                <w:highlight w:val="none"/>
                <w:lang w:val="en-US" w:eastAsia="zh-CN"/>
              </w:rPr>
              <w:t>详细完整</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（2）、拟投入本项目的</w:t>
            </w:r>
            <w:r>
              <w:rPr>
                <w:rFonts w:hint="eastAsia" w:ascii="仿宋" w:hAnsi="仿宋" w:eastAsia="仿宋" w:cs="仿宋"/>
                <w:color w:val="auto"/>
                <w:szCs w:val="24"/>
                <w:highlight w:val="none"/>
                <w:lang w:eastAsia="zh-CN"/>
              </w:rPr>
              <w:t>技术、管理</w:t>
            </w:r>
            <w:r>
              <w:rPr>
                <w:rFonts w:hint="eastAsia" w:ascii="仿宋" w:hAnsi="仿宋" w:eastAsia="仿宋" w:cs="仿宋"/>
                <w:color w:val="auto"/>
                <w:szCs w:val="24"/>
                <w:highlight w:val="none"/>
              </w:rPr>
              <w:t>人员安排及责任制度</w:t>
            </w:r>
            <w:r>
              <w:rPr>
                <w:rFonts w:hint="eastAsia" w:ascii="仿宋" w:hAnsi="仿宋" w:eastAsia="仿宋" w:cs="仿宋"/>
                <w:color w:val="auto"/>
                <w:szCs w:val="24"/>
                <w:highlight w:val="none"/>
                <w:lang w:eastAsia="zh-CN"/>
              </w:rPr>
              <w:t>合理全面，</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（3）、安装、检测、调试措施</w:t>
            </w:r>
            <w:r>
              <w:rPr>
                <w:rFonts w:hint="eastAsia" w:ascii="仿宋" w:hAnsi="仿宋" w:eastAsia="仿宋" w:cs="仿宋"/>
                <w:color w:val="auto"/>
                <w:szCs w:val="24"/>
                <w:highlight w:val="none"/>
                <w:lang w:val="en-US" w:eastAsia="zh-CN"/>
              </w:rPr>
              <w:t>完整详细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质量</w:t>
            </w:r>
          </w:p>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保证</w:t>
            </w:r>
          </w:p>
        </w:tc>
        <w:tc>
          <w:tcPr>
            <w:tcW w:w="766" w:type="dxa"/>
            <w:vAlign w:val="center"/>
          </w:tcPr>
          <w:p>
            <w:pPr>
              <w:shd w:val="clear"/>
              <w:spacing w:line="560" w:lineRule="exact"/>
              <w:ind w:right="-95"/>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分</w:t>
            </w:r>
          </w:p>
        </w:tc>
        <w:tc>
          <w:tcPr>
            <w:tcW w:w="8084" w:type="dxa"/>
            <w:vAlign w:val="center"/>
          </w:tcPr>
          <w:p>
            <w:pPr>
              <w:pStyle w:val="39"/>
              <w:shd w:val="clear"/>
              <w:spacing w:line="560" w:lineRule="exact"/>
              <w:ind w:firstLine="240" w:firstLineChars="100"/>
              <w:jc w:val="left"/>
              <w:rPr>
                <w:rFonts w:hint="eastAsia" w:ascii="仿宋" w:hAnsi="仿宋" w:eastAsia="仿宋" w:cs="仿宋"/>
                <w:color w:val="auto"/>
                <w:kern w:val="0"/>
                <w:szCs w:val="24"/>
                <w:highlight w:val="none"/>
              </w:rPr>
            </w:pPr>
            <w:r>
              <w:rPr>
                <w:rFonts w:hint="eastAsia" w:ascii="仿宋" w:hAnsi="仿宋" w:eastAsia="仿宋" w:cs="仿宋"/>
                <w:color w:val="auto"/>
                <w:sz w:val="24"/>
                <w:szCs w:val="24"/>
                <w:highlight w:val="none"/>
              </w:rPr>
              <w:t>所投产品制造厂家有可靠、完善的管理制度；有足够的设计、工艺、加工、检验能力；所投产品符合国际、国内相关标准，有具体可行的质量保证承诺，保证使用单位能熟练操作维护和正常使用，需提供相应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一般[1-2]分，未提供不得分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pageBreakBefore w:val="0"/>
              <w:shd w:val="clear"/>
              <w:bidi w:val="0"/>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产品</w:t>
            </w:r>
          </w:p>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渠道</w:t>
            </w:r>
          </w:p>
        </w:tc>
        <w:tc>
          <w:tcPr>
            <w:tcW w:w="766" w:type="dxa"/>
            <w:vAlign w:val="center"/>
          </w:tcPr>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tc>
        <w:tc>
          <w:tcPr>
            <w:tcW w:w="8084" w:type="dxa"/>
            <w:vAlign w:val="center"/>
          </w:tcPr>
          <w:p>
            <w:pPr>
              <w:shd w:val="clea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能提供所投产品的合法来源渠道证明文件（包括但不限于产品制造商授权、销售协议、代理协议等），根据</w:t>
            </w:r>
            <w:r>
              <w:rPr>
                <w:rFonts w:hint="eastAsia" w:ascii="仿宋" w:hAnsi="仿宋" w:eastAsia="仿宋" w:cs="仿宋"/>
                <w:color w:val="auto"/>
                <w:szCs w:val="24"/>
                <w:highlight w:val="none"/>
                <w:lang w:eastAsia="zh-CN"/>
              </w:rPr>
              <w:t>多寡</w:t>
            </w:r>
            <w:r>
              <w:rPr>
                <w:rFonts w:hint="eastAsia" w:ascii="仿宋" w:hAnsi="仿宋" w:eastAsia="仿宋" w:cs="仿宋"/>
                <w:color w:val="auto"/>
                <w:szCs w:val="24"/>
                <w:highlight w:val="none"/>
              </w:rPr>
              <w:t>程度计0-</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业绩</w:t>
            </w:r>
          </w:p>
        </w:tc>
        <w:tc>
          <w:tcPr>
            <w:tcW w:w="766"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分</w:t>
            </w:r>
          </w:p>
        </w:tc>
        <w:tc>
          <w:tcPr>
            <w:tcW w:w="8084" w:type="dxa"/>
            <w:shd w:val="clear" w:color="auto" w:fill="FFFFFF"/>
            <w:vAlign w:val="center"/>
          </w:tcPr>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以合同复印件形式提供投标人201</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年1月</w:t>
            </w:r>
            <w:r>
              <w:rPr>
                <w:rFonts w:hint="eastAsia" w:ascii="仿宋" w:hAnsi="仿宋" w:eastAsia="仿宋" w:cs="仿宋"/>
                <w:color w:val="auto"/>
                <w:kern w:val="0"/>
                <w:szCs w:val="24"/>
                <w:highlight w:val="none"/>
                <w:lang w:val="en-US" w:eastAsia="zh-CN"/>
              </w:rPr>
              <w:t>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，每份计1分，计满</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分为止。</w:t>
            </w:r>
          </w:p>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注：投标人需提供采购合同（含首页、采购设备品牌型号页、配置清单页、签字盖章页）复印件，否则业绩不予认可。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val="en-US" w:eastAsia="zh-CN"/>
              </w:rPr>
              <w:t>及培训计划</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12</w:t>
            </w:r>
            <w:r>
              <w:rPr>
                <w:rFonts w:hint="eastAsia" w:ascii="仿宋" w:hAnsi="仿宋" w:eastAsia="仿宋" w:cs="仿宋"/>
                <w:color w:val="auto"/>
                <w:kern w:val="0"/>
                <w:szCs w:val="24"/>
                <w:highlight w:val="none"/>
              </w:rPr>
              <w:t>分</w:t>
            </w:r>
          </w:p>
        </w:tc>
        <w:tc>
          <w:tcPr>
            <w:tcW w:w="8084" w:type="dxa"/>
            <w:vAlign w:val="center"/>
          </w:tcPr>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1、售后服务方案详细、具体、可行</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]分；售后服务方案</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详细、具体、可行，</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未提供不得分</w:t>
            </w:r>
            <w:r>
              <w:rPr>
                <w:rFonts w:hint="eastAsia" w:ascii="仿宋" w:hAnsi="仿宋" w:eastAsia="仿宋" w:cs="仿宋"/>
                <w:color w:val="auto"/>
                <w:szCs w:val="24"/>
                <w:highlight w:val="none"/>
                <w:lang w:eastAsia="zh-CN"/>
              </w:rPr>
              <w:t>。</w:t>
            </w:r>
          </w:p>
          <w:p>
            <w:pPr>
              <w:shd w:val="clear"/>
              <w:spacing w:line="560" w:lineRule="exact"/>
              <w:rPr>
                <w:rFonts w:hint="default" w:ascii="仿宋" w:hAnsi="仿宋" w:eastAsia="仿宋" w:cs="仿宋"/>
                <w:color w:val="auto"/>
                <w:szCs w:val="24"/>
                <w:highlight w:val="none"/>
                <w:lang w:val="en-US"/>
              </w:rPr>
            </w:pPr>
            <w:r>
              <w:rPr>
                <w:rFonts w:hint="eastAsia" w:ascii="仿宋" w:hAnsi="仿宋" w:eastAsia="仿宋" w:cs="仿宋"/>
                <w:color w:val="auto"/>
                <w:szCs w:val="24"/>
                <w:highlight w:val="none"/>
              </w:rPr>
              <w:t>2、售后服务承诺及保证措施详细、具体，备品备件及耗材情况明确</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]分；售后服务承诺及保证措施</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详细、具体，备品备件及耗材情况</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明确，</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未提供不得分。</w:t>
            </w:r>
          </w:p>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3、培训方案及培训计划</w:t>
            </w:r>
            <w:r>
              <w:rPr>
                <w:rFonts w:hint="eastAsia" w:ascii="仿宋" w:hAnsi="仿宋" w:eastAsia="仿宋" w:cs="仿宋"/>
                <w:color w:val="auto"/>
                <w:szCs w:val="24"/>
                <w:highlight w:val="none"/>
                <w:lang w:val="en-US" w:eastAsia="zh-CN"/>
              </w:rPr>
              <w:t>详细完整</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根据响应程度计（2-4]分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培训方案及培训计划基本完整，根据响应程度计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rPr>
              <w:t>。</w:t>
            </w:r>
          </w:p>
        </w:tc>
      </w:tr>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numPr>
          <w:ilvl w:val="0"/>
          <w:numId w:val="5"/>
        </w:num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spacing w:line="5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非单一产品采购项目，多家投标人提供的核心产品品牌相同的，按照前款规定处理。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spacing w:line="560" w:lineRule="exact"/>
        <w:ind w:firstLine="600" w:firstLineChars="249"/>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、政府采购政策评分标准</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-1、小微企业的价格评分标准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根据《政府采购促进中小企业发展管理办法》（财库【2020】46号）的办法，对于非专门面向中小企业的项目，</w:t>
      </w:r>
      <w:r>
        <w:rPr>
          <w:rFonts w:hint="eastAsia" w:ascii="仿宋" w:hAnsi="仿宋" w:eastAsia="仿宋" w:cs="仿宋"/>
          <w:color w:val="auto"/>
          <w:szCs w:val="24"/>
          <w:highlight w:val="none"/>
        </w:rPr>
        <w:t>对小型、微型企业产品的价格给予6%的扣除，用扣除后的价格参与评审，其评标价=投标报价*（1-6%</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（2）联合体共同参加非专门面向中小企业的政府采购活动，联合协议中约定，小型和微型企业的协议合同金额占到联合体协议合同金额的30%以上的，可给予联合体2%的价格扣除，用扣除后的价格参与评审，其评</w:t>
      </w:r>
      <w:r>
        <w:rPr>
          <w:rFonts w:hint="eastAsia" w:ascii="仿宋" w:hAnsi="仿宋" w:eastAsia="仿宋" w:cs="仿宋"/>
          <w:color w:val="auto"/>
          <w:szCs w:val="24"/>
          <w:highlight w:val="none"/>
          <w:lang w:eastAsia="zh-CN"/>
        </w:rPr>
        <w:t>标</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eastAsia="zh-CN"/>
        </w:rPr>
        <w:t>投标</w:t>
      </w:r>
      <w:r>
        <w:rPr>
          <w:rFonts w:hint="eastAsia" w:ascii="仿宋" w:hAnsi="仿宋" w:eastAsia="仿宋" w:cs="仿宋"/>
          <w:color w:val="auto"/>
          <w:szCs w:val="24"/>
          <w:highlight w:val="none"/>
        </w:rPr>
        <w:t>报价*（1-2%）。</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）参加本项目的小微企业须提供《</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）小微企业按</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-2、监狱企业的价格评分标准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对监狱企业产品的价格给予6%的扣除，用扣除后的价格参与评审，其评标价=投标报价*（1-6%）。</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-3、残疾人福利性单位的价格评分标准</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投标报价*（1-6%）。</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强制类产品不给予计分。 </w:t>
      </w:r>
    </w:p>
    <w:p>
      <w:pPr>
        <w:pageBreakBefore w:val="0"/>
        <w:kinsoku/>
        <w:topLinePunct w:val="0"/>
        <w:autoSpaceDE/>
        <w:autoSpaceDN/>
        <w:bidi w:val="0"/>
        <w:spacing w:line="56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3-10、</w:t>
      </w:r>
      <w:bookmarkStart w:id="34" w:name="_Toc14886425"/>
      <w:bookmarkStart w:id="35" w:name="_Toc22138"/>
      <w:r>
        <w:rPr>
          <w:rFonts w:hint="eastAsia" w:ascii="仿宋" w:hAnsi="仿宋" w:eastAsia="仿宋" w:cs="仿宋"/>
          <w:b/>
          <w:color w:val="auto"/>
          <w:sz w:val="24"/>
          <w:highlight w:val="none"/>
          <w:lang w:val="en-US" w:eastAsia="zh-CN"/>
        </w:rPr>
        <w:t>信用担保</w:t>
      </w:r>
      <w:bookmarkEnd w:id="34"/>
      <w:bookmarkEnd w:id="35"/>
      <w:r>
        <w:rPr>
          <w:rFonts w:hint="eastAsia" w:ascii="仿宋" w:hAnsi="仿宋" w:eastAsia="仿宋" w:cs="仿宋"/>
          <w:b/>
          <w:color w:val="auto"/>
          <w:sz w:val="24"/>
          <w:highlight w:val="none"/>
          <w:lang w:val="en-US" w:eastAsia="zh-CN"/>
        </w:rPr>
        <w:t>及融资</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numPr>
          <w:ilvl w:val="0"/>
          <w:numId w:val="6"/>
        </w:num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6" w:name="OLE_LINK4"/>
      <w:r>
        <w:rPr>
          <w:rFonts w:hint="eastAsia" w:ascii="仿宋" w:hAnsi="仿宋" w:eastAsia="仿宋" w:cs="仿宋"/>
          <w:color w:val="auto"/>
          <w:szCs w:val="24"/>
          <w:highlight w:val="none"/>
        </w:rPr>
        <w:t>评标</w:t>
      </w:r>
      <w:bookmarkEnd w:id="36"/>
      <w:r>
        <w:rPr>
          <w:rFonts w:hint="eastAsia" w:ascii="仿宋" w:hAnsi="仿宋" w:eastAsia="仿宋" w:cs="仿宋"/>
          <w:color w:val="auto"/>
          <w:szCs w:val="24"/>
          <w:highlight w:val="none"/>
        </w:rPr>
        <w:t>报告。</w:t>
      </w:r>
    </w:p>
    <w:p>
      <w:pPr>
        <w:numPr>
          <w:ilvl w:val="0"/>
          <w:numId w:val="6"/>
        </w:numPr>
        <w:spacing w:line="560" w:lineRule="exact"/>
        <w:ind w:firstLine="480" w:firstLineChars="200"/>
        <w:rPr>
          <w:rFonts w:hint="eastAsia" w:ascii="仿宋" w:hAnsi="仿宋" w:eastAsia="仿宋" w:cs="仿宋"/>
          <w:color w:val="auto"/>
          <w:szCs w:val="24"/>
          <w:highlight w:val="none"/>
        </w:rPr>
      </w:pPr>
      <w:bookmarkStart w:id="37"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7"/>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hint="eastAsia" w:ascii="仿宋" w:hAnsi="仿宋" w:eastAsia="仿宋" w:cs="仿宋"/>
          <w:color w:val="auto"/>
          <w:szCs w:val="24"/>
          <w:highlight w:val="none"/>
        </w:rPr>
      </w:pPr>
      <w:bookmarkStart w:id="38" w:name="_Toc458617738"/>
      <w:bookmarkStart w:id="39" w:name="_Toc458617461"/>
      <w:r>
        <w:rPr>
          <w:rFonts w:hint="eastAsia" w:ascii="仿宋" w:hAnsi="仿宋" w:eastAsia="仿宋" w:cs="仿宋"/>
          <w:b/>
          <w:color w:val="auto"/>
          <w:szCs w:val="24"/>
          <w:highlight w:val="none"/>
        </w:rPr>
        <w:t>5、投标无效的情形：</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5-1、未按照招标文件的规定提交投标保证金的；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5-2、投标文件未按招标文件要求签署、盖章的；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5-3、不具备招标文件中规定的资格要求的；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5-4、报价超过招标文件中规定的预算金额的；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5-5、投标文件含有采购人不能接受的附加条件的；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5-6、</w:t>
      </w:r>
      <w:r>
        <w:rPr>
          <w:rFonts w:hint="eastAsia" w:ascii="仿宋" w:hAnsi="仿宋" w:eastAsia="仿宋" w:cs="仿宋"/>
          <w:color w:val="auto"/>
          <w:kern w:val="0"/>
          <w:szCs w:val="24"/>
          <w:highlight w:val="none"/>
        </w:rPr>
        <w:t>提供虚假材料谋取中标的；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5-7、采取不正当手段诋毁、排挤其他投标人的；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5-8、</w:t>
      </w:r>
      <w:r>
        <w:rPr>
          <w:rFonts w:hint="eastAsia" w:ascii="仿宋" w:hAnsi="仿宋" w:eastAsia="仿宋" w:cs="仿宋"/>
          <w:color w:val="auto"/>
          <w:szCs w:val="24"/>
          <w:highlight w:val="none"/>
        </w:rPr>
        <w:t>法律、法规和招标文件规定的其他无效情形。</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8"/>
      <w:bookmarkEnd w:id="39"/>
      <w:r>
        <w:rPr>
          <w:rFonts w:hint="eastAsia" w:ascii="仿宋" w:hAnsi="仿宋" w:eastAsia="仿宋" w:cs="仿宋"/>
          <w:b/>
          <w:color w:val="auto"/>
          <w:szCs w:val="24"/>
          <w:highlight w:val="none"/>
        </w:rPr>
        <w:t>书及未中标通知书</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6-2、中标人应在接到采购代理机构通知之日起七日内领取中标通知书。未在规定时间内领取中标通知书的，投标保证金不予退还。提供投标担保的投标人将由专业担保机构先行偿付采购人损失。</w:t>
      </w:r>
      <w:bookmarkStart w:id="40" w:name="_Toc458617790"/>
      <w:bookmarkStart w:id="41" w:name="_Toc458617462"/>
      <w:bookmarkStart w:id="42" w:name="_Toc458617739"/>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4"/>
        <w:spacing w:line="560" w:lineRule="exact"/>
        <w:rPr>
          <w:rFonts w:hint="eastAsia" w:ascii="仿宋" w:hAnsi="仿宋" w:eastAsia="仿宋" w:cs="仿宋"/>
          <w:color w:val="auto"/>
          <w:kern w:val="0"/>
          <w:sz w:val="28"/>
          <w:szCs w:val="28"/>
          <w:highlight w:val="none"/>
        </w:rPr>
      </w:pPr>
      <w:bookmarkStart w:id="43" w:name="_Toc16697"/>
      <w:r>
        <w:rPr>
          <w:rFonts w:hint="eastAsia" w:ascii="仿宋" w:hAnsi="仿宋" w:eastAsia="仿宋" w:cs="仿宋"/>
          <w:color w:val="auto"/>
          <w:kern w:val="0"/>
          <w:sz w:val="28"/>
          <w:szCs w:val="28"/>
          <w:highlight w:val="none"/>
        </w:rPr>
        <w:t>八、合同</w:t>
      </w:r>
      <w:bookmarkEnd w:id="40"/>
      <w:bookmarkEnd w:id="41"/>
      <w:bookmarkEnd w:id="42"/>
      <w:bookmarkEnd w:id="43"/>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1、中标人在收到中标通知书后三十（30）个日历日内，应按招标文件的要求与采购人签订合同。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规定的政策获取政府采购合同后，小型、微型企业不得分包或转包给大型、中型企业，中型企业不得分包或转包给大型企业。</w:t>
      </w:r>
    </w:p>
    <w:p>
      <w:pPr>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5、所签订的合同不得对招标文件确定的事项和中标人投标文件作实质性修改。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6、采购人需追加与合同标的相同的货物、工程或服务的，在不改变合同其他条款的前提下，可以与中标人协商签订补充合同，但所有补充合同的采购金额不得超过原合同采购金额的百分之十。</w:t>
      </w:r>
      <w:bookmarkStart w:id="44" w:name="_Toc458617740"/>
      <w:bookmarkStart w:id="45" w:name="_Toc458617463"/>
    </w:p>
    <w:p>
      <w:pPr>
        <w:pStyle w:val="4"/>
        <w:spacing w:line="560" w:lineRule="exact"/>
        <w:rPr>
          <w:rFonts w:hint="eastAsia" w:ascii="仿宋" w:hAnsi="仿宋" w:eastAsia="仿宋" w:cs="仿宋"/>
          <w:color w:val="auto"/>
          <w:kern w:val="0"/>
          <w:sz w:val="28"/>
          <w:szCs w:val="28"/>
          <w:highlight w:val="none"/>
        </w:rPr>
      </w:pPr>
      <w:bookmarkStart w:id="46" w:name="_Toc10597"/>
      <w:r>
        <w:rPr>
          <w:rFonts w:hint="eastAsia" w:ascii="仿宋" w:hAnsi="仿宋" w:eastAsia="仿宋" w:cs="仿宋"/>
          <w:color w:val="auto"/>
          <w:kern w:val="0"/>
          <w:sz w:val="28"/>
          <w:szCs w:val="28"/>
          <w:highlight w:val="none"/>
        </w:rPr>
        <w:t>九、合同的履约验收</w:t>
      </w:r>
      <w:bookmarkEnd w:id="46"/>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     采购人应按照政府采购合同约定的技术、服务、安全标准组织对投标人每一项技术、服务、安全标准的履约情况进行验收，并出具验收书。</w:t>
      </w:r>
    </w:p>
    <w:p>
      <w:pPr>
        <w:pStyle w:val="4"/>
        <w:spacing w:line="560" w:lineRule="exact"/>
        <w:rPr>
          <w:rFonts w:hint="eastAsia" w:ascii="仿宋" w:hAnsi="仿宋" w:eastAsia="仿宋" w:cs="仿宋"/>
          <w:color w:val="auto"/>
          <w:kern w:val="0"/>
          <w:sz w:val="28"/>
          <w:szCs w:val="28"/>
          <w:highlight w:val="none"/>
        </w:rPr>
      </w:pPr>
      <w:bookmarkStart w:id="47" w:name="_Toc2283"/>
      <w:r>
        <w:rPr>
          <w:rFonts w:hint="eastAsia" w:ascii="仿宋" w:hAnsi="仿宋" w:eastAsia="仿宋" w:cs="仿宋"/>
          <w:color w:val="auto"/>
          <w:kern w:val="0"/>
          <w:sz w:val="28"/>
          <w:szCs w:val="28"/>
          <w:highlight w:val="none"/>
        </w:rPr>
        <w:t>十、招标服务费</w:t>
      </w:r>
      <w:bookmarkEnd w:id="44"/>
      <w:bookmarkEnd w:id="45"/>
      <w:bookmarkEnd w:id="47"/>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8" w:name="_Toc193126874"/>
      <w:bookmarkStart w:id="49" w:name="_Toc194663910"/>
      <w:bookmarkStart w:id="50" w:name="_Toc193187089"/>
      <w:bookmarkStart w:id="51" w:name="_Toc188808820"/>
      <w:r>
        <w:rPr>
          <w:rFonts w:hint="eastAsia" w:ascii="仿宋" w:hAnsi="仿宋" w:eastAsia="仿宋" w:cs="仿宋"/>
          <w:color w:val="auto"/>
          <w:szCs w:val="24"/>
          <w:highlight w:val="none"/>
        </w:rPr>
        <w:t>依据《国家计委关于印发&lt;招标代理服务收费管理暂行办法&gt;的通知》(计价格〔2002〕1980号)</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《国家发展改革委关于降低部分建设项目收费标准规范收费行为等有关问题的通知》(发改价格〔2011〕534号)</w:t>
      </w:r>
      <w:r>
        <w:rPr>
          <w:rFonts w:hint="eastAsia" w:ascii="仿宋" w:hAnsi="仿宋" w:eastAsia="仿宋" w:cs="仿宋"/>
          <w:color w:val="auto"/>
          <w:szCs w:val="24"/>
          <w:highlight w:val="none"/>
          <w:lang w:eastAsia="zh-CN"/>
        </w:rPr>
        <w:t>以及财政部关于印发&lt;政府采购代理机构管理暂行办法&gt;的通知》（财库〔2018〕</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号）</w:t>
      </w:r>
      <w:r>
        <w:rPr>
          <w:rFonts w:hint="eastAsia" w:ascii="仿宋" w:hAnsi="仿宋" w:eastAsia="仿宋" w:cs="仿宋"/>
          <w:color w:val="auto"/>
          <w:szCs w:val="24"/>
          <w:highlight w:val="none"/>
        </w:rPr>
        <w:t>，向</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交纳招标服务费。</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2、招标服务费应采用转账、现金形式交纳。</w:t>
      </w:r>
      <w:r>
        <w:rPr>
          <w:rFonts w:hint="eastAsia" w:ascii="仿宋" w:hAnsi="仿宋" w:eastAsia="仿宋" w:cs="仿宋"/>
          <w:color w:val="auto"/>
          <w:szCs w:val="24"/>
          <w:highlight w:val="none"/>
          <w:lang w:val="en-US" w:eastAsia="zh-CN"/>
        </w:rPr>
        <w:t xml:space="preserve">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bookmarkStart w:id="52" w:name="_Toc458617464"/>
      <w:bookmarkStart w:id="53" w:name="_Toc458617741"/>
    </w:p>
    <w:p>
      <w:pPr>
        <w:pStyle w:val="4"/>
        <w:spacing w:line="560" w:lineRule="exact"/>
        <w:rPr>
          <w:rFonts w:hint="eastAsia" w:ascii="仿宋" w:hAnsi="仿宋" w:eastAsia="仿宋" w:cs="仿宋"/>
          <w:color w:val="auto"/>
          <w:kern w:val="0"/>
          <w:sz w:val="28"/>
          <w:szCs w:val="28"/>
          <w:highlight w:val="none"/>
        </w:rPr>
      </w:pPr>
      <w:bookmarkStart w:id="54" w:name="_Toc22375"/>
      <w:r>
        <w:rPr>
          <w:rFonts w:hint="eastAsia" w:ascii="仿宋" w:hAnsi="仿宋" w:eastAsia="仿宋" w:cs="仿宋"/>
          <w:color w:val="auto"/>
          <w:kern w:val="0"/>
          <w:sz w:val="28"/>
          <w:szCs w:val="28"/>
          <w:highlight w:val="none"/>
        </w:rPr>
        <w:t>十一、</w:t>
      </w:r>
      <w:bookmarkEnd w:id="48"/>
      <w:bookmarkEnd w:id="49"/>
      <w:bookmarkEnd w:id="50"/>
      <w:bookmarkEnd w:id="51"/>
      <w:bookmarkEnd w:id="52"/>
      <w:bookmarkEnd w:id="53"/>
      <w:r>
        <w:rPr>
          <w:rFonts w:hint="eastAsia" w:ascii="仿宋" w:hAnsi="仿宋" w:eastAsia="仿宋" w:cs="仿宋"/>
          <w:color w:val="auto"/>
          <w:kern w:val="0"/>
          <w:sz w:val="28"/>
          <w:szCs w:val="28"/>
          <w:highlight w:val="none"/>
        </w:rPr>
        <w:t>重新组织采购活动</w:t>
      </w:r>
      <w:bookmarkEnd w:id="54"/>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4"/>
        <w:tabs>
          <w:tab w:val="left" w:pos="6899"/>
        </w:tabs>
        <w:spacing w:line="560" w:lineRule="exact"/>
        <w:rPr>
          <w:rFonts w:hint="eastAsia" w:ascii="仿宋" w:hAnsi="仿宋" w:eastAsia="仿宋" w:cs="仿宋"/>
          <w:color w:val="auto"/>
          <w:kern w:val="0"/>
          <w:sz w:val="28"/>
          <w:szCs w:val="28"/>
          <w:highlight w:val="none"/>
        </w:rPr>
      </w:pPr>
      <w:bookmarkStart w:id="55" w:name="_Toc458617465"/>
      <w:bookmarkStart w:id="56" w:name="_Toc458617742"/>
      <w:bookmarkStart w:id="57" w:name="_Toc17723"/>
      <w:r>
        <w:rPr>
          <w:rFonts w:hint="eastAsia" w:ascii="仿宋" w:hAnsi="仿宋" w:eastAsia="仿宋" w:cs="仿宋"/>
          <w:color w:val="auto"/>
          <w:kern w:val="0"/>
          <w:sz w:val="28"/>
          <w:szCs w:val="28"/>
          <w:highlight w:val="none"/>
        </w:rPr>
        <w:t>十二、</w:t>
      </w:r>
      <w:bookmarkEnd w:id="55"/>
      <w:bookmarkEnd w:id="56"/>
      <w:bookmarkStart w:id="58" w:name="_Toc458617743"/>
      <w:bookmarkStart w:id="59" w:name="_Toc458617466"/>
      <w:r>
        <w:rPr>
          <w:rFonts w:hint="eastAsia" w:ascii="仿宋" w:hAnsi="仿宋" w:eastAsia="仿宋" w:cs="仿宋"/>
          <w:color w:val="auto"/>
          <w:kern w:val="0"/>
          <w:sz w:val="28"/>
          <w:szCs w:val="28"/>
          <w:highlight w:val="none"/>
        </w:rPr>
        <w:t>询问、质疑与投诉</w:t>
      </w:r>
      <w:bookmarkEnd w:id="57"/>
      <w:r>
        <w:rPr>
          <w:rFonts w:hint="eastAsia" w:ascii="仿宋" w:hAnsi="仿宋" w:eastAsia="仿宋" w:cs="仿宋"/>
          <w:color w:val="auto"/>
          <w:kern w:val="0"/>
          <w:sz w:val="28"/>
          <w:szCs w:val="28"/>
          <w:highlight w:val="none"/>
        </w:rPr>
        <w:tab/>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560" w:lineRule="exact"/>
        <w:ind w:firstLine="240" w:firstLineChars="100"/>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质疑函范本》及其制作说明提出质疑，详见“中国政府采购网（www.ccgp.gov.cn）”下载专区。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党工</w:t>
      </w:r>
      <w:r>
        <w:rPr>
          <w:rFonts w:hint="eastAsia" w:ascii="仿宋" w:hAnsi="仿宋" w:eastAsia="仿宋" w:cs="仿宋"/>
          <w:color w:val="auto"/>
          <w:szCs w:val="24"/>
          <w:highlight w:val="none"/>
        </w:rPr>
        <w:t>，联系方式：029-87592321，地址：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（西安市朱雀大街南段1号汇成天玺C座18层1812室）。</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3、投诉</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u w:val="single" w:color="auto"/>
          <w:lang w:val="en-US" w:eastAsia="zh-CN"/>
        </w:rPr>
        <w:t>陕西省财政厅政府采购管理处</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rPr>
        <w:t>提起投诉。</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highlight w:val="none"/>
        </w:rPr>
      </w:pPr>
      <w:bookmarkStart w:id="60" w:name="_Toc523"/>
      <w:bookmarkStart w:id="61" w:name="_Toc30306"/>
      <w:bookmarkStart w:id="62" w:name="_Toc20119"/>
      <w:r>
        <w:rPr>
          <w:rFonts w:hint="eastAsia" w:ascii="仿宋" w:hAnsi="仿宋" w:eastAsia="仿宋" w:cs="仿宋"/>
          <w:color w:val="auto"/>
          <w:kern w:val="0"/>
          <w:sz w:val="28"/>
          <w:szCs w:val="28"/>
          <w:highlight w:val="none"/>
          <w:lang w:val="en-US" w:eastAsia="zh-CN"/>
        </w:rPr>
        <w:t>十三、特殊情形的处理</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根据陕西省财政厅关于政府采购信息公告有关事项的通知（陕财办采资〔2018〕26号），公开招标数额标准以上的政府采购项目，公开招标后参加投标或实质响应招标文件的投标人只有一家，经财政部门审批同意采用单一来源方式采购的，其公示内容和期限按照财政部《政府采购非招标采购方式管理办法》第三十八条规定办理。</w:t>
      </w:r>
    </w:p>
    <w:p>
      <w:pPr>
        <w:pStyle w:val="4"/>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十</w:t>
      </w:r>
      <w:r>
        <w:rPr>
          <w:rFonts w:hint="eastAsia" w:ascii="仿宋" w:hAnsi="仿宋" w:eastAsia="仿宋" w:cs="仿宋"/>
          <w:color w:val="auto"/>
          <w:kern w:val="0"/>
          <w:sz w:val="28"/>
          <w:szCs w:val="28"/>
          <w:highlight w:val="none"/>
          <w:lang w:val="en-US" w:eastAsia="zh-CN"/>
        </w:rPr>
        <w:t>四</w:t>
      </w:r>
      <w:r>
        <w:rPr>
          <w:rFonts w:hint="eastAsia" w:ascii="仿宋" w:hAnsi="仿宋" w:eastAsia="仿宋" w:cs="仿宋"/>
          <w:color w:val="auto"/>
          <w:kern w:val="0"/>
          <w:sz w:val="28"/>
          <w:szCs w:val="28"/>
          <w:highlight w:val="none"/>
        </w:rPr>
        <w:t>、拒绝商业贿赂</w:t>
      </w:r>
      <w:bookmarkEnd w:id="58"/>
      <w:bookmarkEnd w:id="59"/>
      <w:bookmarkEnd w:id="62"/>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3"/>
        <w:spacing w:line="560" w:lineRule="exact"/>
        <w:rPr>
          <w:rFonts w:hint="eastAsia" w:ascii="仿宋" w:hAnsi="仿宋" w:eastAsia="仿宋" w:cs="仿宋"/>
          <w:color w:val="auto"/>
          <w:kern w:val="0"/>
          <w:highlight w:val="none"/>
        </w:rPr>
        <w:sectPr>
          <w:headerReference r:id="rId16" w:type="first"/>
          <w:footerReference r:id="rId18" w:type="first"/>
          <w:headerReference r:id="rId15" w:type="default"/>
          <w:footerReference r:id="rId17" w:type="default"/>
          <w:pgSz w:w="11905" w:h="16840"/>
          <w:pgMar w:top="1417" w:right="1417" w:bottom="1417" w:left="1417" w:header="935" w:footer="771" w:gutter="0"/>
          <w:pgNumType w:fmt="decimal" w:start="4"/>
          <w:cols w:space="0" w:num="1"/>
          <w:titlePg/>
          <w:rtlGutter w:val="0"/>
          <w:docGrid w:linePitch="312" w:charSpace="0"/>
        </w:sectPr>
      </w:pPr>
      <w:bookmarkStart w:id="63" w:name="_Toc458617467"/>
      <w:bookmarkStart w:id="64" w:name="_Toc458617744"/>
    </w:p>
    <w:p>
      <w:pPr>
        <w:pStyle w:val="3"/>
        <w:numPr>
          <w:ilvl w:val="0"/>
          <w:numId w:val="7"/>
        </w:numPr>
        <w:spacing w:line="560" w:lineRule="exact"/>
        <w:jc w:val="center"/>
        <w:rPr>
          <w:rFonts w:hint="eastAsia" w:ascii="仿宋" w:hAnsi="仿宋" w:eastAsia="仿宋" w:cs="仿宋"/>
          <w:color w:val="auto"/>
          <w:kern w:val="0"/>
          <w:highlight w:val="none"/>
        </w:rPr>
      </w:pPr>
      <w:bookmarkStart w:id="65" w:name="_Toc24042"/>
      <w:r>
        <w:rPr>
          <w:rFonts w:hint="eastAsia" w:ascii="仿宋" w:hAnsi="仿宋" w:eastAsia="仿宋" w:cs="仿宋"/>
          <w:color w:val="auto"/>
          <w:kern w:val="0"/>
          <w:highlight w:val="none"/>
        </w:rPr>
        <w:t xml:space="preserve"> 采购内容及技术要求</w:t>
      </w:r>
      <w:bookmarkEnd w:id="63"/>
      <w:bookmarkEnd w:id="64"/>
      <w:bookmarkEnd w:id="65"/>
      <w:bookmarkStart w:id="66" w:name="_Toc458617745"/>
      <w:bookmarkStart w:id="67" w:name="_Toc458617468"/>
      <w:bookmarkStart w:id="68" w:name="_Toc492"/>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val="en-US" w:eastAsia="zh-CN"/>
        </w:rPr>
        <w:t>1、智能六分钟步行监测系统</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289"/>
        <w:gridCol w:w="1515"/>
        <w:gridCol w:w="944"/>
        <w:gridCol w:w="164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智能六分钟步行监测系统</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1套</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具有肺功能检测仪，支持六分钟步行试验前后对患者进行FVC、FEV1、FEV1/FVC、PEF、FEF25、FEF50、FEF75、FEF2575等参数的检测与测量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肺功能测量容量范围为0-10L，容量精度为±0.05L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流速范围为0L/s-1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L/s、流速精度为±0.2L/s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支持六分钟步行试验前后的患者FVC、FEV1、FEV1/FVC、PEF、FEF25、FEF50、FEF75、FEF2575等参数检测值的对比及数据分析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工作站软件支持一键式直接获取患者六分钟步行试验前后肺功能各项指标FVC、FEV1、FEV1/FVC、PEF、FEF25、FEF50、FEF75、FEF2575等参数的测试数据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工作站软件界面实时显示FVC、FEV1、FEV1/FVC、PEF、FEF25、FEF50、FEF75、FEF2575等参数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运动前后患者检测指标FVC、FEV1、FEV1/FVC、PEF、FEF25、FEF50、FEF75、FEF2575等参数形成对比图，检测结果于六分钟试验报告中显示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lang w:val="en-US" w:eastAsia="zh-CN"/>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仪器为多种参数集成一体机监测：同时检测7导心电，血压，血氧，心率，呼吸率，具备多参数实时监测、实时记录功能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具有自动统计6分钟全过程运动数据心率、血压、血氧、呼吸率、步数及数据趋势分析功能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系统可实现单个心电导联图增益0.5,1.0,2.0倍，可打印运动前、运动中、运动后的心电图，并可回放查看全程心电图，并自由截取打印任意心电图作为检测心电图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支持生理参数预警，生理参数预警范围支持自定义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具有心率变异分析功能，并出具HRV分析报告，报告内包含散点图、时域与频域分析指标、RR间期分布直方图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2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试验监测数据具有独立性、保密性，数据不上传到院外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具有统计步数、计圈及测算距离的功能，支持自动与手动计圈的自由选择，精准测距误差</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根据患者试验检测结果，自动制定运动康复处方和医生编辑自定义个性化运动康复处方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2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具有6分钟步行试验功能：支持6分钟步行试验全程实时指导检测，设备开机自动连接，数据实时传输与实时显示、实时存储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2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具有身份识别读取功能，信息自动录入功</w:t>
            </w:r>
            <w:r>
              <w:rPr>
                <w:rFonts w:hint="eastAsia" w:ascii="仿宋" w:hAnsi="仿宋" w:eastAsia="仿宋" w:cs="仿宋"/>
                <w:color w:val="auto"/>
                <w:sz w:val="24"/>
                <w:szCs w:val="24"/>
                <w:highlight w:val="none"/>
              </w:rPr>
              <w:t>能，</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可手动输入</w:t>
            </w:r>
            <w:r>
              <w:rPr>
                <w:rFonts w:hint="eastAsia" w:ascii="仿宋" w:hAnsi="仿宋" w:eastAsia="仿宋" w:cs="仿宋"/>
                <w:color w:val="auto"/>
                <w:sz w:val="24"/>
                <w:szCs w:val="24"/>
                <w:highlight w:val="none"/>
                <w:lang w:eastAsia="zh-CN"/>
              </w:rPr>
              <w:t>，</w:t>
            </w:r>
            <w:r>
              <w:rPr>
                <w:rFonts w:hint="eastAsia" w:ascii="仿宋" w:hAnsi="仿宋" w:eastAsia="仿宋" w:cs="仿宋"/>
                <w:sz w:val="24"/>
                <w:szCs w:val="24"/>
                <w:highlight w:val="none"/>
              </w:rPr>
              <w:t>并自动分析BMI值，预测步行距离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2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传输方式：非网络/WIFI无线远距离传输，通讯距离≥50米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bCs/>
                <w:sz w:val="24"/>
                <w:szCs w:val="24"/>
                <w:highlight w:val="none"/>
              </w:rPr>
              <w:t>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便携式多参数健康检查仪1台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触控主机（身份证识别） 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医用推车1套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分钟步行监测分析系统1套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心电导联线</w:t>
            </w:r>
            <w:r>
              <w:rPr>
                <w:rFonts w:hint="eastAsia" w:ascii="仿宋" w:hAnsi="仿宋" w:eastAsia="仿宋" w:cs="仿宋"/>
                <w:sz w:val="24"/>
                <w:szCs w:val="24"/>
                <w:highlight w:val="none"/>
                <w:lang w:val="en-US" w:eastAsia="zh-CN"/>
              </w:rPr>
              <w:t>2套</w:t>
            </w: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电源适配器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血氧饱和度检测探头1</w:t>
            </w:r>
            <w:r>
              <w:rPr>
                <w:rFonts w:hint="eastAsia" w:ascii="仿宋" w:hAnsi="仿宋" w:eastAsia="仿宋" w:cs="仿宋"/>
                <w:sz w:val="24"/>
                <w:szCs w:val="24"/>
                <w:highlight w:val="none"/>
                <w:lang w:val="en-US" w:eastAsia="zh-CN"/>
              </w:rPr>
              <w:t>个</w:t>
            </w: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九轴手表1个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实验背包1个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打印机1台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鼠标、键盘1套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六分钟步行试验地标1套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距离探测模块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锥形指示筒 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防静电钥匙扣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一次性使用呼吸过滤器</w:t>
            </w:r>
            <w:r>
              <w:rPr>
                <w:rFonts w:hint="eastAsia" w:ascii="仿宋" w:hAnsi="仿宋" w:eastAsia="仿宋" w:cs="仿宋"/>
                <w:sz w:val="24"/>
                <w:szCs w:val="24"/>
                <w:highlight w:val="none"/>
                <w:lang w:val="en-US" w:eastAsia="zh-CN"/>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一次性使用心电电极 1袋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配套工具</w:t>
            </w:r>
            <w:r>
              <w:rPr>
                <w:rFonts w:hint="eastAsia" w:ascii="仿宋" w:hAnsi="仿宋" w:eastAsia="仿宋" w:cs="仿宋"/>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2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整机保质≥3年；保质期外仅收取配件费；免人工服务费,</w:t>
            </w:r>
            <w:r>
              <w:rPr>
                <w:rFonts w:hint="eastAsia" w:ascii="仿宋" w:hAnsi="仿宋" w:eastAsia="仿宋" w:cs="仿宋"/>
                <w:sz w:val="24"/>
                <w:szCs w:val="24"/>
                <w:highlight w:val="none"/>
                <w:lang w:val="en-US" w:eastAsia="zh-CN"/>
              </w:rPr>
              <w:t>免费</w:t>
            </w:r>
            <w:r>
              <w:rPr>
                <w:rFonts w:hint="eastAsia" w:ascii="仿宋" w:hAnsi="仿宋" w:eastAsia="仿宋" w:cs="仿宋"/>
                <w:sz w:val="24"/>
                <w:szCs w:val="24"/>
                <w:highlight w:val="none"/>
              </w:rPr>
              <w:t>连接HIS</w:t>
            </w:r>
            <w:r>
              <w:rPr>
                <w:rFonts w:hint="eastAsia" w:ascii="仿宋" w:hAnsi="仿宋" w:eastAsia="仿宋" w:cs="仿宋"/>
                <w:sz w:val="24"/>
                <w:szCs w:val="24"/>
                <w:highlight w:val="none"/>
                <w:lang w:val="en-US" w:eastAsia="zh-CN"/>
              </w:rPr>
              <w:t>系统</w:t>
            </w:r>
            <w:r>
              <w:rPr>
                <w:rFonts w:hint="eastAsia" w:ascii="仿宋" w:hAnsi="仿宋" w:eastAsia="仿宋" w:cs="仿宋"/>
                <w:sz w:val="24"/>
                <w:szCs w:val="24"/>
                <w:highlight w:val="none"/>
              </w:rPr>
              <w:t>；终生免费升级软件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故障响应≤2小时，12小时上门服务，72小时内解决问题或提供备用机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在本地设有服务机构，可提供及时临床技术支持及售后服务支持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负责对操作人员进行培训</w:t>
            </w:r>
          </w:p>
        </w:tc>
      </w:tr>
    </w:tbl>
    <w:p>
      <w:pP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2、膈肌起搏器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093"/>
        <w:gridCol w:w="1739"/>
        <w:gridCol w:w="940"/>
        <w:gridCol w:w="191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膈肌起搏器</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脉冲频率：可调单频30Hz—50Hz，可选择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刺激强度：0～30单位可调节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脉冲宽度：≤200μs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治疗时间：5-120分钟可选择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起搏次数：5--15次/分钟可选择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具有贴片位置提示功能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脉冲串占空比1:3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sz w:val="24"/>
                <w:szCs w:val="24"/>
                <w:highlight w:val="none"/>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电源要求：可持续工作≥2小时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具备左、右双通道，可同时调节，亦可单独调节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10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具有LED指示、提醒功能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11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lang w:val="en-US" w:eastAsia="zh-CN"/>
              </w:rPr>
              <w:t>具有</w:t>
            </w:r>
            <w:r>
              <w:rPr>
                <w:rFonts w:hint="eastAsia" w:ascii="仿宋" w:hAnsi="仿宋" w:eastAsia="仿宋" w:cs="仿宋"/>
                <w:bCs/>
                <w:sz w:val="24"/>
                <w:szCs w:val="24"/>
                <w:highlight w:val="none"/>
              </w:rPr>
              <w:t>故障后自动重启功能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12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2"/>
              <w:rPr>
                <w:rFonts w:hint="eastAsia" w:ascii="仿宋" w:hAnsi="仿宋" w:eastAsia="仿宋" w:cs="仿宋"/>
                <w:bCs/>
                <w:sz w:val="24"/>
                <w:szCs w:val="24"/>
                <w:highlight w:val="none"/>
              </w:rPr>
            </w:pPr>
            <w:r>
              <w:rPr>
                <w:rFonts w:hint="eastAsia" w:ascii="仿宋" w:hAnsi="仿宋" w:eastAsia="仿宋" w:cs="仿宋"/>
                <w:bCs/>
                <w:sz w:val="24"/>
                <w:szCs w:val="24"/>
                <w:highlight w:val="none"/>
              </w:rPr>
              <w:t>噪音：≤60dB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bCs/>
                <w:sz w:val="24"/>
                <w:szCs w:val="24"/>
                <w:highlight w:val="none"/>
              </w:rPr>
              <w:t>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 xml:space="preserve">主机1台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 xml:space="preserve">导线2条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000000"/>
                <w:sz w:val="24"/>
                <w:szCs w:val="24"/>
                <w:highlight w:val="none"/>
              </w:rPr>
            </w:pPr>
            <w:r>
              <w:rPr>
                <w:rFonts w:hint="eastAsia" w:ascii="仿宋" w:hAnsi="仿宋" w:eastAsia="仿宋" w:cs="仿宋"/>
                <w:sz w:val="24"/>
                <w:szCs w:val="24"/>
                <w:highlight w:val="none"/>
              </w:rPr>
              <w:t>理疗电极片 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000000"/>
                <w:sz w:val="24"/>
                <w:szCs w:val="24"/>
                <w:highlight w:val="none"/>
              </w:rPr>
            </w:pPr>
            <w:r>
              <w:rPr>
                <w:rFonts w:hint="eastAsia" w:ascii="仿宋" w:hAnsi="仿宋" w:eastAsia="仿宋" w:cs="仿宋"/>
                <w:sz w:val="24"/>
                <w:szCs w:val="24"/>
                <w:highlight w:val="none"/>
              </w:rPr>
              <w:t>电源适配器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rPr>
              <w:t>整机保质≥3年；保质期外仅收取配件费；免人工服务费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rPr>
              <w:t>故障响应≤</w:t>
            </w:r>
            <w:r>
              <w:rPr>
                <w:rFonts w:hint="eastAsia" w:ascii="仿宋" w:hAnsi="仿宋" w:eastAsia="仿宋" w:cs="仿宋"/>
                <w:color w:val="000000"/>
                <w:kern w:val="2"/>
                <w:sz w:val="24"/>
                <w:szCs w:val="24"/>
                <w:highlight w:val="none"/>
                <w:lang w:val="en-US" w:eastAsia="zh-CN"/>
              </w:rPr>
              <w:t>2</w:t>
            </w:r>
            <w:r>
              <w:rPr>
                <w:rFonts w:hint="eastAsia" w:ascii="仿宋" w:hAnsi="仿宋" w:eastAsia="仿宋" w:cs="仿宋"/>
                <w:color w:val="000000"/>
                <w:kern w:val="2"/>
                <w:sz w:val="24"/>
                <w:szCs w:val="24"/>
                <w:highlight w:val="none"/>
              </w:rPr>
              <w:t>小时，</w:t>
            </w:r>
            <w:r>
              <w:rPr>
                <w:rFonts w:hint="eastAsia" w:ascii="仿宋" w:hAnsi="仿宋" w:eastAsia="仿宋" w:cs="仿宋"/>
                <w:color w:val="000000"/>
                <w:kern w:val="2"/>
                <w:sz w:val="24"/>
                <w:szCs w:val="24"/>
                <w:highlight w:val="none"/>
                <w:lang w:val="en-US" w:eastAsia="zh-CN"/>
              </w:rPr>
              <w:t>12</w:t>
            </w:r>
            <w:r>
              <w:rPr>
                <w:rFonts w:hint="eastAsia" w:ascii="仿宋" w:hAnsi="仿宋" w:eastAsia="仿宋" w:cs="仿宋"/>
                <w:color w:val="000000"/>
                <w:kern w:val="2"/>
                <w:sz w:val="24"/>
                <w:szCs w:val="24"/>
                <w:highlight w:val="none"/>
              </w:rPr>
              <w:t>小时上门服务，72小时内解决问题或提供备用机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rPr>
              <w:t>在</w:t>
            </w:r>
            <w:r>
              <w:rPr>
                <w:rFonts w:hint="eastAsia" w:ascii="仿宋" w:hAnsi="仿宋" w:eastAsia="仿宋" w:cs="仿宋"/>
                <w:color w:val="000000"/>
                <w:kern w:val="2"/>
                <w:sz w:val="24"/>
                <w:szCs w:val="24"/>
                <w:highlight w:val="none"/>
                <w:lang w:val="en-US" w:eastAsia="zh-CN"/>
              </w:rPr>
              <w:t>本地</w:t>
            </w:r>
            <w:r>
              <w:rPr>
                <w:rFonts w:hint="eastAsia" w:ascii="仿宋" w:hAnsi="仿宋" w:eastAsia="仿宋" w:cs="仿宋"/>
                <w:color w:val="000000"/>
                <w:kern w:val="2"/>
                <w:sz w:val="24"/>
                <w:szCs w:val="24"/>
                <w:highlight w:val="none"/>
              </w:rPr>
              <w:t>设有服务机构，可提供及时临床技术支持及售后服务支持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负责对操作人员进行培训</w:t>
            </w:r>
          </w:p>
        </w:tc>
      </w:tr>
    </w:tbl>
    <w:p>
      <w:pPr>
        <w:pStyle w:val="2"/>
        <w:ind w:left="0" w:leftChars="0" w:firstLine="0" w:firstLineChars="0"/>
        <w:rPr>
          <w:rFonts w:hint="eastAsia"/>
          <w:highlight w:val="none"/>
          <w:lang w:val="en-US" w:eastAsia="zh-CN"/>
        </w:rPr>
      </w:pPr>
    </w:p>
    <w:p>
      <w:pPr>
        <w:pStyle w:val="2"/>
        <w:ind w:left="0" w:leftChars="0" w:firstLine="0" w:firstLineChars="0"/>
        <w:rPr>
          <w:rFonts w:hint="eastAsia" w:ascii="仿宋" w:hAnsi="仿宋" w:eastAsia="仿宋" w:cs="仿宋"/>
          <w:highlight w:val="none"/>
          <w:lang w:val="en-US" w:eastAsia="zh-CN"/>
        </w:rPr>
      </w:pPr>
      <w:r>
        <w:rPr>
          <w:rFonts w:hint="eastAsia" w:ascii="仿宋" w:hAnsi="仿宋" w:eastAsia="仿宋" w:cs="仿宋"/>
          <w:highlight w:val="none"/>
          <w:lang w:val="en-US" w:eastAsia="zh-CN"/>
        </w:rPr>
        <w:t>3、免疫印迹分析仪</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2692"/>
        <w:gridCol w:w="1679"/>
        <w:gridCol w:w="918"/>
        <w:gridCol w:w="1847"/>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免疫印迹分析仪</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检测项目：过敏原特异性IgE检测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开机自动完成自检和校准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分析通</w:t>
            </w:r>
            <w:r>
              <w:rPr>
                <w:rFonts w:hint="eastAsia" w:ascii="仿宋" w:hAnsi="仿宋" w:eastAsia="仿宋" w:cs="仿宋"/>
                <w:bCs/>
                <w:sz w:val="24"/>
                <w:szCs w:val="24"/>
                <w:highlight w:val="none"/>
                <w:lang w:val="en-US" w:eastAsia="zh-CN"/>
              </w:rPr>
              <w:t>道≥</w:t>
            </w:r>
            <w:r>
              <w:rPr>
                <w:rFonts w:hint="eastAsia" w:ascii="仿宋" w:hAnsi="仿宋" w:eastAsia="仿宋" w:cs="仿宋"/>
                <w:bCs/>
                <w:sz w:val="24"/>
                <w:szCs w:val="24"/>
                <w:highlight w:val="none"/>
              </w:rPr>
              <w:t>4</w:t>
            </w:r>
            <w:r>
              <w:rPr>
                <w:rFonts w:hint="eastAsia" w:ascii="仿宋" w:hAnsi="仿宋" w:eastAsia="仿宋" w:cs="仿宋"/>
                <w:bCs/>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sz w:val="24"/>
                <w:szCs w:val="24"/>
                <w:highlight w:val="none"/>
              </w:rPr>
            </w:pPr>
            <w:r>
              <w:rPr>
                <w:rFonts w:hint="eastAsia" w:ascii="仿宋" w:hAnsi="仿宋" w:eastAsia="仿宋" w:cs="仿宋"/>
                <w:bCs/>
                <w:sz w:val="24"/>
                <w:szCs w:val="24"/>
                <w:highlight w:val="none"/>
              </w:rPr>
              <w:t>测试速度：≤20秒/板，可多板连续测试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准确度：相对偏差应</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可任意编辑测试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重复性：变异系数（CV）</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线性：线性相关系数(r)</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通道一致性：各通道测量结果相对极差(R)</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稳定性：相对极差（R）</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中文报告管理软件，结果存储、查询、导出功能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2"/>
              <w:tabs>
                <w:tab w:val="left" w:pos="425"/>
              </w:tabs>
              <w:ind w:firstLine="0" w:firstLineChars="0"/>
              <w:rPr>
                <w:rFonts w:hint="eastAsia" w:ascii="仿宋" w:hAnsi="仿宋" w:eastAsia="仿宋" w:cs="仿宋"/>
                <w:bCs/>
                <w:sz w:val="24"/>
                <w:szCs w:val="24"/>
                <w:highlight w:val="none"/>
              </w:rPr>
            </w:pPr>
            <w:r>
              <w:rPr>
                <w:rFonts w:hint="eastAsia" w:ascii="仿宋" w:hAnsi="仿宋" w:eastAsia="仿宋" w:cs="仿宋"/>
                <w:bCs/>
                <w:sz w:val="24"/>
                <w:szCs w:val="24"/>
                <w:highlight w:val="none"/>
              </w:rPr>
              <w:t>数据可上传至医院LIS/HIS信息系统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实验条件：恒温37℃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检测时间:≤150分钟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试验条容量1-36条或1-30条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编程容量≥ 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配液泵数：</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6 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孵育时间/增量：0h–24 h / 1 min可循环；增量: 0000μL–3000μL/1μL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3挡可选；室温、恒温温度为37℃、30℃、25℃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bCs/>
                <w:sz w:val="24"/>
                <w:szCs w:val="24"/>
                <w:highlight w:val="none"/>
              </w:rPr>
              <w:t>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免疫印迹分析仪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自动蛋白印迹仪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电脑工作站一体机 1套（含：</w:t>
            </w:r>
            <w:r>
              <w:rPr>
                <w:rFonts w:hint="eastAsia" w:ascii="仿宋" w:hAnsi="仿宋" w:eastAsia="仿宋" w:cs="仿宋"/>
                <w:bCs/>
                <w:spacing w:val="20"/>
                <w:sz w:val="24"/>
                <w:szCs w:val="24"/>
                <w:highlight w:val="none"/>
                <w:lang w:val="en-US" w:eastAsia="zh-CN"/>
              </w:rPr>
              <w:t>品牌</w:t>
            </w:r>
            <w:r>
              <w:rPr>
                <w:rFonts w:hint="eastAsia" w:ascii="仿宋" w:hAnsi="仿宋" w:eastAsia="仿宋" w:cs="仿宋"/>
                <w:bCs/>
                <w:spacing w:val="20"/>
                <w:sz w:val="24"/>
                <w:szCs w:val="24"/>
                <w:highlight w:val="none"/>
              </w:rPr>
              <w:t>主机、键盘、鼠标</w:t>
            </w:r>
            <w:r>
              <w:rPr>
                <w:rFonts w:hint="eastAsia" w:ascii="仿宋" w:hAnsi="仿宋" w:eastAsia="仿宋" w:cs="仿宋"/>
                <w:bCs/>
                <w:spacing w:val="20"/>
                <w:sz w:val="24"/>
                <w:szCs w:val="24"/>
                <w:highlight w:val="none"/>
                <w:lang w:eastAsia="zh-CN"/>
              </w:rPr>
              <w:t>、</w:t>
            </w:r>
            <w:r>
              <w:rPr>
                <w:rFonts w:hint="eastAsia" w:ascii="仿宋" w:hAnsi="仿宋" w:eastAsia="仿宋" w:cs="仿宋"/>
                <w:bCs/>
                <w:spacing w:val="20"/>
                <w:sz w:val="24"/>
                <w:szCs w:val="24"/>
                <w:highlight w:val="none"/>
                <w:lang w:val="en-US" w:eastAsia="zh-CN"/>
              </w:rPr>
              <w:t>分析软件</w:t>
            </w:r>
            <w:r>
              <w:rPr>
                <w:rFonts w:hint="eastAsia" w:ascii="仿宋" w:hAnsi="仿宋" w:eastAsia="仿宋" w:cs="仿宋"/>
                <w:bCs/>
                <w:spacing w:val="2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离心机1台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电源线适配器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lang w:eastAsia="zh-CN"/>
              </w:rPr>
            </w:pPr>
            <w:r>
              <w:rPr>
                <w:rFonts w:hint="eastAsia" w:ascii="仿宋" w:hAnsi="仿宋" w:eastAsia="仿宋" w:cs="仿宋"/>
                <w:bCs/>
                <w:spacing w:val="20"/>
                <w:sz w:val="24"/>
                <w:szCs w:val="24"/>
                <w:highlight w:val="none"/>
                <w:lang w:val="en-US" w:eastAsia="zh-CN"/>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膜条固定架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lang w:eastAsia="zh-CN"/>
              </w:rPr>
            </w:pPr>
            <w:r>
              <w:rPr>
                <w:rFonts w:hint="eastAsia" w:ascii="仿宋" w:hAnsi="仿宋" w:eastAsia="仿宋" w:cs="仿宋"/>
                <w:bCs/>
                <w:spacing w:val="20"/>
                <w:sz w:val="24"/>
                <w:szCs w:val="24"/>
                <w:highlight w:val="none"/>
                <w:lang w:val="en-US" w:eastAsia="zh-CN"/>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bCs/>
                <w:spacing w:val="20"/>
                <w:sz w:val="24"/>
                <w:szCs w:val="24"/>
                <w:highlight w:val="none"/>
              </w:rPr>
              <w:t>孵育盘/清洗槽/废液瓶/负压瓶1个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lang w:eastAsia="zh-CN"/>
              </w:rPr>
            </w:pPr>
            <w:r>
              <w:rPr>
                <w:rFonts w:hint="eastAsia" w:ascii="仿宋" w:hAnsi="仿宋" w:eastAsia="仿宋" w:cs="仿宋"/>
                <w:bCs/>
                <w:spacing w:val="20"/>
                <w:sz w:val="24"/>
                <w:szCs w:val="24"/>
                <w:highlight w:val="none"/>
                <w:lang w:val="en-US" w:eastAsia="zh-CN"/>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洗液瓶2个/配液瓶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pacing w:val="20"/>
                <w:sz w:val="24"/>
                <w:szCs w:val="24"/>
                <w:highlight w:val="none"/>
                <w:lang w:eastAsia="zh-CN"/>
              </w:rPr>
            </w:pPr>
            <w:r>
              <w:rPr>
                <w:rFonts w:hint="eastAsia" w:ascii="仿宋" w:hAnsi="仿宋" w:eastAsia="仿宋" w:cs="仿宋"/>
                <w:bCs/>
                <w:spacing w:val="20"/>
                <w:sz w:val="24"/>
                <w:szCs w:val="24"/>
                <w:highlight w:val="none"/>
                <w:lang w:val="en-US" w:eastAsia="zh-CN"/>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pacing w:val="20"/>
                <w:sz w:val="24"/>
                <w:szCs w:val="24"/>
                <w:highlight w:val="none"/>
              </w:rPr>
            </w:pPr>
            <w:r>
              <w:rPr>
                <w:rFonts w:hint="eastAsia" w:ascii="仿宋" w:hAnsi="仿宋" w:eastAsia="仿宋" w:cs="仿宋"/>
                <w:bCs/>
                <w:spacing w:val="20"/>
                <w:sz w:val="24"/>
                <w:szCs w:val="24"/>
                <w:highlight w:val="none"/>
              </w:rPr>
              <w:t>全套管路组件包/配液泵管组件包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52"/>
              <w:spacing w:line="360" w:lineRule="auto"/>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整机保质≥3年；保质期外仅收取配件费；免人工服务费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52"/>
              <w:spacing w:line="360" w:lineRule="auto"/>
              <w:ind w:firstLine="0" w:firstLineChars="0"/>
              <w:rPr>
                <w:rFonts w:hint="eastAsia" w:ascii="仿宋" w:hAnsi="仿宋" w:eastAsia="仿宋" w:cs="仿宋"/>
                <w:sz w:val="24"/>
                <w:szCs w:val="24"/>
                <w:highlight w:val="none"/>
              </w:rPr>
            </w:pPr>
            <w:r>
              <w:rPr>
                <w:rFonts w:hint="eastAsia" w:ascii="仿宋" w:hAnsi="仿宋" w:eastAsia="仿宋" w:cs="仿宋"/>
                <w:kern w:val="2"/>
                <w:sz w:val="24"/>
                <w:szCs w:val="24"/>
                <w:highlight w:val="none"/>
              </w:rPr>
              <w:t>故障响应≤</w:t>
            </w:r>
            <w:r>
              <w:rPr>
                <w:rFonts w:hint="eastAsia" w:ascii="仿宋" w:hAnsi="仿宋" w:eastAsia="仿宋" w:cs="仿宋"/>
                <w:kern w:val="2"/>
                <w:sz w:val="24"/>
                <w:szCs w:val="24"/>
                <w:highlight w:val="none"/>
                <w:lang w:val="en-US" w:eastAsia="zh-CN"/>
              </w:rPr>
              <w:t>2</w:t>
            </w:r>
            <w:r>
              <w:rPr>
                <w:rFonts w:hint="eastAsia" w:ascii="仿宋" w:hAnsi="仿宋" w:eastAsia="仿宋" w:cs="仿宋"/>
                <w:kern w:val="2"/>
                <w:sz w:val="24"/>
                <w:szCs w:val="24"/>
                <w:highlight w:val="none"/>
              </w:rPr>
              <w:t>小时，</w:t>
            </w:r>
            <w:r>
              <w:rPr>
                <w:rFonts w:hint="eastAsia" w:ascii="仿宋" w:hAnsi="仿宋" w:eastAsia="仿宋" w:cs="仿宋"/>
                <w:kern w:val="2"/>
                <w:sz w:val="24"/>
                <w:szCs w:val="24"/>
                <w:highlight w:val="none"/>
                <w:lang w:val="en-US" w:eastAsia="zh-CN"/>
              </w:rPr>
              <w:t>12</w:t>
            </w:r>
            <w:r>
              <w:rPr>
                <w:rFonts w:hint="eastAsia" w:ascii="仿宋" w:hAnsi="仿宋" w:eastAsia="仿宋" w:cs="仿宋"/>
                <w:kern w:val="2"/>
                <w:sz w:val="24"/>
                <w:szCs w:val="24"/>
                <w:highlight w:val="none"/>
              </w:rPr>
              <w:t>小时上门服务，72小时内解决问题或提供备用机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52"/>
              <w:spacing w:line="360" w:lineRule="auto"/>
              <w:ind w:firstLine="0" w:firstLineChars="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在</w:t>
            </w:r>
            <w:r>
              <w:rPr>
                <w:rFonts w:hint="eastAsia" w:ascii="仿宋" w:hAnsi="仿宋" w:eastAsia="仿宋" w:cs="仿宋"/>
                <w:kern w:val="2"/>
                <w:sz w:val="24"/>
                <w:szCs w:val="24"/>
                <w:highlight w:val="none"/>
                <w:lang w:val="en-US" w:eastAsia="zh-CN"/>
              </w:rPr>
              <w:t>本地</w:t>
            </w:r>
            <w:r>
              <w:rPr>
                <w:rFonts w:hint="eastAsia" w:ascii="仿宋" w:hAnsi="仿宋" w:eastAsia="仿宋" w:cs="仿宋"/>
                <w:kern w:val="2"/>
                <w:sz w:val="24"/>
                <w:szCs w:val="24"/>
                <w:highlight w:val="none"/>
              </w:rPr>
              <w:t>设有服务机构，可提供及时临床技术支持及售后服务支持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52"/>
              <w:spacing w:line="360" w:lineRule="auto"/>
              <w:ind w:firstLine="0" w:firstLineChars="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负责对操作人员进行培训</w:t>
            </w:r>
          </w:p>
        </w:tc>
      </w:tr>
    </w:tbl>
    <w:p>
      <w:pPr>
        <w:numPr>
          <w:ilvl w:val="0"/>
          <w:numId w:val="0"/>
        </w:numPr>
        <w:rPr>
          <w:rFonts w:hint="eastAsia" w:ascii="仿宋" w:hAnsi="仿宋" w:eastAsia="仿宋" w:cs="仿宋"/>
          <w:color w:val="auto"/>
          <w:highlight w:val="none"/>
          <w:lang w:val="en-US" w:eastAsia="zh-CN"/>
        </w:rPr>
      </w:pPr>
    </w:p>
    <w:p>
      <w:pPr>
        <w:numPr>
          <w:ilvl w:val="0"/>
          <w:numId w:val="0"/>
        </w:numPr>
        <w:rPr>
          <w:rFonts w:hint="eastAsia" w:eastAsia="宋体"/>
          <w:b/>
          <w:sz w:val="32"/>
          <w:szCs w:val="32"/>
          <w:highlight w:val="none"/>
          <w:lang w:val="en-US" w:eastAsia="zh-CN"/>
        </w:rPr>
      </w:pPr>
      <w:r>
        <w:rPr>
          <w:rFonts w:hint="eastAsia" w:ascii="仿宋" w:hAnsi="仿宋" w:eastAsia="仿宋" w:cs="仿宋"/>
          <w:color w:val="auto"/>
          <w:highlight w:val="none"/>
          <w:lang w:val="en-US" w:eastAsia="zh-CN"/>
        </w:rPr>
        <w:t>4、遥测中央多参数监护系统</w:t>
      </w:r>
      <w:bookmarkEnd w:id="66"/>
      <w:bookmarkEnd w:id="67"/>
      <w:bookmarkEnd w:id="6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3219"/>
        <w:gridCol w:w="1510"/>
        <w:gridCol w:w="1022"/>
        <w:gridCol w:w="1632"/>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遥测中央多参数监护系统</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一套</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中心监护系统包括中央站,工作站一套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中央站具有单个终端遥测盒报警提示功能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工作站支持中央站上</w:t>
            </w:r>
            <w:r>
              <w:rPr>
                <w:rFonts w:hint="eastAsia" w:ascii="仿宋" w:hAnsi="仿宋" w:eastAsia="仿宋" w:cs="仿宋"/>
                <w:kern w:val="0"/>
                <w:sz w:val="24"/>
                <w:szCs w:val="24"/>
                <w:highlight w:val="none"/>
                <w:lang w:val="en-US" w:eastAsia="zh-CN"/>
              </w:rPr>
              <w:t>患者信息</w:t>
            </w:r>
            <w:r>
              <w:rPr>
                <w:rFonts w:hint="eastAsia" w:ascii="仿宋" w:hAnsi="仿宋" w:eastAsia="仿宋" w:cs="仿宋"/>
                <w:kern w:val="0"/>
                <w:sz w:val="24"/>
                <w:szCs w:val="24"/>
                <w:highlight w:val="none"/>
              </w:rPr>
              <w:t>，并提供不同控制权限的设置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中心监护系统支持有线、无线、遥测多元化的组网方式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szCs w:val="24"/>
                <w:highlight w:val="none"/>
              </w:rPr>
            </w:pPr>
            <w:r>
              <w:rPr>
                <w:rFonts w:hint="eastAsia" w:ascii="仿宋" w:hAnsi="仿宋" w:eastAsia="仿宋" w:cs="仿宋"/>
                <w:kern w:val="0"/>
                <w:sz w:val="24"/>
                <w:szCs w:val="24"/>
                <w:highlight w:val="none"/>
              </w:rPr>
              <w:t>要求具备全局报警列表功能，可显示最近1小时内所有报警</w:t>
            </w:r>
            <w:r>
              <w:rPr>
                <w:rFonts w:hint="eastAsia" w:ascii="仿宋" w:hAnsi="仿宋" w:eastAsia="仿宋" w:cs="仿宋"/>
                <w:kern w:val="0"/>
                <w:sz w:val="24"/>
                <w:szCs w:val="24"/>
                <w:highlight w:val="none"/>
                <w:lang w:val="en-US" w:eastAsia="zh-CN"/>
              </w:rPr>
              <w:t>信息</w:t>
            </w:r>
            <w:r>
              <w:rPr>
                <w:rFonts w:hint="eastAsia" w:ascii="仿宋" w:hAnsi="仿宋" w:eastAsia="仿宋" w:cs="仿宋"/>
                <w:kern w:val="0"/>
                <w:sz w:val="24"/>
                <w:szCs w:val="24"/>
                <w:highlight w:val="none"/>
              </w:rPr>
              <w:t>，支持排序调整，并可连接至事件回顾查看详细数据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可支持同时集中监护病人数≥64人，单个屏幕同时集中监护病人数≥16人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w:t>
            </w:r>
            <w:r>
              <w:rPr>
                <w:rFonts w:hint="eastAsia" w:ascii="仿宋" w:hAnsi="仿宋" w:eastAsia="仿宋" w:cs="仿宋"/>
                <w:kern w:val="0"/>
                <w:sz w:val="24"/>
                <w:szCs w:val="24"/>
                <w:highlight w:val="none"/>
                <w:lang w:val="en-US" w:eastAsia="zh-CN"/>
              </w:rPr>
              <w:t>≥</w:t>
            </w:r>
            <w:r>
              <w:rPr>
                <w:rFonts w:hint="eastAsia" w:ascii="仿宋" w:hAnsi="仿宋" w:eastAsia="仿宋" w:cs="仿宋"/>
                <w:kern w:val="0"/>
                <w:sz w:val="24"/>
                <w:szCs w:val="24"/>
                <w:highlight w:val="none"/>
              </w:rPr>
              <w:t>2万个历史病人数据存储与回顾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bookmarkStart w:id="69" w:name="_Toc446926735"/>
            <w:r>
              <w:rPr>
                <w:rFonts w:hint="eastAsia" w:ascii="仿宋" w:hAnsi="仿宋" w:eastAsia="仿宋" w:cs="仿宋"/>
                <w:kern w:val="0"/>
                <w:sz w:val="24"/>
                <w:szCs w:val="24"/>
                <w:highlight w:val="none"/>
              </w:rPr>
              <w:t>支持报警报告、波形报告、趋势报告等</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50"/>
              <w:tabs>
                <w:tab w:val="left" w:pos="420"/>
              </w:tabs>
              <w:autoSpaceDE w:val="0"/>
              <w:autoSpaceDN w:val="0"/>
              <w:adjustRightInd w:val="0"/>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可远程控制对床旁监护仪进行</w:t>
            </w:r>
            <w:r>
              <w:rPr>
                <w:rFonts w:hint="eastAsia" w:ascii="仿宋" w:hAnsi="仿宋" w:eastAsia="仿宋" w:cs="仿宋"/>
                <w:kern w:val="0"/>
                <w:sz w:val="24"/>
                <w:szCs w:val="24"/>
                <w:highlight w:val="none"/>
                <w:lang w:val="en-US" w:eastAsia="zh-CN"/>
              </w:rPr>
              <w:t>患者</w:t>
            </w:r>
            <w:r>
              <w:rPr>
                <w:rFonts w:hint="eastAsia" w:ascii="仿宋" w:hAnsi="仿宋" w:eastAsia="仿宋" w:cs="仿宋"/>
                <w:kern w:val="0"/>
                <w:sz w:val="24"/>
                <w:szCs w:val="24"/>
                <w:highlight w:val="none"/>
              </w:rPr>
              <w:t>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数字遥测监护系统包括遥测发射盒、接收箱、天线阵及附件组成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tabs>
                <w:tab w:val="right" w:pos="4860"/>
              </w:tabs>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发射盒与接收装置之间明视距离≥100米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000000"/>
                <w:sz w:val="24"/>
                <w:szCs w:val="24"/>
                <w:highlight w:val="none"/>
              </w:rPr>
              <w:t>12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tabs>
                <w:tab w:val="right" w:pos="4860"/>
              </w:tabs>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采用基于TCP/IP协议的以太网方式的信息传输，具有SSL通信加密功能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电池使用时间：ECG≥96小时，待机休眠时间≥24天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遥测盒</w:t>
            </w:r>
            <w:r>
              <w:rPr>
                <w:rFonts w:hint="eastAsia" w:ascii="仿宋" w:hAnsi="仿宋" w:eastAsia="仿宋" w:cs="仿宋"/>
                <w:sz w:val="24"/>
                <w:szCs w:val="24"/>
                <w:highlight w:val="none"/>
              </w:rPr>
              <w:t>重量≤140g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tabs>
                <w:tab w:val="right" w:pos="4860"/>
              </w:tabs>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具有电池防反装安全设计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tabs>
                <w:tab w:val="right" w:pos="4860"/>
              </w:tabs>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具有LED指示灯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监护信息包括心率（HR）、ECG波形、心律失常和S-T段分析、起搏分析（PACE）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tabs>
                <w:tab w:val="right" w:pos="4860"/>
              </w:tabs>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心率（HR）监测范围：15～300bpm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心律失常分析种类≥2</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20</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S-T段监测范围：-2.0～2.0mV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b/>
                <w:bCs/>
                <w:sz w:val="24"/>
                <w:szCs w:val="24"/>
                <w:highlight w:val="none"/>
              </w:rPr>
              <w:t xml:space="preserve">                      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bCs/>
                <w:sz w:val="24"/>
                <w:szCs w:val="24"/>
                <w:highlight w:val="none"/>
              </w:rPr>
              <w:t>一台中央工作站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bCs/>
                <w:sz w:val="24"/>
                <w:szCs w:val="24"/>
                <w:highlight w:val="none"/>
              </w:rPr>
              <w:t xml:space="preserve">十台数字遥测监护盒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bCs/>
                <w:sz w:val="24"/>
                <w:szCs w:val="24"/>
                <w:highlight w:val="none"/>
              </w:rPr>
              <w:t>电脑主机液晶显示器≥19</w:t>
            </w:r>
            <w:r>
              <w:rPr>
                <w:rFonts w:hint="eastAsia" w:ascii="仿宋" w:hAnsi="仿宋" w:eastAsia="仿宋" w:cs="仿宋"/>
                <w:bCs/>
                <w:sz w:val="24"/>
                <w:szCs w:val="24"/>
                <w:highlight w:val="none"/>
                <w:lang w:val="en-US" w:eastAsia="zh-CN"/>
              </w:rPr>
              <w:t>英</w:t>
            </w:r>
            <w:r>
              <w:rPr>
                <w:rFonts w:hint="eastAsia" w:ascii="仿宋" w:hAnsi="仿宋" w:eastAsia="仿宋" w:cs="仿宋"/>
                <w:bCs/>
                <w:sz w:val="24"/>
                <w:szCs w:val="24"/>
                <w:highlight w:val="none"/>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rPr>
            </w:pPr>
            <w:r>
              <w:rPr>
                <w:rFonts w:hint="eastAsia" w:ascii="仿宋" w:hAnsi="仿宋" w:eastAsia="仿宋" w:cs="仿宋"/>
                <w:bCs/>
                <w:sz w:val="24"/>
                <w:szCs w:val="24"/>
                <w:highlight w:val="none"/>
              </w:rPr>
              <w:t>品牌台式计算机，Intel I5及以上处理器，硬盘</w:t>
            </w:r>
            <w:r>
              <w:rPr>
                <w:rFonts w:hint="eastAsia" w:ascii="仿宋" w:hAnsi="仿宋" w:eastAsia="仿宋" w:cs="仿宋"/>
                <w:sz w:val="24"/>
                <w:szCs w:val="24"/>
                <w:highlight w:val="none"/>
              </w:rPr>
              <w:t>≥1TB，内存≥16GB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pStyle w:val="18"/>
              <w:ind w:firstLine="2650" w:firstLineChars="1100"/>
              <w:jc w:val="both"/>
              <w:rPr>
                <w:rFonts w:hint="eastAsia" w:ascii="仿宋" w:hAnsi="仿宋" w:eastAsia="仿宋" w:cs="仿宋"/>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000000"/>
                <w:sz w:val="24"/>
                <w:szCs w:val="24"/>
                <w:highlight w:val="none"/>
              </w:rPr>
            </w:pP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8"/>
              <w:jc w:val="both"/>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整机质保三年，</w:t>
            </w:r>
            <w:r>
              <w:rPr>
                <w:rFonts w:hint="eastAsia" w:ascii="仿宋" w:hAnsi="仿宋" w:eastAsia="仿宋" w:cs="仿宋"/>
                <w:sz w:val="24"/>
                <w:szCs w:val="24"/>
                <w:highlight w:val="none"/>
                <w:lang w:val="en-US" w:eastAsia="zh-CN"/>
              </w:rPr>
              <w:t>项目本地</w:t>
            </w:r>
            <w:r>
              <w:rPr>
                <w:rFonts w:hint="eastAsia" w:ascii="仿宋" w:hAnsi="仿宋" w:eastAsia="仿宋" w:cs="仿宋"/>
                <w:sz w:val="24"/>
                <w:szCs w:val="24"/>
                <w:highlight w:val="none"/>
              </w:rPr>
              <w:t>配有专业工程师团队，售后问题2小时响应</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小时到达现场。72小时内无法解决故障，提供同型号备用机，终生免费安装升级工作站及遥测盒使用的相关所有软件</w:t>
            </w:r>
            <w:r>
              <w:rPr>
                <w:rFonts w:hint="eastAsia" w:ascii="仿宋" w:hAnsi="仿宋" w:eastAsia="仿宋" w:cs="仿宋"/>
                <w:sz w:val="24"/>
                <w:szCs w:val="24"/>
                <w:highlight w:val="none"/>
                <w:lang w:eastAsia="zh-CN"/>
              </w:rPr>
              <w:t>。</w:t>
            </w:r>
          </w:p>
        </w:tc>
      </w:tr>
    </w:tbl>
    <w:p>
      <w:pPr>
        <w:rPr>
          <w:rFonts w:hint="eastAsia" w:ascii="宋体" w:hAnsi="宋体"/>
          <w:szCs w:val="21"/>
          <w:highlight w:val="none"/>
          <w:lang w:val="en-US" w:eastAsia="zh-CN"/>
        </w:rPr>
      </w:pPr>
      <w:r>
        <w:rPr>
          <w:rFonts w:hint="eastAsia" w:ascii="宋体" w:hAnsi="宋体"/>
          <w:szCs w:val="21"/>
          <w:highlight w:val="none"/>
          <w:lang w:val="en-US" w:eastAsia="zh-CN"/>
        </w:rPr>
        <w:br w:type="page"/>
      </w:r>
    </w:p>
    <w:p>
      <w:pPr>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5、肌电图/诱发电位仪（核心产品）</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795"/>
        <w:gridCol w:w="1597"/>
        <w:gridCol w:w="999"/>
        <w:gridCol w:w="173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肌电图/诱发电位仪</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肌电主控放大器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通道数：≥4通道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输入阻抗：≥3000MΩ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噪声电压（短路噪声）：≤0.4μV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共模抑制比：≥115dB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分辨率：≥24</w:t>
            </w:r>
            <w:r>
              <w:rPr>
                <w:rFonts w:hint="eastAsia" w:ascii="仿宋" w:hAnsi="仿宋" w:eastAsia="仿宋" w:cs="仿宋"/>
                <w:bCs/>
                <w:sz w:val="24"/>
                <w:szCs w:val="24"/>
                <w:highlight w:val="none"/>
                <w:lang w:val="en-US" w:eastAsia="zh-CN"/>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sz w:val="24"/>
                <w:szCs w:val="24"/>
                <w:highlight w:val="none"/>
              </w:rPr>
              <w:t>1.6</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电压灵敏度：0.05μV/div到10mV/div分档控制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1.7</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显示灵敏度0.01μv/D—30mv/D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sz w:val="24"/>
                <w:szCs w:val="24"/>
                <w:highlight w:val="none"/>
              </w:rPr>
              <w:t>1.8</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扫描速度测量误差（扫描时程）：0.5ms/D—30000ms/D内，</w:t>
            </w:r>
            <w:r>
              <w:rPr>
                <w:rFonts w:hint="eastAsia" w:ascii="仿宋" w:hAnsi="仿宋" w:eastAsia="仿宋" w:cs="仿宋"/>
                <w:bCs/>
                <w:sz w:val="24"/>
                <w:szCs w:val="24"/>
                <w:highlight w:val="none"/>
                <w:lang w:val="en-US" w:eastAsia="zh-CN"/>
              </w:rPr>
              <w:t>≤</w:t>
            </w:r>
            <w:r>
              <w:rPr>
                <w:rFonts w:hint="eastAsia" w:ascii="仿宋" w:hAnsi="仿宋" w:eastAsia="仿宋" w:cs="仿宋"/>
                <w:bCs/>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1.9</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采样率：≥200千赫/每通道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电刺激器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电刺激器：1个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刺激类型：恒流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刺激强度：0-100mA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刺激分辨率：0.1mA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脉冲输出频率：0.1Hz～120Hz。带外触发功能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听觉刺激器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耳机声刺激器：最大 Click 声强:≤135dB(SPL 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刺激极性：疏波、密波、交替波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刺激波形：喀喇音、多种频率短纯音、爆发音等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对侧耳最大白噪声声强 105—115db(SPL 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掩蔽音：左、右、双侧、对侧或同侧白噪音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视觉刺激器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刺激模式：LED 眼罩、黑白多档可调棋盘格，水平条，竖条格、横条格、垂直条模式图案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刺激输出：≥17</w:t>
            </w:r>
            <w:r>
              <w:rPr>
                <w:rFonts w:hint="eastAsia" w:ascii="仿宋" w:hAnsi="仿宋" w:eastAsia="仿宋" w:cs="仿宋"/>
                <w:bCs/>
                <w:sz w:val="24"/>
                <w:szCs w:val="24"/>
                <w:highlight w:val="none"/>
                <w:lang w:val="en-US" w:eastAsia="zh-CN"/>
              </w:rPr>
              <w:t>英</w:t>
            </w:r>
            <w:r>
              <w:rPr>
                <w:rFonts w:hint="eastAsia" w:ascii="仿宋" w:hAnsi="仿宋" w:eastAsia="仿宋" w:cs="仿宋"/>
                <w:bCs/>
                <w:sz w:val="24"/>
                <w:szCs w:val="24"/>
                <w:highlight w:val="none"/>
              </w:rPr>
              <w:t>寸视觉刺激器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刺激视野：全视野、半视野、1/4视野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注视点：可移动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软件功能要求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神经电图：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运动传导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面运动传导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感觉传导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F-波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H-反射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5.1.6</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重复电刺激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5.1.7</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瞬目反射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5.1.8</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心脏副交感反应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肌电图：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5.2.1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静息单位电位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5.2.2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运动单位电位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5.2.3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干扰相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5.2.4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同步电位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5.2.5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单纤维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诱发电位：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5.3.1</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体感诱发电位：上肢诱发电位、下肢诱发电位、三叉诱发电位、脊髓诱发电位、阴部体感诱发、长潜体感诱发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5.3.2</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听觉诱发电位：听觉脑干诱发、多道听觉诱发、脑干听阈40H</w:t>
            </w:r>
            <w:r>
              <w:rPr>
                <w:rFonts w:hint="eastAsia" w:ascii="仿宋" w:hAnsi="仿宋" w:eastAsia="仿宋" w:cs="仿宋"/>
                <w:bCs/>
                <w:sz w:val="24"/>
                <w:szCs w:val="24"/>
                <w:highlight w:val="none"/>
                <w:lang w:val="en-US" w:eastAsia="zh-CN"/>
              </w:rPr>
              <w:t>z</w:t>
            </w:r>
            <w:r>
              <w:rPr>
                <w:rFonts w:hint="eastAsia" w:ascii="仿宋" w:hAnsi="仿宋" w:eastAsia="仿宋" w:cs="仿宋"/>
                <w:bCs/>
                <w:sz w:val="24"/>
                <w:szCs w:val="24"/>
                <w:highlight w:val="none"/>
              </w:rPr>
              <w:t>稳态诱发电位、听觉长潜伏期诱发电位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5.3.3</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视觉诱发电位:常规棋盘格视觉诱发、LED闪光诱发、长潜诱发电位、自定义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sz w:val="24"/>
                <w:szCs w:val="24"/>
                <w:highlight w:val="none"/>
              </w:rPr>
              <w:t>5.3.4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前庭诱发电位：ACS-cVEMP、BCV-cVEMP、GVS-cVEMP、ACS-oVEMP、BCV-oVEMP、GVS-oVEMP、ACS-mVEMP、BCV-mVEMP、GVS-mVEMP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5.4</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表面肌电功能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5.5</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事件相关电位：听觉P300、听觉 P50、视觉N400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5.6</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运动诱发电位（电刺激、可连接磁刺激）：上肢运动、下肢运动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5.7</w:t>
            </w:r>
          </w:p>
        </w:tc>
        <w:tc>
          <w:tcPr>
            <w:tcW w:w="0" w:type="auto"/>
            <w:gridSpan w:val="5"/>
            <w:tcBorders>
              <w:top w:val="single" w:color="auto" w:sz="4" w:space="0"/>
              <w:left w:val="single" w:color="auto" w:sz="4" w:space="0"/>
              <w:bottom w:val="single" w:color="auto" w:sz="4" w:space="0"/>
              <w:right w:val="single" w:color="auto" w:sz="4" w:space="0"/>
            </w:tcBorders>
            <w:noWrap w:val="0"/>
            <w:vAlign w:val="top"/>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所有软件功能项目全部开放，</w:t>
            </w:r>
            <w:r>
              <w:rPr>
                <w:rFonts w:hint="eastAsia" w:ascii="仿宋" w:hAnsi="仿宋" w:eastAsia="仿宋" w:cs="仿宋"/>
                <w:bCs/>
                <w:sz w:val="24"/>
                <w:szCs w:val="24"/>
                <w:highlight w:val="none"/>
                <w:lang w:val="en-US" w:eastAsia="zh-CN"/>
              </w:rPr>
              <w:t>并终身免费</w:t>
            </w:r>
            <w:r>
              <w:rPr>
                <w:rFonts w:hint="eastAsia" w:ascii="仿宋" w:hAnsi="仿宋" w:eastAsia="仿宋" w:cs="仿宋"/>
                <w:bCs/>
                <w:sz w:val="24"/>
                <w:szCs w:val="24"/>
                <w:highlight w:val="none"/>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二、相关配置要求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系统工作站：具有处理软件功能；中央处理器：工控主机，主频≥1.7GHz处理器，内存：≥2G、硬盘：≥500G、标准接口、显示器：≥21</w:t>
            </w:r>
            <w:r>
              <w:rPr>
                <w:rFonts w:hint="eastAsia" w:ascii="仿宋" w:hAnsi="仿宋" w:eastAsia="仿宋" w:cs="仿宋"/>
                <w:bCs/>
                <w:sz w:val="24"/>
                <w:szCs w:val="24"/>
                <w:highlight w:val="none"/>
                <w:lang w:val="en-US" w:eastAsia="zh-CN"/>
              </w:rPr>
              <w:t>英寸</w:t>
            </w:r>
            <w:r>
              <w:rPr>
                <w:rFonts w:hint="eastAsia" w:ascii="仿宋" w:hAnsi="仿宋" w:eastAsia="仿宋" w:cs="仿宋"/>
                <w:bCs/>
                <w:sz w:val="24"/>
                <w:szCs w:val="24"/>
                <w:highlight w:val="none"/>
              </w:rPr>
              <w:t>液晶，打印机：品牌彩色激光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配稳压隔离电源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静音轮台车</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电极及连接电缆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5</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≥2T移动硬盘</w:t>
            </w:r>
            <w:r>
              <w:rPr>
                <w:rFonts w:hint="eastAsia" w:ascii="仿宋" w:hAnsi="仿宋" w:eastAsia="仿宋" w:cs="仿宋"/>
                <w:bCs/>
                <w:sz w:val="24"/>
                <w:szCs w:val="24"/>
                <w:highlight w:val="none"/>
                <w:lang w:val="en-US" w:eastAsia="zh-CN"/>
              </w:rPr>
              <w:t>2</w:t>
            </w:r>
            <w:r>
              <w:rPr>
                <w:rFonts w:hint="eastAsia" w:ascii="仿宋" w:hAnsi="仿宋" w:eastAsia="仿宋" w:cs="仿宋"/>
                <w:bCs/>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免费质保期：≥3年，保修期外仅收取零配件费，不收取维修费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接到用户维修通知后，2小时内作出相应，并在</w:t>
            </w:r>
            <w:r>
              <w:rPr>
                <w:rFonts w:hint="eastAsia" w:ascii="仿宋" w:hAnsi="仿宋" w:eastAsia="仿宋" w:cs="仿宋"/>
                <w:bCs/>
                <w:sz w:val="24"/>
                <w:szCs w:val="24"/>
                <w:highlight w:val="none"/>
                <w:lang w:val="en-US" w:eastAsia="zh-CN"/>
              </w:rPr>
              <w:t>12</w:t>
            </w:r>
            <w:r>
              <w:rPr>
                <w:rFonts w:hint="eastAsia" w:ascii="仿宋" w:hAnsi="仿宋" w:eastAsia="仿宋" w:cs="仿宋"/>
                <w:bCs/>
                <w:sz w:val="24"/>
                <w:szCs w:val="24"/>
                <w:highlight w:val="none"/>
              </w:rPr>
              <w:t>小时内派员到达用户现场实施维修；</w:t>
            </w:r>
            <w:r>
              <w:rPr>
                <w:rFonts w:hint="eastAsia" w:ascii="仿宋" w:hAnsi="仿宋" w:eastAsia="仿宋" w:cs="仿宋"/>
                <w:bCs/>
                <w:sz w:val="24"/>
                <w:szCs w:val="24"/>
                <w:highlight w:val="none"/>
                <w:lang w:val="en-US" w:eastAsia="zh-CN"/>
              </w:rPr>
              <w:t>72小时</w:t>
            </w:r>
            <w:r>
              <w:rPr>
                <w:rFonts w:hint="eastAsia" w:ascii="仿宋" w:hAnsi="仿宋" w:eastAsia="仿宋" w:cs="仿宋"/>
                <w:bCs/>
                <w:sz w:val="24"/>
                <w:szCs w:val="24"/>
                <w:highlight w:val="none"/>
              </w:rPr>
              <w:t>不能维修好提供备用机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val="en-US" w:eastAsia="zh-CN"/>
              </w:rPr>
              <w:t>3</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提供操作和维修培训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val="en-US" w:eastAsia="zh-CN"/>
              </w:rPr>
              <w:t>4</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lang w:val="en-US" w:eastAsia="zh-CN"/>
              </w:rPr>
              <w:t>投标人</w:t>
            </w:r>
            <w:r>
              <w:rPr>
                <w:rFonts w:hint="eastAsia" w:ascii="仿宋" w:hAnsi="仿宋" w:eastAsia="仿宋" w:cs="仿宋"/>
                <w:bCs/>
                <w:sz w:val="24"/>
                <w:szCs w:val="24"/>
                <w:highlight w:val="none"/>
              </w:rPr>
              <w:t>应确保消耗品及维修备件八年内长期供应</w:t>
            </w:r>
          </w:p>
        </w:tc>
      </w:tr>
    </w:tbl>
    <w:p>
      <w:pPr>
        <w:spacing w:line="560" w:lineRule="exact"/>
        <w:jc w:val="both"/>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注：“★”</w:t>
      </w:r>
      <w:r>
        <w:rPr>
          <w:rFonts w:hint="eastAsia" w:ascii="仿宋" w:hAnsi="仿宋" w:eastAsia="仿宋" w:cs="仿宋"/>
          <w:b/>
          <w:color w:val="auto"/>
          <w:szCs w:val="24"/>
          <w:highlight w:val="none"/>
          <w:lang w:eastAsia="zh-CN"/>
        </w:rPr>
        <w:t>项</w:t>
      </w:r>
      <w:r>
        <w:rPr>
          <w:rFonts w:hint="eastAsia" w:ascii="仿宋" w:hAnsi="仿宋" w:eastAsia="仿宋" w:cs="仿宋"/>
          <w:b/>
          <w:color w:val="auto"/>
          <w:szCs w:val="24"/>
          <w:highlight w:val="none"/>
        </w:rPr>
        <w:t>的参数为重要技术参数</w:t>
      </w:r>
      <w:r>
        <w:rPr>
          <w:rFonts w:hint="eastAsia" w:ascii="仿宋" w:hAnsi="仿宋" w:eastAsia="仿宋" w:cs="仿宋"/>
          <w:b/>
          <w:color w:val="auto"/>
          <w:szCs w:val="24"/>
          <w:highlight w:val="none"/>
          <w:lang w:eastAsia="zh-CN"/>
        </w:rPr>
        <w:t>。</w:t>
      </w:r>
    </w:p>
    <w:p>
      <w:pPr>
        <w:pStyle w:val="3"/>
        <w:bidi w:val="0"/>
        <w:spacing w:line="360" w:lineRule="auto"/>
        <w:jc w:val="center"/>
        <w:rPr>
          <w:rFonts w:hint="eastAsia" w:ascii="仿宋" w:hAnsi="仿宋" w:eastAsia="仿宋" w:cs="仿宋"/>
          <w:color w:val="auto"/>
          <w:highlight w:val="none"/>
        </w:rPr>
        <w:sectPr>
          <w:footerReference r:id="rId19" w:type="first"/>
          <w:pgSz w:w="11905" w:h="16840"/>
          <w:pgMar w:top="1417" w:right="1417" w:bottom="1417" w:left="1417" w:header="935" w:footer="907" w:gutter="0"/>
          <w:pgNumType w:fmt="decimal"/>
          <w:cols w:space="0" w:num="1"/>
          <w:titlePg/>
          <w:rtlGutter w:val="0"/>
          <w:docGrid w:linePitch="312" w:charSpace="0"/>
        </w:sectPr>
      </w:pPr>
    </w:p>
    <w:p>
      <w:pPr>
        <w:pStyle w:val="3"/>
        <w:bidi w:val="0"/>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第四章  商务要求</w:t>
      </w:r>
    </w:p>
    <w:p>
      <w:pPr>
        <w:spacing w:line="560" w:lineRule="exact"/>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一、交货期及地点：</w:t>
      </w:r>
    </w:p>
    <w:p>
      <w:pPr>
        <w:adjustRightInd w:val="0"/>
        <w:snapToGrid w:val="0"/>
        <w:spacing w:line="560" w:lineRule="exact"/>
        <w:ind w:firstLine="600" w:firstLineChars="250"/>
        <w:rPr>
          <w:rFonts w:hint="eastAsia" w:ascii="仿宋" w:hAnsi="仿宋" w:eastAsia="仿宋" w:cs="仿宋"/>
          <w:color w:val="auto"/>
          <w:szCs w:val="24"/>
          <w:highlight w:val="none"/>
        </w:rPr>
      </w:pPr>
      <w:bookmarkStart w:id="70" w:name="_Toc167712839"/>
      <w:bookmarkStart w:id="71" w:name="_Toc167714037"/>
      <w:bookmarkStart w:id="72" w:name="_Toc167715234"/>
      <w:r>
        <w:rPr>
          <w:rFonts w:hint="eastAsia" w:ascii="仿宋" w:hAnsi="仿宋" w:eastAsia="仿宋" w:cs="仿宋"/>
          <w:color w:val="auto"/>
          <w:szCs w:val="24"/>
          <w:highlight w:val="none"/>
        </w:rPr>
        <w:t>1、 交货期：</w:t>
      </w:r>
      <w:bookmarkEnd w:id="70"/>
      <w:bookmarkEnd w:id="71"/>
      <w:bookmarkEnd w:id="72"/>
      <w:r>
        <w:rPr>
          <w:rFonts w:hint="eastAsia" w:ascii="仿宋" w:hAnsi="仿宋" w:eastAsia="仿宋" w:cs="仿宋"/>
          <w:color w:val="auto"/>
          <w:szCs w:val="24"/>
          <w:highlight w:val="none"/>
        </w:rPr>
        <w:t>自合同签订之日起</w:t>
      </w:r>
      <w:r>
        <w:rPr>
          <w:rFonts w:hint="eastAsia" w:ascii="仿宋" w:hAnsi="仿宋" w:eastAsia="仿宋" w:cs="仿宋"/>
          <w:color w:val="auto"/>
          <w:szCs w:val="24"/>
          <w:highlight w:val="none"/>
          <w:lang w:val="en-US" w:eastAsia="zh-CN"/>
        </w:rPr>
        <w:t>60个日历日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adjustRightInd w:val="0"/>
        <w:snapToGrid w:val="0"/>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指定地点。</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二、包装、运输、安装、调试及培训要求：</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2、运输：</w:t>
      </w:r>
      <w:r>
        <w:rPr>
          <w:rFonts w:hint="eastAsia" w:ascii="仿宋" w:hAnsi="仿宋" w:eastAsia="仿宋" w:cs="仿宋"/>
          <w:color w:val="auto"/>
          <w:kern w:val="0"/>
          <w:szCs w:val="24"/>
          <w:highlight w:val="none"/>
        </w:rPr>
        <w:t>选择运输风险小、运费低、距离短的运输路线。运杂费一次包死在总价内，包括生产厂到施工现场所需的装卸、运输（含保险费）、现场保管费、二次倒运费、吊装费等费用。</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3、安装、调试及培训：中标人负责所有设备的安装、调试、培训工作，所有费用一次包死在总价内。</w:t>
      </w:r>
      <w:bookmarkStart w:id="73" w:name="_Toc167714062"/>
      <w:bookmarkStart w:id="74" w:name="_Toc167712864"/>
      <w:bookmarkStart w:id="75" w:name="_Toc167715259"/>
      <w:r>
        <w:rPr>
          <w:rFonts w:hint="eastAsia" w:ascii="仿宋" w:hAnsi="仿宋" w:eastAsia="仿宋" w:cs="仿宋"/>
          <w:color w:val="auto"/>
          <w:szCs w:val="24"/>
          <w:highlight w:val="none"/>
        </w:rPr>
        <w:t>每套设备安装调试完毕后，中标人必须安排技术人员对使用单位的设备管理人员进行操作应用及维护保养方面的技能培训</w:t>
      </w:r>
      <w:bookmarkEnd w:id="73"/>
      <w:bookmarkEnd w:id="74"/>
      <w:bookmarkEnd w:id="75"/>
      <w:r>
        <w:rPr>
          <w:rFonts w:hint="eastAsia" w:ascii="仿宋" w:hAnsi="仿宋" w:eastAsia="仿宋" w:cs="仿宋"/>
          <w:color w:val="auto"/>
          <w:szCs w:val="24"/>
          <w:highlight w:val="none"/>
        </w:rPr>
        <w:t>，使其掌握基本技能。</w:t>
      </w:r>
    </w:p>
    <w:p>
      <w:pPr>
        <w:adjustRightInd w:val="0"/>
        <w:snapToGrid w:val="0"/>
        <w:spacing w:line="560" w:lineRule="exact"/>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 xml:space="preserve">    三、付款方式：</w:t>
      </w:r>
    </w:p>
    <w:p>
      <w:pPr>
        <w:adjustRightInd w:val="0"/>
        <w:snapToGrid w:val="0"/>
        <w:spacing w:line="560" w:lineRule="exact"/>
        <w:ind w:firstLine="480" w:firstLineChars="200"/>
        <w:rPr>
          <w:rFonts w:hint="eastAsia" w:ascii="仿宋" w:hAnsi="仿宋" w:eastAsia="仿宋" w:cs="仿宋"/>
          <w:color w:val="auto"/>
          <w:szCs w:val="24"/>
          <w:highlight w:val="none"/>
          <w:lang w:val="en-US" w:eastAsia="zh-CN"/>
        </w:rPr>
      </w:pPr>
      <w:bookmarkStart w:id="76" w:name="_Toc167715237"/>
      <w:bookmarkStart w:id="77" w:name="_Toc167712842"/>
      <w:bookmarkStart w:id="78" w:name="_Toc167714040"/>
      <w:r>
        <w:rPr>
          <w:rFonts w:hint="eastAsia" w:ascii="仿宋" w:hAnsi="仿宋" w:eastAsia="仿宋" w:cs="仿宋"/>
          <w:color w:val="auto"/>
          <w:szCs w:val="24"/>
          <w:highlight w:val="none"/>
          <w:lang w:val="en-US" w:eastAsia="zh-CN"/>
        </w:rPr>
        <w:t>合同签订后无预付款，乙方设备送达甲方指定地点，货到安装调试正常运行满30天后，甲方设备器械科组织验收，验收合格后由乙方开具全额发票给甲方；甲方收到乙方出具的全额发票后支付合同总金额的50%，设备交付一年后支付合同总金额的45%，剩余合同总价的5%尾款在质保期满后，设备无质量及其他问题后一次付清。</w:t>
      </w:r>
    </w:p>
    <w:p>
      <w:pPr>
        <w:adjustRightInd w:val="0"/>
        <w:snapToGrid w:val="0"/>
        <w:spacing w:line="560" w:lineRule="exact"/>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b/>
          <w:color w:val="auto"/>
          <w:szCs w:val="24"/>
          <w:highlight w:val="none"/>
        </w:rPr>
        <w:t xml:space="preserve">   四、验收</w:t>
      </w:r>
      <w:bookmarkEnd w:id="76"/>
      <w:bookmarkEnd w:id="77"/>
      <w:bookmarkEnd w:id="78"/>
      <w:bookmarkStart w:id="79" w:name="_Toc167715238"/>
      <w:bookmarkStart w:id="80" w:name="_Toc167712843"/>
      <w:bookmarkStart w:id="81" w:name="_Toc167714041"/>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rPr>
        <w:tab/>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1、项目验收分初验和终验:</w:t>
      </w:r>
      <w:bookmarkEnd w:id="79"/>
      <w:bookmarkEnd w:id="80"/>
      <w:bookmarkEnd w:id="81"/>
      <w:bookmarkStart w:id="82" w:name="_Toc167712844"/>
      <w:bookmarkStart w:id="83" w:name="_Toc167714042"/>
      <w:bookmarkStart w:id="84" w:name="_Toc167715239"/>
    </w:p>
    <w:bookmarkEnd w:id="82"/>
    <w:bookmarkEnd w:id="83"/>
    <w:bookmarkEnd w:id="84"/>
    <w:p>
      <w:pPr>
        <w:spacing w:line="560" w:lineRule="exact"/>
        <w:ind w:firstLine="480" w:firstLineChars="200"/>
        <w:rPr>
          <w:rFonts w:hint="eastAsia" w:ascii="仿宋" w:hAnsi="仿宋" w:eastAsia="仿宋" w:cs="仿宋"/>
          <w:color w:val="auto"/>
          <w:szCs w:val="24"/>
          <w:highlight w:val="none"/>
        </w:rPr>
      </w:pPr>
      <w:bookmarkStart w:id="85" w:name="_Toc167712846"/>
      <w:bookmarkStart w:id="86" w:name="_Toc167714044"/>
      <w:bookmarkStart w:id="87" w:name="_Toc167715241"/>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2、验收不合格的中标单位，必须在接到通知后7个日历日内确保货物通过验收。如接到通知后7个日历日内验收仍不合格，采购人可提出索赔或取消其供货合同。采购人可以按照评审报告推荐的中标候选人名单排序，确定下一候选人为中标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3、验收依据</w:t>
      </w:r>
      <w:bookmarkEnd w:id="85"/>
      <w:bookmarkEnd w:id="86"/>
      <w:bookmarkEnd w:id="87"/>
      <w:bookmarkStart w:id="88" w:name="_Toc167712847"/>
      <w:bookmarkStart w:id="89" w:name="_Toc167714045"/>
      <w:bookmarkStart w:id="90" w:name="_Toc167715242"/>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（1）合同文本及合同补充文件（条款）</w:t>
      </w:r>
      <w:bookmarkEnd w:id="88"/>
      <w:bookmarkEnd w:id="89"/>
      <w:bookmarkEnd w:id="90"/>
      <w:r>
        <w:rPr>
          <w:rFonts w:hint="eastAsia" w:ascii="仿宋" w:hAnsi="仿宋" w:eastAsia="仿宋" w:cs="仿宋"/>
          <w:color w:val="auto"/>
          <w:szCs w:val="24"/>
          <w:highlight w:val="none"/>
        </w:rPr>
        <w:t xml:space="preserve">；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spacing w:line="560" w:lineRule="exact"/>
        <w:ind w:firstLine="482" w:firstLineChars="200"/>
        <w:rPr>
          <w:rFonts w:hint="eastAsia" w:ascii="仿宋" w:hAnsi="仿宋" w:eastAsia="仿宋" w:cs="仿宋"/>
          <w:b/>
          <w:color w:val="auto"/>
          <w:szCs w:val="24"/>
          <w:highlight w:val="none"/>
        </w:rPr>
      </w:pPr>
      <w:bookmarkStart w:id="91" w:name="_Toc167714047"/>
      <w:bookmarkStart w:id="92" w:name="_Toc167715244"/>
      <w:bookmarkStart w:id="93" w:name="_Toc167712849"/>
      <w:r>
        <w:rPr>
          <w:rFonts w:hint="eastAsia" w:ascii="仿宋" w:hAnsi="仿宋" w:eastAsia="仿宋" w:cs="仿宋"/>
          <w:b/>
          <w:color w:val="auto"/>
          <w:szCs w:val="24"/>
          <w:highlight w:val="none"/>
        </w:rPr>
        <w:t>五、</w:t>
      </w:r>
      <w:bookmarkEnd w:id="91"/>
      <w:bookmarkEnd w:id="92"/>
      <w:bookmarkEnd w:id="93"/>
      <w:bookmarkStart w:id="94" w:name="_Toc167715248"/>
      <w:bookmarkStart w:id="95" w:name="_Toc167714051"/>
      <w:bookmarkStart w:id="96" w:name="_Toc167712853"/>
      <w:r>
        <w:rPr>
          <w:rFonts w:hint="eastAsia" w:ascii="仿宋" w:hAnsi="仿宋" w:eastAsia="仿宋" w:cs="仿宋"/>
          <w:b/>
          <w:color w:val="auto"/>
          <w:szCs w:val="24"/>
          <w:highlight w:val="none"/>
        </w:rPr>
        <w:t>质量保证</w:t>
      </w:r>
      <w:bookmarkEnd w:id="94"/>
      <w:bookmarkEnd w:id="95"/>
      <w:bookmarkEnd w:id="96"/>
    </w:p>
    <w:p>
      <w:pPr>
        <w:spacing w:line="560" w:lineRule="exact"/>
        <w:ind w:firstLine="472" w:firstLineChars="196"/>
        <w:rPr>
          <w:rFonts w:hint="eastAsia" w:ascii="仿宋" w:hAnsi="仿宋" w:eastAsia="仿宋" w:cs="仿宋"/>
          <w:color w:val="auto"/>
          <w:szCs w:val="24"/>
          <w:highlight w:val="none"/>
        </w:rPr>
      </w:pPr>
      <w:bookmarkStart w:id="97" w:name="_Toc167712857"/>
      <w:bookmarkStart w:id="98" w:name="_Toc167715252"/>
      <w:bookmarkStart w:id="99" w:name="_Toc167714055"/>
      <w:r>
        <w:rPr>
          <w:rFonts w:hint="eastAsia" w:ascii="仿宋" w:hAnsi="仿宋" w:eastAsia="仿宋" w:cs="仿宋"/>
          <w:b/>
          <w:color w:val="auto"/>
          <w:szCs w:val="24"/>
          <w:highlight w:val="none"/>
        </w:rPr>
        <w:t>1、</w:t>
      </w:r>
      <w:r>
        <w:rPr>
          <w:rFonts w:hint="eastAsia" w:ascii="仿宋" w:hAnsi="仿宋" w:eastAsia="仿宋" w:cs="仿宋"/>
          <w:b/>
          <w:bCs w:val="0"/>
          <w:color w:val="auto"/>
          <w:szCs w:val="24"/>
          <w:highlight w:val="none"/>
        </w:rPr>
        <w:t>质保期按参数要求提供质保。</w:t>
      </w:r>
      <w:r>
        <w:rPr>
          <w:rFonts w:hint="eastAsia" w:ascii="仿宋" w:hAnsi="仿宋" w:eastAsia="仿宋" w:cs="仿宋"/>
          <w:color w:val="auto"/>
          <w:kern w:val="0"/>
          <w:szCs w:val="24"/>
          <w:highlight w:val="none"/>
        </w:rPr>
        <w:t>中标人承诺的质保时间超过招标文件要求的，按其承诺时间质保。</w:t>
      </w:r>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2、中标人承诺的质保期起始时间为终验合格之日。</w:t>
      </w:r>
      <w:bookmarkStart w:id="100" w:name="_Toc167712855"/>
      <w:bookmarkStart w:id="101" w:name="_Toc167714053"/>
      <w:bookmarkStart w:id="102" w:name="_Toc167715250"/>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3、所有产品质量必须符合国家有关规范和相关政策。所有设备及辅材必须是未使用过的新产品，质量优良、渠道正当，配置合理。</w:t>
      </w:r>
      <w:bookmarkEnd w:id="100"/>
      <w:bookmarkEnd w:id="101"/>
      <w:bookmarkEnd w:id="102"/>
      <w:bookmarkStart w:id="103" w:name="_Toc167712856"/>
      <w:bookmarkStart w:id="104" w:name="_Toc167715251"/>
      <w:bookmarkStart w:id="105" w:name="_Toc167714054"/>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4、质保期出现的质量问题由中标人负责解决并承担所有费用。质保期后如需更换零部件，中标人应以优惠价提供。</w:t>
      </w:r>
      <w:bookmarkEnd w:id="103"/>
      <w:bookmarkEnd w:id="104"/>
      <w:bookmarkEnd w:id="105"/>
    </w:p>
    <w:bookmarkEnd w:id="97"/>
    <w:bookmarkEnd w:id="98"/>
    <w:bookmarkEnd w:id="99"/>
    <w:p>
      <w:pPr>
        <w:adjustRightInd w:val="0"/>
        <w:spacing w:line="560" w:lineRule="exact"/>
        <w:ind w:firstLine="482" w:firstLineChars="200"/>
        <w:rPr>
          <w:rFonts w:hint="eastAsia" w:ascii="仿宋" w:hAnsi="仿宋" w:eastAsia="仿宋" w:cs="仿宋"/>
          <w:b/>
          <w:color w:val="auto"/>
          <w:szCs w:val="24"/>
          <w:highlight w:val="none"/>
        </w:rPr>
      </w:pPr>
      <w:bookmarkStart w:id="106" w:name="_Toc167715263"/>
      <w:bookmarkStart w:id="107" w:name="_Toc167714066"/>
      <w:bookmarkStart w:id="108" w:name="_Toc167712868"/>
      <w:r>
        <w:rPr>
          <w:rFonts w:hint="eastAsia" w:ascii="仿宋" w:hAnsi="仿宋" w:eastAsia="仿宋" w:cs="仿宋"/>
          <w:b/>
          <w:color w:val="auto"/>
          <w:szCs w:val="24"/>
          <w:highlight w:val="none"/>
        </w:rPr>
        <w:t>六、合同实施：</w:t>
      </w:r>
      <w:bookmarkEnd w:id="106"/>
      <w:bookmarkEnd w:id="107"/>
      <w:bookmarkEnd w:id="108"/>
      <w:bookmarkStart w:id="109" w:name="_Toc167715264"/>
      <w:bookmarkStart w:id="110" w:name="_Toc167712869"/>
      <w:bookmarkStart w:id="111" w:name="_Toc167714067"/>
    </w:p>
    <w:p>
      <w:pPr>
        <w:adjustRightIn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 </w:t>
      </w:r>
      <w:bookmarkEnd w:id="109"/>
      <w:bookmarkEnd w:id="110"/>
      <w:bookmarkEnd w:id="111"/>
      <w:r>
        <w:rPr>
          <w:rFonts w:hint="eastAsia" w:ascii="仿宋" w:hAnsi="仿宋" w:eastAsia="仿宋" w:cs="仿宋"/>
          <w:color w:val="auto"/>
          <w:szCs w:val="24"/>
          <w:highlight w:val="none"/>
        </w:rPr>
        <w:t>、中标人应在合同签订后7个日历日内安排人员（项目组成人员简历表所列）与使用单位就送货、安装、调试、培训等工作进行安排、部署。</w:t>
      </w:r>
      <w:bookmarkStart w:id="112" w:name="_Toc167715265"/>
      <w:bookmarkStart w:id="113" w:name="_Toc167712870"/>
      <w:bookmarkStart w:id="114" w:name="_Toc167714068"/>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bookmarkEnd w:id="112"/>
      <w:bookmarkEnd w:id="113"/>
      <w:bookmarkEnd w:id="114"/>
      <w:r>
        <w:rPr>
          <w:rFonts w:hint="eastAsia" w:ascii="仿宋" w:hAnsi="仿宋" w:eastAsia="仿宋" w:cs="仿宋"/>
          <w:color w:val="auto"/>
          <w:szCs w:val="24"/>
          <w:highlight w:val="none"/>
        </w:rPr>
        <w:t xml:space="preserve">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七、违约责任：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w:t>
      </w:r>
      <w:r>
        <w:rPr>
          <w:rFonts w:hint="eastAsia" w:ascii="仿宋" w:hAnsi="仿宋" w:eastAsia="仿宋" w:cs="仿宋"/>
          <w:color w:val="auto"/>
          <w:szCs w:val="24"/>
          <w:highlight w:val="none"/>
          <w:lang w:eastAsia="zh-CN"/>
        </w:rPr>
        <w:t>中华人民共和国民法典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2、未按合同要求提供产品或设备质量不能满足技术要求，采购人有权终止合同，并对供方违约行为进行追究，同时按《政府采购法》的有关规定进行处罚。</w:t>
      </w:r>
    </w:p>
    <w:p>
      <w:pPr>
        <w:spacing w:line="560" w:lineRule="exact"/>
        <w:jc w:val="center"/>
        <w:rPr>
          <w:rFonts w:hint="eastAsia" w:ascii="仿宋" w:hAnsi="仿宋" w:eastAsia="仿宋" w:cs="仿宋"/>
          <w:b/>
          <w:color w:val="auto"/>
          <w:sz w:val="44"/>
          <w:szCs w:val="44"/>
          <w:highlight w:val="none"/>
        </w:rPr>
      </w:pPr>
      <w:r>
        <w:rPr>
          <w:rFonts w:hint="eastAsia" w:ascii="仿宋" w:hAnsi="仿宋" w:eastAsia="仿宋" w:cs="仿宋"/>
          <w:b/>
          <w:color w:val="auto"/>
          <w:highlight w:val="none"/>
        </w:rPr>
        <w:pict>
          <v:shape id="_x0000_s1027" o:spid="_x0000_s1027" o:spt="202" type="#_x0000_t202" style="position:absolute;left:0pt;margin-left:3.25pt;margin-top:25.95pt;height:38.85pt;width:432.1pt;mso-wrap-distance-bottom:0pt;mso-wrap-distance-left:9pt;mso-wrap-distance-right:9pt;mso-wrap-distance-top:0pt;z-index:251661312;mso-width-relative:page;mso-height-relative:page;" coordsize="21600,21600" o:gfxdata="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zCkNcAAAAIAQAADwAAAAAAAAABACAAAAAiAAAAZHJzL2Rvd25yZXYueG1sUEsB&#10;AhQAFAAAAAgAh07iQDFgcG72AQAAEAQAAA4AAAAAAAAAAQAgAAAAJgEAAGRycy9lMm9Eb2MueG1s&#10;UEsFBgAAAAAGAAYAWQEAAI4FAAAAAA==&#10;">
            <v:path/>
            <v:fill focussize="0,0"/>
            <v:stroke joinstyle="miter"/>
            <v:imagedata o:title=""/>
            <o:lock v:ext="edit"/>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w: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rPr>
          <w:rFonts w:hint="eastAsia" w:ascii="仿宋" w:hAnsi="仿宋" w:eastAsia="仿宋" w:cs="仿宋"/>
          <w:color w:val="auto"/>
          <w:highlight w:val="none"/>
        </w:rPr>
      </w:pPr>
      <w:bookmarkStart w:id="115" w:name="_Toc458617469"/>
      <w:bookmarkStart w:id="116" w:name="_Toc458617746"/>
      <w:r>
        <w:rPr>
          <w:rFonts w:hint="eastAsia" w:ascii="仿宋" w:hAnsi="仿宋" w:eastAsia="仿宋" w:cs="仿宋"/>
          <w:color w:val="auto"/>
          <w:highlight w:val="none"/>
        </w:rPr>
        <w:br w:type="page"/>
      </w:r>
    </w:p>
    <w:p>
      <w:pPr>
        <w:pStyle w:val="3"/>
        <w:spacing w:line="560" w:lineRule="exact"/>
        <w:jc w:val="center"/>
        <w:rPr>
          <w:rFonts w:hint="eastAsia" w:ascii="仿宋" w:hAnsi="仿宋" w:eastAsia="仿宋" w:cs="仿宋"/>
          <w:color w:val="auto"/>
          <w:szCs w:val="24"/>
          <w:highlight w:val="none"/>
          <w:lang w:eastAsia="zh-CN"/>
        </w:rPr>
      </w:pPr>
      <w:bookmarkStart w:id="117" w:name="_Toc25447"/>
      <w:r>
        <w:rPr>
          <w:rFonts w:hint="eastAsia" w:ascii="仿宋" w:hAnsi="仿宋" w:eastAsia="仿宋" w:cs="仿宋"/>
          <w:color w:val="auto"/>
          <w:highlight w:val="none"/>
        </w:rPr>
        <w:t>第五章  合同条款</w:t>
      </w:r>
      <w:bookmarkEnd w:id="115"/>
      <w:bookmarkEnd w:id="116"/>
      <w:bookmarkEnd w:id="117"/>
      <w:r>
        <w:rPr>
          <w:rFonts w:hint="eastAsia" w:ascii="仿宋" w:hAnsi="仿宋" w:eastAsia="仿宋" w:cs="仿宋"/>
          <w:color w:val="auto"/>
          <w:sz w:val="36"/>
          <w:szCs w:val="36"/>
          <w:highlight w:val="none"/>
          <w:lang w:eastAsia="zh-CN"/>
        </w:rPr>
        <w:t>（</w:t>
      </w:r>
      <w:r>
        <w:rPr>
          <w:rFonts w:hint="eastAsia" w:ascii="仿宋" w:hAnsi="仿宋" w:eastAsia="仿宋" w:cs="仿宋"/>
          <w:color w:val="auto"/>
          <w:sz w:val="36"/>
          <w:szCs w:val="36"/>
          <w:highlight w:val="none"/>
          <w:lang w:val="en-US" w:eastAsia="zh-CN"/>
        </w:rPr>
        <w:t>仅供参考</w:t>
      </w:r>
      <w:r>
        <w:rPr>
          <w:rFonts w:hint="eastAsia" w:ascii="仿宋" w:hAnsi="仿宋" w:eastAsia="仿宋" w:cs="仿宋"/>
          <w:color w:val="auto"/>
          <w:sz w:val="36"/>
          <w:szCs w:val="36"/>
          <w:highlight w:val="none"/>
          <w:lang w:eastAsia="zh-CN"/>
        </w:rPr>
        <w:t>）</w:t>
      </w:r>
    </w:p>
    <w:p>
      <w:pPr>
        <w:keepNext w:val="0"/>
        <w:keepLines w:val="0"/>
        <w:pageBreakBefore w:val="0"/>
        <w:kinsoku/>
        <w:overflowPunct/>
        <w:bidi w:val="0"/>
        <w:spacing w:line="540" w:lineRule="exact"/>
        <w:textAlignment w:val="auto"/>
        <w:rPr>
          <w:rFonts w:hint="eastAsia"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40" w:lineRule="exact"/>
        <w:ind w:right="-226" w:rightChars="-94" w:firstLine="480" w:firstLineChars="200"/>
        <w:jc w:val="left"/>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膈肌起搏器等医疗设备采购项目</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HZGH-2022-041-01</w:t>
      </w:r>
      <w:r>
        <w:rPr>
          <w:rFonts w:hint="eastAsia" w:ascii="仿宋" w:hAnsi="仿宋" w:eastAsia="仿宋" w:cs="仿宋"/>
          <w:color w:val="auto"/>
          <w:szCs w:val="24"/>
          <w:highlight w:val="none"/>
        </w:rPr>
        <w:t>)，在</w:t>
      </w:r>
      <w:r>
        <w:rPr>
          <w:rFonts w:hint="eastAsia" w:ascii="仿宋" w:hAnsi="仿宋" w:eastAsia="仿宋" w:cs="仿宋"/>
          <w:color w:val="auto"/>
          <w:szCs w:val="24"/>
          <w:highlight w:val="none"/>
          <w:lang w:eastAsia="zh-CN"/>
        </w:rPr>
        <w:t>陕西省财政厅政府采购管理处</w:t>
      </w:r>
      <w:r>
        <w:rPr>
          <w:rFonts w:hint="eastAsia" w:ascii="仿宋" w:hAnsi="仿宋" w:eastAsia="仿宋" w:cs="仿宋"/>
          <w:color w:val="auto"/>
          <w:szCs w:val="24"/>
          <w:highlight w:val="none"/>
        </w:rPr>
        <w:t>的监督管理</w:t>
      </w:r>
      <w:r>
        <w:rPr>
          <w:rFonts w:hint="eastAsia" w:ascii="仿宋" w:hAnsi="仿宋" w:eastAsia="仿宋" w:cs="仿宋"/>
          <w:color w:val="auto"/>
          <w:kern w:val="0"/>
          <w:szCs w:val="24"/>
          <w:highlight w:val="none"/>
        </w:rPr>
        <w:t>下，由</w:t>
      </w:r>
      <w:r>
        <w:rPr>
          <w:rFonts w:hint="eastAsia" w:ascii="仿宋" w:hAnsi="仿宋" w:eastAsia="仿宋" w:cs="仿宋"/>
          <w:color w:val="auto"/>
          <w:kern w:val="0"/>
          <w:szCs w:val="24"/>
          <w:highlight w:val="none"/>
          <w:lang w:eastAsia="zh-CN"/>
        </w:rPr>
        <w:t>华招广和项目管理有限公司</w:t>
      </w:r>
      <w:r>
        <w:rPr>
          <w:rFonts w:hint="eastAsia" w:ascii="仿宋" w:hAnsi="仿宋" w:eastAsia="仿宋" w:cs="仿宋"/>
          <w:color w:val="auto"/>
          <w:kern w:val="0"/>
          <w:szCs w:val="24"/>
          <w:highlight w:val="none"/>
        </w:rPr>
        <w:t>组织公开招标。</w:t>
      </w:r>
      <w:r>
        <w:rPr>
          <w:rFonts w:hint="eastAsia" w:ascii="仿宋" w:hAnsi="仿宋" w:eastAsia="仿宋" w:cs="仿宋"/>
          <w:color w:val="auto"/>
          <w:kern w:val="0"/>
          <w:szCs w:val="24"/>
          <w:highlight w:val="none"/>
          <w:lang w:eastAsia="zh-CN"/>
        </w:rPr>
        <w:t>陕西省第二人民医院</w:t>
      </w:r>
      <w:r>
        <w:rPr>
          <w:rFonts w:hint="eastAsia" w:ascii="仿宋" w:hAnsi="仿宋" w:eastAsia="仿宋" w:cs="仿宋"/>
          <w:color w:val="auto"/>
          <w:kern w:val="0"/>
          <w:szCs w:val="24"/>
          <w:highlight w:val="none"/>
        </w:rPr>
        <w:t>(以下简称“买方”)确定 (中标单位名称) （以下简称“卖方”）为中标单位。</w:t>
      </w:r>
    </w:p>
    <w:p>
      <w:pPr>
        <w:keepNext w:val="0"/>
        <w:keepLines w:val="0"/>
        <w:pageBreakBefore w:val="0"/>
        <w:kinsoku/>
        <w:overflowPunct/>
        <w:bidi w:val="0"/>
        <w:spacing w:line="540" w:lineRule="exact"/>
        <w:ind w:right="240" w:rightChars="10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w:t>
      </w:r>
      <w:r>
        <w:rPr>
          <w:rFonts w:hint="eastAsia" w:ascii="仿宋" w:hAnsi="仿宋" w:eastAsia="仿宋" w:cs="仿宋"/>
          <w:color w:val="auto"/>
          <w:kern w:val="0"/>
          <w:szCs w:val="24"/>
          <w:highlight w:val="none"/>
          <w:lang w:eastAsia="zh-CN"/>
        </w:rPr>
        <w:t>中华人民共和国民法典</w:t>
      </w:r>
      <w:r>
        <w:rPr>
          <w:rFonts w:hint="eastAsia" w:ascii="仿宋" w:hAnsi="仿宋" w:eastAsia="仿宋" w:cs="仿宋"/>
          <w:color w:val="auto"/>
          <w:kern w:val="0"/>
          <w:szCs w:val="24"/>
          <w:highlight w:val="none"/>
        </w:rPr>
        <w:t>》、《中华人民共和国政府采购法》《中华人民共和国政府采购法实施条例》，买方通过公开招标采购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bookmarkStart w:id="118" w:name="_Toc194663916"/>
      <w:bookmarkStart w:id="119" w:name="_Toc193126879"/>
      <w:bookmarkStart w:id="120" w:name="_Toc188808831"/>
      <w:bookmarkStart w:id="121" w:name="_Toc193187095"/>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附件1—设备清单</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附件2—质量保证承诺</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附件3—售后服务方案</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附件4—培训计划</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合同签订后无预付款，乙方设备送达甲方指定地点，货到安装调试正常运行满30天后，甲方设备器械科组织验收，验收合格后由乙方开具全额发票给甲方；甲方收到乙方出具的全额发票后支付合同总金额的50%，设备交付一年后支付合同总金额的45%，剩余合同总价的5%尾款在质保期满后，设备无质量及其他问题后一次付清。</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6、交 货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3"/>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4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r>
      <w:bookmarkEnd w:id="118"/>
      <w:bookmarkEnd w:id="119"/>
      <w:bookmarkEnd w:id="120"/>
      <w:bookmarkEnd w:id="121"/>
    </w:tbl>
    <w:p>
      <w:pPr>
        <w:spacing w:line="560" w:lineRule="exact"/>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1-2、“合同价”系指根据本合同规定卖方在正确地完全履行合同义务后买方应支付给卖方的价款。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1-3、“货物”系指卖方根据本合同规定须向买方提供的一切产品、部件或其它材料。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1-6、“合同条款”系指本合同条款。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1-7、“买方”是指购买货物和服务的单位即</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1-8、“卖方”是指提供本合同内的货物和服务的公司或其它实体即中标人。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1-9、“天”指日历天数。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hint="eastAsia"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hint="eastAsia"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16-1、项目验收分初验和终验: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终验：所有货物(设备)安装、调试完毕，正常使用10个日历日后，由采购人进行终验（最终验收），合格后签发《终验合格单》。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16-3、验收依据</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hint="eastAsia"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hint="eastAsia"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3"/>
        <w:numPr>
          <w:ilvl w:val="0"/>
          <w:numId w:val="8"/>
        </w:numPr>
        <w:spacing w:line="560" w:lineRule="exact"/>
        <w:jc w:val="center"/>
        <w:rPr>
          <w:rFonts w:hint="eastAsia" w:ascii="仿宋" w:hAnsi="仿宋" w:eastAsia="仿宋" w:cs="仿宋"/>
          <w:color w:val="auto"/>
          <w:highlight w:val="none"/>
        </w:rPr>
      </w:pPr>
      <w:bookmarkStart w:id="122" w:name="_Toc458617470"/>
      <w:bookmarkStart w:id="123" w:name="_Toc458617747"/>
      <w:r>
        <w:rPr>
          <w:rFonts w:hint="eastAsia" w:ascii="仿宋" w:hAnsi="仿宋" w:eastAsia="仿宋" w:cs="仿宋"/>
          <w:color w:val="auto"/>
          <w:highlight w:val="none"/>
        </w:rPr>
        <w:t xml:space="preserve"> </w:t>
      </w:r>
      <w:bookmarkStart w:id="124" w:name="_Toc19489"/>
      <w:r>
        <w:rPr>
          <w:rFonts w:hint="eastAsia" w:ascii="仿宋" w:hAnsi="仿宋" w:eastAsia="仿宋" w:cs="仿宋"/>
          <w:color w:val="auto"/>
          <w:highlight w:val="none"/>
        </w:rPr>
        <w:t>投标文件格式</w:t>
      </w:r>
      <w:bookmarkEnd w:id="122"/>
      <w:bookmarkEnd w:id="123"/>
      <w:bookmarkEnd w:id="124"/>
    </w:p>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hint="eastAsia" w:ascii="仿宋" w:hAnsi="仿宋" w:eastAsia="仿宋" w:cs="仿宋"/>
          <w:color w:val="auto"/>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pStyle w:val="10"/>
        <w:rPr>
          <w:rFonts w:hint="eastAsia" w:ascii="仿宋" w:hAnsi="仿宋" w:eastAsia="仿宋" w:cs="仿宋"/>
          <w:color w:val="auto"/>
          <w:highlight w:val="none"/>
        </w:rPr>
      </w:pPr>
    </w:p>
    <w:p>
      <w:pPr>
        <w:spacing w:line="64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hint="eastAsia" w:ascii="仿宋" w:hAnsi="仿宋" w:eastAsia="仿宋" w:cs="仿宋"/>
          <w:b/>
          <w:color w:val="auto"/>
          <w:sz w:val="36"/>
          <w:szCs w:val="36"/>
          <w:highlight w:val="none"/>
        </w:rPr>
      </w:pPr>
      <w:r>
        <w:rPr>
          <w:rFonts w:hint="eastAsia" w:ascii="仿宋" w:hAnsi="仿宋" w:eastAsia="仿宋" w:cs="仿宋"/>
          <w:color w:val="auto"/>
          <w:sz w:val="36"/>
          <w:highlight w:val="none"/>
        </w:rPr>
        <w:pict>
          <v:shape id="_x0000_s1037" o:spid="_x0000_s1037" o:spt="202" type="#_x0000_t202" style="position:absolute;left:0pt;margin-left:326.1pt;margin-top:12pt;height:29.15pt;width:117.7pt;z-index:251671552;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HZGH-2022-041-01</w:t>
      </w:r>
    </w:p>
    <w:p>
      <w:pPr>
        <w:spacing w:line="560" w:lineRule="exact"/>
        <w:rPr>
          <w:rFonts w:hint="eastAsia" w:ascii="仿宋" w:hAnsi="仿宋" w:eastAsia="仿宋" w:cs="仿宋"/>
          <w:b/>
          <w:color w:val="auto"/>
          <w:sz w:val="36"/>
          <w:szCs w:val="36"/>
          <w:highlight w:val="none"/>
        </w:rPr>
      </w:pPr>
    </w:p>
    <w:p>
      <w:pPr>
        <w:pStyle w:val="16"/>
        <w:rPr>
          <w:rFonts w:hint="eastAsia" w:ascii="仿宋" w:hAnsi="仿宋" w:eastAsia="仿宋" w:cs="仿宋"/>
          <w:color w:val="auto"/>
          <w:highlight w:val="none"/>
        </w:rPr>
      </w:pPr>
    </w:p>
    <w:p>
      <w:pPr>
        <w:spacing w:beforeLines="50" w:line="560" w:lineRule="exact"/>
        <w:ind w:right="-998" w:rightChars="-416"/>
        <w:rPr>
          <w:rFonts w:hint="eastAsia" w:ascii="仿宋" w:hAnsi="仿宋" w:eastAsia="仿宋" w:cs="仿宋"/>
          <w:b/>
          <w:bCs/>
          <w:color w:val="auto"/>
          <w:spacing w:val="52"/>
          <w:kern w:val="0"/>
          <w:sz w:val="15"/>
          <w:szCs w:val="15"/>
          <w:highlight w:val="none"/>
        </w:rPr>
      </w:pPr>
    </w:p>
    <w:p>
      <w:pPr>
        <w:keepNext w:val="0"/>
        <w:keepLines w:val="0"/>
        <w:pageBreakBefore w:val="0"/>
        <w:widowControl w:val="0"/>
        <w:kinsoku/>
        <w:wordWrap/>
        <w:overflowPunct/>
        <w:topLinePunct w:val="0"/>
        <w:autoSpaceDE/>
        <w:autoSpaceDN/>
        <w:bidi w:val="0"/>
        <w:adjustRightInd w:val="0"/>
        <w:snapToGrid/>
        <w:spacing w:beforeLines="50" w:line="360" w:lineRule="auto"/>
        <w:ind w:right="0" w:rightChars="0"/>
        <w:jc w:val="center"/>
        <w:textAlignment w:val="auto"/>
        <w:rPr>
          <w:rFonts w:hint="eastAsia" w:ascii="仿宋" w:hAnsi="仿宋" w:eastAsia="仿宋" w:cs="仿宋"/>
          <w:b/>
          <w:color w:val="auto"/>
          <w:spacing w:val="-22"/>
          <w:sz w:val="56"/>
          <w:szCs w:val="56"/>
          <w:highlight w:val="none"/>
          <w:shd w:val="clear" w:color="auto" w:fill="FFFFFF"/>
          <w:lang w:eastAsia="zh-CN"/>
        </w:rPr>
      </w:pPr>
      <w:r>
        <w:rPr>
          <w:rFonts w:hint="eastAsia" w:ascii="仿宋" w:hAnsi="仿宋" w:eastAsia="仿宋" w:cs="仿宋"/>
          <w:b/>
          <w:color w:val="auto"/>
          <w:spacing w:val="-22"/>
          <w:sz w:val="56"/>
          <w:szCs w:val="56"/>
          <w:highlight w:val="none"/>
          <w:shd w:val="clear" w:color="auto" w:fill="FFFFFF"/>
          <w:lang w:eastAsia="zh-CN"/>
        </w:rPr>
        <w:t>膈肌起搏器等医疗设备采购项目</w:t>
      </w:r>
    </w:p>
    <w:p>
      <w:pPr>
        <w:spacing w:beforeLines="70" w:line="56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第一标段：智能六分钟步行监测分析系统、膈肌起搏器、免疫印迹分析仪、遥测中央多参数监护系统、肌电图/诱发电位仪采购</w:t>
      </w: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hint="eastAsia" w:ascii="仿宋" w:hAnsi="仿宋" w:eastAsia="仿宋" w:cs="仿宋"/>
          <w:color w:val="auto"/>
          <w:sz w:val="32"/>
          <w:highlight w:val="none"/>
        </w:rPr>
      </w:pPr>
    </w:p>
    <w:p>
      <w:pPr>
        <w:spacing w:line="560" w:lineRule="exact"/>
        <w:rPr>
          <w:rFonts w:hint="eastAsia" w:ascii="仿宋" w:hAnsi="仿宋" w:eastAsia="仿宋" w:cs="仿宋"/>
          <w:color w:val="auto"/>
          <w:sz w:val="32"/>
          <w:highlight w:val="none"/>
        </w:rPr>
      </w:pPr>
    </w:p>
    <w:p>
      <w:pPr>
        <w:pStyle w:val="10"/>
        <w:rPr>
          <w:rFonts w:hint="eastAsia" w:ascii="仿宋" w:hAnsi="仿宋" w:eastAsia="仿宋" w:cs="仿宋"/>
          <w:color w:val="auto"/>
          <w:sz w:val="32"/>
          <w:highlight w:val="none"/>
        </w:rPr>
      </w:pPr>
    </w:p>
    <w:p>
      <w:pPr>
        <w:rPr>
          <w:rFonts w:hint="eastAsia" w:ascii="仿宋" w:hAnsi="仿宋" w:eastAsia="仿宋" w:cs="仿宋"/>
          <w:color w:val="auto"/>
          <w:sz w:val="32"/>
          <w:highlight w:val="none"/>
        </w:rPr>
      </w:pPr>
    </w:p>
    <w:p>
      <w:pPr>
        <w:pStyle w:val="16"/>
        <w:rPr>
          <w:rFonts w:hint="eastAsia" w:ascii="仿宋" w:hAnsi="仿宋" w:eastAsia="仿宋" w:cs="仿宋"/>
          <w:color w:val="auto"/>
          <w:sz w:val="32"/>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beforeLines="70" w:line="560" w:lineRule="exact"/>
        <w:ind w:firstLine="1634" w:firstLineChars="550"/>
        <w:rPr>
          <w:rFonts w:hint="eastAsia"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Lines="70" w:line="560" w:lineRule="exact"/>
        <w:ind w:firstLine="1661" w:firstLineChars="591"/>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125" w:name="_Toc167590775"/>
      <w:bookmarkStart w:id="126" w:name="_Toc154482479"/>
      <w:bookmarkStart w:id="127" w:name="_Toc167591492"/>
      <w:bookmarkStart w:id="128" w:name="_Toc169838532"/>
      <w:bookmarkStart w:id="129" w:name="_Toc170980453"/>
      <w:bookmarkStart w:id="130" w:name="_Toc167591330"/>
      <w:bookmarkStart w:id="131" w:name="_Toc194663918"/>
      <w:bookmarkStart w:id="132" w:name="_Toc170980552"/>
      <w:bookmarkStart w:id="133" w:name="_Toc188808833"/>
      <w:bookmarkStart w:id="134" w:name="_Toc169846776"/>
      <w:bookmarkStart w:id="135" w:name="_Toc167591144"/>
      <w:bookmarkStart w:id="136" w:name="_Toc193126881"/>
      <w:bookmarkStart w:id="137" w:name="_Toc193187097"/>
      <w:bookmarkStart w:id="138" w:name="_Toc167591043"/>
      <w:bookmarkStart w:id="139" w:name="_Toc175033592"/>
      <w:bookmarkStart w:id="140" w:name="_Toc173549978"/>
      <w:bookmarkStart w:id="141" w:name="_Toc167849360"/>
      <w:bookmarkStart w:id="142" w:name="_Toc175032437"/>
      <w:bookmarkStart w:id="143" w:name="_Toc169846873"/>
    </w:p>
    <w:p>
      <w:pPr>
        <w:spacing w:line="560" w:lineRule="exact"/>
        <w:ind w:left="240" w:leftChars="100" w:firstLine="4003" w:firstLineChars="1246"/>
        <w:rPr>
          <w:rFonts w:hint="eastAsia" w:ascii="仿宋" w:hAnsi="仿宋" w:eastAsia="仿宋" w:cs="仿宋"/>
          <w:b/>
          <w:color w:val="auto"/>
          <w:sz w:val="32"/>
          <w:szCs w:val="32"/>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560" w:lineRule="exact"/>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4．节能环保、环境标志产品明细表 （格式，若有）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 选配件报价表（格式，若有）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6．货物说明一览表（格式）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7．技术规格响应偏离表（格式）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8．商务条款响应偏离表（格式）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 资格证明文件</w:t>
      </w:r>
    </w:p>
    <w:p>
      <w:pPr>
        <w:autoSpaceDE w:val="0"/>
        <w:autoSpaceDN w:val="0"/>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 201</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年1月</w:t>
      </w:r>
      <w:r>
        <w:rPr>
          <w:rFonts w:hint="eastAsia" w:ascii="仿宋" w:hAnsi="仿宋" w:eastAsia="仿宋" w:cs="仿宋"/>
          <w:color w:val="auto"/>
          <w:szCs w:val="24"/>
          <w:highlight w:val="none"/>
          <w:lang w:val="en-US" w:eastAsia="zh-CN"/>
        </w:rPr>
        <w:t>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eastAsia="zh-CN"/>
        </w:rPr>
        <w:t>类似项目业绩</w:t>
      </w:r>
      <w:r>
        <w:rPr>
          <w:rFonts w:hint="eastAsia" w:ascii="仿宋" w:hAnsi="仿宋" w:eastAsia="仿宋" w:cs="仿宋"/>
          <w:color w:val="auto"/>
          <w:szCs w:val="24"/>
          <w:highlight w:val="none"/>
        </w:rPr>
        <w:t>（以合同为准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复印件加盖公章</w:t>
      </w:r>
      <w:r>
        <w:rPr>
          <w:rFonts w:hint="eastAsia" w:ascii="仿宋" w:hAnsi="仿宋" w:eastAsia="仿宋" w:cs="仿宋"/>
          <w:color w:val="auto"/>
          <w:szCs w:val="24"/>
          <w:highlight w:val="none"/>
        </w:rPr>
        <w:t>）</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产品的合法渠道证明文件</w:t>
      </w:r>
    </w:p>
    <w:p>
      <w:pPr>
        <w:spacing w:line="500" w:lineRule="exact"/>
        <w:ind w:firstLine="1200" w:firstLineChars="5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项目实施方案</w:t>
      </w:r>
    </w:p>
    <w:p>
      <w:pPr>
        <w:spacing w:line="500" w:lineRule="exact"/>
        <w:ind w:firstLine="1200" w:firstLineChars="500"/>
        <w:rPr>
          <w:rFonts w:hint="eastAsia" w:ascii="仿宋" w:hAnsi="仿宋" w:eastAsia="仿宋" w:cs="仿宋"/>
          <w:color w:val="auto"/>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产品的技术文件</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质量保证</w:t>
      </w:r>
    </w:p>
    <w:p>
      <w:pPr>
        <w:spacing w:line="500" w:lineRule="exact"/>
        <w:ind w:firstLine="1200" w:firstLineChars="5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售后服务</w:t>
      </w:r>
      <w:r>
        <w:rPr>
          <w:rFonts w:hint="eastAsia" w:ascii="仿宋" w:hAnsi="仿宋" w:eastAsia="仿宋" w:cs="仿宋"/>
          <w:color w:val="auto"/>
          <w:szCs w:val="24"/>
          <w:highlight w:val="none"/>
          <w:lang w:eastAsia="zh-CN"/>
        </w:rPr>
        <w:t>及培训计划</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 投标人认为有必要说明的事宜（若有）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投标人承诺书</w:t>
      </w:r>
      <w:r>
        <w:rPr>
          <w:rFonts w:hint="eastAsia" w:ascii="仿宋" w:hAnsi="仿宋" w:eastAsia="仿宋" w:cs="仿宋"/>
          <w:color w:val="auto"/>
          <w:szCs w:val="24"/>
          <w:highlight w:val="none"/>
        </w:rPr>
        <w:t>（格式）</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企业声明函》（格式，若有）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en-US" w:eastAsia="zh-CN"/>
        </w:rPr>
        <w:t>19</w:t>
      </w:r>
      <w:r>
        <w:rPr>
          <w:rFonts w:hint="eastAsia" w:ascii="仿宋" w:hAnsi="仿宋" w:eastAsia="仿宋" w:cs="仿宋"/>
          <w:color w:val="auto"/>
          <w:kern w:val="0"/>
          <w:szCs w:val="24"/>
          <w:highlight w:val="none"/>
        </w:rPr>
        <w:t>.《残疾人福利性单位声明函》</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Start w:id="144" w:name="_Toc1386"/>
      <w:bookmarkStart w:id="145" w:name="_Toc25120"/>
      <w:bookmarkStart w:id="146" w:name="_Toc458617471"/>
      <w:bookmarkStart w:id="147" w:name="_Toc194663919"/>
      <w:bookmarkStart w:id="148" w:name="_Toc188808834"/>
      <w:bookmarkStart w:id="149" w:name="_Toc193126882"/>
      <w:bookmarkStart w:id="150" w:name="_Toc193187098"/>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2</w:t>
      </w:r>
      <w:r>
        <w:rPr>
          <w:rFonts w:hint="eastAsia" w:ascii="仿宋" w:hAnsi="仿宋" w:eastAsia="仿宋" w:cs="仿宋"/>
          <w:color w:val="auto"/>
          <w:kern w:val="0"/>
          <w:szCs w:val="24"/>
          <w:highlight w:val="none"/>
          <w:lang w:val="en-US" w:eastAsia="zh-CN"/>
        </w:rPr>
        <w:t>0</w:t>
      </w: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《监狱、戒毒企业声明函》（格式，若有）</w:t>
      </w:r>
    </w:p>
    <w:p>
      <w:pPr>
        <w:pStyle w:val="10"/>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7"/>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1.投标函</w:t>
      </w:r>
      <w:bookmarkEnd w:id="144"/>
      <w:bookmarkEnd w:id="145"/>
      <w:bookmarkEnd w:id="146"/>
      <w:r>
        <w:rPr>
          <w:rFonts w:hint="eastAsia" w:ascii="仿宋" w:hAnsi="仿宋" w:eastAsia="仿宋" w:cs="仿宋"/>
          <w:bCs/>
          <w:color w:val="auto"/>
          <w:sz w:val="22"/>
          <w:szCs w:val="20"/>
          <w:highlight w:val="none"/>
        </w:rPr>
        <w:t>（格式）</w:t>
      </w:r>
    </w:p>
    <w:p>
      <w:pPr>
        <w:spacing w:line="560" w:lineRule="exact"/>
        <w:ind w:left="240" w:leftChars="100"/>
        <w:rPr>
          <w:rFonts w:hint="eastAsia" w:ascii="仿宋" w:hAnsi="仿宋" w:eastAsia="仿宋" w:cs="仿宋"/>
          <w:color w:val="auto"/>
          <w:szCs w:val="21"/>
          <w:highlight w:val="none"/>
        </w:rPr>
      </w:pPr>
    </w:p>
    <w:p>
      <w:pPr>
        <w:spacing w:line="560" w:lineRule="exact"/>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致：</w:t>
      </w:r>
      <w:r>
        <w:rPr>
          <w:rFonts w:hint="eastAsia" w:ascii="仿宋" w:hAnsi="仿宋" w:eastAsia="仿宋" w:cs="仿宋"/>
          <w:b/>
          <w:color w:val="auto"/>
          <w:szCs w:val="24"/>
          <w:highlight w:val="none"/>
          <w:lang w:eastAsia="zh-CN"/>
        </w:rPr>
        <w:t>华招广和项目管理有限公司</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1、我方提交的投标文件正本一份，副本四份，电子文件一份，“开标一览表”一份。</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3、我方已详细审查全部招标文件，完全理解并同意放弃对这方面有不明及误解质疑的权力。</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4、我方完全理解并同意招标文件中有关没收投标保证金、要求专业担保机构先行偿付和拒绝投标的条款。</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5、我方同意按照要求提供投标有关的一切数据或资料。</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6、我方将按招标文件的规定履行合同责任和义务。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7、我方完全理解最低报价不是中标的唯一条件，采购人有权选择质优价廉的货物/服务。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8、我方同意按招标文件规定，遵守贵方有关招标的各项规定。</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9、若我方中标，我方保证按有关规定向贵方支付招标服务费。</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10、投标有效期为自提交投标文件的截止之日起90个日历日。</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11、所有关于本项目的函电，请按下列地址联系：</w:t>
      </w:r>
    </w:p>
    <w:p>
      <w:pPr>
        <w:spacing w:line="560" w:lineRule="exact"/>
        <w:ind w:firstLine="480" w:firstLineChars="200"/>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hint="eastAsia"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hint="eastAsia" w:ascii="仿宋" w:hAnsi="仿宋" w:eastAsia="仿宋" w:cs="仿宋"/>
          <w:color w:val="auto"/>
          <w:szCs w:val="24"/>
          <w:highlight w:val="none"/>
        </w:rPr>
        <w:sectPr>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47"/>
    <w:bookmarkEnd w:id="148"/>
    <w:bookmarkEnd w:id="149"/>
    <w:bookmarkEnd w:id="150"/>
    <w:p>
      <w:pPr>
        <w:pStyle w:val="37"/>
        <w:spacing w:line="560" w:lineRule="exact"/>
        <w:ind w:firstLine="0" w:firstLineChars="0"/>
        <w:rPr>
          <w:rFonts w:hint="eastAsia" w:ascii="仿宋" w:hAnsi="仿宋" w:eastAsia="仿宋" w:cs="仿宋"/>
          <w:bCs/>
          <w:color w:val="auto"/>
          <w:sz w:val="24"/>
          <w:szCs w:val="21"/>
          <w:highlight w:val="none"/>
        </w:rPr>
      </w:pPr>
      <w:bookmarkStart w:id="151" w:name="_Toc6986"/>
      <w:bookmarkStart w:id="152" w:name="_Toc5497"/>
      <w:bookmarkStart w:id="153" w:name="_Toc458617472"/>
      <w:bookmarkStart w:id="154" w:name="_Toc193187105"/>
      <w:bookmarkStart w:id="155" w:name="_Toc193126889"/>
      <w:bookmarkStart w:id="156" w:name="_Toc188808840"/>
      <w:bookmarkStart w:id="157" w:name="_Toc194663926"/>
      <w:r>
        <w:rPr>
          <w:rFonts w:hint="eastAsia" w:ascii="仿宋" w:hAnsi="仿宋" w:eastAsia="仿宋" w:cs="仿宋"/>
          <w:b/>
          <w:color w:val="auto"/>
          <w:highlight w:val="none"/>
        </w:rPr>
        <w:t>2.开标一览表</w:t>
      </w:r>
      <w:bookmarkEnd w:id="151"/>
      <w:bookmarkEnd w:id="152"/>
      <w:bookmarkEnd w:id="153"/>
      <w:r>
        <w:rPr>
          <w:rFonts w:hint="eastAsia" w:ascii="仿宋" w:hAnsi="仿宋" w:eastAsia="仿宋" w:cs="仿宋"/>
          <w:bCs/>
          <w:color w:val="auto"/>
          <w:sz w:val="24"/>
          <w:szCs w:val="21"/>
          <w:highlight w:val="none"/>
        </w:rPr>
        <w:t>（格式）</w:t>
      </w:r>
    </w:p>
    <w:p>
      <w:pPr>
        <w:spacing w:line="560" w:lineRule="exact"/>
        <w:ind w:left="240" w:leftChars="100"/>
        <w:jc w:val="center"/>
        <w:rPr>
          <w:rFonts w:hint="eastAsia" w:ascii="仿宋" w:hAnsi="仿宋" w:eastAsia="仿宋" w:cs="仿宋"/>
          <w:b/>
          <w:bCs/>
          <w:color w:val="auto"/>
          <w:sz w:val="36"/>
          <w:szCs w:val="21"/>
          <w:highlight w:val="none"/>
        </w:rPr>
      </w:pPr>
    </w:p>
    <w:p>
      <w:pPr>
        <w:spacing w:line="560" w:lineRule="exact"/>
        <w:rPr>
          <w:rFonts w:hint="eastAsia" w:ascii="仿宋" w:hAnsi="仿宋" w:eastAsia="仿宋" w:cs="仿宋"/>
          <w:b/>
          <w:bCs/>
          <w:color w:val="auto"/>
          <w:sz w:val="36"/>
          <w:szCs w:val="21"/>
          <w:highlight w:val="none"/>
        </w:rPr>
      </w:pPr>
    </w:p>
    <w:p>
      <w:pPr>
        <w:spacing w:line="560" w:lineRule="exact"/>
        <w:ind w:firstLine="120" w:firstLineChars="50"/>
        <w:rPr>
          <w:rFonts w:hint="eastAsia"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3"/>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5462"/>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Align w:val="center"/>
          </w:tcPr>
          <w:p>
            <w:pPr>
              <w:spacing w:line="560" w:lineRule="exact"/>
              <w:ind w:right="163" w:rightChars="68" w:firstLine="118" w:firstLineChars="4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5462"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质保期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hint="eastAsia" w:ascii="仿宋" w:hAnsi="仿宋" w:eastAsia="仿宋" w:cs="仿宋"/>
                <w:color w:val="auto"/>
                <w:szCs w:val="24"/>
                <w:highlight w:val="none"/>
              </w:rPr>
            </w:pPr>
          </w:p>
        </w:tc>
        <w:tc>
          <w:tcPr>
            <w:tcW w:w="5462"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2843" w:type="dxa"/>
            <w:gridSpan w:val="3"/>
            <w:tcBorders>
              <w:top w:val="single" w:color="auto" w:sz="4" w:space="0"/>
            </w:tcBorders>
            <w:vAlign w:val="center"/>
          </w:tcPr>
          <w:p>
            <w:pPr>
              <w:spacing w:line="560" w:lineRule="exact"/>
              <w:ind w:left="240" w:left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58" w:name="_Toc458617473"/>
      <w:bookmarkStart w:id="159" w:name="_Toc9029"/>
      <w:bookmarkStart w:id="160" w:name="_Toc10249"/>
      <w:bookmarkStart w:id="161" w:name="_Toc193126885"/>
      <w:bookmarkStart w:id="162" w:name="_Toc170980556"/>
      <w:bookmarkStart w:id="163" w:name="_Toc167591148"/>
      <w:bookmarkStart w:id="164" w:name="_Toc169838536"/>
      <w:bookmarkStart w:id="165" w:name="_Toc167591496"/>
      <w:bookmarkStart w:id="166" w:name="_Toc154482483"/>
      <w:bookmarkStart w:id="167" w:name="_Toc173549982"/>
      <w:bookmarkStart w:id="168" w:name="_Toc167590779"/>
      <w:bookmarkStart w:id="169" w:name="_Toc193187101"/>
      <w:bookmarkStart w:id="170" w:name="_Toc169846877"/>
      <w:bookmarkStart w:id="171" w:name="_Toc194663922"/>
      <w:bookmarkStart w:id="172" w:name="_Toc175032441"/>
      <w:bookmarkStart w:id="173" w:name="_Toc188808836"/>
      <w:bookmarkStart w:id="174" w:name="_Toc175033596"/>
      <w:bookmarkStart w:id="175" w:name="_Toc167591047"/>
      <w:bookmarkStart w:id="176" w:name="_Toc167849364"/>
      <w:bookmarkStart w:id="177" w:name="_Toc170980457"/>
      <w:bookmarkStart w:id="178" w:name="_Toc169846780"/>
      <w:bookmarkStart w:id="179" w:name="_Toc167591334"/>
      <w:r>
        <w:rPr>
          <w:rFonts w:hint="eastAsia" w:ascii="仿宋" w:hAnsi="仿宋" w:eastAsia="仿宋" w:cs="仿宋"/>
          <w:b/>
          <w:color w:val="auto"/>
          <w:highlight w:val="none"/>
        </w:rPr>
        <w:br w:type="page"/>
      </w:r>
    </w:p>
    <w:p>
      <w:pPr>
        <w:pStyle w:val="37"/>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58"/>
      <w:bookmarkEnd w:id="159"/>
      <w:bookmarkEnd w:id="160"/>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tbl>
      <w:tblPr>
        <w:tblStyle w:val="23"/>
        <w:tblW w:w="146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943"/>
        <w:gridCol w:w="851"/>
        <w:gridCol w:w="1720"/>
        <w:gridCol w:w="1750"/>
        <w:gridCol w:w="1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71"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319"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13" w:type="dxa"/>
            <w:vAlign w:val="center"/>
          </w:tcPr>
          <w:p>
            <w:pPr>
              <w:spacing w:line="560" w:lineRule="exact"/>
              <w:ind w:firstLine="116" w:firstLineChars="48"/>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385"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719"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43"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851"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2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ind w:left="53" w:leftChars="2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5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522" w:type="dxa"/>
            <w:tcMar>
              <w:top w:w="28" w:type="dxa"/>
              <w:left w:w="57" w:type="dxa"/>
              <w:bottom w:w="28" w:type="dxa"/>
              <w:right w:w="57"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总 计（人民币元）</w:t>
            </w:r>
          </w:p>
        </w:tc>
        <w:tc>
          <w:tcPr>
            <w:tcW w:w="10081" w:type="dxa"/>
            <w:gridSpan w:val="7"/>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p>
        </w:tc>
      </w:tr>
    </w:tbl>
    <w:p>
      <w:pPr>
        <w:pStyle w:val="37"/>
        <w:spacing w:line="560" w:lineRule="exact"/>
        <w:ind w:firstLine="0" w:firstLineChars="0"/>
        <w:rPr>
          <w:rFonts w:hint="eastAsia" w:ascii="仿宋" w:hAnsi="仿宋" w:eastAsia="仿宋" w:cs="仿宋"/>
          <w:color w:val="auto"/>
          <w:szCs w:val="24"/>
          <w:highlight w:val="none"/>
          <w:u w:val="single"/>
        </w:rPr>
      </w:pPr>
      <w:r>
        <w:rPr>
          <w:rFonts w:hint="eastAsia" w:ascii="仿宋" w:hAnsi="仿宋" w:eastAsia="仿宋" w:cs="仿宋"/>
          <w:color w:val="auto"/>
          <w:sz w:val="24"/>
          <w:szCs w:val="24"/>
          <w:highlight w:val="none"/>
          <w:lang w:val="zh-CN"/>
        </w:rPr>
        <w:t>法定代表人或被授权人（签字或盖章）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u w:val="single"/>
        </w:rPr>
        <w:br w:type="page"/>
      </w:r>
    </w:p>
    <w:p>
      <w:pPr>
        <w:pStyle w:val="37"/>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 xml:space="preserve">4、节能环保、环境标志产品明细表 </w:t>
      </w:r>
      <w:r>
        <w:rPr>
          <w:rFonts w:hint="eastAsia" w:ascii="仿宋" w:hAnsi="仿宋" w:eastAsia="仿宋" w:cs="仿宋"/>
          <w:bCs/>
          <w:color w:val="auto"/>
          <w:sz w:val="24"/>
          <w:szCs w:val="24"/>
          <w:highlight w:val="none"/>
        </w:rPr>
        <w:t>（格式，若有）</w:t>
      </w:r>
    </w:p>
    <w:p>
      <w:pPr>
        <w:pStyle w:val="37"/>
        <w:spacing w:line="520" w:lineRule="exact"/>
        <w:ind w:firstLine="170" w:firstLineChars="7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Cs/>
          <w:color w:val="auto"/>
          <w:sz w:val="24"/>
          <w:szCs w:val="24"/>
          <w:highlight w:val="none"/>
        </w:rPr>
        <w:t>项目编号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tbl>
      <w:tblPr>
        <w:tblStyle w:val="23"/>
        <w:tblW w:w="14251" w:type="dxa"/>
        <w:jc w:val="center"/>
        <w:tblLayout w:type="fixed"/>
        <w:tblCellMar>
          <w:top w:w="0" w:type="dxa"/>
          <w:left w:w="108" w:type="dxa"/>
          <w:bottom w:w="0" w:type="dxa"/>
          <w:right w:w="108" w:type="dxa"/>
        </w:tblCellMar>
      </w:tblPr>
      <w:tblGrid>
        <w:gridCol w:w="832"/>
        <w:gridCol w:w="2268"/>
        <w:gridCol w:w="1984"/>
        <w:gridCol w:w="1844"/>
        <w:gridCol w:w="1418"/>
        <w:gridCol w:w="1843"/>
        <w:gridCol w:w="850"/>
        <w:gridCol w:w="1559"/>
        <w:gridCol w:w="1653"/>
      </w:tblGrid>
      <w:tr>
        <w:tblPrEx>
          <w:tblCellMar>
            <w:top w:w="0" w:type="dxa"/>
            <w:left w:w="108" w:type="dxa"/>
            <w:bottom w:w="0" w:type="dxa"/>
            <w:right w:w="108" w:type="dxa"/>
          </w:tblCellMar>
        </w:tblPrEx>
        <w:trPr>
          <w:trHeight w:val="241" w:hRule="atLeast"/>
          <w:jc w:val="center"/>
        </w:trPr>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产品名称</w:t>
            </w:r>
          </w:p>
        </w:tc>
        <w:tc>
          <w:tcPr>
            <w:tcW w:w="198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规格型号</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类别</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认证证书编号</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46"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合计（人民币</w:t>
            </w:r>
            <w:r>
              <w:rPr>
                <w:rFonts w:hint="eastAsia" w:ascii="仿宋" w:hAnsi="仿宋" w:eastAsia="仿宋" w:cs="仿宋"/>
                <w:color w:val="auto"/>
                <w:szCs w:val="24"/>
                <w:highlight w:val="none"/>
              </w:rPr>
              <w:t>元</w:t>
            </w:r>
            <w:r>
              <w:rPr>
                <w:rFonts w:hint="eastAsia" w:ascii="仿宋" w:hAnsi="仿宋" w:eastAsia="仿宋" w:cs="仿宋"/>
                <w:color w:val="auto"/>
                <w:highlight w:val="none"/>
              </w:rPr>
              <w:t>）</w:t>
            </w:r>
          </w:p>
        </w:tc>
        <w:tc>
          <w:tcPr>
            <w:tcW w:w="5905"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仿宋" w:hAnsi="仿宋" w:eastAsia="仿宋" w:cs="仿宋"/>
                <w:color w:val="auto"/>
                <w:highlight w:val="none"/>
              </w:rPr>
            </w:pPr>
          </w:p>
        </w:tc>
      </w:tr>
    </w:tbl>
    <w:p>
      <w:pPr>
        <w:autoSpaceDE w:val="0"/>
        <w:autoSpaceDN w:val="0"/>
        <w:adjustRightInd w:val="0"/>
        <w:snapToGrid w:val="0"/>
        <w:spacing w:line="520" w:lineRule="exac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注：如投标产品为节能环保、环境标志产品，须按格式逐项填写，并附相关证明，否则评审时不予计分，没有请填“无”。</w:t>
      </w:r>
    </w:p>
    <w:p>
      <w:pPr>
        <w:autoSpaceDE w:val="0"/>
        <w:autoSpaceDN w:val="0"/>
        <w:adjustRightInd w:val="0"/>
        <w:snapToGrid w:val="0"/>
        <w:spacing w:line="520" w:lineRule="exact"/>
        <w:rPr>
          <w:rFonts w:hint="eastAsia" w:ascii="仿宋" w:hAnsi="仿宋" w:eastAsia="仿宋" w:cs="仿宋"/>
          <w:color w:val="auto"/>
          <w:szCs w:val="21"/>
          <w:highlight w:val="none"/>
          <w:lang w:val="zh-CN"/>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80" w:name="_Toc17354"/>
      <w:bookmarkStart w:id="181" w:name="_Toc193187100"/>
      <w:bookmarkStart w:id="182" w:name="_Toc458617474"/>
      <w:bookmarkStart w:id="183" w:name="_Toc194663921"/>
      <w:bookmarkStart w:id="184" w:name="_Toc193126884"/>
      <w:bookmarkStart w:id="185" w:name="_Toc4842"/>
      <w:r>
        <w:rPr>
          <w:rFonts w:hint="eastAsia" w:ascii="仿宋" w:hAnsi="仿宋" w:eastAsia="仿宋" w:cs="仿宋"/>
          <w:b/>
          <w:color w:val="auto"/>
          <w:highlight w:val="none"/>
        </w:rPr>
        <w:br w:type="page"/>
      </w:r>
    </w:p>
    <w:p>
      <w:pPr>
        <w:pStyle w:val="37"/>
        <w:spacing w:line="560" w:lineRule="exact"/>
        <w:ind w:firstLineChars="71"/>
        <w:rPr>
          <w:rFonts w:hint="eastAsia" w:ascii="仿宋" w:hAnsi="仿宋" w:eastAsia="仿宋" w:cs="仿宋"/>
          <w:color w:val="auto"/>
          <w:sz w:val="24"/>
          <w:szCs w:val="24"/>
          <w:highlight w:val="none"/>
        </w:rPr>
      </w:pPr>
      <w:r>
        <w:rPr>
          <w:rFonts w:hint="eastAsia" w:ascii="仿宋" w:hAnsi="仿宋" w:eastAsia="仿宋" w:cs="仿宋"/>
          <w:b/>
          <w:color w:val="auto"/>
          <w:highlight w:val="none"/>
        </w:rPr>
        <w:t>5.选配件报价表</w:t>
      </w:r>
      <w:bookmarkEnd w:id="180"/>
      <w:bookmarkEnd w:id="181"/>
      <w:bookmarkEnd w:id="182"/>
      <w:bookmarkEnd w:id="183"/>
      <w:bookmarkEnd w:id="184"/>
      <w:bookmarkEnd w:id="185"/>
      <w:r>
        <w:rPr>
          <w:rFonts w:hint="eastAsia" w:ascii="仿宋" w:hAnsi="仿宋" w:eastAsia="仿宋" w:cs="仿宋"/>
          <w:bCs/>
          <w:color w:val="auto"/>
          <w:sz w:val="24"/>
          <w:szCs w:val="24"/>
          <w:highlight w:val="none"/>
        </w:rPr>
        <w:t>（格式，若有）</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843"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0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17"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3"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92"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1134"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28"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17"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992"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134"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28"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pStyle w:val="37"/>
        <w:spacing w:line="560" w:lineRule="exact"/>
        <w:ind w:firstLine="170" w:firstLineChars="71"/>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u w:val="single"/>
        </w:rPr>
        <w:br w:type="page"/>
      </w:r>
      <w:bookmarkStart w:id="186" w:name="_Toc16402"/>
      <w:bookmarkStart w:id="187" w:name="_Toc458617475"/>
      <w:bookmarkStart w:id="188" w:name="_Toc10875"/>
      <w:r>
        <w:rPr>
          <w:rFonts w:hint="eastAsia" w:ascii="仿宋" w:hAnsi="仿宋" w:eastAsia="仿宋" w:cs="仿宋"/>
          <w:b/>
          <w:color w:val="auto"/>
          <w:highlight w:val="none"/>
        </w:rPr>
        <w:t>6.货物说明一览表</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6"/>
      <w:bookmarkEnd w:id="187"/>
      <w:bookmarkEnd w:id="188"/>
      <w:r>
        <w:rPr>
          <w:rFonts w:hint="eastAsia" w:ascii="仿宋" w:hAnsi="仿宋" w:eastAsia="仿宋" w:cs="仿宋"/>
          <w:bCs/>
          <w:color w:val="auto"/>
          <w:sz w:val="24"/>
          <w:szCs w:val="21"/>
          <w:highlight w:val="none"/>
        </w:rPr>
        <w:t>（格式）</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3"/>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bl>
    <w:p>
      <w:pPr>
        <w:spacing w:line="560" w:lineRule="exact"/>
        <w:ind w:left="240" w:leftChars="100" w:firstLine="480" w:firstLineChars="200"/>
        <w:rPr>
          <w:rFonts w:hint="eastAsia" w:ascii="仿宋" w:hAnsi="仿宋" w:eastAsia="仿宋" w:cs="仿宋"/>
          <w:color w:val="auto"/>
          <w:highlight w:val="none"/>
          <w:u w:val="single"/>
        </w:rPr>
        <w:sectPr>
          <w:headerReference r:id="rId21" w:type="first"/>
          <w:footerReference r:id="rId23" w:type="first"/>
          <w:headerReference r:id="rId20" w:type="default"/>
          <w:footerReference r:id="rId22" w:type="default"/>
          <w:pgSz w:w="16840" w:h="11905" w:orient="landscape"/>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bookmarkStart w:id="189" w:name="_Toc194663923"/>
      <w:bookmarkStart w:id="190" w:name="_Toc188808837"/>
      <w:bookmarkStart w:id="191" w:name="_Toc193187102"/>
      <w:bookmarkStart w:id="192" w:name="_Toc193126886"/>
      <w:r>
        <w:rPr>
          <w:rFonts w:hint="eastAsia" w:ascii="仿宋" w:hAnsi="仿宋" w:eastAsia="仿宋" w:cs="仿宋"/>
          <w:color w:val="auto"/>
          <w:szCs w:val="24"/>
          <w:highlight w:val="none"/>
          <w:u w:val="single"/>
        </w:rPr>
        <w:t xml:space="preserve">  </w:t>
      </w:r>
      <w:r>
        <w:rPr>
          <w:rFonts w:hint="eastAsia" w:ascii="仿宋" w:hAnsi="仿宋" w:eastAsia="仿宋" w:cs="仿宋"/>
          <w:color w:val="auto"/>
          <w:highlight w:val="none"/>
          <w:u w:val="single"/>
        </w:rPr>
        <w:t xml:space="preserve">             </w:t>
      </w:r>
    </w:p>
    <w:bookmarkEnd w:id="189"/>
    <w:bookmarkEnd w:id="190"/>
    <w:bookmarkEnd w:id="191"/>
    <w:bookmarkEnd w:id="192"/>
    <w:p>
      <w:pPr>
        <w:pStyle w:val="37"/>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7.技术规格响应偏离表</w:t>
      </w:r>
      <w:r>
        <w:rPr>
          <w:rFonts w:hint="eastAsia" w:ascii="仿宋" w:hAnsi="仿宋" w:eastAsia="仿宋" w:cs="仿宋"/>
          <w:bCs/>
          <w:color w:val="auto"/>
          <w:sz w:val="24"/>
          <w:szCs w:val="21"/>
          <w:highlight w:val="none"/>
        </w:rPr>
        <w:t>（格式）</w:t>
      </w:r>
    </w:p>
    <w:p>
      <w:pPr>
        <w:spacing w:line="560" w:lineRule="exact"/>
        <w:jc w:val="lef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名称</w:t>
            </w:r>
          </w:p>
        </w:tc>
        <w:tc>
          <w:tcPr>
            <w:tcW w:w="231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240" w:leftChars="100"/>
        <w:textAlignment w:val="auto"/>
        <w:rPr>
          <w:rFonts w:hint="eastAsia" w:ascii="仿宋" w:hAnsi="仿宋" w:eastAsia="仿宋" w:cs="仿宋"/>
          <w:b/>
          <w:bCs/>
          <w:color w:val="auto"/>
          <w:sz w:val="18"/>
          <w:szCs w:val="18"/>
          <w:highlight w:val="none"/>
          <w:u w:val="none"/>
          <w:lang w:val="en-US" w:eastAsia="zh-CN"/>
        </w:rPr>
      </w:pPr>
      <w:r>
        <w:rPr>
          <w:rFonts w:hint="eastAsia" w:ascii="仿宋" w:hAnsi="仿宋" w:eastAsia="仿宋" w:cs="仿宋"/>
          <w:b/>
          <w:bCs/>
          <w:color w:val="auto"/>
          <w:sz w:val="18"/>
          <w:szCs w:val="18"/>
          <w:highlight w:val="none"/>
          <w:u w:val="none"/>
          <w:lang w:eastAsia="zh-CN"/>
        </w:rPr>
        <w:t>注：本表请按项目的实际技术参数，逐条对应招标文件第三章《</w:t>
      </w:r>
      <w:r>
        <w:rPr>
          <w:rFonts w:hint="eastAsia" w:ascii="仿宋" w:hAnsi="仿宋" w:eastAsia="仿宋" w:cs="仿宋"/>
          <w:b/>
          <w:bCs/>
          <w:color w:val="auto"/>
          <w:sz w:val="18"/>
          <w:szCs w:val="18"/>
          <w:highlight w:val="none"/>
          <w:u w:val="none"/>
          <w:lang w:val="en-US" w:eastAsia="zh-CN"/>
        </w:rPr>
        <w:t>采购内容及技术要求</w:t>
      </w:r>
      <w:r>
        <w:rPr>
          <w:rFonts w:hint="eastAsia" w:ascii="仿宋" w:hAnsi="仿宋" w:eastAsia="仿宋" w:cs="仿宋"/>
          <w:b/>
          <w:bCs/>
          <w:color w:val="auto"/>
          <w:sz w:val="18"/>
          <w:szCs w:val="18"/>
          <w:highlight w:val="none"/>
          <w:u w:val="none"/>
          <w:lang w:eastAsia="zh-CN"/>
        </w:rPr>
        <w:t>》</w:t>
      </w:r>
      <w:r>
        <w:rPr>
          <w:rFonts w:hint="eastAsia" w:ascii="仿宋" w:hAnsi="仿宋" w:eastAsia="仿宋" w:cs="仿宋"/>
          <w:b/>
          <w:bCs/>
          <w:color w:val="auto"/>
          <w:sz w:val="18"/>
          <w:szCs w:val="18"/>
          <w:highlight w:val="none"/>
          <w:u w:val="none"/>
          <w:lang w:val="en-US" w:eastAsia="zh-CN"/>
        </w:rPr>
        <w:t>认真填写，偏离情况填写：优于、等于或低于，偏离说明对偏离情况做出详细说明。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93" w:name="_Toc193126887"/>
      <w:bookmarkStart w:id="194" w:name="_Toc194663924"/>
      <w:bookmarkStart w:id="195" w:name="_Toc188808838"/>
      <w:bookmarkStart w:id="196" w:name="_Toc193187103"/>
      <w:r>
        <w:rPr>
          <w:rFonts w:hint="eastAsia" w:ascii="仿宋" w:hAnsi="仿宋" w:eastAsia="仿宋" w:cs="仿宋"/>
          <w:color w:val="auto"/>
          <w:szCs w:val="24"/>
          <w:highlight w:val="none"/>
        </w:rPr>
        <w:t xml:space="preserve">   </w:t>
      </w:r>
    </w:p>
    <w:p>
      <w:pPr>
        <w:pStyle w:val="37"/>
        <w:spacing w:line="560" w:lineRule="exact"/>
        <w:ind w:firstLineChars="71"/>
        <w:rPr>
          <w:rFonts w:hint="eastAsia" w:ascii="仿宋" w:hAnsi="仿宋" w:eastAsia="仿宋" w:cs="仿宋"/>
          <w:b/>
          <w:color w:val="auto"/>
          <w:highlight w:val="none"/>
        </w:rPr>
      </w:pPr>
      <w:bookmarkStart w:id="197" w:name="_Toc11969"/>
      <w:bookmarkStart w:id="198" w:name="_Toc458617476"/>
      <w:bookmarkStart w:id="199" w:name="_Toc2240"/>
    </w:p>
    <w:p>
      <w:pPr>
        <w:pStyle w:val="37"/>
        <w:spacing w:line="560" w:lineRule="exact"/>
        <w:ind w:firstLineChars="71"/>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8.商务条款响应偏离表</w:t>
      </w:r>
      <w:bookmarkEnd w:id="193"/>
      <w:bookmarkEnd w:id="194"/>
      <w:bookmarkEnd w:id="195"/>
      <w:bookmarkEnd w:id="196"/>
      <w:bookmarkEnd w:id="197"/>
      <w:bookmarkEnd w:id="198"/>
      <w:bookmarkEnd w:id="199"/>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b/>
          <w:bCs/>
          <w:color w:val="auto"/>
          <w:sz w:val="20"/>
          <w:szCs w:val="20"/>
          <w:highlight w:val="none"/>
          <w:lang w:val="en-US" w:eastAsia="zh-CN"/>
        </w:rPr>
      </w:pPr>
      <w:r>
        <w:rPr>
          <w:rFonts w:hint="eastAsia" w:ascii="仿宋" w:hAnsi="仿宋" w:eastAsia="仿宋" w:cs="仿宋"/>
          <w:b/>
          <w:bCs/>
          <w:color w:val="auto"/>
          <w:sz w:val="20"/>
          <w:szCs w:val="20"/>
          <w:highlight w:val="none"/>
          <w:lang w:eastAsia="zh-CN"/>
        </w:rPr>
        <w:t>注：本表按照招标文件第四章《</w:t>
      </w:r>
      <w:r>
        <w:rPr>
          <w:rFonts w:hint="eastAsia" w:ascii="仿宋" w:hAnsi="仿宋" w:eastAsia="仿宋" w:cs="仿宋"/>
          <w:b/>
          <w:bCs/>
          <w:color w:val="auto"/>
          <w:sz w:val="20"/>
          <w:szCs w:val="20"/>
          <w:highlight w:val="none"/>
          <w:lang w:val="en-US" w:eastAsia="zh-CN"/>
        </w:rPr>
        <w:t>商务要求</w:t>
      </w:r>
      <w:r>
        <w:rPr>
          <w:rFonts w:hint="eastAsia" w:ascii="仿宋" w:hAnsi="仿宋" w:eastAsia="仿宋" w:cs="仿宋"/>
          <w:b/>
          <w:bCs/>
          <w:color w:val="auto"/>
          <w:sz w:val="20"/>
          <w:szCs w:val="20"/>
          <w:highlight w:val="none"/>
          <w:lang w:eastAsia="zh-CN"/>
        </w:rPr>
        <w:t>》</w:t>
      </w:r>
      <w:r>
        <w:rPr>
          <w:rFonts w:hint="eastAsia" w:ascii="仿宋" w:hAnsi="仿宋" w:eastAsia="仿宋" w:cs="仿宋"/>
          <w:b/>
          <w:bCs/>
          <w:color w:val="auto"/>
          <w:sz w:val="20"/>
          <w:szCs w:val="20"/>
          <w:highlight w:val="none"/>
          <w:lang w:val="en-US" w:eastAsia="zh-CN"/>
        </w:rPr>
        <w:t>逐条响应，否则按无效投标处理。偏离情况填写：优于、等于或低于，偏离说明对偏离情况做出详细说明。</w:t>
      </w:r>
    </w:p>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hint="eastAsia"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hint="eastAsia"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37"/>
        <w:spacing w:line="560" w:lineRule="exact"/>
        <w:ind w:firstLineChars="71"/>
        <w:rPr>
          <w:rFonts w:hint="eastAsia" w:ascii="仿宋" w:hAnsi="仿宋" w:eastAsia="仿宋" w:cs="仿宋"/>
          <w:b/>
          <w:color w:val="auto"/>
          <w:highlight w:val="none"/>
          <w:u w:val="wavyHeavy" w:color="FF0000"/>
        </w:rPr>
      </w:pPr>
      <w:bookmarkStart w:id="200" w:name="_Toc458617478"/>
      <w:bookmarkStart w:id="201" w:name="_Toc28085"/>
      <w:bookmarkStart w:id="202" w:name="_Toc5659"/>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.资格证明文件</w:t>
      </w:r>
      <w:bookmarkEnd w:id="154"/>
      <w:bookmarkEnd w:id="155"/>
      <w:bookmarkEnd w:id="156"/>
      <w:bookmarkEnd w:id="157"/>
      <w:bookmarkEnd w:id="200"/>
      <w:bookmarkEnd w:id="201"/>
      <w:bookmarkEnd w:id="202"/>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（1）基本资格条件：符合《中华人民共和国政府采购法》第二十二条的规定：</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2、财务状况报告：提供具有财务审计资质单位出具的</w:t>
      </w:r>
      <w:r>
        <w:rPr>
          <w:rFonts w:hint="eastAsia" w:ascii="仿宋" w:hAnsi="仿宋" w:eastAsia="仿宋" w:cs="仿宋"/>
          <w:color w:val="auto"/>
          <w:sz w:val="24"/>
          <w:highlight w:val="none"/>
          <w:lang w:val="en-US" w:eastAsia="zh-CN"/>
        </w:rPr>
        <w:t>2020年度或2021年度</w:t>
      </w:r>
      <w:r>
        <w:rPr>
          <w:rFonts w:hint="eastAsia" w:ascii="仿宋" w:hAnsi="仿宋" w:eastAsia="仿宋" w:cs="仿宋"/>
          <w:color w:val="auto"/>
          <w:sz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税收缴纳证明：提供2021年1月1日至今任意一个月的缴费凭据；（依法免税的投标人应提供相关文件证明）</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社会保障资金缴纳证明：提供2021年1月1日至今任意一个月的社保缴费凭据或社保机构开具的社会保险参保缴费情况证明；（依法不需要缴纳社会保障资金的投标人应提供相关证明）。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5、提供具有履行本合同所必需的设备和专业技术能力的说明及承诺；（格式自拟，加盖投标人公章）</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6、提供参加政府采购活动前三年内在经营活动中没有重大违法记录的书面声明。（格式自拟，加盖投标人公章）</w:t>
      </w:r>
    </w:p>
    <w:p>
      <w:pPr>
        <w:spacing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（2）、特定资格条件：</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、投标保证金交纳凭证；（</w:t>
      </w:r>
      <w:r>
        <w:rPr>
          <w:rFonts w:hint="eastAsia" w:ascii="仿宋" w:hAnsi="仿宋" w:eastAsia="仿宋" w:cs="仿宋"/>
          <w:color w:val="auto"/>
          <w:sz w:val="24"/>
          <w:highlight w:val="none"/>
          <w:lang w:eastAsia="zh-CN"/>
        </w:rPr>
        <w:t>保证金交纳凭证复印件加盖公章</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37"/>
        <w:spacing w:line="520" w:lineRule="exact"/>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、单位负责人为同一人或者存在直接控股、管理关系的不同投标人，不得参加同一合同项下的政府采购活动；（提供书面承诺函，格式自拟加盖投标人公章）</w:t>
      </w:r>
    </w:p>
    <w:p>
      <w:pPr>
        <w:pStyle w:val="37"/>
        <w:spacing w:line="520" w:lineRule="exact"/>
        <w:ind w:firstLine="480"/>
        <w:rPr>
          <w:rFonts w:hint="eastAsia" w:ascii="仿宋" w:hAnsi="仿宋" w:eastAsia="仿宋" w:cs="仿宋"/>
          <w:color w:val="auto"/>
          <w:sz w:val="24"/>
          <w:highlight w:val="none"/>
        </w:rPr>
      </w:pPr>
    </w:p>
    <w:p>
      <w:pPr>
        <w:pStyle w:val="1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rPr>
          <w:rFonts w:hint="eastAsia" w:ascii="仿宋" w:hAnsi="仿宋" w:eastAsia="仿宋" w:cs="仿宋"/>
          <w:color w:val="auto"/>
          <w:szCs w:val="24"/>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bookmarkStart w:id="203" w:name="_Toc47418732"/>
      <w:bookmarkStart w:id="204" w:name="_Toc48995852"/>
      <w:bookmarkStart w:id="205" w:name="_Toc47261886"/>
      <w:bookmarkStart w:id="206" w:name="_Toc49019237"/>
      <w:bookmarkStart w:id="207" w:name="_Toc47262070"/>
      <w:bookmarkStart w:id="208" w:name="_Toc48791236"/>
      <w:bookmarkStart w:id="209" w:name="_Toc47418939"/>
      <w:bookmarkStart w:id="210" w:name="_Toc47418256"/>
      <w:bookmarkStart w:id="211" w:name="_Toc47261691"/>
      <w:bookmarkStart w:id="212" w:name="_Toc49019498"/>
      <w:r>
        <w:rPr>
          <w:rFonts w:hint="eastAsia" w:ascii="仿宋" w:hAnsi="仿宋" w:eastAsia="仿宋" w:cs="仿宋"/>
          <w:b/>
          <w:bCs/>
          <w:color w:val="auto"/>
          <w:sz w:val="28"/>
          <w:szCs w:val="28"/>
          <w:highlight w:val="none"/>
        </w:rPr>
        <w:t>法定代表人资格证明书</w:t>
      </w:r>
    </w:p>
    <w:tbl>
      <w:tblPr>
        <w:tblStyle w:val="23"/>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hint="eastAsia" w:ascii="仿宋" w:hAnsi="仿宋" w:eastAsia="仿宋" w:cs="仿宋"/>
          <w:b/>
          <w:bCs/>
          <w:color w:val="auto"/>
          <w:szCs w:val="24"/>
          <w:highlight w:val="none"/>
        </w:rPr>
      </w:pPr>
      <w:r>
        <w:rPr>
          <w:rFonts w:hint="eastAsia" w:ascii="仿宋" w:hAnsi="仿宋" w:eastAsia="仿宋" w:cs="仿宋"/>
          <w:color w:val="auto"/>
          <w:kern w:val="0"/>
          <w:sz w:val="24"/>
          <w:highlight w:val="none"/>
          <w:u w:val="none"/>
        </w:rPr>
        <w:t>（法定代表人直接投标，只须提供法定代表人证明书及身份证原件）</w:t>
      </w:r>
      <w:r>
        <w:rPr>
          <w:rFonts w:hint="eastAsia" w:ascii="仿宋" w:hAnsi="仿宋" w:eastAsia="仿宋" w:cs="仿宋"/>
          <w:b/>
          <w:bCs/>
          <w:color w:val="auto"/>
          <w:szCs w:val="24"/>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203"/>
      <w:bookmarkEnd w:id="204"/>
      <w:bookmarkEnd w:id="205"/>
      <w:bookmarkEnd w:id="206"/>
      <w:bookmarkEnd w:id="207"/>
      <w:bookmarkEnd w:id="208"/>
      <w:bookmarkEnd w:id="209"/>
      <w:bookmarkEnd w:id="210"/>
      <w:bookmarkEnd w:id="211"/>
      <w:bookmarkEnd w:id="212"/>
    </w:tbl>
    <w:p>
      <w:pPr>
        <w:pStyle w:val="37"/>
        <w:spacing w:line="560" w:lineRule="exact"/>
        <w:ind w:firstLine="0" w:firstLineChars="0"/>
        <w:jc w:val="center"/>
        <w:rPr>
          <w:rFonts w:hint="eastAsia"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kern w:val="0"/>
          <w:sz w:val="24"/>
          <w:highlight w:val="none"/>
          <w:u w:val="none"/>
        </w:rPr>
        <w:t>（</w:t>
      </w:r>
      <w:r>
        <w:rPr>
          <w:rFonts w:hint="eastAsia" w:ascii="仿宋" w:hAnsi="仿宋" w:eastAsia="仿宋" w:cs="仿宋"/>
          <w:color w:val="auto"/>
          <w:kern w:val="0"/>
          <w:sz w:val="24"/>
          <w:highlight w:val="none"/>
          <w:u w:val="none"/>
          <w:lang w:eastAsia="zh-CN"/>
        </w:rPr>
        <w:t>被授权人投标时</w:t>
      </w:r>
      <w:r>
        <w:rPr>
          <w:rFonts w:hint="eastAsia" w:ascii="仿宋" w:hAnsi="仿宋" w:eastAsia="仿宋" w:cs="仿宋"/>
          <w:color w:val="auto"/>
          <w:kern w:val="0"/>
          <w:sz w:val="24"/>
          <w:highlight w:val="none"/>
          <w:u w:val="none"/>
        </w:rPr>
        <w:t>，须提供</w:t>
      </w:r>
      <w:r>
        <w:rPr>
          <w:rFonts w:hint="eastAsia" w:ascii="仿宋" w:hAnsi="仿宋" w:eastAsia="仿宋" w:cs="仿宋"/>
          <w:color w:val="auto"/>
          <w:kern w:val="0"/>
          <w:sz w:val="24"/>
          <w:highlight w:val="none"/>
          <w:u w:val="none"/>
          <w:lang w:eastAsia="zh-CN"/>
        </w:rPr>
        <w:t>法定代表人授权委托书</w:t>
      </w:r>
      <w:r>
        <w:rPr>
          <w:rFonts w:hint="eastAsia" w:ascii="仿宋" w:hAnsi="仿宋" w:eastAsia="仿宋" w:cs="仿宋"/>
          <w:color w:val="auto"/>
          <w:kern w:val="0"/>
          <w:sz w:val="24"/>
          <w:highlight w:val="none"/>
          <w:u w:val="none"/>
        </w:rPr>
        <w:t>及</w:t>
      </w:r>
      <w:r>
        <w:rPr>
          <w:rFonts w:hint="eastAsia" w:ascii="仿宋" w:hAnsi="仿宋" w:eastAsia="仿宋" w:cs="仿宋"/>
          <w:color w:val="auto"/>
          <w:kern w:val="0"/>
          <w:sz w:val="24"/>
          <w:highlight w:val="none"/>
          <w:u w:val="none"/>
          <w:lang w:eastAsia="zh-CN"/>
        </w:rPr>
        <w:t>被授权人身份证</w:t>
      </w:r>
      <w:r>
        <w:rPr>
          <w:rFonts w:hint="eastAsia" w:ascii="仿宋" w:hAnsi="仿宋" w:eastAsia="仿宋" w:cs="仿宋"/>
          <w:color w:val="auto"/>
          <w:kern w:val="0"/>
          <w:sz w:val="24"/>
          <w:highlight w:val="none"/>
          <w:u w:val="none"/>
        </w:rPr>
        <w:t>原件）</w:t>
      </w:r>
    </w:p>
    <w:p>
      <w:pPr>
        <w:pStyle w:val="37"/>
        <w:spacing w:line="560" w:lineRule="exact"/>
        <w:ind w:left="0" w:leftChars="0" w:firstLine="0" w:firstLineChars="0"/>
        <w:rPr>
          <w:rFonts w:hint="eastAsia" w:ascii="仿宋" w:hAnsi="仿宋" w:eastAsia="仿宋" w:cs="仿宋"/>
          <w:b/>
          <w:color w:val="auto"/>
          <w:sz w:val="20"/>
          <w:szCs w:val="16"/>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0</w:t>
      </w:r>
      <w:r>
        <w:rPr>
          <w:rFonts w:hint="eastAsia" w:ascii="仿宋" w:hAnsi="仿宋" w:eastAsia="仿宋" w:cs="仿宋"/>
          <w:b/>
          <w:color w:val="auto"/>
          <w:highlight w:val="none"/>
        </w:rPr>
        <w:t>.201</w:t>
      </w: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年1月</w:t>
      </w:r>
      <w:r>
        <w:rPr>
          <w:rFonts w:hint="eastAsia" w:ascii="仿宋" w:hAnsi="仿宋" w:eastAsia="仿宋" w:cs="仿宋"/>
          <w:b/>
          <w:color w:val="auto"/>
          <w:highlight w:val="none"/>
          <w:lang w:val="en-US" w:eastAsia="zh-CN"/>
        </w:rPr>
        <w:t>1日</w:t>
      </w:r>
      <w:r>
        <w:rPr>
          <w:rFonts w:hint="eastAsia" w:ascii="仿宋" w:hAnsi="仿宋" w:eastAsia="仿宋" w:cs="仿宋"/>
          <w:b/>
          <w:color w:val="auto"/>
          <w:highlight w:val="none"/>
        </w:rPr>
        <w:t>至今</w:t>
      </w:r>
      <w:bookmarkStart w:id="213" w:name="_Toc188808842"/>
      <w:bookmarkStart w:id="214" w:name="_Toc193126891"/>
      <w:r>
        <w:rPr>
          <w:rFonts w:hint="eastAsia" w:ascii="仿宋" w:hAnsi="仿宋" w:eastAsia="仿宋" w:cs="仿宋"/>
          <w:b/>
          <w:color w:val="auto"/>
          <w:highlight w:val="none"/>
          <w:lang w:eastAsia="zh-CN"/>
        </w:rPr>
        <w:t>类似项目业绩</w:t>
      </w:r>
      <w:r>
        <w:rPr>
          <w:rFonts w:hint="eastAsia" w:ascii="仿宋" w:hAnsi="仿宋" w:eastAsia="仿宋" w:cs="仿宋"/>
          <w:b/>
          <w:color w:val="auto"/>
          <w:highlight w:val="none"/>
        </w:rPr>
        <w:t>（以合同为准</w:t>
      </w: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复印件加盖公章</w:t>
      </w:r>
      <w:r>
        <w:rPr>
          <w:rFonts w:hint="eastAsia" w:ascii="仿宋" w:hAnsi="仿宋" w:eastAsia="仿宋" w:cs="仿宋"/>
          <w:b/>
          <w:color w:val="auto"/>
          <w:highlight w:val="none"/>
        </w:rPr>
        <w:t>）</w:t>
      </w:r>
    </w:p>
    <w:p>
      <w:pPr>
        <w:pStyle w:val="37"/>
        <w:spacing w:line="560" w:lineRule="exact"/>
        <w:ind w:firstLine="0" w:firstLineChars="0"/>
        <w:rPr>
          <w:rFonts w:hint="eastAsia" w:ascii="仿宋" w:hAnsi="仿宋" w:eastAsia="仿宋" w:cs="仿宋"/>
          <w:b/>
          <w:color w:val="auto"/>
          <w:szCs w:val="28"/>
          <w:highlight w:val="none"/>
        </w:rPr>
      </w:pPr>
      <w:bookmarkStart w:id="215" w:name="_Toc458617479"/>
      <w:bookmarkStart w:id="216" w:name="_Toc937"/>
      <w:bookmarkStart w:id="217" w:name="_Toc14386"/>
    </w:p>
    <w:p>
      <w:pPr>
        <w:pStyle w:val="37"/>
        <w:spacing w:line="560" w:lineRule="exact"/>
        <w:ind w:firstLine="0" w:firstLineChars="0"/>
        <w:rPr>
          <w:rFonts w:hint="eastAsia" w:ascii="仿宋" w:hAnsi="仿宋" w:eastAsia="仿宋" w:cs="仿宋"/>
          <w:b/>
          <w:color w:val="auto"/>
          <w:szCs w:val="28"/>
          <w:highlight w:val="none"/>
        </w:rPr>
      </w:pPr>
    </w:p>
    <w:p>
      <w:pPr>
        <w:pStyle w:val="37"/>
        <w:spacing w:line="560" w:lineRule="exact"/>
        <w:ind w:left="0" w:leftChars="0" w:firstLine="0" w:firstLineChars="0"/>
        <w:rPr>
          <w:rFonts w:hint="eastAsia" w:ascii="仿宋" w:hAnsi="仿宋" w:eastAsia="仿宋" w:cs="仿宋"/>
          <w:b/>
          <w:bCs/>
          <w:color w:val="auto"/>
          <w:sz w:val="28"/>
          <w:szCs w:val="28"/>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.产品的合法渠道证明文件</w:t>
      </w:r>
      <w:bookmarkEnd w:id="215"/>
      <w:bookmarkEnd w:id="216"/>
      <w:bookmarkEnd w:id="217"/>
      <w:bookmarkStart w:id="218" w:name="_Toc194663938"/>
      <w:bookmarkStart w:id="219" w:name="_Toc193126901"/>
      <w:bookmarkStart w:id="220" w:name="_Toc193187107"/>
      <w:bookmarkStart w:id="221" w:name="_Toc23126"/>
      <w:bookmarkStart w:id="222" w:name="_Toc458617480"/>
      <w:bookmarkStart w:id="223" w:name="_Toc23774"/>
    </w:p>
    <w:p>
      <w:pPr>
        <w:pStyle w:val="10"/>
        <w:rPr>
          <w:rFonts w:hint="eastAsia" w:ascii="仿宋" w:hAnsi="仿宋" w:eastAsia="仿宋" w:cs="仿宋"/>
          <w:color w:val="auto"/>
          <w:highlight w:val="none"/>
        </w:rPr>
      </w:pPr>
    </w:p>
    <w:p>
      <w:pPr>
        <w:pStyle w:val="37"/>
        <w:spacing w:line="560" w:lineRule="exact"/>
        <w:ind w:firstLineChars="71"/>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2</w:t>
      </w:r>
      <w:r>
        <w:rPr>
          <w:rFonts w:hint="eastAsia" w:ascii="仿宋" w:hAnsi="仿宋" w:eastAsia="仿宋" w:cs="仿宋"/>
          <w:b/>
          <w:color w:val="auto"/>
          <w:highlight w:val="none"/>
        </w:rPr>
        <w:t>.</w:t>
      </w:r>
      <w:bookmarkEnd w:id="218"/>
      <w:bookmarkEnd w:id="219"/>
      <w:bookmarkEnd w:id="220"/>
      <w:r>
        <w:rPr>
          <w:rFonts w:hint="eastAsia" w:ascii="仿宋" w:hAnsi="仿宋" w:eastAsia="仿宋" w:cs="仿宋"/>
          <w:b/>
          <w:color w:val="auto"/>
          <w:highlight w:val="none"/>
        </w:rPr>
        <w:t>项目实施方案</w:t>
      </w:r>
    </w:p>
    <w:bookmarkEnd w:id="221"/>
    <w:bookmarkEnd w:id="222"/>
    <w:bookmarkEnd w:id="223"/>
    <w:p>
      <w:pPr>
        <w:pStyle w:val="37"/>
        <w:spacing w:line="560" w:lineRule="exact"/>
        <w:ind w:firstLineChars="71"/>
        <w:rPr>
          <w:rFonts w:hint="eastAsia" w:ascii="仿宋" w:hAnsi="仿宋" w:eastAsia="仿宋" w:cs="仿宋"/>
          <w:b/>
          <w:color w:val="auto"/>
          <w:szCs w:val="28"/>
          <w:highlight w:val="none"/>
        </w:rPr>
      </w:pPr>
      <w:bookmarkStart w:id="224" w:name="_Toc193187108"/>
      <w:bookmarkStart w:id="225" w:name="_Toc188808852"/>
      <w:bookmarkStart w:id="226" w:name="_Toc193126902"/>
      <w:bookmarkStart w:id="227" w:name="_Toc194663939"/>
    </w:p>
    <w:p>
      <w:pPr>
        <w:pStyle w:val="37"/>
        <w:spacing w:line="560" w:lineRule="exact"/>
        <w:ind w:left="0" w:leftChars="0" w:firstLine="0" w:firstLineChars="0"/>
        <w:rPr>
          <w:rFonts w:hint="eastAsia" w:ascii="仿宋" w:hAnsi="仿宋" w:eastAsia="仿宋" w:cs="仿宋"/>
          <w:b/>
          <w:color w:val="auto"/>
          <w:szCs w:val="28"/>
          <w:highlight w:val="none"/>
        </w:rPr>
      </w:pPr>
    </w:p>
    <w:p>
      <w:pPr>
        <w:pStyle w:val="37"/>
        <w:spacing w:line="560" w:lineRule="exact"/>
        <w:ind w:left="0" w:leftChars="0" w:firstLine="0" w:firstLineChars="0"/>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1</w:t>
      </w:r>
      <w:r>
        <w:rPr>
          <w:rFonts w:hint="eastAsia" w:ascii="仿宋" w:hAnsi="仿宋" w:eastAsia="仿宋" w:cs="仿宋"/>
          <w:b/>
          <w:color w:val="auto"/>
          <w:szCs w:val="28"/>
          <w:highlight w:val="none"/>
          <w:lang w:val="en-US" w:eastAsia="zh-CN"/>
        </w:rPr>
        <w:t>3</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37"/>
        <w:spacing w:line="560" w:lineRule="exact"/>
        <w:ind w:left="0" w:leftChars="0" w:firstLine="0" w:firstLineChars="0"/>
        <w:rPr>
          <w:rFonts w:hint="eastAsia" w:ascii="仿宋" w:hAnsi="仿宋" w:eastAsia="仿宋" w:cs="仿宋"/>
          <w:b/>
          <w:color w:val="auto"/>
          <w:highlight w:val="none"/>
        </w:rPr>
      </w:pPr>
      <w:bookmarkStart w:id="228" w:name="_Toc17505"/>
      <w:bookmarkStart w:id="229" w:name="_Toc458617481"/>
      <w:bookmarkStart w:id="230" w:name="_Toc8306"/>
    </w:p>
    <w:p>
      <w:pPr>
        <w:pStyle w:val="37"/>
        <w:spacing w:line="560" w:lineRule="exact"/>
        <w:ind w:firstLineChars="71"/>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.质量保证</w:t>
      </w:r>
      <w:bookmarkEnd w:id="224"/>
      <w:bookmarkEnd w:id="225"/>
      <w:bookmarkEnd w:id="226"/>
      <w:bookmarkEnd w:id="227"/>
      <w:bookmarkEnd w:id="228"/>
      <w:bookmarkEnd w:id="229"/>
      <w:bookmarkEnd w:id="230"/>
      <w:bookmarkStart w:id="231" w:name="_Toc193187110"/>
      <w:bookmarkStart w:id="232" w:name="_Toc188808854"/>
      <w:bookmarkStart w:id="233" w:name="_Toc193126904"/>
      <w:bookmarkStart w:id="234" w:name="_Toc194663941"/>
      <w:r>
        <w:rPr>
          <w:rFonts w:hint="eastAsia" w:ascii="仿宋" w:hAnsi="仿宋" w:eastAsia="仿宋" w:cs="仿宋"/>
          <w:b/>
          <w:color w:val="auto"/>
          <w:highlight w:val="none"/>
        </w:rPr>
        <w:t xml:space="preserve">承诺 </w:t>
      </w:r>
    </w:p>
    <w:p>
      <w:pPr>
        <w:spacing w:line="560" w:lineRule="exact"/>
        <w:outlineLvl w:val="1"/>
        <w:rPr>
          <w:rFonts w:hint="eastAsia" w:ascii="仿宋" w:hAnsi="仿宋" w:eastAsia="仿宋" w:cs="仿宋"/>
          <w:b/>
          <w:color w:val="auto"/>
          <w:sz w:val="28"/>
          <w:szCs w:val="28"/>
          <w:highlight w:val="none"/>
        </w:rPr>
      </w:pPr>
    </w:p>
    <w:p>
      <w:pPr>
        <w:pStyle w:val="14"/>
        <w:rPr>
          <w:rFonts w:hint="eastAsia" w:ascii="仿宋" w:hAnsi="仿宋" w:eastAsia="仿宋" w:cs="仿宋"/>
          <w:color w:val="auto"/>
          <w:highlight w:val="none"/>
        </w:rPr>
      </w:pPr>
    </w:p>
    <w:p>
      <w:pPr>
        <w:pStyle w:val="1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bookmarkStart w:id="235" w:name="_Toc21757"/>
      <w:bookmarkStart w:id="236" w:name="_Toc2456"/>
      <w:bookmarkStart w:id="237" w:name="_Toc458617482"/>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.售后服务</w:t>
      </w:r>
      <w:bookmarkEnd w:id="231"/>
      <w:bookmarkEnd w:id="232"/>
      <w:bookmarkEnd w:id="233"/>
      <w:bookmarkEnd w:id="234"/>
      <w:bookmarkEnd w:id="235"/>
      <w:bookmarkEnd w:id="236"/>
      <w:bookmarkEnd w:id="237"/>
      <w:bookmarkStart w:id="238" w:name="_Toc11302"/>
      <w:bookmarkStart w:id="239" w:name="_Toc6260"/>
      <w:bookmarkStart w:id="240" w:name="_Toc458617483"/>
      <w:bookmarkStart w:id="241" w:name="_Toc193187111"/>
      <w:bookmarkStart w:id="242" w:name="_Toc188808855"/>
      <w:bookmarkStart w:id="243" w:name="_Toc194663942"/>
      <w:bookmarkStart w:id="244" w:name="_Toc193126905"/>
      <w:r>
        <w:rPr>
          <w:rFonts w:hint="eastAsia" w:ascii="仿宋" w:hAnsi="仿宋" w:eastAsia="仿宋" w:cs="仿宋"/>
          <w:b/>
          <w:color w:val="auto"/>
          <w:highlight w:val="none"/>
          <w:lang w:eastAsia="zh-CN"/>
        </w:rPr>
        <w:t>及</w:t>
      </w:r>
      <w:r>
        <w:rPr>
          <w:rFonts w:hint="eastAsia" w:ascii="仿宋" w:hAnsi="仿宋" w:eastAsia="仿宋" w:cs="仿宋"/>
          <w:b/>
          <w:color w:val="auto"/>
          <w:highlight w:val="none"/>
        </w:rPr>
        <w:t>培训计划</w:t>
      </w:r>
      <w:bookmarkEnd w:id="238"/>
      <w:bookmarkEnd w:id="239"/>
      <w:bookmarkEnd w:id="240"/>
    </w:p>
    <w:p>
      <w:pPr>
        <w:pStyle w:val="37"/>
        <w:spacing w:line="560" w:lineRule="exact"/>
        <w:ind w:firstLine="0" w:firstLineChars="0"/>
        <w:rPr>
          <w:rFonts w:hint="eastAsia" w:ascii="仿宋" w:hAnsi="仿宋" w:eastAsia="仿宋" w:cs="仿宋"/>
          <w:b/>
          <w:color w:val="auto"/>
          <w:highlight w:val="none"/>
        </w:rPr>
      </w:pPr>
      <w:bookmarkStart w:id="245" w:name="_Toc6949"/>
      <w:bookmarkStart w:id="246" w:name="_Toc27682"/>
      <w:bookmarkStart w:id="247" w:name="_Toc458617484"/>
    </w:p>
    <w:p>
      <w:pPr>
        <w:pStyle w:val="37"/>
        <w:spacing w:line="560" w:lineRule="exact"/>
        <w:ind w:firstLine="0" w:firstLineChars="0"/>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.投标人认为有必要补充说明的事宜</w:t>
      </w:r>
      <w:bookmarkEnd w:id="245"/>
      <w:bookmarkEnd w:id="246"/>
      <w:bookmarkEnd w:id="247"/>
      <w:r>
        <w:rPr>
          <w:rFonts w:hint="eastAsia" w:ascii="仿宋" w:hAnsi="仿宋" w:eastAsia="仿宋" w:cs="仿宋"/>
          <w:bCs/>
          <w:color w:val="auto"/>
          <w:sz w:val="24"/>
          <w:szCs w:val="21"/>
          <w:highlight w:val="none"/>
        </w:rPr>
        <w:t>（若有）</w:t>
      </w:r>
    </w:p>
    <w:p>
      <w:pP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7</w:t>
      </w:r>
      <w:r>
        <w:rPr>
          <w:rFonts w:hint="eastAsia" w:ascii="仿宋" w:hAnsi="仿宋" w:eastAsia="仿宋" w:cs="仿宋"/>
          <w:b/>
          <w:bCs/>
          <w:color w:val="auto"/>
          <w:szCs w:val="28"/>
          <w:highlight w:val="none"/>
        </w:rPr>
        <w:t>.</w:t>
      </w:r>
      <w:bookmarkEnd w:id="241"/>
      <w:bookmarkEnd w:id="242"/>
      <w:bookmarkEnd w:id="243"/>
      <w:bookmarkEnd w:id="244"/>
      <w:r>
        <w:rPr>
          <w:rFonts w:hint="eastAsia" w:ascii="仿宋" w:hAnsi="仿宋" w:eastAsia="仿宋" w:cs="仿宋"/>
          <w:b/>
          <w:bCs/>
          <w:color w:val="auto"/>
          <w:szCs w:val="28"/>
          <w:highlight w:val="none"/>
          <w:lang w:eastAsia="zh-CN"/>
        </w:rPr>
        <w:t>投标人承诺书</w:t>
      </w:r>
    </w:p>
    <w:p>
      <w:pPr>
        <w:widowControl/>
        <w:spacing w:line="560" w:lineRule="exact"/>
        <w:rPr>
          <w:rFonts w:hint="eastAsia" w:ascii="仿宋" w:hAnsi="仿宋" w:eastAsia="仿宋" w:cs="仿宋"/>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auto"/>
          <w:kern w:val="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6"/>
        <w:rPr>
          <w:rFonts w:hint="eastAsia" w:ascii="仿宋" w:hAnsi="仿宋" w:eastAsia="仿宋" w:cs="仿宋"/>
          <w:color w:val="auto"/>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 xml:space="preserve"> </w:t>
      </w: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autoSpaceDE/>
        <w:autoSpaceDN/>
        <w:bidi w:val="0"/>
        <w:adjustRightInd/>
        <w:snapToGrid/>
        <w:spacing w:line="560" w:lineRule="exact"/>
        <w:ind w:firstLine="4920" w:firstLineChars="2050"/>
        <w:textAlignment w:val="auto"/>
        <w:rPr>
          <w:rFonts w:hint="eastAsia" w:ascii="仿宋" w:hAnsi="仿宋" w:eastAsia="仿宋" w:cs="仿宋"/>
          <w:color w:val="auto"/>
          <w:kern w:val="0"/>
          <w:szCs w:val="24"/>
          <w:highlight w:val="none"/>
        </w:rPr>
        <w:sectPr>
          <w:headerReference r:id="rId25" w:type="first"/>
          <w:footerReference r:id="rId27" w:type="first"/>
          <w:headerReference r:id="rId24" w:type="default"/>
          <w:footerReference r:id="rId26" w:type="defaul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kern w:val="0"/>
          <w:szCs w:val="24"/>
          <w:highlight w:val="none"/>
        </w:rPr>
        <w:t>年　　月　　日</w:t>
      </w:r>
    </w:p>
    <w:bookmarkEnd w:id="213"/>
    <w:bookmarkEnd w:id="214"/>
    <w:p>
      <w:pPr>
        <w:spacing w:line="360" w:lineRule="atLeast"/>
        <w:jc w:val="center"/>
        <w:rPr>
          <w:rFonts w:hint="eastAsia" w:ascii="仿宋" w:hAnsi="仿宋" w:eastAsia="仿宋" w:cs="仿宋"/>
          <w:b/>
          <w:color w:val="auto"/>
          <w:sz w:val="32"/>
          <w:szCs w:val="32"/>
          <w:highlight w:val="none"/>
        </w:rPr>
      </w:pPr>
      <w:bookmarkStart w:id="248" w:name="_Toc458617748"/>
      <w:r>
        <w:rPr>
          <w:rFonts w:hint="eastAsia" w:ascii="仿宋" w:hAnsi="仿宋" w:eastAsia="仿宋" w:cs="仿宋"/>
          <w:b/>
          <w:color w:val="auto"/>
          <w:sz w:val="32"/>
          <w:szCs w:val="32"/>
          <w:highlight w:val="none"/>
        </w:rPr>
        <w:t>承诺书Ⅱ</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uto"/>
        <w:ind w:right="480"/>
        <w:rPr>
          <w:rFonts w:hint="eastAsia" w:ascii="仿宋" w:hAnsi="仿宋" w:eastAsia="仿宋" w:cs="仿宋"/>
          <w:color w:val="auto"/>
          <w:sz w:val="24"/>
          <w:szCs w:val="28"/>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br w:type="page"/>
      </w:r>
    </w:p>
    <w:p>
      <w:pPr>
        <w:spacing w:line="360" w:lineRule="atLeast"/>
        <w:jc w:val="cente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承诺书Ⅵ</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作为参加贵公司组织的招标采购项目的投标人，本公司承诺：</w:t>
            </w:r>
            <w:r>
              <w:rPr>
                <w:rFonts w:hint="eastAsia" w:ascii="仿宋" w:hAnsi="仿宋" w:eastAsia="仿宋" w:cs="仿宋"/>
                <w:color w:val="auto"/>
                <w:sz w:val="24"/>
                <w:highlight w:val="none"/>
                <w:lang w:eastAsia="zh-CN"/>
              </w:rPr>
              <w:t>我单位法人代表及主要负责人所在的公司在近三年内没有违法违规行为，</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b/>
          <w:bCs/>
          <w:color w:val="auto"/>
          <w:szCs w:val="28"/>
          <w:highlight w:val="none"/>
          <w:lang w:val="en-US" w:eastAsia="zh-CN"/>
        </w:rPr>
      </w:pPr>
    </w:p>
    <w:p>
      <w:pPr>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br w:type="page"/>
      </w:r>
    </w:p>
    <w:p>
      <w:pPr>
        <w:pStyle w:val="37"/>
        <w:spacing w:line="560" w:lineRule="exact"/>
        <w:ind w:firstLine="174" w:firstLineChars="62"/>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18</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中小</w:t>
      </w:r>
      <w:r>
        <w:rPr>
          <w:rFonts w:hint="eastAsia" w:ascii="仿宋" w:hAnsi="仿宋" w:eastAsia="仿宋" w:cs="仿宋"/>
          <w:b/>
          <w:bCs/>
          <w:color w:val="auto"/>
          <w:szCs w:val="28"/>
          <w:highlight w:val="none"/>
        </w:rPr>
        <w:t>企业声明函》</w:t>
      </w:r>
      <w:bookmarkEnd w:id="248"/>
      <w:bookmarkStart w:id="249" w:name="OLE_LINK19"/>
      <w:r>
        <w:rPr>
          <w:rFonts w:hint="eastAsia" w:ascii="仿宋" w:hAnsi="仿宋" w:eastAsia="仿宋" w:cs="仿宋"/>
          <w:color w:val="auto"/>
          <w:sz w:val="24"/>
          <w:szCs w:val="24"/>
          <w:highlight w:val="none"/>
        </w:rPr>
        <w:t>（格式，若有）</w:t>
      </w:r>
    </w:p>
    <w:bookmarkEnd w:id="249"/>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eastAsia="zh-CN"/>
        </w:rPr>
        <w:t>中小</w:t>
      </w:r>
      <w:r>
        <w:rPr>
          <w:rFonts w:hint="eastAsia" w:ascii="仿宋" w:hAnsi="仿宋" w:eastAsia="仿宋" w:cs="仿宋"/>
          <w:b/>
          <w:bCs/>
          <w:color w:val="auto"/>
          <w:kern w:val="0"/>
          <w:sz w:val="28"/>
          <w:szCs w:val="28"/>
          <w:highlight w:val="none"/>
        </w:rPr>
        <w:t>企业声明函</w:t>
      </w:r>
      <w:r>
        <w:rPr>
          <w:rFonts w:hint="eastAsia" w:ascii="仿宋" w:hAnsi="仿宋" w:eastAsia="仿宋" w:cs="仿宋"/>
          <w:b/>
          <w:bCs/>
          <w:color w:val="auto"/>
          <w:kern w:val="0"/>
          <w:sz w:val="28"/>
          <w:szCs w:val="28"/>
          <w:highlight w:val="none"/>
          <w:lang w:val="en-US" w:eastAsia="zh-CN"/>
        </w:rPr>
        <w:t>(货物）</w:t>
      </w:r>
      <w:r>
        <w:rPr>
          <w:rFonts w:hint="eastAsia" w:ascii="仿宋" w:hAnsi="仿宋" w:eastAsia="仿宋" w:cs="仿宋"/>
          <w:b/>
          <w:bCs/>
          <w:color w:val="auto"/>
          <w:kern w:val="0"/>
          <w:sz w:val="20"/>
          <w:szCs w:val="20"/>
          <w:highlight w:val="none"/>
        </w:rPr>
        <w:t>(非中小企业不填写)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rPr>
        <w:t>本公司郑重声明，根据《政府采购促进中小企业发展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号）的规定，本公司</w:t>
      </w:r>
      <w:r>
        <w:rPr>
          <w:rFonts w:hint="eastAsia" w:ascii="仿宋" w:hAnsi="仿宋" w:eastAsia="仿宋" w:cs="仿宋"/>
          <w:color w:val="auto"/>
          <w:szCs w:val="24"/>
          <w:highlight w:val="none"/>
          <w:lang w:eastAsia="zh-CN"/>
        </w:rPr>
        <w:t>参加</w:t>
      </w:r>
      <w:r>
        <w:rPr>
          <w:rFonts w:hint="eastAsia" w:ascii="仿宋" w:hAnsi="仿宋" w:eastAsia="仿宋" w:cs="仿宋"/>
          <w:color w:val="auto"/>
          <w:szCs w:val="24"/>
          <w:highlight w:val="none"/>
          <w:u w:val="single"/>
          <w:lang w:val="en-US" w:eastAsia="zh-CN"/>
        </w:rPr>
        <w:t xml:space="preserve"> （单位名称）</w:t>
      </w:r>
      <w:r>
        <w:rPr>
          <w:rFonts w:hint="eastAsia" w:ascii="仿宋" w:hAnsi="仿宋" w:eastAsia="仿宋" w:cs="仿宋"/>
          <w:color w:val="auto"/>
          <w:szCs w:val="24"/>
          <w:highlight w:val="none"/>
          <w:u w:val="none"/>
          <w:lang w:val="en-US" w:eastAsia="zh-CN"/>
        </w:rPr>
        <w:t xml:space="preserve"> 的</w:t>
      </w:r>
      <w:r>
        <w:rPr>
          <w:rFonts w:hint="eastAsia" w:ascii="仿宋" w:hAnsi="仿宋" w:eastAsia="仿宋" w:cs="仿宋"/>
          <w:color w:val="auto"/>
          <w:szCs w:val="24"/>
          <w:highlight w:val="none"/>
          <w:u w:val="single"/>
          <w:lang w:val="en-US" w:eastAsia="zh-CN"/>
        </w:rPr>
        <w:t>（项目名称）</w:t>
      </w:r>
      <w:r>
        <w:rPr>
          <w:rFonts w:hint="eastAsia" w:ascii="仿宋" w:hAnsi="仿宋" w:eastAsia="仿宋" w:cs="仿宋"/>
          <w:color w:val="auto"/>
          <w:szCs w:val="24"/>
          <w:highlight w:val="none"/>
          <w:u w:val="none"/>
          <w:lang w:val="en-US" w:eastAsia="zh-CN"/>
        </w:rPr>
        <w:t>采购活动，提供的货物全部由符合政策要求的中小企业制造。相关企业的具体情况如下：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u w:val="none"/>
          <w:lang w:val="en-US" w:eastAsia="zh-CN"/>
        </w:rPr>
        <w:t>1.</w:t>
      </w:r>
      <w:r>
        <w:rPr>
          <w:rFonts w:hint="eastAsia" w:ascii="仿宋" w:hAnsi="仿宋" w:eastAsia="仿宋" w:cs="仿宋"/>
          <w:color w:val="auto"/>
          <w:szCs w:val="24"/>
          <w:highlight w:val="none"/>
          <w:u w:val="single"/>
          <w:lang w:val="en-US" w:eastAsia="zh-CN"/>
        </w:rPr>
        <w:t xml:space="preserve">（标的名称） </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none"/>
          <w:lang w:val="en-US" w:eastAsia="zh-CN"/>
        </w:rPr>
        <w:t>万元</w:t>
      </w:r>
      <w:r>
        <w:rPr>
          <w:rFonts w:hint="eastAsia" w:ascii="仿宋" w:hAnsi="仿宋" w:eastAsia="仿宋" w:cs="仿宋"/>
          <w:color w:val="auto"/>
          <w:szCs w:val="24"/>
          <w:highlight w:val="none"/>
          <w:lang w:val="en-US" w:eastAsia="zh-CN"/>
        </w:rPr>
        <w:t>，资产总额为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w:t>
      </w:r>
      <w:r>
        <w:rPr>
          <w:rFonts w:hint="eastAsia" w:ascii="仿宋" w:hAnsi="仿宋" w:eastAsia="仿宋" w:cs="仿宋"/>
          <w:color w:val="auto"/>
          <w:szCs w:val="24"/>
          <w:highlight w:val="none"/>
          <w:vertAlign w:val="superscript"/>
          <w:lang w:val="en-US" w:eastAsia="zh-CN"/>
        </w:rPr>
        <w:t>1</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u w:val="single"/>
          <w:lang w:val="en-US" w:eastAsia="zh-CN"/>
        </w:rPr>
        <w:t xml:space="preserve"> （标的名称）</w:t>
      </w:r>
      <w:r>
        <w:rPr>
          <w:rFonts w:hint="eastAsia" w:ascii="仿宋" w:hAnsi="仿宋" w:eastAsia="仿宋" w:cs="仿宋"/>
          <w:color w:val="auto"/>
          <w:szCs w:val="24"/>
          <w:highlight w:val="none"/>
          <w:lang w:val="en-US" w:eastAsia="zh-CN"/>
        </w:rPr>
        <w:t xml:space="preserve"> ，属于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before="105" w:line="560" w:lineRule="exact"/>
        <w:ind w:right="417" w:firstLine="645"/>
        <w:jc w:val="both"/>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以上企业，不属于大企业的分支机构，不存在控股股东为大企业的情形，也不存在与大企业的负责人为同一人的情形。</w:t>
      </w:r>
    </w:p>
    <w:p>
      <w:pPr>
        <w:pStyle w:val="10"/>
        <w:keepNext w:val="0"/>
        <w:keepLines w:val="0"/>
        <w:pageBreakBefore w:val="0"/>
        <w:widowControl w:val="0"/>
        <w:kinsoku/>
        <w:wordWrap/>
        <w:overflowPunct/>
        <w:topLinePunct w:val="0"/>
        <w:autoSpaceDE/>
        <w:autoSpaceDN/>
        <w:bidi w:val="0"/>
        <w:adjustRightInd/>
        <w:snapToGrid/>
        <w:spacing w:line="560" w:lineRule="exact"/>
        <w:ind w:right="372" w:firstLine="645"/>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本企业对上述声明内容的真实性负责。如有虚假，将依法承担相应责任。</w:t>
      </w:r>
    </w:p>
    <w:p>
      <w:pPr>
        <w:pStyle w:val="10"/>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企业名称（盖章）：</w:t>
      </w:r>
    </w:p>
    <w:p>
      <w:pPr>
        <w:pStyle w:val="10"/>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日期：</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pict>
          <v:shape id="_x0000_s1035" o:spid="_x0000_s1035" o:spt="202" type="#_x0000_t202" style="position:absolute;left:0pt;margin-left:94.55pt;margin-top:688.15pt;height:28.85pt;width:39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v:textbox>
          </v:shape>
        </w:pict>
      </w:r>
    </w:p>
    <w:p>
      <w:pPr>
        <w:rPr>
          <w:rFonts w:hint="eastAsia" w:ascii="仿宋" w:hAnsi="仿宋" w:eastAsia="仿宋" w:cs="仿宋"/>
          <w:color w:val="auto"/>
          <w:kern w:val="2"/>
          <w:sz w:val="24"/>
          <w:szCs w:val="24"/>
          <w:highlight w:val="none"/>
          <w:u w:val="none"/>
          <w:lang w:val="en-US" w:eastAsia="zh-CN" w:bidi="ar-SA"/>
        </w:rPr>
      </w:pPr>
    </w:p>
    <w:p>
      <w:pPr>
        <w:spacing w:line="480" w:lineRule="exact"/>
        <w:ind w:firstLine="241" w:firstLineChars="100"/>
        <w:rPr>
          <w:rFonts w:hint="eastAsia" w:ascii="仿宋" w:hAnsi="仿宋" w:eastAsia="仿宋" w:cs="仿宋"/>
          <w:b/>
          <w:color w:val="auto"/>
          <w:sz w:val="24"/>
          <w:highlight w:val="none"/>
          <w:lang w:val="en-US" w:eastAsia="zh-CN"/>
        </w:rPr>
      </w:pPr>
    </w:p>
    <w:p>
      <w:pPr>
        <w:pStyle w:val="10"/>
        <w:rPr>
          <w:rFonts w:hint="eastAsia" w:ascii="仿宋" w:hAnsi="仿宋" w:eastAsia="仿宋" w:cs="仿宋"/>
          <w:color w:val="auto"/>
          <w:highlight w:val="none"/>
          <w:lang w:val="en-US" w:eastAsia="zh-CN"/>
        </w:rPr>
        <w:sectPr>
          <w:footerReference r:id="rId28" w:type="default"/>
          <w:pgSz w:w="11905" w:h="16840"/>
          <w:pgMar w:top="1417" w:right="1417" w:bottom="1417" w:left="1417" w:header="935" w:footer="907" w:gutter="0"/>
          <w:pgNumType w:fmt="decimal"/>
          <w:cols w:space="0" w:num="1"/>
          <w:titlePg/>
          <w:rtlGutter w:val="0"/>
          <w:docGrid w:linePitch="0" w:charSpace="0"/>
        </w:sectPr>
      </w:pPr>
    </w:p>
    <w:p>
      <w:pPr>
        <w:pStyle w:val="37"/>
        <w:spacing w:line="560" w:lineRule="exact"/>
        <w:ind w:firstLine="174" w:firstLineChars="62"/>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val="en-US" w:eastAsia="zh-CN"/>
        </w:rPr>
        <w:t>19</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hint="eastAsia" w:ascii="仿宋" w:hAnsi="仿宋" w:eastAsia="仿宋" w:cs="仿宋"/>
          <w:b/>
          <w:color w:val="auto"/>
          <w:spacing w:val="6"/>
          <w:szCs w:val="24"/>
          <w:highlight w:val="none"/>
        </w:rPr>
      </w:pPr>
      <w:bookmarkStart w:id="250" w:name="OLE_LINK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rPr>
        <w:t>残疾人福利企业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bookmarkEnd w:id="25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360" w:lineRule="auto"/>
        <w:ind w:firstLine="422" w:firstLineChars="200"/>
        <w:rPr>
          <w:rFonts w:hint="eastAsia" w:ascii="仿宋" w:hAnsi="仿宋" w:eastAsia="仿宋" w:cs="仿宋"/>
          <w:b/>
          <w:bCs w:val="0"/>
          <w:color w:val="auto"/>
          <w:kern w:val="0"/>
          <w:sz w:val="21"/>
          <w:szCs w:val="20"/>
          <w:highlight w:val="none"/>
          <w:lang w:val="zh-CN"/>
        </w:rPr>
      </w:pPr>
      <w:r>
        <w:rPr>
          <w:rFonts w:hint="eastAsia" w:ascii="仿宋" w:hAnsi="仿宋" w:eastAsia="仿宋" w:cs="仿宋"/>
          <w:b/>
          <w:bCs w:val="0"/>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37"/>
        <w:spacing w:line="56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rPr>
        <w:t>2</w:t>
      </w:r>
      <w:r>
        <w:rPr>
          <w:rFonts w:hint="eastAsia" w:ascii="仿宋" w:hAnsi="仿宋" w:eastAsia="仿宋" w:cs="仿宋"/>
          <w:b/>
          <w:bCs/>
          <w:color w:val="auto"/>
          <w:szCs w:val="28"/>
          <w:highlight w:val="none"/>
          <w:lang w:val="en-US" w:eastAsia="zh-CN"/>
        </w:rPr>
        <w:t>0</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监狱、戒毒企业</w:t>
      </w:r>
      <w:r>
        <w:rPr>
          <w:rFonts w:hint="eastAsia" w:ascii="仿宋" w:hAnsi="仿宋" w:eastAsia="仿宋" w:cs="仿宋"/>
          <w:b/>
          <w:bCs/>
          <w:color w:val="auto"/>
          <w:szCs w:val="28"/>
          <w:highlight w:val="none"/>
        </w:rPr>
        <w:t>声明函》</w:t>
      </w:r>
      <w:r>
        <w:rPr>
          <w:rFonts w:hint="eastAsia" w:ascii="仿宋" w:hAnsi="仿宋" w:eastAsia="仿宋" w:cs="仿宋"/>
          <w:color w:val="auto"/>
          <w:sz w:val="24"/>
          <w:szCs w:val="24"/>
          <w:highlight w:val="none"/>
        </w:rPr>
        <w:t>（格式，若有）</w:t>
      </w:r>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strike w:val="0"/>
          <w:dstrike w:val="0"/>
          <w:color w:val="auto"/>
          <w:spacing w:val="6"/>
          <w:sz w:val="21"/>
          <w:szCs w:val="21"/>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w:t>
      </w:r>
      <w:r>
        <w:rPr>
          <w:rFonts w:hint="eastAsia" w:ascii="仿宋" w:hAnsi="仿宋" w:eastAsia="仿宋" w:cs="仿宋"/>
          <w:color w:val="auto"/>
          <w:spacing w:val="-4"/>
          <w:kern w:val="0"/>
          <w:sz w:val="24"/>
          <w:highlight w:val="none"/>
        </w:rPr>
        <w:t>财政部 司法部 关于政府采购支持监狱企业发展有关问题的通知</w:t>
      </w:r>
      <w:r>
        <w:rPr>
          <w:rFonts w:hint="eastAsia" w:ascii="仿宋" w:hAnsi="仿宋" w:eastAsia="仿宋" w:cs="仿宋"/>
          <w:color w:val="auto"/>
          <w:sz w:val="24"/>
          <w:highlight w:val="none"/>
        </w:rPr>
        <w:t>》（财库〔2014〕68号）的规定，本单位为符合条件的监狱、戒毒企业，且本单位参加的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投标人全称（公章）：</w:t>
      </w:r>
      <w:r>
        <w:rPr>
          <w:rFonts w:hint="eastAsia" w:ascii="仿宋" w:hAnsi="仿宋" w:eastAsia="仿宋" w:cs="仿宋"/>
          <w:color w:val="auto"/>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4" w:firstLineChars="200"/>
        <w:rPr>
          <w:rFonts w:hint="eastAsia" w:ascii="仿宋" w:hAnsi="仿宋" w:eastAsia="仿宋" w:cs="仿宋"/>
          <w:b w:val="0"/>
          <w:bCs/>
          <w:color w:val="auto"/>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auto"/>
          <w:spacing w:val="6"/>
          <w:sz w:val="21"/>
          <w:szCs w:val="20"/>
          <w:highlight w:val="none"/>
          <w:shd w:val="pct10" w:color="auto" w:fill="FFFFFF"/>
        </w:rPr>
      </w:pPr>
    </w:p>
    <w:p>
      <w:pPr>
        <w:pStyle w:val="10"/>
        <w:rPr>
          <w:rFonts w:hint="eastAsia" w:ascii="仿宋" w:hAnsi="仿宋" w:eastAsia="仿宋" w:cs="仿宋"/>
          <w:b w:val="0"/>
          <w:bCs/>
          <w:color w:val="auto"/>
          <w:spacing w:val="6"/>
          <w:sz w:val="21"/>
          <w:szCs w:val="20"/>
          <w:highlight w:val="none"/>
          <w:shd w:val="pct10" w:color="auto" w:fill="FFFFFF"/>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sectPr>
          <w:headerReference r:id="rId29" w:type="first"/>
          <w:footerReference r:id="rId30" w:type="firs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b/>
          <w:bCs w:val="0"/>
          <w:color w:val="auto"/>
          <w:kern w:val="0"/>
          <w:sz w:val="21"/>
          <w:szCs w:val="20"/>
          <w:highlight w:val="none"/>
          <w:lang w:val="zh-CN"/>
        </w:rPr>
        <w:t>备注：投标人提供的《</w:t>
      </w:r>
      <w:r>
        <w:rPr>
          <w:rFonts w:hint="eastAsia" w:ascii="仿宋" w:hAnsi="仿宋" w:eastAsia="仿宋" w:cs="仿宋"/>
          <w:b/>
          <w:bCs w:val="0"/>
          <w:color w:val="auto"/>
          <w:sz w:val="21"/>
          <w:szCs w:val="20"/>
          <w:highlight w:val="none"/>
        </w:rPr>
        <w:t>监狱、戒毒企业</w:t>
      </w:r>
      <w:r>
        <w:rPr>
          <w:rFonts w:hint="eastAsia" w:ascii="仿宋" w:hAnsi="仿宋" w:eastAsia="仿宋" w:cs="仿宋"/>
          <w:b/>
          <w:bCs w:val="0"/>
          <w:color w:val="auto"/>
          <w:kern w:val="0"/>
          <w:sz w:val="21"/>
          <w:szCs w:val="20"/>
          <w:highlight w:val="none"/>
          <w:lang w:val="zh-CN"/>
        </w:rPr>
        <w:t>声明函》必须真实有效，</w:t>
      </w:r>
      <w:r>
        <w:rPr>
          <w:rFonts w:hint="eastAsia" w:ascii="仿宋" w:hAnsi="仿宋" w:eastAsia="仿宋" w:cs="仿宋"/>
          <w:b/>
          <w:bCs w:val="0"/>
          <w:color w:val="auto"/>
          <w:sz w:val="21"/>
          <w:szCs w:val="20"/>
          <w:highlight w:val="none"/>
        </w:rPr>
        <w:t>投标人应当提供由省级以上监狱管理局、戒毒管理局(含新疆生产建设兵团)出具的属于监狱企业的证明文件。</w:t>
      </w:r>
    </w:p>
    <w:p>
      <w:pPr>
        <w:pStyle w:val="37"/>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color w:val="auto"/>
          <w:highlight w:val="none"/>
        </w:rPr>
      </w:pP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投标文件封袋正面标识式样</w:t>
      </w:r>
    </w:p>
    <w:p>
      <w:pPr>
        <w:rPr>
          <w:rFonts w:hint="eastAsia" w:ascii="仿宋" w:hAnsi="仿宋" w:eastAsia="仿宋" w:cs="仿宋"/>
          <w:color w:val="auto"/>
          <w:highlight w:val="none"/>
        </w:rPr>
      </w:pPr>
      <w:r>
        <w:rPr>
          <w:rFonts w:hint="eastAsia" w:ascii="仿宋" w:hAnsi="仿宋" w:eastAsia="仿宋" w:cs="仿宋"/>
          <w:b/>
          <w:color w:val="auto"/>
          <w:sz w:val="24"/>
          <w:highlight w:val="none"/>
        </w:rPr>
        <w:pict>
          <v:shape id="_x0000_s1038" o:spid="_x0000_s1038" o:spt="202" type="#_x0000_t202" style="position:absolute;left:0pt;margin-left:-16.15pt;margin-top:13.25pt;height:606.8pt;width:447.15pt;z-index:251672576;mso-width-relative:page;mso-height-relative:page;" coordsize="21600,21600">
            <v:path/>
            <v:fill focussize="0,0"/>
            <v:stroke/>
            <v:imagedata o:title=""/>
            <o:lock v:ext="edit" grouping="f" rotation="f" text="f"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0"/>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10"/>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资质证明材料正面标识式样</w:t>
      </w: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lang w:eastAsia="zh-CN"/>
        </w:rPr>
      </w:pPr>
      <w:r>
        <w:rPr>
          <w:rFonts w:hint="eastAsia" w:ascii="仿宋" w:hAnsi="仿宋" w:eastAsia="仿宋" w:cs="仿宋"/>
          <w:color w:val="auto"/>
          <w:highlight w:val="none"/>
        </w:rPr>
        <w:pict>
          <v:shape id="_x0000_s1039" o:spid="_x0000_s1039" o:spt="202" type="#_x0000_t202" style="position:absolute;left:0pt;margin-left:-10.9pt;margin-top:-0.9pt;height:641.25pt;width:440.6pt;z-index:251674624;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24"/>
          <w:highlight w:val="none"/>
          <w:lang w:eastAsia="zh-CN"/>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开标一览表</w:t>
      </w:r>
      <w:r>
        <w:rPr>
          <w:rFonts w:hint="eastAsia" w:ascii="仿宋" w:hAnsi="仿宋" w:eastAsia="仿宋" w:cs="仿宋"/>
          <w:b/>
          <w:color w:val="auto"/>
          <w:sz w:val="24"/>
          <w:highlight w:val="none"/>
        </w:rPr>
        <w:t>正面标识式样</w:t>
      </w:r>
    </w:p>
    <w:p>
      <w:pPr>
        <w:rPr>
          <w:rFonts w:hint="eastAsia" w:ascii="仿宋" w:hAnsi="仿宋" w:eastAsia="仿宋" w:cs="仿宋"/>
          <w:b/>
          <w:color w:val="auto"/>
          <w:sz w:val="44"/>
          <w:szCs w:val="44"/>
          <w:highlight w:val="none"/>
        </w:rPr>
      </w:pPr>
      <w:r>
        <w:rPr>
          <w:rFonts w:hint="eastAsia" w:ascii="仿宋" w:hAnsi="仿宋" w:eastAsia="仿宋" w:cs="仿宋"/>
          <w:color w:val="auto"/>
          <w:highlight w:val="none"/>
        </w:rPr>
        <w:pict>
          <v:shape id="_x0000_s1040" o:spid="_x0000_s1040" o:spt="202" type="#_x0000_t202" style="position:absolute;left:0pt;margin-left:-10.9pt;margin-top:14.65pt;height:641.25pt;width:440.6pt;z-index:251673600;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44"/>
          <w:szCs w:val="44"/>
          <w:highlight w:val="none"/>
        </w:rPr>
        <w:br w:type="page"/>
      </w:r>
    </w:p>
    <w:p>
      <w:pPr>
        <w:bidi w:val="0"/>
        <w:jc w:val="left"/>
        <w:rPr>
          <w:rFonts w:hint="eastAsia" w:ascii="仿宋" w:hAnsi="仿宋" w:eastAsia="仿宋" w:cs="仿宋"/>
          <w:color w:val="auto"/>
          <w:kern w:val="2"/>
          <w:sz w:val="24"/>
          <w:szCs w:val="22"/>
          <w:highlight w:val="none"/>
          <w:lang w:val="en-US" w:eastAsia="zh-CN" w:bidi="ar-SA"/>
        </w:rPr>
      </w:pPr>
    </w:p>
    <w:p>
      <w:pPr>
        <w:spacing w:line="560" w:lineRule="exact"/>
        <w:jc w:val="center"/>
        <w:rPr>
          <w:rFonts w:hint="eastAsia" w:ascii="仿宋" w:hAnsi="仿宋" w:eastAsia="仿宋" w:cs="仿宋"/>
          <w:b/>
          <w:color w:val="auto"/>
          <w:sz w:val="44"/>
          <w:szCs w:val="44"/>
          <w:highlight w:val="none"/>
        </w:rPr>
      </w:pPr>
    </w:p>
    <w:p>
      <w:pPr>
        <w:pStyle w:val="7"/>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jc w:val="center"/>
        <w:rPr>
          <w:rFonts w:hint="eastAsia" w:ascii="仿宋" w:hAnsi="仿宋" w:eastAsia="仿宋" w:cs="仿宋"/>
          <w:b/>
          <w:bCs/>
          <w:color w:val="auto"/>
          <w:sz w:val="48"/>
          <w:szCs w:val="48"/>
          <w:highlight w:val="none"/>
          <w:lang w:val="zh-CN" w:eastAsia="zh-CN"/>
        </w:rPr>
      </w:pPr>
    </w:p>
    <w:p>
      <w:pPr>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zh-CN" w:eastAsia="zh-CN"/>
        </w:rPr>
        <w:t>为政府采购</w:t>
      </w:r>
      <w:r>
        <w:rPr>
          <w:rFonts w:hint="eastAsia" w:ascii="仿宋" w:hAnsi="仿宋" w:eastAsia="仿宋" w:cs="仿宋"/>
          <w:b/>
          <w:bCs/>
          <w:i/>
          <w:iCs/>
          <w:color w:val="auto"/>
          <w:sz w:val="48"/>
          <w:szCs w:val="48"/>
          <w:highlight w:val="none"/>
          <w:lang w:val="en-US" w:eastAsia="zh-CN"/>
        </w:rPr>
        <w:t xml:space="preserve">  我们更专心</w:t>
      </w:r>
    </w:p>
    <w:p>
      <w:pPr>
        <w:pStyle w:val="7"/>
        <w:rPr>
          <w:rFonts w:hint="eastAsia" w:ascii="仿宋" w:hAnsi="仿宋" w:eastAsia="仿宋" w:cs="仿宋"/>
          <w:i/>
          <w:iCs/>
          <w:color w:val="auto"/>
          <w:sz w:val="28"/>
          <w:szCs w:val="22"/>
          <w:highlight w:val="none"/>
          <w:u w:val="none"/>
          <w:lang w:val="en-US" w:eastAsia="zh-CN"/>
        </w:rPr>
      </w:pPr>
      <w:r>
        <w:rPr>
          <w:rFonts w:hint="eastAsia" w:ascii="仿宋" w:hAnsi="仿宋" w:eastAsia="仿宋" w:cs="仿宋"/>
          <w:b/>
          <w:bCs/>
          <w:i/>
          <w:iCs/>
          <w:color w:val="auto"/>
          <w:sz w:val="48"/>
          <w:szCs w:val="48"/>
          <w:highlight w:val="none"/>
          <w:u w:val="none"/>
          <w:lang w:val="en-US" w:eastAsia="zh-CN"/>
        </w:rPr>
        <w:t xml:space="preserve">        </w:t>
      </w:r>
      <w:r>
        <w:rPr>
          <w:rFonts w:hint="eastAsia" w:ascii="仿宋" w:hAnsi="仿宋" w:eastAsia="仿宋" w:cs="仿宋"/>
          <w:b/>
          <w:bCs/>
          <w:i/>
          <w:iCs/>
          <w:color w:val="auto"/>
          <w:sz w:val="48"/>
          <w:szCs w:val="48"/>
          <w:highlight w:val="none"/>
          <w:u w:val="single"/>
          <w:lang w:val="en-US" w:eastAsia="zh-CN"/>
        </w:rPr>
        <w:t xml:space="preserve">                      </w:t>
      </w:r>
      <w:r>
        <w:rPr>
          <w:rFonts w:hint="eastAsia" w:ascii="仿宋" w:hAnsi="仿宋" w:eastAsia="仿宋" w:cs="仿宋"/>
          <w:b/>
          <w:bCs/>
          <w:i/>
          <w:iCs/>
          <w:color w:val="auto"/>
          <w:sz w:val="48"/>
          <w:szCs w:val="48"/>
          <w:highlight w:val="none"/>
          <w:u w:val="none"/>
          <w:lang w:val="en-US" w:eastAsia="zh-CN"/>
        </w:rPr>
        <w:t xml:space="preserve">      </w:t>
      </w:r>
    </w:p>
    <w:p>
      <w:pPr>
        <w:pStyle w:val="7"/>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en-US" w:eastAsia="zh-CN"/>
        </w:rPr>
        <w:t>做政府采购  我们更用心</w:t>
      </w: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u w:val="singl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sz w:val="40"/>
          <w:szCs w:val="40"/>
          <w:highlight w:val="none"/>
          <w:u w:val="none"/>
          <w:lang w:val="zh-CN" w:eastAsia="zh-CN"/>
        </w:rPr>
      </w:pPr>
      <w:r>
        <w:rPr>
          <w:rFonts w:hint="eastAsia" w:ascii="仿宋" w:hAnsi="仿宋" w:eastAsia="仿宋" w:cs="仿宋"/>
          <w:color w:val="auto"/>
          <w:sz w:val="40"/>
          <w:szCs w:val="40"/>
          <w:highlight w:val="none"/>
          <w:u w:val="none"/>
          <w:lang w:val="zh-CN" w:eastAsia="zh-CN"/>
        </w:rPr>
        <w:t>华招广和项目管理有限公司</w:t>
      </w:r>
    </w:p>
    <w:p>
      <w:pPr>
        <w:pStyle w:val="7"/>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lang w:val="zh-CN" w:eastAsia="zh-CN"/>
        </w:rPr>
        <w:t>地</w:t>
      </w:r>
      <w:r>
        <w:rPr>
          <w:rFonts w:hint="eastAsia" w:ascii="仿宋" w:hAnsi="仿宋" w:eastAsia="仿宋" w:cs="仿宋"/>
          <w:b w:val="0"/>
          <w:bCs/>
          <w:color w:val="auto"/>
          <w:sz w:val="24"/>
          <w:szCs w:val="24"/>
          <w:highlight w:val="none"/>
          <w:u w:val="none"/>
          <w:lang w:val="en-US" w:eastAsia="zh-CN"/>
        </w:rPr>
        <w:t xml:space="preserve">    </w:t>
      </w:r>
      <w:r>
        <w:rPr>
          <w:rFonts w:hint="eastAsia" w:ascii="仿宋" w:hAnsi="仿宋" w:eastAsia="仿宋" w:cs="仿宋"/>
          <w:b w:val="0"/>
          <w:bCs/>
          <w:color w:val="auto"/>
          <w:sz w:val="24"/>
          <w:szCs w:val="24"/>
          <w:highlight w:val="none"/>
          <w:u w:val="none"/>
          <w:lang w:val="zh-CN" w:eastAsia="zh-CN"/>
        </w:rPr>
        <w:t>址：</w:t>
      </w:r>
      <w:r>
        <w:rPr>
          <w:rFonts w:hint="eastAsia" w:ascii="仿宋" w:hAnsi="仿宋" w:eastAsia="仿宋" w:cs="仿宋"/>
          <w:b w:val="0"/>
          <w:bCs/>
          <w:color w:val="auto"/>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编：</w:t>
      </w:r>
      <w:r>
        <w:rPr>
          <w:rFonts w:hint="eastAsia" w:ascii="仿宋" w:hAnsi="仿宋" w:eastAsia="仿宋" w:cs="仿宋"/>
          <w:color w:val="auto"/>
          <w:sz w:val="24"/>
          <w:szCs w:val="24"/>
          <w:highlight w:val="none"/>
          <w:lang w:val="en-US" w:eastAsia="zh-CN"/>
        </w:rPr>
        <w:t>710000</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电</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eastAsia="zh-CN"/>
        </w:rPr>
        <w:t>话：</w:t>
      </w:r>
      <w:r>
        <w:rPr>
          <w:rFonts w:hint="eastAsia" w:ascii="仿宋" w:hAnsi="仿宋" w:eastAsia="仿宋" w:cs="仿宋"/>
          <w:b w:val="0"/>
          <w:bCs/>
          <w:color w:val="auto"/>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电子邮箱：</w:t>
      </w:r>
      <w:r>
        <w:rPr>
          <w:rFonts w:hint="eastAsia" w:ascii="仿宋" w:hAnsi="仿宋" w:eastAsia="仿宋" w:cs="仿宋"/>
          <w:color w:val="auto"/>
          <w:sz w:val="24"/>
          <w:szCs w:val="24"/>
          <w:highlight w:val="none"/>
          <w:lang w:val="en-US" w:eastAsia="zh-CN"/>
        </w:rPr>
        <w:t>hzghxmglyxgs@163.com</w:t>
      </w:r>
    </w:p>
    <w:p>
      <w:pPr>
        <w:pStyle w:val="7"/>
        <w:jc w:val="both"/>
        <w:rPr>
          <w:rFonts w:hint="eastAsia" w:ascii="仿宋" w:hAnsi="仿宋" w:eastAsia="仿宋" w:cs="仿宋"/>
          <w:color w:val="auto"/>
          <w:highlight w:val="none"/>
        </w:rPr>
      </w:pPr>
      <w:r>
        <w:rPr>
          <w:rFonts w:hint="eastAsia" w:ascii="仿宋" w:hAnsi="仿宋" w:eastAsia="仿宋" w:cs="仿宋"/>
          <w:color w:val="auto"/>
          <w:highlight w:val="none"/>
          <w:u w:val="single"/>
          <w:lang w:val="en-US" w:eastAsia="zh-CN"/>
        </w:rPr>
        <w:t xml:space="preserve">                                                        </w:t>
      </w:r>
    </w:p>
    <w:p>
      <w:pPr>
        <w:pStyle w:val="7"/>
        <w:jc w:val="both"/>
        <w:rPr>
          <w:rFonts w:hint="eastAsia" w:ascii="仿宋" w:hAnsi="仿宋" w:eastAsia="仿宋" w:cs="仿宋"/>
          <w:color w:val="auto"/>
          <w:highlight w:val="none"/>
        </w:rPr>
      </w:pPr>
    </w:p>
    <w:sectPr>
      <w:headerReference r:id="rId31" w:type="first"/>
      <w:footerReference r:id="rId33" w:type="first"/>
      <w:footerReference r:id="rId32" w:type="default"/>
      <w:pgSz w:w="11905" w:h="16840"/>
      <w:pgMar w:top="1417" w:right="1417" w:bottom="1417" w:left="1417" w:header="935" w:footer="102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400" w:hangingChars="200"/>
      <w:jc w:val="center"/>
      <w:rPr>
        <w:rFonts w:ascii="楷体" w:hAnsi="楷体" w:eastAsia="楷体" w:cs="楷体"/>
        <w:b/>
        <w:sz w:val="20"/>
        <w:szCs w:val="20"/>
        <w:u w:val="single"/>
      </w:rPr>
    </w:pPr>
    <w:r>
      <w:rPr>
        <w:rFonts w:hint="eastAsia" w:ascii="仿宋" w:hAnsi="仿宋" w:eastAsia="仿宋" w:cs="仿宋"/>
        <w:b w:val="0"/>
        <w:bCs/>
        <w:sz w:val="20"/>
        <w:szCs w:val="20"/>
        <w:u w:val="single"/>
        <w:lang w:eastAsia="zh-CN"/>
      </w:rPr>
      <w:t>华招广和项目管理有限公司</w:t>
    </w:r>
    <w:r>
      <w:rPr>
        <w:rFonts w:hint="eastAsia" w:ascii="仿宋" w:hAnsi="仿宋" w:eastAsia="仿宋" w:cs="仿宋"/>
        <w:b w:val="0"/>
        <w:bCs/>
        <w:sz w:val="20"/>
        <w:szCs w:val="20"/>
        <w:u w:val="single"/>
        <w:lang w:val="en-US" w:eastAsia="zh-CN"/>
      </w:rPr>
      <w:t xml:space="preserve"> </w:t>
    </w:r>
    <w:r>
      <w:rPr>
        <w:rFonts w:hint="eastAsia" w:ascii="仿宋" w:hAnsi="仿宋" w:eastAsia="仿宋" w:cs="仿宋"/>
        <w:b w:val="0"/>
        <w:bCs/>
        <w:sz w:val="20"/>
        <w:szCs w:val="20"/>
        <w:u w:val="single"/>
      </w:rPr>
      <w:t xml:space="preserve"> 地 址：西安市朱雀大街南段1号汇成天玺C座18层电 话：029-85566819</w:t>
    </w:r>
  </w:p>
  <w:p>
    <w:pPr>
      <w:spacing w:line="280" w:lineRule="exact"/>
      <w:ind w:left="360" w:hanging="360" w:hangingChars="200"/>
      <w:rPr>
        <w:rFonts w:ascii="楷体" w:hAnsi="楷体" w:eastAsia="楷体" w:cs="楷体"/>
        <w:b/>
        <w:sz w:val="18"/>
        <w:szCs w:val="18"/>
        <w:u w:val="single"/>
      </w:rPr>
    </w:pPr>
    <w:r>
      <w:rPr>
        <w:sz w:val="18"/>
      </w:rPr>
      <w:pict>
        <v:shape id="_x0000_s2059" o:spid="_x0000_s2059"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tabs>
        <w:tab w:val="center" w:pos="7063"/>
        <w:tab w:val="left" w:pos="13313"/>
      </w:tabs>
      <w:spacing w:line="280" w:lineRule="exact"/>
      <w:jc w:val="left"/>
      <w:rPr>
        <w:rFonts w:hint="eastAsia" w:ascii="楷体" w:hAnsi="楷体" w:eastAsia="仿宋" w:cs="楷体"/>
        <w:b/>
        <w:sz w:val="18"/>
        <w:szCs w:val="18"/>
        <w:u w:val="single"/>
        <w:lang w:eastAsia="zh-CN"/>
      </w:rPr>
    </w:pPr>
    <w:r>
      <w:rPr>
        <w:rFonts w:hint="eastAsia" w:ascii="仿宋" w:hAnsi="仿宋" w:eastAsia="仿宋" w:cs="仿宋"/>
        <w:b w:val="0"/>
        <w:bCs/>
        <w:sz w:val="18"/>
        <w:szCs w:val="18"/>
        <w:u w:val="single"/>
        <w:lang w:eastAsia="zh-CN"/>
      </w:rPr>
      <w:tab/>
    </w: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r>
      <w:rPr>
        <w:rFonts w:hint="eastAsia" w:ascii="仿宋" w:hAnsi="仿宋" w:eastAsia="仿宋" w:cs="仿宋"/>
        <w:b w:val="0"/>
        <w:bCs/>
        <w:sz w:val="18"/>
        <w:szCs w:val="18"/>
        <w:u w:val="single"/>
        <w:lang w:eastAsia="zh-CN"/>
      </w:rPr>
      <w:tab/>
    </w:r>
  </w:p>
  <w:p>
    <w:pPr>
      <w:spacing w:line="280" w:lineRule="exact"/>
      <w:jc w:val="center"/>
      <w:rPr>
        <w:rFonts w:ascii="楷体" w:hAnsi="楷体" w:eastAsia="楷体" w:cs="楷体"/>
        <w:b/>
        <w:sz w:val="18"/>
        <w:szCs w:val="18"/>
        <w:u w:val="single"/>
      </w:rP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电 话：029-85566819</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pPr>
                  <w:pStyle w:val="14"/>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359"/>
        <w:tab w:val="clear" w:pos="4153"/>
      </w:tabs>
      <w:spacing w:line="360" w:lineRule="auto"/>
      <w:rPr>
        <w:rFonts w:ascii="楷体" w:hAnsi="楷体" w:eastAsia="楷体" w:cs="楷体"/>
        <w:b/>
        <w:sz w:val="18"/>
        <w:szCs w:val="18"/>
        <w:u w:val="single"/>
      </w:rPr>
    </w:pPr>
    <w:r>
      <w:rPr>
        <w:rFonts w:hint="eastAsia" w:ascii="仿宋" w:hAnsi="仿宋" w:eastAsia="仿宋" w:cs="仿宋"/>
        <w:sz w:val="18"/>
      </w:rPr>
      <w:pict>
        <v:shape id="_x0000_s2054" o:spid="_x0000_s2054" o:spt="202" type="#_x0000_t202" style="position:absolute;left:0pt;margin-left:191.85pt;margin-top:12.2pt;height:18.2pt;width:81pt;mso-position-horizontal-relative:margin;z-index:251664384;mso-width-relative:page;mso-height-relative:page;" filled="f" stroked="f" coordsize="21600,21600">
          <v:path/>
          <v:fill on="f" focussize="0,0"/>
          <v:stroke on="f" weight="0.5pt"/>
          <v:imagedata o:title=""/>
          <o:lock v:ext="edit" aspectratio="f"/>
          <v:textbox inset="0mm,0mm,0mm,0mm">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电 话：029-85566819</w:t>
    </w:r>
  </w:p>
  <w:p>
    <w:pPr>
      <w:spacing w:line="280" w:lineRule="exact"/>
      <w:rPr>
        <w:rFonts w:hint="eastAsia" w:ascii="仿宋" w:hAnsi="仿宋" w:eastAsia="仿宋" w:cs="仿宋"/>
        <w:b w:val="0"/>
        <w:bCs/>
        <w:sz w:val="18"/>
        <w:szCs w:val="18"/>
        <w:u w:val="single"/>
      </w:rPr>
    </w:pPr>
    <w:r>
      <w:rPr>
        <w:rFonts w:hint="eastAsia" w:ascii="仿宋" w:hAnsi="仿宋" w:eastAsia="仿宋" w:cs="仿宋"/>
        <w:b w:val="0"/>
        <w:bCs/>
        <w:sz w:val="18"/>
      </w:rPr>
      <w:pict>
        <v:shape id="_x0000_s2053" o:spid="_x0000_s205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left="0"/>
      <w:rPr>
        <w:b/>
        <w:bCs/>
        <w:sz w:val="18"/>
        <w:szCs w:val="18"/>
      </w:rPr>
    </w:pPr>
    <w:r>
      <w:rPr>
        <w:rFonts w:hint="eastAsia" w:ascii="仿宋" w:hAnsi="仿宋" w:eastAsia="仿宋" w:cs="仿宋"/>
        <w:b/>
        <w:bCs/>
        <w:sz w:val="18"/>
        <w:szCs w:val="18"/>
      </w:rPr>
      <w:pict>
        <v:shape id="_x0000_s2055" o:spid="_x0000_s2055" o:spt="202" type="#_x0000_t202" style="position:absolute;left:0pt;margin-left:187.1pt;margin-top:16.85pt;height:144pt;width:144p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sz w:val="18"/>
        <w:szCs w:val="18"/>
        <w:u w:val="single"/>
        <w:lang w:eastAsia="zh-CN"/>
      </w:rPr>
      <w:t>华招广和项目管理有限公司</w:t>
    </w:r>
    <w:r>
      <w:rPr>
        <w:rFonts w:hint="eastAsia" w:ascii="仿宋" w:hAnsi="仿宋" w:eastAsia="仿宋" w:cs="仿宋"/>
        <w:b/>
        <w:bCs/>
        <w:sz w:val="18"/>
        <w:szCs w:val="18"/>
        <w:u w:val="single"/>
      </w:rPr>
      <w:t xml:space="preserve">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pPr>
    <w:r>
      <w:rPr>
        <w:sz w:val="18"/>
      </w:rPr>
      <w:pict>
        <v:shape id="_x0000_s2066" o:spid="_x0000_s2066" o:spt="202" type="#_x0000_t202" style="position:absolute;left:0pt;margin-left:186.15pt;margin-top:18.75pt;height:144pt;width:144pt;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rPr>
        <w:rFonts w:hint="eastAsia"/>
      </w:rPr>
    </w:pPr>
    <w:r>
      <w:rPr>
        <w:sz w:val="18"/>
      </w:rPr>
      <w:pict>
        <v:shape id="_x0000_s2067" o:spid="_x0000_s2067" o:spt="202" type="#_x0000_t202" style="position:absolute;left:0pt;margin-left:182.4pt;margin-top:20.6pt;height:144pt;width:144pt;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jc w:val="center"/>
      <w:rPr>
        <w:rFonts w:ascii="楷体" w:hAnsi="楷体" w:eastAsia="楷体" w:cs="楷体"/>
        <w:b/>
        <w:sz w:val="18"/>
        <w:szCs w:val="18"/>
      </w:rPr>
    </w:pPr>
    <w:r>
      <w:rPr>
        <w:sz w:val="18"/>
      </w:rPr>
      <w:pict>
        <v:shape id="_x0000_s2058" o:spid="_x0000_s205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rPr>
        <w:rFonts w:ascii="宋体" w:hAnsi="宋体"/>
        <w:b/>
        <w:sz w:val="21"/>
        <w:szCs w:val="16"/>
      </w:rPr>
    </w:pPr>
    <w:r>
      <w:rPr>
        <w:sz w:val="18"/>
      </w:rPr>
      <w:pict>
        <v:shape id="_x0000_s2050" o:spid="_x0000_s2050"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0" w:hangingChars="200"/>
      <w:rPr>
        <w:rFonts w:ascii="楷体" w:hAnsi="楷体" w:eastAsia="楷体" w:cs="楷体"/>
        <w:b/>
        <w:sz w:val="18"/>
        <w:szCs w:val="18"/>
        <w:u w:val="single"/>
      </w:rPr>
    </w:pP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w:pict>
        <v:shape id="_x0000_s2049" o:spid="_x0000_s204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rPr>
    </w:pPr>
    <w:r>
      <w:rPr>
        <w:rFonts w:hint="eastAsia" w:ascii="仿宋" w:hAnsi="仿宋" w:eastAsia="仿宋" w:cs="仿宋"/>
        <w:b w:val="0"/>
        <w:bCs/>
        <w:u w:val="single"/>
        <w:lang w:eastAsia="zh-CN"/>
      </w:rPr>
      <w:t>膈肌起搏器等医疗设备采购项目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        </w:t>
    </w:r>
    <w:r>
      <w:rPr>
        <w:rFonts w:hint="eastAsia" w:ascii="楷体" w:hAnsi="楷体" w:eastAsia="楷体" w:cs="楷体"/>
        <w:b/>
        <w:u w:val="single"/>
        <w:lang w:val="en-US" w:eastAsia="zh-C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240" w:lineRule="auto"/>
      <w:jc w:val="both"/>
      <w:textAlignment w:val="auto"/>
    </w:pPr>
    <w:r>
      <w:rPr>
        <w:rFonts w:hint="eastAsia" w:ascii="仿宋" w:hAnsi="仿宋" w:eastAsia="仿宋" w:cs="仿宋"/>
        <w:b/>
        <w:bCs w:val="0"/>
        <w:sz w:val="20"/>
        <w:szCs w:val="20"/>
        <w:u w:val="none"/>
        <w:lang w:eastAsia="zh-CN"/>
      </w:rPr>
      <w:t>膈肌起搏器等医疗设备采购项目</w:t>
    </w:r>
    <w:r>
      <w:rPr>
        <w:rFonts w:hint="eastAsia" w:ascii="仿宋" w:hAnsi="仿宋" w:eastAsia="仿宋" w:cs="仿宋"/>
        <w:b/>
        <w:bCs w:val="0"/>
        <w:sz w:val="20"/>
        <w:szCs w:val="20"/>
        <w:u w:val="none"/>
      </w:rPr>
      <w:t xml:space="preserve">                </w:t>
    </w:r>
    <w:r>
      <w:rPr>
        <w:rFonts w:hint="eastAsia" w:ascii="仿宋" w:hAnsi="仿宋" w:eastAsia="仿宋" w:cs="仿宋"/>
        <w:b/>
        <w:bCs w:val="0"/>
        <w:sz w:val="20"/>
        <w:szCs w:val="20"/>
        <w:u w:val="none"/>
        <w:lang w:val="en-US" w:eastAsia="zh-CN"/>
      </w:rPr>
      <w:t xml:space="preserve">                   公开招标文件 </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b/>
        <w:bCs w:val="0"/>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none" w:color="auto" w:sz="0" w:space="1"/>
      </w:pBdr>
      <w:kinsoku/>
      <w:wordWrap/>
      <w:overflowPunct/>
      <w:topLinePunct w:val="0"/>
      <w:autoSpaceDE/>
      <w:autoSpaceDN/>
      <w:bidi w:val="0"/>
      <w:adjustRightInd/>
      <w:snapToGrid w:val="0"/>
      <w:spacing w:line="480" w:lineRule="exact"/>
      <w:jc w:val="both"/>
      <w:textAlignment w:val="auto"/>
      <w:rPr>
        <w:rFonts w:hint="eastAsia"/>
        <w:u w:val="none"/>
        <w:lang w:eastAsia="zh-CN"/>
      </w:rPr>
    </w:pPr>
    <w:r>
      <w:rPr>
        <w:rFonts w:hint="eastAsia" w:ascii="仿宋" w:hAnsi="仿宋" w:eastAsia="仿宋" w:cs="仿宋"/>
        <w:b w:val="0"/>
        <w:bCs/>
        <w:u w:val="single"/>
        <w:lang w:eastAsia="zh-CN"/>
      </w:rPr>
      <w:t>膈肌起搏器等医疗设备采购项目</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仿宋" w:hAnsi="仿宋" w:eastAsia="仿宋" w:cs="仿宋"/>
        <w:b w:val="0"/>
        <w:bCs/>
        <w:u w:val="single"/>
        <w:lang w:val="en-US" w:eastAsia="zh-CN"/>
      </w:rPr>
      <w:t xml:space="preserve">   公开招标文件</w:t>
    </w:r>
    <w:r>
      <w:rPr>
        <w:rFonts w:hint="eastAsia" w:ascii="楷体" w:hAnsi="楷体" w:eastAsia="楷体" w:cs="楷体"/>
        <w:b/>
        <w:u w:val="single"/>
        <w:lang w:val="en-US" w:eastAsia="zh-CN"/>
      </w:rPr>
      <w:t xml:space="preserve">                        </w:t>
    </w:r>
    <w:r>
      <w:rPr>
        <w:rFonts w:hint="eastAsia" w:ascii="楷体" w:hAnsi="楷体" w:eastAsia="楷体" w:cs="楷体"/>
        <w:b/>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b/>
        <w:bCs w:val="0"/>
        <w:sz w:val="20"/>
        <w:szCs w:val="20"/>
      </w:rPr>
    </w:pPr>
    <w:r>
      <w:rPr>
        <w:rFonts w:hint="eastAsia" w:ascii="仿宋" w:hAnsi="仿宋" w:eastAsia="仿宋" w:cs="仿宋"/>
        <w:b/>
        <w:bCs w:val="0"/>
        <w:sz w:val="20"/>
        <w:szCs w:val="20"/>
        <w:u w:val="single"/>
        <w:lang w:eastAsia="zh-CN"/>
      </w:rPr>
      <w:t>膈肌起搏器等医疗设备采购项目</w:t>
    </w:r>
    <w:r>
      <w:rPr>
        <w:rFonts w:hint="eastAsia" w:ascii="仿宋" w:hAnsi="仿宋" w:eastAsia="仿宋" w:cs="仿宋"/>
        <w:b/>
        <w:bCs w:val="0"/>
        <w:sz w:val="20"/>
        <w:szCs w:val="20"/>
        <w:u w:val="single"/>
      </w:rPr>
      <w:t xml:space="preserve">  </w:t>
    </w:r>
    <w:r>
      <w:rPr>
        <w:rFonts w:hint="eastAsia" w:ascii="仿宋" w:hAnsi="仿宋" w:eastAsia="仿宋" w:cs="仿宋"/>
        <w:b/>
        <w:bCs w:val="0"/>
        <w:sz w:val="20"/>
        <w:szCs w:val="20"/>
        <w:u w:val="single"/>
        <w:lang w:val="en-US" w:eastAsia="zh-CN"/>
      </w:rPr>
      <w:t xml:space="preserve">                                 公开招标文件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hint="eastAsia" w:ascii="宋体" w:hAnsi="宋体" w:eastAsia="楷体"/>
        <w:b/>
        <w:bCs w:val="0"/>
        <w:u w:val="single"/>
        <w:lang w:eastAsia="zh-CN"/>
      </w:rPr>
    </w:pPr>
    <w:r>
      <w:rPr>
        <w:rFonts w:hint="eastAsia" w:ascii="仿宋" w:hAnsi="仿宋" w:eastAsia="仿宋" w:cs="仿宋"/>
        <w:b/>
        <w:bCs w:val="0"/>
        <w:u w:val="single"/>
        <w:lang w:eastAsia="zh-CN"/>
      </w:rPr>
      <w:t>膈肌起搏器等医疗设备采购项目</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公开招标文件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ascii="楷体" w:hAnsi="楷体" w:eastAsia="楷体" w:cs="楷体"/>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仿宋" w:hAnsi="仿宋" w:eastAsia="仿宋" w:cs="仿宋"/>
        <w:b/>
        <w:bCs w:val="0"/>
        <w:u w:val="none"/>
      </w:rPr>
      <w:t xml:space="preserve"> </w:t>
    </w:r>
    <w:r>
      <w:rPr>
        <w:rFonts w:hint="eastAsia" w:ascii="楷体" w:hAnsi="楷体" w:eastAsia="楷体" w:cs="楷体"/>
        <w:b/>
        <w:bCs w:val="0"/>
        <w:u w:val="none"/>
      </w:rPr>
      <w:t xml:space="preserve">  </w:t>
    </w:r>
    <w:r>
      <w:rPr>
        <w:rFonts w:hint="eastAsia" w:ascii="楷体" w:hAnsi="楷体" w:eastAsia="楷体" w:cs="楷体"/>
        <w:b/>
        <w:u w:val="none"/>
      </w:rPr>
      <w:t xml:space="preserve"> </w:t>
    </w:r>
    <w:r>
      <w:rPr>
        <w:rFonts w:hint="eastAsia" w:ascii="楷体" w:hAnsi="楷体" w:eastAsia="楷体" w:cs="楷体"/>
        <w:b/>
        <w:u w:val="none"/>
        <w:lang w:val="en-US" w:eastAsia="zh-CN"/>
      </w:rPr>
      <w:t xml:space="preserve">                                                                                                        </w:t>
    </w:r>
    <w:r>
      <w:rPr>
        <w:rFonts w:hint="eastAsia" w:ascii="楷体" w:hAnsi="楷体" w:eastAsia="楷体" w:cs="楷体"/>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r>
      <w:rPr>
        <w:rFonts w:hint="eastAsia" w:ascii="楷体" w:hAnsi="楷体" w:eastAsia="楷体" w:cs="楷体"/>
        <w:b/>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AB45C"/>
    <w:multiLevelType w:val="singleLevel"/>
    <w:tmpl w:val="B75AB45C"/>
    <w:lvl w:ilvl="0" w:tentative="0">
      <w:start w:val="10"/>
      <w:numFmt w:val="decimal"/>
      <w:suff w:val="nothing"/>
      <w:lvlText w:val="%1、"/>
      <w:lvlJc w:val="left"/>
    </w:lvl>
  </w:abstractNum>
  <w:abstractNum w:abstractNumId="1">
    <w:nsid w:val="F8DC9CD1"/>
    <w:multiLevelType w:val="singleLevel"/>
    <w:tmpl w:val="F8DC9CD1"/>
    <w:lvl w:ilvl="0" w:tentative="0">
      <w:start w:val="6"/>
      <w:numFmt w:val="chineseCounting"/>
      <w:suff w:val="space"/>
      <w:lvlText w:val="第%1章"/>
      <w:lvlJc w:val="left"/>
      <w:rPr>
        <w:rFonts w:hint="eastAsia"/>
      </w:rPr>
    </w:lvl>
  </w:abstractNum>
  <w:abstractNum w:abstractNumId="2">
    <w:nsid w:val="0000000E"/>
    <w:multiLevelType w:val="singleLevel"/>
    <w:tmpl w:val="0000000E"/>
    <w:lvl w:ilvl="0" w:tentative="0">
      <w:start w:val="2"/>
      <w:numFmt w:val="decimal"/>
      <w:suff w:val="nothing"/>
      <w:lvlText w:val="%1）"/>
      <w:lvlJc w:val="left"/>
    </w:lvl>
  </w:abstractNum>
  <w:abstractNum w:abstractNumId="3">
    <w:nsid w:val="01041D89"/>
    <w:multiLevelType w:val="singleLevel"/>
    <w:tmpl w:val="01041D89"/>
    <w:lvl w:ilvl="0" w:tentative="0">
      <w:start w:val="1"/>
      <w:numFmt w:val="chineseCounting"/>
      <w:suff w:val="space"/>
      <w:lvlText w:val="第%1章"/>
      <w:lvlJc w:val="left"/>
      <w:rPr>
        <w:rFonts w:hint="eastAsia"/>
      </w:rPr>
    </w:lvl>
  </w:abstractNum>
  <w:abstractNum w:abstractNumId="4">
    <w:nsid w:val="1734BF6A"/>
    <w:multiLevelType w:val="singleLevel"/>
    <w:tmpl w:val="1734BF6A"/>
    <w:lvl w:ilvl="0" w:tentative="0">
      <w:start w:val="1"/>
      <w:numFmt w:val="decimal"/>
      <w:suff w:val="nothing"/>
      <w:lvlText w:val="%1、"/>
      <w:lvlJc w:val="left"/>
    </w:lvl>
  </w:abstractNum>
  <w:abstractNum w:abstractNumId="5">
    <w:nsid w:val="576A36EB"/>
    <w:multiLevelType w:val="singleLevel"/>
    <w:tmpl w:val="576A36EB"/>
    <w:lvl w:ilvl="0" w:tentative="0">
      <w:start w:val="1"/>
      <w:numFmt w:val="decimal"/>
      <w:suff w:val="nothing"/>
      <w:lvlText w:val="（%1）"/>
      <w:lvlJc w:val="left"/>
    </w:lvl>
  </w:abstractNum>
  <w:abstractNum w:abstractNumId="6">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6131D8C7"/>
    <w:multiLevelType w:val="singleLevel"/>
    <w:tmpl w:val="6131D8C7"/>
    <w:lvl w:ilvl="0" w:tentative="0">
      <w:start w:val="3"/>
      <w:numFmt w:val="chineseCounting"/>
      <w:suff w:val="space"/>
      <w:lvlText w:val="第%1章"/>
      <w:lvlJc w:val="left"/>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ZjZTVlYjc4MTYxOWE0MmI4MTYyZmE4NjhhODg0NWUifQ=="/>
  </w:docVars>
  <w:rsids>
    <w:rsidRoot w:val="00172A27"/>
    <w:rsid w:val="001332BF"/>
    <w:rsid w:val="00212B6B"/>
    <w:rsid w:val="002D1185"/>
    <w:rsid w:val="003F04EF"/>
    <w:rsid w:val="00415775"/>
    <w:rsid w:val="00415DA5"/>
    <w:rsid w:val="00437251"/>
    <w:rsid w:val="004F223F"/>
    <w:rsid w:val="0054681D"/>
    <w:rsid w:val="00622852"/>
    <w:rsid w:val="006512A4"/>
    <w:rsid w:val="006E4C02"/>
    <w:rsid w:val="007B1225"/>
    <w:rsid w:val="007B30B1"/>
    <w:rsid w:val="008563F8"/>
    <w:rsid w:val="009140CB"/>
    <w:rsid w:val="00A86B23"/>
    <w:rsid w:val="00B507E4"/>
    <w:rsid w:val="00C12FAC"/>
    <w:rsid w:val="00CA45D3"/>
    <w:rsid w:val="00D04A1F"/>
    <w:rsid w:val="00DE02AD"/>
    <w:rsid w:val="00E84244"/>
    <w:rsid w:val="00F35AEF"/>
    <w:rsid w:val="01055DED"/>
    <w:rsid w:val="012357C5"/>
    <w:rsid w:val="0124044D"/>
    <w:rsid w:val="012F172C"/>
    <w:rsid w:val="012F2A87"/>
    <w:rsid w:val="013B4745"/>
    <w:rsid w:val="013F27E7"/>
    <w:rsid w:val="014C0D5E"/>
    <w:rsid w:val="01523E16"/>
    <w:rsid w:val="015509EB"/>
    <w:rsid w:val="016D5D6E"/>
    <w:rsid w:val="01770D23"/>
    <w:rsid w:val="01792237"/>
    <w:rsid w:val="017D4B6D"/>
    <w:rsid w:val="018B4AD5"/>
    <w:rsid w:val="01A9549C"/>
    <w:rsid w:val="01B444B0"/>
    <w:rsid w:val="01B93012"/>
    <w:rsid w:val="01CA3F1A"/>
    <w:rsid w:val="01D17056"/>
    <w:rsid w:val="01D9415D"/>
    <w:rsid w:val="01DC0309"/>
    <w:rsid w:val="01E07E04"/>
    <w:rsid w:val="01E72F16"/>
    <w:rsid w:val="01F6245E"/>
    <w:rsid w:val="020B2B51"/>
    <w:rsid w:val="022C51CF"/>
    <w:rsid w:val="023D0CA8"/>
    <w:rsid w:val="0272187E"/>
    <w:rsid w:val="0273481D"/>
    <w:rsid w:val="027B5DA6"/>
    <w:rsid w:val="028E56AC"/>
    <w:rsid w:val="029C5C96"/>
    <w:rsid w:val="029D4595"/>
    <w:rsid w:val="029E1D87"/>
    <w:rsid w:val="02C11121"/>
    <w:rsid w:val="02CA10BB"/>
    <w:rsid w:val="02E00A2B"/>
    <w:rsid w:val="02E24518"/>
    <w:rsid w:val="02EA5B34"/>
    <w:rsid w:val="02F219E1"/>
    <w:rsid w:val="02FE10CF"/>
    <w:rsid w:val="03092897"/>
    <w:rsid w:val="03114ED8"/>
    <w:rsid w:val="031C45A2"/>
    <w:rsid w:val="03226876"/>
    <w:rsid w:val="03244E14"/>
    <w:rsid w:val="032822E5"/>
    <w:rsid w:val="033E3C8D"/>
    <w:rsid w:val="0363799C"/>
    <w:rsid w:val="03666CBA"/>
    <w:rsid w:val="03804B01"/>
    <w:rsid w:val="03927018"/>
    <w:rsid w:val="03F25C0E"/>
    <w:rsid w:val="0402140E"/>
    <w:rsid w:val="040E606A"/>
    <w:rsid w:val="0413485F"/>
    <w:rsid w:val="042302C3"/>
    <w:rsid w:val="04286C44"/>
    <w:rsid w:val="04681381"/>
    <w:rsid w:val="047000DE"/>
    <w:rsid w:val="048076C9"/>
    <w:rsid w:val="04A35E84"/>
    <w:rsid w:val="04EF0188"/>
    <w:rsid w:val="050359C4"/>
    <w:rsid w:val="05145A42"/>
    <w:rsid w:val="05243AD3"/>
    <w:rsid w:val="05244660"/>
    <w:rsid w:val="0544323B"/>
    <w:rsid w:val="055B54AB"/>
    <w:rsid w:val="055F0593"/>
    <w:rsid w:val="057C07ED"/>
    <w:rsid w:val="0582059A"/>
    <w:rsid w:val="05881D5D"/>
    <w:rsid w:val="059565ED"/>
    <w:rsid w:val="059A78A9"/>
    <w:rsid w:val="059F6C93"/>
    <w:rsid w:val="05C32147"/>
    <w:rsid w:val="05CC27DB"/>
    <w:rsid w:val="05E12F78"/>
    <w:rsid w:val="05E338DE"/>
    <w:rsid w:val="05E85EDC"/>
    <w:rsid w:val="05EF4934"/>
    <w:rsid w:val="05FB470C"/>
    <w:rsid w:val="063B2138"/>
    <w:rsid w:val="06424AAD"/>
    <w:rsid w:val="066702F8"/>
    <w:rsid w:val="06671B17"/>
    <w:rsid w:val="067261DB"/>
    <w:rsid w:val="06730A9B"/>
    <w:rsid w:val="06842B31"/>
    <w:rsid w:val="068968D6"/>
    <w:rsid w:val="068C0996"/>
    <w:rsid w:val="06942BE2"/>
    <w:rsid w:val="069A21EB"/>
    <w:rsid w:val="06AD6D7A"/>
    <w:rsid w:val="06B1749B"/>
    <w:rsid w:val="06B90E07"/>
    <w:rsid w:val="06DB69A0"/>
    <w:rsid w:val="06E174F0"/>
    <w:rsid w:val="071579E5"/>
    <w:rsid w:val="073B1519"/>
    <w:rsid w:val="074309B5"/>
    <w:rsid w:val="074D45F0"/>
    <w:rsid w:val="075238C8"/>
    <w:rsid w:val="075409F1"/>
    <w:rsid w:val="077716F8"/>
    <w:rsid w:val="0784427C"/>
    <w:rsid w:val="079C558D"/>
    <w:rsid w:val="07A86BC0"/>
    <w:rsid w:val="07B06814"/>
    <w:rsid w:val="07B1292F"/>
    <w:rsid w:val="07B83524"/>
    <w:rsid w:val="07ED6184"/>
    <w:rsid w:val="07FF518E"/>
    <w:rsid w:val="081E722F"/>
    <w:rsid w:val="08263A7B"/>
    <w:rsid w:val="08343F08"/>
    <w:rsid w:val="08390C7A"/>
    <w:rsid w:val="084F5E63"/>
    <w:rsid w:val="087361B7"/>
    <w:rsid w:val="08816678"/>
    <w:rsid w:val="08865858"/>
    <w:rsid w:val="08C40321"/>
    <w:rsid w:val="08C916A1"/>
    <w:rsid w:val="08D93C4A"/>
    <w:rsid w:val="08F62F8E"/>
    <w:rsid w:val="09132E62"/>
    <w:rsid w:val="091A2465"/>
    <w:rsid w:val="092F3308"/>
    <w:rsid w:val="0952618D"/>
    <w:rsid w:val="096F0401"/>
    <w:rsid w:val="09875E86"/>
    <w:rsid w:val="09917F6C"/>
    <w:rsid w:val="09AF7900"/>
    <w:rsid w:val="09B84246"/>
    <w:rsid w:val="09EE72C6"/>
    <w:rsid w:val="0A0018ED"/>
    <w:rsid w:val="0A0C6A2E"/>
    <w:rsid w:val="0A2817E2"/>
    <w:rsid w:val="0A405FB1"/>
    <w:rsid w:val="0A4B6101"/>
    <w:rsid w:val="0A530AAC"/>
    <w:rsid w:val="0A5663A8"/>
    <w:rsid w:val="0A5D6092"/>
    <w:rsid w:val="0A783EE1"/>
    <w:rsid w:val="0A8660B1"/>
    <w:rsid w:val="0A9E5956"/>
    <w:rsid w:val="0AC05AD3"/>
    <w:rsid w:val="0AD66945"/>
    <w:rsid w:val="0ADE612F"/>
    <w:rsid w:val="0AEE0C79"/>
    <w:rsid w:val="0AF812C0"/>
    <w:rsid w:val="0AFC0079"/>
    <w:rsid w:val="0AFD2C46"/>
    <w:rsid w:val="0B1434B9"/>
    <w:rsid w:val="0B1801AC"/>
    <w:rsid w:val="0B295D9A"/>
    <w:rsid w:val="0B297899"/>
    <w:rsid w:val="0B394155"/>
    <w:rsid w:val="0B3B7FFF"/>
    <w:rsid w:val="0B8D1D0D"/>
    <w:rsid w:val="0BC065FD"/>
    <w:rsid w:val="0BC742BD"/>
    <w:rsid w:val="0BD42F9A"/>
    <w:rsid w:val="0BF7122A"/>
    <w:rsid w:val="0BF76B33"/>
    <w:rsid w:val="0C1B324A"/>
    <w:rsid w:val="0C2A4A9B"/>
    <w:rsid w:val="0C2C5130"/>
    <w:rsid w:val="0C394E6F"/>
    <w:rsid w:val="0C7C3AF1"/>
    <w:rsid w:val="0C7F7B3F"/>
    <w:rsid w:val="0C8D0FFD"/>
    <w:rsid w:val="0C9F35C5"/>
    <w:rsid w:val="0CA34C15"/>
    <w:rsid w:val="0CB02C73"/>
    <w:rsid w:val="0CB4444F"/>
    <w:rsid w:val="0CCA7874"/>
    <w:rsid w:val="0CCE1649"/>
    <w:rsid w:val="0CD143AE"/>
    <w:rsid w:val="0CD35D61"/>
    <w:rsid w:val="0CDD25B5"/>
    <w:rsid w:val="0CFD5D54"/>
    <w:rsid w:val="0D0509C0"/>
    <w:rsid w:val="0D0A04D3"/>
    <w:rsid w:val="0D141443"/>
    <w:rsid w:val="0D2A3412"/>
    <w:rsid w:val="0D3C343A"/>
    <w:rsid w:val="0D68320E"/>
    <w:rsid w:val="0D6F3E84"/>
    <w:rsid w:val="0D7414F9"/>
    <w:rsid w:val="0D7504FF"/>
    <w:rsid w:val="0D7541CB"/>
    <w:rsid w:val="0D771362"/>
    <w:rsid w:val="0D7B584C"/>
    <w:rsid w:val="0D971B21"/>
    <w:rsid w:val="0DC066B8"/>
    <w:rsid w:val="0DDC6F83"/>
    <w:rsid w:val="0DF37BA7"/>
    <w:rsid w:val="0E035AFD"/>
    <w:rsid w:val="0E0C77C9"/>
    <w:rsid w:val="0E1C5299"/>
    <w:rsid w:val="0E492B32"/>
    <w:rsid w:val="0E50645E"/>
    <w:rsid w:val="0E516D66"/>
    <w:rsid w:val="0E56494C"/>
    <w:rsid w:val="0E613CA6"/>
    <w:rsid w:val="0E687109"/>
    <w:rsid w:val="0EA0672E"/>
    <w:rsid w:val="0EAE1199"/>
    <w:rsid w:val="0EC45296"/>
    <w:rsid w:val="0ECD1414"/>
    <w:rsid w:val="0ECF3AB3"/>
    <w:rsid w:val="0ED717DB"/>
    <w:rsid w:val="0EDC0DEC"/>
    <w:rsid w:val="0F032FD0"/>
    <w:rsid w:val="0F1C53D9"/>
    <w:rsid w:val="0F22324D"/>
    <w:rsid w:val="0F3B7A08"/>
    <w:rsid w:val="0F473211"/>
    <w:rsid w:val="0F517930"/>
    <w:rsid w:val="0F6E0F54"/>
    <w:rsid w:val="0F730FDF"/>
    <w:rsid w:val="0F851B60"/>
    <w:rsid w:val="0FA318B0"/>
    <w:rsid w:val="0FAB058B"/>
    <w:rsid w:val="0FDD068A"/>
    <w:rsid w:val="0FE42502"/>
    <w:rsid w:val="0FF2353C"/>
    <w:rsid w:val="10366258"/>
    <w:rsid w:val="10533972"/>
    <w:rsid w:val="107408FA"/>
    <w:rsid w:val="10871698"/>
    <w:rsid w:val="108D5328"/>
    <w:rsid w:val="10A34A02"/>
    <w:rsid w:val="10BC3591"/>
    <w:rsid w:val="10BE4AFC"/>
    <w:rsid w:val="10BF4AC4"/>
    <w:rsid w:val="10C71E23"/>
    <w:rsid w:val="10E60340"/>
    <w:rsid w:val="10F62C44"/>
    <w:rsid w:val="10F70157"/>
    <w:rsid w:val="11026414"/>
    <w:rsid w:val="11040411"/>
    <w:rsid w:val="11097885"/>
    <w:rsid w:val="11196266"/>
    <w:rsid w:val="111F4E9F"/>
    <w:rsid w:val="112C3F71"/>
    <w:rsid w:val="113863E8"/>
    <w:rsid w:val="11423D95"/>
    <w:rsid w:val="11440F71"/>
    <w:rsid w:val="11625C09"/>
    <w:rsid w:val="11686CB0"/>
    <w:rsid w:val="1194672F"/>
    <w:rsid w:val="11AE5A5C"/>
    <w:rsid w:val="11B22024"/>
    <w:rsid w:val="11E2074A"/>
    <w:rsid w:val="11E410CE"/>
    <w:rsid w:val="11EB0E21"/>
    <w:rsid w:val="12194051"/>
    <w:rsid w:val="12441018"/>
    <w:rsid w:val="12575A6F"/>
    <w:rsid w:val="12636497"/>
    <w:rsid w:val="12802962"/>
    <w:rsid w:val="12837C26"/>
    <w:rsid w:val="1288628B"/>
    <w:rsid w:val="128F4B3E"/>
    <w:rsid w:val="12931771"/>
    <w:rsid w:val="1297299C"/>
    <w:rsid w:val="129C1085"/>
    <w:rsid w:val="12A24466"/>
    <w:rsid w:val="12AB57C6"/>
    <w:rsid w:val="12B916D9"/>
    <w:rsid w:val="12C62D16"/>
    <w:rsid w:val="12C66E1B"/>
    <w:rsid w:val="12E0108A"/>
    <w:rsid w:val="12E5382D"/>
    <w:rsid w:val="12F72695"/>
    <w:rsid w:val="130C1DB4"/>
    <w:rsid w:val="132E72DF"/>
    <w:rsid w:val="13435AC3"/>
    <w:rsid w:val="13456171"/>
    <w:rsid w:val="137D3F12"/>
    <w:rsid w:val="1381103D"/>
    <w:rsid w:val="13813A05"/>
    <w:rsid w:val="13974ECE"/>
    <w:rsid w:val="13A0181A"/>
    <w:rsid w:val="13A5784A"/>
    <w:rsid w:val="13BA1D03"/>
    <w:rsid w:val="13C52B29"/>
    <w:rsid w:val="13DF4459"/>
    <w:rsid w:val="13FE4229"/>
    <w:rsid w:val="14090F70"/>
    <w:rsid w:val="140A6FFA"/>
    <w:rsid w:val="14192869"/>
    <w:rsid w:val="142E6F39"/>
    <w:rsid w:val="143A24B3"/>
    <w:rsid w:val="14404038"/>
    <w:rsid w:val="14442427"/>
    <w:rsid w:val="1450503A"/>
    <w:rsid w:val="146107D5"/>
    <w:rsid w:val="146D0D6E"/>
    <w:rsid w:val="147815B3"/>
    <w:rsid w:val="148467C3"/>
    <w:rsid w:val="14C00317"/>
    <w:rsid w:val="14D07C41"/>
    <w:rsid w:val="14D110EB"/>
    <w:rsid w:val="14E94C0C"/>
    <w:rsid w:val="14EA7F1C"/>
    <w:rsid w:val="14ED2ACB"/>
    <w:rsid w:val="14F345D7"/>
    <w:rsid w:val="14F372D7"/>
    <w:rsid w:val="1506296A"/>
    <w:rsid w:val="151632A6"/>
    <w:rsid w:val="151B3FA6"/>
    <w:rsid w:val="15206496"/>
    <w:rsid w:val="152278DB"/>
    <w:rsid w:val="15293666"/>
    <w:rsid w:val="154E568E"/>
    <w:rsid w:val="15612E6D"/>
    <w:rsid w:val="157647B4"/>
    <w:rsid w:val="15816A00"/>
    <w:rsid w:val="158F0C46"/>
    <w:rsid w:val="15A703A2"/>
    <w:rsid w:val="15BD216B"/>
    <w:rsid w:val="15E17FEB"/>
    <w:rsid w:val="15FA64EA"/>
    <w:rsid w:val="161E1E16"/>
    <w:rsid w:val="16357A0B"/>
    <w:rsid w:val="16446C59"/>
    <w:rsid w:val="164C117E"/>
    <w:rsid w:val="16605739"/>
    <w:rsid w:val="1688735E"/>
    <w:rsid w:val="1697633D"/>
    <w:rsid w:val="16B85F78"/>
    <w:rsid w:val="16C53D60"/>
    <w:rsid w:val="16CB2E16"/>
    <w:rsid w:val="16EE2F79"/>
    <w:rsid w:val="16F4105E"/>
    <w:rsid w:val="17090F66"/>
    <w:rsid w:val="17102234"/>
    <w:rsid w:val="171505C0"/>
    <w:rsid w:val="17162CA4"/>
    <w:rsid w:val="171921EC"/>
    <w:rsid w:val="173338BA"/>
    <w:rsid w:val="173510B8"/>
    <w:rsid w:val="1750478E"/>
    <w:rsid w:val="175301E9"/>
    <w:rsid w:val="17625B4B"/>
    <w:rsid w:val="17646E49"/>
    <w:rsid w:val="176C1469"/>
    <w:rsid w:val="176E561B"/>
    <w:rsid w:val="17AE1FA3"/>
    <w:rsid w:val="17BC0CF5"/>
    <w:rsid w:val="17BE36CE"/>
    <w:rsid w:val="17DE12E7"/>
    <w:rsid w:val="17F20DEB"/>
    <w:rsid w:val="17F6732D"/>
    <w:rsid w:val="18116E71"/>
    <w:rsid w:val="181C111E"/>
    <w:rsid w:val="18275A8E"/>
    <w:rsid w:val="183B5375"/>
    <w:rsid w:val="183F4C86"/>
    <w:rsid w:val="18513CDE"/>
    <w:rsid w:val="18527BFC"/>
    <w:rsid w:val="185F4462"/>
    <w:rsid w:val="18825D67"/>
    <w:rsid w:val="18836302"/>
    <w:rsid w:val="18865395"/>
    <w:rsid w:val="18874B24"/>
    <w:rsid w:val="188A78FE"/>
    <w:rsid w:val="18900317"/>
    <w:rsid w:val="18BA0CCF"/>
    <w:rsid w:val="18CB7939"/>
    <w:rsid w:val="18CE7630"/>
    <w:rsid w:val="18E35026"/>
    <w:rsid w:val="18E51E11"/>
    <w:rsid w:val="18FA4C52"/>
    <w:rsid w:val="190F021E"/>
    <w:rsid w:val="191275CB"/>
    <w:rsid w:val="19177932"/>
    <w:rsid w:val="191D31E8"/>
    <w:rsid w:val="192D1987"/>
    <w:rsid w:val="192D2635"/>
    <w:rsid w:val="19383276"/>
    <w:rsid w:val="1943640C"/>
    <w:rsid w:val="194C6169"/>
    <w:rsid w:val="196977F2"/>
    <w:rsid w:val="196C4F56"/>
    <w:rsid w:val="197B498D"/>
    <w:rsid w:val="198F37EF"/>
    <w:rsid w:val="199C65D8"/>
    <w:rsid w:val="19A93FB3"/>
    <w:rsid w:val="19AD6C6F"/>
    <w:rsid w:val="19B6156E"/>
    <w:rsid w:val="19C169F0"/>
    <w:rsid w:val="19E1220D"/>
    <w:rsid w:val="19E768A4"/>
    <w:rsid w:val="1A053724"/>
    <w:rsid w:val="1A0A2802"/>
    <w:rsid w:val="1A20007A"/>
    <w:rsid w:val="1A2127C9"/>
    <w:rsid w:val="1A3441CE"/>
    <w:rsid w:val="1A3A0D62"/>
    <w:rsid w:val="1A422589"/>
    <w:rsid w:val="1A435612"/>
    <w:rsid w:val="1A4F2F04"/>
    <w:rsid w:val="1A5C3EFC"/>
    <w:rsid w:val="1A655C5C"/>
    <w:rsid w:val="1A74734D"/>
    <w:rsid w:val="1A80467A"/>
    <w:rsid w:val="1A8E2FFB"/>
    <w:rsid w:val="1A9A6CA4"/>
    <w:rsid w:val="1AA014F2"/>
    <w:rsid w:val="1AAE69FD"/>
    <w:rsid w:val="1AE72B08"/>
    <w:rsid w:val="1AFF2903"/>
    <w:rsid w:val="1B060011"/>
    <w:rsid w:val="1B1B4F5A"/>
    <w:rsid w:val="1B503750"/>
    <w:rsid w:val="1B50707D"/>
    <w:rsid w:val="1B525722"/>
    <w:rsid w:val="1B730FBA"/>
    <w:rsid w:val="1B781C93"/>
    <w:rsid w:val="1B87230D"/>
    <w:rsid w:val="1BAE3795"/>
    <w:rsid w:val="1BBB35A3"/>
    <w:rsid w:val="1BBD281B"/>
    <w:rsid w:val="1BE0539F"/>
    <w:rsid w:val="1BEA36C9"/>
    <w:rsid w:val="1C152E24"/>
    <w:rsid w:val="1C1B7095"/>
    <w:rsid w:val="1C2D5F08"/>
    <w:rsid w:val="1C331FB5"/>
    <w:rsid w:val="1C372579"/>
    <w:rsid w:val="1C383C46"/>
    <w:rsid w:val="1C4673D1"/>
    <w:rsid w:val="1C632A91"/>
    <w:rsid w:val="1C745FAB"/>
    <w:rsid w:val="1C817A29"/>
    <w:rsid w:val="1C865987"/>
    <w:rsid w:val="1CBD2F9B"/>
    <w:rsid w:val="1CC542FF"/>
    <w:rsid w:val="1CCD1B66"/>
    <w:rsid w:val="1CDC25B0"/>
    <w:rsid w:val="1CF562EB"/>
    <w:rsid w:val="1CFC5477"/>
    <w:rsid w:val="1D0F6716"/>
    <w:rsid w:val="1D172126"/>
    <w:rsid w:val="1D3A4269"/>
    <w:rsid w:val="1D58544F"/>
    <w:rsid w:val="1D61602F"/>
    <w:rsid w:val="1D7157E9"/>
    <w:rsid w:val="1D9474D1"/>
    <w:rsid w:val="1DA60DBD"/>
    <w:rsid w:val="1DA975B6"/>
    <w:rsid w:val="1DB45E8F"/>
    <w:rsid w:val="1DD161C7"/>
    <w:rsid w:val="1DDF4275"/>
    <w:rsid w:val="1DFC4345"/>
    <w:rsid w:val="1E290DC9"/>
    <w:rsid w:val="1E2C5F17"/>
    <w:rsid w:val="1E4D585F"/>
    <w:rsid w:val="1E4F6E0B"/>
    <w:rsid w:val="1E5A2FDA"/>
    <w:rsid w:val="1E5C4B51"/>
    <w:rsid w:val="1E6964CA"/>
    <w:rsid w:val="1E7237CC"/>
    <w:rsid w:val="1E80551E"/>
    <w:rsid w:val="1E867E3E"/>
    <w:rsid w:val="1EA74D18"/>
    <w:rsid w:val="1EAA4AFF"/>
    <w:rsid w:val="1EB06311"/>
    <w:rsid w:val="1EC60C39"/>
    <w:rsid w:val="1ED01E7C"/>
    <w:rsid w:val="1ED11AC5"/>
    <w:rsid w:val="1ED3701A"/>
    <w:rsid w:val="1ED400B8"/>
    <w:rsid w:val="1ED40BEC"/>
    <w:rsid w:val="1EE12E22"/>
    <w:rsid w:val="1EF601FB"/>
    <w:rsid w:val="1F097C64"/>
    <w:rsid w:val="1F1B7BE1"/>
    <w:rsid w:val="1F554D19"/>
    <w:rsid w:val="1F6223AD"/>
    <w:rsid w:val="1FA37E2C"/>
    <w:rsid w:val="1FD3721C"/>
    <w:rsid w:val="1FDA5EC4"/>
    <w:rsid w:val="1FEA44CB"/>
    <w:rsid w:val="1FF752B6"/>
    <w:rsid w:val="1FFB7F79"/>
    <w:rsid w:val="1FFD1DA0"/>
    <w:rsid w:val="202B1E56"/>
    <w:rsid w:val="203B5D40"/>
    <w:rsid w:val="20520BA1"/>
    <w:rsid w:val="20525340"/>
    <w:rsid w:val="20731008"/>
    <w:rsid w:val="209E5AEC"/>
    <w:rsid w:val="20DD65CC"/>
    <w:rsid w:val="20DF14B0"/>
    <w:rsid w:val="20EC3370"/>
    <w:rsid w:val="20F81C87"/>
    <w:rsid w:val="212479FC"/>
    <w:rsid w:val="2125239E"/>
    <w:rsid w:val="213071C1"/>
    <w:rsid w:val="213345E1"/>
    <w:rsid w:val="217E72AA"/>
    <w:rsid w:val="218400BA"/>
    <w:rsid w:val="21A470C7"/>
    <w:rsid w:val="21A5220F"/>
    <w:rsid w:val="21A76E86"/>
    <w:rsid w:val="21A9409D"/>
    <w:rsid w:val="21C565C2"/>
    <w:rsid w:val="21C93E43"/>
    <w:rsid w:val="21D9248D"/>
    <w:rsid w:val="21ED33E6"/>
    <w:rsid w:val="21FB7029"/>
    <w:rsid w:val="220C2809"/>
    <w:rsid w:val="22151983"/>
    <w:rsid w:val="221F065E"/>
    <w:rsid w:val="2238284E"/>
    <w:rsid w:val="224D5266"/>
    <w:rsid w:val="22631FB1"/>
    <w:rsid w:val="226B006C"/>
    <w:rsid w:val="227C2CCE"/>
    <w:rsid w:val="228C7A05"/>
    <w:rsid w:val="22972603"/>
    <w:rsid w:val="22A420D9"/>
    <w:rsid w:val="22AB2F38"/>
    <w:rsid w:val="22AE02AF"/>
    <w:rsid w:val="22BB79DA"/>
    <w:rsid w:val="22C30BD7"/>
    <w:rsid w:val="22D06515"/>
    <w:rsid w:val="22D5669C"/>
    <w:rsid w:val="22DD7278"/>
    <w:rsid w:val="22EB2228"/>
    <w:rsid w:val="23371C43"/>
    <w:rsid w:val="233D6F48"/>
    <w:rsid w:val="234D186E"/>
    <w:rsid w:val="235360D7"/>
    <w:rsid w:val="235D306F"/>
    <w:rsid w:val="2362550E"/>
    <w:rsid w:val="2374115A"/>
    <w:rsid w:val="23865F50"/>
    <w:rsid w:val="238E2AF8"/>
    <w:rsid w:val="23B221C1"/>
    <w:rsid w:val="23B501F5"/>
    <w:rsid w:val="23B77F19"/>
    <w:rsid w:val="23B94AAA"/>
    <w:rsid w:val="23CB1C0B"/>
    <w:rsid w:val="23E87193"/>
    <w:rsid w:val="240406AE"/>
    <w:rsid w:val="24060E09"/>
    <w:rsid w:val="240E33FD"/>
    <w:rsid w:val="24173B5E"/>
    <w:rsid w:val="242D1523"/>
    <w:rsid w:val="24350B84"/>
    <w:rsid w:val="243F3724"/>
    <w:rsid w:val="24416D82"/>
    <w:rsid w:val="245840A6"/>
    <w:rsid w:val="24831C33"/>
    <w:rsid w:val="248C32DF"/>
    <w:rsid w:val="248D64FB"/>
    <w:rsid w:val="249C21F4"/>
    <w:rsid w:val="24C061DB"/>
    <w:rsid w:val="24C063A4"/>
    <w:rsid w:val="24C40077"/>
    <w:rsid w:val="24F03545"/>
    <w:rsid w:val="24F1163A"/>
    <w:rsid w:val="25064086"/>
    <w:rsid w:val="2508510A"/>
    <w:rsid w:val="250F557F"/>
    <w:rsid w:val="252D413F"/>
    <w:rsid w:val="252E255C"/>
    <w:rsid w:val="2536380C"/>
    <w:rsid w:val="25430663"/>
    <w:rsid w:val="256154CC"/>
    <w:rsid w:val="25693605"/>
    <w:rsid w:val="256B38EE"/>
    <w:rsid w:val="256C2323"/>
    <w:rsid w:val="257F78F7"/>
    <w:rsid w:val="259454BD"/>
    <w:rsid w:val="25A02751"/>
    <w:rsid w:val="25A51CCF"/>
    <w:rsid w:val="25B52913"/>
    <w:rsid w:val="25C3506D"/>
    <w:rsid w:val="25DD6823"/>
    <w:rsid w:val="25E505BC"/>
    <w:rsid w:val="25E649CE"/>
    <w:rsid w:val="25F57456"/>
    <w:rsid w:val="25F609E6"/>
    <w:rsid w:val="260A4725"/>
    <w:rsid w:val="260B64D3"/>
    <w:rsid w:val="26380130"/>
    <w:rsid w:val="26452162"/>
    <w:rsid w:val="265570F7"/>
    <w:rsid w:val="265F7849"/>
    <w:rsid w:val="2664440E"/>
    <w:rsid w:val="26792478"/>
    <w:rsid w:val="26AA3247"/>
    <w:rsid w:val="26AD7B8E"/>
    <w:rsid w:val="26BF01D9"/>
    <w:rsid w:val="26BF7B51"/>
    <w:rsid w:val="26C6302D"/>
    <w:rsid w:val="26CE14DA"/>
    <w:rsid w:val="26EB5B51"/>
    <w:rsid w:val="26EE5A36"/>
    <w:rsid w:val="26EF4DE2"/>
    <w:rsid w:val="26F50BDB"/>
    <w:rsid w:val="26FE4E7F"/>
    <w:rsid w:val="272A5FBD"/>
    <w:rsid w:val="272C4EF1"/>
    <w:rsid w:val="272E10E9"/>
    <w:rsid w:val="27513170"/>
    <w:rsid w:val="2759523E"/>
    <w:rsid w:val="275B0BB9"/>
    <w:rsid w:val="27775B13"/>
    <w:rsid w:val="27870A9C"/>
    <w:rsid w:val="278C6260"/>
    <w:rsid w:val="278D0C17"/>
    <w:rsid w:val="27925D43"/>
    <w:rsid w:val="27AF2CA0"/>
    <w:rsid w:val="27B76F7E"/>
    <w:rsid w:val="27C90A53"/>
    <w:rsid w:val="2801667A"/>
    <w:rsid w:val="280E56A9"/>
    <w:rsid w:val="28172BDD"/>
    <w:rsid w:val="285B02BE"/>
    <w:rsid w:val="28811AC2"/>
    <w:rsid w:val="28941480"/>
    <w:rsid w:val="289C575D"/>
    <w:rsid w:val="28A21EE1"/>
    <w:rsid w:val="28A4544E"/>
    <w:rsid w:val="28A50596"/>
    <w:rsid w:val="28A86B5F"/>
    <w:rsid w:val="28CB4833"/>
    <w:rsid w:val="28E97F29"/>
    <w:rsid w:val="29253FFF"/>
    <w:rsid w:val="292672E2"/>
    <w:rsid w:val="292809E6"/>
    <w:rsid w:val="2938145D"/>
    <w:rsid w:val="294301B4"/>
    <w:rsid w:val="29481585"/>
    <w:rsid w:val="294A6AD1"/>
    <w:rsid w:val="294F363A"/>
    <w:rsid w:val="29843C2C"/>
    <w:rsid w:val="299B3C02"/>
    <w:rsid w:val="29AA0B85"/>
    <w:rsid w:val="29B01376"/>
    <w:rsid w:val="29B05C8A"/>
    <w:rsid w:val="29CB6F7F"/>
    <w:rsid w:val="29CC694D"/>
    <w:rsid w:val="29D33A58"/>
    <w:rsid w:val="29E90A73"/>
    <w:rsid w:val="29EF290B"/>
    <w:rsid w:val="2A2361E0"/>
    <w:rsid w:val="2A377938"/>
    <w:rsid w:val="2A39304D"/>
    <w:rsid w:val="2A3A1778"/>
    <w:rsid w:val="2A5A1271"/>
    <w:rsid w:val="2A5B5A23"/>
    <w:rsid w:val="2AA00955"/>
    <w:rsid w:val="2ACD779E"/>
    <w:rsid w:val="2AD61463"/>
    <w:rsid w:val="2ADE6251"/>
    <w:rsid w:val="2B01663B"/>
    <w:rsid w:val="2B0330EB"/>
    <w:rsid w:val="2B0D2B5D"/>
    <w:rsid w:val="2B3F0DEA"/>
    <w:rsid w:val="2B5330CD"/>
    <w:rsid w:val="2B716D0A"/>
    <w:rsid w:val="2B8E79ED"/>
    <w:rsid w:val="2B9745EB"/>
    <w:rsid w:val="2B9F34D7"/>
    <w:rsid w:val="2BF84B95"/>
    <w:rsid w:val="2BFA3C7B"/>
    <w:rsid w:val="2C0734F1"/>
    <w:rsid w:val="2C2B420A"/>
    <w:rsid w:val="2C5177DB"/>
    <w:rsid w:val="2C5746C9"/>
    <w:rsid w:val="2C6A4DE8"/>
    <w:rsid w:val="2C786E76"/>
    <w:rsid w:val="2C87159A"/>
    <w:rsid w:val="2C987202"/>
    <w:rsid w:val="2C9A5B1B"/>
    <w:rsid w:val="2C9B7A2E"/>
    <w:rsid w:val="2C9F6F49"/>
    <w:rsid w:val="2CA510FE"/>
    <w:rsid w:val="2CBA6142"/>
    <w:rsid w:val="2CC01447"/>
    <w:rsid w:val="2CC44802"/>
    <w:rsid w:val="2CD836F5"/>
    <w:rsid w:val="2CD94046"/>
    <w:rsid w:val="2CDE08B9"/>
    <w:rsid w:val="2CF76A56"/>
    <w:rsid w:val="2CFD1BFC"/>
    <w:rsid w:val="2D0D31CA"/>
    <w:rsid w:val="2D1813B0"/>
    <w:rsid w:val="2D2D7366"/>
    <w:rsid w:val="2D5D7B79"/>
    <w:rsid w:val="2D637222"/>
    <w:rsid w:val="2D7B4BF1"/>
    <w:rsid w:val="2DBC364F"/>
    <w:rsid w:val="2DBE4625"/>
    <w:rsid w:val="2DC055B8"/>
    <w:rsid w:val="2DC113FE"/>
    <w:rsid w:val="2DD15DA4"/>
    <w:rsid w:val="2E2D1F06"/>
    <w:rsid w:val="2E407B36"/>
    <w:rsid w:val="2E487979"/>
    <w:rsid w:val="2E506092"/>
    <w:rsid w:val="2E626225"/>
    <w:rsid w:val="2E631B17"/>
    <w:rsid w:val="2E6C4E49"/>
    <w:rsid w:val="2E757732"/>
    <w:rsid w:val="2E7B0F51"/>
    <w:rsid w:val="2E7E6BE3"/>
    <w:rsid w:val="2E8F5A76"/>
    <w:rsid w:val="2E9E012E"/>
    <w:rsid w:val="2EB251DE"/>
    <w:rsid w:val="2ED32D30"/>
    <w:rsid w:val="2F01235C"/>
    <w:rsid w:val="2F385590"/>
    <w:rsid w:val="2F385D91"/>
    <w:rsid w:val="2F3B117B"/>
    <w:rsid w:val="2F442969"/>
    <w:rsid w:val="2F5F4D24"/>
    <w:rsid w:val="2F726093"/>
    <w:rsid w:val="2F783A2A"/>
    <w:rsid w:val="2F7E20B0"/>
    <w:rsid w:val="2F8F7D10"/>
    <w:rsid w:val="2F906FF8"/>
    <w:rsid w:val="2FF729FF"/>
    <w:rsid w:val="301069EF"/>
    <w:rsid w:val="3012492F"/>
    <w:rsid w:val="301B091F"/>
    <w:rsid w:val="30292A80"/>
    <w:rsid w:val="303C0946"/>
    <w:rsid w:val="30546F10"/>
    <w:rsid w:val="307125A3"/>
    <w:rsid w:val="30804691"/>
    <w:rsid w:val="30A16DC3"/>
    <w:rsid w:val="30B43F6C"/>
    <w:rsid w:val="30CC528D"/>
    <w:rsid w:val="30CD4E6D"/>
    <w:rsid w:val="30DC11B0"/>
    <w:rsid w:val="30E66B9A"/>
    <w:rsid w:val="30E82D1B"/>
    <w:rsid w:val="30E952C1"/>
    <w:rsid w:val="30EE5C9D"/>
    <w:rsid w:val="30F300DB"/>
    <w:rsid w:val="310C74DD"/>
    <w:rsid w:val="3133496E"/>
    <w:rsid w:val="313703B3"/>
    <w:rsid w:val="31377547"/>
    <w:rsid w:val="313C4765"/>
    <w:rsid w:val="313E0380"/>
    <w:rsid w:val="31536540"/>
    <w:rsid w:val="3157169C"/>
    <w:rsid w:val="31660CB9"/>
    <w:rsid w:val="316C33F5"/>
    <w:rsid w:val="316F12FA"/>
    <w:rsid w:val="317F1F84"/>
    <w:rsid w:val="317F52E7"/>
    <w:rsid w:val="319E21A8"/>
    <w:rsid w:val="31B448F8"/>
    <w:rsid w:val="31BC0566"/>
    <w:rsid w:val="31C4112D"/>
    <w:rsid w:val="31C613CE"/>
    <w:rsid w:val="31CF19CB"/>
    <w:rsid w:val="31E2503B"/>
    <w:rsid w:val="3210318C"/>
    <w:rsid w:val="32121212"/>
    <w:rsid w:val="3218445A"/>
    <w:rsid w:val="32246337"/>
    <w:rsid w:val="3228271D"/>
    <w:rsid w:val="323D6705"/>
    <w:rsid w:val="32756B2E"/>
    <w:rsid w:val="32B93E22"/>
    <w:rsid w:val="332330F3"/>
    <w:rsid w:val="332E0AFE"/>
    <w:rsid w:val="334E2B10"/>
    <w:rsid w:val="338D5193"/>
    <w:rsid w:val="33944C88"/>
    <w:rsid w:val="339A6860"/>
    <w:rsid w:val="33A3621B"/>
    <w:rsid w:val="33C87AB6"/>
    <w:rsid w:val="33D23C1C"/>
    <w:rsid w:val="33D9318C"/>
    <w:rsid w:val="33E47652"/>
    <w:rsid w:val="33F84719"/>
    <w:rsid w:val="3403693D"/>
    <w:rsid w:val="343D19BC"/>
    <w:rsid w:val="34511E57"/>
    <w:rsid w:val="345B07DB"/>
    <w:rsid w:val="34602BF4"/>
    <w:rsid w:val="3461567F"/>
    <w:rsid w:val="346B13B4"/>
    <w:rsid w:val="34784159"/>
    <w:rsid w:val="34834764"/>
    <w:rsid w:val="34864294"/>
    <w:rsid w:val="348A089D"/>
    <w:rsid w:val="349419A1"/>
    <w:rsid w:val="34954270"/>
    <w:rsid w:val="34AF7F0F"/>
    <w:rsid w:val="34BF3CD1"/>
    <w:rsid w:val="34ED489E"/>
    <w:rsid w:val="34F75FCE"/>
    <w:rsid w:val="34FB56A9"/>
    <w:rsid w:val="34FF0821"/>
    <w:rsid w:val="350B22A4"/>
    <w:rsid w:val="350E66D5"/>
    <w:rsid w:val="35125D28"/>
    <w:rsid w:val="352552E3"/>
    <w:rsid w:val="35292E4E"/>
    <w:rsid w:val="352A6222"/>
    <w:rsid w:val="3552741C"/>
    <w:rsid w:val="35543CEB"/>
    <w:rsid w:val="3575320F"/>
    <w:rsid w:val="35880003"/>
    <w:rsid w:val="358B37A9"/>
    <w:rsid w:val="35C672EF"/>
    <w:rsid w:val="35D37514"/>
    <w:rsid w:val="36031236"/>
    <w:rsid w:val="360432C6"/>
    <w:rsid w:val="361643BC"/>
    <w:rsid w:val="3635517E"/>
    <w:rsid w:val="365D70AD"/>
    <w:rsid w:val="368708DF"/>
    <w:rsid w:val="368E4B68"/>
    <w:rsid w:val="36BB53A8"/>
    <w:rsid w:val="36BE5E23"/>
    <w:rsid w:val="36BF5033"/>
    <w:rsid w:val="36E30215"/>
    <w:rsid w:val="36FF448C"/>
    <w:rsid w:val="37046530"/>
    <w:rsid w:val="371A07CC"/>
    <w:rsid w:val="372C5176"/>
    <w:rsid w:val="37371245"/>
    <w:rsid w:val="374F1BF5"/>
    <w:rsid w:val="375607F8"/>
    <w:rsid w:val="375C07E0"/>
    <w:rsid w:val="37896CF9"/>
    <w:rsid w:val="379301A5"/>
    <w:rsid w:val="37D5200F"/>
    <w:rsid w:val="37DB6D52"/>
    <w:rsid w:val="37E6048F"/>
    <w:rsid w:val="37EC3B69"/>
    <w:rsid w:val="37EF0D21"/>
    <w:rsid w:val="37F0245C"/>
    <w:rsid w:val="380C7A67"/>
    <w:rsid w:val="38351594"/>
    <w:rsid w:val="383B7389"/>
    <w:rsid w:val="383C1711"/>
    <w:rsid w:val="38413AE0"/>
    <w:rsid w:val="386E6D96"/>
    <w:rsid w:val="387434A8"/>
    <w:rsid w:val="389205E6"/>
    <w:rsid w:val="38A87967"/>
    <w:rsid w:val="38B14AD4"/>
    <w:rsid w:val="38BE4D8A"/>
    <w:rsid w:val="38D73CFB"/>
    <w:rsid w:val="38DC3260"/>
    <w:rsid w:val="390E1E02"/>
    <w:rsid w:val="3915015C"/>
    <w:rsid w:val="392628AE"/>
    <w:rsid w:val="39406108"/>
    <w:rsid w:val="39497683"/>
    <w:rsid w:val="39695EA8"/>
    <w:rsid w:val="397A53E5"/>
    <w:rsid w:val="398B6386"/>
    <w:rsid w:val="39A668D6"/>
    <w:rsid w:val="39AE31FE"/>
    <w:rsid w:val="39BE3330"/>
    <w:rsid w:val="39C35DCF"/>
    <w:rsid w:val="39C728BC"/>
    <w:rsid w:val="39D57530"/>
    <w:rsid w:val="3A28763D"/>
    <w:rsid w:val="3A40613F"/>
    <w:rsid w:val="3A475A72"/>
    <w:rsid w:val="3A4A0105"/>
    <w:rsid w:val="3A5272F0"/>
    <w:rsid w:val="3A5D320E"/>
    <w:rsid w:val="3A6E4CBE"/>
    <w:rsid w:val="3A734C3F"/>
    <w:rsid w:val="3A880C34"/>
    <w:rsid w:val="3A8B11DE"/>
    <w:rsid w:val="3AAC7568"/>
    <w:rsid w:val="3AB12744"/>
    <w:rsid w:val="3AF15D15"/>
    <w:rsid w:val="3AF71F37"/>
    <w:rsid w:val="3AFB7764"/>
    <w:rsid w:val="3AFE2B26"/>
    <w:rsid w:val="3AFF1AE7"/>
    <w:rsid w:val="3B0566D6"/>
    <w:rsid w:val="3B0D7B4F"/>
    <w:rsid w:val="3B1E39AD"/>
    <w:rsid w:val="3B1F1BAD"/>
    <w:rsid w:val="3B2F2BBC"/>
    <w:rsid w:val="3B314084"/>
    <w:rsid w:val="3B400C2A"/>
    <w:rsid w:val="3B4902C5"/>
    <w:rsid w:val="3B491FFF"/>
    <w:rsid w:val="3B542603"/>
    <w:rsid w:val="3B576456"/>
    <w:rsid w:val="3B5A5BE4"/>
    <w:rsid w:val="3B676B03"/>
    <w:rsid w:val="3B705648"/>
    <w:rsid w:val="3B853139"/>
    <w:rsid w:val="3B8B3101"/>
    <w:rsid w:val="3B99017C"/>
    <w:rsid w:val="3B9D0916"/>
    <w:rsid w:val="3B9E48BA"/>
    <w:rsid w:val="3BC34FD9"/>
    <w:rsid w:val="3BC56483"/>
    <w:rsid w:val="3BCF25C4"/>
    <w:rsid w:val="3BDB41B0"/>
    <w:rsid w:val="3BE12916"/>
    <w:rsid w:val="3BEC5070"/>
    <w:rsid w:val="3BF61A45"/>
    <w:rsid w:val="3BFC0ABB"/>
    <w:rsid w:val="3BFE1F4A"/>
    <w:rsid w:val="3C207D13"/>
    <w:rsid w:val="3C3B203F"/>
    <w:rsid w:val="3C3C316B"/>
    <w:rsid w:val="3C514A37"/>
    <w:rsid w:val="3C5C3D07"/>
    <w:rsid w:val="3C5E7F90"/>
    <w:rsid w:val="3C756E3E"/>
    <w:rsid w:val="3C7C153C"/>
    <w:rsid w:val="3C802B2B"/>
    <w:rsid w:val="3C8214A5"/>
    <w:rsid w:val="3C8D359F"/>
    <w:rsid w:val="3CA06481"/>
    <w:rsid w:val="3CA52204"/>
    <w:rsid w:val="3CAE6D48"/>
    <w:rsid w:val="3CE547C2"/>
    <w:rsid w:val="3CF9519B"/>
    <w:rsid w:val="3D0A7808"/>
    <w:rsid w:val="3D0E3359"/>
    <w:rsid w:val="3D1B69F5"/>
    <w:rsid w:val="3D265052"/>
    <w:rsid w:val="3D3B6738"/>
    <w:rsid w:val="3D42011F"/>
    <w:rsid w:val="3D4F6AA6"/>
    <w:rsid w:val="3D6E3256"/>
    <w:rsid w:val="3D80309E"/>
    <w:rsid w:val="3D9717DC"/>
    <w:rsid w:val="3D9C3270"/>
    <w:rsid w:val="3DCC4131"/>
    <w:rsid w:val="3DD07E50"/>
    <w:rsid w:val="3E0878BC"/>
    <w:rsid w:val="3E0C4F21"/>
    <w:rsid w:val="3E122E4D"/>
    <w:rsid w:val="3E136A36"/>
    <w:rsid w:val="3E160C8A"/>
    <w:rsid w:val="3E2312D7"/>
    <w:rsid w:val="3E301C17"/>
    <w:rsid w:val="3E387F22"/>
    <w:rsid w:val="3E40319B"/>
    <w:rsid w:val="3E570181"/>
    <w:rsid w:val="3E812F4E"/>
    <w:rsid w:val="3E836939"/>
    <w:rsid w:val="3E8454A0"/>
    <w:rsid w:val="3E927857"/>
    <w:rsid w:val="3E9A677D"/>
    <w:rsid w:val="3EC0465A"/>
    <w:rsid w:val="3EC771AC"/>
    <w:rsid w:val="3ECB2DBD"/>
    <w:rsid w:val="3EDC3C7D"/>
    <w:rsid w:val="3EE4627D"/>
    <w:rsid w:val="3EFD11FA"/>
    <w:rsid w:val="3F0C53C6"/>
    <w:rsid w:val="3F1C50AD"/>
    <w:rsid w:val="3F1E6A7C"/>
    <w:rsid w:val="3F2102B1"/>
    <w:rsid w:val="3F210EC9"/>
    <w:rsid w:val="3F27793E"/>
    <w:rsid w:val="3F2B7A13"/>
    <w:rsid w:val="3F335F63"/>
    <w:rsid w:val="3F483382"/>
    <w:rsid w:val="3F571E72"/>
    <w:rsid w:val="3F596CF5"/>
    <w:rsid w:val="3F650911"/>
    <w:rsid w:val="3FA60E7C"/>
    <w:rsid w:val="3FC43688"/>
    <w:rsid w:val="3FC5258F"/>
    <w:rsid w:val="3FCE1901"/>
    <w:rsid w:val="3FF33B69"/>
    <w:rsid w:val="3FFA115C"/>
    <w:rsid w:val="3FFC3900"/>
    <w:rsid w:val="4009429C"/>
    <w:rsid w:val="402970A9"/>
    <w:rsid w:val="404F6E14"/>
    <w:rsid w:val="405B2791"/>
    <w:rsid w:val="40606C2F"/>
    <w:rsid w:val="407B1A4D"/>
    <w:rsid w:val="408049E1"/>
    <w:rsid w:val="408137B6"/>
    <w:rsid w:val="408A2B7E"/>
    <w:rsid w:val="409D3C6E"/>
    <w:rsid w:val="40A31C8C"/>
    <w:rsid w:val="40AB1595"/>
    <w:rsid w:val="40AF007F"/>
    <w:rsid w:val="40BF627F"/>
    <w:rsid w:val="40CE0ED0"/>
    <w:rsid w:val="40E10A8C"/>
    <w:rsid w:val="410D6A4B"/>
    <w:rsid w:val="410F6A02"/>
    <w:rsid w:val="411141F8"/>
    <w:rsid w:val="41291E14"/>
    <w:rsid w:val="414413B8"/>
    <w:rsid w:val="41465FC8"/>
    <w:rsid w:val="4156445A"/>
    <w:rsid w:val="416A10A3"/>
    <w:rsid w:val="41764F49"/>
    <w:rsid w:val="417A5FF0"/>
    <w:rsid w:val="41826AE7"/>
    <w:rsid w:val="418402D9"/>
    <w:rsid w:val="419B175C"/>
    <w:rsid w:val="41B67136"/>
    <w:rsid w:val="41D72072"/>
    <w:rsid w:val="41F528B8"/>
    <w:rsid w:val="41FA48BA"/>
    <w:rsid w:val="4228529E"/>
    <w:rsid w:val="422D25F9"/>
    <w:rsid w:val="42307F0D"/>
    <w:rsid w:val="423546AB"/>
    <w:rsid w:val="424D7A5D"/>
    <w:rsid w:val="42516D59"/>
    <w:rsid w:val="42625183"/>
    <w:rsid w:val="426B045B"/>
    <w:rsid w:val="42760EAB"/>
    <w:rsid w:val="42807E2C"/>
    <w:rsid w:val="42874D2A"/>
    <w:rsid w:val="428A21A6"/>
    <w:rsid w:val="428B390F"/>
    <w:rsid w:val="42966D5D"/>
    <w:rsid w:val="429D0D37"/>
    <w:rsid w:val="42AB1075"/>
    <w:rsid w:val="42B03B3D"/>
    <w:rsid w:val="42D067E2"/>
    <w:rsid w:val="42D17CD5"/>
    <w:rsid w:val="42DB2D12"/>
    <w:rsid w:val="42DD389C"/>
    <w:rsid w:val="42DE2AAC"/>
    <w:rsid w:val="43086A11"/>
    <w:rsid w:val="43087C4A"/>
    <w:rsid w:val="431471CA"/>
    <w:rsid w:val="432C0C29"/>
    <w:rsid w:val="433520F6"/>
    <w:rsid w:val="433C731A"/>
    <w:rsid w:val="436D590E"/>
    <w:rsid w:val="43816903"/>
    <w:rsid w:val="43941D03"/>
    <w:rsid w:val="43A8691C"/>
    <w:rsid w:val="43B31BF9"/>
    <w:rsid w:val="43C50F67"/>
    <w:rsid w:val="43D33898"/>
    <w:rsid w:val="43D94BB8"/>
    <w:rsid w:val="43EA0F1F"/>
    <w:rsid w:val="43EE116D"/>
    <w:rsid w:val="43F65F5C"/>
    <w:rsid w:val="43FF315E"/>
    <w:rsid w:val="440B77FD"/>
    <w:rsid w:val="440D7164"/>
    <w:rsid w:val="441D50EC"/>
    <w:rsid w:val="4426056C"/>
    <w:rsid w:val="44330DA2"/>
    <w:rsid w:val="4436153A"/>
    <w:rsid w:val="44363141"/>
    <w:rsid w:val="443F4C85"/>
    <w:rsid w:val="44515DC7"/>
    <w:rsid w:val="4454229E"/>
    <w:rsid w:val="445E05A4"/>
    <w:rsid w:val="44626645"/>
    <w:rsid w:val="44690EA9"/>
    <w:rsid w:val="449648D0"/>
    <w:rsid w:val="44986654"/>
    <w:rsid w:val="449B7DBF"/>
    <w:rsid w:val="44DC29EB"/>
    <w:rsid w:val="44DD1A31"/>
    <w:rsid w:val="44F73CE5"/>
    <w:rsid w:val="44F84650"/>
    <w:rsid w:val="44FD4940"/>
    <w:rsid w:val="452615A5"/>
    <w:rsid w:val="452911C3"/>
    <w:rsid w:val="453110FA"/>
    <w:rsid w:val="45380EAE"/>
    <w:rsid w:val="454C6201"/>
    <w:rsid w:val="454E0A80"/>
    <w:rsid w:val="45607318"/>
    <w:rsid w:val="456848E6"/>
    <w:rsid w:val="456B0E9A"/>
    <w:rsid w:val="457356E1"/>
    <w:rsid w:val="457A56BB"/>
    <w:rsid w:val="457F0835"/>
    <w:rsid w:val="45901F42"/>
    <w:rsid w:val="45BD1FBC"/>
    <w:rsid w:val="45CD3F04"/>
    <w:rsid w:val="45D4449A"/>
    <w:rsid w:val="45D75901"/>
    <w:rsid w:val="45DC4C85"/>
    <w:rsid w:val="45DD1704"/>
    <w:rsid w:val="45DE6F05"/>
    <w:rsid w:val="45ED2C31"/>
    <w:rsid w:val="460652C7"/>
    <w:rsid w:val="46091005"/>
    <w:rsid w:val="46383D12"/>
    <w:rsid w:val="464F5D68"/>
    <w:rsid w:val="4651388E"/>
    <w:rsid w:val="466573DB"/>
    <w:rsid w:val="466B6068"/>
    <w:rsid w:val="4670684F"/>
    <w:rsid w:val="467F6055"/>
    <w:rsid w:val="46992809"/>
    <w:rsid w:val="46B74038"/>
    <w:rsid w:val="46DD5893"/>
    <w:rsid w:val="46E121E3"/>
    <w:rsid w:val="46E804A0"/>
    <w:rsid w:val="46F705B5"/>
    <w:rsid w:val="47182C2B"/>
    <w:rsid w:val="471C2E4A"/>
    <w:rsid w:val="471E4A10"/>
    <w:rsid w:val="47283607"/>
    <w:rsid w:val="47365880"/>
    <w:rsid w:val="47470C00"/>
    <w:rsid w:val="47617BC5"/>
    <w:rsid w:val="47726B9D"/>
    <w:rsid w:val="47754A35"/>
    <w:rsid w:val="477570E2"/>
    <w:rsid w:val="477804F9"/>
    <w:rsid w:val="47A54B82"/>
    <w:rsid w:val="47B34FC5"/>
    <w:rsid w:val="47B55A11"/>
    <w:rsid w:val="47C1116A"/>
    <w:rsid w:val="47DB0AEF"/>
    <w:rsid w:val="47ED3E2A"/>
    <w:rsid w:val="482468EA"/>
    <w:rsid w:val="48256827"/>
    <w:rsid w:val="48426317"/>
    <w:rsid w:val="48427ACE"/>
    <w:rsid w:val="4848607E"/>
    <w:rsid w:val="48504E40"/>
    <w:rsid w:val="486D3064"/>
    <w:rsid w:val="486E2084"/>
    <w:rsid w:val="489D1D0E"/>
    <w:rsid w:val="48A10C08"/>
    <w:rsid w:val="48AE76E2"/>
    <w:rsid w:val="48B7515A"/>
    <w:rsid w:val="48BB4EC6"/>
    <w:rsid w:val="48C267D2"/>
    <w:rsid w:val="48CD6A98"/>
    <w:rsid w:val="48DB2CE5"/>
    <w:rsid w:val="48DD1AEA"/>
    <w:rsid w:val="48ED73F7"/>
    <w:rsid w:val="494D34B4"/>
    <w:rsid w:val="49531DF8"/>
    <w:rsid w:val="496421BE"/>
    <w:rsid w:val="497854A4"/>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55A6C"/>
    <w:rsid w:val="4A982852"/>
    <w:rsid w:val="4AAE2BCA"/>
    <w:rsid w:val="4ABD4214"/>
    <w:rsid w:val="4AFA208B"/>
    <w:rsid w:val="4B0A3310"/>
    <w:rsid w:val="4B20492F"/>
    <w:rsid w:val="4B3576CB"/>
    <w:rsid w:val="4B3D1E78"/>
    <w:rsid w:val="4B444FB2"/>
    <w:rsid w:val="4B595064"/>
    <w:rsid w:val="4B672180"/>
    <w:rsid w:val="4B6E1D26"/>
    <w:rsid w:val="4B807E8F"/>
    <w:rsid w:val="4B920889"/>
    <w:rsid w:val="4B996870"/>
    <w:rsid w:val="4BA46E08"/>
    <w:rsid w:val="4BC73B78"/>
    <w:rsid w:val="4BC77460"/>
    <w:rsid w:val="4BCF201E"/>
    <w:rsid w:val="4C4C4528"/>
    <w:rsid w:val="4C510A38"/>
    <w:rsid w:val="4C573346"/>
    <w:rsid w:val="4C6435A9"/>
    <w:rsid w:val="4C6F418B"/>
    <w:rsid w:val="4C82601B"/>
    <w:rsid w:val="4C8330E1"/>
    <w:rsid w:val="4C885559"/>
    <w:rsid w:val="4C8E77FD"/>
    <w:rsid w:val="4CA14226"/>
    <w:rsid w:val="4CAD6AA6"/>
    <w:rsid w:val="4CAF216E"/>
    <w:rsid w:val="4CB058CB"/>
    <w:rsid w:val="4CB620E8"/>
    <w:rsid w:val="4CB90C56"/>
    <w:rsid w:val="4CD5793B"/>
    <w:rsid w:val="4CD80E01"/>
    <w:rsid w:val="4CDE02B9"/>
    <w:rsid w:val="4CFB5C1C"/>
    <w:rsid w:val="4D0470DF"/>
    <w:rsid w:val="4D0F78F1"/>
    <w:rsid w:val="4D4D0E1D"/>
    <w:rsid w:val="4D4D4426"/>
    <w:rsid w:val="4D4E796F"/>
    <w:rsid w:val="4D4F6EEF"/>
    <w:rsid w:val="4D5D085A"/>
    <w:rsid w:val="4D807194"/>
    <w:rsid w:val="4D9438AB"/>
    <w:rsid w:val="4D995F1E"/>
    <w:rsid w:val="4DC75FAC"/>
    <w:rsid w:val="4DCD3B45"/>
    <w:rsid w:val="4DD32B18"/>
    <w:rsid w:val="4DD521DA"/>
    <w:rsid w:val="4DE407A5"/>
    <w:rsid w:val="4DEC558E"/>
    <w:rsid w:val="4DF22D5D"/>
    <w:rsid w:val="4E0E54C5"/>
    <w:rsid w:val="4E1227F0"/>
    <w:rsid w:val="4E2D7430"/>
    <w:rsid w:val="4E332B5E"/>
    <w:rsid w:val="4E487814"/>
    <w:rsid w:val="4E4F6905"/>
    <w:rsid w:val="4E710F72"/>
    <w:rsid w:val="4E8A7219"/>
    <w:rsid w:val="4E997E3B"/>
    <w:rsid w:val="4ECE0CD5"/>
    <w:rsid w:val="4ED22A57"/>
    <w:rsid w:val="4ED92E23"/>
    <w:rsid w:val="4EE964BF"/>
    <w:rsid w:val="4F0B12EB"/>
    <w:rsid w:val="4F306048"/>
    <w:rsid w:val="4F313C6F"/>
    <w:rsid w:val="4F416BC0"/>
    <w:rsid w:val="4F601507"/>
    <w:rsid w:val="4F6A2B78"/>
    <w:rsid w:val="4F762AE3"/>
    <w:rsid w:val="4F7D2F66"/>
    <w:rsid w:val="4F8C33D2"/>
    <w:rsid w:val="4F9F3258"/>
    <w:rsid w:val="4F9F3566"/>
    <w:rsid w:val="4FAF0352"/>
    <w:rsid w:val="4FB3614F"/>
    <w:rsid w:val="4FBC4B75"/>
    <w:rsid w:val="501871CB"/>
    <w:rsid w:val="502B58CD"/>
    <w:rsid w:val="503324EC"/>
    <w:rsid w:val="503E4E84"/>
    <w:rsid w:val="50432740"/>
    <w:rsid w:val="504D48EB"/>
    <w:rsid w:val="506177CB"/>
    <w:rsid w:val="506D1CE6"/>
    <w:rsid w:val="50756606"/>
    <w:rsid w:val="507C3FF5"/>
    <w:rsid w:val="507E7A1A"/>
    <w:rsid w:val="50950193"/>
    <w:rsid w:val="50B535BC"/>
    <w:rsid w:val="50C3182D"/>
    <w:rsid w:val="50C32A0E"/>
    <w:rsid w:val="50D05E44"/>
    <w:rsid w:val="50D530A4"/>
    <w:rsid w:val="50D7600E"/>
    <w:rsid w:val="50E5416E"/>
    <w:rsid w:val="511E7282"/>
    <w:rsid w:val="516548A9"/>
    <w:rsid w:val="51772D88"/>
    <w:rsid w:val="517C6CD3"/>
    <w:rsid w:val="5180691B"/>
    <w:rsid w:val="518220A6"/>
    <w:rsid w:val="519679D9"/>
    <w:rsid w:val="51995C67"/>
    <w:rsid w:val="51D53DE8"/>
    <w:rsid w:val="51E23E78"/>
    <w:rsid w:val="51E64A93"/>
    <w:rsid w:val="51E963CB"/>
    <w:rsid w:val="520170F5"/>
    <w:rsid w:val="52123177"/>
    <w:rsid w:val="521F4AC1"/>
    <w:rsid w:val="522B490F"/>
    <w:rsid w:val="522C4379"/>
    <w:rsid w:val="52315D30"/>
    <w:rsid w:val="524E2361"/>
    <w:rsid w:val="52985353"/>
    <w:rsid w:val="529F24A2"/>
    <w:rsid w:val="52AA7CFA"/>
    <w:rsid w:val="52B171E6"/>
    <w:rsid w:val="52C01CBB"/>
    <w:rsid w:val="52DB122A"/>
    <w:rsid w:val="52E13D67"/>
    <w:rsid w:val="52E27A56"/>
    <w:rsid w:val="52E80195"/>
    <w:rsid w:val="52E82C9B"/>
    <w:rsid w:val="52E846A6"/>
    <w:rsid w:val="52F64BDB"/>
    <w:rsid w:val="532129F8"/>
    <w:rsid w:val="533233B6"/>
    <w:rsid w:val="5333575C"/>
    <w:rsid w:val="53431BBB"/>
    <w:rsid w:val="5345258D"/>
    <w:rsid w:val="534E32E5"/>
    <w:rsid w:val="53501C8A"/>
    <w:rsid w:val="537C2D95"/>
    <w:rsid w:val="53921F79"/>
    <w:rsid w:val="53942A5B"/>
    <w:rsid w:val="539A0A2E"/>
    <w:rsid w:val="539B0D65"/>
    <w:rsid w:val="539C7BB1"/>
    <w:rsid w:val="53A254EF"/>
    <w:rsid w:val="53B74C02"/>
    <w:rsid w:val="53C63F53"/>
    <w:rsid w:val="53CA60F3"/>
    <w:rsid w:val="53E37A46"/>
    <w:rsid w:val="53E60B87"/>
    <w:rsid w:val="53E813CD"/>
    <w:rsid w:val="53F86A2E"/>
    <w:rsid w:val="54147818"/>
    <w:rsid w:val="54284D48"/>
    <w:rsid w:val="542C0D25"/>
    <w:rsid w:val="543036B4"/>
    <w:rsid w:val="54507C6E"/>
    <w:rsid w:val="54523FAB"/>
    <w:rsid w:val="54606D4B"/>
    <w:rsid w:val="546F563B"/>
    <w:rsid w:val="54737B83"/>
    <w:rsid w:val="54767A69"/>
    <w:rsid w:val="54771DDB"/>
    <w:rsid w:val="54800851"/>
    <w:rsid w:val="548D1DAF"/>
    <w:rsid w:val="549E6667"/>
    <w:rsid w:val="54B83081"/>
    <w:rsid w:val="54CD7213"/>
    <w:rsid w:val="54D27679"/>
    <w:rsid w:val="54FA20B3"/>
    <w:rsid w:val="54FC6198"/>
    <w:rsid w:val="552D41F8"/>
    <w:rsid w:val="5530235E"/>
    <w:rsid w:val="553A11F2"/>
    <w:rsid w:val="554A1014"/>
    <w:rsid w:val="554D547D"/>
    <w:rsid w:val="555812FC"/>
    <w:rsid w:val="558504DB"/>
    <w:rsid w:val="5599207C"/>
    <w:rsid w:val="55BA23F6"/>
    <w:rsid w:val="55C17A4A"/>
    <w:rsid w:val="55C776A4"/>
    <w:rsid w:val="55C86FE2"/>
    <w:rsid w:val="55D93944"/>
    <w:rsid w:val="55E0012B"/>
    <w:rsid w:val="55E22738"/>
    <w:rsid w:val="55E53654"/>
    <w:rsid w:val="55F16398"/>
    <w:rsid w:val="55FA5978"/>
    <w:rsid w:val="560471D1"/>
    <w:rsid w:val="5620288D"/>
    <w:rsid w:val="56262D0A"/>
    <w:rsid w:val="562F094C"/>
    <w:rsid w:val="56303DF0"/>
    <w:rsid w:val="563C241F"/>
    <w:rsid w:val="5645459C"/>
    <w:rsid w:val="564845D6"/>
    <w:rsid w:val="56497A16"/>
    <w:rsid w:val="564B1CD3"/>
    <w:rsid w:val="56523972"/>
    <w:rsid w:val="56526786"/>
    <w:rsid w:val="568D4159"/>
    <w:rsid w:val="569017FC"/>
    <w:rsid w:val="56AA326E"/>
    <w:rsid w:val="56B557FE"/>
    <w:rsid w:val="56B86A4A"/>
    <w:rsid w:val="56C90586"/>
    <w:rsid w:val="56D20E62"/>
    <w:rsid w:val="56E53FAA"/>
    <w:rsid w:val="56F15FB4"/>
    <w:rsid w:val="56FA762A"/>
    <w:rsid w:val="57032FAA"/>
    <w:rsid w:val="57083A80"/>
    <w:rsid w:val="570A1F63"/>
    <w:rsid w:val="570F4518"/>
    <w:rsid w:val="57101FBF"/>
    <w:rsid w:val="57192727"/>
    <w:rsid w:val="572C1D0F"/>
    <w:rsid w:val="572E2ABD"/>
    <w:rsid w:val="57393751"/>
    <w:rsid w:val="57511B9A"/>
    <w:rsid w:val="57537352"/>
    <w:rsid w:val="575B1004"/>
    <w:rsid w:val="5771718C"/>
    <w:rsid w:val="577D318D"/>
    <w:rsid w:val="5791578D"/>
    <w:rsid w:val="57986AAA"/>
    <w:rsid w:val="57A273D9"/>
    <w:rsid w:val="57AF5A40"/>
    <w:rsid w:val="57C97408"/>
    <w:rsid w:val="57EC1C9C"/>
    <w:rsid w:val="58022941"/>
    <w:rsid w:val="580632C8"/>
    <w:rsid w:val="580C02FC"/>
    <w:rsid w:val="58277B25"/>
    <w:rsid w:val="5830410B"/>
    <w:rsid w:val="58310F67"/>
    <w:rsid w:val="583A1FAC"/>
    <w:rsid w:val="583E68FD"/>
    <w:rsid w:val="5846711A"/>
    <w:rsid w:val="58553838"/>
    <w:rsid w:val="585A1073"/>
    <w:rsid w:val="585D5C86"/>
    <w:rsid w:val="587E5B83"/>
    <w:rsid w:val="588C01E0"/>
    <w:rsid w:val="589A6EED"/>
    <w:rsid w:val="58A54D70"/>
    <w:rsid w:val="58BE78AD"/>
    <w:rsid w:val="58CA70BC"/>
    <w:rsid w:val="58CF664E"/>
    <w:rsid w:val="58D161EE"/>
    <w:rsid w:val="58DC20DE"/>
    <w:rsid w:val="58E56323"/>
    <w:rsid w:val="58EC223F"/>
    <w:rsid w:val="58ED1D81"/>
    <w:rsid w:val="58ED6689"/>
    <w:rsid w:val="59031290"/>
    <w:rsid w:val="590F1BC4"/>
    <w:rsid w:val="5919022D"/>
    <w:rsid w:val="591D661A"/>
    <w:rsid w:val="592A6680"/>
    <w:rsid w:val="59402032"/>
    <w:rsid w:val="59464947"/>
    <w:rsid w:val="594A6B94"/>
    <w:rsid w:val="594D270F"/>
    <w:rsid w:val="595405FB"/>
    <w:rsid w:val="595A2602"/>
    <w:rsid w:val="59797E10"/>
    <w:rsid w:val="598007BD"/>
    <w:rsid w:val="59821BF3"/>
    <w:rsid w:val="59831117"/>
    <w:rsid w:val="599D1711"/>
    <w:rsid w:val="59A32903"/>
    <w:rsid w:val="59B25B64"/>
    <w:rsid w:val="59B65B0A"/>
    <w:rsid w:val="59C31E69"/>
    <w:rsid w:val="59DD38F5"/>
    <w:rsid w:val="59E72771"/>
    <w:rsid w:val="59FB19D7"/>
    <w:rsid w:val="59FC1DF4"/>
    <w:rsid w:val="5A0170D0"/>
    <w:rsid w:val="5A207B2C"/>
    <w:rsid w:val="5A2A6479"/>
    <w:rsid w:val="5A2D57D7"/>
    <w:rsid w:val="5A3C0B29"/>
    <w:rsid w:val="5A4D5D2C"/>
    <w:rsid w:val="5A5D1EE9"/>
    <w:rsid w:val="5A646519"/>
    <w:rsid w:val="5A6E4321"/>
    <w:rsid w:val="5A6F07AD"/>
    <w:rsid w:val="5A743B23"/>
    <w:rsid w:val="5A786D03"/>
    <w:rsid w:val="5A8810C1"/>
    <w:rsid w:val="5A953CA8"/>
    <w:rsid w:val="5AA20354"/>
    <w:rsid w:val="5AA4013C"/>
    <w:rsid w:val="5AAA217B"/>
    <w:rsid w:val="5ADD173D"/>
    <w:rsid w:val="5B1D4B5D"/>
    <w:rsid w:val="5B245381"/>
    <w:rsid w:val="5B266B67"/>
    <w:rsid w:val="5B3E7BFD"/>
    <w:rsid w:val="5BA004B1"/>
    <w:rsid w:val="5BA64A59"/>
    <w:rsid w:val="5BB42013"/>
    <w:rsid w:val="5BC71BFF"/>
    <w:rsid w:val="5BCE3661"/>
    <w:rsid w:val="5BDE4B2E"/>
    <w:rsid w:val="5BE47124"/>
    <w:rsid w:val="5BE6497C"/>
    <w:rsid w:val="5BF53D6D"/>
    <w:rsid w:val="5BF66452"/>
    <w:rsid w:val="5BFE2754"/>
    <w:rsid w:val="5C00251E"/>
    <w:rsid w:val="5C0C5517"/>
    <w:rsid w:val="5C243A94"/>
    <w:rsid w:val="5C362DC6"/>
    <w:rsid w:val="5C513933"/>
    <w:rsid w:val="5C684A5F"/>
    <w:rsid w:val="5C7C22C9"/>
    <w:rsid w:val="5CCB049C"/>
    <w:rsid w:val="5CD246B1"/>
    <w:rsid w:val="5D104C52"/>
    <w:rsid w:val="5D1610E5"/>
    <w:rsid w:val="5D1F134D"/>
    <w:rsid w:val="5D225E96"/>
    <w:rsid w:val="5D5479DF"/>
    <w:rsid w:val="5D8B235F"/>
    <w:rsid w:val="5D935CC9"/>
    <w:rsid w:val="5D9929C5"/>
    <w:rsid w:val="5DA1690A"/>
    <w:rsid w:val="5DA344BD"/>
    <w:rsid w:val="5DA872AE"/>
    <w:rsid w:val="5DAB1604"/>
    <w:rsid w:val="5DAC7F7B"/>
    <w:rsid w:val="5DBF512A"/>
    <w:rsid w:val="5DC00E21"/>
    <w:rsid w:val="5DEF4991"/>
    <w:rsid w:val="5E004546"/>
    <w:rsid w:val="5E223849"/>
    <w:rsid w:val="5E31684C"/>
    <w:rsid w:val="5E52320C"/>
    <w:rsid w:val="5E64188D"/>
    <w:rsid w:val="5E6B6BD9"/>
    <w:rsid w:val="5E9D2BEC"/>
    <w:rsid w:val="5EB805C9"/>
    <w:rsid w:val="5EEC5CE5"/>
    <w:rsid w:val="5EF731E5"/>
    <w:rsid w:val="5F004E6E"/>
    <w:rsid w:val="5F010358"/>
    <w:rsid w:val="5F095904"/>
    <w:rsid w:val="5F232B8A"/>
    <w:rsid w:val="5F285753"/>
    <w:rsid w:val="5F3B01E3"/>
    <w:rsid w:val="5F3D041A"/>
    <w:rsid w:val="5F416DD5"/>
    <w:rsid w:val="5F454D59"/>
    <w:rsid w:val="5F4F0951"/>
    <w:rsid w:val="5F660454"/>
    <w:rsid w:val="5F89663A"/>
    <w:rsid w:val="5FA25FD2"/>
    <w:rsid w:val="5FAF21EE"/>
    <w:rsid w:val="5FAF3AE3"/>
    <w:rsid w:val="5FD84CCD"/>
    <w:rsid w:val="5FD95DF5"/>
    <w:rsid w:val="5FE17C6A"/>
    <w:rsid w:val="60153E06"/>
    <w:rsid w:val="601B7860"/>
    <w:rsid w:val="603A6C4E"/>
    <w:rsid w:val="607F4815"/>
    <w:rsid w:val="60C66FF8"/>
    <w:rsid w:val="60C715F3"/>
    <w:rsid w:val="60C831F4"/>
    <w:rsid w:val="60CA46DE"/>
    <w:rsid w:val="60DA1FB7"/>
    <w:rsid w:val="61045E17"/>
    <w:rsid w:val="61097C32"/>
    <w:rsid w:val="610C045C"/>
    <w:rsid w:val="612C2C0F"/>
    <w:rsid w:val="61360CD6"/>
    <w:rsid w:val="6139596E"/>
    <w:rsid w:val="6143048E"/>
    <w:rsid w:val="61541D0C"/>
    <w:rsid w:val="616113F3"/>
    <w:rsid w:val="616926CF"/>
    <w:rsid w:val="616E4608"/>
    <w:rsid w:val="618E5BFD"/>
    <w:rsid w:val="61955C9E"/>
    <w:rsid w:val="61964B23"/>
    <w:rsid w:val="61AC2EA4"/>
    <w:rsid w:val="61BF0A39"/>
    <w:rsid w:val="61D23AE4"/>
    <w:rsid w:val="61D74436"/>
    <w:rsid w:val="61DF72E6"/>
    <w:rsid w:val="61FC40A6"/>
    <w:rsid w:val="620A7850"/>
    <w:rsid w:val="621D6280"/>
    <w:rsid w:val="62232E5A"/>
    <w:rsid w:val="62845FB8"/>
    <w:rsid w:val="62925A24"/>
    <w:rsid w:val="62947959"/>
    <w:rsid w:val="629F4600"/>
    <w:rsid w:val="62AA45FB"/>
    <w:rsid w:val="62B27BC4"/>
    <w:rsid w:val="62B3264F"/>
    <w:rsid w:val="62B87B19"/>
    <w:rsid w:val="62C15A67"/>
    <w:rsid w:val="62CC63A3"/>
    <w:rsid w:val="62D13DAB"/>
    <w:rsid w:val="62D5208D"/>
    <w:rsid w:val="62D949A4"/>
    <w:rsid w:val="6308497A"/>
    <w:rsid w:val="630A00B2"/>
    <w:rsid w:val="63117187"/>
    <w:rsid w:val="633D44AA"/>
    <w:rsid w:val="63687677"/>
    <w:rsid w:val="638130A6"/>
    <w:rsid w:val="638F1AF4"/>
    <w:rsid w:val="63AA5BC2"/>
    <w:rsid w:val="63B4356F"/>
    <w:rsid w:val="63CF48F8"/>
    <w:rsid w:val="63F840D4"/>
    <w:rsid w:val="641D14C4"/>
    <w:rsid w:val="642719FF"/>
    <w:rsid w:val="644B3147"/>
    <w:rsid w:val="64602371"/>
    <w:rsid w:val="6465549E"/>
    <w:rsid w:val="646C3009"/>
    <w:rsid w:val="64735320"/>
    <w:rsid w:val="64922AC6"/>
    <w:rsid w:val="64B30238"/>
    <w:rsid w:val="64D01B87"/>
    <w:rsid w:val="64D178B9"/>
    <w:rsid w:val="64D77A7E"/>
    <w:rsid w:val="64E73DF1"/>
    <w:rsid w:val="64F0414B"/>
    <w:rsid w:val="64FF1C3C"/>
    <w:rsid w:val="65012D42"/>
    <w:rsid w:val="65143021"/>
    <w:rsid w:val="652A63DB"/>
    <w:rsid w:val="652F58D3"/>
    <w:rsid w:val="653E1ABB"/>
    <w:rsid w:val="655B7102"/>
    <w:rsid w:val="656575F4"/>
    <w:rsid w:val="656738B8"/>
    <w:rsid w:val="657021F5"/>
    <w:rsid w:val="65713C4C"/>
    <w:rsid w:val="65722B1B"/>
    <w:rsid w:val="65A96DEB"/>
    <w:rsid w:val="65B826BD"/>
    <w:rsid w:val="65C26555"/>
    <w:rsid w:val="65DC7921"/>
    <w:rsid w:val="65E317A8"/>
    <w:rsid w:val="65ED6C11"/>
    <w:rsid w:val="65FC7C13"/>
    <w:rsid w:val="6613537E"/>
    <w:rsid w:val="66152556"/>
    <w:rsid w:val="66300342"/>
    <w:rsid w:val="66334C1F"/>
    <w:rsid w:val="663751B5"/>
    <w:rsid w:val="663A3856"/>
    <w:rsid w:val="663B51C1"/>
    <w:rsid w:val="665A29E1"/>
    <w:rsid w:val="666329BA"/>
    <w:rsid w:val="66680388"/>
    <w:rsid w:val="667416AB"/>
    <w:rsid w:val="667C4915"/>
    <w:rsid w:val="668019A3"/>
    <w:rsid w:val="66A546B3"/>
    <w:rsid w:val="66A912E3"/>
    <w:rsid w:val="66AB6843"/>
    <w:rsid w:val="66B42F90"/>
    <w:rsid w:val="66FC5136"/>
    <w:rsid w:val="66FD4E0B"/>
    <w:rsid w:val="670901AC"/>
    <w:rsid w:val="672A302E"/>
    <w:rsid w:val="67491773"/>
    <w:rsid w:val="675121D1"/>
    <w:rsid w:val="6767500B"/>
    <w:rsid w:val="676F41FA"/>
    <w:rsid w:val="67841E7B"/>
    <w:rsid w:val="67945E5C"/>
    <w:rsid w:val="67C63136"/>
    <w:rsid w:val="67D172DA"/>
    <w:rsid w:val="67F22E4A"/>
    <w:rsid w:val="67F24D27"/>
    <w:rsid w:val="67F42206"/>
    <w:rsid w:val="683D0B85"/>
    <w:rsid w:val="6859024B"/>
    <w:rsid w:val="68636054"/>
    <w:rsid w:val="6889707C"/>
    <w:rsid w:val="68914153"/>
    <w:rsid w:val="68920C43"/>
    <w:rsid w:val="68A0408F"/>
    <w:rsid w:val="68AB04A4"/>
    <w:rsid w:val="68BC6927"/>
    <w:rsid w:val="68C06D09"/>
    <w:rsid w:val="68D15127"/>
    <w:rsid w:val="68E1674A"/>
    <w:rsid w:val="68EF2603"/>
    <w:rsid w:val="69025AEA"/>
    <w:rsid w:val="69072D46"/>
    <w:rsid w:val="692C4039"/>
    <w:rsid w:val="692D5F29"/>
    <w:rsid w:val="692E2855"/>
    <w:rsid w:val="695D40C5"/>
    <w:rsid w:val="69731484"/>
    <w:rsid w:val="69757FA5"/>
    <w:rsid w:val="69835459"/>
    <w:rsid w:val="69841670"/>
    <w:rsid w:val="6994351D"/>
    <w:rsid w:val="699B55F7"/>
    <w:rsid w:val="69CA04A8"/>
    <w:rsid w:val="69D9013F"/>
    <w:rsid w:val="69F741A2"/>
    <w:rsid w:val="69FE6E97"/>
    <w:rsid w:val="6A185E40"/>
    <w:rsid w:val="6A1C73EF"/>
    <w:rsid w:val="6A1D5127"/>
    <w:rsid w:val="6A3949FB"/>
    <w:rsid w:val="6A457C16"/>
    <w:rsid w:val="6A550048"/>
    <w:rsid w:val="6A6857B4"/>
    <w:rsid w:val="6A6B5D71"/>
    <w:rsid w:val="6A8E0CFE"/>
    <w:rsid w:val="6AA81A91"/>
    <w:rsid w:val="6AB06526"/>
    <w:rsid w:val="6AC41808"/>
    <w:rsid w:val="6AE0238F"/>
    <w:rsid w:val="6AF46091"/>
    <w:rsid w:val="6B195886"/>
    <w:rsid w:val="6B447524"/>
    <w:rsid w:val="6B854DB8"/>
    <w:rsid w:val="6BA05817"/>
    <w:rsid w:val="6BEE1234"/>
    <w:rsid w:val="6BF03385"/>
    <w:rsid w:val="6C037DFF"/>
    <w:rsid w:val="6C0C10C6"/>
    <w:rsid w:val="6C1A02D9"/>
    <w:rsid w:val="6C1F4FB5"/>
    <w:rsid w:val="6C3359C6"/>
    <w:rsid w:val="6C385E5A"/>
    <w:rsid w:val="6C4E481F"/>
    <w:rsid w:val="6C5C7602"/>
    <w:rsid w:val="6C5E67E5"/>
    <w:rsid w:val="6C867BD8"/>
    <w:rsid w:val="6C897CC8"/>
    <w:rsid w:val="6C8D7504"/>
    <w:rsid w:val="6C8E7FF3"/>
    <w:rsid w:val="6CA32D3B"/>
    <w:rsid w:val="6CB055BD"/>
    <w:rsid w:val="6CB56456"/>
    <w:rsid w:val="6CB95002"/>
    <w:rsid w:val="6CCC3A0B"/>
    <w:rsid w:val="6CCF41D4"/>
    <w:rsid w:val="6CE5509D"/>
    <w:rsid w:val="6CEA61B3"/>
    <w:rsid w:val="6D1022EC"/>
    <w:rsid w:val="6D113871"/>
    <w:rsid w:val="6D1B703E"/>
    <w:rsid w:val="6D2546CA"/>
    <w:rsid w:val="6D2C4E96"/>
    <w:rsid w:val="6D2F429A"/>
    <w:rsid w:val="6D445346"/>
    <w:rsid w:val="6D4C40EA"/>
    <w:rsid w:val="6D535020"/>
    <w:rsid w:val="6D6479C3"/>
    <w:rsid w:val="6D857BC4"/>
    <w:rsid w:val="6D954F12"/>
    <w:rsid w:val="6DAC0736"/>
    <w:rsid w:val="6DB93DFC"/>
    <w:rsid w:val="6DCD71EF"/>
    <w:rsid w:val="6DCF0384"/>
    <w:rsid w:val="6DD742F7"/>
    <w:rsid w:val="6DDA142E"/>
    <w:rsid w:val="6DE27BA2"/>
    <w:rsid w:val="6DF712F5"/>
    <w:rsid w:val="6E47267B"/>
    <w:rsid w:val="6E540736"/>
    <w:rsid w:val="6E601F9E"/>
    <w:rsid w:val="6E6925E9"/>
    <w:rsid w:val="6E916B4D"/>
    <w:rsid w:val="6EBD2E31"/>
    <w:rsid w:val="6EC707CC"/>
    <w:rsid w:val="6EC90C44"/>
    <w:rsid w:val="6EE710C0"/>
    <w:rsid w:val="6EED4691"/>
    <w:rsid w:val="6F037511"/>
    <w:rsid w:val="6F087CC4"/>
    <w:rsid w:val="6F1268A1"/>
    <w:rsid w:val="6F151728"/>
    <w:rsid w:val="6F3D79B6"/>
    <w:rsid w:val="6F664487"/>
    <w:rsid w:val="6F6E474D"/>
    <w:rsid w:val="6F6F3E14"/>
    <w:rsid w:val="6F830F20"/>
    <w:rsid w:val="6F8664ED"/>
    <w:rsid w:val="6F871F4B"/>
    <w:rsid w:val="6FB97D65"/>
    <w:rsid w:val="6FC337BC"/>
    <w:rsid w:val="6FC47F24"/>
    <w:rsid w:val="6FC667B7"/>
    <w:rsid w:val="6FD04AE8"/>
    <w:rsid w:val="6FD33091"/>
    <w:rsid w:val="6FDC162A"/>
    <w:rsid w:val="6FDC44E0"/>
    <w:rsid w:val="6FDD6525"/>
    <w:rsid w:val="6FE30F1E"/>
    <w:rsid w:val="6FF9505C"/>
    <w:rsid w:val="703A3132"/>
    <w:rsid w:val="703A3AFA"/>
    <w:rsid w:val="703A4681"/>
    <w:rsid w:val="70457B12"/>
    <w:rsid w:val="707E05D0"/>
    <w:rsid w:val="70811B26"/>
    <w:rsid w:val="7098054A"/>
    <w:rsid w:val="70A10F09"/>
    <w:rsid w:val="70A91B7D"/>
    <w:rsid w:val="70BE59BC"/>
    <w:rsid w:val="70C20CEE"/>
    <w:rsid w:val="70C7327A"/>
    <w:rsid w:val="70DD3E23"/>
    <w:rsid w:val="70F34FCA"/>
    <w:rsid w:val="70F5772C"/>
    <w:rsid w:val="70FE77FA"/>
    <w:rsid w:val="710B4AA8"/>
    <w:rsid w:val="71243530"/>
    <w:rsid w:val="71362CEA"/>
    <w:rsid w:val="713A2991"/>
    <w:rsid w:val="714609F9"/>
    <w:rsid w:val="715765A8"/>
    <w:rsid w:val="717552D6"/>
    <w:rsid w:val="7181116E"/>
    <w:rsid w:val="71A06F30"/>
    <w:rsid w:val="71C85D97"/>
    <w:rsid w:val="71DF1321"/>
    <w:rsid w:val="72190478"/>
    <w:rsid w:val="721D327C"/>
    <w:rsid w:val="722C7603"/>
    <w:rsid w:val="72352E2A"/>
    <w:rsid w:val="723751A3"/>
    <w:rsid w:val="725B3487"/>
    <w:rsid w:val="726308E2"/>
    <w:rsid w:val="726B400C"/>
    <w:rsid w:val="726E6079"/>
    <w:rsid w:val="72744F0E"/>
    <w:rsid w:val="72785D98"/>
    <w:rsid w:val="729B5B36"/>
    <w:rsid w:val="72B35287"/>
    <w:rsid w:val="72C30A05"/>
    <w:rsid w:val="72C31732"/>
    <w:rsid w:val="72E57670"/>
    <w:rsid w:val="72E849C4"/>
    <w:rsid w:val="72FF46E8"/>
    <w:rsid w:val="7309711B"/>
    <w:rsid w:val="7318135E"/>
    <w:rsid w:val="732348BD"/>
    <w:rsid w:val="73470B82"/>
    <w:rsid w:val="73556C95"/>
    <w:rsid w:val="735D56FE"/>
    <w:rsid w:val="736639D2"/>
    <w:rsid w:val="736C5E03"/>
    <w:rsid w:val="73A6170B"/>
    <w:rsid w:val="73D42779"/>
    <w:rsid w:val="73DD51A0"/>
    <w:rsid w:val="73E5115F"/>
    <w:rsid w:val="73F05C68"/>
    <w:rsid w:val="73FB6E93"/>
    <w:rsid w:val="73FF497F"/>
    <w:rsid w:val="7410293E"/>
    <w:rsid w:val="74176E58"/>
    <w:rsid w:val="74267DF1"/>
    <w:rsid w:val="742817A0"/>
    <w:rsid w:val="74355268"/>
    <w:rsid w:val="745A3FA1"/>
    <w:rsid w:val="745A54CE"/>
    <w:rsid w:val="747353EF"/>
    <w:rsid w:val="747B608F"/>
    <w:rsid w:val="74974E4F"/>
    <w:rsid w:val="749A6BDF"/>
    <w:rsid w:val="74A521A7"/>
    <w:rsid w:val="74AF0D4A"/>
    <w:rsid w:val="74BE2458"/>
    <w:rsid w:val="74C10DD9"/>
    <w:rsid w:val="74C33E4E"/>
    <w:rsid w:val="74C45CA6"/>
    <w:rsid w:val="74D359E3"/>
    <w:rsid w:val="74DB0660"/>
    <w:rsid w:val="74F75D5F"/>
    <w:rsid w:val="75080509"/>
    <w:rsid w:val="751520A8"/>
    <w:rsid w:val="7532425C"/>
    <w:rsid w:val="7543351B"/>
    <w:rsid w:val="755620AE"/>
    <w:rsid w:val="756056DD"/>
    <w:rsid w:val="75844AE0"/>
    <w:rsid w:val="758516A6"/>
    <w:rsid w:val="759762C9"/>
    <w:rsid w:val="7598328E"/>
    <w:rsid w:val="75986D1A"/>
    <w:rsid w:val="759D618A"/>
    <w:rsid w:val="75A97067"/>
    <w:rsid w:val="75AE319A"/>
    <w:rsid w:val="75B11ED2"/>
    <w:rsid w:val="75B24EF7"/>
    <w:rsid w:val="75BF1E0A"/>
    <w:rsid w:val="75CC0C58"/>
    <w:rsid w:val="75DF7A1C"/>
    <w:rsid w:val="762A110B"/>
    <w:rsid w:val="762F41B1"/>
    <w:rsid w:val="76355800"/>
    <w:rsid w:val="763F7CD2"/>
    <w:rsid w:val="7646502B"/>
    <w:rsid w:val="76520811"/>
    <w:rsid w:val="7653028C"/>
    <w:rsid w:val="766742B8"/>
    <w:rsid w:val="76802AA6"/>
    <w:rsid w:val="7698687A"/>
    <w:rsid w:val="769B6DFE"/>
    <w:rsid w:val="76AC0DE3"/>
    <w:rsid w:val="76AC2FAB"/>
    <w:rsid w:val="76C555D2"/>
    <w:rsid w:val="77115B9B"/>
    <w:rsid w:val="7721368A"/>
    <w:rsid w:val="773027D1"/>
    <w:rsid w:val="773B1476"/>
    <w:rsid w:val="77401D44"/>
    <w:rsid w:val="77420E4E"/>
    <w:rsid w:val="775E6259"/>
    <w:rsid w:val="77606B82"/>
    <w:rsid w:val="7784439D"/>
    <w:rsid w:val="7790268A"/>
    <w:rsid w:val="7796561D"/>
    <w:rsid w:val="77BF11BB"/>
    <w:rsid w:val="77C807D0"/>
    <w:rsid w:val="77D914A6"/>
    <w:rsid w:val="77F33EA5"/>
    <w:rsid w:val="77F57B49"/>
    <w:rsid w:val="77FC726A"/>
    <w:rsid w:val="78015423"/>
    <w:rsid w:val="78065E21"/>
    <w:rsid w:val="78092026"/>
    <w:rsid w:val="7825083A"/>
    <w:rsid w:val="78337982"/>
    <w:rsid w:val="78443A4F"/>
    <w:rsid w:val="785B5E7F"/>
    <w:rsid w:val="786F030A"/>
    <w:rsid w:val="78974E9C"/>
    <w:rsid w:val="78AD3A04"/>
    <w:rsid w:val="78AE50CC"/>
    <w:rsid w:val="78C2184C"/>
    <w:rsid w:val="79070BEF"/>
    <w:rsid w:val="79084E2A"/>
    <w:rsid w:val="790C6BE5"/>
    <w:rsid w:val="79304A13"/>
    <w:rsid w:val="79423DE2"/>
    <w:rsid w:val="795466FB"/>
    <w:rsid w:val="796171A5"/>
    <w:rsid w:val="797C46A7"/>
    <w:rsid w:val="797F058B"/>
    <w:rsid w:val="79983DBB"/>
    <w:rsid w:val="799E3886"/>
    <w:rsid w:val="79AB3CFB"/>
    <w:rsid w:val="79AC51A9"/>
    <w:rsid w:val="79AC5821"/>
    <w:rsid w:val="79B4774B"/>
    <w:rsid w:val="79B93659"/>
    <w:rsid w:val="79D66388"/>
    <w:rsid w:val="79ED09E8"/>
    <w:rsid w:val="79FA3CE1"/>
    <w:rsid w:val="7A200DCD"/>
    <w:rsid w:val="7A2A3475"/>
    <w:rsid w:val="7A51609D"/>
    <w:rsid w:val="7A7A449B"/>
    <w:rsid w:val="7A8A3D33"/>
    <w:rsid w:val="7A9D1AF2"/>
    <w:rsid w:val="7AA049F7"/>
    <w:rsid w:val="7AAB1305"/>
    <w:rsid w:val="7AB33BBE"/>
    <w:rsid w:val="7AC5733B"/>
    <w:rsid w:val="7ACD5297"/>
    <w:rsid w:val="7AD73021"/>
    <w:rsid w:val="7AE658A6"/>
    <w:rsid w:val="7AF028DE"/>
    <w:rsid w:val="7AFD2567"/>
    <w:rsid w:val="7B330527"/>
    <w:rsid w:val="7B3D7962"/>
    <w:rsid w:val="7B3E5193"/>
    <w:rsid w:val="7B681689"/>
    <w:rsid w:val="7B76061B"/>
    <w:rsid w:val="7BAD023F"/>
    <w:rsid w:val="7BB65DD0"/>
    <w:rsid w:val="7BC1580A"/>
    <w:rsid w:val="7BDB07B3"/>
    <w:rsid w:val="7C0844BB"/>
    <w:rsid w:val="7C3519A7"/>
    <w:rsid w:val="7C467E54"/>
    <w:rsid w:val="7C504E5F"/>
    <w:rsid w:val="7C636D7B"/>
    <w:rsid w:val="7C66727A"/>
    <w:rsid w:val="7C6D6003"/>
    <w:rsid w:val="7C87012C"/>
    <w:rsid w:val="7C8A5BC2"/>
    <w:rsid w:val="7C8B0A07"/>
    <w:rsid w:val="7CC448B2"/>
    <w:rsid w:val="7CC959C7"/>
    <w:rsid w:val="7CEF347D"/>
    <w:rsid w:val="7CF6186E"/>
    <w:rsid w:val="7CFE2AF1"/>
    <w:rsid w:val="7D047736"/>
    <w:rsid w:val="7D0A382D"/>
    <w:rsid w:val="7D11179C"/>
    <w:rsid w:val="7D2F4329"/>
    <w:rsid w:val="7D3704C0"/>
    <w:rsid w:val="7D414A16"/>
    <w:rsid w:val="7D4E5163"/>
    <w:rsid w:val="7D512740"/>
    <w:rsid w:val="7D7E6ECE"/>
    <w:rsid w:val="7D891584"/>
    <w:rsid w:val="7D9C4976"/>
    <w:rsid w:val="7DAF3DF1"/>
    <w:rsid w:val="7DC7520F"/>
    <w:rsid w:val="7DDA3896"/>
    <w:rsid w:val="7DE13763"/>
    <w:rsid w:val="7DEC7CA4"/>
    <w:rsid w:val="7DF56D2F"/>
    <w:rsid w:val="7DFA2799"/>
    <w:rsid w:val="7E0B2A9C"/>
    <w:rsid w:val="7E0E6C77"/>
    <w:rsid w:val="7E1C414C"/>
    <w:rsid w:val="7E3048C1"/>
    <w:rsid w:val="7E515808"/>
    <w:rsid w:val="7E5704FB"/>
    <w:rsid w:val="7E5C3572"/>
    <w:rsid w:val="7E5E3D70"/>
    <w:rsid w:val="7E830CAF"/>
    <w:rsid w:val="7E8B0B81"/>
    <w:rsid w:val="7E8F2D75"/>
    <w:rsid w:val="7EA454A5"/>
    <w:rsid w:val="7EE1772D"/>
    <w:rsid w:val="7EF805C1"/>
    <w:rsid w:val="7F007CB5"/>
    <w:rsid w:val="7F162CCF"/>
    <w:rsid w:val="7F1718AA"/>
    <w:rsid w:val="7F3535AD"/>
    <w:rsid w:val="7F4B382D"/>
    <w:rsid w:val="7F51576B"/>
    <w:rsid w:val="7F5760BD"/>
    <w:rsid w:val="7F5D6825"/>
    <w:rsid w:val="7F676991"/>
    <w:rsid w:val="7F6A322B"/>
    <w:rsid w:val="7F7A726C"/>
    <w:rsid w:val="7F892996"/>
    <w:rsid w:val="7F8F2E0F"/>
    <w:rsid w:val="7F9978A1"/>
    <w:rsid w:val="7F9C2283"/>
    <w:rsid w:val="7FA51862"/>
    <w:rsid w:val="7FB47F73"/>
    <w:rsid w:val="7FB61109"/>
    <w:rsid w:val="7FD75502"/>
    <w:rsid w:val="7FDC6271"/>
    <w:rsid w:val="7FF22503"/>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5"/>
    <w:unhideWhenUsed/>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413" w:lineRule="auto"/>
      <w:outlineLvl w:val="2"/>
    </w:pPr>
    <w:rPr>
      <w:b/>
      <w:sz w:val="28"/>
    </w:rPr>
  </w:style>
  <w:style w:type="paragraph" w:styleId="7">
    <w:name w:val="heading 4"/>
    <w:basedOn w:val="1"/>
    <w:next w:val="1"/>
    <w:qFormat/>
    <w:uiPriority w:val="0"/>
    <w:pPr>
      <w:keepNext/>
      <w:keepLines/>
      <w:jc w:val="left"/>
      <w:outlineLvl w:val="3"/>
    </w:pPr>
    <w:rPr>
      <w:rFonts w:hint="eastAsia" w:ascii="Arial" w:hAnsi="Arial" w:eastAsia="宋体" w:cs="Times New Roman"/>
      <w:b/>
      <w:sz w:val="32"/>
    </w:rPr>
  </w:style>
  <w:style w:type="paragraph" w:styleId="8">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szCs w:val="22"/>
    </w:rPr>
  </w:style>
  <w:style w:type="paragraph" w:styleId="5">
    <w:name w:val="Normal Indent"/>
    <w:basedOn w:val="1"/>
    <w:qFormat/>
    <w:uiPriority w:val="0"/>
    <w:pPr>
      <w:ind w:firstLine="420"/>
    </w:pPr>
    <w:rPr>
      <w:rFonts w:ascii="Times New Roman" w:hAnsi="Times New Roman"/>
      <w:sz w:val="21"/>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rPr>
      <w:rFonts w:hAnsi="Times New Roman"/>
    </w:rPr>
  </w:style>
  <w:style w:type="paragraph" w:styleId="11">
    <w:name w:val="Body Text Indent"/>
    <w:basedOn w:val="1"/>
    <w:qFormat/>
    <w:uiPriority w:val="0"/>
    <w:pPr>
      <w:spacing w:after="120" w:afterLines="0"/>
      <w:ind w:left="420" w:leftChars="200"/>
    </w:pPr>
  </w:style>
  <w:style w:type="paragraph" w:styleId="12">
    <w:name w:val="Plain Text"/>
    <w:basedOn w:val="1"/>
    <w:qFormat/>
    <w:uiPriority w:val="0"/>
    <w:rPr>
      <w:rFonts w:ascii="宋体" w:hAnsi="Courier New" w:eastAsia="宋体"/>
      <w:sz w:val="21"/>
    </w:rPr>
  </w:style>
  <w:style w:type="paragraph" w:styleId="13">
    <w:name w:val="Date"/>
    <w:basedOn w:val="1"/>
    <w:next w:val="1"/>
    <w:qFormat/>
    <w:uiPriority w:val="0"/>
    <w:rPr>
      <w:szCs w:val="20"/>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sz w:val="21"/>
      <w:szCs w:val="24"/>
    </w:rPr>
  </w:style>
  <w:style w:type="paragraph" w:styleId="17">
    <w:name w:val="toc 2"/>
    <w:basedOn w:val="1"/>
    <w:next w:val="1"/>
    <w:qFormat/>
    <w:uiPriority w:val="0"/>
    <w:pPr>
      <w:ind w:left="420" w:leftChars="200"/>
    </w:pPr>
    <w:rPr>
      <w:sz w:val="21"/>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next w:val="1"/>
    <w:qFormat/>
    <w:uiPriority w:val="0"/>
    <w:pPr>
      <w:jc w:val="left"/>
    </w:pPr>
    <w:rPr>
      <w:rFonts w:cs="Times New Roman"/>
      <w:kern w:val="0"/>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w:basedOn w:val="10"/>
    <w:unhideWhenUsed/>
    <w:qFormat/>
    <w:uiPriority w:val="99"/>
    <w:pPr>
      <w:ind w:firstLine="420" w:firstLineChars="100"/>
    </w:pPr>
  </w:style>
  <w:style w:type="paragraph" w:styleId="22">
    <w:name w:val="Body Text First Indent 2"/>
    <w:basedOn w:val="11"/>
    <w:qFormat/>
    <w:uiPriority w:val="0"/>
    <w:pPr>
      <w:tabs>
        <w:tab w:val="left" w:pos="4900"/>
      </w:tabs>
      <w:ind w:firstLine="420" w:firstLineChars="200"/>
    </w:pPr>
  </w:style>
  <w:style w:type="table" w:styleId="24">
    <w:name w:val="Table Grid"/>
    <w:basedOn w:val="2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rFonts w:ascii="宋体" w:hAnsi="宋体" w:eastAsia="宋体"/>
      <w:b/>
      <w:color w:val="0000FF"/>
      <w:kern w:val="2"/>
      <w:sz w:val="24"/>
      <w:szCs w:val="24"/>
      <w:u w:val="single"/>
      <w:lang w:val="en-US" w:eastAsia="zh-CN" w:bidi="ar-SA"/>
    </w:rPr>
  </w:style>
  <w:style w:type="character" w:styleId="32">
    <w:name w:val="HTML Code"/>
    <w:basedOn w:val="25"/>
    <w:qFormat/>
    <w:uiPriority w:val="0"/>
    <w:rPr>
      <w:rFonts w:hint="default" w:ascii="Menlo" w:hAnsi="Menlo" w:eastAsia="Menlo" w:cs="Menlo"/>
      <w:color w:val="C7254E"/>
      <w:sz w:val="21"/>
      <w:szCs w:val="21"/>
      <w:shd w:val="clear" w:color="auto" w:fill="F9F2F4"/>
    </w:rPr>
  </w:style>
  <w:style w:type="character" w:styleId="33">
    <w:name w:val="HTML Keyboard"/>
    <w:basedOn w:val="25"/>
    <w:qFormat/>
    <w:uiPriority w:val="0"/>
    <w:rPr>
      <w:rFonts w:ascii="Menlo" w:hAnsi="Menlo" w:eastAsia="Menlo" w:cs="Menlo"/>
      <w:color w:val="FFFFFF"/>
      <w:sz w:val="21"/>
      <w:szCs w:val="21"/>
      <w:shd w:val="clear" w:color="auto" w:fill="333333"/>
    </w:rPr>
  </w:style>
  <w:style w:type="character" w:styleId="34">
    <w:name w:val="HTML Sample"/>
    <w:basedOn w:val="25"/>
    <w:qFormat/>
    <w:uiPriority w:val="0"/>
    <w:rPr>
      <w:rFonts w:hint="default" w:ascii="Menlo" w:hAnsi="Menlo" w:eastAsia="Menlo" w:cs="Menlo"/>
      <w:sz w:val="21"/>
      <w:szCs w:val="21"/>
    </w:rPr>
  </w:style>
  <w:style w:type="paragraph" w:customStyle="1" w:styleId="35">
    <w:name w:val="正文缩进1"/>
    <w:basedOn w:val="1"/>
    <w:qFormat/>
    <w:uiPriority w:val="0"/>
    <w:pPr>
      <w:ind w:firstLine="420" w:firstLineChars="200"/>
    </w:pPr>
  </w:style>
  <w:style w:type="paragraph" w:customStyle="1" w:styleId="36">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37">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8">
    <w:name w:val="p15"/>
    <w:basedOn w:val="1"/>
    <w:qFormat/>
    <w:uiPriority w:val="99"/>
    <w:pPr>
      <w:widowControl/>
    </w:pPr>
    <w:rPr>
      <w:kern w:val="0"/>
      <w:sz w:val="21"/>
      <w:szCs w:val="21"/>
    </w:rPr>
  </w:style>
  <w:style w:type="paragraph" w:customStyle="1" w:styleId="39">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0">
    <w:name w:val="old"/>
    <w:basedOn w:val="25"/>
    <w:qFormat/>
    <w:uiPriority w:val="0"/>
    <w:rPr>
      <w:color w:val="999999"/>
    </w:rPr>
  </w:style>
  <w:style w:type="character" w:customStyle="1" w:styleId="41">
    <w:name w:val="hover3"/>
    <w:basedOn w:val="25"/>
    <w:qFormat/>
    <w:uiPriority w:val="0"/>
    <w:rPr>
      <w:shd w:val="clear" w:color="auto" w:fill="EEEEEE"/>
    </w:rPr>
  </w:style>
  <w:style w:type="character" w:customStyle="1" w:styleId="42">
    <w:name w:val="glyphicon4"/>
    <w:basedOn w:val="25"/>
    <w:qFormat/>
    <w:uiPriority w:val="0"/>
  </w:style>
  <w:style w:type="character" w:customStyle="1" w:styleId="43">
    <w:name w:val="hour_am"/>
    <w:basedOn w:val="25"/>
    <w:qFormat/>
    <w:uiPriority w:val="0"/>
  </w:style>
  <w:style w:type="character" w:customStyle="1" w:styleId="44">
    <w:name w:val="hour_pm"/>
    <w:basedOn w:val="25"/>
    <w:qFormat/>
    <w:uiPriority w:val="0"/>
  </w:style>
  <w:style w:type="character" w:customStyle="1" w:styleId="45">
    <w:name w:val="button"/>
    <w:basedOn w:val="25"/>
    <w:qFormat/>
    <w:uiPriority w:val="0"/>
  </w:style>
  <w:style w:type="character" w:customStyle="1" w:styleId="46">
    <w:name w:val="tmpztreemove_arrow"/>
    <w:basedOn w:val="25"/>
    <w:qFormat/>
    <w:uiPriority w:val="0"/>
    <w:rPr>
      <w:shd w:val="clear" w:color="auto" w:fill="FFFFFF"/>
    </w:rPr>
  </w:style>
  <w:style w:type="character" w:customStyle="1" w:styleId="47">
    <w:name w:val="indent"/>
    <w:basedOn w:val="25"/>
    <w:qFormat/>
    <w:uiPriority w:val="0"/>
  </w:style>
  <w:style w:type="paragraph" w:customStyle="1" w:styleId="48">
    <w:name w:val="title1"/>
    <w:basedOn w:val="1"/>
    <w:qFormat/>
    <w:uiPriority w:val="0"/>
    <w:pPr>
      <w:spacing w:before="150" w:line="450" w:lineRule="atLeast"/>
      <w:jc w:val="left"/>
    </w:pPr>
    <w:rPr>
      <w:rFonts w:cs="Times New Roman"/>
      <w:b/>
      <w:kern w:val="0"/>
      <w:szCs w:val="24"/>
    </w:rPr>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List Paragraph"/>
    <w:basedOn w:val="1"/>
    <w:qFormat/>
    <w:uiPriority w:val="34"/>
    <w:pPr>
      <w:ind w:firstLine="420" w:firstLineChars="200"/>
    </w:pPr>
  </w:style>
  <w:style w:type="paragraph" w:customStyle="1" w:styleId="51">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2">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val="none" w:color="000000"/>
      <w:lang w:val="en-US" w:eastAsia="zh-CN" w:bidi="ar-SA"/>
    </w:rPr>
  </w:style>
  <w:style w:type="character" w:customStyle="1" w:styleId="53">
    <w:name w:val="NormalCharacter"/>
    <w:qFormat/>
    <w:uiPriority w:val="0"/>
  </w:style>
  <w:style w:type="paragraph" w:customStyle="1" w:styleId="54">
    <w:name w:val="Table Paragraph"/>
    <w:basedOn w:val="1"/>
    <w:qFormat/>
    <w:uiPriority w:val="1"/>
    <w:pPr>
      <w:autoSpaceDE w:val="0"/>
      <w:autoSpaceDN w:val="0"/>
      <w:spacing w:before="137"/>
      <w:ind w:left="108"/>
      <w:jc w:val="center"/>
    </w:pPr>
    <w:rPr>
      <w:rFonts w:ascii="宋体" w:hAnsi="宋体" w:cs="宋体"/>
      <w:kern w:val="0"/>
      <w:sz w:val="22"/>
      <w:szCs w:val="22"/>
      <w:lang w:val="zh-CN" w:bidi="zh-CN"/>
    </w:rPr>
  </w:style>
  <w:style w:type="paragraph" w:customStyle="1" w:styleId="5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6">
    <w:name w:val="彩色列表 - 强调文字颜色 11"/>
    <w:basedOn w:val="1"/>
    <w:qFormat/>
    <w:uiPriority w:val="34"/>
    <w:pPr>
      <w:ind w:firstLine="420" w:firstLineChars="200"/>
    </w:pPr>
    <w:rPr>
      <w:rFonts w:ascii="Calibri" w:hAnsi="Calibri"/>
      <w:szCs w:val="22"/>
    </w:rPr>
  </w:style>
  <w:style w:type="character" w:customStyle="1" w:styleId="57">
    <w:name w:val="font01"/>
    <w:basedOn w:val="25"/>
    <w:qFormat/>
    <w:uiPriority w:val="0"/>
    <w:rPr>
      <w:rFonts w:hint="default" w:ascii="Arial" w:hAnsi="Arial" w:cs="Arial"/>
      <w:color w:val="000000"/>
      <w:sz w:val="22"/>
      <w:szCs w:val="22"/>
      <w:u w:val="none"/>
    </w:rPr>
  </w:style>
  <w:style w:type="character" w:customStyle="1" w:styleId="58">
    <w:name w:val="font41"/>
    <w:basedOn w:val="25"/>
    <w:qFormat/>
    <w:uiPriority w:val="0"/>
    <w:rPr>
      <w:rFonts w:hint="default" w:ascii="Arial" w:hAnsi="Arial" w:cs="Arial"/>
      <w:color w:val="000000"/>
      <w:sz w:val="22"/>
      <w:szCs w:val="22"/>
      <w:u w:val="none"/>
    </w:rPr>
  </w:style>
  <w:style w:type="character" w:customStyle="1" w:styleId="59">
    <w:name w:val="font101"/>
    <w:basedOn w:val="25"/>
    <w:qFormat/>
    <w:uiPriority w:val="0"/>
    <w:rPr>
      <w:rFonts w:ascii="Arial" w:hAnsi="Arial" w:cs="Arial"/>
      <w:color w:val="000000"/>
      <w:sz w:val="20"/>
      <w:szCs w:val="20"/>
      <w:u w:val="none"/>
    </w:rPr>
  </w:style>
  <w:style w:type="character" w:customStyle="1" w:styleId="60">
    <w:name w:val="font61"/>
    <w:basedOn w:val="25"/>
    <w:qFormat/>
    <w:uiPriority w:val="0"/>
    <w:rPr>
      <w:rFonts w:hint="eastAsia" w:ascii="仿宋" w:hAnsi="仿宋" w:eastAsia="仿宋" w:cs="仿宋"/>
      <w:color w:val="000000"/>
      <w:sz w:val="20"/>
      <w:szCs w:val="20"/>
      <w:u w:val="none"/>
    </w:rPr>
  </w:style>
  <w:style w:type="paragraph" w:customStyle="1" w:styleId="6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2">
    <w:name w:val="标题 5（有编号）（绿盟科技）"/>
    <w:basedOn w:val="1"/>
    <w:next w:val="63"/>
    <w:qFormat/>
    <w:uiPriority w:val="0"/>
    <w:pPr>
      <w:keepNext/>
      <w:keepLines/>
      <w:numPr>
        <w:ilvl w:val="4"/>
        <w:numId w:val="1"/>
      </w:numPr>
      <w:spacing w:before="280" w:after="156" w:line="377" w:lineRule="auto"/>
      <w:outlineLvl w:val="4"/>
    </w:pPr>
    <w:rPr>
      <w:rFonts w:eastAsia="黑体"/>
      <w:b/>
      <w:szCs w:val="28"/>
    </w:rPr>
  </w:style>
  <w:style w:type="paragraph" w:customStyle="1" w:styleId="63">
    <w:name w:val="正文（绿盟科技）"/>
    <w:qFormat/>
    <w:uiPriority w:val="0"/>
    <w:pPr>
      <w:spacing w:line="300" w:lineRule="auto"/>
    </w:pPr>
    <w:rPr>
      <w:rFonts w:ascii="Times New Roman" w:hAnsi="Times New Roman" w:eastAsia="宋体" w:cs="黑体"/>
      <w:sz w:val="21"/>
      <w:szCs w:val="21"/>
      <w:lang w:val="en-US" w:eastAsia="zh-CN" w:bidi="ar-SA"/>
    </w:rPr>
  </w:style>
  <w:style w:type="character" w:customStyle="1" w:styleId="64">
    <w:name w:val="font11"/>
    <w:basedOn w:val="25"/>
    <w:qFormat/>
    <w:uiPriority w:val="0"/>
    <w:rPr>
      <w:rFonts w:hint="eastAsia" w:ascii="宋体" w:hAnsi="宋体" w:eastAsia="宋体" w:cs="宋体"/>
      <w:color w:val="000000"/>
      <w:sz w:val="22"/>
      <w:szCs w:val="22"/>
      <w:u w:val="none"/>
    </w:rPr>
  </w:style>
  <w:style w:type="character" w:customStyle="1" w:styleId="65">
    <w:name w:val="nth-of-type(1)"/>
    <w:basedOn w:val="25"/>
    <w:qFormat/>
    <w:uiPriority w:val="0"/>
  </w:style>
  <w:style w:type="character" w:customStyle="1" w:styleId="66">
    <w:name w:val="nth-of-type(1)1"/>
    <w:basedOn w:val="25"/>
    <w:qFormat/>
    <w:uiPriority w:val="0"/>
  </w:style>
  <w:style w:type="character" w:customStyle="1" w:styleId="67">
    <w:name w:val="nth-of-type(1)2"/>
    <w:basedOn w:val="25"/>
    <w:qFormat/>
    <w:uiPriority w:val="0"/>
  </w:style>
  <w:style w:type="character" w:customStyle="1" w:styleId="68">
    <w:name w:val="nth-of-type(1)3"/>
    <w:basedOn w:val="25"/>
    <w:qFormat/>
    <w:uiPriority w:val="0"/>
  </w:style>
  <w:style w:type="character" w:customStyle="1" w:styleId="69">
    <w:name w:val="nth-of-type(1)4"/>
    <w:basedOn w:val="25"/>
    <w:qFormat/>
    <w:uiPriority w:val="0"/>
  </w:style>
  <w:style w:type="character" w:customStyle="1" w:styleId="70">
    <w:name w:val="nth-of-type(1)5"/>
    <w:basedOn w:val="25"/>
    <w:qFormat/>
    <w:uiPriority w:val="0"/>
  </w:style>
  <w:style w:type="character" w:customStyle="1" w:styleId="71">
    <w:name w:val="nth-of-type(1)6"/>
    <w:basedOn w:val="25"/>
    <w:qFormat/>
    <w:uiPriority w:val="0"/>
    <w:rPr>
      <w:rFonts w:ascii="SourceHanSansCN-Regular" w:hAnsi="SourceHanSansCN-Regular" w:eastAsia="SourceHanSansCN-Regular" w:cs="SourceHanSansCN-Regular"/>
      <w:color w:val="FB560A"/>
      <w:sz w:val="21"/>
      <w:szCs w:val="21"/>
    </w:rPr>
  </w:style>
  <w:style w:type="character" w:customStyle="1" w:styleId="72">
    <w:name w:val="nth-of-type(1)7"/>
    <w:basedOn w:val="25"/>
    <w:qFormat/>
    <w:uiPriority w:val="0"/>
  </w:style>
  <w:style w:type="character" w:customStyle="1" w:styleId="73">
    <w:name w:val="nth-of-type(1)8"/>
    <w:basedOn w:val="25"/>
    <w:qFormat/>
    <w:uiPriority w:val="0"/>
  </w:style>
  <w:style w:type="character" w:customStyle="1" w:styleId="74">
    <w:name w:val="nth-of-type(1)9"/>
    <w:basedOn w:val="25"/>
    <w:qFormat/>
    <w:uiPriority w:val="0"/>
  </w:style>
  <w:style w:type="character" w:customStyle="1" w:styleId="75">
    <w:name w:val="nth-of-type(1)10"/>
    <w:basedOn w:val="25"/>
    <w:qFormat/>
    <w:uiPriority w:val="0"/>
  </w:style>
  <w:style w:type="character" w:customStyle="1" w:styleId="76">
    <w:name w:val="nth-of-type(1)11"/>
    <w:basedOn w:val="25"/>
    <w:qFormat/>
    <w:uiPriority w:val="0"/>
  </w:style>
  <w:style w:type="character" w:customStyle="1" w:styleId="77">
    <w:name w:val="nth-of-type(1)12"/>
    <w:basedOn w:val="25"/>
    <w:qFormat/>
    <w:uiPriority w:val="0"/>
  </w:style>
  <w:style w:type="character" w:customStyle="1" w:styleId="78">
    <w:name w:val="nth-of-type(1)13"/>
    <w:basedOn w:val="25"/>
    <w:qFormat/>
    <w:uiPriority w:val="0"/>
    <w:rPr>
      <w:sz w:val="21"/>
      <w:szCs w:val="21"/>
    </w:rPr>
  </w:style>
  <w:style w:type="character" w:customStyle="1" w:styleId="79">
    <w:name w:val="nth-of-type(1)14"/>
    <w:basedOn w:val="25"/>
    <w:qFormat/>
    <w:uiPriority w:val="0"/>
  </w:style>
  <w:style w:type="character" w:customStyle="1" w:styleId="80">
    <w:name w:val="nth-of-type(1)15"/>
    <w:basedOn w:val="25"/>
    <w:qFormat/>
    <w:uiPriority w:val="0"/>
  </w:style>
  <w:style w:type="character" w:customStyle="1" w:styleId="81">
    <w:name w:val="nth-of-type(1)16"/>
    <w:basedOn w:val="25"/>
    <w:qFormat/>
    <w:uiPriority w:val="0"/>
  </w:style>
  <w:style w:type="character" w:customStyle="1" w:styleId="82">
    <w:name w:val="nth-of-type(1)17"/>
    <w:basedOn w:val="25"/>
    <w:qFormat/>
    <w:uiPriority w:val="0"/>
  </w:style>
  <w:style w:type="character" w:customStyle="1" w:styleId="83">
    <w:name w:val="nth-of-type(1)18"/>
    <w:basedOn w:val="25"/>
    <w:qFormat/>
    <w:uiPriority w:val="0"/>
  </w:style>
  <w:style w:type="character" w:customStyle="1" w:styleId="84">
    <w:name w:val="hover25"/>
    <w:basedOn w:val="25"/>
    <w:qFormat/>
    <w:uiPriority w:val="0"/>
    <w:rPr>
      <w:color w:val="167AE0"/>
    </w:rPr>
  </w:style>
  <w:style w:type="character" w:customStyle="1" w:styleId="85">
    <w:name w:val="layui-this"/>
    <w:basedOn w:val="25"/>
    <w:qFormat/>
    <w:uiPriority w:val="0"/>
    <w:rPr>
      <w:bdr w:val="single" w:color="EEEEEE" w:sz="6" w:space="0"/>
      <w:shd w:val="clear" w:fill="FFFFFF"/>
    </w:rPr>
  </w:style>
  <w:style w:type="character" w:customStyle="1" w:styleId="86">
    <w:name w:val="nth-of-type(5)"/>
    <w:basedOn w:val="25"/>
    <w:qFormat/>
    <w:uiPriority w:val="0"/>
  </w:style>
  <w:style w:type="character" w:customStyle="1" w:styleId="87">
    <w:name w:val="nth-of-type(5)1"/>
    <w:basedOn w:val="25"/>
    <w:qFormat/>
    <w:uiPriority w:val="0"/>
  </w:style>
  <w:style w:type="character" w:customStyle="1" w:styleId="88">
    <w:name w:val="nth-of-type(5)2"/>
    <w:basedOn w:val="25"/>
    <w:qFormat/>
    <w:uiPriority w:val="0"/>
  </w:style>
  <w:style w:type="character" w:customStyle="1" w:styleId="89">
    <w:name w:val="nth-of-type(5)3"/>
    <w:basedOn w:val="25"/>
    <w:qFormat/>
    <w:uiPriority w:val="0"/>
  </w:style>
  <w:style w:type="character" w:customStyle="1" w:styleId="90">
    <w:name w:val="nth-of-type(5)4"/>
    <w:basedOn w:val="25"/>
    <w:qFormat/>
    <w:uiPriority w:val="0"/>
    <w:rPr>
      <w:sz w:val="21"/>
      <w:szCs w:val="21"/>
    </w:rPr>
  </w:style>
  <w:style w:type="character" w:customStyle="1" w:styleId="91">
    <w:name w:val="nth-of-type(5)5"/>
    <w:basedOn w:val="25"/>
    <w:qFormat/>
    <w:uiPriority w:val="0"/>
  </w:style>
  <w:style w:type="character" w:customStyle="1" w:styleId="92">
    <w:name w:val="nth-of-type(5)6"/>
    <w:basedOn w:val="25"/>
    <w:qFormat/>
    <w:uiPriority w:val="0"/>
  </w:style>
  <w:style w:type="character" w:customStyle="1" w:styleId="93">
    <w:name w:val="nth-of-type(2)"/>
    <w:basedOn w:val="25"/>
    <w:qFormat/>
    <w:uiPriority w:val="0"/>
  </w:style>
  <w:style w:type="character" w:customStyle="1" w:styleId="94">
    <w:name w:val="nth-of-type(2)1"/>
    <w:basedOn w:val="25"/>
    <w:qFormat/>
    <w:uiPriority w:val="0"/>
  </w:style>
  <w:style w:type="character" w:customStyle="1" w:styleId="95">
    <w:name w:val="nth-of-type(2)2"/>
    <w:basedOn w:val="25"/>
    <w:qFormat/>
    <w:uiPriority w:val="0"/>
  </w:style>
  <w:style w:type="character" w:customStyle="1" w:styleId="96">
    <w:name w:val="nth-of-type(2)3"/>
    <w:basedOn w:val="25"/>
    <w:qFormat/>
    <w:uiPriority w:val="0"/>
  </w:style>
  <w:style w:type="character" w:customStyle="1" w:styleId="97">
    <w:name w:val="nth-of-type(2)4"/>
    <w:basedOn w:val="25"/>
    <w:qFormat/>
    <w:uiPriority w:val="0"/>
  </w:style>
  <w:style w:type="character" w:customStyle="1" w:styleId="98">
    <w:name w:val="nth-of-type(2)5"/>
    <w:basedOn w:val="25"/>
    <w:qFormat/>
    <w:uiPriority w:val="0"/>
  </w:style>
  <w:style w:type="character" w:customStyle="1" w:styleId="99">
    <w:name w:val="nth-of-type(2)6"/>
    <w:basedOn w:val="25"/>
    <w:qFormat/>
    <w:uiPriority w:val="0"/>
  </w:style>
  <w:style w:type="character" w:customStyle="1" w:styleId="100">
    <w:name w:val="nth-of-type(2)7"/>
    <w:basedOn w:val="25"/>
    <w:qFormat/>
    <w:uiPriority w:val="0"/>
  </w:style>
  <w:style w:type="character" w:customStyle="1" w:styleId="101">
    <w:name w:val="nth-of-type(2)8"/>
    <w:basedOn w:val="25"/>
    <w:qFormat/>
    <w:uiPriority w:val="0"/>
  </w:style>
  <w:style w:type="character" w:customStyle="1" w:styleId="102">
    <w:name w:val="nth-of-type(2)9"/>
    <w:basedOn w:val="25"/>
    <w:qFormat/>
    <w:uiPriority w:val="0"/>
  </w:style>
  <w:style w:type="character" w:customStyle="1" w:styleId="103">
    <w:name w:val="nth-of-type(2)10"/>
    <w:basedOn w:val="25"/>
    <w:qFormat/>
    <w:uiPriority w:val="0"/>
    <w:rPr>
      <w:sz w:val="21"/>
      <w:szCs w:val="21"/>
    </w:rPr>
  </w:style>
  <w:style w:type="character" w:customStyle="1" w:styleId="104">
    <w:name w:val="nth-of-type(2)11"/>
    <w:basedOn w:val="25"/>
    <w:qFormat/>
    <w:uiPriority w:val="0"/>
  </w:style>
  <w:style w:type="character" w:customStyle="1" w:styleId="105">
    <w:name w:val="nth-of-type(2)12"/>
    <w:basedOn w:val="25"/>
    <w:qFormat/>
    <w:uiPriority w:val="0"/>
  </w:style>
  <w:style w:type="character" w:customStyle="1" w:styleId="106">
    <w:name w:val="nth-of-type(2)13"/>
    <w:basedOn w:val="25"/>
    <w:qFormat/>
    <w:uiPriority w:val="0"/>
  </w:style>
  <w:style w:type="character" w:customStyle="1" w:styleId="107">
    <w:name w:val="nth-of-type(2)14"/>
    <w:basedOn w:val="25"/>
    <w:qFormat/>
    <w:uiPriority w:val="0"/>
  </w:style>
  <w:style w:type="character" w:customStyle="1" w:styleId="108">
    <w:name w:val="before2"/>
    <w:basedOn w:val="25"/>
    <w:qFormat/>
    <w:uiPriority w:val="0"/>
    <w:rPr>
      <w:shd w:val="clear" w:fill="C20E0C"/>
    </w:rPr>
  </w:style>
  <w:style w:type="character" w:customStyle="1" w:styleId="109">
    <w:name w:val="nth-of-type(4)"/>
    <w:basedOn w:val="25"/>
    <w:qFormat/>
    <w:uiPriority w:val="0"/>
  </w:style>
  <w:style w:type="character" w:customStyle="1" w:styleId="110">
    <w:name w:val="nth-of-type(4)1"/>
    <w:basedOn w:val="25"/>
    <w:qFormat/>
    <w:uiPriority w:val="0"/>
  </w:style>
  <w:style w:type="character" w:customStyle="1" w:styleId="111">
    <w:name w:val="nth-of-type(4)2"/>
    <w:basedOn w:val="25"/>
    <w:qFormat/>
    <w:uiPriority w:val="0"/>
  </w:style>
  <w:style w:type="character" w:customStyle="1" w:styleId="112">
    <w:name w:val="nth-of-type(4)3"/>
    <w:basedOn w:val="25"/>
    <w:qFormat/>
    <w:uiPriority w:val="0"/>
  </w:style>
  <w:style w:type="character" w:customStyle="1" w:styleId="113">
    <w:name w:val="nth-of-type(4)4"/>
    <w:basedOn w:val="25"/>
    <w:qFormat/>
    <w:uiPriority w:val="0"/>
    <w:rPr>
      <w:sz w:val="21"/>
      <w:szCs w:val="21"/>
    </w:rPr>
  </w:style>
  <w:style w:type="character" w:customStyle="1" w:styleId="114">
    <w:name w:val="nth-of-type(4)5"/>
    <w:basedOn w:val="25"/>
    <w:qFormat/>
    <w:uiPriority w:val="0"/>
  </w:style>
  <w:style w:type="character" w:customStyle="1" w:styleId="115">
    <w:name w:val="nth-of-type(4)6"/>
    <w:basedOn w:val="25"/>
    <w:qFormat/>
    <w:uiPriority w:val="0"/>
  </w:style>
  <w:style w:type="character" w:customStyle="1" w:styleId="116">
    <w:name w:val="nth-of-type(4)7"/>
    <w:basedOn w:val="25"/>
    <w:qFormat/>
    <w:uiPriority w:val="0"/>
  </w:style>
  <w:style w:type="character" w:customStyle="1" w:styleId="117">
    <w:name w:val="nth-of-type(4)8"/>
    <w:basedOn w:val="25"/>
    <w:qFormat/>
    <w:uiPriority w:val="0"/>
  </w:style>
  <w:style w:type="character" w:customStyle="1" w:styleId="118">
    <w:name w:val="nth-of-type(6)"/>
    <w:basedOn w:val="25"/>
    <w:qFormat/>
    <w:uiPriority w:val="0"/>
  </w:style>
  <w:style w:type="character" w:customStyle="1" w:styleId="119">
    <w:name w:val="nth-of-type(6)1"/>
    <w:basedOn w:val="25"/>
    <w:qFormat/>
    <w:uiPriority w:val="0"/>
    <w:rPr>
      <w:color w:val="0082DF"/>
    </w:rPr>
  </w:style>
  <w:style w:type="character" w:customStyle="1" w:styleId="120">
    <w:name w:val="nth-of-type(6)2"/>
    <w:basedOn w:val="25"/>
    <w:qFormat/>
    <w:uiPriority w:val="0"/>
  </w:style>
  <w:style w:type="character" w:customStyle="1" w:styleId="121">
    <w:name w:val="nth-of-type(6)3"/>
    <w:basedOn w:val="25"/>
    <w:qFormat/>
    <w:uiPriority w:val="0"/>
  </w:style>
  <w:style w:type="character" w:customStyle="1" w:styleId="122">
    <w:name w:val="nth-of-type(6)4"/>
    <w:basedOn w:val="25"/>
    <w:qFormat/>
    <w:uiPriority w:val="0"/>
  </w:style>
  <w:style w:type="character" w:customStyle="1" w:styleId="123">
    <w:name w:val="nth-of-type(6)5"/>
    <w:basedOn w:val="25"/>
    <w:qFormat/>
    <w:uiPriority w:val="0"/>
  </w:style>
  <w:style w:type="character" w:customStyle="1" w:styleId="124">
    <w:name w:val="nth-of-type(8)"/>
    <w:basedOn w:val="25"/>
    <w:qFormat/>
    <w:uiPriority w:val="0"/>
  </w:style>
  <w:style w:type="character" w:customStyle="1" w:styleId="125">
    <w:name w:val="lineshow"/>
    <w:basedOn w:val="25"/>
    <w:qFormat/>
    <w:uiPriority w:val="0"/>
  </w:style>
  <w:style w:type="character" w:customStyle="1" w:styleId="126">
    <w:name w:val="lineshow1"/>
    <w:basedOn w:val="25"/>
    <w:qFormat/>
    <w:uiPriority w:val="0"/>
  </w:style>
  <w:style w:type="character" w:customStyle="1" w:styleId="127">
    <w:name w:val="nth-child(3)"/>
    <w:basedOn w:val="25"/>
    <w:qFormat/>
    <w:uiPriority w:val="0"/>
  </w:style>
  <w:style w:type="character" w:customStyle="1" w:styleId="128">
    <w:name w:val="nth-of-type(7)"/>
    <w:basedOn w:val="25"/>
    <w:qFormat/>
    <w:uiPriority w:val="0"/>
  </w:style>
  <w:style w:type="character" w:customStyle="1" w:styleId="129">
    <w:name w:val="nth-of-type(7)1"/>
    <w:basedOn w:val="25"/>
    <w:qFormat/>
    <w:uiPriority w:val="0"/>
  </w:style>
  <w:style w:type="character" w:customStyle="1" w:styleId="130">
    <w:name w:val="nth-of-type(7)2"/>
    <w:basedOn w:val="25"/>
    <w:qFormat/>
    <w:uiPriority w:val="0"/>
  </w:style>
  <w:style w:type="character" w:customStyle="1" w:styleId="131">
    <w:name w:val="nth-of-type(3)"/>
    <w:basedOn w:val="25"/>
    <w:qFormat/>
    <w:uiPriority w:val="0"/>
  </w:style>
  <w:style w:type="character" w:customStyle="1" w:styleId="132">
    <w:name w:val="nth-of-type(3)1"/>
    <w:basedOn w:val="25"/>
    <w:qFormat/>
    <w:uiPriority w:val="0"/>
  </w:style>
  <w:style w:type="character" w:customStyle="1" w:styleId="133">
    <w:name w:val="nth-of-type(3)2"/>
    <w:basedOn w:val="25"/>
    <w:qFormat/>
    <w:uiPriority w:val="0"/>
  </w:style>
  <w:style w:type="character" w:customStyle="1" w:styleId="134">
    <w:name w:val="nth-of-type(3)3"/>
    <w:basedOn w:val="25"/>
    <w:qFormat/>
    <w:uiPriority w:val="0"/>
    <w:rPr>
      <w:sz w:val="21"/>
      <w:szCs w:val="21"/>
    </w:rPr>
  </w:style>
  <w:style w:type="character" w:customStyle="1" w:styleId="135">
    <w:name w:val="nth-of-type(3)4"/>
    <w:basedOn w:val="25"/>
    <w:qFormat/>
    <w:uiPriority w:val="0"/>
  </w:style>
  <w:style w:type="character" w:customStyle="1" w:styleId="136">
    <w:name w:val="nth-of-type(3)5"/>
    <w:basedOn w:val="25"/>
    <w:qFormat/>
    <w:uiPriority w:val="0"/>
  </w:style>
  <w:style w:type="character" w:customStyle="1" w:styleId="137">
    <w:name w:val="nth-of-type(3)6"/>
    <w:basedOn w:val="25"/>
    <w:qFormat/>
    <w:uiPriority w:val="0"/>
  </w:style>
  <w:style w:type="character" w:customStyle="1" w:styleId="138">
    <w:name w:val="nth-of-type(3)7"/>
    <w:basedOn w:val="25"/>
    <w:qFormat/>
    <w:uiPriority w:val="0"/>
  </w:style>
  <w:style w:type="character" w:customStyle="1" w:styleId="139">
    <w:name w:val="nth-of-type(9)"/>
    <w:basedOn w:val="25"/>
    <w:qFormat/>
    <w:uiPriority w:val="0"/>
  </w:style>
  <w:style w:type="character" w:customStyle="1" w:styleId="140">
    <w:name w:val="nth-of-type(10)"/>
    <w:basedOn w:val="25"/>
    <w:qFormat/>
    <w:uiPriority w:val="0"/>
  </w:style>
  <w:style w:type="character" w:customStyle="1" w:styleId="141">
    <w:name w:val="titleshow"/>
    <w:basedOn w:val="25"/>
    <w:qFormat/>
    <w:uiPriority w:val="0"/>
    <w:rPr>
      <w:color w:val="3E464C"/>
    </w:rPr>
  </w:style>
  <w:style w:type="character" w:customStyle="1" w:styleId="142">
    <w:name w:val="nth-child(2)"/>
    <w:basedOn w:val="25"/>
    <w:qFormat/>
    <w:uiPriority w:val="0"/>
  </w:style>
  <w:style w:type="character" w:customStyle="1" w:styleId="143">
    <w:name w:val="last-child1"/>
    <w:basedOn w:val="25"/>
    <w:qFormat/>
    <w:uiPriority w:val="0"/>
    <w:rPr>
      <w:color w:val="FFFFFF"/>
    </w:rPr>
  </w:style>
  <w:style w:type="character" w:customStyle="1" w:styleId="144">
    <w:name w:val="last-child2"/>
    <w:basedOn w:val="25"/>
    <w:qFormat/>
    <w:uiPriority w:val="0"/>
  </w:style>
  <w:style w:type="character" w:customStyle="1" w:styleId="145">
    <w:name w:val="last-child3"/>
    <w:basedOn w:val="25"/>
    <w:qFormat/>
    <w:uiPriority w:val="0"/>
  </w:style>
  <w:style w:type="character" w:customStyle="1" w:styleId="146">
    <w:name w:val="nth-child(1)"/>
    <w:basedOn w:val="25"/>
    <w:qFormat/>
    <w:uiPriority w:val="0"/>
  </w:style>
  <w:style w:type="character" w:customStyle="1" w:styleId="147">
    <w:name w:val="first-child1"/>
    <w:basedOn w:val="25"/>
    <w:qFormat/>
    <w:uiPriority w:val="0"/>
  </w:style>
  <w:style w:type="character" w:customStyle="1" w:styleId="148">
    <w:name w:val="first-child2"/>
    <w:basedOn w:val="25"/>
    <w:qFormat/>
    <w:uiPriority w:val="0"/>
  </w:style>
  <w:style w:type="character" w:customStyle="1" w:styleId="149">
    <w:name w:val="first-child3"/>
    <w:basedOn w:val="25"/>
    <w:qFormat/>
    <w:uiPriority w:val="0"/>
  </w:style>
  <w:style w:type="character" w:customStyle="1" w:styleId="150">
    <w:name w:val="first-child4"/>
    <w:basedOn w:val="25"/>
    <w:qFormat/>
    <w:uiPriority w:val="0"/>
  </w:style>
  <w:style w:type="character" w:customStyle="1" w:styleId="151">
    <w:name w:val="layui-laypage-curr"/>
    <w:basedOn w:val="25"/>
    <w:qFormat/>
    <w:uiPriority w:val="0"/>
  </w:style>
  <w:style w:type="paragraph" w:customStyle="1" w:styleId="152">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jpeg"/><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2059"/>
    <customShpInfo spid="_x0000_s2052"/>
    <customShpInfo spid="_x0000_s2051"/>
    <customShpInfo spid="_x0000_s2054"/>
    <customShpInfo spid="_x0000_s2053"/>
    <customShpInfo spid="_x0000_s2055" textRotate="1"/>
    <customShpInfo spid="_x0000_s2066" textRotate="1"/>
    <customShpInfo spid="_x0000_s2067" textRotate="1"/>
    <customShpInfo spid="_x0000_s2058" textRotate="1"/>
    <customShpInfo spid="_x0000_s1036"/>
    <customShpInfo spid="_x0000_s1026"/>
    <customShpInfo spid="_x0000_s1027"/>
    <customShpInfo spid="_x0000_s1037"/>
    <customShpInfo spid="_x0000_s1035"/>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97</Pages>
  <Words>42432</Words>
  <Characters>45043</Characters>
  <Lines>1</Lines>
  <Paragraphs>1</Paragraphs>
  <TotalTime>27</TotalTime>
  <ScaleCrop>false</ScaleCrop>
  <LinksUpToDate>false</LinksUpToDate>
  <CharactersWithSpaces>47627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2021-07-12T06:24:00Z</cp:lastPrinted>
  <dcterms:modified xsi:type="dcterms:W3CDTF">2022-06-29T03:22:21Z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E244BE1521F748C4B7CE0919B350EA60</vt:lpwstr>
  </property>
  <property fmtid="{D5CDD505-2E9C-101B-9397-08002B2CF9AE}" pid="4" name="commondata">
    <vt:lpwstr>eyJoZGlkIjoiZDA1NjllZTBmZjRkODQ4Yzg1ZWZjMzk1NDljZWE0OWQifQ==</vt:lpwstr>
  </property>
</Properties>
</file>