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color w:val="auto"/>
          <w:sz w:val="36"/>
          <w:highlight w:val="none"/>
        </w:rPr>
      </w:pPr>
      <w:r>
        <w:rPr>
          <w:rFonts w:hint="eastAsia" w:ascii="仿宋" w:hAnsi="仿宋" w:eastAsia="仿宋" w:cs="仿宋"/>
          <w:color w:val="auto"/>
          <w:sz w:val="36"/>
          <w:highlight w:val="none"/>
        </w:rPr>
        <w:pict>
          <v:shape id="_x0000_s1036" o:spid="_x0000_s1036" o:spt="202" type="#_x0000_t202" style="position:absolute;left:0pt;margin-left:326.15pt;margin-top:-20.4pt;height:29.15pt;width:117.7pt;z-index:251668480;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ind w:left="-240" w:leftChars="-100" w:firstLine="239" w:firstLineChars="66"/>
        <w:rPr>
          <w:rFonts w:hint="eastAsia" w:ascii="仿宋" w:hAnsi="仿宋" w:eastAsia="仿宋" w:cs="仿宋"/>
          <w:b/>
          <w:color w:val="auto"/>
          <w:sz w:val="15"/>
          <w:szCs w:val="15"/>
          <w:highlight w:val="none"/>
          <w:lang w:eastAsia="zh-CN"/>
        </w:rPr>
      </w:pP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HZGH-2022-041-02</w:t>
      </w:r>
    </w:p>
    <w:p>
      <w:pPr>
        <w:widowControl/>
        <w:wordWrap w:val="0"/>
        <w:spacing w:line="560" w:lineRule="exact"/>
        <w:rPr>
          <w:rFonts w:hint="eastAsia" w:ascii="仿宋" w:hAnsi="仿宋" w:eastAsia="仿宋" w:cs="仿宋"/>
          <w:b/>
          <w:bCs/>
          <w:color w:val="auto"/>
          <w:spacing w:val="20"/>
          <w:kern w:val="0"/>
          <w:sz w:val="84"/>
          <w:szCs w:val="84"/>
          <w:highlight w:val="none"/>
        </w:rPr>
      </w:pPr>
    </w:p>
    <w:p>
      <w:pPr>
        <w:widowControl/>
        <w:spacing w:line="560" w:lineRule="exact"/>
        <w:jc w:val="both"/>
        <w:rPr>
          <w:rFonts w:hint="eastAsia" w:ascii="仿宋" w:hAnsi="仿宋" w:eastAsia="仿宋" w:cs="仿宋"/>
          <w:b/>
          <w:color w:val="auto"/>
          <w:sz w:val="52"/>
          <w:szCs w:val="52"/>
          <w:highlight w:val="none"/>
        </w:rPr>
      </w:pPr>
    </w:p>
    <w:p>
      <w:pPr>
        <w:spacing w:line="360" w:lineRule="auto"/>
        <w:jc w:val="center"/>
        <w:rPr>
          <w:rFonts w:hint="eastAsia" w:ascii="仿宋" w:hAnsi="仿宋" w:eastAsia="仿宋" w:cs="仿宋"/>
          <w:b/>
          <w:color w:val="auto"/>
          <w:sz w:val="40"/>
          <w:szCs w:val="40"/>
          <w:highlight w:val="none"/>
          <w:shd w:val="clear" w:color="auto" w:fill="FFFFFF"/>
        </w:rPr>
      </w:pPr>
      <w:r>
        <w:rPr>
          <w:rFonts w:hint="eastAsia" w:ascii="仿宋" w:hAnsi="仿宋" w:eastAsia="仿宋" w:cs="仿宋"/>
          <w:b/>
          <w:bCs/>
          <w:color w:val="auto"/>
          <w:sz w:val="52"/>
          <w:szCs w:val="52"/>
          <w:highlight w:val="none"/>
          <w:lang w:eastAsia="zh-CN"/>
        </w:rPr>
        <w:t>膈肌起搏器等医疗设备采购项目</w:t>
      </w:r>
    </w:p>
    <w:p>
      <w:pPr>
        <w:spacing w:beforeLines="50" w:line="560" w:lineRule="exact"/>
        <w:jc w:val="center"/>
        <w:rPr>
          <w:rFonts w:hint="eastAsia" w:ascii="仿宋" w:hAnsi="仿宋" w:eastAsia="仿宋" w:cs="仿宋"/>
          <w:b/>
          <w:bCs/>
          <w:color w:val="auto"/>
          <w:spacing w:val="20"/>
          <w:kern w:val="0"/>
          <w:sz w:val="72"/>
          <w:szCs w:val="72"/>
          <w:highlight w:val="none"/>
        </w:rPr>
      </w:pPr>
    </w:p>
    <w:p>
      <w:pPr>
        <w:spacing w:beforeLines="50" w:line="560" w:lineRule="exact"/>
        <w:jc w:val="center"/>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公开招标文件</w:t>
      </w:r>
    </w:p>
    <w:p>
      <w:pPr>
        <w:spacing w:beforeLines="70" w:line="5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第二标段：</w:t>
      </w:r>
      <w:r>
        <w:rPr>
          <w:rFonts w:hint="eastAsia" w:ascii="仿宋" w:hAnsi="仿宋" w:eastAsia="仿宋" w:cs="仿宋"/>
          <w:b/>
          <w:bCs/>
          <w:i w:val="0"/>
          <w:iCs w:val="0"/>
          <w:caps w:val="0"/>
          <w:color w:val="auto"/>
          <w:spacing w:val="0"/>
          <w:sz w:val="28"/>
          <w:szCs w:val="28"/>
          <w:highlight w:val="none"/>
          <w:shd w:val="clear" w:fill="FFFFFF"/>
        </w:rPr>
        <w:t>消化道动力检测仪系统</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rPr>
        <w:t>全自动软式内镜清洗消毒器</w:t>
      </w:r>
      <w:r>
        <w:rPr>
          <w:rFonts w:hint="eastAsia" w:ascii="仿宋" w:hAnsi="仿宋" w:eastAsia="仿宋" w:cs="仿宋"/>
          <w:b/>
          <w:bCs/>
          <w:i w:val="0"/>
          <w:iCs w:val="0"/>
          <w:caps w:val="0"/>
          <w:color w:val="auto"/>
          <w:spacing w:val="0"/>
          <w:sz w:val="28"/>
          <w:szCs w:val="28"/>
          <w:highlight w:val="none"/>
          <w:shd w:val="clear" w:fill="FFFFFF"/>
          <w:lang w:val="en-US" w:eastAsia="zh-CN"/>
        </w:rPr>
        <w:t>采购</w:t>
      </w:r>
    </w:p>
    <w:p>
      <w:pPr>
        <w:spacing w:beforeLines="70" w:line="560" w:lineRule="exact"/>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3360" behindDoc="1" locked="0" layoutInCell="1" allowOverlap="1">
            <wp:simplePos x="0" y="0"/>
            <wp:positionH relativeFrom="column">
              <wp:posOffset>2034540</wp:posOffset>
            </wp:positionH>
            <wp:positionV relativeFrom="paragraph">
              <wp:posOffset>123190</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5"/>
                    <a:stretch>
                      <a:fillRect/>
                    </a:stretch>
                  </pic:blipFill>
                  <pic:spPr>
                    <a:xfrm>
                      <a:off x="0" y="0"/>
                      <a:ext cx="1466215" cy="1390650"/>
                    </a:xfrm>
                    <a:prstGeom prst="rect">
                      <a:avLst/>
                    </a:prstGeom>
                  </pic:spPr>
                </pic:pic>
              </a:graphicData>
            </a:graphic>
          </wp:anchor>
        </w:drawing>
      </w: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pStyle w:val="16"/>
        <w:rPr>
          <w:rFonts w:hint="eastAsia" w:ascii="仿宋" w:hAnsi="仿宋" w:eastAsia="仿宋" w:cs="仿宋"/>
          <w:color w:val="auto"/>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line="640" w:lineRule="exact"/>
        <w:ind w:left="0" w:leftChars="0" w:firstLine="1446" w:firstLineChars="45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lang w:eastAsia="zh-CN"/>
        </w:rPr>
        <w:t>人：陕西省第二人民医院</w:t>
      </w:r>
    </w:p>
    <w:p>
      <w:pPr>
        <w:pStyle w:val="1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sz w:val="32"/>
          <w:szCs w:val="32"/>
          <w:highlight w:val="none"/>
          <w:lang w:eastAsia="zh-CN"/>
        </w:rPr>
        <w:t>采购代理机构：华招广和项目管理有限公司</w:t>
      </w:r>
    </w:p>
    <w:p>
      <w:pPr>
        <w:spacing w:beforeLines="70" w:line="560" w:lineRule="exact"/>
        <w:ind w:firstLine="3213" w:firstLineChars="10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二零</w:t>
      </w:r>
      <w:r>
        <w:rPr>
          <w:rFonts w:hint="eastAsia" w:ascii="仿宋" w:hAnsi="仿宋" w:eastAsia="仿宋" w:cs="仿宋"/>
          <w:b/>
          <w:bCs/>
          <w:color w:val="auto"/>
          <w:sz w:val="32"/>
          <w:szCs w:val="32"/>
          <w:highlight w:val="none"/>
          <w:lang w:val="en-US" w:eastAsia="zh-CN"/>
        </w:rPr>
        <w:t>二二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月</w:t>
      </w:r>
    </w:p>
    <w:p>
      <w:pPr>
        <w:rPr>
          <w:rFonts w:hint="eastAsia" w:ascii="仿宋" w:hAnsi="仿宋" w:eastAsia="仿宋" w:cs="仿宋"/>
          <w:color w:val="auto"/>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sz w:val="48"/>
          <w:szCs w:val="48"/>
          <w:highlight w:val="none"/>
          <w:lang w:val="zh-CN"/>
        </w:rPr>
        <w:br w:type="page"/>
      </w:r>
    </w:p>
    <w:p>
      <w:pPr>
        <w:jc w:val="center"/>
        <w:rPr>
          <w:rFonts w:hint="eastAsia" w:ascii="仿宋" w:hAnsi="仿宋" w:eastAsia="仿宋" w:cs="仿宋"/>
          <w:color w:val="auto"/>
          <w:sz w:val="48"/>
          <w:szCs w:val="48"/>
          <w:highlight w:val="none"/>
          <w:lang w:val="zh-CN"/>
        </w:rPr>
      </w:pPr>
    </w:p>
    <w:p>
      <w:pPr>
        <w:jc w:val="center"/>
        <w:rPr>
          <w:rFonts w:hint="eastAsia" w:ascii="仿宋" w:hAnsi="仿宋" w:eastAsia="仿宋" w:cs="仿宋"/>
          <w:b/>
          <w:color w:val="auto"/>
          <w:spacing w:val="140"/>
          <w:sz w:val="52"/>
          <w:szCs w:val="52"/>
          <w:highlight w:val="none"/>
          <w:u w:val="double"/>
        </w:rPr>
      </w:pPr>
      <w:r>
        <w:rPr>
          <w:rFonts w:hint="eastAsia" w:ascii="仿宋" w:hAnsi="仿宋" w:eastAsia="仿宋" w:cs="仿宋"/>
          <w:b/>
          <w:color w:val="auto"/>
          <w:spacing w:val="140"/>
          <w:sz w:val="52"/>
          <w:szCs w:val="52"/>
          <w:highlight w:val="none"/>
          <w:u w:val="double"/>
        </w:rPr>
        <w:t>特别提示</w:t>
      </w:r>
    </w:p>
    <w:p>
      <w:pPr>
        <w:ind w:firstLine="422"/>
        <w:rPr>
          <w:rFonts w:hint="eastAsia" w:ascii="仿宋" w:hAnsi="仿宋" w:eastAsia="仿宋" w:cs="仿宋"/>
          <w:b/>
          <w:color w:val="auto"/>
          <w:sz w:val="21"/>
          <w:szCs w:val="21"/>
          <w:highlight w:val="none"/>
        </w:rPr>
      </w:pPr>
    </w:p>
    <w:p>
      <w:pPr>
        <w:spacing w:line="560" w:lineRule="exact"/>
        <w:ind w:firstLine="422"/>
        <w:rPr>
          <w:rFonts w:hint="eastAsia" w:ascii="仿宋" w:hAnsi="仿宋" w:eastAsia="仿宋" w:cs="仿宋"/>
          <w:b/>
          <w:color w:val="auto"/>
          <w:szCs w:val="24"/>
          <w:highlight w:val="none"/>
        </w:rPr>
      </w:pPr>
    </w:p>
    <w:p>
      <w:pPr>
        <w:spacing w:line="560" w:lineRule="exact"/>
        <w:ind w:left="0" w:leftChars="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各投标人</w:t>
      </w:r>
      <w:r>
        <w:rPr>
          <w:rFonts w:hint="eastAsia" w:ascii="仿宋" w:hAnsi="仿宋" w:eastAsia="仿宋" w:cs="仿宋"/>
          <w:color w:val="auto"/>
          <w:szCs w:val="24"/>
          <w:highlight w:val="none"/>
        </w:rPr>
        <w:t>：在此我们特别善意地提醒您注意！</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1、请您仔细地阅读招标文件并正确理解招标文件中各项具体要求。</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2、请您严格按照招标文件载明的投标文件格式要求编制投标文件。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3、请您按照招标文件要求密封投标文件。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4、请您明确标记投标文件的正本、副本。</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5、请于购买招标文件后按照规定及时递交投标保证金。</w:t>
      </w:r>
    </w:p>
    <w:p>
      <w:pPr>
        <w:tabs>
          <w:tab w:val="left" w:pos="1064"/>
        </w:tabs>
        <w:spacing w:line="560" w:lineRule="exact"/>
        <w:ind w:firstLine="422"/>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6、如在投标文件递交截止时间前放弃本次投标，请以书面形式发出弃标函。</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7、请您于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w:t>
      </w:r>
      <w:r>
        <w:rPr>
          <w:rFonts w:hint="eastAsia" w:ascii="仿宋" w:hAnsi="仿宋" w:eastAsia="仿宋" w:cs="仿宋"/>
          <w:color w:val="auto"/>
          <w:szCs w:val="24"/>
          <w:highlight w:val="none"/>
        </w:rPr>
        <w:t>前，准时到</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会议室（西安市朱雀大街南段1号汇成天玺C座18层1818室）递交投标文件并参加开标会议，避免迟误。</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8、请您到达开标会议地点后及时到签到处签字登记。</w:t>
      </w:r>
    </w:p>
    <w:p>
      <w:pPr>
        <w:tabs>
          <w:tab w:val="left" w:pos="1064"/>
        </w:tabs>
        <w:spacing w:line="560" w:lineRule="exact"/>
        <w:ind w:firstLine="420"/>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numPr>
          <w:ilvl w:val="0"/>
          <w:numId w:val="2"/>
        </w:num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b w:val="0"/>
          <w:bCs w:val="0"/>
          <w:color w:val="auto"/>
          <w:szCs w:val="24"/>
          <w:highlight w:val="none"/>
          <w:lang w:eastAsia="zh-CN"/>
        </w:rPr>
        <w:t>投标人</w:t>
      </w:r>
      <w:r>
        <w:rPr>
          <w:rFonts w:hint="eastAsia" w:ascii="仿宋" w:hAnsi="仿宋" w:eastAsia="仿宋" w:cs="仿宋"/>
          <w:b w:val="0"/>
          <w:bCs w:val="0"/>
          <w:color w:val="auto"/>
          <w:szCs w:val="24"/>
          <w:highlight w:val="none"/>
        </w:rPr>
        <w:t>只需拟派1人参与本项目</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须注册</w:t>
      </w:r>
      <w:r>
        <w:rPr>
          <w:rFonts w:hint="eastAsia" w:ascii="仿宋" w:hAnsi="仿宋" w:eastAsia="仿宋" w:cs="仿宋"/>
          <w:b w:val="0"/>
          <w:bCs w:val="0"/>
          <w:color w:val="auto"/>
          <w:szCs w:val="24"/>
          <w:highlight w:val="none"/>
          <w:lang w:eastAsia="zh-CN"/>
        </w:rPr>
        <w:t>西安市</w:t>
      </w:r>
      <w:r>
        <w:rPr>
          <w:rFonts w:hint="eastAsia" w:ascii="仿宋" w:hAnsi="仿宋" w:eastAsia="仿宋" w:cs="仿宋"/>
          <w:b w:val="0"/>
          <w:bCs w:val="0"/>
          <w:color w:val="auto"/>
          <w:szCs w:val="24"/>
          <w:highlight w:val="none"/>
        </w:rPr>
        <w:t>“一码通”且为绿码</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现场测量体温不得超过37℃</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参与</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会议的人员均需</w:t>
      </w:r>
      <w:r>
        <w:rPr>
          <w:rFonts w:hint="eastAsia" w:ascii="仿宋" w:hAnsi="仿宋" w:eastAsia="仿宋" w:cs="仿宋"/>
          <w:b w:val="0"/>
          <w:bCs w:val="0"/>
          <w:color w:val="auto"/>
          <w:szCs w:val="24"/>
          <w:highlight w:val="none"/>
          <w:lang w:eastAsia="zh-CN"/>
        </w:rPr>
        <w:t>佩戴</w:t>
      </w:r>
      <w:r>
        <w:rPr>
          <w:rFonts w:hint="eastAsia" w:ascii="仿宋" w:hAnsi="仿宋" w:eastAsia="仿宋" w:cs="仿宋"/>
          <w:b w:val="0"/>
          <w:bCs w:val="0"/>
          <w:color w:val="auto"/>
          <w:szCs w:val="24"/>
          <w:highlight w:val="none"/>
        </w:rPr>
        <w:t>口罩。</w:t>
      </w:r>
    </w:p>
    <w:p>
      <w:pPr>
        <w:tabs>
          <w:tab w:val="left" w:pos="1064"/>
        </w:tabs>
        <w:spacing w:line="56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pStyle w:val="36"/>
        <w:spacing w:before="0" w:line="560" w:lineRule="exact"/>
        <w:jc w:val="center"/>
        <w:rPr>
          <w:rFonts w:hint="eastAsia" w:ascii="仿宋" w:hAnsi="仿宋" w:eastAsia="仿宋" w:cs="仿宋"/>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fmt="decimal" w:start="1"/>
          <w:cols w:space="0" w:num="1"/>
          <w:titlePg/>
          <w:rtlGutter w:val="0"/>
          <w:docGrid w:linePitch="312" w:charSpace="0"/>
        </w:sectPr>
      </w:pPr>
    </w:p>
    <w:p>
      <w:pPr>
        <w:pStyle w:val="36"/>
        <w:spacing w:before="0" w:line="560" w:lineRule="exact"/>
        <w:jc w:val="center"/>
        <w:rPr>
          <w:rFonts w:hint="eastAsia"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hint="eastAsia" w:ascii="仿宋" w:hAnsi="仿宋" w:eastAsia="仿宋" w:cs="仿宋"/>
          <w:color w:val="auto"/>
          <w:highlight w:val="none"/>
          <w:lang w:val="zh-CN"/>
        </w:rPr>
      </w:pP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"_Toc22111"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第一章  招标公告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_Toc22111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"_Toc30520"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第二章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_Toc30520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一、投标人须知前附表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_Toc28725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二、项目说明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"_Toc19356"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三、招标文件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_Toc19356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四、投标文件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_Toc4480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五、投标担保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"_Toc22244"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六、投标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_Toc22244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"_Toc1895"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七、开标、资格审查、评标和定标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_Toc1895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八、合同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九、合同的履约验收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_Toc10597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十、招标服务费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_Toc2283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 w:val="24"/>
          <w:highlight w:val="none"/>
        </w:rPr>
        <w:t>十一、重新组织采购活动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_Toc22375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"_Toc17723"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十二、询问、质疑与投诉</w:t>
      </w:r>
      <w:bookmarkStart w:id="250" w:name="_GoBack"/>
      <w:bookmarkEnd w:id="250"/>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_Toc17723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十三、特殊情形的处理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41</w:t>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w:t>
      </w:r>
      <w:r>
        <w:rPr>
          <w:rFonts w:hint="eastAsia" w:ascii="仿宋" w:hAnsi="仿宋" w:eastAsia="仿宋" w:cs="仿宋"/>
          <w:color w:val="auto"/>
          <w:kern w:val="0"/>
          <w:sz w:val="24"/>
          <w:highlight w:val="none"/>
          <w:lang w:val="en-US" w:eastAsia="zh-CN"/>
        </w:rPr>
        <w:t>四</w:t>
      </w:r>
      <w:r>
        <w:rPr>
          <w:rFonts w:hint="eastAsia" w:ascii="仿宋" w:hAnsi="仿宋" w:eastAsia="仿宋" w:cs="仿宋"/>
          <w:color w:val="auto"/>
          <w:kern w:val="0"/>
          <w:sz w:val="24"/>
          <w:highlight w:val="none"/>
        </w:rPr>
        <w:t>、拒绝商业贿赂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_Toc20119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"_Toc24042"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第三章  采购内容及技术要求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_Toc24042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第四章  商务要求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"_Toc25447"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第五章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_Toc25447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sectPr>
          <w:headerReference r:id="rId12" w:type="first"/>
          <w:footerReference r:id="rId14" w:type="first"/>
          <w:footerReference r:id="rId13" w:type="default"/>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"_Toc19489"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 xml:space="preserve">第六章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_Toc19489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66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3"/>
        <w:numPr>
          <w:ilvl w:val="0"/>
          <w:numId w:val="3"/>
        </w:numPr>
        <w:spacing w:line="560"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0" w:name="_Toc458617452"/>
      <w:bookmarkStart w:id="1" w:name="_Toc30185"/>
      <w:bookmarkStart w:id="2" w:name="_Toc22111"/>
      <w:bookmarkStart w:id="3" w:name="_Toc19866"/>
      <w:bookmarkStart w:id="4" w:name="_Toc458617729"/>
      <w:r>
        <w:rPr>
          <w:rFonts w:hint="eastAsia" w:ascii="仿宋" w:hAnsi="仿宋" w:eastAsia="仿宋" w:cs="仿宋"/>
          <w:color w:val="auto"/>
          <w:highlight w:val="none"/>
        </w:rPr>
        <w:t xml:space="preserve"> 招标公告</w:t>
      </w:r>
      <w:bookmarkEnd w:id="0"/>
      <w:bookmarkEnd w:id="1"/>
      <w:bookmarkEnd w:id="2"/>
      <w:bookmarkEnd w:id="3"/>
      <w:bookmarkEnd w:id="4"/>
    </w:p>
    <w:p>
      <w:pPr>
        <w:pStyle w:val="8"/>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 xml:space="preserve">项目概况 </w:t>
      </w:r>
    </w:p>
    <w:p>
      <w:pPr>
        <w:pStyle w:val="19"/>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膈肌起搏器等医疗设备采购项目</w:t>
      </w:r>
      <w:r>
        <w:rPr>
          <w:rFonts w:hint="eastAsia" w:ascii="仿宋" w:hAnsi="仿宋" w:eastAsia="仿宋" w:cs="仿宋"/>
          <w:color w:val="auto"/>
          <w:sz w:val="24"/>
          <w:szCs w:val="24"/>
          <w:highlight w:val="none"/>
        </w:rPr>
        <w:t>招标项目的潜在投标人应在西安市朱雀大街南段1号汇成天玺C座18层1812室获取招标文件，并于 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日 14时30分 （北京时间）前递交投标文件。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HZGH-2022-041</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膈肌起搏器等医疗设备采购项目</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97</w:t>
      </w:r>
      <w:r>
        <w:rPr>
          <w:rFonts w:hint="eastAsia" w:ascii="仿宋" w:hAnsi="仿宋" w:eastAsia="仿宋" w:cs="仿宋"/>
          <w:color w:val="auto"/>
          <w:sz w:val="24"/>
          <w:szCs w:val="24"/>
          <w:highlight w:val="none"/>
          <w:lang w:eastAsia="zh-CN"/>
        </w:rPr>
        <w:t>0,000.00</w:t>
      </w:r>
      <w:r>
        <w:rPr>
          <w:rFonts w:hint="eastAsia" w:ascii="仿宋" w:hAnsi="仿宋" w:eastAsia="仿宋" w:cs="仿宋"/>
          <w:color w:val="auto"/>
          <w:sz w:val="24"/>
          <w:szCs w:val="24"/>
          <w:highlight w:val="none"/>
        </w:rPr>
        <w:t>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val="en-US" w:eastAsia="zh-CN"/>
        </w:rPr>
        <w:t>第一标段：智能六分钟步行监测分析系统、膈肌起搏器、免疫印迹分析仪、遥测中央多参数监护系统、肌电图/诱发电位仪采购</w:t>
      </w:r>
      <w:r>
        <w:rPr>
          <w:rFonts w:hint="eastAsia" w:ascii="仿宋" w:hAnsi="仿宋" w:eastAsia="仿宋" w:cs="仿宋"/>
          <w:i w:val="0"/>
          <w:iCs w:val="0"/>
          <w:caps w:val="0"/>
          <w:color w:val="auto"/>
          <w:spacing w:val="0"/>
          <w:sz w:val="24"/>
          <w:szCs w:val="24"/>
          <w:highlight w:val="none"/>
          <w:shd w:val="clear" w:fill="FFFFFF"/>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97</w:t>
      </w:r>
      <w:r>
        <w:rPr>
          <w:rFonts w:hint="eastAsia" w:ascii="仿宋" w:hAnsi="仿宋" w:eastAsia="仿宋" w:cs="仿宋"/>
          <w:i w:val="0"/>
          <w:iCs w:val="0"/>
          <w:caps w:val="0"/>
          <w:color w:val="auto"/>
          <w:spacing w:val="0"/>
          <w:sz w:val="24"/>
          <w:szCs w:val="24"/>
          <w:highlight w:val="none"/>
          <w:shd w:val="clear" w:fill="FFFFFF"/>
        </w:rPr>
        <w:t>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97</w:t>
      </w:r>
      <w:r>
        <w:rPr>
          <w:rFonts w:hint="eastAsia" w:ascii="仿宋" w:hAnsi="仿宋" w:eastAsia="仿宋" w:cs="仿宋"/>
          <w:i w:val="0"/>
          <w:iCs w:val="0"/>
          <w:caps w:val="0"/>
          <w:color w:val="auto"/>
          <w:spacing w:val="0"/>
          <w:sz w:val="24"/>
          <w:szCs w:val="24"/>
          <w:highlight w:val="none"/>
          <w:shd w:val="clear" w:fill="FFFFFF"/>
        </w:rPr>
        <w:t>0,000.00元</w:t>
      </w:r>
    </w:p>
    <w:tbl>
      <w:tblPr>
        <w:tblStyle w:val="2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39"/>
        <w:gridCol w:w="1819"/>
        <w:gridCol w:w="1422"/>
        <w:gridCol w:w="1037"/>
        <w:gridCol w:w="1352"/>
        <w:gridCol w:w="1521"/>
        <w:gridCol w:w="15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0"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物理治疗、康复及体育治疗仪器设备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智能六分钟步行监测分析系统</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250,000.00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膈肌起搏器</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50,000.00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免疫印迹分析仪</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60,000.00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60,000.00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遥测中央多参数监护系统</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210,000.00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210,000.00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肌电图/诱发电位仪</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400,000.00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400,000.00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第二标段：</w:t>
      </w:r>
      <w:r>
        <w:rPr>
          <w:rFonts w:hint="eastAsia" w:ascii="仿宋" w:hAnsi="仿宋" w:eastAsia="仿宋" w:cs="仿宋"/>
          <w:i w:val="0"/>
          <w:iCs w:val="0"/>
          <w:caps w:val="0"/>
          <w:color w:val="auto"/>
          <w:spacing w:val="0"/>
          <w:sz w:val="24"/>
          <w:szCs w:val="24"/>
          <w:highlight w:val="none"/>
          <w:shd w:val="clear" w:fill="FFFFFF"/>
        </w:rPr>
        <w:t>消化道动力检测仪系统</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全自动软式内镜清洗消毒器</w:t>
      </w:r>
      <w:r>
        <w:rPr>
          <w:rFonts w:hint="eastAsia" w:ascii="仿宋" w:hAnsi="仿宋" w:eastAsia="仿宋" w:cs="仿宋"/>
          <w:i w:val="0"/>
          <w:iCs w:val="0"/>
          <w:caps w:val="0"/>
          <w:color w:val="auto"/>
          <w:spacing w:val="0"/>
          <w:sz w:val="24"/>
          <w:szCs w:val="24"/>
          <w:highlight w:val="none"/>
          <w:shd w:val="clear" w:fill="FFFFFF"/>
          <w:lang w:val="en-US" w:eastAsia="zh-CN"/>
        </w:rPr>
        <w:t>采购</w:t>
      </w:r>
      <w:r>
        <w:rPr>
          <w:rFonts w:hint="eastAsia" w:ascii="仿宋" w:hAnsi="仿宋" w:eastAsia="仿宋" w:cs="仿宋"/>
          <w:i w:val="0"/>
          <w:iCs w:val="0"/>
          <w:caps w:val="0"/>
          <w:color w:val="auto"/>
          <w:spacing w:val="0"/>
          <w:sz w:val="24"/>
          <w:szCs w:val="24"/>
          <w:highlight w:val="none"/>
          <w:shd w:val="clear" w:fill="FFFFFF"/>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65</w:t>
      </w:r>
      <w:r>
        <w:rPr>
          <w:rFonts w:hint="eastAsia" w:ascii="仿宋" w:hAnsi="仿宋" w:eastAsia="仿宋" w:cs="仿宋"/>
          <w:i w:val="0"/>
          <w:iCs w:val="0"/>
          <w:caps w:val="0"/>
          <w:color w:val="auto"/>
          <w:spacing w:val="0"/>
          <w:sz w:val="24"/>
          <w:szCs w:val="24"/>
          <w:highlight w:val="none"/>
          <w:shd w:val="clear" w:fill="FFFFFF"/>
        </w:rPr>
        <w:t>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65</w:t>
      </w:r>
      <w:r>
        <w:rPr>
          <w:rFonts w:hint="eastAsia" w:ascii="仿宋" w:hAnsi="仿宋" w:eastAsia="仿宋" w:cs="仿宋"/>
          <w:i w:val="0"/>
          <w:iCs w:val="0"/>
          <w:caps w:val="0"/>
          <w:color w:val="auto"/>
          <w:spacing w:val="0"/>
          <w:sz w:val="24"/>
          <w:szCs w:val="24"/>
          <w:highlight w:val="none"/>
          <w:shd w:val="clear" w:fill="FFFFFF"/>
        </w:rPr>
        <w:t>0,000.00元</w:t>
      </w:r>
    </w:p>
    <w:tbl>
      <w:tblPr>
        <w:tblStyle w:val="2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58"/>
        <w:gridCol w:w="1629"/>
        <w:gridCol w:w="1453"/>
        <w:gridCol w:w="1077"/>
        <w:gridCol w:w="1432"/>
        <w:gridCol w:w="1531"/>
        <w:gridCol w:w="1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default" w:ascii="仿宋" w:hAnsi="仿宋" w:eastAsia="仿宋" w:cs="仿宋"/>
                <w:i w:val="0"/>
                <w:iCs w:val="0"/>
                <w:caps w:val="0"/>
                <w:color w:val="auto"/>
                <w:spacing w:val="0"/>
                <w:sz w:val="24"/>
                <w:szCs w:val="24"/>
                <w:highlight w:val="none"/>
                <w:lang w:val="en-US"/>
              </w:rPr>
            </w:pPr>
            <w:r>
              <w:rPr>
                <w:rFonts w:hint="eastAsia" w:ascii="仿宋" w:hAnsi="仿宋" w:eastAsia="仿宋" w:cs="仿宋"/>
                <w:i w:val="0"/>
                <w:iCs w:val="0"/>
                <w:caps w:val="0"/>
                <w:color w:val="auto"/>
                <w:spacing w:val="0"/>
                <w:kern w:val="0"/>
                <w:sz w:val="24"/>
                <w:szCs w:val="24"/>
                <w:highlight w:val="none"/>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医用电子生理参数检测仪器设备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消化道动力检测仪系统</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450,000.00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default" w:ascii="仿宋" w:hAnsi="仿宋" w:eastAsia="仿宋" w:cs="仿宋"/>
                <w:i w:val="0"/>
                <w:iCs w:val="0"/>
                <w:caps w:val="0"/>
                <w:color w:val="auto"/>
                <w:spacing w:val="0"/>
                <w:sz w:val="24"/>
                <w:szCs w:val="24"/>
                <w:highlight w:val="none"/>
                <w:lang w:val="en-US"/>
              </w:rPr>
            </w:pPr>
            <w:r>
              <w:rPr>
                <w:rFonts w:hint="eastAsia" w:ascii="仿宋" w:hAnsi="仿宋" w:eastAsia="仿宋" w:cs="仿宋"/>
                <w:i w:val="0"/>
                <w:iCs w:val="0"/>
                <w:caps w:val="0"/>
                <w:color w:val="auto"/>
                <w:spacing w:val="0"/>
                <w:kern w:val="0"/>
                <w:sz w:val="24"/>
                <w:szCs w:val="24"/>
                <w:highlight w:val="none"/>
                <w:lang w:val="en-US" w:eastAsia="zh-CN" w:bidi="ar"/>
              </w:rPr>
              <w:t>2-2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全自动软式内镜清洗消毒器</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200,000.00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200,000.00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二、申请人的资格要求：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2.落实政府采购政策需满足的资格要求：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val="en-US" w:eastAsia="zh-CN"/>
        </w:rPr>
        <w:t>第一标段：智能六分钟步行监测分析系统、膈肌起搏器、免疫印迹分析仪、遥测中央多参数监护系统、肌电图/诱发电位仪采购</w:t>
      </w:r>
      <w:r>
        <w:rPr>
          <w:rFonts w:hint="eastAsia" w:ascii="仿宋" w:hAnsi="仿宋" w:eastAsia="仿宋" w:cs="仿宋"/>
          <w:color w:val="auto"/>
          <w:sz w:val="24"/>
          <w:szCs w:val="24"/>
          <w:highlight w:val="none"/>
        </w:rPr>
        <w:t>)落实政府采购政策需满足的资格要求如下:</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（1）、《政府采购促进中小企业发展管理办法》的通知--财库[2020]46号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（2）、陕西省财政厅关于印发《陕西省中小企业政府采购信用融资办法》--(陕财办采[2018]23号)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《陕西省财政厅关于加快推进我省中小企业政府采购信用融资工作的通知》（陕财办采〔2020〕15号）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（4）、财政部司法部关于政府采购支持监狱企业发展有关问题的通知--财库〔2014〕68号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（5）、《国务院办公厅关于建立政府强制采购节能产品制度的通知》--国办发〔2007〕51号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（6）、《节能产品政府采购实施意见》（财库[2004]185号）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（7）、《环境标志产品政府采购实施的意见》（财库[2006]90号）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（8）、《财政部发展改革委生态环境部市场监督总局关于调整优化节能产品、环境标志产品政府采购执行机制的通知》--（财库[2019]9号）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（9）、《市场监督总局关于发布参与实施政府采购节能产品、环境标志产品认证机构名录的公告》--2019年第16号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（10）、《财政部民政部中国残疾人联合会关于促进残疾人就业政府采购政策的通知》--（财库〔2017〕141号）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（11）、《财政部国务院扶贫办关于运用政府采购政策支持脱贫攻坚的通知》（财库〔2019〕27号）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（12）、《关于进一步加强政府绿色采购有关问题的通知》（陕财办采〔2021〕29号）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（13）、其他需要落实的政府采购政策。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合同包2(</w:t>
      </w:r>
      <w:r>
        <w:rPr>
          <w:rFonts w:hint="eastAsia" w:ascii="仿宋" w:hAnsi="仿宋" w:eastAsia="仿宋" w:cs="仿宋"/>
          <w:i w:val="0"/>
          <w:iCs w:val="0"/>
          <w:caps w:val="0"/>
          <w:color w:val="auto"/>
          <w:spacing w:val="0"/>
          <w:sz w:val="24"/>
          <w:szCs w:val="24"/>
          <w:highlight w:val="none"/>
          <w:shd w:val="clear" w:color="auto" w:fill="FFFFFF"/>
          <w:lang w:val="en-US" w:eastAsia="zh-CN"/>
        </w:rPr>
        <w:t>第二标段：</w:t>
      </w:r>
      <w:r>
        <w:rPr>
          <w:rFonts w:hint="eastAsia" w:ascii="仿宋" w:hAnsi="仿宋" w:eastAsia="仿宋" w:cs="仿宋"/>
          <w:i w:val="0"/>
          <w:iCs w:val="0"/>
          <w:caps w:val="0"/>
          <w:color w:val="auto"/>
          <w:spacing w:val="0"/>
          <w:sz w:val="24"/>
          <w:szCs w:val="24"/>
          <w:highlight w:val="none"/>
          <w:shd w:val="clear" w:color="auto" w:fill="FFFFFF"/>
        </w:rPr>
        <w:t>消化道动力检测仪系统</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全自动软式内镜清洗消毒器</w:t>
      </w:r>
      <w:r>
        <w:rPr>
          <w:rFonts w:hint="eastAsia" w:ascii="仿宋" w:hAnsi="仿宋" w:eastAsia="仿宋" w:cs="仿宋"/>
          <w:i w:val="0"/>
          <w:iCs w:val="0"/>
          <w:caps w:val="0"/>
          <w:color w:val="auto"/>
          <w:spacing w:val="0"/>
          <w:sz w:val="24"/>
          <w:szCs w:val="24"/>
          <w:highlight w:val="none"/>
          <w:shd w:val="clear" w:color="auto" w:fill="FFFFFF"/>
          <w:lang w:val="en-US" w:eastAsia="zh-CN"/>
        </w:rPr>
        <w:t>采购</w:t>
      </w:r>
      <w:r>
        <w:rPr>
          <w:rFonts w:hint="eastAsia" w:ascii="仿宋" w:hAnsi="仿宋" w:eastAsia="仿宋" w:cs="仿宋"/>
          <w:i w:val="0"/>
          <w:iCs w:val="0"/>
          <w:caps w:val="0"/>
          <w:color w:val="auto"/>
          <w:spacing w:val="0"/>
          <w:sz w:val="24"/>
          <w:szCs w:val="24"/>
          <w:highlight w:val="none"/>
          <w:shd w:val="clear" w:color="auto" w:fill="FFFFFF"/>
        </w:rPr>
        <w:t>)落实政府采购政策需满足的资格要求如下:</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（1）、《政府采购促进中小企业发展管理办法》的通知--财库[2020]46号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（2）、陕西省财政厅关于印发《陕西省中小企业政府采购信用融资办法》--(陕财办采[2018]23号)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（3）</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《陕西省财政厅关于加快推进我省中小企业政府采购信用融资工作的通知》（陕财办采〔2020〕15号）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（4）、财政部司法部关于政府采购支持监狱企业发展有关问题的通知--财库〔2014〕68号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（5）、《国务院办公厅关于建立政府强制采购节能产品制度的通知》--国办发〔2007〕51号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（6）、《节能产品政府采购实施意见》（财库[2004]185号）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（7）、《环境标志产品政府采购实施的意见》（财库[2006]90号）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（8）、《财政部发展改革委生态环境部市场监督总局关于调整优化节能产品、环境标志产品政府采购执行机制的通知》--（财库[2019]9号） </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（9）、《市场监督总局关于发布参与实施政府采购节能产品、环境标志产品认证机构名录的公告》--2019年第16号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（10）、《财政部民政部中国残疾人联合会关于促进残疾人就业政府采购政策的通知》--（财库〔2017〕141号）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（11）、《财政部国务院扶贫办关于运用政府采购政策支持脱贫攻坚的通知》（财库〔2019〕27号）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（12）、《关于进一步加强政府绿色采购有关问题的通知》（陕财办采〔2021〕29号）</w:t>
      </w:r>
      <w:r>
        <w:rPr>
          <w:rFonts w:hint="eastAsia" w:ascii="仿宋" w:hAnsi="仿宋" w:eastAsia="仿宋" w:cs="仿宋"/>
          <w:i w:val="0"/>
          <w:iCs w:val="0"/>
          <w:caps w:val="0"/>
          <w:color w:val="auto"/>
          <w:spacing w:val="0"/>
          <w:sz w:val="24"/>
          <w:szCs w:val="24"/>
          <w:highlight w:val="none"/>
          <w:shd w:val="clear" w:color="auto" w:fill="FFFFFF"/>
        </w:rPr>
        <w:br w:type="textWrapping"/>
      </w:r>
      <w:r>
        <w:rPr>
          <w:rFonts w:hint="eastAsia" w:ascii="仿宋" w:hAnsi="仿宋" w:eastAsia="仿宋" w:cs="仿宋"/>
          <w:i w:val="0"/>
          <w:iCs w:val="0"/>
          <w:caps w:val="0"/>
          <w:color w:val="auto"/>
          <w:spacing w:val="0"/>
          <w:sz w:val="24"/>
          <w:szCs w:val="24"/>
          <w:highlight w:val="none"/>
          <w:shd w:val="clear" w:color="auto" w:fill="FFFFFF"/>
        </w:rPr>
        <w:t>（13）、其他需要落实的政府采购政策。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val="en-US" w:eastAsia="zh-CN"/>
        </w:rPr>
        <w:t>第一标段：智能六分钟步行监测分析系统、膈肌起搏器、免疫印迹分析仪、遥测中央多参数监护系统、肌电图/诱发电位仪采购</w:t>
      </w:r>
      <w:r>
        <w:rPr>
          <w:rFonts w:hint="eastAsia" w:ascii="仿宋" w:hAnsi="仿宋" w:eastAsia="仿宋" w:cs="仿宋"/>
          <w:color w:val="auto"/>
          <w:sz w:val="24"/>
          <w:szCs w:val="24"/>
          <w:highlight w:val="none"/>
        </w:rPr>
        <w:t>)特定资格要求如下: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3、税收缴纳证明：提供2021年1月1日至今任意一个月的缴费凭据；（依法免税的投标人应提供相关文件证明）。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4、社会保障资金缴纳证明：提供2021年1月1日至今任意一个月的社保缴费凭据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或社保机构开具的社会保险参保缴费情况证明；（依法不需要缴纳社会保障资金的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0" w:right="0" w:hanging="480" w:hanging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投标人应提供相关证明）。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5、提供具有履行本合同所必需的设备和专业技术能力的说明及承诺；（格式自拟，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0" w:right="0" w:hanging="480" w:hanging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6、提供参加政府采购活动前三年内在经营活动中没有重大违法记录的书面声明。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（2）、特定资格条件：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1、法定代表人或负责人参与投标时需提供法定代表人或负责人资格证明书（附法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定代表人或负责人身份证复印件）；（法定代表人或负责人须提供身份证原件，身份证原件可由本人持有）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2、被授权人参与投标时需提供法定代表人或负责人授权委托书（附法定代表人或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负责人及被授权人身份证复印件）；（被授权人须提供身份证原件，身份证原件可由本人持有）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3、投标保证金交纳凭证；（保证金交纳凭证复印件加盖公章）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6</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7、单位负责人为同一人或者存在直接控股、管理关系的不同投标人，不得参加同一合同项下的政府采购活动；（提供书面承诺函，格式自拟加盖投标人公章）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8、本项目不接受联合体投标。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第二标段：</w:t>
      </w:r>
      <w:r>
        <w:rPr>
          <w:rFonts w:hint="eastAsia" w:ascii="仿宋" w:hAnsi="仿宋" w:eastAsia="仿宋" w:cs="仿宋"/>
          <w:color w:val="auto"/>
          <w:sz w:val="24"/>
          <w:szCs w:val="24"/>
          <w:highlight w:val="none"/>
        </w:rPr>
        <w:t>消化道动力检测仪系统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全自动软式内镜清洗消毒器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3、税收缴纳证明：提供2021年1月1日至今任意一个月的缴费凭据；（依法免税的投标人应提供相关文件证明）。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4、社会保障资金缴纳证明：提供2021年1月1日至今任意一个月的社保缴费凭据或社保机构开具的社会保险参保缴费情况证明；（依法不需要缴纳社会保障资金的投标人应提供相关证明）。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5、提供具有履行本合同所必需的设备和专业技术能力的说明及承诺；（格式自拟，加盖投标人公章）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（2）、特定资格条件：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3、投标保证金交纳凭证；（保证金交纳凭证复印件加盖公章）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7、单位负责人为同一人或者存在直接控股、管理关系的不同投标人，不得参加同一合同项下的政府采购活动；（提供书面承诺函，格式自拟加盖投标人公章）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8、本项目不接受联合体投标。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三、获取招标文件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时间：2022年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日至2022年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日，每天上午09:00:00 至 12:00:00 ，下午 14:00:00 至 17:00:00 （北京时间,法定节假日除外）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地点：西安市朱雀大街南段1号汇成天玺C座18层1812室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方式：现场获取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00元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 14时30分00秒 （北京时间）</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地点：西安市朱雀大街南段1号汇成天玺C座18层1818室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五、公告期限</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六、其他补充事宜</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本项目开标地点：西安市朱雀大街南段1号汇成天玺C座18层1818室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仿宋" w:hAnsi="仿宋" w:eastAsia="仿宋" w:cs="仿宋"/>
          <w:color w:val="auto"/>
          <w:sz w:val="22"/>
          <w:szCs w:val="22"/>
          <w:highlight w:val="none"/>
        </w:rPr>
      </w:pPr>
      <w:r>
        <w:rPr>
          <w:rStyle w:val="26"/>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注：获取招标文件时（9：00—12：00，14：00--17：00（节假日除外））请携带有效的单位介绍信及被介绍人身份证复印件，加盖投标人公章（鲜章）,可自带 U 盘拷贝电子文件（本项目仅支持现场报名获取，谢绝邮寄）。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七、对本次招标提出询问，请按以下方式联系。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陕西省第二人民医院</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尚勤路3号</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029-87421038</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名称：华招广和项目管理有限公司</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地址：西安市朱雀大街南段1号汇成天玺C座18层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联系方式：029-87592321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3.项目联系方式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党工</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电话：029-87592321</w:t>
      </w:r>
    </w:p>
    <w:p>
      <w:pPr>
        <w:pStyle w:val="1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b/>
          <w:bCs/>
          <w:color w:val="auto"/>
          <w:kern w:val="0"/>
          <w:sz w:val="24"/>
          <w:szCs w:val="22"/>
          <w:highlight w:val="none"/>
          <w:lang w:val="en-US" w:eastAsia="zh-CN" w:bidi="ar-SA"/>
        </w:rPr>
      </w:pPr>
      <w:r>
        <w:rPr>
          <w:rFonts w:hint="eastAsia" w:ascii="仿宋" w:hAnsi="仿宋" w:eastAsia="仿宋" w:cs="仿宋"/>
          <w:b/>
          <w:color w:val="auto"/>
          <w:highlight w:val="none"/>
        </w:rPr>
        <w:pict>
          <v:shape id="Text Box 2" o:spid="_x0000_s1026" o:spt="202" type="#_x0000_t202" style="position:absolute;left:0pt;margin-left:-20.9pt;margin-top:19.85pt;height:69.8pt;width:462.95pt;mso-wrap-distance-bottom:0pt;mso-wrap-distance-left:9pt;mso-wrap-distance-right:9pt;mso-wrap-distance-top:0pt;z-index:251660288;mso-width-relative:page;mso-height-relative:page;" fillcolor="#FFFFFF" filled="t" stroked="t" coordsize="21600,21600" o:gfxdata="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iQsT9kAAAAKAQAADwAAAAAAAAABACAAAAAiAAAAZHJzL2Rvd25yZXYueG1sUEsB&#10;AhQAFAAAAAgAh07iQJdzfR30AQAADwQAAA4AAAAAAAAAAQAgAAAAKAEAAGRycy9lMm9Eb2MueG1s&#10;UEsFBgAAAAAGAAYAWQEAAI4FAAAAAA==&#10;">
            <v:path/>
            <v:fill on="t" color2="#FFFFFF"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w:r>
    </w:p>
    <w:p>
      <w:pPr>
        <w:pStyle w:val="10"/>
        <w:rPr>
          <w:rFonts w:hint="eastAsia" w:ascii="仿宋" w:hAnsi="仿宋" w:eastAsia="仿宋" w:cs="仿宋"/>
          <w:color w:val="auto"/>
          <w:highlight w:val="none"/>
        </w:rPr>
      </w:pPr>
    </w:p>
    <w:p>
      <w:pPr>
        <w:rPr>
          <w:rFonts w:hint="eastAsia" w:ascii="仿宋" w:hAnsi="仿宋" w:eastAsia="仿宋" w:cs="仿宋"/>
          <w:color w:val="auto"/>
          <w:sz w:val="44"/>
          <w:szCs w:val="44"/>
          <w:highlight w:val="none"/>
        </w:rPr>
      </w:pPr>
      <w:bookmarkStart w:id="5" w:name="_Toc458617730"/>
      <w:bookmarkStart w:id="6" w:name="_Toc30520"/>
      <w:bookmarkStart w:id="7" w:name="_Toc458617453"/>
      <w:r>
        <w:rPr>
          <w:rFonts w:hint="eastAsia" w:ascii="仿宋" w:hAnsi="仿宋" w:eastAsia="仿宋" w:cs="仿宋"/>
          <w:color w:val="auto"/>
          <w:sz w:val="44"/>
          <w:szCs w:val="44"/>
          <w:highlight w:val="none"/>
        </w:rPr>
        <w:br w:type="page"/>
      </w:r>
    </w:p>
    <w:p>
      <w:pPr>
        <w:pStyle w:val="3"/>
        <w:bidi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第二章  投标人须知</w:t>
      </w:r>
      <w:bookmarkEnd w:id="5"/>
      <w:bookmarkEnd w:id="6"/>
      <w:bookmarkEnd w:id="7"/>
    </w:p>
    <w:p>
      <w:pPr>
        <w:pStyle w:val="4"/>
        <w:spacing w:line="360" w:lineRule="auto"/>
        <w:jc w:val="center"/>
        <w:rPr>
          <w:rFonts w:hint="eastAsia" w:ascii="仿宋" w:hAnsi="仿宋" w:eastAsia="仿宋" w:cs="仿宋"/>
          <w:color w:val="auto"/>
          <w:sz w:val="15"/>
          <w:szCs w:val="15"/>
          <w:highlight w:val="none"/>
        </w:rPr>
      </w:pPr>
      <w:bookmarkStart w:id="8" w:name="_Toc458617731"/>
      <w:bookmarkStart w:id="9" w:name="_Toc458617454"/>
      <w:bookmarkStart w:id="10" w:name="_Toc28725"/>
      <w:r>
        <w:rPr>
          <w:rFonts w:hint="eastAsia" w:ascii="仿宋" w:hAnsi="仿宋" w:eastAsia="仿宋" w:cs="仿宋"/>
          <w:color w:val="auto"/>
          <w:sz w:val="28"/>
          <w:szCs w:val="28"/>
          <w:highlight w:val="none"/>
        </w:rPr>
        <w:t>一、投标人须知前附表</w:t>
      </w:r>
      <w:bookmarkEnd w:id="8"/>
      <w:bookmarkEnd w:id="9"/>
      <w:bookmarkEnd w:id="10"/>
    </w:p>
    <w:tbl>
      <w:tblPr>
        <w:tblStyle w:val="2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41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条款名称</w:t>
            </w:r>
          </w:p>
        </w:tc>
        <w:tc>
          <w:tcPr>
            <w:tcW w:w="6336"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w:t>
            </w:r>
          </w:p>
        </w:tc>
        <w:tc>
          <w:tcPr>
            <w:tcW w:w="63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陕西省第二人民医院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val="en-US" w:eastAsia="zh-CN"/>
              </w:rPr>
              <w:t>陕西省第二人民医院经办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尚勤路3号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eastAsia="zh-CN"/>
              </w:rPr>
              <w:t>029-87421038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华招广和项目管理有限公司</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址：西安市朱雀大街南段1号汇成天玺C座18层</w:t>
            </w:r>
          </w:p>
          <w:p>
            <w:pPr>
              <w:spacing w:line="560" w:lineRule="exact"/>
              <w:rPr>
                <w:rFonts w:hint="eastAsia" w:ascii="仿宋" w:hAnsi="仿宋" w:eastAsia="仿宋" w:cs="仿宋"/>
                <w:color w:val="auto"/>
                <w:szCs w:val="24"/>
                <w:highlight w:val="none"/>
                <w:u w:val="wavyHeavy" w:color="FF0000"/>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党工</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监督管理机构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陕西省财政厅政府采购管理处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6336" w:type="dxa"/>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膈肌起搏器等医疗设备采购项目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HZGH-2022-041-02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资金性质</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项目预算</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项目用途</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医疗设备采购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采购内容和要求</w:t>
            </w:r>
          </w:p>
        </w:tc>
        <w:tc>
          <w:tcPr>
            <w:tcW w:w="6336" w:type="dxa"/>
            <w:vAlign w:val="top"/>
          </w:tcPr>
          <w:p>
            <w:pPr>
              <w:pStyle w:val="37"/>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第二标段：消化道动力检测仪系统、全自动软式内镜清洗消毒器采购。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招标</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投标人资格要求</w:t>
            </w:r>
          </w:p>
        </w:tc>
        <w:tc>
          <w:tcPr>
            <w:tcW w:w="6336" w:type="dxa"/>
          </w:tcPr>
          <w:p>
            <w:pPr>
              <w:pStyle w:val="37"/>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（1）基本资格条件：符合《中华人民共和国政府采购法》第二十二条的规定：</w:t>
            </w:r>
          </w:p>
          <w:p>
            <w:pPr>
              <w:pStyle w:val="37"/>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任意一个月的缴费凭据；（依法免税的投标人应提供相关文件证明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4、社会保障资金缴纳证明：提供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 xml:space="preserve">任意一个月的社保缴费凭据或社保机构开具的社会保险参保缴费情况证明；（依法不需要缴纳社会保障资金的投标人应提供相关证明）。 </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5、提供具有履行本合同所必需的设备和专业技术能力的说明及承诺；（格式自拟，加盖投标人公章）</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6、提供参加政府采购活动前三年内在经营活动中没有重大违法记录的书面声明。（格式自拟，加盖投标人公章）</w:t>
            </w:r>
          </w:p>
          <w:p>
            <w:pPr>
              <w:pStyle w:val="37"/>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（2）、特定资格条件：</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1、法定代表人或负责人参与投标时需提供法定代表人或负责人资格证明书（附法定代表人或负责人身份证复印件）；（法定代表人或负责人须提供身份证原件，身份证原件可由本人持有）</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2、被授权人参与投标时需提供法定代表人或负责人授权委托书（附法定代表人或负责人及被授权人身份证复印件）；（被授权人须提供身份证原件，身份证原件可由本人持有）</w:t>
            </w:r>
          </w:p>
          <w:p>
            <w:pPr>
              <w:pStyle w:val="37"/>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3、投标保证金交纳凭证；（保证金交纳凭证复印件加盖公章）           </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lang w:val="en-US" w:eastAsia="zh-CN"/>
              </w:rPr>
              <w:t>8、本项目不接受联合体投标。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交货期、交货地点</w:t>
            </w:r>
          </w:p>
        </w:tc>
        <w:tc>
          <w:tcPr>
            <w:tcW w:w="6336" w:type="dxa"/>
            <w:vAlign w:val="top"/>
          </w:tcPr>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交 货 期：自合同签订之日起</w:t>
            </w:r>
            <w:r>
              <w:rPr>
                <w:rFonts w:hint="eastAsia" w:ascii="仿宋" w:hAnsi="仿宋" w:eastAsia="仿宋" w:cs="仿宋"/>
                <w:color w:val="auto"/>
                <w:szCs w:val="24"/>
                <w:highlight w:val="none"/>
                <w:lang w:val="en-US" w:eastAsia="zh-CN"/>
              </w:rPr>
              <w:t>60个日历日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交货地点：</w:t>
            </w:r>
            <w:r>
              <w:rPr>
                <w:rFonts w:hint="eastAsia" w:ascii="仿宋" w:hAnsi="仿宋" w:eastAsia="仿宋" w:cs="仿宋"/>
                <w:color w:val="auto"/>
                <w:szCs w:val="24"/>
                <w:highlight w:val="none"/>
                <w:lang w:eastAsia="zh-CN"/>
              </w:rPr>
              <w:t>陕西省第二人民医院</w:t>
            </w:r>
            <w:r>
              <w:rPr>
                <w:rFonts w:hint="eastAsia" w:ascii="仿宋" w:hAnsi="仿宋" w:eastAsia="仿宋" w:cs="仿宋"/>
                <w:color w:val="auto"/>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u w:val="wavyHeavy" w:color="5B9BD5" w:themeColor="accent1"/>
                <w:lang w:val="en-US" w:eastAsia="zh-CN" w:bidi="ar-SA"/>
              </w:rPr>
            </w:pPr>
            <w:r>
              <w:rPr>
                <w:rFonts w:hint="eastAsia" w:ascii="仿宋" w:hAnsi="仿宋" w:eastAsia="仿宋" w:cs="仿宋"/>
                <w:color w:val="auto"/>
                <w:szCs w:val="24"/>
                <w:highlight w:val="none"/>
              </w:rPr>
              <w:t>招标文件发售</w:t>
            </w:r>
          </w:p>
        </w:tc>
        <w:tc>
          <w:tcPr>
            <w:tcW w:w="6336" w:type="dxa"/>
            <w:vAlign w:val="top"/>
          </w:tcPr>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日上午9:00-12:00，下午2:00-5:</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时止（节假日除外）。</w:t>
            </w:r>
          </w:p>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发售地点：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联合体投标</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现场勘查、标前答疑会</w:t>
            </w:r>
          </w:p>
        </w:tc>
        <w:tc>
          <w:tcPr>
            <w:tcW w:w="6336" w:type="dxa"/>
            <w:vAlign w:val="center"/>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投标人对招标文件提出质疑的时间</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构成招标文件的其他文件</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8</w:t>
            </w:r>
          </w:p>
        </w:tc>
        <w:tc>
          <w:tcPr>
            <w:tcW w:w="2411" w:type="dxa"/>
            <w:vAlign w:val="center"/>
          </w:tcPr>
          <w:p>
            <w:pPr>
              <w:pStyle w:val="38"/>
              <w:spacing w:line="560" w:lineRule="exact"/>
              <w:rPr>
                <w:rFonts w:hint="eastAsia" w:ascii="仿宋" w:hAnsi="仿宋" w:eastAsia="仿宋" w:cs="仿宋"/>
                <w:color w:val="auto"/>
                <w:sz w:val="24"/>
                <w:szCs w:val="24"/>
                <w:highlight w:val="none"/>
                <w:u w:val="wavyHeavy" w:color="FF0000"/>
              </w:rPr>
            </w:pPr>
          </w:p>
          <w:p>
            <w:pPr>
              <w:pStyle w:val="38"/>
              <w:spacing w:line="5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rPr>
              <w:t>投标文件递交截止时间及开标时间和地点</w:t>
            </w:r>
          </w:p>
        </w:tc>
        <w:tc>
          <w:tcPr>
            <w:tcW w:w="6336" w:type="dxa"/>
            <w:vAlign w:val="top"/>
          </w:tcPr>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1、投标文件递交截止时间：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xml:space="preserve"> </w:t>
            </w:r>
          </w:p>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会议室（西安市朱雀大街南段1号汇成天玺C座18层1818室）</w:t>
            </w:r>
          </w:p>
          <w:p>
            <w:pPr>
              <w:pStyle w:val="37"/>
              <w:spacing w:line="560" w:lineRule="exact"/>
              <w:ind w:firstLine="0" w:firstLineChars="0"/>
              <w:rPr>
                <w:rFonts w:hint="eastAsia" w:ascii="仿宋" w:hAnsi="仿宋" w:eastAsia="仿宋" w:cs="仿宋"/>
                <w:b/>
                <w:color w:val="auto"/>
                <w:sz w:val="18"/>
                <w:szCs w:val="18"/>
                <w:highlight w:val="none"/>
                <w:lang w:eastAsia="zh-CN"/>
              </w:rPr>
            </w:pPr>
            <w:r>
              <w:rPr>
                <w:rFonts w:hint="eastAsia" w:ascii="仿宋" w:hAnsi="仿宋" w:eastAsia="仿宋" w:cs="仿宋"/>
                <w:color w:val="auto"/>
                <w:sz w:val="24"/>
                <w:szCs w:val="24"/>
                <w:highlight w:val="none"/>
              </w:rPr>
              <w:t>3、开标时间：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4、开标地点：</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会议室（西安市朱雀大街南段1号汇成天玺C座18层1818室）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投标有效期</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投标担保</w:t>
            </w:r>
          </w:p>
        </w:tc>
        <w:tc>
          <w:tcPr>
            <w:tcW w:w="6336" w:type="dxa"/>
            <w:vAlign w:val="top"/>
          </w:tcPr>
          <w:p>
            <w:pPr>
              <w:pStyle w:val="10"/>
              <w:spacing w:line="640" w:lineRule="exact"/>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1、投标保证金</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rPr>
              <w:t>人民币</w:t>
            </w:r>
            <w:r>
              <w:rPr>
                <w:rFonts w:hint="eastAsia" w:ascii="仿宋" w:hAnsi="仿宋" w:eastAsia="仿宋" w:cs="仿宋"/>
                <w:b/>
                <w:bCs/>
                <w:color w:val="auto"/>
                <w:szCs w:val="24"/>
                <w:highlight w:val="none"/>
                <w:lang w:val="en-US" w:eastAsia="zh-CN"/>
              </w:rPr>
              <w:t>壹万叁仟元整</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2、投标保证金交纳方式：投标人可自主选择以银行网银转账、支票、汇票、本票、保函等非现金形式交纳或提交投标保证金。</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3、请投标人按规定时间</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lang w:eastAsia="zh-CN"/>
              </w:rPr>
              <w:t>2022年</w:t>
            </w:r>
            <w:r>
              <w:rPr>
                <w:rFonts w:hint="eastAsia" w:ascii="仿宋" w:hAnsi="仿宋" w:eastAsia="仿宋" w:cs="仿宋"/>
                <w:b/>
                <w:bCs/>
                <w:color w:val="auto"/>
                <w:szCs w:val="24"/>
                <w:highlight w:val="none"/>
                <w:lang w:val="en-US" w:eastAsia="zh-CN"/>
              </w:rPr>
              <w:t>7</w:t>
            </w:r>
            <w:r>
              <w:rPr>
                <w:rFonts w:hint="eastAsia" w:ascii="仿宋" w:hAnsi="仿宋" w:eastAsia="仿宋" w:cs="仿宋"/>
                <w:b/>
                <w:bCs/>
                <w:color w:val="auto"/>
                <w:szCs w:val="24"/>
                <w:highlight w:val="none"/>
                <w:lang w:eastAsia="zh-CN"/>
              </w:rPr>
              <w:t>月</w:t>
            </w:r>
            <w:r>
              <w:rPr>
                <w:rFonts w:hint="eastAsia" w:ascii="仿宋" w:hAnsi="仿宋" w:eastAsia="仿宋" w:cs="仿宋"/>
                <w:b/>
                <w:bCs/>
                <w:color w:val="auto"/>
                <w:szCs w:val="24"/>
                <w:highlight w:val="none"/>
                <w:lang w:val="en-US" w:eastAsia="zh-CN"/>
              </w:rPr>
              <w:t>20</w:t>
            </w:r>
            <w:r>
              <w:rPr>
                <w:rFonts w:hint="eastAsia" w:ascii="仿宋" w:hAnsi="仿宋" w:eastAsia="仿宋" w:cs="仿宋"/>
                <w:b/>
                <w:bCs/>
                <w:color w:val="auto"/>
                <w:szCs w:val="24"/>
                <w:highlight w:val="none"/>
                <w:lang w:eastAsia="zh-CN"/>
              </w:rPr>
              <w:t>日14:</w:t>
            </w:r>
            <w:r>
              <w:rPr>
                <w:rFonts w:hint="eastAsia" w:ascii="仿宋" w:hAnsi="仿宋" w:eastAsia="仿宋" w:cs="仿宋"/>
                <w:b/>
                <w:bCs/>
                <w:color w:val="auto"/>
                <w:szCs w:val="24"/>
                <w:highlight w:val="none"/>
                <w:lang w:val="en-US" w:eastAsia="zh-CN"/>
              </w:rPr>
              <w:t>3</w:t>
            </w:r>
            <w:r>
              <w:rPr>
                <w:rFonts w:hint="eastAsia" w:ascii="仿宋" w:hAnsi="仿宋" w:eastAsia="仿宋" w:cs="仿宋"/>
                <w:b/>
                <w:bCs/>
                <w:color w:val="auto"/>
                <w:szCs w:val="24"/>
                <w:highlight w:val="none"/>
                <w:lang w:eastAsia="zh-CN"/>
              </w:rPr>
              <w:t>0</w:t>
            </w:r>
            <w:r>
              <w:rPr>
                <w:rFonts w:hint="eastAsia" w:ascii="仿宋" w:hAnsi="仿宋" w:eastAsia="仿宋" w:cs="仿宋"/>
                <w:b/>
                <w:bCs/>
                <w:color w:val="auto"/>
                <w:szCs w:val="24"/>
                <w:highlight w:val="none"/>
              </w:rPr>
              <w:t>前</w:t>
            </w:r>
            <w:r>
              <w:rPr>
                <w:rFonts w:hint="eastAsia" w:ascii="仿宋" w:hAnsi="仿宋" w:eastAsia="仿宋" w:cs="仿宋"/>
                <w:color w:val="auto"/>
                <w:szCs w:val="24"/>
                <w:highlight w:val="none"/>
              </w:rPr>
              <w:t>）和方式提交保证金，避免银行退票等原因出现保证金未按时到账等情况影响正常投标。请务必在转账时在摘要处注明：项目编号，同时请次日电话查询是否到账：029-8759232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 xml:space="preserve">。 </w:t>
            </w:r>
          </w:p>
          <w:p>
            <w:pPr>
              <w:pStyle w:val="1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4、投标人未按照招标文件要求提交保证金的，投标响应文件无效。投标保证金提交以到账时间为准。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汇款账户</w:t>
            </w:r>
          </w:p>
        </w:tc>
        <w:tc>
          <w:tcPr>
            <w:tcW w:w="6336" w:type="dxa"/>
            <w:vAlign w:val="top"/>
          </w:tcPr>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中国</w:t>
            </w:r>
            <w:r>
              <w:rPr>
                <w:rFonts w:hint="eastAsia" w:ascii="仿宋" w:hAnsi="仿宋" w:eastAsia="仿宋" w:cs="仿宋"/>
                <w:color w:val="auto"/>
                <w:sz w:val="24"/>
                <w:szCs w:val="24"/>
                <w:highlight w:val="none"/>
                <w:lang w:eastAsia="zh-CN"/>
              </w:rPr>
              <w:t>建设</w:t>
            </w:r>
            <w:r>
              <w:rPr>
                <w:rFonts w:hint="eastAsia" w:ascii="仿宋" w:hAnsi="仿宋" w:eastAsia="仿宋" w:cs="仿宋"/>
                <w:color w:val="auto"/>
                <w:sz w:val="24"/>
                <w:szCs w:val="24"/>
                <w:highlight w:val="none"/>
              </w:rPr>
              <w:t>银行：</w:t>
            </w:r>
            <w:r>
              <w:rPr>
                <w:rFonts w:hint="eastAsia" w:ascii="仿宋" w:hAnsi="仿宋" w:eastAsia="仿宋" w:cs="仿宋"/>
                <w:b w:val="0"/>
                <w:bCs w:val="0"/>
                <w:color w:val="auto"/>
                <w:sz w:val="24"/>
                <w:szCs w:val="24"/>
                <w:highlight w:val="none"/>
              </w:rPr>
              <w:t>招标服务费</w:t>
            </w:r>
            <w:r>
              <w:rPr>
                <w:rFonts w:hint="eastAsia" w:ascii="仿宋" w:hAnsi="仿宋" w:eastAsia="仿宋" w:cs="仿宋"/>
                <w:color w:val="auto"/>
                <w:sz w:val="24"/>
                <w:szCs w:val="24"/>
                <w:highlight w:val="none"/>
                <w:lang w:eastAsia="zh-CN"/>
              </w:rPr>
              <w:t>（交纳账户）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中国建设银行股份有限公司西安金泰假日花城支行</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lang w:val="en-US" w:eastAsia="zh-CN"/>
              </w:rPr>
              <w:t>6105 0186 5800 0000 0059</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中信银行：投标保证金、履约保证金（交纳专户）</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账号：8111 7010 1190 0609 835</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开户行：中信银行西安朱雀南路支行</w:t>
            </w:r>
          </w:p>
          <w:p>
            <w:pPr>
              <w:pStyle w:val="37"/>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注:标书费、招标服务费可以采用转账、现金形式交纳；</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备选投标方案</w:t>
            </w:r>
          </w:p>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和报价</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盖章签字</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投标文件数量、装订</w:t>
            </w:r>
          </w:p>
        </w:tc>
        <w:tc>
          <w:tcPr>
            <w:tcW w:w="6336" w:type="dxa"/>
            <w:vAlign w:val="center"/>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。投标文件正本一份，副本四份，电子</w:t>
            </w:r>
            <w:r>
              <w:rPr>
                <w:rFonts w:hint="eastAsia" w:ascii="仿宋" w:hAnsi="仿宋" w:eastAsia="仿宋" w:cs="仿宋"/>
                <w:color w:val="auto"/>
                <w:szCs w:val="24"/>
                <w:highlight w:val="none"/>
                <w:lang w:val="en-US" w:eastAsia="zh-CN"/>
              </w:rPr>
              <w:t>文件</w:t>
            </w:r>
            <w:r>
              <w:rPr>
                <w:rFonts w:hint="eastAsia" w:ascii="仿宋" w:hAnsi="仿宋" w:eastAsia="仿宋" w:cs="仿宋"/>
                <w:color w:val="auto"/>
                <w:szCs w:val="24"/>
                <w:highlight w:val="none"/>
              </w:rPr>
              <w:t>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），电子版投标文件提供投标文件正本的word版本及PDF版本（PDF文件为完整签字、盖章的正本扫描件）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投标报价</w:t>
            </w:r>
          </w:p>
        </w:tc>
        <w:tc>
          <w:tcPr>
            <w:tcW w:w="6336" w:type="dxa"/>
            <w:vAlign w:val="center"/>
          </w:tcPr>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rPr>
              <w:t>本项目属于交钥匙项目，投标报价=设备价（含税）</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评标办法及标准</w:t>
            </w:r>
          </w:p>
        </w:tc>
        <w:tc>
          <w:tcPr>
            <w:tcW w:w="6336" w:type="dxa"/>
            <w:vAlign w:val="center"/>
          </w:tcPr>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其它事项</w:t>
            </w:r>
          </w:p>
        </w:tc>
        <w:tc>
          <w:tcPr>
            <w:tcW w:w="6336" w:type="dxa"/>
            <w:vAlign w:val="center"/>
          </w:tcPr>
          <w:p>
            <w:pPr>
              <w:adjustRightInd w:val="0"/>
              <w:snapToGrid w:val="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color w:val="auto"/>
                <w:kern w:val="0"/>
                <w:szCs w:val="24"/>
                <w:highlight w:val="none"/>
              </w:rPr>
              <w:t>中标人无正当理由不得放弃中标。</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28</w:t>
            </w:r>
          </w:p>
        </w:tc>
        <w:tc>
          <w:tcPr>
            <w:tcW w:w="241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本项目是否专门面向中小企业</w:t>
            </w:r>
          </w:p>
        </w:tc>
        <w:tc>
          <w:tcPr>
            <w:tcW w:w="6336" w:type="dxa"/>
            <w:vAlign w:val="center"/>
          </w:tcPr>
          <w:p>
            <w:pPr>
              <w:pStyle w:val="38"/>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本项目所属行业</w:t>
            </w:r>
          </w:p>
        </w:tc>
        <w:tc>
          <w:tcPr>
            <w:tcW w:w="6336" w:type="dxa"/>
            <w:vAlign w:val="center"/>
          </w:tcPr>
          <w:p>
            <w:pPr>
              <w:adjustRightInd w:val="0"/>
              <w:snapToGrid w:val="0"/>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零售业</w:t>
            </w:r>
          </w:p>
        </w:tc>
      </w:tr>
    </w:tbl>
    <w:p>
      <w:pPr>
        <w:pStyle w:val="4"/>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pStyle w:val="4"/>
        <w:spacing w:line="560" w:lineRule="exact"/>
        <w:rPr>
          <w:rFonts w:hint="eastAsia" w:ascii="仿宋" w:hAnsi="仿宋" w:eastAsia="仿宋" w:cs="仿宋"/>
          <w:color w:val="auto"/>
          <w:kern w:val="0"/>
          <w:sz w:val="28"/>
          <w:szCs w:val="28"/>
          <w:highlight w:val="none"/>
        </w:rPr>
      </w:pPr>
      <w:bookmarkStart w:id="11" w:name="_Toc1429"/>
      <w:r>
        <w:rPr>
          <w:rFonts w:hint="eastAsia" w:ascii="仿宋" w:hAnsi="仿宋" w:eastAsia="仿宋" w:cs="仿宋"/>
          <w:color w:val="auto"/>
          <w:kern w:val="0"/>
          <w:sz w:val="28"/>
          <w:szCs w:val="28"/>
          <w:highlight w:val="none"/>
        </w:rPr>
        <w:t>二、项目说明</w:t>
      </w:r>
      <w:bookmarkEnd w:id="11"/>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1、本项目说明详见投标人须知前附表。</w:t>
      </w:r>
      <w:bookmarkStart w:id="12" w:name="_Toc458617455"/>
      <w:bookmarkStart w:id="13" w:name="_Toc458617732"/>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hint="eastAsia" w:ascii="仿宋" w:hAnsi="仿宋" w:eastAsia="仿宋" w:cs="仿宋"/>
          <w:color w:val="auto"/>
          <w:kern w:val="0"/>
          <w:sz w:val="28"/>
          <w:szCs w:val="28"/>
          <w:highlight w:val="none"/>
        </w:rPr>
      </w:pPr>
      <w:bookmarkStart w:id="14" w:name="_Toc458617733"/>
      <w:bookmarkStart w:id="15" w:name="_Toc458617456"/>
      <w:bookmarkStart w:id="16" w:name="_Toc19356"/>
      <w:r>
        <w:rPr>
          <w:rFonts w:hint="eastAsia" w:ascii="仿宋" w:hAnsi="仿宋" w:eastAsia="仿宋" w:cs="仿宋"/>
          <w:color w:val="auto"/>
          <w:kern w:val="0"/>
          <w:sz w:val="28"/>
          <w:szCs w:val="28"/>
          <w:highlight w:val="none"/>
        </w:rPr>
        <w:t>三、招标文件</w:t>
      </w:r>
      <w:bookmarkEnd w:id="14"/>
      <w:bookmarkEnd w:id="15"/>
      <w:bookmarkEnd w:id="16"/>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2、招标文件的组成：包括目录中所列的前五章。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4、招标文件的澄清或修改：</w:t>
      </w:r>
    </w:p>
    <w:p>
      <w:pPr>
        <w:spacing w:line="560" w:lineRule="exact"/>
        <w:ind w:firstLine="480" w:firstLineChars="200"/>
        <w:rPr>
          <w:rFonts w:hint="eastAsia" w:ascii="仿宋" w:hAnsi="仿宋" w:eastAsia="仿宋" w:cs="仿宋"/>
          <w:b/>
          <w:color w:val="auto"/>
          <w:kern w:val="0"/>
          <w:sz w:val="18"/>
          <w:szCs w:val="18"/>
          <w:highlight w:val="none"/>
          <w:u w:color="FF0000"/>
        </w:rPr>
      </w:pPr>
      <w:bookmarkStart w:id="17" w:name="_Toc458617457"/>
      <w:bookmarkStart w:id="18" w:name="_Toc458617734"/>
      <w:r>
        <w:rPr>
          <w:rFonts w:hint="eastAsia" w:ascii="仿宋" w:hAnsi="仿宋" w:eastAsia="仿宋" w:cs="仿宋"/>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5、投标人若对招标文件有任何疑问，可以以书面形式向采购代理机构提出询问。</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6、投标人认为招标文件使自己的权益受到损害的，在收到采购文件之日</w:t>
      </w:r>
      <w:r>
        <w:rPr>
          <w:rFonts w:hint="eastAsia" w:ascii="仿宋" w:hAnsi="仿宋" w:eastAsia="仿宋" w:cs="仿宋"/>
          <w:color w:val="auto"/>
          <w:kern w:val="0"/>
          <w:szCs w:val="24"/>
          <w:highlight w:val="none"/>
        </w:rPr>
        <w:t>起七个工作日内</w:t>
      </w:r>
      <w:r>
        <w:rPr>
          <w:rFonts w:hint="eastAsia" w:ascii="仿宋" w:hAnsi="仿宋" w:eastAsia="仿宋" w:cs="仿宋"/>
          <w:color w:val="auto"/>
          <w:szCs w:val="24"/>
          <w:highlight w:val="none"/>
        </w:rPr>
        <w:t>以书面形式向采购代理机构提出质疑，逾期提出的无效，</w:t>
      </w:r>
      <w:bookmarkStart w:id="19" w:name="OLE_LINK6"/>
      <w:r>
        <w:rPr>
          <w:rFonts w:hint="eastAsia" w:ascii="仿宋" w:hAnsi="仿宋" w:eastAsia="仿宋" w:cs="仿宋"/>
          <w:color w:val="auto"/>
          <w:szCs w:val="24"/>
          <w:highlight w:val="none"/>
        </w:rPr>
        <w:t>因此带来的一切不利后果由投标人自负。</w:t>
      </w:r>
      <w:bookmarkEnd w:id="19"/>
    </w:p>
    <w:p>
      <w:pPr>
        <w:kinsoku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color w:val="auto"/>
          <w:szCs w:val="24"/>
          <w:highlight w:val="none"/>
        </w:rPr>
        <w:t>采购代理机构和投标人的权利和义务将受到新的截止期的约束。</w:t>
      </w:r>
    </w:p>
    <w:bookmarkEnd w:id="20"/>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9、如发现招标文件内容与现行法律法规不相符的情况，以现行法律法规为准。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10、现场勘查、标前答疑会：见须知前附表。</w:t>
      </w:r>
    </w:p>
    <w:p>
      <w:pPr>
        <w:pStyle w:val="4"/>
        <w:spacing w:line="560" w:lineRule="exact"/>
        <w:rPr>
          <w:rFonts w:hint="eastAsia" w:ascii="仿宋" w:hAnsi="仿宋" w:eastAsia="仿宋" w:cs="仿宋"/>
          <w:color w:val="auto"/>
          <w:kern w:val="0"/>
          <w:sz w:val="28"/>
          <w:szCs w:val="28"/>
          <w:highlight w:val="none"/>
        </w:rPr>
      </w:pPr>
      <w:bookmarkStart w:id="21" w:name="_Toc4480"/>
      <w:r>
        <w:rPr>
          <w:rFonts w:hint="eastAsia" w:ascii="仿宋" w:hAnsi="仿宋" w:eastAsia="仿宋" w:cs="仿宋"/>
          <w:color w:val="auto"/>
          <w:kern w:val="0"/>
          <w:sz w:val="28"/>
          <w:szCs w:val="28"/>
          <w:highlight w:val="none"/>
        </w:rPr>
        <w:t>四、投标文件</w:t>
      </w:r>
      <w:bookmarkEnd w:id="17"/>
      <w:bookmarkEnd w:id="18"/>
      <w:bookmarkEnd w:id="21"/>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1、投标人资格要求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2、财务状况报告：提供具有财务审计资质单位出具的</w:t>
      </w:r>
      <w:r>
        <w:rPr>
          <w:rFonts w:hint="eastAsia" w:ascii="仿宋" w:hAnsi="仿宋" w:eastAsia="仿宋" w:cs="仿宋"/>
          <w:color w:val="auto"/>
          <w:sz w:val="24"/>
          <w:szCs w:val="24"/>
          <w:highlight w:val="none"/>
          <w:lang w:val="en-US" w:eastAsia="zh-CN"/>
        </w:rPr>
        <w:t>2020年度或2021年度</w:t>
      </w:r>
      <w:r>
        <w:rPr>
          <w:rFonts w:hint="eastAsia" w:ascii="仿宋" w:hAnsi="仿宋" w:eastAsia="仿宋" w:cs="仿宋"/>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3、税收缴纳证明：提供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任意一个月的缴费凭据；（依法免税的投标人应提供相关文件证明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4、社会保障资金缴纳证明：提供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 xml:space="preserve">任意一个月的社保缴费凭据或社保机构开具的社会保险参保缴费情况证明；（依法不需要缴纳社会保障资金的投标人应提供相关证明）。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2-3</w:t>
      </w:r>
      <w:r>
        <w:rPr>
          <w:rFonts w:hint="eastAsia" w:ascii="仿宋" w:hAnsi="仿宋" w:eastAsia="仿宋" w:cs="仿宋"/>
          <w:color w:val="auto"/>
          <w:szCs w:val="24"/>
          <w:highlight w:val="none"/>
        </w:rPr>
        <w:t>、投标保证金交纳凭证；（</w:t>
      </w:r>
      <w:r>
        <w:rPr>
          <w:rFonts w:hint="eastAsia" w:ascii="仿宋" w:hAnsi="仿宋" w:eastAsia="仿宋" w:cs="仿宋"/>
          <w:color w:val="auto"/>
          <w:szCs w:val="24"/>
          <w:highlight w:val="none"/>
          <w:lang w:eastAsia="zh-CN"/>
        </w:rPr>
        <w:t>保证金交纳凭证复印件加盖公章</w:t>
      </w:r>
      <w:r>
        <w:rPr>
          <w:rFonts w:hint="eastAsia" w:ascii="仿宋" w:hAnsi="仿宋" w:eastAsia="仿宋" w:cs="仿宋"/>
          <w:color w:val="auto"/>
          <w:szCs w:val="24"/>
          <w:highlight w:val="none"/>
        </w:rPr>
        <w:t xml:space="preserve">）           </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-5、投标人为制造厂家应出具《医疗器械经营许可证》（或医疗器械经营备案凭证）及《医疗器械生产许可证》（或医疗器械生产备案凭证）和所投产品《医疗器械产品注册证》（或《医疗器械产品备案凭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2-6、</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2-7</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2-8</w:t>
      </w:r>
      <w:r>
        <w:rPr>
          <w:rFonts w:hint="eastAsia" w:ascii="仿宋" w:hAnsi="仿宋" w:eastAsia="仿宋" w:cs="仿宋"/>
          <w:color w:val="auto"/>
          <w:szCs w:val="24"/>
          <w:highlight w:val="none"/>
        </w:rPr>
        <w:t>、本项目不接受联合体投标。</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2、合格投标人</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color w:val="auto"/>
          <w:szCs w:val="24"/>
          <w:highlight w:val="none"/>
        </w:rPr>
        <w:t>及其实施条例等有关法律法规的规定</w:t>
      </w:r>
      <w:bookmarkEnd w:id="22"/>
      <w:r>
        <w:rPr>
          <w:rFonts w:hint="eastAsia" w:ascii="仿宋" w:hAnsi="仿宋" w:eastAsia="仿宋" w:cs="仿宋"/>
          <w:color w:val="auto"/>
          <w:szCs w:val="24"/>
          <w:highlight w:val="none"/>
        </w:rPr>
        <w:t>并满足本项目资格条件。不符合上述规定的投标人，投标无效。</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3、投标人信用信息：</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3-1、采购人或采购代理机构将于本项目投标截止日在‘信用中国’网站、‘中国政府采购网’网站等渠道对供应商进行信用记录查询，查询的信用记录将进行打印存档</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xml:space="preserve">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、特别说明：</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（1）投标人如在中标通知书发出前出现违法失信行为，采购人仍有权利提请评标委员会取消其中标资格；</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（2）投标人在投标文件中已出具的信用查询结果并不能取代采购人或采购代理机构在评标前进行复查。</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 xml:space="preserve">4、投标文件的组成 </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4-1、投标函（格式）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4-2、开标一览表（格式）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4-3、投标分项报价表（格式）</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4-4、节能环保、环境标志产品明细表（格式，若有）</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、选配件报价表（格式，若有）</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、货物说明一览表（格式）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、技术响应及偏离表（格式）</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、商务响应及偏离表（格式）</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、资格证明文件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10</w:t>
      </w:r>
      <w:r>
        <w:rPr>
          <w:rFonts w:hint="eastAsia" w:ascii="仿宋" w:hAnsi="仿宋" w:eastAsia="仿宋" w:cs="仿宋"/>
          <w:color w:val="auto"/>
          <w:kern w:val="0"/>
          <w:szCs w:val="24"/>
          <w:highlight w:val="none"/>
        </w:rPr>
        <w:t>、201</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（以合同为准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复印件加盖公章</w:t>
      </w:r>
      <w:r>
        <w:rPr>
          <w:rFonts w:hint="eastAsia" w:ascii="仿宋" w:hAnsi="仿宋" w:eastAsia="仿宋" w:cs="仿宋"/>
          <w:color w:val="auto"/>
          <w:kern w:val="0"/>
          <w:szCs w:val="24"/>
          <w:highlight w:val="none"/>
        </w:rPr>
        <w:t>）</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kern w:val="0"/>
          <w:szCs w:val="24"/>
          <w:highlight w:val="none"/>
        </w:rPr>
        <w:t>、产品的合法渠道证明文件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、项目实施方案</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、产品的技术文件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、质量保证</w:t>
      </w:r>
    </w:p>
    <w:p>
      <w:pPr>
        <w:spacing w:line="560" w:lineRule="exact"/>
        <w:ind w:firstLine="240" w:firstLineChars="1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eastAsia="zh-CN"/>
        </w:rPr>
        <w:t>及培训计划</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、招标文件要求的其他证明资料及投标人认为需要提供的资料。</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5、投标文件编写说明</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spacing w:line="560" w:lineRule="exact"/>
        <w:ind w:firstLine="240" w:firstLineChars="1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5-6、投标文件电子版内容须与投标文件纸质版正本中的内容一致。</w:t>
      </w:r>
    </w:p>
    <w:p>
      <w:pPr>
        <w:spacing w:line="560" w:lineRule="exact"/>
        <w:ind w:firstLine="232" w:firstLineChars="100"/>
        <w:rPr>
          <w:rFonts w:hint="eastAsia" w:ascii="仿宋" w:hAnsi="仿宋" w:eastAsia="仿宋" w:cs="仿宋"/>
          <w:color w:val="auto"/>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5-8、</w:t>
      </w:r>
      <w:r>
        <w:rPr>
          <w:rFonts w:hint="eastAsia" w:ascii="仿宋" w:hAnsi="仿宋" w:eastAsia="仿宋" w:cs="仿宋"/>
          <w:color w:val="auto"/>
          <w:szCs w:val="24"/>
          <w:highlight w:val="none"/>
        </w:rPr>
        <w:t>开标一览表</w:t>
      </w:r>
      <w:r>
        <w:rPr>
          <w:rFonts w:hint="eastAsia" w:ascii="仿宋" w:hAnsi="仿宋" w:eastAsia="仿宋" w:cs="仿宋"/>
          <w:color w:val="auto"/>
          <w:szCs w:val="24"/>
          <w:highlight w:val="none"/>
          <w:lang w:eastAsia="zh-CN"/>
        </w:rPr>
        <w:t>必须由法定代表人或被授权人签字并加盖投标人公章，否则将</w:t>
      </w:r>
      <w:r>
        <w:rPr>
          <w:rFonts w:hint="eastAsia" w:ascii="仿宋" w:hAnsi="仿宋" w:eastAsia="仿宋" w:cs="仿宋"/>
          <w:color w:val="auto"/>
          <w:szCs w:val="24"/>
          <w:highlight w:val="none"/>
          <w:lang w:val="en-US" w:eastAsia="zh-CN"/>
        </w:rPr>
        <w:t>作为无效投标处理</w:t>
      </w:r>
      <w:r>
        <w:rPr>
          <w:rFonts w:hint="eastAsia" w:ascii="仿宋" w:hAnsi="仿宋" w:eastAsia="仿宋" w:cs="仿宋"/>
          <w:color w:val="auto"/>
          <w:szCs w:val="24"/>
          <w:highlight w:val="none"/>
          <w:lang w:eastAsia="zh-CN"/>
        </w:rPr>
        <w:t>。</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6、投标文件的装订及密封</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，在投标文件书脊处必须写明项目名称、项目编号及投标人名称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电子文件一份（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，谢绝光盘），电子版投标文件提供投标文件正本的word版本及PDF版本（PDF文件为完整签字、盖章的正本扫描件），“开标一览表”一份。纸质投标文件均须A4纸打印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7、投标文件的计量单位</w:t>
      </w:r>
    </w:p>
    <w:p>
      <w:pPr>
        <w:spacing w:line="560" w:lineRule="exact"/>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投标文件中所使用的计量单位，除有特殊要求外，均采用国家法定计量单位。</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bCs/>
          <w:color w:val="auto"/>
          <w:szCs w:val="24"/>
          <w:highlight w:val="none"/>
        </w:rPr>
        <w:t>8、投标报价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8-1、投标货币：人民币      单位:元（保留小数点后两位）。</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8-2、投标</w:t>
      </w:r>
      <w:bookmarkStart w:id="23" w:name="OLE_LINK11"/>
      <w:r>
        <w:rPr>
          <w:rFonts w:hint="eastAsia" w:ascii="仿宋" w:hAnsi="仿宋" w:eastAsia="仿宋" w:cs="仿宋"/>
          <w:color w:val="auto"/>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8-3、本项目为交钥匙项目，投标报价=设备价（含税）</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color w:val="auto"/>
          <w:szCs w:val="24"/>
          <w:highlight w:val="none"/>
        </w:rPr>
        <w:t>运输费+安装费+调试费+培训费+产品辅材费+售后服务费+保险费+相关伴随费用等。</w:t>
      </w:r>
    </w:p>
    <w:bookmarkEnd w:id="23"/>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8-5、</w:t>
      </w:r>
      <w:r>
        <w:rPr>
          <w:rFonts w:hint="eastAsia" w:ascii="仿宋" w:hAnsi="仿宋" w:eastAsia="仿宋" w:cs="仿宋"/>
          <w:color w:val="auto"/>
          <w:szCs w:val="24"/>
          <w:highlight w:val="none"/>
        </w:rPr>
        <w:t>不接受超过招标文件中规定的预算金额或者最高限价的报价、可变动性报价、赠送及“零”报价，</w:t>
      </w:r>
      <w:r>
        <w:rPr>
          <w:rFonts w:hint="eastAsia" w:ascii="仿宋" w:hAnsi="仿宋" w:eastAsia="仿宋" w:cs="仿宋"/>
          <w:b/>
          <w:bCs/>
          <w:color w:val="auto"/>
          <w:szCs w:val="24"/>
          <w:highlight w:val="none"/>
        </w:rPr>
        <w:t>否则视为无效投标</w:t>
      </w:r>
      <w:r>
        <w:rPr>
          <w:rFonts w:hint="eastAsia" w:ascii="仿宋" w:hAnsi="仿宋" w:eastAsia="仿宋" w:cs="仿宋"/>
          <w:color w:val="auto"/>
          <w:szCs w:val="24"/>
          <w:highlight w:val="none"/>
        </w:rPr>
        <w:t>。</w:t>
      </w:r>
    </w:p>
    <w:p>
      <w:pPr>
        <w:spacing w:line="560" w:lineRule="exact"/>
        <w:ind w:firstLine="588" w:firstLineChars="245"/>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（1）所投货物的设备价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（2）备品备件价（根据招标文件要求和货物技术状况列出质量保证期内需要的备品备件清单和价格）</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（3）专用工具价（如果需要使用）</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（4）安装调试费用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（5）货物运至指定地点的运输（含保险）费用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（6）售后服务费</w:t>
      </w:r>
    </w:p>
    <w:p>
      <w:pPr>
        <w:spacing w:line="560" w:lineRule="exact"/>
        <w:ind w:firstLine="470" w:firstLineChars="196"/>
        <w:rPr>
          <w:rFonts w:hint="eastAsia" w:ascii="仿宋" w:hAnsi="仿宋" w:eastAsia="仿宋" w:cs="仿宋"/>
          <w:color w:val="auto"/>
          <w:highlight w:val="none"/>
        </w:rPr>
      </w:pPr>
      <w:r>
        <w:rPr>
          <w:rFonts w:hint="eastAsia" w:ascii="仿宋" w:hAnsi="仿宋" w:eastAsia="仿宋" w:cs="仿宋"/>
          <w:color w:val="auto"/>
          <w:szCs w:val="24"/>
          <w:highlight w:val="none"/>
        </w:rPr>
        <w:t>（7）培训费</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（8）招标文件要求的所有伴随服务的费用</w:t>
      </w:r>
      <w:r>
        <w:rPr>
          <w:rFonts w:hint="eastAsia" w:ascii="仿宋" w:hAnsi="仿宋" w:eastAsia="仿宋" w:cs="仿宋"/>
          <w:color w:val="auto"/>
          <w:szCs w:val="24"/>
          <w:highlight w:val="none"/>
        </w:rPr>
        <w:tab/>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、选配件是投标产品的附件，仅作为采购人后期选择购买，其报价不包含在本次投标总价内。</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9、对投标人的其他要求：</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9-1、投标人不得以他人名义投标和串通投标。</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9-2、必须根据招标文件要求进行生产、供货等。</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9-4、接受采购人委托的相关单位对货物内容、质量、进度、实施方案、价款支付与结算审核等的监督和管理。</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458"/>
      <w:bookmarkStart w:id="25" w:name="_Toc458617735"/>
    </w:p>
    <w:p>
      <w:pPr>
        <w:pStyle w:val="4"/>
        <w:spacing w:line="560" w:lineRule="exact"/>
        <w:rPr>
          <w:rFonts w:hint="eastAsia" w:ascii="仿宋" w:hAnsi="仿宋" w:eastAsia="仿宋" w:cs="仿宋"/>
          <w:color w:val="auto"/>
          <w:kern w:val="0"/>
          <w:sz w:val="28"/>
          <w:szCs w:val="28"/>
          <w:highlight w:val="none"/>
        </w:rPr>
      </w:pPr>
      <w:bookmarkStart w:id="26" w:name="_Toc14492"/>
      <w:r>
        <w:rPr>
          <w:rFonts w:hint="eastAsia" w:ascii="仿宋" w:hAnsi="仿宋" w:eastAsia="仿宋" w:cs="仿宋"/>
          <w:color w:val="auto"/>
          <w:kern w:val="0"/>
          <w:sz w:val="28"/>
          <w:szCs w:val="28"/>
          <w:highlight w:val="none"/>
        </w:rPr>
        <w:t>五、投标担保</w:t>
      </w:r>
      <w:bookmarkEnd w:id="24"/>
      <w:bookmarkEnd w:id="25"/>
      <w:bookmarkEnd w:id="26"/>
    </w:p>
    <w:p>
      <w:pPr>
        <w:tabs>
          <w:tab w:val="left" w:pos="7013"/>
        </w:tabs>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1、担保方式：见投标人须知前附表。</w:t>
      </w:r>
      <w:r>
        <w:rPr>
          <w:rFonts w:hint="eastAsia" w:ascii="仿宋" w:hAnsi="仿宋" w:eastAsia="仿宋" w:cs="仿宋"/>
          <w:color w:val="auto"/>
          <w:szCs w:val="24"/>
          <w:highlight w:val="none"/>
        </w:rPr>
        <w:tab/>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2、投标担保递交截止时间：见投标人须知前附表。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4、退还投标保证金：</w:t>
      </w:r>
    </w:p>
    <w:p>
      <w:pPr>
        <w:spacing w:line="56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（2）</w:t>
      </w:r>
      <w:r>
        <w:rPr>
          <w:rFonts w:hint="eastAsia" w:ascii="仿宋" w:hAnsi="仿宋" w:eastAsia="仿宋" w:cs="仿宋"/>
          <w:b/>
          <w:color w:val="auto"/>
          <w:spacing w:val="-14"/>
          <w:szCs w:val="24"/>
          <w:highlight w:val="none"/>
          <w:u w:val="single"/>
        </w:rPr>
        <w:t>所</w:t>
      </w:r>
      <w:r>
        <w:rPr>
          <w:rFonts w:hint="eastAsia" w:ascii="仿宋" w:hAnsi="仿宋" w:eastAsia="仿宋" w:cs="仿宋"/>
          <w:b/>
          <w:color w:val="auto"/>
          <w:szCs w:val="24"/>
          <w:highlight w:val="none"/>
          <w:u w:val="single"/>
        </w:rPr>
        <w:t>有未中标人的投标保证金，将在中标通知书发出后5个工作日内退还（无息）。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u w:val="single"/>
        </w:rPr>
        <w:t>（3）中标人的投标保证金，将在签订合同后5个工作日内执合同予以退还（无息）。（</w:t>
      </w:r>
      <w:r>
        <w:rPr>
          <w:rFonts w:hint="eastAsia" w:ascii="仿宋" w:hAnsi="仿宋" w:eastAsia="仿宋" w:cs="仿宋"/>
          <w:b/>
          <w:color w:val="auto"/>
          <w:szCs w:val="24"/>
          <w:highlight w:val="none"/>
          <w:u w:val="single"/>
          <w:lang w:eastAsia="zh-CN"/>
        </w:rPr>
        <w:t>中标人</w:t>
      </w:r>
      <w:r>
        <w:rPr>
          <w:rFonts w:hint="eastAsia" w:ascii="仿宋" w:hAnsi="仿宋" w:eastAsia="仿宋" w:cs="仿宋"/>
          <w:b/>
          <w:color w:val="auto"/>
          <w:szCs w:val="24"/>
          <w:highlight w:val="none"/>
          <w:u w:val="single"/>
        </w:rPr>
        <w:t>须携带合同原件、合同复印件（加盖单位鲜章）各一份，同时将合同扫描件发送至</w:t>
      </w:r>
      <w:r>
        <w:rPr>
          <w:rFonts w:hint="eastAsia" w:ascii="仿宋" w:hAnsi="仿宋" w:eastAsia="仿宋" w:cs="仿宋"/>
          <w:b/>
          <w:color w:val="auto"/>
          <w:szCs w:val="24"/>
          <w:highlight w:val="none"/>
          <w:u w:val="single"/>
          <w:lang w:val="en-US" w:eastAsia="zh-CN"/>
        </w:rPr>
        <w:t>hzghxmglyxgs@163.com</w:t>
      </w:r>
      <w:r>
        <w:rPr>
          <w:rFonts w:hint="eastAsia" w:ascii="仿宋" w:hAnsi="仿宋" w:eastAsia="仿宋" w:cs="仿宋"/>
          <w:b/>
          <w:color w:val="auto"/>
          <w:szCs w:val="24"/>
          <w:highlight w:val="none"/>
          <w:u w:val="single"/>
        </w:rPr>
        <w:t>邮箱），但因中标人自身原因导致无法及时退还的除外。</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（4）</w:t>
      </w:r>
      <w:r>
        <w:rPr>
          <w:rFonts w:hint="eastAsia" w:ascii="仿宋" w:hAnsi="仿宋" w:eastAsia="仿宋" w:cs="仿宋"/>
          <w:b/>
          <w:color w:val="auto"/>
          <w:szCs w:val="24"/>
          <w:highlight w:val="none"/>
          <w:u w:val="single"/>
        </w:rPr>
        <w:t>若招标终止，采购代理机构将在发布招标终止公告后5个工作日内退还投标保证金。</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5-1、</w:t>
      </w:r>
      <w:r>
        <w:rPr>
          <w:rFonts w:hint="eastAsia" w:ascii="仿宋" w:hAnsi="仿宋" w:eastAsia="仿宋" w:cs="仿宋"/>
          <w:color w:val="auto"/>
          <w:szCs w:val="24"/>
          <w:highlight w:val="none"/>
          <w:u w:val="single"/>
        </w:rPr>
        <w:t>投标人提供虚假资质谋取中标的；</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5-2、</w:t>
      </w:r>
      <w:r>
        <w:rPr>
          <w:rFonts w:hint="eastAsia" w:ascii="仿宋" w:hAnsi="仿宋" w:eastAsia="仿宋" w:cs="仿宋"/>
          <w:color w:val="auto"/>
          <w:szCs w:val="24"/>
          <w:highlight w:val="none"/>
          <w:u w:val="single"/>
        </w:rPr>
        <w:t>有围标、串标现象，经查证属实的；</w:t>
      </w:r>
    </w:p>
    <w:p>
      <w:pPr>
        <w:spacing w:line="560" w:lineRule="exact"/>
        <w:ind w:left="574" w:leftChars="239"/>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5-3、</w:t>
      </w:r>
      <w:r>
        <w:rPr>
          <w:rFonts w:hint="eastAsia" w:ascii="仿宋" w:hAnsi="仿宋" w:eastAsia="仿宋" w:cs="仿宋"/>
          <w:color w:val="auto"/>
          <w:szCs w:val="24"/>
          <w:highlight w:val="none"/>
          <w:u w:val="single"/>
        </w:rPr>
        <w:t>投标人在招标文件规定的投标有效期内撤回投标的；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5-4、</w:t>
      </w:r>
      <w:r>
        <w:rPr>
          <w:rFonts w:hint="eastAsia" w:ascii="仿宋" w:hAnsi="仿宋" w:eastAsia="仿宋" w:cs="仿宋"/>
          <w:color w:val="auto"/>
          <w:szCs w:val="24"/>
          <w:highlight w:val="none"/>
          <w:u w:val="single"/>
          <w:lang w:val="en-US" w:eastAsia="zh-CN"/>
        </w:rPr>
        <w:t>投标人</w:t>
      </w:r>
      <w:r>
        <w:rPr>
          <w:rFonts w:hint="eastAsia" w:ascii="仿宋" w:hAnsi="仿宋" w:eastAsia="仿宋" w:cs="仿宋"/>
          <w:color w:val="auto"/>
          <w:szCs w:val="24"/>
          <w:highlight w:val="none"/>
          <w:u w:val="single"/>
        </w:rPr>
        <w:t>自行放弃</w:t>
      </w:r>
      <w:r>
        <w:rPr>
          <w:rFonts w:hint="eastAsia" w:ascii="仿宋" w:hAnsi="仿宋" w:eastAsia="仿宋" w:cs="仿宋"/>
          <w:color w:val="auto"/>
          <w:szCs w:val="24"/>
          <w:highlight w:val="none"/>
          <w:u w:val="single"/>
          <w:lang w:eastAsia="zh-CN"/>
        </w:rPr>
        <w:t>投标</w:t>
      </w:r>
      <w:r>
        <w:rPr>
          <w:rFonts w:hint="eastAsia" w:ascii="仿宋" w:hAnsi="仿宋" w:eastAsia="仿宋" w:cs="仿宋"/>
          <w:color w:val="auto"/>
          <w:szCs w:val="24"/>
          <w:highlight w:val="none"/>
          <w:u w:val="single"/>
        </w:rPr>
        <w:t>资格而未在</w:t>
      </w:r>
      <w:r>
        <w:rPr>
          <w:rFonts w:hint="eastAsia" w:ascii="仿宋" w:hAnsi="仿宋" w:eastAsia="仿宋" w:cs="仿宋"/>
          <w:color w:val="auto"/>
          <w:szCs w:val="24"/>
          <w:highlight w:val="none"/>
          <w:u w:val="single"/>
          <w:lang w:eastAsia="zh-CN"/>
        </w:rPr>
        <w:t>开标</w:t>
      </w:r>
      <w:r>
        <w:rPr>
          <w:rFonts w:hint="eastAsia" w:ascii="仿宋" w:hAnsi="仿宋" w:eastAsia="仿宋" w:cs="仿宋"/>
          <w:color w:val="auto"/>
          <w:szCs w:val="24"/>
          <w:highlight w:val="none"/>
          <w:u w:val="single"/>
        </w:rPr>
        <w:t>会议前一天以书面形式告知采购代理</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机构的；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投标人自行放弃中标资格的；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中标单位不在规定的时效内领取《中标通知书》的；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中标人不按规定支付招标服务费的；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中标人因自身原因未能在规定期限内与采购人签订合同的。</w:t>
      </w:r>
    </w:p>
    <w:p>
      <w:pPr>
        <w:pStyle w:val="4"/>
        <w:spacing w:line="560" w:lineRule="exact"/>
        <w:rPr>
          <w:rFonts w:hint="eastAsia" w:ascii="仿宋" w:hAnsi="仿宋" w:eastAsia="仿宋" w:cs="仿宋"/>
          <w:color w:val="auto"/>
          <w:kern w:val="0"/>
          <w:sz w:val="28"/>
          <w:szCs w:val="28"/>
          <w:highlight w:val="none"/>
        </w:rPr>
      </w:pPr>
      <w:bookmarkStart w:id="27" w:name="_Toc458617736"/>
      <w:bookmarkStart w:id="28" w:name="_Toc22244"/>
      <w:bookmarkStart w:id="29" w:name="_Toc458617459"/>
      <w:r>
        <w:rPr>
          <w:rFonts w:hint="eastAsia" w:ascii="仿宋" w:hAnsi="仿宋" w:eastAsia="仿宋" w:cs="仿宋"/>
          <w:color w:val="auto"/>
          <w:kern w:val="0"/>
          <w:sz w:val="28"/>
          <w:szCs w:val="28"/>
          <w:highlight w:val="none"/>
        </w:rPr>
        <w:t>六、投标</w:t>
      </w:r>
      <w:bookmarkEnd w:id="27"/>
      <w:bookmarkEnd w:id="28"/>
      <w:bookmarkEnd w:id="29"/>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1、投标文件、必备资质文件的提交：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1-1、投标人应在投标截止时间前将投标文件密封送达投标地点；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1-2、逾期送达或者未按照招标文件要求密封的投标文件，将被拒收；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1-3、逾期送达的必备资质文件，将被拒收；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1-4、本次招标不接受邮寄的投标文件、必备资质文件。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2、投标文件的补充、修改与撤回：</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2-2、投标人提出修改要求的，须在投标截止时间前密封送到采购代理机构，并在封面上加注“修改”字样。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2-4、投标截止时间之后，投标人不得补充、修改投标文件。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3、投标有效期：</w:t>
      </w:r>
    </w:p>
    <w:p>
      <w:pPr>
        <w:pStyle w:val="37"/>
        <w:spacing w:line="560" w:lineRule="exact"/>
        <w:ind w:firstLine="464"/>
        <w:rPr>
          <w:rFonts w:hint="eastAsia"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3-1、自提交投标文件的截止之日起90个日历日。</w:t>
      </w:r>
      <w:bookmarkStart w:id="30" w:name="OLE_LINK15"/>
      <w:r>
        <w:rPr>
          <w:rFonts w:hint="eastAsia" w:ascii="仿宋" w:hAnsi="仿宋" w:eastAsia="仿宋" w:cs="仿宋"/>
          <w:color w:val="auto"/>
          <w:spacing w:val="-4"/>
          <w:sz w:val="24"/>
          <w:szCs w:val="24"/>
          <w:highlight w:val="none"/>
        </w:rPr>
        <w:t>投标人投标有效期短于招标文件规定</w:t>
      </w:r>
      <w:r>
        <w:rPr>
          <w:rFonts w:hint="eastAsia" w:ascii="仿宋" w:hAnsi="仿宋" w:eastAsia="仿宋" w:cs="仿宋"/>
          <w:color w:val="auto"/>
          <w:kern w:val="2"/>
          <w:sz w:val="24"/>
          <w:szCs w:val="24"/>
          <w:highlight w:val="none"/>
        </w:rPr>
        <w:t>的投标有效期，按无效投标处理。中标单位的投标有效期延长至合同执行完毕。</w:t>
      </w:r>
    </w:p>
    <w:p>
      <w:pPr>
        <w:pStyle w:val="37"/>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460"/>
      <w:bookmarkStart w:id="32" w:name="_Toc458617737"/>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4、投标人</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有下列情形之一的，属于恶意串通，对其依照《中华人民共和国政府采购法》第七十七条第一款的规定追究法律责任，投标无效：</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4-1、投标人直接或者间接从采购人或采购代理机构处获得其他投标人的相关情况并修改其投标文件；</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4-2、投标人按照采购人或采购代理机构的授意撤换、修改投标文件；</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4-3、投标人之间协商报价、技术方案等投标文件的实质性内容；</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4-4、属于同一集团、协会、商会等组织成员的投标人按照该组织要求协同参加政府采购活动；</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4-5、投标人之间事先约定由某一特定投标人中标；</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4-6、投标人之间商定部分投标人放弃参加政府采购活动或放弃中标；</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4-7、投标人相互之间，为谋求特定投标人中标或排斥其他投标人的其他串通行为。</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5、有下列情形之一的，视为投标人串通投标，其投标无效：</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5-1、不同投标人的投标文件由同一单位或者个人编制；</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5-2、不同投标人委托同一单位或者个人办理投标事宜；</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5-3、不同投标人的投标文件载明的项目管理成员或者联系人为同一人；</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5-4、不同投标人的投标文件异常一致或者投标报价呈现规律性差异；</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5-5、不同投标人的投标文件相互混装；</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5-6、不同投标人的投标保证金从同一单位或者个人的账户转出。</w:t>
      </w:r>
    </w:p>
    <w:p>
      <w:pPr>
        <w:pStyle w:val="4"/>
        <w:spacing w:line="560" w:lineRule="exact"/>
        <w:rPr>
          <w:rFonts w:hint="eastAsia" w:ascii="仿宋" w:hAnsi="仿宋" w:eastAsia="仿宋" w:cs="仿宋"/>
          <w:color w:val="auto"/>
          <w:kern w:val="0"/>
          <w:sz w:val="28"/>
          <w:szCs w:val="28"/>
          <w:highlight w:val="none"/>
        </w:rPr>
      </w:pPr>
      <w:bookmarkStart w:id="33" w:name="_Toc1895"/>
      <w:r>
        <w:rPr>
          <w:rFonts w:hint="eastAsia" w:ascii="仿宋" w:hAnsi="仿宋" w:eastAsia="仿宋" w:cs="仿宋"/>
          <w:color w:val="auto"/>
          <w:kern w:val="0"/>
          <w:sz w:val="28"/>
          <w:szCs w:val="28"/>
          <w:highlight w:val="none"/>
        </w:rPr>
        <w:t>七、开标、资格审查、评标和定标</w:t>
      </w:r>
      <w:bookmarkEnd w:id="31"/>
      <w:bookmarkEnd w:id="32"/>
      <w:bookmarkEnd w:id="33"/>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bCs/>
          <w:color w:val="auto"/>
          <w:szCs w:val="24"/>
          <w:highlight w:val="none"/>
        </w:rPr>
        <w:t>1、开标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1-1、采购代理机构按招标文件规定的时间和地点组织开标。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1-2、所有参会人员应签名报到，以证明其出席。投标人未参加开标的，视同认可开标结果。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1-3、开标会议由采购代理机构主持。主持人宣读开标会议开始，宣读会场纪律，宣布参加会议的投标人名单。</w:t>
      </w:r>
    </w:p>
    <w:p>
      <w:pPr>
        <w:spacing w:line="560" w:lineRule="exact"/>
        <w:ind w:firstLine="480" w:firstLineChars="200"/>
        <w:rPr>
          <w:rFonts w:hint="eastAsia" w:ascii="仿宋" w:hAnsi="仿宋" w:eastAsia="仿宋" w:cs="仿宋"/>
          <w:strike w:val="0"/>
          <w:color w:val="auto"/>
          <w:szCs w:val="24"/>
          <w:highlight w:val="none"/>
        </w:rPr>
      </w:pPr>
      <w:r>
        <w:rPr>
          <w:rFonts w:hint="eastAsia" w:ascii="仿宋" w:hAnsi="仿宋" w:eastAsia="仿宋" w:cs="仿宋"/>
          <w:color w:val="auto"/>
          <w:szCs w:val="24"/>
          <w:highlight w:val="none"/>
        </w:rPr>
        <w:t>1-4、投标人的法定代表人或被授权人与监标人当众检查所有投标文件的密封情况，签字确认并宣读检查结果。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1-6、主持人宣布开标会议结束，所有投标人离场。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1-7、采购代理机构对开标过程进行全程录音录像，并存档备查。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2、资格审查</w:t>
      </w:r>
    </w:p>
    <w:p>
      <w:pPr>
        <w:spacing w:line="560" w:lineRule="exact"/>
        <w:ind w:firstLine="482" w:firstLineChars="200"/>
        <w:rPr>
          <w:rFonts w:hint="eastAsia" w:ascii="仿宋" w:hAnsi="仿宋" w:eastAsia="仿宋" w:cs="仿宋"/>
          <w:bCs/>
          <w:color w:val="auto"/>
          <w:szCs w:val="24"/>
          <w:highlight w:val="none"/>
        </w:rPr>
      </w:pPr>
      <w:r>
        <w:rPr>
          <w:rFonts w:hint="eastAsia" w:ascii="仿宋" w:hAnsi="仿宋" w:eastAsia="仿宋" w:cs="仿宋"/>
          <w:b/>
          <w:bCs/>
          <w:color w:val="auto"/>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w:t>
      </w:r>
      <w:r>
        <w:rPr>
          <w:rFonts w:hint="eastAsia" w:ascii="仿宋" w:hAnsi="仿宋" w:eastAsia="仿宋" w:cs="仿宋"/>
          <w:b/>
          <w:bCs/>
          <w:color w:val="auto"/>
          <w:szCs w:val="24"/>
          <w:highlight w:val="none"/>
          <w:lang w:eastAsia="zh-CN"/>
        </w:rPr>
        <w:t>或加盖公章的复印件</w:t>
      </w:r>
      <w:r>
        <w:rPr>
          <w:rFonts w:hint="eastAsia" w:ascii="仿宋" w:hAnsi="仿宋" w:eastAsia="仿宋" w:cs="仿宋"/>
          <w:b/>
          <w:bCs/>
          <w:color w:val="auto"/>
          <w:szCs w:val="24"/>
          <w:highlight w:val="none"/>
        </w:rPr>
        <w:t>，逾期不接受任何补充资料：</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（1）基本资格条件：符合《中华人民共和国政府采购法》第二十二条的规定：</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2、财务状况报告：提供具有财务审计资质单位出具的</w:t>
      </w:r>
      <w:r>
        <w:rPr>
          <w:rFonts w:hint="eastAsia" w:ascii="仿宋" w:hAnsi="仿宋" w:eastAsia="仿宋" w:cs="仿宋"/>
          <w:b w:val="0"/>
          <w:bCs/>
          <w:color w:val="auto"/>
          <w:szCs w:val="24"/>
          <w:highlight w:val="none"/>
          <w:lang w:val="en-US" w:eastAsia="zh-CN"/>
        </w:rPr>
        <w:t>2020年度或2021年度</w:t>
      </w:r>
      <w:r>
        <w:rPr>
          <w:rFonts w:hint="eastAsia" w:ascii="仿宋" w:hAnsi="仿宋" w:eastAsia="仿宋" w:cs="仿宋"/>
          <w:b w:val="0"/>
          <w:bCs/>
          <w:color w:val="auto"/>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任意一个月的缴费凭据；（依法免税的投标人应提供相关文件证明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color w:val="auto"/>
          <w:sz w:val="24"/>
          <w:highlight w:val="none"/>
        </w:rPr>
        <w:t>4、社会保障资金缴纳证明：提供</w:t>
      </w:r>
      <w:r>
        <w:rPr>
          <w:rFonts w:hint="eastAsia" w:ascii="仿宋" w:hAnsi="仿宋" w:eastAsia="仿宋" w:cs="仿宋"/>
          <w:color w:val="auto"/>
          <w:sz w:val="24"/>
          <w:highlight w:val="none"/>
          <w:lang w:val="en-US" w:eastAsia="zh-CN"/>
        </w:rPr>
        <w:t>2021年1月1日至今</w:t>
      </w:r>
      <w:r>
        <w:rPr>
          <w:rFonts w:hint="eastAsia" w:ascii="仿宋" w:hAnsi="仿宋" w:eastAsia="仿宋" w:cs="仿宋"/>
          <w:color w:val="auto"/>
          <w:sz w:val="24"/>
          <w:highlight w:val="none"/>
        </w:rPr>
        <w:t xml:space="preserve">任意一个月的社保缴费凭据或社保机构开具的社会保险参保缴费情况证明；（依法不需要缴纳社会保障资金的投标人应提供相关证明）。 </w:t>
      </w:r>
      <w:r>
        <w:rPr>
          <w:rFonts w:hint="eastAsia" w:ascii="仿宋" w:hAnsi="仿宋" w:eastAsia="仿宋" w:cs="仿宋"/>
          <w:b w:val="0"/>
          <w:bCs/>
          <w:color w:val="auto"/>
          <w:szCs w:val="24"/>
          <w:highlight w:val="none"/>
        </w:rPr>
        <w:t xml:space="preserve">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eastAsia="zh-CN"/>
        </w:rPr>
      </w:pPr>
      <w:r>
        <w:rPr>
          <w:rFonts w:hint="eastAsia" w:ascii="仿宋" w:hAnsi="仿宋" w:eastAsia="仿宋" w:cs="仿宋"/>
          <w:b w:val="0"/>
          <w:bCs/>
          <w:color w:val="auto"/>
          <w:szCs w:val="24"/>
          <w:highlight w:val="none"/>
        </w:rPr>
        <w:t>5、提供具有履行本合同所必需的设备和专业技术能力的说明及承诺；（格式自拟，加盖投标人公章）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6、提供参加政府采购活动前三年内在经营活动中没有重大违法记录的书面声明。（格式自拟，加盖投标人公章）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（2）、特定资格条件：</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b w:val="0"/>
          <w:bCs/>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、投标保证金交纳凭证；（</w:t>
      </w:r>
      <w:r>
        <w:rPr>
          <w:rFonts w:hint="eastAsia" w:ascii="仿宋" w:hAnsi="仿宋" w:eastAsia="仿宋" w:cs="仿宋"/>
          <w:b w:val="0"/>
          <w:bCs/>
          <w:color w:val="auto"/>
          <w:szCs w:val="24"/>
          <w:highlight w:val="none"/>
          <w:lang w:eastAsia="zh-CN"/>
        </w:rPr>
        <w:t>保证金交纳凭证复印件加盖公章</w:t>
      </w:r>
      <w:r>
        <w:rPr>
          <w:rFonts w:hint="eastAsia" w:ascii="仿宋" w:hAnsi="仿宋" w:eastAsia="仿宋" w:cs="仿宋"/>
          <w:b w:val="0"/>
          <w:bCs/>
          <w:color w:val="auto"/>
          <w:szCs w:val="24"/>
          <w:highlight w:val="none"/>
        </w:rPr>
        <w:t xml:space="preserve">）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val="en-US" w:eastAsia="zh-CN"/>
        </w:rPr>
      </w:pPr>
      <w:r>
        <w:rPr>
          <w:rFonts w:hint="eastAsia" w:ascii="仿宋" w:hAnsi="仿宋" w:eastAsia="仿宋" w:cs="仿宋"/>
          <w:b w:val="0"/>
          <w:bCs/>
          <w:color w:val="auto"/>
          <w:szCs w:val="24"/>
          <w:highlight w:val="none"/>
          <w:lang w:val="en-US" w:eastAsia="zh-CN"/>
        </w:rPr>
        <w:t>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val="en-US" w:eastAsia="zh-CN"/>
        </w:rPr>
      </w:pPr>
      <w:r>
        <w:rPr>
          <w:rFonts w:hint="eastAsia" w:ascii="仿宋" w:hAnsi="仿宋" w:eastAsia="仿宋" w:cs="仿宋"/>
          <w:b w:val="0"/>
          <w:bCs/>
          <w:color w:val="auto"/>
          <w:szCs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6、</w:t>
      </w:r>
      <w:r>
        <w:rPr>
          <w:rFonts w:hint="eastAsia" w:ascii="仿宋" w:hAnsi="仿宋" w:eastAsia="仿宋" w:cs="仿宋"/>
          <w:b w:val="0"/>
          <w:bCs/>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7</w:t>
      </w:r>
      <w:r>
        <w:rPr>
          <w:rFonts w:hint="eastAsia" w:ascii="仿宋" w:hAnsi="仿宋" w:eastAsia="仿宋" w:cs="仿宋"/>
          <w:b w:val="0"/>
          <w:bCs/>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bCs/>
          <w:color w:val="auto"/>
          <w:szCs w:val="24"/>
          <w:highlight w:val="none"/>
        </w:rPr>
        <w:t>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（2）采购人派代表进入评标委员会时，须向采购代理机构出具授权函。</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（4）评标委员会成员不得参加开标活动。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（5）评标委员会成员应当遵守并履行下列职责义务：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a、遵纪守法，客观、公正、认真负责地履行职责，根据招标文件规定的评标程序、评标方法和评标标准审查投标文件；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b、符合性审查、评价投标文件是否符合招标文件的商务、技术等实质性要求；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c、要求投标人对投标文件有关事项作出澄清或者说明；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d、对投标文件进行比较和评价；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e、确定中标候选人名单，以及根据采购人委托直接确定中标人；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f、向采购人、采购代理机构或者有关部门报告评标中发现的违法行为；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g、对评标过程及各投标人的商业机密予以保密；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h、配合采购人、采购代理机构答复各投标人提出的质疑；</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i、配合各部门的投诉处理和监督检查工作。</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3-2、在政府采购活动中，采购人员及相关人员（包括评标委员会）与投标人有下列利害关系之一的，应当回避：</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（1）参加采购活动前3年内与投标人存在劳动关系；</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（2）参加采购活动前3年内担任投标人的董事、监事；</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（3）参加采购活动前3年内是投标人的控股股东或者实际控制人；</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（4）与投标人的法定代表人或者负责人有夫妻、直系血亲、三代以内旁系血亲或者近姻亲关系；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（5）与投标人有其他可能影响政府采购活动公平、公正进行的关系。</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3-4、有关人员对评标情况以及在评标过程中获悉的国家秘密、商业秘密负有保密责任。</w:t>
      </w:r>
    </w:p>
    <w:p>
      <w:pPr>
        <w:spacing w:line="5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5</w:t>
      </w:r>
      <w:r>
        <w:rPr>
          <w:rFonts w:hint="eastAsia" w:ascii="仿宋" w:hAnsi="仿宋" w:eastAsia="仿宋" w:cs="仿宋"/>
          <w:bCs/>
          <w:color w:val="auto"/>
          <w:szCs w:val="24"/>
          <w:highlight w:val="none"/>
        </w:rPr>
        <w:t>、评标原则：</w:t>
      </w:r>
      <w:r>
        <w:rPr>
          <w:rFonts w:hint="eastAsia" w:ascii="仿宋" w:hAnsi="仿宋" w:eastAsia="仿宋" w:cs="仿宋"/>
          <w:color w:val="auto"/>
          <w:szCs w:val="24"/>
          <w:highlight w:val="none"/>
        </w:rPr>
        <w:t>坚持公平、公正、科学、择优原则，禁止不正当竞争。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6</w:t>
      </w:r>
      <w:r>
        <w:rPr>
          <w:rFonts w:hint="eastAsia" w:ascii="仿宋" w:hAnsi="仿宋" w:eastAsia="仿宋" w:cs="仿宋"/>
          <w:bCs/>
          <w:color w:val="auto"/>
          <w:szCs w:val="24"/>
          <w:highlight w:val="none"/>
        </w:rPr>
        <w:t>、评标办法</w:t>
      </w:r>
      <w:r>
        <w:rPr>
          <w:rFonts w:hint="eastAsia" w:ascii="仿宋" w:hAnsi="仿宋" w:eastAsia="仿宋" w:cs="仿宋"/>
          <w:color w:val="auto"/>
          <w:szCs w:val="24"/>
          <w:highlight w:val="none"/>
        </w:rPr>
        <w:t>：本次招标采用综合评分法（详见本节评分标准）。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7</w:t>
      </w:r>
      <w:r>
        <w:rPr>
          <w:rFonts w:hint="eastAsia" w:ascii="仿宋" w:hAnsi="仿宋" w:eastAsia="仿宋" w:cs="仿宋"/>
          <w:b/>
          <w:color w:val="auto"/>
          <w:szCs w:val="24"/>
          <w:highlight w:val="none"/>
        </w:rPr>
        <w:t>、评标工作程序：</w:t>
      </w:r>
      <w:r>
        <w:rPr>
          <w:rFonts w:hint="eastAsia" w:ascii="仿宋" w:hAnsi="仿宋" w:eastAsia="仿宋" w:cs="仿宋"/>
          <w:color w:val="auto"/>
          <w:szCs w:val="24"/>
          <w:highlight w:val="none"/>
        </w:rPr>
        <w:t>符合性审查、澄清、评价、推荐中标候选人的工作程序进行评标。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-1、投标文件符合性审查</w:t>
      </w:r>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一致；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未</w:t>
      </w:r>
      <w:r>
        <w:rPr>
          <w:rFonts w:hint="eastAsia" w:ascii="仿宋" w:hAnsi="仿宋" w:eastAsia="仿宋" w:cs="仿宋"/>
          <w:color w:val="auto"/>
          <w:szCs w:val="24"/>
          <w:highlight w:val="none"/>
        </w:rPr>
        <w:t>按照招标文件的要求盖章签字；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符合招标文件要求的数量；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符合招标文件的要求；</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（7）未对招标文件商务要求作出明确且实质性响应。</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 xml:space="preserve"> 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-2、投标文件的澄清：</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（2）书写错误的评审标准：</w:t>
      </w:r>
    </w:p>
    <w:p>
      <w:pPr>
        <w:overflowPunct w:val="0"/>
        <w:adjustRightInd w:val="0"/>
        <w:snapToGrid w:val="0"/>
        <w:spacing w:line="56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szCs w:val="24"/>
          <w:highlight w:val="none"/>
        </w:rPr>
        <w:t>投标文件有关内容与“开标一览表”不一致的，以“开标一览表”为准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szCs w:val="24"/>
          <w:highlight w:val="none"/>
        </w:rPr>
        <w:t>大写金额与小写金额不一致的，以大写金额为准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c、单价金额小数点或者百分比有明显错位的，以“</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”的总价为准，并修改单价；</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d、总价金额与按</w:t>
      </w:r>
      <w:r>
        <w:rPr>
          <w:rFonts w:hint="eastAsia" w:ascii="仿宋" w:hAnsi="仿宋" w:eastAsia="仿宋" w:cs="仿宋"/>
          <w:color w:val="auto"/>
          <w:szCs w:val="24"/>
          <w:highlight w:val="none"/>
        </w:rPr>
        <w:t>单价汇总金额不一致的，以单价乘以数量的计算结果为准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e、</w:t>
      </w:r>
      <w:r>
        <w:rPr>
          <w:rFonts w:hint="eastAsia" w:ascii="仿宋" w:hAnsi="仿宋" w:eastAsia="仿宋" w:cs="仿宋"/>
          <w:color w:val="auto"/>
          <w:szCs w:val="24"/>
          <w:highlight w:val="none"/>
        </w:rPr>
        <w:t>投标文件图表与文字不符时，以文字为准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f、投标文件正本与副本不符时，以正本为准；</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g、对不同文字文本投标文件的解释发生异议的，以中文文本为准；</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h、</w:t>
      </w:r>
      <w:r>
        <w:rPr>
          <w:rFonts w:hint="eastAsia" w:ascii="仿宋" w:hAnsi="仿宋" w:eastAsia="仿宋" w:cs="仿宋"/>
          <w:color w:val="auto"/>
          <w:szCs w:val="24"/>
          <w:highlight w:val="none"/>
        </w:rPr>
        <w:t>多处内容交叉不符时，以评标委员会评审结果为准。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-3、评价：</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（3）其他需说明的情况：</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b、最低报价不是中标的唯一条件；</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无论投标的结果如何，投标期间一切费用自理。</w:t>
      </w:r>
    </w:p>
    <w:p>
      <w:pPr>
        <w:spacing w:line="560" w:lineRule="exact"/>
        <w:ind w:firstLine="600" w:firstLineChars="249"/>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8</w:t>
      </w:r>
      <w:r>
        <w:rPr>
          <w:rFonts w:hint="eastAsia" w:ascii="仿宋" w:hAnsi="仿宋" w:eastAsia="仿宋" w:cs="仿宋"/>
          <w:b/>
          <w:color w:val="auto"/>
          <w:szCs w:val="24"/>
          <w:highlight w:val="none"/>
        </w:rPr>
        <w:t>、评分标准：</w:t>
      </w:r>
    </w:p>
    <w:tbl>
      <w:tblPr>
        <w:tblStyle w:val="2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tc>
        <w:tc>
          <w:tcPr>
            <w:tcW w:w="8084" w:type="dxa"/>
            <w:vAlign w:val="center"/>
          </w:tcPr>
          <w:p>
            <w:pPr>
              <w:pStyle w:val="39"/>
              <w:shd w:val="clear"/>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spacing w:line="5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p>
            <w:pPr>
              <w:widowControl/>
              <w:shd w:val="clear"/>
              <w:spacing w:line="5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（因落实政府采购政策进行价格调整的，以调整后的价格计算评标基准价和投标报价，详见3-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-1至3-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节能、环保产品</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2分</w:t>
            </w:r>
          </w:p>
        </w:tc>
        <w:tc>
          <w:tcPr>
            <w:tcW w:w="8084" w:type="dxa"/>
            <w:vAlign w:val="center"/>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投标人</w:t>
            </w:r>
            <w:r>
              <w:rPr>
                <w:rFonts w:hint="eastAsia" w:ascii="仿宋" w:hAnsi="仿宋" w:eastAsia="仿宋" w:cs="仿宋"/>
                <w:color w:val="auto"/>
                <w:szCs w:val="24"/>
                <w:highlight w:val="none"/>
              </w:rPr>
              <w:t>投标设备中每有一项为节能产品的得0.5分，每有一项为环境标志产品的得0.5分，投标人投标产品中每有一项产品同时为节能产品和环境标志产品的得1分，最多得2分。（提</w:t>
            </w:r>
            <w:r>
              <w:rPr>
                <w:rFonts w:hint="eastAsia" w:ascii="仿宋" w:hAnsi="仿宋" w:eastAsia="仿宋" w:cs="仿宋"/>
                <w:color w:val="auto"/>
                <w:szCs w:val="24"/>
                <w:highlight w:val="none"/>
                <w:lang w:eastAsia="zh-CN"/>
              </w:rPr>
              <w:t>供</w:t>
            </w:r>
            <w:r>
              <w:rPr>
                <w:rFonts w:hint="eastAsia" w:ascii="仿宋" w:hAnsi="仿宋" w:eastAsia="仿宋" w:cs="仿宋"/>
                <w:color w:val="auto"/>
                <w:szCs w:val="24"/>
                <w:highlight w:val="none"/>
              </w:rPr>
              <w:t>证明资料，详见3-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40</w:t>
            </w:r>
            <w:r>
              <w:rPr>
                <w:rFonts w:hint="eastAsia" w:ascii="仿宋" w:hAnsi="仿宋" w:eastAsia="仿宋" w:cs="仿宋"/>
                <w:color w:val="auto"/>
                <w:kern w:val="0"/>
                <w:szCs w:val="24"/>
                <w:highlight w:val="none"/>
              </w:rPr>
              <w:t>分</w:t>
            </w:r>
          </w:p>
        </w:tc>
        <w:tc>
          <w:tcPr>
            <w:tcW w:w="8084" w:type="dxa"/>
          </w:tcPr>
          <w:p>
            <w:pPr>
              <w:widowControl/>
              <w:numPr>
                <w:ilvl w:val="0"/>
                <w:numId w:val="4"/>
              </w:numPr>
              <w:shd w:val="clear"/>
              <w:spacing w:line="56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投标人所投产品的技术参数和性能要求完全满足招标文件要求的得</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分；</w:t>
            </w:r>
            <w:r>
              <w:rPr>
                <w:rFonts w:hint="eastAsia" w:ascii="仿宋" w:hAnsi="仿宋" w:eastAsia="仿宋" w:cs="仿宋"/>
                <w:color w:val="auto"/>
                <w:szCs w:val="24"/>
                <w:highlight w:val="none"/>
                <w:lang w:eastAsia="zh-CN"/>
              </w:rPr>
              <w:t>参数每负偏离一项扣</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分，扣完为止；</w:t>
            </w:r>
          </w:p>
          <w:p>
            <w:pPr>
              <w:widowControl/>
              <w:numPr>
                <w:ilvl w:val="0"/>
                <w:numId w:val="0"/>
              </w:numPr>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2、产品有详细的使用说明介绍，技术指标满足</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Cs w:val="24"/>
                <w:highlight w:val="none"/>
                <w:lang w:val="en-US" w:eastAsia="zh-CN"/>
              </w:rPr>
              <w:t>每提供一项证明材料得1分，最多得5分</w:t>
            </w:r>
            <w:r>
              <w:rPr>
                <w:rFonts w:hint="eastAsia" w:ascii="仿宋" w:hAnsi="仿宋" w:eastAsia="仿宋" w:cs="仿宋"/>
                <w:color w:val="auto"/>
                <w:szCs w:val="24"/>
                <w:highlight w:val="none"/>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p>
            <w:pPr>
              <w:widowControl/>
              <w:shd w:val="clear"/>
              <w:spacing w:line="56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（1）、备货、供货进度及保证措施</w:t>
            </w:r>
            <w:r>
              <w:rPr>
                <w:rFonts w:hint="eastAsia" w:ascii="仿宋" w:hAnsi="仿宋" w:eastAsia="仿宋" w:cs="仿宋"/>
                <w:color w:val="auto"/>
                <w:szCs w:val="24"/>
                <w:highlight w:val="none"/>
                <w:lang w:val="en-US" w:eastAsia="zh-CN"/>
              </w:rPr>
              <w:t>详细完整</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（2）、拟投入本项目的</w:t>
            </w:r>
            <w:r>
              <w:rPr>
                <w:rFonts w:hint="eastAsia" w:ascii="仿宋" w:hAnsi="仿宋" w:eastAsia="仿宋" w:cs="仿宋"/>
                <w:color w:val="auto"/>
                <w:szCs w:val="24"/>
                <w:highlight w:val="none"/>
                <w:lang w:eastAsia="zh-CN"/>
              </w:rPr>
              <w:t>技术、管理</w:t>
            </w:r>
            <w:r>
              <w:rPr>
                <w:rFonts w:hint="eastAsia" w:ascii="仿宋" w:hAnsi="仿宋" w:eastAsia="仿宋" w:cs="仿宋"/>
                <w:color w:val="auto"/>
                <w:szCs w:val="24"/>
                <w:highlight w:val="none"/>
              </w:rPr>
              <w:t>人员安排及责任制度</w:t>
            </w:r>
            <w:r>
              <w:rPr>
                <w:rFonts w:hint="eastAsia" w:ascii="仿宋" w:hAnsi="仿宋" w:eastAsia="仿宋" w:cs="仿宋"/>
                <w:color w:val="auto"/>
                <w:szCs w:val="24"/>
                <w:highlight w:val="none"/>
                <w:lang w:eastAsia="zh-CN"/>
              </w:rPr>
              <w:t>合理全面，</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（3）、安装、检测、调试措施</w:t>
            </w:r>
            <w:r>
              <w:rPr>
                <w:rFonts w:hint="eastAsia" w:ascii="仿宋" w:hAnsi="仿宋" w:eastAsia="仿宋" w:cs="仿宋"/>
                <w:color w:val="auto"/>
                <w:szCs w:val="24"/>
                <w:highlight w:val="none"/>
                <w:lang w:val="en-US" w:eastAsia="zh-CN"/>
              </w:rPr>
              <w:t>完整详细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质量</w:t>
            </w:r>
          </w:p>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w:t>
            </w:r>
          </w:p>
        </w:tc>
        <w:tc>
          <w:tcPr>
            <w:tcW w:w="766" w:type="dxa"/>
            <w:vAlign w:val="center"/>
          </w:tcPr>
          <w:p>
            <w:pPr>
              <w:shd w:val="clear"/>
              <w:spacing w:line="560" w:lineRule="exact"/>
              <w:ind w:right="-95"/>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分</w:t>
            </w:r>
          </w:p>
        </w:tc>
        <w:tc>
          <w:tcPr>
            <w:tcW w:w="8084" w:type="dxa"/>
            <w:vAlign w:val="center"/>
          </w:tcPr>
          <w:p>
            <w:pPr>
              <w:pStyle w:val="39"/>
              <w:shd w:val="clear"/>
              <w:spacing w:line="560" w:lineRule="exact"/>
              <w:ind w:firstLine="24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sz w:val="24"/>
                <w:szCs w:val="24"/>
                <w:highlight w:val="none"/>
              </w:rPr>
              <w:t>所投产品制造厂家有可靠、完善的管理制度；有足够的设计、工艺、加工、检验能力；所投产品符合国际、国内相关标准，有具体可行的质量保证承诺，保证使用单位能熟练操作维护和正常使用，需提供相应的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一般[1-2]分，未提供不得分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pageBreakBefore w:val="0"/>
              <w:shd w:val="clear"/>
              <w:bidi w:val="0"/>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产品</w:t>
            </w:r>
          </w:p>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渠道</w:t>
            </w:r>
          </w:p>
        </w:tc>
        <w:tc>
          <w:tcPr>
            <w:tcW w:w="766" w:type="dxa"/>
            <w:vAlign w:val="center"/>
          </w:tcPr>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tc>
        <w:tc>
          <w:tcPr>
            <w:tcW w:w="8084" w:type="dxa"/>
            <w:vAlign w:val="center"/>
          </w:tcPr>
          <w:p>
            <w:pPr>
              <w:shd w:val="clea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能提供所投产品的合法来源渠道证明文件（包括但不限于产品制造商授权、销售协议、代理协议等），根据</w:t>
            </w:r>
            <w:r>
              <w:rPr>
                <w:rFonts w:hint="eastAsia" w:ascii="仿宋" w:hAnsi="仿宋" w:eastAsia="仿宋" w:cs="仿宋"/>
                <w:color w:val="auto"/>
                <w:szCs w:val="24"/>
                <w:highlight w:val="none"/>
                <w:lang w:eastAsia="zh-CN"/>
              </w:rPr>
              <w:t>多寡</w:t>
            </w:r>
            <w:r>
              <w:rPr>
                <w:rFonts w:hint="eastAsia" w:ascii="仿宋" w:hAnsi="仿宋" w:eastAsia="仿宋" w:cs="仿宋"/>
                <w:color w:val="auto"/>
                <w:szCs w:val="24"/>
                <w:highlight w:val="none"/>
              </w:rPr>
              <w:t>程度计0-</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分</w:t>
            </w:r>
          </w:p>
        </w:tc>
        <w:tc>
          <w:tcPr>
            <w:tcW w:w="8084" w:type="dxa"/>
            <w:shd w:val="clear" w:color="auto" w:fill="FFFFFF"/>
            <w:vAlign w:val="center"/>
          </w:tcPr>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以合同复印件形式提供投标人201</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，每份计1分，计满</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分为止。</w:t>
            </w:r>
          </w:p>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val="en-US" w:eastAsia="zh-CN"/>
              </w:rPr>
              <w:t>及培训计划</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12</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1、售后服务方案详细、具体、可行</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]分；售后服务方案</w:t>
            </w:r>
            <w:r>
              <w:rPr>
                <w:rFonts w:hint="eastAsia" w:ascii="仿宋" w:hAnsi="仿宋" w:eastAsia="仿宋" w:cs="仿宋"/>
                <w:color w:val="auto"/>
                <w:szCs w:val="24"/>
                <w:highlight w:val="none"/>
                <w:lang w:val="en-US" w:eastAsia="zh-CN"/>
              </w:rPr>
              <w:t>基本</w:t>
            </w:r>
            <w:r>
              <w:rPr>
                <w:rFonts w:hint="eastAsia" w:ascii="仿宋" w:hAnsi="仿宋" w:eastAsia="仿宋" w:cs="仿宋"/>
                <w:color w:val="auto"/>
                <w:szCs w:val="24"/>
                <w:highlight w:val="none"/>
                <w:lang w:eastAsia="zh-CN"/>
              </w:rPr>
              <w:t>详细、具体、可行，</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未提供不得分</w:t>
            </w:r>
            <w:r>
              <w:rPr>
                <w:rFonts w:hint="eastAsia" w:ascii="仿宋" w:hAnsi="仿宋" w:eastAsia="仿宋" w:cs="仿宋"/>
                <w:color w:val="auto"/>
                <w:szCs w:val="24"/>
                <w:highlight w:val="none"/>
                <w:lang w:eastAsia="zh-CN"/>
              </w:rPr>
              <w:t>。</w:t>
            </w:r>
          </w:p>
          <w:p>
            <w:pPr>
              <w:shd w:val="clear"/>
              <w:spacing w:line="560" w:lineRule="exact"/>
              <w:rPr>
                <w:rFonts w:hint="default" w:ascii="仿宋" w:hAnsi="仿宋" w:eastAsia="仿宋" w:cs="仿宋"/>
                <w:color w:val="auto"/>
                <w:szCs w:val="24"/>
                <w:highlight w:val="none"/>
                <w:lang w:val="en-US"/>
              </w:rPr>
            </w:pPr>
            <w:r>
              <w:rPr>
                <w:rFonts w:hint="eastAsia" w:ascii="仿宋" w:hAnsi="仿宋" w:eastAsia="仿宋" w:cs="仿宋"/>
                <w:color w:val="auto"/>
                <w:szCs w:val="24"/>
                <w:highlight w:val="none"/>
              </w:rPr>
              <w:t>2、售后服务承诺及保证措施详细、具体，备品备件及耗材情况明确</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]分；售后服务承诺及保证措施</w:t>
            </w:r>
            <w:r>
              <w:rPr>
                <w:rFonts w:hint="eastAsia" w:ascii="仿宋" w:hAnsi="仿宋" w:eastAsia="仿宋" w:cs="仿宋"/>
                <w:color w:val="auto"/>
                <w:szCs w:val="24"/>
                <w:highlight w:val="none"/>
                <w:lang w:val="en-US" w:eastAsia="zh-CN"/>
              </w:rPr>
              <w:t>基本</w:t>
            </w:r>
            <w:r>
              <w:rPr>
                <w:rFonts w:hint="eastAsia" w:ascii="仿宋" w:hAnsi="仿宋" w:eastAsia="仿宋" w:cs="仿宋"/>
                <w:color w:val="auto"/>
                <w:szCs w:val="24"/>
                <w:highlight w:val="none"/>
                <w:lang w:eastAsia="zh-CN"/>
              </w:rPr>
              <w:t>详细、具体，备品备件及耗材情况</w:t>
            </w:r>
            <w:r>
              <w:rPr>
                <w:rFonts w:hint="eastAsia" w:ascii="仿宋" w:hAnsi="仿宋" w:eastAsia="仿宋" w:cs="仿宋"/>
                <w:color w:val="auto"/>
                <w:szCs w:val="24"/>
                <w:highlight w:val="none"/>
                <w:lang w:val="en-US" w:eastAsia="zh-CN"/>
              </w:rPr>
              <w:t>基本</w:t>
            </w:r>
            <w:r>
              <w:rPr>
                <w:rFonts w:hint="eastAsia" w:ascii="仿宋" w:hAnsi="仿宋" w:eastAsia="仿宋" w:cs="仿宋"/>
                <w:color w:val="auto"/>
                <w:szCs w:val="24"/>
                <w:highlight w:val="none"/>
                <w:lang w:eastAsia="zh-CN"/>
              </w:rPr>
              <w:t>明确，</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未提供不得分。</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3、培训方案及培训计划</w:t>
            </w:r>
            <w:r>
              <w:rPr>
                <w:rFonts w:hint="eastAsia" w:ascii="仿宋" w:hAnsi="仿宋" w:eastAsia="仿宋" w:cs="仿宋"/>
                <w:color w:val="auto"/>
                <w:szCs w:val="24"/>
                <w:highlight w:val="none"/>
                <w:lang w:val="en-US" w:eastAsia="zh-CN"/>
              </w:rPr>
              <w:t>详细完整</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根据响应程度计（2-4]分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培训方案及培训计划基本完整，根据响应程度计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rPr>
              <w:t>。</w:t>
            </w:r>
          </w:p>
        </w:tc>
      </w:tr>
    </w:tbl>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注：1）评委打分超过得分界限或未按本方法赋分时，该评委的打分按废票处理。</w:t>
      </w:r>
    </w:p>
    <w:p>
      <w:pPr>
        <w:numPr>
          <w:ilvl w:val="0"/>
          <w:numId w:val="5"/>
        </w:num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各种计算数字均保留两位小数，第三位“四舍五入”。 </w:t>
      </w:r>
    </w:p>
    <w:p>
      <w:pPr>
        <w:spacing w:line="56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3）特殊情况处理</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a、当投标人某评分项出现未报、漏报或零报价时，该分项得零分，并不参与投标报价分的计算。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b、相同品牌产品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非单一产品采购项目，多家投标人提供的核心产品品牌相同的，按照前款规定处理。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d、评标过程中，若出现本评标方法以外的特殊情况时，将暂停评标，待评委商榷后再进行复会。</w:t>
      </w:r>
    </w:p>
    <w:p>
      <w:pPr>
        <w:spacing w:line="560" w:lineRule="exact"/>
        <w:ind w:firstLine="600" w:firstLineChars="249"/>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lang w:val="en-US" w:eastAsia="zh-CN"/>
        </w:rPr>
        <w:t>9</w:t>
      </w:r>
      <w:r>
        <w:rPr>
          <w:rFonts w:hint="eastAsia" w:ascii="仿宋" w:hAnsi="仿宋" w:eastAsia="仿宋" w:cs="仿宋"/>
          <w:b/>
          <w:bCs/>
          <w:color w:val="auto"/>
          <w:szCs w:val="24"/>
          <w:highlight w:val="none"/>
        </w:rPr>
        <w:t>、政府采购政策评分标准</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-1、小微企业的价格评分标准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根据《政府采购促进中小企业发展管理办法》（财库【2020】46号）的办法，对于非专门面向中小企业的项目，</w:t>
      </w:r>
      <w:r>
        <w:rPr>
          <w:rFonts w:hint="eastAsia" w:ascii="仿宋" w:hAnsi="仿宋" w:eastAsia="仿宋" w:cs="仿宋"/>
          <w:color w:val="auto"/>
          <w:szCs w:val="24"/>
          <w:highlight w:val="none"/>
        </w:rPr>
        <w:t>对小型、微型企业产品的价格给予6%的扣除，用扣除后的价格参与评审，其评标价=投标报价*（1-6%</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（2）联合体共同参加非专门面向中小企业的政府采购活动，联合协议中约定，小型和微型企业的协议合同金额占到联合体协议合同金额的30%以上的，可给予联合体2%的价格扣除，用扣除后的价格参与评审，其评</w:t>
      </w:r>
      <w:r>
        <w:rPr>
          <w:rFonts w:hint="eastAsia" w:ascii="仿宋" w:hAnsi="仿宋" w:eastAsia="仿宋" w:cs="仿宋"/>
          <w:color w:val="auto"/>
          <w:szCs w:val="24"/>
          <w:highlight w:val="none"/>
          <w:lang w:eastAsia="zh-CN"/>
        </w:rPr>
        <w:t>标</w:t>
      </w:r>
      <w:r>
        <w:rPr>
          <w:rFonts w:hint="eastAsia" w:ascii="仿宋" w:hAnsi="仿宋" w:eastAsia="仿宋" w:cs="仿宋"/>
          <w:color w:val="auto"/>
          <w:szCs w:val="24"/>
          <w:highlight w:val="none"/>
        </w:rPr>
        <w:t>价=</w:t>
      </w:r>
      <w:r>
        <w:rPr>
          <w:rFonts w:hint="eastAsia" w:ascii="仿宋" w:hAnsi="仿宋" w:eastAsia="仿宋" w:cs="仿宋"/>
          <w:color w:val="auto"/>
          <w:szCs w:val="24"/>
          <w:highlight w:val="none"/>
          <w:lang w:eastAsia="zh-CN"/>
        </w:rPr>
        <w:t>投标</w:t>
      </w:r>
      <w:r>
        <w:rPr>
          <w:rFonts w:hint="eastAsia" w:ascii="仿宋" w:hAnsi="仿宋" w:eastAsia="仿宋" w:cs="仿宋"/>
          <w:color w:val="auto"/>
          <w:szCs w:val="24"/>
          <w:highlight w:val="none"/>
        </w:rPr>
        <w:t>报价*（1-2%）。</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）参加本项目的小微企业须提供《</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）小微企业按</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-2、监狱企业的价格评分标准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-3、残疾人福利性单位的价格评分标准</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（4）若节能、环境标志品目清单内的产品仅是构成投标产品的部件、组件或零件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（5）节能、环境标志产品部分计分只对属于品目清单内的非强制类产品进行计分，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强制类产品不给予计分。 </w:t>
      </w:r>
    </w:p>
    <w:p>
      <w:pPr>
        <w:pageBreakBefore w:val="0"/>
        <w:kinsoku/>
        <w:topLinePunct w:val="0"/>
        <w:autoSpaceDE/>
        <w:autoSpaceDN/>
        <w:bidi w:val="0"/>
        <w:spacing w:line="5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3-10、</w:t>
      </w:r>
      <w:bookmarkStart w:id="34" w:name="_Toc22138"/>
      <w:bookmarkStart w:id="35" w:name="_Toc14886425"/>
      <w:r>
        <w:rPr>
          <w:rFonts w:hint="eastAsia" w:ascii="仿宋" w:hAnsi="仿宋" w:eastAsia="仿宋" w:cs="仿宋"/>
          <w:b/>
          <w:color w:val="auto"/>
          <w:sz w:val="24"/>
          <w:highlight w:val="none"/>
          <w:lang w:val="en-US" w:eastAsia="zh-CN"/>
        </w:rPr>
        <w:t>信用担保</w:t>
      </w:r>
      <w:bookmarkEnd w:id="34"/>
      <w:bookmarkEnd w:id="35"/>
      <w:r>
        <w:rPr>
          <w:rFonts w:hint="eastAsia" w:ascii="仿宋" w:hAnsi="仿宋" w:eastAsia="仿宋" w:cs="仿宋"/>
          <w:b/>
          <w:color w:val="auto"/>
          <w:sz w:val="24"/>
          <w:highlight w:val="none"/>
          <w:lang w:val="en-US" w:eastAsia="zh-CN"/>
        </w:rPr>
        <w:t>及融资</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w:t>
      </w:r>
      <w:r>
        <w:rPr>
          <w:rFonts w:hint="eastAsia" w:ascii="仿宋" w:hAnsi="仿宋" w:eastAsia="仿宋" w:cs="仿宋"/>
          <w:b/>
          <w:bCs/>
          <w:color w:val="auto"/>
          <w:szCs w:val="24"/>
          <w:highlight w:val="none"/>
        </w:rPr>
        <w:t>定标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4-1、定标程序</w:t>
      </w:r>
    </w:p>
    <w:p>
      <w:pPr>
        <w:numPr>
          <w:ilvl w:val="0"/>
          <w:numId w:val="6"/>
        </w:num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仿宋" w:hAnsi="仿宋" w:eastAsia="仿宋" w:cs="仿宋"/>
          <w:color w:val="auto"/>
          <w:szCs w:val="24"/>
          <w:highlight w:val="none"/>
        </w:rPr>
        <w:t>评标</w:t>
      </w:r>
      <w:bookmarkEnd w:id="36"/>
      <w:r>
        <w:rPr>
          <w:rFonts w:hint="eastAsia" w:ascii="仿宋" w:hAnsi="仿宋" w:eastAsia="仿宋" w:cs="仿宋"/>
          <w:color w:val="auto"/>
          <w:szCs w:val="24"/>
          <w:highlight w:val="none"/>
        </w:rPr>
        <w:t>报告。</w:t>
      </w:r>
    </w:p>
    <w:p>
      <w:pPr>
        <w:numPr>
          <w:ilvl w:val="0"/>
          <w:numId w:val="6"/>
        </w:numPr>
        <w:spacing w:line="560" w:lineRule="exact"/>
        <w:ind w:firstLine="480" w:firstLineChars="200"/>
        <w:rPr>
          <w:rFonts w:hint="eastAsia" w:ascii="仿宋" w:hAnsi="仿宋" w:eastAsia="仿宋" w:cs="仿宋"/>
          <w:color w:val="auto"/>
          <w:szCs w:val="24"/>
          <w:highlight w:val="none"/>
        </w:rPr>
      </w:pPr>
      <w:bookmarkStart w:id="37" w:name="OLE_LINK18"/>
      <w:r>
        <w:rPr>
          <w:rFonts w:hint="eastAsia" w:ascii="仿宋" w:hAnsi="仿宋" w:eastAsia="仿宋" w:cs="仿宋"/>
          <w:color w:val="auto"/>
          <w:szCs w:val="24"/>
          <w:highlight w:val="none"/>
        </w:rPr>
        <w:t>评标委员会成员应当在评标报告上签字，对自己的评审意见承担法律责任。</w:t>
      </w: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6"/>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6"/>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hint="eastAsia" w:ascii="仿宋" w:hAnsi="仿宋" w:eastAsia="仿宋" w:cs="仿宋"/>
          <w:color w:val="auto"/>
          <w:szCs w:val="24"/>
          <w:highlight w:val="none"/>
        </w:rPr>
      </w:pPr>
      <w:bookmarkStart w:id="38" w:name="_Toc458617461"/>
      <w:bookmarkStart w:id="39" w:name="_Toc458617738"/>
      <w:r>
        <w:rPr>
          <w:rFonts w:hint="eastAsia" w:ascii="仿宋" w:hAnsi="仿宋" w:eastAsia="仿宋" w:cs="仿宋"/>
          <w:b/>
          <w:color w:val="auto"/>
          <w:szCs w:val="24"/>
          <w:highlight w:val="none"/>
        </w:rPr>
        <w:t>5、投标无效的情形：</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5-1、未按照招标文件的规定提交投标保证金的；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5-2、投标文件未按招标文件要求签署、盖章的；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5-3、不具备招标文件中规定的资格要求的；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5-4、报价超过招标文件中规定的预算金额的；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5-5、投标文件含有采购人不能接受的附加条件的；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5-6、</w:t>
      </w:r>
      <w:r>
        <w:rPr>
          <w:rFonts w:hint="eastAsia" w:ascii="仿宋" w:hAnsi="仿宋" w:eastAsia="仿宋" w:cs="仿宋"/>
          <w:color w:val="auto"/>
          <w:kern w:val="0"/>
          <w:szCs w:val="24"/>
          <w:highlight w:val="none"/>
        </w:rPr>
        <w:t>提供虚假材料谋取中标的；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5-7、采取不正当手段诋毁、排挤其他投标人的；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5-8、</w:t>
      </w:r>
      <w:r>
        <w:rPr>
          <w:rFonts w:hint="eastAsia" w:ascii="仿宋" w:hAnsi="仿宋" w:eastAsia="仿宋" w:cs="仿宋"/>
          <w:color w:val="auto"/>
          <w:szCs w:val="24"/>
          <w:highlight w:val="none"/>
        </w:rPr>
        <w:t>法律、法规和招标文件规定的其他无效情形。</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6、中标通知</w:t>
      </w:r>
      <w:bookmarkEnd w:id="38"/>
      <w:bookmarkEnd w:id="39"/>
      <w:r>
        <w:rPr>
          <w:rFonts w:hint="eastAsia" w:ascii="仿宋" w:hAnsi="仿宋" w:eastAsia="仿宋" w:cs="仿宋"/>
          <w:b/>
          <w:color w:val="auto"/>
          <w:szCs w:val="24"/>
          <w:highlight w:val="none"/>
        </w:rPr>
        <w:t>书及未中标通知书</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0" w:name="_Toc458617790"/>
      <w:bookmarkStart w:id="41" w:name="_Toc458617462"/>
      <w:bookmarkStart w:id="42" w:name="_Toc458617739"/>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kern w:val="0"/>
          <w:szCs w:val="24"/>
          <w:highlight w:val="none"/>
        </w:rPr>
        <w:t>中标通知书发出后，采购人不得违法改变中标结果，中标人无正当理由不得弃中标。</w:t>
      </w:r>
    </w:p>
    <w:p>
      <w:pPr>
        <w:pStyle w:val="4"/>
        <w:spacing w:line="560" w:lineRule="exact"/>
        <w:rPr>
          <w:rFonts w:hint="eastAsia" w:ascii="仿宋" w:hAnsi="仿宋" w:eastAsia="仿宋" w:cs="仿宋"/>
          <w:color w:val="auto"/>
          <w:kern w:val="0"/>
          <w:sz w:val="28"/>
          <w:szCs w:val="28"/>
          <w:highlight w:val="none"/>
        </w:rPr>
      </w:pPr>
      <w:bookmarkStart w:id="43" w:name="_Toc16697"/>
      <w:r>
        <w:rPr>
          <w:rFonts w:hint="eastAsia" w:ascii="仿宋" w:hAnsi="仿宋" w:eastAsia="仿宋" w:cs="仿宋"/>
          <w:color w:val="auto"/>
          <w:kern w:val="0"/>
          <w:sz w:val="28"/>
          <w:szCs w:val="28"/>
          <w:highlight w:val="none"/>
        </w:rPr>
        <w:t>八、合同</w:t>
      </w:r>
      <w:bookmarkEnd w:id="40"/>
      <w:bookmarkEnd w:id="41"/>
      <w:bookmarkEnd w:id="42"/>
      <w:bookmarkEnd w:id="43"/>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1、中标人在收到中标通知书后三十（30）个日历日内，应按招标文件的要求与采购人签订合同。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color w:val="auto"/>
          <w:highlight w:val="none"/>
        </w:rPr>
        <w:t>同时，采购人可以按照评审报告推荐的中标候选人名单排序，确定下一候选人为中标人，</w:t>
      </w:r>
      <w:r>
        <w:rPr>
          <w:rFonts w:hint="eastAsia" w:ascii="仿宋" w:hAnsi="仿宋" w:eastAsia="仿宋" w:cs="仿宋"/>
          <w:color w:val="auto"/>
          <w:szCs w:val="24"/>
          <w:highlight w:val="none"/>
        </w:rPr>
        <w:t>以此类推，</w:t>
      </w:r>
      <w:r>
        <w:rPr>
          <w:rFonts w:hint="eastAsia" w:ascii="仿宋" w:hAnsi="仿宋" w:eastAsia="仿宋" w:cs="仿宋"/>
          <w:color w:val="auto"/>
          <w:highlight w:val="none"/>
        </w:rPr>
        <w:t>也可以重新开展政府采购活动。</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规定的政策获取政府采购合同后，小型、微型企业不得分包或转包给大型、中型企业，中型企业不得分包或转包给大型企业。</w:t>
      </w:r>
    </w:p>
    <w:p>
      <w:pPr>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5、所签订的合同不得对招标文件确定的事项和中标人投标文件作实质性修改。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740"/>
      <w:bookmarkStart w:id="45" w:name="_Toc458617463"/>
    </w:p>
    <w:p>
      <w:pPr>
        <w:pStyle w:val="4"/>
        <w:spacing w:line="560" w:lineRule="exact"/>
        <w:rPr>
          <w:rFonts w:hint="eastAsia" w:ascii="仿宋" w:hAnsi="仿宋" w:eastAsia="仿宋" w:cs="仿宋"/>
          <w:color w:val="auto"/>
          <w:kern w:val="0"/>
          <w:sz w:val="28"/>
          <w:szCs w:val="28"/>
          <w:highlight w:val="none"/>
        </w:rPr>
      </w:pPr>
      <w:bookmarkStart w:id="46" w:name="_Toc10597"/>
      <w:r>
        <w:rPr>
          <w:rFonts w:hint="eastAsia" w:ascii="仿宋" w:hAnsi="仿宋" w:eastAsia="仿宋" w:cs="仿宋"/>
          <w:color w:val="auto"/>
          <w:kern w:val="0"/>
          <w:sz w:val="28"/>
          <w:szCs w:val="28"/>
          <w:highlight w:val="none"/>
        </w:rPr>
        <w:t>九、合同的履约验收</w:t>
      </w:r>
      <w:bookmarkEnd w:id="46"/>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hint="eastAsia" w:ascii="仿宋" w:hAnsi="仿宋" w:eastAsia="仿宋" w:cs="仿宋"/>
          <w:color w:val="auto"/>
          <w:kern w:val="0"/>
          <w:sz w:val="28"/>
          <w:szCs w:val="28"/>
          <w:highlight w:val="none"/>
        </w:rPr>
      </w:pPr>
      <w:bookmarkStart w:id="47" w:name="_Toc2283"/>
      <w:r>
        <w:rPr>
          <w:rFonts w:hint="eastAsia" w:ascii="仿宋" w:hAnsi="仿宋" w:eastAsia="仿宋" w:cs="仿宋"/>
          <w:color w:val="auto"/>
          <w:kern w:val="0"/>
          <w:sz w:val="28"/>
          <w:szCs w:val="28"/>
          <w:highlight w:val="none"/>
        </w:rPr>
        <w:t>十、招标服务费</w:t>
      </w:r>
      <w:bookmarkEnd w:id="44"/>
      <w:bookmarkEnd w:id="45"/>
      <w:bookmarkEnd w:id="47"/>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color w:val="auto"/>
          <w:szCs w:val="24"/>
          <w:highlight w:val="none"/>
        </w:rPr>
        <w:t>中标人在领取中标通知书时，</w:t>
      </w:r>
      <w:bookmarkStart w:id="48" w:name="_Toc194663910"/>
      <w:bookmarkStart w:id="49" w:name="_Toc188808820"/>
      <w:bookmarkStart w:id="50" w:name="_Toc193126874"/>
      <w:bookmarkStart w:id="51" w:name="_Toc193187089"/>
      <w:r>
        <w:rPr>
          <w:rFonts w:hint="eastAsia" w:ascii="仿宋" w:hAnsi="仿宋" w:eastAsia="仿宋" w:cs="仿宋"/>
          <w:color w:val="auto"/>
          <w:szCs w:val="24"/>
          <w:highlight w:val="none"/>
        </w:rPr>
        <w:t>依据《国家计委关于印发&lt;招标代理服务收费管理暂行办法&gt;的通知》(计价格〔2002〕1980号)</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《国家发展改革委关于降低部分建设项目收费标准规范收费行为等有关问题的通知》(发改价格〔2011〕534号)</w:t>
      </w:r>
      <w:r>
        <w:rPr>
          <w:rFonts w:hint="eastAsia" w:ascii="仿宋" w:hAnsi="仿宋" w:eastAsia="仿宋" w:cs="仿宋"/>
          <w:color w:val="auto"/>
          <w:szCs w:val="24"/>
          <w:highlight w:val="none"/>
          <w:lang w:eastAsia="zh-CN"/>
        </w:rPr>
        <w:t>以及财政部关于印发&lt;政府采购代理机构管理暂行办法&gt;的通知》（财库〔2018〕</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号）</w:t>
      </w:r>
      <w:r>
        <w:rPr>
          <w:rFonts w:hint="eastAsia" w:ascii="仿宋" w:hAnsi="仿宋" w:eastAsia="仿宋" w:cs="仿宋"/>
          <w:color w:val="auto"/>
          <w:szCs w:val="24"/>
          <w:highlight w:val="none"/>
        </w:rPr>
        <w:t>，向</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交纳招标服务费。</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2、招标服务费应采用转账、现金形式交纳。</w:t>
      </w:r>
      <w:r>
        <w:rPr>
          <w:rFonts w:hint="eastAsia" w:ascii="仿宋" w:hAnsi="仿宋" w:eastAsia="仿宋" w:cs="仿宋"/>
          <w:color w:val="auto"/>
          <w:szCs w:val="24"/>
          <w:highlight w:val="none"/>
          <w:lang w:val="en-US" w:eastAsia="zh-CN"/>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bookmarkStart w:id="52" w:name="_Toc458617464"/>
      <w:bookmarkStart w:id="53" w:name="_Toc458617741"/>
    </w:p>
    <w:p>
      <w:pPr>
        <w:pStyle w:val="4"/>
        <w:spacing w:line="560" w:lineRule="exact"/>
        <w:rPr>
          <w:rFonts w:hint="eastAsia" w:ascii="仿宋" w:hAnsi="仿宋" w:eastAsia="仿宋" w:cs="仿宋"/>
          <w:color w:val="auto"/>
          <w:kern w:val="0"/>
          <w:sz w:val="28"/>
          <w:szCs w:val="28"/>
          <w:highlight w:val="none"/>
        </w:rPr>
      </w:pPr>
      <w:bookmarkStart w:id="54" w:name="_Toc22375"/>
      <w:r>
        <w:rPr>
          <w:rFonts w:hint="eastAsia" w:ascii="仿宋" w:hAnsi="仿宋" w:eastAsia="仿宋" w:cs="仿宋"/>
          <w:color w:val="auto"/>
          <w:kern w:val="0"/>
          <w:sz w:val="28"/>
          <w:szCs w:val="28"/>
          <w:highlight w:val="none"/>
        </w:rPr>
        <w:t>十一、</w:t>
      </w:r>
      <w:bookmarkEnd w:id="48"/>
      <w:bookmarkEnd w:id="49"/>
      <w:bookmarkEnd w:id="50"/>
      <w:bookmarkEnd w:id="51"/>
      <w:bookmarkEnd w:id="52"/>
      <w:bookmarkEnd w:id="53"/>
      <w:r>
        <w:rPr>
          <w:rFonts w:hint="eastAsia" w:ascii="仿宋" w:hAnsi="仿宋" w:eastAsia="仿宋" w:cs="仿宋"/>
          <w:color w:val="auto"/>
          <w:kern w:val="0"/>
          <w:sz w:val="28"/>
          <w:szCs w:val="28"/>
          <w:highlight w:val="none"/>
        </w:rPr>
        <w:t>重新组织采购活动</w:t>
      </w:r>
      <w:bookmarkEnd w:id="54"/>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（1）因重大变故，采购任务取消的；</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（2）招标文件存在不合理条款或者招标程序不符合规定的；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96"/>
          <w:szCs w:val="24"/>
          <w:highlight w:val="none"/>
        </w:rPr>
        <w:t>（3）</w:t>
      </w:r>
      <w:r>
        <w:rPr>
          <w:rFonts w:hint="eastAsia" w:ascii="仿宋" w:hAnsi="仿宋" w:eastAsia="仿宋" w:cs="仿宋"/>
          <w:color w:val="auto"/>
          <w:szCs w:val="24"/>
          <w:highlight w:val="none"/>
        </w:rPr>
        <w:t>出现影响采购公正的违法、违规行为的；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（4）投标截止后投标人不足3家或者通过资格审查或符合性审查的投标人不足3家的；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（5）所有投标人的报价均超出采购预算或最高限价，采购人不能支付的。</w:t>
      </w:r>
    </w:p>
    <w:p>
      <w:pPr>
        <w:pStyle w:val="4"/>
        <w:tabs>
          <w:tab w:val="left" w:pos="6899"/>
        </w:tabs>
        <w:spacing w:line="560" w:lineRule="exact"/>
        <w:rPr>
          <w:rFonts w:hint="eastAsia" w:ascii="仿宋" w:hAnsi="仿宋" w:eastAsia="仿宋" w:cs="仿宋"/>
          <w:color w:val="auto"/>
          <w:kern w:val="0"/>
          <w:sz w:val="28"/>
          <w:szCs w:val="28"/>
          <w:highlight w:val="none"/>
        </w:rPr>
      </w:pPr>
      <w:bookmarkStart w:id="55" w:name="_Toc458617465"/>
      <w:bookmarkStart w:id="56" w:name="_Toc458617742"/>
      <w:bookmarkStart w:id="57" w:name="_Toc17723"/>
      <w:r>
        <w:rPr>
          <w:rFonts w:hint="eastAsia" w:ascii="仿宋" w:hAnsi="仿宋" w:eastAsia="仿宋" w:cs="仿宋"/>
          <w:color w:val="auto"/>
          <w:kern w:val="0"/>
          <w:sz w:val="28"/>
          <w:szCs w:val="28"/>
          <w:highlight w:val="none"/>
        </w:rPr>
        <w:t>十二、</w:t>
      </w:r>
      <w:bookmarkEnd w:id="55"/>
      <w:bookmarkEnd w:id="56"/>
      <w:bookmarkStart w:id="58" w:name="_Toc458617466"/>
      <w:bookmarkStart w:id="59" w:name="_Toc458617743"/>
      <w:r>
        <w:rPr>
          <w:rFonts w:hint="eastAsia" w:ascii="仿宋" w:hAnsi="仿宋" w:eastAsia="仿宋" w:cs="仿宋"/>
          <w:color w:val="auto"/>
          <w:kern w:val="0"/>
          <w:sz w:val="28"/>
          <w:szCs w:val="28"/>
          <w:highlight w:val="none"/>
        </w:rPr>
        <w:t>询问、质疑与投诉</w:t>
      </w:r>
      <w:bookmarkEnd w:id="57"/>
      <w:r>
        <w:rPr>
          <w:rFonts w:hint="eastAsia" w:ascii="仿宋" w:hAnsi="仿宋" w:eastAsia="仿宋" w:cs="仿宋"/>
          <w:color w:val="auto"/>
          <w:kern w:val="0"/>
          <w:sz w:val="28"/>
          <w:szCs w:val="28"/>
          <w:highlight w:val="none"/>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投标人对政府采购活动事项有疑问的，可以向采购人、采购代理机构提出询问。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11"/>
          <w:highlight w:val="none"/>
        </w:rPr>
      </w:pPr>
      <w:r>
        <w:rPr>
          <w:rFonts w:hint="eastAsia" w:ascii="仿宋" w:hAnsi="仿宋" w:eastAsia="仿宋" w:cs="仿宋"/>
          <w:color w:val="auto"/>
          <w:highlight w:val="none"/>
        </w:rPr>
        <w:t>（1）</w:t>
      </w:r>
      <w:r>
        <w:rPr>
          <w:rFonts w:hint="eastAsia" w:ascii="仿宋" w:hAnsi="仿宋" w:eastAsia="仿宋" w:cs="仿宋"/>
          <w:color w:val="auto"/>
          <w:spacing w:val="-11"/>
          <w:highlight w:val="none"/>
        </w:rPr>
        <w:t>对采购文件提出质疑的，为收到采购文件之日或者采购文件公告期限届满之日；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pPr>
        <w:keepNext w:val="0"/>
        <w:keepLines w:val="0"/>
        <w:pageBreakBefore w:val="0"/>
        <w:kinsoku/>
        <w:wordWrap/>
        <w:overflowPunct/>
        <w:topLinePunct w:val="0"/>
        <w:autoSpaceDE/>
        <w:autoSpaceDN/>
        <w:bidi w:val="0"/>
        <w:adjustRightInd/>
        <w:snapToGrid/>
        <w:spacing w:line="560" w:lineRule="exact"/>
        <w:ind w:firstLine="240" w:firstLineChars="100"/>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highlight w:val="none"/>
        </w:rPr>
        <w:t xml:space="preserve">  （3）对中标或者成交结果提出质疑的，为中标或者成交结果公告期限届满之日。</w:t>
      </w:r>
      <w:r>
        <w:rPr>
          <w:rFonts w:hint="eastAsia" w:ascii="仿宋" w:hAnsi="仿宋" w:eastAsia="仿宋" w:cs="仿宋"/>
          <w:color w:val="auto"/>
          <w:kern w:val="0"/>
          <w:szCs w:val="24"/>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Cs w:val="24"/>
          <w:highlight w:val="none"/>
        </w:rPr>
      </w:pPr>
      <w:r>
        <w:rPr>
          <w:rFonts w:hint="eastAsia" w:ascii="仿宋" w:hAnsi="仿宋" w:eastAsia="仿宋" w:cs="仿宋"/>
          <w:color w:val="auto"/>
          <w:highlight w:val="none"/>
        </w:rPr>
        <w:t>2-2、投标人须在法</w:t>
      </w:r>
      <w:r>
        <w:rPr>
          <w:rFonts w:hint="eastAsia" w:ascii="仿宋" w:hAnsi="仿宋" w:eastAsia="仿宋" w:cs="仿宋"/>
          <w:color w:val="auto"/>
          <w:szCs w:val="24"/>
          <w:highlight w:val="none"/>
        </w:rPr>
        <w:t>定质疑期内一次性提出针对同一采购程序环节的质疑。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2-3、投标人须按照财政部发布的《政府采购</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质疑函范本》及其制作说明提出质疑，详见“中国政府采购网（www.ccgp.gov.cn）”下载专区。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2-6、投标人应在法定期限内以书面形式提出质疑，联系人： </w:t>
      </w:r>
      <w:r>
        <w:rPr>
          <w:rFonts w:hint="eastAsia" w:ascii="仿宋" w:hAnsi="仿宋" w:eastAsia="仿宋" w:cs="仿宋"/>
          <w:color w:val="auto"/>
          <w:szCs w:val="24"/>
          <w:highlight w:val="none"/>
          <w:lang w:eastAsia="zh-CN"/>
        </w:rPr>
        <w:t>党工</w:t>
      </w:r>
      <w:r>
        <w:rPr>
          <w:rFonts w:hint="eastAsia" w:ascii="仿宋" w:hAnsi="仿宋" w:eastAsia="仿宋" w:cs="仿宋"/>
          <w:color w:val="auto"/>
          <w:szCs w:val="24"/>
          <w:highlight w:val="none"/>
        </w:rPr>
        <w:t>，联系方式：029-87592321，地址：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（西安市朱雀大街南段1号汇成天玺C座18层1812室）。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3、投诉</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u w:val="single" w:color="auto"/>
          <w:lang w:val="en-US" w:eastAsia="zh-CN"/>
        </w:rPr>
        <w:t>陕西省财政厅政府采购管理处</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rPr>
        <w:t>提起投诉。</w:t>
      </w:r>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highlight w:val="none"/>
        </w:rPr>
      </w:pPr>
      <w:bookmarkStart w:id="60" w:name="_Toc30306"/>
      <w:bookmarkStart w:id="61" w:name="_Toc523"/>
      <w:bookmarkStart w:id="62" w:name="_Toc20119"/>
      <w:r>
        <w:rPr>
          <w:rFonts w:hint="eastAsia" w:ascii="仿宋" w:hAnsi="仿宋" w:eastAsia="仿宋" w:cs="仿宋"/>
          <w:color w:val="auto"/>
          <w:kern w:val="0"/>
          <w:sz w:val="28"/>
          <w:szCs w:val="28"/>
          <w:highlight w:val="none"/>
          <w:lang w:val="en-US" w:eastAsia="zh-CN"/>
        </w:rPr>
        <w:t>十三、特殊情形的处理</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根据陕西省财政厅关于政府采购信息公告有关事项的通知（陕财办采资〔2018〕26号），公开招标数额标准以上的政府采购项目，公开招标后参加投标或实质响应招标文件的投标人只有一家，经财政部门审批同意采用单一来源方式采购的，其公示内容和期限按照财政部《政府采购非招标采购方式管理办法》第三十八条规定办理。</w:t>
      </w:r>
    </w:p>
    <w:p>
      <w:pPr>
        <w:pStyle w:val="4"/>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十</w:t>
      </w:r>
      <w:r>
        <w:rPr>
          <w:rFonts w:hint="eastAsia" w:ascii="仿宋" w:hAnsi="仿宋" w:eastAsia="仿宋" w:cs="仿宋"/>
          <w:color w:val="auto"/>
          <w:kern w:val="0"/>
          <w:sz w:val="28"/>
          <w:szCs w:val="28"/>
          <w:highlight w:val="none"/>
          <w:lang w:val="en-US" w:eastAsia="zh-CN"/>
        </w:rPr>
        <w:t>四</w:t>
      </w:r>
      <w:r>
        <w:rPr>
          <w:rFonts w:hint="eastAsia" w:ascii="仿宋" w:hAnsi="仿宋" w:eastAsia="仿宋" w:cs="仿宋"/>
          <w:color w:val="auto"/>
          <w:kern w:val="0"/>
          <w:sz w:val="28"/>
          <w:szCs w:val="28"/>
          <w:highlight w:val="none"/>
        </w:rPr>
        <w:t>、拒绝商业贿赂</w:t>
      </w:r>
      <w:bookmarkEnd w:id="58"/>
      <w:bookmarkEnd w:id="59"/>
      <w:bookmarkEnd w:id="62"/>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2、投标人必须填写《拒绝政府采购领域商业贿赂承诺书》并附在投标文件中，同时应保证投标文件正、副本中一致。</w:t>
      </w:r>
    </w:p>
    <w:p>
      <w:pPr>
        <w:pStyle w:val="3"/>
        <w:spacing w:line="560" w:lineRule="exact"/>
        <w:rPr>
          <w:rFonts w:hint="eastAsia" w:ascii="仿宋" w:hAnsi="仿宋" w:eastAsia="仿宋" w:cs="仿宋"/>
          <w:color w:val="auto"/>
          <w:kern w:val="0"/>
          <w:highlight w:val="none"/>
        </w:rPr>
        <w:sectPr>
          <w:headerReference r:id="rId16" w:type="first"/>
          <w:footerReference r:id="rId18" w:type="first"/>
          <w:headerReference r:id="rId15" w:type="default"/>
          <w:footerReference r:id="rId17" w:type="default"/>
          <w:pgSz w:w="11905" w:h="16840"/>
          <w:pgMar w:top="1417" w:right="1417" w:bottom="1417" w:left="1417" w:header="935" w:footer="771" w:gutter="0"/>
          <w:pgNumType w:fmt="decimal" w:start="4"/>
          <w:cols w:space="0" w:num="1"/>
          <w:titlePg/>
          <w:rtlGutter w:val="0"/>
          <w:docGrid w:linePitch="312" w:charSpace="0"/>
        </w:sectPr>
      </w:pPr>
      <w:bookmarkStart w:id="63" w:name="_Toc458617744"/>
      <w:bookmarkStart w:id="64" w:name="_Toc458617467"/>
    </w:p>
    <w:p>
      <w:pPr>
        <w:pStyle w:val="3"/>
        <w:numPr>
          <w:ilvl w:val="0"/>
          <w:numId w:val="7"/>
        </w:numPr>
        <w:spacing w:line="560" w:lineRule="exact"/>
        <w:jc w:val="center"/>
        <w:rPr>
          <w:rFonts w:hint="eastAsia" w:ascii="仿宋" w:hAnsi="仿宋" w:eastAsia="仿宋" w:cs="仿宋"/>
          <w:color w:val="auto"/>
          <w:kern w:val="0"/>
          <w:highlight w:val="none"/>
        </w:rPr>
      </w:pPr>
      <w:bookmarkStart w:id="65" w:name="_Toc24042"/>
      <w:r>
        <w:rPr>
          <w:rFonts w:hint="eastAsia" w:ascii="仿宋" w:hAnsi="仿宋" w:eastAsia="仿宋" w:cs="仿宋"/>
          <w:color w:val="auto"/>
          <w:kern w:val="0"/>
          <w:highlight w:val="none"/>
        </w:rPr>
        <w:t xml:space="preserve"> 采购内容及技术要求</w:t>
      </w:r>
      <w:bookmarkEnd w:id="63"/>
      <w:bookmarkEnd w:id="64"/>
      <w:bookmarkEnd w:id="65"/>
      <w:bookmarkStart w:id="66" w:name="_Toc492"/>
      <w:bookmarkStart w:id="67" w:name="_Toc458617468"/>
      <w:bookmarkStart w:id="68" w:name="_Toc458617745"/>
    </w:p>
    <w:p>
      <w:pPr>
        <w:numPr>
          <w:ilvl w:val="0"/>
          <w:numId w:val="0"/>
        </w:numPr>
        <w:rPr>
          <w:rFonts w:hint="eastAsia" w:eastAsia="宋体"/>
          <w:b/>
          <w:sz w:val="32"/>
          <w:szCs w:val="32"/>
          <w:highlight w:val="none"/>
          <w:lang w:val="en-US" w:eastAsia="zh-CN"/>
        </w:rPr>
      </w:pPr>
      <w:r>
        <w:rPr>
          <w:rFonts w:hint="eastAsia" w:ascii="仿宋" w:hAnsi="仿宋" w:eastAsia="仿宋" w:cs="仿宋"/>
          <w:color w:val="auto"/>
          <w:highlight w:val="none"/>
          <w:lang w:val="en-US" w:eastAsia="zh-CN"/>
        </w:rPr>
        <w:t>1、全自动软式內镜清洗消毒机</w:t>
      </w:r>
      <w:bookmarkEnd w:id="66"/>
      <w:bookmarkEnd w:id="67"/>
      <w:bookmarkEnd w:id="6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636"/>
        <w:gridCol w:w="1565"/>
        <w:gridCol w:w="581"/>
        <w:gridCol w:w="1696"/>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全自动</w:t>
            </w:r>
            <w:r>
              <w:rPr>
                <w:rFonts w:hint="eastAsia" w:ascii="仿宋" w:hAnsi="仿宋" w:eastAsia="仿宋" w:cs="仿宋"/>
                <w:sz w:val="24"/>
                <w:szCs w:val="24"/>
                <w:highlight w:val="none"/>
                <w:lang w:val="en-US" w:eastAsia="zh-CN"/>
              </w:rPr>
              <w:t>软式</w:t>
            </w:r>
            <w:r>
              <w:rPr>
                <w:rFonts w:hint="eastAsia" w:ascii="仿宋" w:hAnsi="仿宋" w:eastAsia="仿宋" w:cs="仿宋"/>
                <w:sz w:val="24"/>
                <w:szCs w:val="24"/>
                <w:highlight w:val="none"/>
              </w:rPr>
              <w:t>內镜清洗消毒机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进口/国产</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4"/>
                <w:szCs w:val="24"/>
                <w:highlight w:val="none"/>
              </w:rPr>
            </w:pPr>
            <w:r>
              <w:rPr>
                <w:rFonts w:hint="eastAsia" w:ascii="仿宋" w:hAnsi="仿宋" w:eastAsia="仿宋" w:cs="仿宋"/>
                <w:bCs/>
                <w:sz w:val="24"/>
                <w:szCs w:val="24"/>
                <w:highlight w:val="none"/>
              </w:rPr>
              <w:t>主机外形尺寸：</w:t>
            </w:r>
            <w:r>
              <w:rPr>
                <w:rFonts w:hint="eastAsia" w:ascii="仿宋" w:hAnsi="仿宋" w:eastAsia="仿宋" w:cs="仿宋"/>
                <w:color w:val="000000"/>
                <w:sz w:val="24"/>
                <w:szCs w:val="24"/>
                <w:highlight w:val="none"/>
              </w:rPr>
              <w:t>宽</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900mm、深（前后尺寸）</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700mm、高</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940mm</w:t>
            </w:r>
          </w:p>
          <w:p>
            <w:pPr>
              <w:spacing w:line="360" w:lineRule="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洗消槽内尺寸：宽</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385mm、深（前后尺寸）</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505mm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消毒液储存箱容量</w:t>
            </w:r>
            <w:r>
              <w:rPr>
                <w:rFonts w:hint="eastAsia" w:ascii="仿宋" w:hAnsi="仿宋" w:eastAsia="仿宋" w:cs="仿宋"/>
                <w:color w:val="000000"/>
                <w:sz w:val="24"/>
                <w:szCs w:val="24"/>
                <w:highlight w:val="none"/>
                <w:lang w:val="en-US" w:eastAsia="zh-CN"/>
              </w:rPr>
              <w:t>≥</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适酶储存箱容量</w:t>
            </w:r>
            <w:r>
              <w:rPr>
                <w:rFonts w:hint="eastAsia" w:ascii="仿宋" w:hAnsi="仿宋" w:eastAsia="仿宋" w:cs="仿宋"/>
                <w:color w:val="000000"/>
                <w:sz w:val="24"/>
                <w:szCs w:val="24"/>
                <w:highlight w:val="none"/>
                <w:lang w:val="en-US" w:eastAsia="zh-CN"/>
              </w:rPr>
              <w:t>≥</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酒精储存箱容量</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每个槽消毒液</w:t>
            </w:r>
            <w:r>
              <w:rPr>
                <w:rFonts w:hint="eastAsia" w:ascii="仿宋" w:hAnsi="仿宋" w:eastAsia="仿宋" w:cs="仿宋"/>
                <w:color w:val="000000"/>
                <w:sz w:val="24"/>
                <w:szCs w:val="24"/>
                <w:highlight w:val="none"/>
                <w:lang w:val="en-US" w:eastAsia="zh-CN"/>
              </w:rPr>
              <w:t>容</w:t>
            </w:r>
            <w:r>
              <w:rPr>
                <w:rFonts w:hint="eastAsia" w:ascii="仿宋" w:hAnsi="仿宋" w:eastAsia="仿宋" w:cs="仿宋"/>
                <w:color w:val="000000"/>
                <w:sz w:val="24"/>
                <w:szCs w:val="24"/>
                <w:highlight w:val="none"/>
              </w:rPr>
              <w:t>量</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10</w:t>
            </w:r>
            <w:r>
              <w:rPr>
                <w:rFonts w:hint="eastAsia" w:ascii="仿宋" w:hAnsi="仿宋" w:eastAsia="仿宋" w:cs="仿宋"/>
                <w:color w:val="000000"/>
                <w:sz w:val="24"/>
                <w:szCs w:val="24"/>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整机外壳须钢板冲压喷塑</w:t>
            </w:r>
            <w:r>
              <w:rPr>
                <w:rFonts w:hint="eastAsia" w:ascii="仿宋" w:hAnsi="仿宋" w:eastAsia="仿宋" w:cs="仿宋"/>
                <w:bCs/>
                <w:color w:val="000000"/>
                <w:sz w:val="24"/>
                <w:szCs w:val="24"/>
                <w:highlight w:val="none"/>
                <w:lang w:val="en-US" w:eastAsia="zh-CN"/>
              </w:rPr>
              <w:t>制</w:t>
            </w:r>
            <w:r>
              <w:rPr>
                <w:rFonts w:hint="eastAsia" w:ascii="仿宋" w:hAnsi="仿宋" w:eastAsia="仿宋" w:cs="仿宋"/>
                <w:bCs/>
                <w:color w:val="000000"/>
                <w:sz w:val="24"/>
                <w:szCs w:val="24"/>
                <w:highlight w:val="none"/>
              </w:rPr>
              <w:t>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20"/>
                <w:sz w:val="24"/>
                <w:szCs w:val="24"/>
                <w:highlight w:val="none"/>
                <w:lang w:eastAsia="zh-CN"/>
              </w:rPr>
            </w:pPr>
            <w:r>
              <w:rPr>
                <w:rFonts w:hint="eastAsia" w:ascii="仿宋" w:hAnsi="仿宋" w:eastAsia="仿宋" w:cs="仿宋"/>
                <w:b w:val="0"/>
                <w:bCs/>
                <w:spacing w:val="20"/>
                <w:sz w:val="24"/>
                <w:szCs w:val="24"/>
                <w:highlight w:val="none"/>
                <w:lang w:val="en-US" w:eastAsia="zh-CN"/>
              </w:rPr>
              <w:t>7</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酒精用量：可自行设置自动喷射内镜管道并吹干；具备自动与手动酒精干燥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20"/>
                <w:sz w:val="24"/>
                <w:szCs w:val="24"/>
                <w:highlight w:val="none"/>
                <w:lang w:eastAsia="zh-CN"/>
              </w:rPr>
            </w:pPr>
            <w:r>
              <w:rPr>
                <w:rFonts w:hint="eastAsia" w:ascii="仿宋" w:hAnsi="仿宋" w:eastAsia="仿宋" w:cs="仿宋"/>
                <w:spacing w:val="20"/>
                <w:sz w:val="24"/>
                <w:szCs w:val="24"/>
                <w:highlight w:val="none"/>
                <w:lang w:val="en-US" w:eastAsia="zh-CN"/>
              </w:rPr>
              <w:t>8</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排水装置：电动阀排水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20"/>
                <w:sz w:val="24"/>
                <w:szCs w:val="24"/>
                <w:highlight w:val="none"/>
                <w:lang w:eastAsia="zh-CN"/>
              </w:rPr>
            </w:pPr>
            <w:r>
              <w:rPr>
                <w:rFonts w:hint="eastAsia" w:ascii="仿宋" w:hAnsi="仿宋" w:eastAsia="仿宋" w:cs="仿宋"/>
                <w:spacing w:val="20"/>
                <w:sz w:val="24"/>
                <w:szCs w:val="24"/>
                <w:highlight w:val="none"/>
                <w:lang w:val="en-US" w:eastAsia="zh-CN"/>
              </w:rPr>
              <w:t>9</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测漏装置：全程实施测漏监控，漏气报警并自动排水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lang w:val="en-US" w:eastAsia="zh-CN"/>
              </w:rPr>
              <w:t>10</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清洗消毒方式：全浸泡式循环清洗消毒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20"/>
                <w:sz w:val="24"/>
                <w:szCs w:val="24"/>
                <w:highlight w:val="none"/>
                <w:lang w:eastAsia="zh-CN"/>
              </w:rPr>
            </w:pPr>
            <w:r>
              <w:rPr>
                <w:rFonts w:hint="eastAsia" w:ascii="仿宋" w:hAnsi="仿宋" w:eastAsia="仿宋" w:cs="仿宋"/>
                <w:spacing w:val="20"/>
                <w:sz w:val="24"/>
                <w:szCs w:val="24"/>
                <w:highlight w:val="none"/>
              </w:rPr>
              <w:t>1</w:t>
            </w:r>
            <w:r>
              <w:rPr>
                <w:rFonts w:hint="eastAsia" w:ascii="仿宋" w:hAnsi="仿宋" w:eastAsia="仿宋" w:cs="仿宋"/>
                <w:spacing w:val="20"/>
                <w:sz w:val="24"/>
                <w:szCs w:val="24"/>
                <w:highlight w:val="none"/>
                <w:lang w:val="en-US" w:eastAsia="zh-CN"/>
              </w:rPr>
              <w:t>1</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洗消槽：槽底部设计有支撑条，支撑条和洗消槽为同一种材料注塑成一体，可架空实现360度全方位洗消，洗消槽和排水接头同一种材料并注塑成一体，洗消槽和排水接头一体成型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2</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清洗槽盖：凹面镜机盖设计，内凹面可与清洗剂和消毒剂充分接触，槽体内的液体具备全覆盖清洗槽盖内面及消毒，采用一次注塑成型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3</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w:t>
            </w:r>
            <w:r>
              <w:rPr>
                <w:rFonts w:hint="eastAsia" w:ascii="仿宋" w:hAnsi="仿宋" w:eastAsia="仿宋" w:cs="仿宋"/>
                <w:sz w:val="24"/>
                <w:szCs w:val="24"/>
                <w:highlight w:val="none"/>
              </w:rPr>
              <w:t>自动记录和</w:t>
            </w:r>
            <w:r>
              <w:rPr>
                <w:rFonts w:hint="eastAsia" w:ascii="仿宋" w:hAnsi="仿宋" w:eastAsia="仿宋" w:cs="仿宋"/>
                <w:color w:val="000000"/>
                <w:sz w:val="24"/>
                <w:szCs w:val="24"/>
                <w:highlight w:val="none"/>
              </w:rPr>
              <w:t>屏上显示提示</w:t>
            </w:r>
            <w:r>
              <w:rPr>
                <w:rFonts w:hint="eastAsia" w:ascii="仿宋" w:hAnsi="仿宋" w:eastAsia="仿宋" w:cs="仿宋"/>
                <w:sz w:val="24"/>
                <w:szCs w:val="24"/>
                <w:highlight w:val="none"/>
              </w:rPr>
              <w:t>消毒液使用次数，水滤芯、空气滤芯、消毒液使用的天数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使用邻苯二甲醛消毒液全程清洗消毒时间5分钟，全程</w:t>
            </w:r>
            <w:r>
              <w:rPr>
                <w:rFonts w:hint="eastAsia" w:ascii="仿宋" w:hAnsi="仿宋" w:eastAsia="仿宋" w:cs="仿宋"/>
                <w:sz w:val="24"/>
                <w:szCs w:val="24"/>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使用酸性氧化电位水消毒液全程清洗消毒时间5分钟，全程</w:t>
            </w:r>
            <w:r>
              <w:rPr>
                <w:rFonts w:hint="eastAsia" w:ascii="仿宋" w:hAnsi="仿宋" w:eastAsia="仿宋" w:cs="仿宋"/>
                <w:sz w:val="24"/>
                <w:szCs w:val="24"/>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16</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使用过氧乙酸消毒液全程清洗消毒时间5分钟，全程</w:t>
            </w:r>
            <w:r>
              <w:rPr>
                <w:rFonts w:hint="eastAsia" w:ascii="仿宋" w:hAnsi="仿宋" w:eastAsia="仿宋" w:cs="仿宋"/>
                <w:sz w:val="24"/>
                <w:szCs w:val="24"/>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17</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彩色液晶显示屏显示消毒液的实时温度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18</w:t>
            </w:r>
          </w:p>
        </w:tc>
        <w:tc>
          <w:tcPr>
            <w:tcW w:w="0" w:type="auto"/>
            <w:gridSpan w:val="5"/>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消毒液不足和机器有故障自动报警，并显示故障内容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19</w:t>
            </w:r>
          </w:p>
        </w:tc>
        <w:tc>
          <w:tcPr>
            <w:tcW w:w="0" w:type="auto"/>
            <w:gridSpan w:val="5"/>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具有</w:t>
            </w:r>
            <w:r>
              <w:rPr>
                <w:rFonts w:hint="eastAsia" w:ascii="仿宋" w:hAnsi="仿宋" w:eastAsia="仿宋" w:cs="仿宋"/>
                <w:color w:val="000000"/>
                <w:sz w:val="24"/>
                <w:szCs w:val="24"/>
                <w:highlight w:val="none"/>
              </w:rPr>
              <w:t>恒温控制装置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eastAsia="zh-CN"/>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4"/>
                <w:szCs w:val="24"/>
                <w:highlight w:val="none"/>
                <w:lang w:val="en-US" w:eastAsia="zh-CN"/>
              </w:rPr>
              <w:t>0</w:t>
            </w:r>
          </w:p>
        </w:tc>
        <w:tc>
          <w:tcPr>
            <w:tcW w:w="0" w:type="auto"/>
            <w:gridSpan w:val="5"/>
            <w:vAlign w:val="center"/>
          </w:tcPr>
          <w:p>
            <w:pP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具有</w:t>
            </w:r>
            <w:r>
              <w:rPr>
                <w:rFonts w:hint="eastAsia" w:ascii="仿宋" w:hAnsi="仿宋" w:eastAsia="仿宋" w:cs="仿宋"/>
                <w:color w:val="000000"/>
                <w:sz w:val="24"/>
                <w:szCs w:val="24"/>
                <w:highlight w:val="none"/>
              </w:rPr>
              <w:t>消毒液添加、排放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自吸、自排</w:t>
            </w:r>
            <w:r>
              <w:rPr>
                <w:rFonts w:hint="eastAsia" w:ascii="仿宋" w:hAnsi="仿宋" w:eastAsia="仿宋" w:cs="仿宋"/>
                <w:color w:val="000000"/>
                <w:sz w:val="24"/>
                <w:szCs w:val="24"/>
                <w:highlight w:val="none"/>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eastAsia="zh-CN"/>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4"/>
                <w:szCs w:val="24"/>
                <w:highlight w:val="none"/>
                <w:lang w:val="en-US" w:eastAsia="zh-CN"/>
              </w:rPr>
              <w:t>1</w:t>
            </w:r>
          </w:p>
        </w:tc>
        <w:tc>
          <w:tcPr>
            <w:tcW w:w="0" w:type="auto"/>
            <w:gridSpan w:val="5"/>
            <w:vAlign w:val="center"/>
          </w:tcPr>
          <w:p>
            <w:pP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采用消毒液可对机器内部全管道、腔体、内置无菌水过滤器等进行循环冲洗、浸泡消毒，可定期进行自身消毒；</w:t>
            </w:r>
            <w:r>
              <w:rPr>
                <w:rFonts w:hint="eastAsia" w:ascii="仿宋" w:hAnsi="仿宋" w:eastAsia="仿宋" w:cs="仿宋"/>
                <w:color w:val="000000"/>
                <w:sz w:val="24"/>
                <w:szCs w:val="24"/>
                <w:highlight w:val="none"/>
                <w:lang w:val="en-US" w:eastAsia="zh-CN"/>
              </w:rPr>
              <w:t>具有</w:t>
            </w:r>
            <w:r>
              <w:rPr>
                <w:rFonts w:hint="eastAsia" w:ascii="仿宋" w:hAnsi="仿宋" w:eastAsia="仿宋" w:cs="仿宋"/>
                <w:color w:val="000000"/>
                <w:sz w:val="24"/>
                <w:szCs w:val="24"/>
                <w:highlight w:val="none"/>
              </w:rPr>
              <w:t>一键式触摸启动</w:t>
            </w:r>
            <w:r>
              <w:rPr>
                <w:rFonts w:hint="eastAsia" w:ascii="仿宋" w:hAnsi="仿宋" w:eastAsia="仿宋" w:cs="仿宋"/>
                <w:color w:val="000000"/>
                <w:sz w:val="24"/>
                <w:szCs w:val="24"/>
                <w:highlight w:val="none"/>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eastAsia="zh-CN"/>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4"/>
                <w:szCs w:val="24"/>
                <w:highlight w:val="none"/>
                <w:lang w:val="en-US" w:eastAsia="zh-CN"/>
              </w:rPr>
              <w:t>2</w:t>
            </w:r>
          </w:p>
        </w:tc>
        <w:tc>
          <w:tcPr>
            <w:tcW w:w="0" w:type="auto"/>
            <w:gridSpan w:val="5"/>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清洗模式：≥5种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eastAsia="zh-CN"/>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4"/>
                <w:szCs w:val="24"/>
                <w:highlight w:val="none"/>
                <w:lang w:val="en-US" w:eastAsia="zh-CN"/>
              </w:rPr>
              <w:t>3</w:t>
            </w:r>
          </w:p>
        </w:tc>
        <w:tc>
          <w:tcPr>
            <w:tcW w:w="0" w:type="auto"/>
            <w:gridSpan w:val="5"/>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具备电动开盖和电动关盖功能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24</w:t>
            </w:r>
          </w:p>
        </w:tc>
        <w:tc>
          <w:tcPr>
            <w:tcW w:w="0" w:type="auto"/>
            <w:gridSpan w:val="5"/>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在洗消时，清洗槽内的注液、注气管首尾两端接头</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rPr>
              <w:t>可被液体覆盖浸泡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25</w:t>
            </w:r>
          </w:p>
        </w:tc>
        <w:tc>
          <w:tcPr>
            <w:tcW w:w="0" w:type="auto"/>
            <w:gridSpan w:val="5"/>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消毒完成，可自动打印清洗消毒的每个步骤名称和清洗时间、温度、打印清洗时间、备注项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26</w:t>
            </w:r>
          </w:p>
        </w:tc>
        <w:tc>
          <w:tcPr>
            <w:tcW w:w="0" w:type="auto"/>
            <w:gridSpan w:val="5"/>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机器用水</w:t>
            </w:r>
            <w:r>
              <w:rPr>
                <w:rFonts w:hint="eastAsia" w:ascii="仿宋" w:hAnsi="仿宋" w:eastAsia="仿宋" w:cs="仿宋"/>
                <w:color w:val="000000"/>
                <w:sz w:val="24"/>
                <w:szCs w:val="24"/>
                <w:highlight w:val="none"/>
                <w:lang w:val="en-US" w:eastAsia="zh-CN"/>
              </w:rPr>
              <w:t>具有</w:t>
            </w:r>
            <w:r>
              <w:rPr>
                <w:rFonts w:hint="eastAsia" w:ascii="仿宋" w:hAnsi="仿宋" w:eastAsia="仿宋" w:cs="仿宋"/>
                <w:color w:val="000000"/>
                <w:sz w:val="24"/>
                <w:szCs w:val="24"/>
                <w:highlight w:val="none"/>
              </w:rPr>
              <w:t>两道过滤</w:t>
            </w:r>
            <w:r>
              <w:rPr>
                <w:rFonts w:hint="eastAsia" w:ascii="仿宋" w:hAnsi="仿宋" w:eastAsia="仿宋" w:cs="仿宋"/>
                <w:color w:val="000000"/>
                <w:sz w:val="24"/>
                <w:szCs w:val="24"/>
                <w:highlight w:val="none"/>
                <w:lang w:val="en-US" w:eastAsia="zh-CN"/>
              </w:rPr>
              <w:t>功能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过滤器</w:t>
            </w:r>
            <w:r>
              <w:rPr>
                <w:rFonts w:hint="eastAsia" w:ascii="仿宋" w:hAnsi="仿宋" w:eastAsia="仿宋" w:cs="仿宋"/>
                <w:color w:val="000000"/>
                <w:sz w:val="24"/>
                <w:szCs w:val="24"/>
                <w:highlight w:val="none"/>
                <w:lang w:val="en-US" w:eastAsia="zh-CN"/>
              </w:rPr>
              <w:t>精度</w:t>
            </w:r>
            <w:r>
              <w:rPr>
                <w:rFonts w:hint="eastAsia" w:ascii="仿宋" w:hAnsi="仿宋" w:eastAsia="仿宋" w:cs="仿宋"/>
                <w:color w:val="000000"/>
                <w:sz w:val="24"/>
                <w:szCs w:val="24"/>
                <w:highlight w:val="none"/>
              </w:rPr>
              <w:t>≤0.22微米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27</w:t>
            </w:r>
          </w:p>
        </w:tc>
        <w:tc>
          <w:tcPr>
            <w:tcW w:w="0" w:type="auto"/>
            <w:gridSpan w:val="5"/>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具有</w:t>
            </w:r>
            <w:r>
              <w:rPr>
                <w:rFonts w:hint="eastAsia" w:ascii="仿宋" w:hAnsi="仿宋" w:eastAsia="仿宋" w:cs="仿宋"/>
                <w:sz w:val="24"/>
                <w:szCs w:val="24"/>
                <w:highlight w:val="none"/>
              </w:rPr>
              <w:t>接头脱落自动报警提示功能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28</w:t>
            </w:r>
          </w:p>
        </w:tc>
        <w:tc>
          <w:tcPr>
            <w:tcW w:w="0" w:type="auto"/>
            <w:gridSpan w:val="5"/>
            <w:vAlign w:val="center"/>
          </w:tcPr>
          <w:p>
            <w:pP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具有</w:t>
            </w:r>
            <w:r>
              <w:rPr>
                <w:rFonts w:hint="eastAsia" w:ascii="仿宋" w:hAnsi="仿宋" w:eastAsia="仿宋" w:cs="仿宋"/>
                <w:color w:val="000000"/>
                <w:sz w:val="24"/>
                <w:szCs w:val="24"/>
                <w:highlight w:val="none"/>
              </w:rPr>
              <w:t>内镜注液、吹干监控</w:t>
            </w:r>
            <w:r>
              <w:rPr>
                <w:rFonts w:hint="eastAsia" w:ascii="仿宋" w:hAnsi="仿宋" w:eastAsia="仿宋" w:cs="仿宋"/>
                <w:color w:val="000000"/>
                <w:sz w:val="24"/>
                <w:szCs w:val="24"/>
                <w:highlight w:val="none"/>
                <w:lang w:val="en-US" w:eastAsia="zh-CN"/>
              </w:rPr>
              <w:t>功能</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具有故障自动报警功能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29</w:t>
            </w:r>
          </w:p>
        </w:tc>
        <w:tc>
          <w:tcPr>
            <w:tcW w:w="0" w:type="auto"/>
            <w:gridSpan w:val="5"/>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带</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15</w:t>
            </w:r>
            <w:r>
              <w:rPr>
                <w:rFonts w:hint="eastAsia" w:ascii="仿宋" w:hAnsi="仿宋" w:eastAsia="仿宋" w:cs="仿宋"/>
                <w:sz w:val="24"/>
                <w:szCs w:val="24"/>
                <w:highlight w:val="none"/>
                <w:lang w:val="en-US" w:eastAsia="zh-CN"/>
              </w:rPr>
              <w:t>英</w:t>
            </w:r>
            <w:r>
              <w:rPr>
                <w:rFonts w:hint="eastAsia" w:ascii="仿宋" w:hAnsi="仿宋" w:eastAsia="仿宋" w:cs="仿宋"/>
                <w:sz w:val="24"/>
                <w:szCs w:val="24"/>
                <w:highlight w:val="none"/>
              </w:rPr>
              <w:t>寸触摸控制平板电脑，</w:t>
            </w:r>
            <w:r>
              <w:rPr>
                <w:rFonts w:hint="eastAsia" w:ascii="仿宋" w:hAnsi="仿宋" w:eastAsia="仿宋" w:cs="仿宋"/>
                <w:sz w:val="24"/>
                <w:szCs w:val="24"/>
                <w:highlight w:val="none"/>
                <w:lang w:val="en-US" w:eastAsia="zh-CN"/>
              </w:rPr>
              <w:t>其</w:t>
            </w:r>
            <w:r>
              <w:rPr>
                <w:rFonts w:hint="eastAsia" w:ascii="仿宋" w:hAnsi="仿宋" w:eastAsia="仿宋" w:cs="仿宋"/>
                <w:sz w:val="24"/>
                <w:szCs w:val="24"/>
                <w:highlight w:val="none"/>
              </w:rPr>
              <w:t>功能</w:t>
            </w:r>
            <w:r>
              <w:rPr>
                <w:rFonts w:hint="eastAsia" w:ascii="仿宋" w:hAnsi="仿宋" w:eastAsia="仿宋" w:cs="仿宋"/>
                <w:sz w:val="24"/>
                <w:szCs w:val="24"/>
                <w:highlight w:val="none"/>
                <w:lang w:val="en-US" w:eastAsia="zh-CN"/>
              </w:rPr>
              <w:t>如下</w:t>
            </w:r>
            <w:r>
              <w:rPr>
                <w:rFonts w:hint="eastAsia" w:ascii="仿宋" w:hAnsi="仿宋" w:eastAsia="仿宋" w:cs="仿宋"/>
                <w:sz w:val="24"/>
                <w:szCs w:val="24"/>
                <w:highlight w:val="none"/>
              </w:rPr>
              <w:t>：</w:t>
            </w:r>
          </w:p>
          <w:p>
            <w:pPr>
              <w:numPr>
                <w:ilvl w:val="0"/>
                <w:numId w:val="8"/>
              </w:numPr>
              <w:rPr>
                <w:rFonts w:hint="eastAsia" w:ascii="仿宋" w:hAnsi="仿宋" w:eastAsia="仿宋" w:cs="仿宋"/>
                <w:sz w:val="24"/>
                <w:szCs w:val="24"/>
                <w:highlight w:val="none"/>
              </w:rPr>
            </w:pPr>
            <w:r>
              <w:rPr>
                <w:rFonts w:hint="eastAsia" w:ascii="仿宋" w:hAnsi="仿宋" w:eastAsia="仿宋" w:cs="仿宋"/>
                <w:sz w:val="24"/>
                <w:szCs w:val="24"/>
                <w:highlight w:val="none"/>
              </w:rPr>
              <w:t>可分别控制左、右槽的菜单参数</w:t>
            </w:r>
          </w:p>
          <w:p>
            <w:pPr>
              <w:numPr>
                <w:ilvl w:val="0"/>
                <w:numId w:val="8"/>
              </w:numPr>
              <w:rPr>
                <w:rFonts w:hint="eastAsia" w:ascii="仿宋" w:hAnsi="仿宋" w:eastAsia="仿宋" w:cs="仿宋"/>
                <w:sz w:val="24"/>
                <w:szCs w:val="24"/>
                <w:highlight w:val="none"/>
              </w:rPr>
            </w:pPr>
            <w:r>
              <w:rPr>
                <w:rFonts w:hint="eastAsia" w:ascii="仿宋" w:hAnsi="仿宋" w:eastAsia="仿宋" w:cs="仿宋"/>
                <w:sz w:val="24"/>
                <w:szCs w:val="24"/>
                <w:highlight w:val="none"/>
              </w:rPr>
              <w:t>可自动记录储存内镜编号、洗消全程信息及操作人员</w:t>
            </w:r>
            <w:r>
              <w:rPr>
                <w:rFonts w:hint="eastAsia" w:ascii="仿宋" w:hAnsi="仿宋" w:eastAsia="仿宋" w:cs="仿宋"/>
                <w:sz w:val="24"/>
                <w:szCs w:val="24"/>
                <w:highlight w:val="none"/>
                <w:lang w:val="en-US" w:eastAsia="zh-CN"/>
              </w:rPr>
              <w:t>信息，实时显示设备运行状态及相关参数</w:t>
            </w:r>
          </w:p>
          <w:p>
            <w:pPr>
              <w:numPr>
                <w:ilvl w:val="0"/>
                <w:numId w:val="8"/>
              </w:numPr>
              <w:rPr>
                <w:rFonts w:hint="eastAsia" w:ascii="仿宋" w:hAnsi="仿宋" w:eastAsia="仿宋" w:cs="仿宋"/>
                <w:sz w:val="24"/>
                <w:szCs w:val="24"/>
                <w:highlight w:val="none"/>
              </w:rPr>
            </w:pPr>
            <w:r>
              <w:rPr>
                <w:rFonts w:hint="eastAsia" w:ascii="仿宋" w:hAnsi="仿宋" w:eastAsia="仿宋" w:cs="仿宋"/>
                <w:sz w:val="24"/>
                <w:szCs w:val="24"/>
                <w:highlight w:val="none"/>
              </w:rPr>
              <w:t>自带追溯系统</w:t>
            </w:r>
          </w:p>
          <w:p>
            <w:pPr>
              <w:numPr>
                <w:ilvl w:val="0"/>
                <w:numId w:val="8"/>
              </w:numPr>
              <w:rPr>
                <w:rFonts w:hint="eastAsia" w:ascii="仿宋" w:hAnsi="仿宋" w:eastAsia="仿宋" w:cs="仿宋"/>
                <w:sz w:val="24"/>
                <w:szCs w:val="24"/>
                <w:highlight w:val="none"/>
              </w:rPr>
            </w:pPr>
            <w:r>
              <w:rPr>
                <w:rFonts w:hint="eastAsia" w:ascii="仿宋" w:hAnsi="仿宋" w:eastAsia="仿宋" w:cs="仿宋"/>
                <w:sz w:val="24"/>
                <w:szCs w:val="24"/>
                <w:highlight w:val="none"/>
              </w:rPr>
              <w:t>可无线发送</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打印</w:t>
            </w:r>
            <w:r>
              <w:rPr>
                <w:rFonts w:hint="eastAsia" w:ascii="仿宋" w:hAnsi="仿宋" w:eastAsia="仿宋" w:cs="仿宋"/>
                <w:sz w:val="24"/>
                <w:szCs w:val="24"/>
                <w:highlight w:val="none"/>
                <w:lang w:val="en-US" w:eastAsia="zh-CN"/>
              </w:rPr>
              <w:t>相关洗消信息</w:t>
            </w:r>
          </w:p>
          <w:p>
            <w:pPr>
              <w:numPr>
                <w:ilvl w:val="0"/>
                <w:numId w:val="8"/>
              </w:numPr>
              <w:rPr>
                <w:rFonts w:hint="eastAsia" w:ascii="仿宋" w:hAnsi="仿宋" w:eastAsia="仿宋" w:cs="仿宋"/>
                <w:sz w:val="24"/>
                <w:szCs w:val="24"/>
                <w:highlight w:val="none"/>
              </w:rPr>
            </w:pPr>
            <w:r>
              <w:rPr>
                <w:rFonts w:hint="eastAsia" w:ascii="仿宋" w:hAnsi="仿宋" w:eastAsia="仿宋" w:cs="仿宋"/>
                <w:sz w:val="24"/>
                <w:szCs w:val="24"/>
                <w:highlight w:val="none"/>
              </w:rPr>
              <w:t>分别显示消毒液、水滤芯、空气滤使用时间</w:t>
            </w:r>
          </w:p>
          <w:p>
            <w:pPr>
              <w:numPr>
                <w:ilvl w:val="0"/>
                <w:numId w:val="8"/>
              </w:numPr>
              <w:rPr>
                <w:rFonts w:hint="eastAsia" w:ascii="仿宋" w:hAnsi="仿宋" w:eastAsia="仿宋" w:cs="仿宋"/>
                <w:sz w:val="24"/>
                <w:szCs w:val="24"/>
                <w:highlight w:val="none"/>
              </w:rPr>
            </w:pPr>
            <w:r>
              <w:rPr>
                <w:rFonts w:hint="eastAsia" w:ascii="仿宋" w:hAnsi="仿宋" w:eastAsia="仿宋" w:cs="仿宋"/>
                <w:sz w:val="24"/>
                <w:szCs w:val="24"/>
                <w:highlight w:val="none"/>
              </w:rPr>
              <w:t>当消毒液、水滤芯、空气滤的使用时间达到限定值时</w:t>
            </w:r>
            <w:r>
              <w:rPr>
                <w:rFonts w:hint="eastAsia" w:ascii="仿宋" w:hAnsi="仿宋" w:eastAsia="仿宋" w:cs="仿宋"/>
                <w:sz w:val="24"/>
                <w:szCs w:val="24"/>
                <w:highlight w:val="none"/>
                <w:lang w:val="en-US" w:eastAsia="zh-CN"/>
              </w:rPr>
              <w:t>可</w:t>
            </w:r>
            <w:r>
              <w:rPr>
                <w:rFonts w:hint="eastAsia" w:ascii="仿宋" w:hAnsi="仿宋" w:eastAsia="仿宋" w:cs="仿宋"/>
                <w:sz w:val="24"/>
                <w:szCs w:val="24"/>
                <w:highlight w:val="none"/>
              </w:rPr>
              <w:t>告警提示</w:t>
            </w:r>
          </w:p>
          <w:p>
            <w:pPr>
              <w:numPr>
                <w:ilvl w:val="0"/>
                <w:numId w:val="8"/>
              </w:numPr>
              <w:rPr>
                <w:rFonts w:hint="eastAsia" w:ascii="仿宋" w:hAnsi="仿宋" w:eastAsia="仿宋" w:cs="仿宋"/>
                <w:sz w:val="24"/>
                <w:szCs w:val="24"/>
                <w:highlight w:val="none"/>
              </w:rPr>
            </w:pPr>
            <w:r>
              <w:rPr>
                <w:rFonts w:hint="eastAsia" w:ascii="仿宋" w:hAnsi="仿宋" w:eastAsia="仿宋" w:cs="仿宋"/>
                <w:sz w:val="24"/>
                <w:szCs w:val="24"/>
                <w:highlight w:val="none"/>
              </w:rPr>
              <w:t>洗消时，</w:t>
            </w:r>
            <w:r>
              <w:rPr>
                <w:rFonts w:hint="eastAsia" w:ascii="仿宋" w:hAnsi="仿宋" w:eastAsia="仿宋" w:cs="仿宋"/>
                <w:sz w:val="24"/>
                <w:szCs w:val="24"/>
                <w:highlight w:val="none"/>
                <w:lang w:val="en-US" w:eastAsia="zh-CN"/>
              </w:rPr>
              <w:t>可</w:t>
            </w:r>
            <w:r>
              <w:rPr>
                <w:rFonts w:hint="eastAsia" w:ascii="仿宋" w:hAnsi="仿宋" w:eastAsia="仿宋" w:cs="仿宋"/>
                <w:sz w:val="24"/>
                <w:szCs w:val="24"/>
                <w:highlight w:val="none"/>
              </w:rPr>
              <w:t>显示操作员、内镜编号、当前操作步骤、消毒液实时温度、消毒液已使用时间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Pr>
          <w:p>
            <w:pPr>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30</w:t>
            </w:r>
          </w:p>
        </w:tc>
        <w:tc>
          <w:tcPr>
            <w:tcW w:w="0" w:type="auto"/>
            <w:gridSpan w:val="5"/>
            <w:vAlign w:val="center"/>
          </w:tcPr>
          <w:p>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提供消毒产品安全评价报告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gridSpan w:val="6"/>
          </w:tcPr>
          <w:p>
            <w:pPr>
              <w:ind w:firstLine="2409" w:firstLineChars="1000"/>
              <w:rPr>
                <w:rFonts w:hint="eastAsia" w:ascii="仿宋" w:hAnsi="仿宋" w:eastAsia="仿宋" w:cs="仿宋"/>
                <w:sz w:val="24"/>
                <w:szCs w:val="24"/>
                <w:highlight w:val="none"/>
              </w:rPr>
            </w:pPr>
            <w:r>
              <w:rPr>
                <w:rFonts w:hint="eastAsia" w:ascii="仿宋" w:hAnsi="仿宋" w:eastAsia="仿宋" w:cs="仿宋"/>
                <w:b/>
                <w:sz w:val="24"/>
                <w:szCs w:val="24"/>
                <w:highlight w:val="none"/>
              </w:rPr>
              <w:t>二、配置要求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restart"/>
          </w:tcPr>
          <w:p>
            <w:pPr>
              <w:rPr>
                <w:rFonts w:hint="eastAsia" w:ascii="仿宋" w:hAnsi="仿宋" w:eastAsia="仿宋" w:cs="仿宋"/>
                <w:bCs/>
                <w:sz w:val="24"/>
                <w:szCs w:val="24"/>
                <w:highlight w:val="none"/>
              </w:rPr>
            </w:pPr>
          </w:p>
        </w:tc>
        <w:tc>
          <w:tcPr>
            <w:tcW w:w="0" w:type="auto"/>
            <w:gridSpan w:val="5"/>
            <w:vMerge w:val="restart"/>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电路板1套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0" w:type="auto"/>
            <w:vMerge w:val="continue"/>
          </w:tcPr>
          <w:p>
            <w:pPr>
              <w:rPr>
                <w:rFonts w:hint="eastAsia" w:ascii="仿宋" w:hAnsi="仿宋" w:eastAsia="仿宋" w:cs="仿宋"/>
                <w:bCs/>
                <w:sz w:val="24"/>
                <w:szCs w:val="24"/>
                <w:highlight w:val="none"/>
              </w:rPr>
            </w:pPr>
          </w:p>
        </w:tc>
        <w:tc>
          <w:tcPr>
            <w:tcW w:w="0" w:type="auto"/>
            <w:gridSpan w:val="5"/>
            <w:vMerge w:val="continue"/>
          </w:tcPr>
          <w:p>
            <w:pP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变压器2个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打印机1个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吹干气泵2个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消毒液箱2个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测漏系统1套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电源系统1套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洗消系统2套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酶液系统1套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酒精系统1套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消毒机槽2个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进水系统1套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消毒机盖2个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机壳1套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脚轮4个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Cs/>
                <w:sz w:val="24"/>
                <w:szCs w:val="24"/>
                <w:highlight w:val="none"/>
              </w:rPr>
            </w:pPr>
          </w:p>
        </w:tc>
        <w:tc>
          <w:tcPr>
            <w:tcW w:w="0" w:type="auto"/>
            <w:gridSpan w:val="5"/>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平板电脑1个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gridSpan w:val="6"/>
          </w:tcPr>
          <w:p>
            <w:pPr>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tcPr>
          <w:p>
            <w:pPr>
              <w:rPr>
                <w:rFonts w:hint="eastAsia" w:ascii="仿宋" w:hAnsi="仿宋" w:eastAsia="仿宋" w:cs="仿宋"/>
                <w:b/>
                <w:sz w:val="24"/>
                <w:szCs w:val="24"/>
                <w:highlight w:val="none"/>
              </w:rPr>
            </w:pPr>
          </w:p>
        </w:tc>
        <w:tc>
          <w:tcPr>
            <w:tcW w:w="0" w:type="auto"/>
            <w:gridSpan w:val="5"/>
          </w:tcPr>
          <w:p>
            <w:pPr>
              <w:rPr>
                <w:rFonts w:hint="eastAsia" w:ascii="仿宋" w:hAnsi="仿宋" w:eastAsia="仿宋" w:cs="仿宋"/>
                <w:b/>
                <w:sz w:val="24"/>
                <w:szCs w:val="24"/>
                <w:highlight w:val="none"/>
              </w:rPr>
            </w:pPr>
            <w:r>
              <w:rPr>
                <w:rFonts w:hint="eastAsia" w:ascii="仿宋" w:hAnsi="仿宋" w:eastAsia="仿宋" w:cs="仿宋"/>
                <w:color w:val="000000"/>
                <w:sz w:val="24"/>
                <w:szCs w:val="24"/>
                <w:highlight w:val="none"/>
              </w:rPr>
              <w:t>保修期：</w:t>
            </w:r>
            <w:r>
              <w:rPr>
                <w:rFonts w:hint="eastAsia" w:ascii="仿宋" w:hAnsi="仿宋" w:eastAsia="仿宋" w:cs="仿宋"/>
                <w:bCs/>
                <w:sz w:val="24"/>
                <w:szCs w:val="24"/>
                <w:highlight w:val="none"/>
              </w:rPr>
              <w:t>整机质保3年，发生故障2小时响应，</w:t>
            </w:r>
            <w:r>
              <w:rPr>
                <w:rFonts w:hint="eastAsia" w:ascii="仿宋" w:hAnsi="仿宋" w:eastAsia="仿宋" w:cs="仿宋"/>
                <w:bCs/>
                <w:sz w:val="24"/>
                <w:szCs w:val="24"/>
                <w:highlight w:val="none"/>
                <w:lang w:val="en-US" w:eastAsia="zh-CN"/>
              </w:rPr>
              <w:t>12小时内到场，72</w:t>
            </w:r>
            <w:r>
              <w:rPr>
                <w:rFonts w:hint="eastAsia" w:ascii="仿宋" w:hAnsi="仿宋" w:eastAsia="仿宋" w:cs="仿宋"/>
                <w:bCs/>
                <w:sz w:val="24"/>
                <w:szCs w:val="24"/>
                <w:highlight w:val="none"/>
              </w:rPr>
              <w:t>小时内无法解决提供备用机，质保期后免费上门维修，只收取配件费。</w:t>
            </w:r>
          </w:p>
        </w:tc>
      </w:tr>
    </w:tbl>
    <w:p>
      <w:pPr>
        <w:rPr>
          <w:rFonts w:ascii="宋体" w:hAnsi="宋体"/>
          <w:szCs w:val="21"/>
          <w:highlight w:val="none"/>
        </w:rPr>
      </w:pPr>
    </w:p>
    <w:p>
      <w:pPr>
        <w:spacing w:line="560" w:lineRule="exact"/>
        <w:jc w:val="both"/>
        <w:rPr>
          <w:rFonts w:hint="eastAsia" w:eastAsia="宋体"/>
          <w:b/>
          <w:sz w:val="32"/>
          <w:szCs w:val="32"/>
          <w:highlight w:val="none"/>
          <w:lang w:val="en-US" w:eastAsia="zh-CN"/>
        </w:rPr>
      </w:pPr>
      <w:r>
        <w:rPr>
          <w:rFonts w:hint="eastAsia" w:ascii="仿宋" w:hAnsi="仿宋" w:eastAsia="仿宋" w:cs="仿宋"/>
          <w:b/>
          <w:bCs w:val="0"/>
          <w:color w:val="auto"/>
          <w:szCs w:val="24"/>
          <w:highlight w:val="none"/>
          <w:lang w:val="en-US" w:eastAsia="zh-CN"/>
        </w:rPr>
        <w:t>2、消化道动力检测系统（核心产品）</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895"/>
        <w:gridCol w:w="1531"/>
        <w:gridCol w:w="497"/>
        <w:gridCol w:w="586"/>
        <w:gridCol w:w="923"/>
        <w:gridCol w:w="820"/>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消化道动力检测系统</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采购数量</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进口/国产</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整机要求：可进行肛肠压力检测、胃肠电图检测两个系统或一体机型,可升级安装食管动力检测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技术性能：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肛肠压力检测部分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测压通道数：≥8通道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测压范围：  -100mmHg～450mmHg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满量程输出：≥450mmHg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精确度： -100～100mmHg  ±1.5 mmHg；100～450mmHg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频率特性：  0.1 ～ 2.5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共模抑制比：≥50dB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压力控制方式：计算机自动恒压控制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水灌注装置系统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灌注泵加压自动控制，计算机实时数字显示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医用灌注储水瓶，具有泄漏实时报警提示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灌注水阀：一键式自动开关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测压软件包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系统参数校准；具有零点平衡再定位功能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具有自动诊断模式，根据分析数据，给出诊断意见，报告可手动更改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检测项目</w:t>
            </w:r>
          </w:p>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检测直肠静息压、肛管静息压、肛管舒张压、肛管最大收缩压、肛管最大收缩时间、直肠肛门抑制反射、直肠容量感觉阈值、直肠恒定感觉、直肠最大耐受感觉阈值、直肠蠕动波、肛管蠕动波、肛管收缩波、肛管功能长度等多种压力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生物反馈训练软件包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训练方式：人机对话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训练选择：独立的腹压和肛门括约肌协调训练，根据患者情况进行选择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5.3</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具有生物反馈训练效果评估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胃肠电图部分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采集和处理胃肠电信号：≥8通道，胃、肠可同步或单独采集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系统分析功能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临床检查报告≥1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项分析功能：波形平均幅值VP-P（μV）；   波形平均频率（CPM）；  胃肠电节律紊乱百分比；  波形反应面积RA；  导联时间差（传导速率）（Sec.）；  波形主频率（CPM）；  主功率比；  正常慢波百分比；  慢波频率不稳定系数；  偶联百分比；  餐后/餐前功率比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具有</w:t>
            </w:r>
            <w:r>
              <w:rPr>
                <w:rFonts w:hint="eastAsia" w:ascii="仿宋" w:hAnsi="仿宋" w:eastAsia="仿宋" w:cs="仿宋"/>
                <w:sz w:val="24"/>
                <w:szCs w:val="24"/>
                <w:highlight w:val="none"/>
              </w:rPr>
              <w:t>胃肠电二维功率谱分析功能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具有</w:t>
            </w:r>
            <w:r>
              <w:rPr>
                <w:rFonts w:hint="eastAsia" w:ascii="仿宋" w:hAnsi="仿宋" w:eastAsia="仿宋" w:cs="仿宋"/>
                <w:sz w:val="24"/>
                <w:szCs w:val="24"/>
                <w:highlight w:val="none"/>
              </w:rPr>
              <w:t>波形数据分析功能（时域分析）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before="120"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主要技术指标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频带：胃电：0.025 H</w:t>
            </w:r>
            <w:r>
              <w:rPr>
                <w:rFonts w:hint="eastAsia" w:ascii="仿宋" w:hAnsi="仿宋" w:eastAsia="仿宋" w:cs="仿宋"/>
                <w:sz w:val="24"/>
                <w:szCs w:val="24"/>
                <w:highlight w:val="none"/>
                <w:lang w:val="en-US" w:eastAsia="zh-CN"/>
              </w:rPr>
              <w:t>z</w:t>
            </w:r>
            <w:r>
              <w:rPr>
                <w:rFonts w:hint="eastAsia" w:ascii="仿宋" w:hAnsi="仿宋" w:eastAsia="仿宋" w:cs="仿宋"/>
                <w:sz w:val="24"/>
                <w:szCs w:val="24"/>
                <w:highlight w:val="none"/>
              </w:rPr>
              <w:t>～0.06</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H</w:t>
            </w:r>
            <w:r>
              <w:rPr>
                <w:rFonts w:hint="eastAsia" w:ascii="仿宋" w:hAnsi="仿宋" w:eastAsia="仿宋" w:cs="仿宋"/>
                <w:sz w:val="24"/>
                <w:szCs w:val="24"/>
                <w:highlight w:val="none"/>
                <w:lang w:val="en-US" w:eastAsia="zh-CN"/>
              </w:rPr>
              <w:t>z</w:t>
            </w:r>
            <w:r>
              <w:rPr>
                <w:rFonts w:hint="eastAsia" w:ascii="仿宋" w:hAnsi="仿宋" w:eastAsia="仿宋" w:cs="仿宋"/>
                <w:sz w:val="24"/>
                <w:szCs w:val="24"/>
                <w:highlight w:val="none"/>
              </w:rPr>
              <w:t>；肠电：0.025 H</w:t>
            </w:r>
            <w:r>
              <w:rPr>
                <w:rFonts w:hint="eastAsia" w:ascii="仿宋" w:hAnsi="仿宋" w:eastAsia="仿宋" w:cs="仿宋"/>
                <w:sz w:val="24"/>
                <w:szCs w:val="24"/>
                <w:highlight w:val="none"/>
                <w:lang w:val="en-US" w:eastAsia="zh-CN"/>
              </w:rPr>
              <w:t>z</w:t>
            </w:r>
            <w:r>
              <w:rPr>
                <w:rFonts w:hint="eastAsia" w:ascii="仿宋" w:hAnsi="仿宋" w:eastAsia="仿宋" w:cs="仿宋"/>
                <w:sz w:val="24"/>
                <w:szCs w:val="24"/>
                <w:highlight w:val="none"/>
              </w:rPr>
              <w:t>～0.3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H</w:t>
            </w:r>
            <w:r>
              <w:rPr>
                <w:rFonts w:hint="eastAsia" w:ascii="仿宋" w:hAnsi="仿宋" w:eastAsia="仿宋" w:cs="仿宋"/>
                <w:sz w:val="24"/>
                <w:szCs w:val="24"/>
                <w:highlight w:val="none"/>
                <w:lang w:val="en-US" w:eastAsia="zh-CN"/>
              </w:rPr>
              <w:t>z</w:t>
            </w: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抗干扰能力</w:t>
            </w:r>
          </w:p>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a.对工作频率0.05Hz的干扰CMRR≥70dB；</w:t>
            </w:r>
          </w:p>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b.道间干扰CMRR≥50dB。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8"/>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二、配置要求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240" w:firstLineChars="100"/>
              <w:rPr>
                <w:rFonts w:hint="eastAsia" w:ascii="仿宋" w:hAnsi="仿宋" w:eastAsia="仿宋" w:cs="仿宋"/>
                <w:b/>
                <w:spacing w:val="20"/>
                <w:sz w:val="24"/>
                <w:szCs w:val="24"/>
                <w:highlight w:val="none"/>
              </w:rPr>
            </w:pPr>
            <w:r>
              <w:rPr>
                <w:rFonts w:hint="eastAsia" w:ascii="仿宋" w:hAnsi="仿宋" w:eastAsia="仿宋" w:cs="仿宋"/>
                <w:sz w:val="24"/>
                <w:szCs w:val="24"/>
                <w:highlight w:val="none"/>
              </w:rPr>
              <w:t>主 机</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消化道动力检测仪</w:t>
            </w:r>
          </w:p>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 可移动式整体台车</w:t>
            </w:r>
          </w:p>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 品牌商用计算机 </w:t>
            </w:r>
          </w:p>
          <w:p>
            <w:pPr>
              <w:spacing w:line="276"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3）肛肠压力信号放大处理</w:t>
            </w:r>
            <w:r>
              <w:rPr>
                <w:rFonts w:hint="eastAsia" w:ascii="仿宋" w:hAnsi="仿宋" w:eastAsia="仿宋" w:cs="仿宋"/>
                <w:sz w:val="24"/>
                <w:szCs w:val="24"/>
                <w:highlight w:val="none"/>
                <w:lang w:val="en-US" w:eastAsia="zh-CN"/>
              </w:rPr>
              <w:t>器</w:t>
            </w:r>
          </w:p>
          <w:p>
            <w:pPr>
              <w:spacing w:line="276" w:lineRule="auto"/>
              <w:rPr>
                <w:rFonts w:hint="eastAsia" w:ascii="仿宋" w:hAnsi="仿宋" w:eastAsia="仿宋" w:cs="仿宋"/>
                <w:b/>
                <w:spacing w:val="20"/>
                <w:sz w:val="24"/>
                <w:szCs w:val="24"/>
                <w:highlight w:val="none"/>
                <w:lang w:val="en-US" w:eastAsia="zh-CN"/>
              </w:rPr>
            </w:pPr>
            <w:r>
              <w:rPr>
                <w:rFonts w:hint="eastAsia" w:ascii="仿宋" w:hAnsi="仿宋" w:eastAsia="仿宋" w:cs="仿宋"/>
                <w:sz w:val="24"/>
                <w:szCs w:val="24"/>
                <w:highlight w:val="none"/>
              </w:rPr>
              <w:t>4）胃肠电信号放大处理</w:t>
            </w:r>
            <w:r>
              <w:rPr>
                <w:rFonts w:hint="eastAsia" w:ascii="仿宋" w:hAnsi="仿宋" w:eastAsia="仿宋" w:cs="仿宋"/>
                <w:sz w:val="24"/>
                <w:szCs w:val="24"/>
                <w:highlight w:val="none"/>
                <w:lang w:val="en-US" w:eastAsia="zh-CN"/>
              </w:rPr>
              <w:t>器</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vMerge w:val="restart"/>
            <w:tcBorders>
              <w:top w:val="single" w:color="auto" w:sz="4" w:space="0"/>
              <w:left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p>
            <w:pPr>
              <w:spacing w:line="276" w:lineRule="auto"/>
              <w:jc w:val="center"/>
              <w:rPr>
                <w:rFonts w:hint="eastAsia" w:ascii="仿宋" w:hAnsi="仿宋" w:eastAsia="仿宋" w:cs="仿宋"/>
                <w:sz w:val="24"/>
                <w:szCs w:val="24"/>
                <w:highlight w:val="none"/>
              </w:rPr>
            </w:pPr>
          </w:p>
          <w:p>
            <w:pPr>
              <w:spacing w:line="276" w:lineRule="auto"/>
              <w:jc w:val="center"/>
              <w:rPr>
                <w:rFonts w:hint="eastAsia" w:ascii="仿宋" w:hAnsi="仿宋" w:eastAsia="仿宋" w:cs="仿宋"/>
                <w:sz w:val="24"/>
                <w:szCs w:val="24"/>
                <w:highlight w:val="none"/>
              </w:rPr>
            </w:pPr>
          </w:p>
          <w:p>
            <w:pPr>
              <w:spacing w:line="276"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标 准</w:t>
            </w:r>
          </w:p>
          <w:p>
            <w:pPr>
              <w:spacing w:line="276" w:lineRule="auto"/>
              <w:ind w:firstLine="240" w:firstLineChars="100"/>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配 件</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彩色喷墨打印机         </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vMerge w:val="continue"/>
            <w:tcBorders>
              <w:left w:val="single" w:color="auto" w:sz="4" w:space="0"/>
              <w:right w:val="single" w:color="auto" w:sz="4" w:space="0"/>
            </w:tcBorders>
            <w:noWrap w:val="0"/>
            <w:vAlign w:val="center"/>
          </w:tcPr>
          <w:p>
            <w:pPr>
              <w:spacing w:line="276" w:lineRule="auto"/>
              <w:ind w:firstLine="240" w:firstLineChars="100"/>
              <w:rPr>
                <w:rFonts w:hint="eastAsia" w:ascii="仿宋" w:hAnsi="仿宋" w:eastAsia="仿宋" w:cs="仿宋"/>
                <w:color w:val="000000"/>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肛肠测压拖动器（含固定架）</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自动停止</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0" w:type="auto"/>
            <w:vMerge w:val="continue"/>
            <w:tcBorders>
              <w:left w:val="single" w:color="auto" w:sz="4" w:space="0"/>
              <w:right w:val="single" w:color="auto" w:sz="4" w:space="0"/>
            </w:tcBorders>
            <w:noWrap w:val="0"/>
            <w:vAlign w:val="center"/>
          </w:tcPr>
          <w:p>
            <w:pPr>
              <w:spacing w:line="276" w:lineRule="auto"/>
              <w:ind w:firstLine="240" w:firstLineChars="100"/>
              <w:rPr>
                <w:rFonts w:hint="eastAsia" w:ascii="仿宋" w:hAnsi="仿宋" w:eastAsia="仿宋" w:cs="仿宋"/>
                <w:color w:val="000000"/>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恒压灌注装置</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vMerge w:val="continue"/>
            <w:tcBorders>
              <w:left w:val="single" w:color="auto" w:sz="4" w:space="0"/>
              <w:right w:val="single" w:color="auto" w:sz="4" w:space="0"/>
            </w:tcBorders>
            <w:noWrap w:val="0"/>
            <w:vAlign w:val="center"/>
          </w:tcPr>
          <w:p>
            <w:pPr>
              <w:spacing w:line="276" w:lineRule="auto"/>
              <w:ind w:firstLine="240" w:firstLineChars="100"/>
              <w:rPr>
                <w:rFonts w:hint="eastAsia" w:ascii="仿宋" w:hAnsi="仿宋" w:eastAsia="仿宋" w:cs="仿宋"/>
                <w:color w:val="000000"/>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专用压力传感器</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color w:val="000000"/>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肛肠测压导管</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8通道</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color w:val="000000"/>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三通（测压管充气用）</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bCs/>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注射器</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50ml</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bCs/>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气囊球（配捆绑线）</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bCs/>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八通道胃肠电导联盒</w:t>
            </w:r>
            <w:r>
              <w:rPr>
                <w:rFonts w:hint="eastAsia" w:ascii="仿宋" w:hAnsi="仿宋" w:eastAsia="仿宋" w:cs="仿宋"/>
                <w:sz w:val="24"/>
                <w:szCs w:val="24"/>
                <w:highlight w:val="none"/>
              </w:rPr>
              <w:tab/>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bCs/>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胃肠电采集电极</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bCs/>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一次性电极片</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bCs/>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接地线</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0" w:type="auto"/>
            <w:vMerge w:val="restart"/>
            <w:tcBorders>
              <w:top w:val="single" w:color="auto" w:sz="4" w:space="0"/>
              <w:left w:val="single" w:color="auto" w:sz="4" w:space="0"/>
              <w:right w:val="single" w:color="auto" w:sz="4" w:space="0"/>
            </w:tcBorders>
            <w:noWrap w:val="0"/>
            <w:vAlign w:val="center"/>
          </w:tcPr>
          <w:p>
            <w:pPr>
              <w:spacing w:line="276" w:lineRule="auto"/>
              <w:ind w:firstLine="240" w:firstLineChars="100"/>
              <w:rPr>
                <w:rFonts w:hint="eastAsia" w:ascii="仿宋" w:hAnsi="仿宋" w:eastAsia="仿宋" w:cs="仿宋"/>
                <w:bCs/>
                <w:sz w:val="24"/>
                <w:szCs w:val="24"/>
                <w:highlight w:val="none"/>
              </w:rPr>
            </w:pPr>
            <w:r>
              <w:rPr>
                <w:rFonts w:hint="eastAsia" w:ascii="仿宋" w:hAnsi="仿宋" w:eastAsia="仿宋" w:cs="仿宋"/>
                <w:sz w:val="24"/>
                <w:szCs w:val="24"/>
                <w:highlight w:val="none"/>
              </w:rPr>
              <w:t>备 件</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过滤器</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0" w:type="auto"/>
            <w:vMerge w:val="continue"/>
            <w:tcBorders>
              <w:left w:val="single" w:color="auto" w:sz="4" w:space="0"/>
              <w:right w:val="single" w:color="auto" w:sz="4" w:space="0"/>
            </w:tcBorders>
            <w:noWrap w:val="0"/>
            <w:vAlign w:val="center"/>
          </w:tcPr>
          <w:p>
            <w:pPr>
              <w:spacing w:line="276" w:lineRule="auto"/>
              <w:rPr>
                <w:rFonts w:hint="eastAsia" w:ascii="仿宋" w:hAnsi="仿宋" w:eastAsia="仿宋" w:cs="仿宋"/>
                <w:bCs/>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灌流器</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0" w:type="auto"/>
            <w:vMerge w:val="continue"/>
            <w:tcBorders>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bCs/>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疏通器</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z w:val="24"/>
                <w:szCs w:val="24"/>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售后保障</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pStyle w:val="18"/>
              <w:spacing w:line="360" w:lineRule="auto"/>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合同签订后整机质保</w:t>
            </w:r>
            <w:r>
              <w:rPr>
                <w:rFonts w:hint="eastAsia" w:ascii="仿宋" w:hAnsi="仿宋" w:eastAsia="仿宋" w:cs="仿宋"/>
                <w:color w:val="000000"/>
                <w:kern w:val="2"/>
                <w:sz w:val="24"/>
                <w:szCs w:val="24"/>
                <w:highlight w:val="none"/>
                <w:lang w:val="en-US" w:eastAsia="zh-CN"/>
              </w:rPr>
              <w:t>3</w:t>
            </w:r>
            <w:r>
              <w:rPr>
                <w:rFonts w:hint="eastAsia" w:ascii="仿宋" w:hAnsi="仿宋" w:eastAsia="仿宋" w:cs="仿宋"/>
                <w:color w:val="000000"/>
                <w:kern w:val="2"/>
                <w:sz w:val="24"/>
                <w:szCs w:val="24"/>
                <w:highlight w:val="none"/>
              </w:rPr>
              <w:t>年，</w:t>
            </w:r>
            <w:r>
              <w:rPr>
                <w:rFonts w:hint="eastAsia" w:ascii="仿宋" w:hAnsi="仿宋" w:eastAsia="仿宋" w:cs="仿宋"/>
                <w:sz w:val="24"/>
                <w:szCs w:val="24"/>
                <w:highlight w:val="none"/>
              </w:rPr>
              <w:t>故障</w:t>
            </w:r>
            <w:r>
              <w:rPr>
                <w:rFonts w:hint="eastAsia" w:ascii="仿宋" w:hAnsi="仿宋" w:eastAsia="仿宋" w:cs="仿宋"/>
                <w:b w:val="0"/>
                <w:bCs w:val="0"/>
                <w:sz w:val="24"/>
                <w:szCs w:val="24"/>
                <w:highlight w:val="none"/>
                <w:u w:val="none"/>
              </w:rPr>
              <w:t>2</w:t>
            </w:r>
            <w:r>
              <w:rPr>
                <w:rFonts w:hint="eastAsia" w:ascii="仿宋" w:hAnsi="仿宋" w:eastAsia="仿宋" w:cs="仿宋"/>
                <w:sz w:val="24"/>
                <w:szCs w:val="24"/>
                <w:highlight w:val="none"/>
              </w:rPr>
              <w:t>小时内响应，并在</w:t>
            </w:r>
            <w:r>
              <w:rPr>
                <w:rFonts w:hint="eastAsia" w:ascii="仿宋" w:hAnsi="仿宋" w:eastAsia="仿宋" w:cs="仿宋"/>
                <w:b w:val="0"/>
                <w:bCs w:val="0"/>
                <w:sz w:val="24"/>
                <w:szCs w:val="24"/>
                <w:highlight w:val="none"/>
                <w:u w:val="none"/>
                <w:lang w:val="en-US" w:eastAsia="zh-CN"/>
              </w:rPr>
              <w:t>12</w:t>
            </w:r>
            <w:r>
              <w:rPr>
                <w:rFonts w:hint="eastAsia" w:ascii="仿宋" w:hAnsi="仿宋" w:eastAsia="仿宋" w:cs="仿宋"/>
                <w:sz w:val="24"/>
                <w:szCs w:val="24"/>
                <w:highlight w:val="none"/>
              </w:rPr>
              <w:t>小时内到达现场，72小时内无法排除故障提供备用机。软件终生免费升级，质保期外免费上门维修，仅收取配件成本。</w:t>
            </w:r>
          </w:p>
        </w:tc>
      </w:tr>
    </w:tbl>
    <w:p>
      <w:pPr>
        <w:pStyle w:val="3"/>
        <w:bidi w:val="0"/>
        <w:spacing w:line="360" w:lineRule="auto"/>
        <w:jc w:val="center"/>
        <w:rPr>
          <w:rFonts w:hint="eastAsia" w:ascii="仿宋" w:hAnsi="仿宋" w:eastAsia="仿宋" w:cs="仿宋"/>
          <w:color w:val="auto"/>
          <w:highlight w:val="none"/>
        </w:rPr>
        <w:sectPr>
          <w:footerReference r:id="rId19" w:type="first"/>
          <w:pgSz w:w="11905" w:h="16840"/>
          <w:pgMar w:top="1417" w:right="1417" w:bottom="1417" w:left="1417" w:header="935" w:footer="907" w:gutter="0"/>
          <w:pgNumType w:fmt="decimal"/>
          <w:cols w:space="0" w:num="1"/>
          <w:titlePg/>
          <w:rtlGutter w:val="0"/>
          <w:docGrid w:linePitch="312" w:charSpace="0"/>
        </w:sectPr>
      </w:pPr>
    </w:p>
    <w:p>
      <w:pPr>
        <w:pStyle w:val="3"/>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商务要求</w:t>
      </w:r>
    </w:p>
    <w:p>
      <w:pPr>
        <w:spacing w:line="560" w:lineRule="exact"/>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一、交货期及地点：</w:t>
      </w:r>
    </w:p>
    <w:p>
      <w:pPr>
        <w:adjustRightInd w:val="0"/>
        <w:snapToGrid w:val="0"/>
        <w:spacing w:line="560" w:lineRule="exact"/>
        <w:ind w:firstLine="600" w:firstLineChars="250"/>
        <w:rPr>
          <w:rFonts w:hint="eastAsia" w:ascii="仿宋" w:hAnsi="仿宋" w:eastAsia="仿宋" w:cs="仿宋"/>
          <w:color w:val="auto"/>
          <w:szCs w:val="24"/>
          <w:highlight w:val="none"/>
        </w:rPr>
      </w:pPr>
      <w:bookmarkStart w:id="69" w:name="_Toc167715234"/>
      <w:bookmarkStart w:id="70" w:name="_Toc167714037"/>
      <w:bookmarkStart w:id="71" w:name="_Toc167712839"/>
      <w:r>
        <w:rPr>
          <w:rFonts w:hint="eastAsia" w:ascii="仿宋" w:hAnsi="仿宋" w:eastAsia="仿宋" w:cs="仿宋"/>
          <w:color w:val="auto"/>
          <w:szCs w:val="24"/>
          <w:highlight w:val="none"/>
        </w:rPr>
        <w:t>1、 交货期：</w:t>
      </w:r>
      <w:bookmarkEnd w:id="69"/>
      <w:bookmarkEnd w:id="70"/>
      <w:bookmarkEnd w:id="71"/>
      <w:r>
        <w:rPr>
          <w:rFonts w:hint="eastAsia" w:ascii="仿宋" w:hAnsi="仿宋" w:eastAsia="仿宋" w:cs="仿宋"/>
          <w:color w:val="auto"/>
          <w:szCs w:val="24"/>
          <w:highlight w:val="none"/>
        </w:rPr>
        <w:t>自合同签订之日起</w:t>
      </w:r>
      <w:r>
        <w:rPr>
          <w:rFonts w:hint="eastAsia" w:ascii="仿宋" w:hAnsi="仿宋" w:eastAsia="仿宋" w:cs="仿宋"/>
          <w:color w:val="auto"/>
          <w:szCs w:val="24"/>
          <w:highlight w:val="none"/>
          <w:lang w:val="en-US" w:eastAsia="zh-CN"/>
        </w:rPr>
        <w:t>60个日历日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adjustRightInd w:val="0"/>
        <w:snapToGrid w:val="0"/>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交货地点：</w:t>
      </w:r>
      <w:r>
        <w:rPr>
          <w:rFonts w:hint="eastAsia" w:ascii="仿宋" w:hAnsi="仿宋" w:eastAsia="仿宋" w:cs="仿宋"/>
          <w:color w:val="auto"/>
          <w:szCs w:val="24"/>
          <w:highlight w:val="none"/>
          <w:lang w:eastAsia="zh-CN"/>
        </w:rPr>
        <w:t>陕西省第二人民医院</w:t>
      </w:r>
      <w:r>
        <w:rPr>
          <w:rFonts w:hint="eastAsia" w:ascii="仿宋" w:hAnsi="仿宋" w:eastAsia="仿宋" w:cs="仿宋"/>
          <w:color w:val="auto"/>
          <w:szCs w:val="24"/>
          <w:highlight w:val="none"/>
        </w:rPr>
        <w:t>指定地点。</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二、包装、运输、安装、调试及培训要求：</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2、运输：</w:t>
      </w:r>
      <w:r>
        <w:rPr>
          <w:rFonts w:hint="eastAsia" w:ascii="仿宋" w:hAnsi="仿宋" w:eastAsia="仿宋" w:cs="仿宋"/>
          <w:color w:val="auto"/>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3、安装、调试及培训：中标人负责所有设备的安装、调试、培训工作，所有费用一次包死在总价内。</w:t>
      </w:r>
      <w:bookmarkStart w:id="72" w:name="_Toc167714062"/>
      <w:bookmarkStart w:id="73" w:name="_Toc167712864"/>
      <w:bookmarkStart w:id="74" w:name="_Toc167715259"/>
      <w:r>
        <w:rPr>
          <w:rFonts w:hint="eastAsia" w:ascii="仿宋" w:hAnsi="仿宋" w:eastAsia="仿宋" w:cs="仿宋"/>
          <w:color w:val="auto"/>
          <w:szCs w:val="24"/>
          <w:highlight w:val="none"/>
        </w:rPr>
        <w:t>每套设备安装调试完毕后，中标人必须安排技术人员对使用单位的设备管理人员进行操作应用及维护保养方面的技能培训</w:t>
      </w:r>
      <w:bookmarkEnd w:id="72"/>
      <w:bookmarkEnd w:id="73"/>
      <w:bookmarkEnd w:id="74"/>
      <w:r>
        <w:rPr>
          <w:rFonts w:hint="eastAsia" w:ascii="仿宋" w:hAnsi="仿宋" w:eastAsia="仿宋" w:cs="仿宋"/>
          <w:color w:val="auto"/>
          <w:szCs w:val="24"/>
          <w:highlight w:val="none"/>
        </w:rPr>
        <w:t>，使其掌握基本技能。</w:t>
      </w:r>
    </w:p>
    <w:p>
      <w:pPr>
        <w:adjustRightInd w:val="0"/>
        <w:snapToGrid w:val="0"/>
        <w:spacing w:line="560" w:lineRule="exact"/>
        <w:rPr>
          <w:rFonts w:hint="eastAsia" w:ascii="仿宋" w:hAnsi="仿宋" w:eastAsia="仿宋" w:cs="仿宋"/>
          <w:b/>
          <w:color w:val="auto"/>
          <w:szCs w:val="24"/>
          <w:highlight w:val="none"/>
          <w:u w:val="wavyHeavy" w:color="FF0000"/>
        </w:rPr>
      </w:pPr>
      <w:r>
        <w:rPr>
          <w:rFonts w:hint="eastAsia" w:ascii="仿宋" w:hAnsi="仿宋" w:eastAsia="仿宋" w:cs="仿宋"/>
          <w:b/>
          <w:color w:val="auto"/>
          <w:szCs w:val="24"/>
          <w:highlight w:val="none"/>
        </w:rPr>
        <w:t xml:space="preserve">    三、付款方式：</w:t>
      </w:r>
    </w:p>
    <w:p>
      <w:pPr>
        <w:adjustRightInd w:val="0"/>
        <w:snapToGrid w:val="0"/>
        <w:spacing w:line="560" w:lineRule="exact"/>
        <w:ind w:firstLine="480" w:firstLineChars="200"/>
        <w:rPr>
          <w:rFonts w:hint="eastAsia" w:ascii="仿宋" w:hAnsi="仿宋" w:eastAsia="仿宋" w:cs="仿宋"/>
          <w:color w:val="auto"/>
          <w:szCs w:val="24"/>
          <w:highlight w:val="none"/>
          <w:lang w:val="en-US" w:eastAsia="zh-CN"/>
        </w:rPr>
      </w:pPr>
      <w:bookmarkStart w:id="75" w:name="_Toc167714040"/>
      <w:bookmarkStart w:id="76" w:name="_Toc167712842"/>
      <w:bookmarkStart w:id="77" w:name="_Toc167715237"/>
      <w:r>
        <w:rPr>
          <w:rFonts w:hint="eastAsia" w:ascii="仿宋" w:hAnsi="仿宋" w:eastAsia="仿宋" w:cs="仿宋"/>
          <w:color w:val="auto"/>
          <w:szCs w:val="24"/>
          <w:highlight w:val="none"/>
          <w:lang w:val="en-US" w:eastAsia="zh-CN"/>
        </w:rPr>
        <w:t>合同签订后无预付款，乙方设备送达甲方指定地点，货到安装调试正常运行满30天后，甲方设备器械科组织验收，验收合格后由乙方开具全额发票给甲方；甲方收到乙方出具的全额发票后支付合同总金额的50%，设备交付一年后支付合同总金额的45%，剩余合同总价的5%尾款在质保期满后，设备无质量及其他问题后一次付清。</w:t>
      </w:r>
    </w:p>
    <w:p>
      <w:pPr>
        <w:adjustRightInd w:val="0"/>
        <w:snapToGrid w:val="0"/>
        <w:spacing w:line="560" w:lineRule="exact"/>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b/>
          <w:color w:val="auto"/>
          <w:szCs w:val="24"/>
          <w:highlight w:val="none"/>
        </w:rPr>
        <w:t xml:space="preserve">   四、验收</w:t>
      </w:r>
      <w:bookmarkEnd w:id="75"/>
      <w:bookmarkEnd w:id="76"/>
      <w:bookmarkEnd w:id="77"/>
      <w:bookmarkStart w:id="78" w:name="_Toc167712843"/>
      <w:bookmarkStart w:id="79" w:name="_Toc167714041"/>
      <w:bookmarkStart w:id="80" w:name="_Toc167715238"/>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rPr>
        <w:tab/>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1、项目验收分初验和终验:</w:t>
      </w:r>
      <w:bookmarkEnd w:id="78"/>
      <w:bookmarkEnd w:id="79"/>
      <w:bookmarkEnd w:id="80"/>
      <w:bookmarkStart w:id="81" w:name="_Toc167714042"/>
      <w:bookmarkStart w:id="82" w:name="_Toc167712844"/>
      <w:bookmarkStart w:id="83" w:name="_Toc167715239"/>
    </w:p>
    <w:bookmarkEnd w:id="81"/>
    <w:bookmarkEnd w:id="82"/>
    <w:bookmarkEnd w:id="83"/>
    <w:p>
      <w:pPr>
        <w:spacing w:line="560" w:lineRule="exact"/>
        <w:ind w:firstLine="480" w:firstLineChars="200"/>
        <w:rPr>
          <w:rFonts w:hint="eastAsia" w:ascii="仿宋" w:hAnsi="仿宋" w:eastAsia="仿宋" w:cs="仿宋"/>
          <w:color w:val="auto"/>
          <w:szCs w:val="24"/>
          <w:highlight w:val="none"/>
        </w:rPr>
      </w:pPr>
      <w:bookmarkStart w:id="84" w:name="_Toc167715241"/>
      <w:bookmarkStart w:id="85" w:name="_Toc167714044"/>
      <w:bookmarkStart w:id="86" w:name="_Toc167712846"/>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3、验收依据</w:t>
      </w:r>
      <w:bookmarkEnd w:id="84"/>
      <w:bookmarkEnd w:id="85"/>
      <w:bookmarkEnd w:id="86"/>
      <w:bookmarkStart w:id="87" w:name="_Toc167712847"/>
      <w:bookmarkStart w:id="88" w:name="_Toc167715242"/>
      <w:bookmarkStart w:id="89" w:name="_Toc167714045"/>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（1）合同文本及合同补充文件（条款）</w:t>
      </w:r>
      <w:bookmarkEnd w:id="87"/>
      <w:bookmarkEnd w:id="88"/>
      <w:bookmarkEnd w:id="89"/>
      <w:r>
        <w:rPr>
          <w:rFonts w:hint="eastAsia" w:ascii="仿宋" w:hAnsi="仿宋" w:eastAsia="仿宋" w:cs="仿宋"/>
          <w:color w:val="auto"/>
          <w:szCs w:val="24"/>
          <w:highlight w:val="none"/>
        </w:rPr>
        <w:t xml:space="preserve">；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spacing w:line="560" w:lineRule="exact"/>
        <w:ind w:firstLine="482" w:firstLineChars="200"/>
        <w:rPr>
          <w:rFonts w:hint="eastAsia" w:ascii="仿宋" w:hAnsi="仿宋" w:eastAsia="仿宋" w:cs="仿宋"/>
          <w:b/>
          <w:color w:val="auto"/>
          <w:szCs w:val="24"/>
          <w:highlight w:val="none"/>
        </w:rPr>
      </w:pPr>
      <w:bookmarkStart w:id="90" w:name="_Toc167715244"/>
      <w:bookmarkStart w:id="91" w:name="_Toc167712849"/>
      <w:bookmarkStart w:id="92" w:name="_Toc167714047"/>
      <w:r>
        <w:rPr>
          <w:rFonts w:hint="eastAsia" w:ascii="仿宋" w:hAnsi="仿宋" w:eastAsia="仿宋" w:cs="仿宋"/>
          <w:b/>
          <w:color w:val="auto"/>
          <w:szCs w:val="24"/>
          <w:highlight w:val="none"/>
        </w:rPr>
        <w:t>五、</w:t>
      </w:r>
      <w:bookmarkEnd w:id="90"/>
      <w:bookmarkEnd w:id="91"/>
      <w:bookmarkEnd w:id="92"/>
      <w:bookmarkStart w:id="93" w:name="_Toc167714051"/>
      <w:bookmarkStart w:id="94" w:name="_Toc167712853"/>
      <w:bookmarkStart w:id="95" w:name="_Toc167715248"/>
      <w:r>
        <w:rPr>
          <w:rFonts w:hint="eastAsia" w:ascii="仿宋" w:hAnsi="仿宋" w:eastAsia="仿宋" w:cs="仿宋"/>
          <w:b/>
          <w:color w:val="auto"/>
          <w:szCs w:val="24"/>
          <w:highlight w:val="none"/>
        </w:rPr>
        <w:t>质量保证</w:t>
      </w:r>
      <w:bookmarkEnd w:id="93"/>
      <w:bookmarkEnd w:id="94"/>
      <w:bookmarkEnd w:id="95"/>
    </w:p>
    <w:p>
      <w:pPr>
        <w:spacing w:line="560" w:lineRule="exact"/>
        <w:ind w:firstLine="472" w:firstLineChars="196"/>
        <w:rPr>
          <w:rFonts w:hint="eastAsia" w:ascii="仿宋" w:hAnsi="仿宋" w:eastAsia="仿宋" w:cs="仿宋"/>
          <w:color w:val="auto"/>
          <w:szCs w:val="24"/>
          <w:highlight w:val="none"/>
        </w:rPr>
      </w:pPr>
      <w:bookmarkStart w:id="96" w:name="_Toc167712857"/>
      <w:bookmarkStart w:id="97" w:name="_Toc167715252"/>
      <w:bookmarkStart w:id="98" w:name="_Toc167714055"/>
      <w:r>
        <w:rPr>
          <w:rFonts w:hint="eastAsia" w:ascii="仿宋" w:hAnsi="仿宋" w:eastAsia="仿宋" w:cs="仿宋"/>
          <w:b/>
          <w:color w:val="auto"/>
          <w:szCs w:val="24"/>
          <w:highlight w:val="none"/>
        </w:rPr>
        <w:t>1、</w:t>
      </w:r>
      <w:r>
        <w:rPr>
          <w:rFonts w:hint="eastAsia" w:ascii="仿宋" w:hAnsi="仿宋" w:eastAsia="仿宋" w:cs="仿宋"/>
          <w:b/>
          <w:bCs w:val="0"/>
          <w:color w:val="auto"/>
          <w:szCs w:val="24"/>
          <w:highlight w:val="none"/>
        </w:rPr>
        <w:t>质保期</w:t>
      </w:r>
      <w:r>
        <w:rPr>
          <w:rFonts w:hint="eastAsia" w:ascii="仿宋" w:hAnsi="仿宋" w:eastAsia="仿宋" w:cs="仿宋"/>
          <w:b/>
          <w:bCs w:val="0"/>
          <w:color w:val="auto"/>
          <w:szCs w:val="24"/>
          <w:highlight w:val="none"/>
          <w:lang w:val="en-US" w:eastAsia="zh-CN"/>
        </w:rPr>
        <w:t>按</w:t>
      </w:r>
      <w:r>
        <w:rPr>
          <w:rFonts w:hint="eastAsia" w:ascii="仿宋" w:hAnsi="仿宋" w:eastAsia="仿宋" w:cs="仿宋"/>
          <w:b/>
          <w:bCs w:val="0"/>
          <w:color w:val="auto"/>
          <w:szCs w:val="24"/>
          <w:highlight w:val="none"/>
        </w:rPr>
        <w:t>参数要求</w:t>
      </w:r>
      <w:r>
        <w:rPr>
          <w:rFonts w:hint="eastAsia" w:ascii="仿宋" w:hAnsi="仿宋" w:eastAsia="仿宋" w:cs="仿宋"/>
          <w:b/>
          <w:bCs w:val="0"/>
          <w:color w:val="auto"/>
          <w:szCs w:val="24"/>
          <w:highlight w:val="none"/>
          <w:lang w:val="en-US" w:eastAsia="zh-CN"/>
        </w:rPr>
        <w:t>提供质保</w:t>
      </w:r>
      <w:r>
        <w:rPr>
          <w:rFonts w:hint="eastAsia" w:ascii="仿宋" w:hAnsi="仿宋" w:eastAsia="仿宋" w:cs="仿宋"/>
          <w:b/>
          <w:bCs w:val="0"/>
          <w:color w:val="auto"/>
          <w:szCs w:val="24"/>
          <w:highlight w:val="none"/>
        </w:rPr>
        <w:t>。</w:t>
      </w:r>
      <w:r>
        <w:rPr>
          <w:rFonts w:hint="eastAsia" w:ascii="仿宋" w:hAnsi="仿宋" w:eastAsia="仿宋" w:cs="仿宋"/>
          <w:color w:val="auto"/>
          <w:kern w:val="0"/>
          <w:szCs w:val="24"/>
          <w:highlight w:val="none"/>
        </w:rPr>
        <w:t>中标人承诺的质保时间超过招标文件要求的，按其承诺时间质保。</w:t>
      </w:r>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2、中标人承诺的质保期起始时间为终验合格之日。</w:t>
      </w:r>
      <w:bookmarkStart w:id="99" w:name="_Toc167712855"/>
      <w:bookmarkStart w:id="100" w:name="_Toc167714053"/>
      <w:bookmarkStart w:id="101" w:name="_Toc167715250"/>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3、所有产品质量必须符合国家有关规范和相关政策。所有设备及辅材必须是未使用过的新产品，质量优良、渠道正当，配置合理。</w:t>
      </w:r>
      <w:bookmarkEnd w:id="99"/>
      <w:bookmarkEnd w:id="100"/>
      <w:bookmarkEnd w:id="101"/>
      <w:bookmarkStart w:id="102" w:name="_Toc167712856"/>
      <w:bookmarkStart w:id="103" w:name="_Toc167715251"/>
      <w:bookmarkStart w:id="104" w:name="_Toc167714054"/>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4、质保期出现的质量问题由中标人负责解决并承担所有费用。质保期后如需更换零部件，中标人应以优惠价提供。</w:t>
      </w:r>
      <w:bookmarkEnd w:id="102"/>
      <w:bookmarkEnd w:id="103"/>
      <w:bookmarkEnd w:id="104"/>
    </w:p>
    <w:bookmarkEnd w:id="96"/>
    <w:bookmarkEnd w:id="97"/>
    <w:bookmarkEnd w:id="98"/>
    <w:p>
      <w:pPr>
        <w:adjustRightInd w:val="0"/>
        <w:spacing w:line="560" w:lineRule="exact"/>
        <w:ind w:firstLine="482" w:firstLineChars="200"/>
        <w:rPr>
          <w:rFonts w:hint="eastAsia" w:ascii="仿宋" w:hAnsi="仿宋" w:eastAsia="仿宋" w:cs="仿宋"/>
          <w:b/>
          <w:color w:val="auto"/>
          <w:szCs w:val="24"/>
          <w:highlight w:val="none"/>
        </w:rPr>
      </w:pPr>
      <w:bookmarkStart w:id="105" w:name="_Toc167712868"/>
      <w:bookmarkStart w:id="106" w:name="_Toc167714066"/>
      <w:bookmarkStart w:id="107" w:name="_Toc167715263"/>
      <w:r>
        <w:rPr>
          <w:rFonts w:hint="eastAsia" w:ascii="仿宋" w:hAnsi="仿宋" w:eastAsia="仿宋" w:cs="仿宋"/>
          <w:b/>
          <w:color w:val="auto"/>
          <w:szCs w:val="24"/>
          <w:highlight w:val="none"/>
        </w:rPr>
        <w:t>六、合同实施：</w:t>
      </w:r>
      <w:bookmarkEnd w:id="105"/>
      <w:bookmarkEnd w:id="106"/>
      <w:bookmarkEnd w:id="107"/>
      <w:bookmarkStart w:id="108" w:name="_Toc167714067"/>
      <w:bookmarkStart w:id="109" w:name="_Toc167715264"/>
      <w:bookmarkStart w:id="110" w:name="_Toc167712869"/>
    </w:p>
    <w:p>
      <w:pPr>
        <w:adjustRightIn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 </w:t>
      </w:r>
      <w:bookmarkEnd w:id="108"/>
      <w:bookmarkEnd w:id="109"/>
      <w:bookmarkEnd w:id="110"/>
      <w:r>
        <w:rPr>
          <w:rFonts w:hint="eastAsia" w:ascii="仿宋" w:hAnsi="仿宋" w:eastAsia="仿宋" w:cs="仿宋"/>
          <w:color w:val="auto"/>
          <w:szCs w:val="24"/>
          <w:highlight w:val="none"/>
        </w:rPr>
        <w:t>、中标人应在合同签订后7个日历日内安排人员（项目组成人员简历表所列）与使用单位就送货、安装、调试、培训等工作进行安排、部署。</w:t>
      </w:r>
      <w:bookmarkStart w:id="111" w:name="_Toc167715265"/>
      <w:bookmarkStart w:id="112" w:name="_Toc167712870"/>
      <w:bookmarkStart w:id="113" w:name="_Toc167714068"/>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bookmarkEnd w:id="111"/>
      <w:bookmarkEnd w:id="112"/>
      <w:bookmarkEnd w:id="113"/>
      <w:r>
        <w:rPr>
          <w:rFonts w:hint="eastAsia" w:ascii="仿宋" w:hAnsi="仿宋" w:eastAsia="仿宋" w:cs="仿宋"/>
          <w:color w:val="auto"/>
          <w:szCs w:val="24"/>
          <w:highlight w:val="none"/>
        </w:rPr>
        <w:t xml:space="preserve"> 、若未能在交货期内完成合同规定的义务，由此对采购人造成的延误和一切损失，由中标人承担和赔偿。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七、违约责任：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1、按《</w:t>
      </w:r>
      <w:r>
        <w:rPr>
          <w:rFonts w:hint="eastAsia" w:ascii="仿宋" w:hAnsi="仿宋" w:eastAsia="仿宋" w:cs="仿宋"/>
          <w:color w:val="auto"/>
          <w:szCs w:val="24"/>
          <w:highlight w:val="none"/>
          <w:lang w:eastAsia="zh-CN"/>
        </w:rPr>
        <w:t>中华人民共和国民法典</w:t>
      </w:r>
      <w:r>
        <w:rPr>
          <w:rFonts w:hint="eastAsia" w:ascii="仿宋" w:hAnsi="仿宋" w:eastAsia="仿宋" w:cs="仿宋"/>
          <w:color w:val="auto"/>
          <w:szCs w:val="24"/>
          <w:highlight w:val="none"/>
        </w:rPr>
        <w:t>》中的相关条款执行。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highlight w:val="none"/>
        </w:rPr>
        <w:pict>
          <v:shape id="_x0000_s1027" o:spid="_x0000_s1027"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mzCkNcAAAAIAQAADwAAAAAAAAABACAAAAAiAAAAZHJzL2Rvd25yZXYueG1sUEsB&#10;AhQAFAAAAAgAh07iQDFgcG72AQAAEAQAAA4AAAAAAAAAAQAgAAAAJgEAAGRycy9lMm9Eb2MueG1s&#10;UEsFBgAAAAAGAAYAWQEAAI4FAAAAAA==&#10;">
            <v:path/>
            <v:fill focussize="0,0"/>
            <v:stroke joinstyle="miter"/>
            <v:imagedata o:title=""/>
            <o:lock v:ext="edit"/>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rPr>
          <w:rFonts w:hint="eastAsia" w:ascii="仿宋" w:hAnsi="仿宋" w:eastAsia="仿宋" w:cs="仿宋"/>
          <w:color w:val="auto"/>
          <w:highlight w:val="none"/>
        </w:rPr>
      </w:pPr>
      <w:bookmarkStart w:id="114" w:name="_Toc458617469"/>
      <w:bookmarkStart w:id="115" w:name="_Toc458617746"/>
      <w:r>
        <w:rPr>
          <w:rFonts w:hint="eastAsia" w:ascii="仿宋" w:hAnsi="仿宋" w:eastAsia="仿宋" w:cs="仿宋"/>
          <w:color w:val="auto"/>
          <w:highlight w:val="none"/>
        </w:rPr>
        <w:br w:type="page"/>
      </w:r>
    </w:p>
    <w:p>
      <w:pPr>
        <w:pStyle w:val="3"/>
        <w:spacing w:line="560" w:lineRule="exact"/>
        <w:jc w:val="center"/>
        <w:rPr>
          <w:rFonts w:hint="eastAsia" w:ascii="仿宋" w:hAnsi="仿宋" w:eastAsia="仿宋" w:cs="仿宋"/>
          <w:color w:val="auto"/>
          <w:szCs w:val="24"/>
          <w:highlight w:val="none"/>
          <w:lang w:eastAsia="zh-CN"/>
        </w:rPr>
      </w:pPr>
      <w:bookmarkStart w:id="116" w:name="_Toc25447"/>
      <w:r>
        <w:rPr>
          <w:rFonts w:hint="eastAsia" w:ascii="仿宋" w:hAnsi="仿宋" w:eastAsia="仿宋" w:cs="仿宋"/>
          <w:color w:val="auto"/>
          <w:highlight w:val="none"/>
        </w:rPr>
        <w:t>第五章  合同条款</w:t>
      </w:r>
      <w:bookmarkEnd w:id="114"/>
      <w:bookmarkEnd w:id="115"/>
      <w:bookmarkEnd w:id="116"/>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仅供参考</w:t>
      </w:r>
      <w:r>
        <w:rPr>
          <w:rFonts w:hint="eastAsia" w:ascii="仿宋" w:hAnsi="仿宋" w:eastAsia="仿宋" w:cs="仿宋"/>
          <w:color w:val="auto"/>
          <w:sz w:val="36"/>
          <w:szCs w:val="36"/>
          <w:highlight w:val="none"/>
          <w:lang w:eastAsia="zh-CN"/>
        </w:rPr>
        <w:t>）</w:t>
      </w:r>
    </w:p>
    <w:p>
      <w:pPr>
        <w:keepNext w:val="0"/>
        <w:keepLines w:val="0"/>
        <w:pageBreakBefore w:val="0"/>
        <w:kinsoku/>
        <w:overflowPunct/>
        <w:bidi w:val="0"/>
        <w:spacing w:line="540" w:lineRule="exact"/>
        <w:textAlignment w:val="auto"/>
        <w:rPr>
          <w:rFonts w:hint="eastAsia" w:ascii="仿宋" w:hAnsi="仿宋" w:eastAsia="仿宋" w:cs="仿宋"/>
          <w:b/>
          <w:color w:val="auto"/>
          <w:sz w:val="18"/>
          <w:szCs w:val="18"/>
          <w:highlight w:val="none"/>
          <w:u w:color="FF0000"/>
        </w:rPr>
      </w:pPr>
      <w:r>
        <w:rPr>
          <w:rFonts w:hint="eastAsia" w:ascii="仿宋" w:hAnsi="仿宋" w:eastAsia="仿宋" w:cs="仿宋"/>
          <w:color w:val="auto"/>
          <w:szCs w:val="24"/>
          <w:highlight w:val="none"/>
        </w:rPr>
        <w:t>一、供货合同格式</w:t>
      </w:r>
    </w:p>
    <w:p>
      <w:pPr>
        <w:keepNext w:val="0"/>
        <w:keepLines w:val="0"/>
        <w:pageBreakBefore w:val="0"/>
        <w:widowControl/>
        <w:kinsoku/>
        <w:wordWrap w:val="0"/>
        <w:overflowPunct/>
        <w:topLinePunct/>
        <w:bidi w:val="0"/>
        <w:spacing w:line="540" w:lineRule="exact"/>
        <w:ind w:right="-226" w:rightChars="-94"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eastAsia="zh-CN"/>
        </w:rPr>
        <w:t>膈肌起搏器等医疗设备采购项目</w:t>
      </w:r>
      <w:r>
        <w:rPr>
          <w:rFonts w:hint="eastAsia" w:ascii="仿宋" w:hAnsi="仿宋" w:eastAsia="仿宋" w:cs="仿宋"/>
          <w:color w:val="auto"/>
          <w:szCs w:val="24"/>
          <w:highlight w:val="none"/>
        </w:rPr>
        <w:t xml:space="preserve"> (文件编号：</w:t>
      </w:r>
      <w:r>
        <w:rPr>
          <w:rFonts w:hint="eastAsia" w:ascii="仿宋" w:hAnsi="仿宋" w:eastAsia="仿宋" w:cs="仿宋"/>
          <w:color w:val="auto"/>
          <w:szCs w:val="24"/>
          <w:highlight w:val="none"/>
          <w:lang w:eastAsia="zh-CN"/>
        </w:rPr>
        <w:t>HZGH-2022-041-02</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lang w:eastAsia="zh-CN"/>
        </w:rPr>
        <w:t>陕西省财政厅政府采购管理处</w:t>
      </w:r>
      <w:r>
        <w:rPr>
          <w:rFonts w:hint="eastAsia" w:ascii="仿宋" w:hAnsi="仿宋" w:eastAsia="仿宋" w:cs="仿宋"/>
          <w:color w:val="auto"/>
          <w:szCs w:val="24"/>
          <w:highlight w:val="none"/>
        </w:rPr>
        <w:t>的监督管理</w:t>
      </w:r>
      <w:r>
        <w:rPr>
          <w:rFonts w:hint="eastAsia" w:ascii="仿宋" w:hAnsi="仿宋" w:eastAsia="仿宋" w:cs="仿宋"/>
          <w:color w:val="auto"/>
          <w:kern w:val="0"/>
          <w:szCs w:val="24"/>
          <w:highlight w:val="none"/>
        </w:rPr>
        <w:t>下，由</w:t>
      </w:r>
      <w:r>
        <w:rPr>
          <w:rFonts w:hint="eastAsia" w:ascii="仿宋" w:hAnsi="仿宋" w:eastAsia="仿宋" w:cs="仿宋"/>
          <w:color w:val="auto"/>
          <w:kern w:val="0"/>
          <w:szCs w:val="24"/>
          <w:highlight w:val="none"/>
          <w:lang w:eastAsia="zh-CN"/>
        </w:rPr>
        <w:t>华招广和项目管理有限公司</w:t>
      </w:r>
      <w:r>
        <w:rPr>
          <w:rFonts w:hint="eastAsia" w:ascii="仿宋" w:hAnsi="仿宋" w:eastAsia="仿宋" w:cs="仿宋"/>
          <w:color w:val="auto"/>
          <w:kern w:val="0"/>
          <w:szCs w:val="24"/>
          <w:highlight w:val="none"/>
        </w:rPr>
        <w:t>组织公开招标。</w:t>
      </w:r>
      <w:r>
        <w:rPr>
          <w:rFonts w:hint="eastAsia" w:ascii="仿宋" w:hAnsi="仿宋" w:eastAsia="仿宋" w:cs="仿宋"/>
          <w:color w:val="auto"/>
          <w:kern w:val="0"/>
          <w:szCs w:val="24"/>
          <w:highlight w:val="none"/>
          <w:lang w:eastAsia="zh-CN"/>
        </w:rPr>
        <w:t>陕西省第二人民医院</w:t>
      </w:r>
      <w:r>
        <w:rPr>
          <w:rFonts w:hint="eastAsia" w:ascii="仿宋" w:hAnsi="仿宋" w:eastAsia="仿宋" w:cs="仿宋"/>
          <w:color w:val="auto"/>
          <w:kern w:val="0"/>
          <w:szCs w:val="24"/>
          <w:highlight w:val="none"/>
        </w:rPr>
        <w:t>(以下简称“买方”)确定 (中标单位名称) （以下简称“卖方”）为中标单位。</w:t>
      </w:r>
    </w:p>
    <w:p>
      <w:pPr>
        <w:keepNext w:val="0"/>
        <w:keepLines w:val="0"/>
        <w:pageBreakBefore w:val="0"/>
        <w:kinsoku/>
        <w:overflowPunct/>
        <w:bidi w:val="0"/>
        <w:spacing w:line="540" w:lineRule="exact"/>
        <w:ind w:right="240" w:rightChars="100"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依据《</w:t>
      </w:r>
      <w:r>
        <w:rPr>
          <w:rFonts w:hint="eastAsia" w:ascii="仿宋" w:hAnsi="仿宋" w:eastAsia="仿宋" w:cs="仿宋"/>
          <w:color w:val="auto"/>
          <w:kern w:val="0"/>
          <w:szCs w:val="24"/>
          <w:highlight w:val="none"/>
          <w:lang w:eastAsia="zh-CN"/>
        </w:rPr>
        <w:t>中华人民共和国民法典</w:t>
      </w:r>
      <w:r>
        <w:rPr>
          <w:rFonts w:hint="eastAsia" w:ascii="仿宋" w:hAnsi="仿宋" w:eastAsia="仿宋" w:cs="仿宋"/>
          <w:color w:val="auto"/>
          <w:kern w:val="0"/>
          <w:szCs w:val="24"/>
          <w:highlight w:val="none"/>
        </w:rPr>
        <w:t>》、《中华人民共和国政府采购法》《中华人民共和国政府采购法实施条例》，买方通过公开招标采购</w:t>
      </w:r>
      <w:r>
        <w:rPr>
          <w:rFonts w:hint="eastAsia" w:ascii="仿宋" w:hAnsi="仿宋" w:eastAsia="仿宋" w:cs="仿宋"/>
          <w:color w:val="auto"/>
          <w:kern w:val="0"/>
          <w:szCs w:val="24"/>
          <w:highlight w:val="none"/>
          <w:u w:val="single"/>
        </w:rPr>
        <w:t xml:space="preserve">（货物名称） </w:t>
      </w:r>
      <w:r>
        <w:rPr>
          <w:rFonts w:hint="eastAsia" w:ascii="仿宋" w:hAnsi="仿宋" w:eastAsia="仿宋" w:cs="仿宋"/>
          <w:color w:val="auto"/>
          <w:kern w:val="0"/>
          <w:szCs w:val="24"/>
          <w:highlight w:val="none"/>
        </w:rPr>
        <w:t>，并接受了卖方以价格</w:t>
      </w:r>
      <w:r>
        <w:rPr>
          <w:rFonts w:hint="eastAsia" w:ascii="仿宋" w:hAnsi="仿宋" w:eastAsia="仿宋" w:cs="仿宋"/>
          <w:color w:val="auto"/>
          <w:kern w:val="0"/>
          <w:szCs w:val="24"/>
          <w:highlight w:val="none"/>
          <w:u w:val="single"/>
        </w:rPr>
        <w:t>(中标金额大写)</w:t>
      </w:r>
      <w:r>
        <w:rPr>
          <w:rFonts w:hint="eastAsia" w:ascii="仿宋" w:hAnsi="仿宋" w:eastAsia="仿宋" w:cs="仿宋"/>
          <w:color w:val="auto"/>
          <w:kern w:val="0"/>
          <w:szCs w:val="24"/>
          <w:highlight w:val="none"/>
        </w:rPr>
        <w:t>(以下简称“合同价”)提供的产品及服务。</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bookmarkStart w:id="117" w:name="_Toc193187095"/>
      <w:bookmarkStart w:id="118" w:name="_Toc188808831"/>
      <w:bookmarkStart w:id="119" w:name="_Toc193126879"/>
      <w:bookmarkStart w:id="120" w:name="_Toc194663916"/>
      <w:r>
        <w:rPr>
          <w:rFonts w:hint="eastAsia" w:ascii="仿宋" w:hAnsi="仿宋" w:eastAsia="仿宋" w:cs="仿宋"/>
          <w:color w:val="auto"/>
          <w:szCs w:val="24"/>
          <w:highlight w:val="none"/>
        </w:rPr>
        <w:t>本合同在此声明如下：</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1、本合同中的词语和术语的含义与合同条款中定义的相同。</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2、下述文件是本合同的一部分，并与本合同一起阅读和解释：</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1）合同条款</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2）合同条款附件</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附件1—设备清单</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附件2—质量保证承诺</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附件3—售后服务方案</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附件4—培训计划</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3、考虑到买方将按照本合同向卖方支付货款，卖方在此保证全部按照合同的规定向买方提供货物和服务，并修补缺陷。</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5、付款方式：</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合同签订后无预付款，乙方设备送达甲方指定地点，货到安装调试正常运行满30天后，甲方设备器械科组织验收，验收合格后由乙方开具全额发票给甲方；甲方收到乙方出具的全额发票后支付合同总金额的50%，设备交付一年后支付合同总金额的45%，剩余合同总价的5%尾款在质保期满后，设备无质量及其他问题后一次付清。</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6、交 货 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交货地点：</w:t>
      </w:r>
      <w:r>
        <w:rPr>
          <w:rFonts w:hint="eastAsia" w:ascii="仿宋" w:hAnsi="仿宋" w:eastAsia="仿宋" w:cs="仿宋"/>
          <w:color w:val="auto"/>
          <w:szCs w:val="24"/>
          <w:highlight w:val="none"/>
          <w:lang w:eastAsia="zh-CN"/>
        </w:rPr>
        <w:t>陕西省第二人民医院</w:t>
      </w:r>
      <w:r>
        <w:rPr>
          <w:rFonts w:hint="eastAsia" w:ascii="仿宋" w:hAnsi="仿宋" w:eastAsia="仿宋" w:cs="仿宋"/>
          <w:color w:val="auto"/>
          <w:szCs w:val="24"/>
          <w:highlight w:val="none"/>
        </w:rPr>
        <w:t xml:space="preserve">指定地点。                           </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7、本合同一式伍份，其中，买方贰份，卖方贰份，采购代理机构备案壹份。</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8、本合同由买卖双方共同签字盖章，自买卖双方签字盖章之日起生效。</w:t>
      </w:r>
    </w:p>
    <w:tbl>
      <w:tblPr>
        <w:tblStyle w:val="2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买方名称：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邮    编：</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    话：</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    真：</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autoSpaceDE w:val="0"/>
              <w:autoSpaceDN w:val="0"/>
              <w:bidi w:val="0"/>
              <w:spacing w:line="5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     </w:t>
            </w:r>
          </w:p>
        </w:tc>
        <w:tc>
          <w:tcPr>
            <w:tcW w:w="3936"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卖方名称：</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邮    编：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电    话：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传    真：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帐    号：</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w:t>
            </w: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r>
      <w:bookmarkEnd w:id="117"/>
      <w:bookmarkEnd w:id="118"/>
      <w:bookmarkEnd w:id="119"/>
      <w:bookmarkEnd w:id="120"/>
    </w:tbl>
    <w:p>
      <w:pPr>
        <w:spacing w:line="560" w:lineRule="exact"/>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1、定义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本合同下列术语应解释为：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1-2、“合同价”系指根据本合同规定卖方在正确地完全履行合同义务后买方应支付给卖方的价款。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1-3、“货物”系指卖方根据本合同规定须向买方提供的一切产品、部件或其它材料。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r>
        <w:rPr>
          <w:rFonts w:hint="eastAsia" w:ascii="仿宋" w:hAnsi="仿宋" w:eastAsia="仿宋" w:cs="仿宋"/>
          <w:color w:val="auto"/>
          <w:kern w:val="0"/>
          <w:szCs w:val="24"/>
          <w:highlight w:val="none"/>
        </w:rPr>
        <w:t>项目现场”系指本合同项下货物安装、运行的场地。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1-6、“合同条款”系指本合同条款。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1-7、“买方”是指购买货物和服务的单位即</w:t>
      </w:r>
      <w:r>
        <w:rPr>
          <w:rFonts w:hint="eastAsia" w:ascii="仿宋" w:hAnsi="仿宋" w:eastAsia="仿宋" w:cs="仿宋"/>
          <w:color w:val="auto"/>
          <w:szCs w:val="24"/>
          <w:highlight w:val="none"/>
          <w:lang w:eastAsia="zh-CN"/>
        </w:rPr>
        <w:t>陕西省第二人民医院</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1-8、“卖方”是指提供本合同内的货物和服务的公司或其它实体即中标人。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1-9、“天”指日历天数。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2、适用性</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本合同条款适用于没有被本项目招标文件规定条款、卖方的投标文件承诺条款所取代的范围。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w:t>
      </w:r>
      <w:r>
        <w:rPr>
          <w:rFonts w:hint="eastAsia" w:ascii="仿宋" w:hAnsi="仿宋" w:eastAsia="仿宋" w:cs="仿宋"/>
          <w:color w:val="auto"/>
          <w:szCs w:val="24"/>
          <w:highlight w:val="none"/>
        </w:rPr>
        <w:t>使用合同文件和资料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3-2、没有买方事先书面同意，除了履行本合同之外，卖方不应使用合同条款第3-1条所列举的任何文件和资料。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4、专利权</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5、技术规格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6、检验和测试</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6-2、检验和测试在买方指定的交货地点进行。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7、包装及运输</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7-1、卖方负责货物到达交货地点前的所有包装、运输、装卸及保险事项，相关费用应包括在合同总价中。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8、伴随服务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（1）实施或监督所供货物的现场组装 和/或试运行；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（2）提供货物组装 和/或 维修所需的工具；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（3）为所供货物的每一适当的单台设备提供详细的操作和维护手册；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9-1、卖方可能被要求提供下列与备品备件有关的材料、通知和资料：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（1）买方从卖方选购备品备件，但前提条件是该选择并不能免除卖方在合同保证期内所承担的义务；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（3）在备品备件停止生产后，如果买方要求，卖方应免费向买方提供备品备件的蓝图、图纸和规格。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9-2、卖方应按照本项目招标文件“商务条款”和“技术规格与要求”中的规定提供所需的备品备件。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10、质量保证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10-1、质量保证期为终验合格之日起</w:t>
      </w:r>
      <w:r>
        <w:rPr>
          <w:rFonts w:hint="eastAsia" w:ascii="仿宋" w:hAnsi="仿宋" w:eastAsia="仿宋" w:cs="仿宋"/>
          <w:color w:val="auto"/>
          <w:kern w:val="0"/>
          <w:szCs w:val="24"/>
          <w:highlight w:val="none"/>
          <w:u w:val="single"/>
        </w:rPr>
        <w:t xml:space="preserve">   </w:t>
      </w:r>
      <w:r>
        <w:rPr>
          <w:rFonts w:hint="eastAsia" w:ascii="仿宋" w:hAnsi="仿宋" w:eastAsia="仿宋" w:cs="仿宋"/>
          <w:color w:val="auto"/>
          <w:kern w:val="0"/>
          <w:szCs w:val="24"/>
          <w:highlight w:val="none"/>
        </w:rPr>
        <w:t>个月。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11、索赔</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12、变更指令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hint="eastAsia" w:ascii="仿宋" w:hAnsi="仿宋" w:eastAsia="仿宋" w:cs="仿宋"/>
          <w:color w:val="auto"/>
          <w:spacing w:val="-4"/>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（2）运输或包装的方法；</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（3）交货地点；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（4）卖方提供的服务。</w:t>
      </w:r>
    </w:p>
    <w:p>
      <w:pPr>
        <w:autoSpaceDN w:val="0"/>
        <w:adjustRightInd w:val="0"/>
        <w:spacing w:line="560" w:lineRule="exact"/>
        <w:ind w:firstLine="464" w:firstLineChars="200"/>
        <w:rPr>
          <w:rFonts w:hint="eastAsia" w:ascii="仿宋" w:hAnsi="仿宋" w:eastAsia="仿宋" w:cs="仿宋"/>
          <w:color w:val="auto"/>
          <w:kern w:val="0"/>
          <w:szCs w:val="24"/>
          <w:highlight w:val="none"/>
        </w:rPr>
      </w:pPr>
      <w:r>
        <w:rPr>
          <w:rFonts w:hint="eastAsia" w:ascii="仿宋" w:hAnsi="仿宋" w:eastAsia="仿宋" w:cs="仿宋"/>
          <w:color w:val="auto"/>
          <w:spacing w:val="-4"/>
          <w:kern w:val="0"/>
          <w:szCs w:val="24"/>
          <w:highlight w:val="none"/>
        </w:rPr>
        <w:t>12-2、</w:t>
      </w:r>
      <w:r>
        <w:rPr>
          <w:rFonts w:hint="eastAsia" w:ascii="仿宋" w:hAnsi="仿宋" w:eastAsia="仿宋" w:cs="仿宋"/>
          <w:color w:val="auto"/>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13、合同修改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14、转让</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15、卖方履约延误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16、验收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16-1、项目验收分初验和终验: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终验：所有货物(设备)安装、调试完毕，正常使用10个日历日后，由采购人进行终验（最终验收），合格后签发《终验合格单》。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16-3、验收依据</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（1）合同文本及合同补充文件（条款）；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除合同条款第19条规定的情况外，如果卖方没有按照合同规定的时间交货和提供服务，买方应在不影响</w:t>
      </w:r>
      <w:r>
        <w:rPr>
          <w:rFonts w:hint="eastAsia" w:ascii="仿宋" w:hAnsi="仿宋" w:eastAsia="仿宋" w:cs="仿宋"/>
          <w:color w:val="auto"/>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18、违约终止合同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color w:val="auto"/>
          <w:szCs w:val="24"/>
          <w:highlight w:val="none"/>
        </w:rPr>
        <w:t>误期赔偿费达到最高限额。</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（2）如果卖方未能履行合同规定的其它任何义务。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19、不可抗力</w:t>
      </w:r>
      <w:r>
        <w:rPr>
          <w:rFonts w:hint="eastAsia" w:ascii="仿宋" w:hAnsi="仿宋" w:eastAsia="仿宋" w:cs="仿宋"/>
          <w:color w:val="auto"/>
          <w:kern w:val="0"/>
          <w:szCs w:val="24"/>
          <w:highlight w:val="none"/>
        </w:rPr>
        <w:tab/>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20、因破产而终止合同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21、因买方的便利而终止合同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（1）仅对部分货物按照原来的合同价格和条款予以接受；</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22、争议的解决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22-1、双方达成仲裁协议，向约定的仲裁委员会申请仲裁。</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22-2、向有管辖权的人民法院起诉。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23、适用法律</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本合同应按照中华人民共和国的现行法律进行解释。</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24、通知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25、税款</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26、合同生效</w:t>
      </w:r>
    </w:p>
    <w:p>
      <w:pPr>
        <w:adjustRightInd w:val="0"/>
        <w:snapToGrid w:val="0"/>
        <w:spacing w:line="560" w:lineRule="exact"/>
        <w:ind w:firstLine="480" w:firstLineChars="200"/>
        <w:rPr>
          <w:rFonts w:hint="eastAsia" w:ascii="仿宋" w:hAnsi="仿宋" w:eastAsia="仿宋" w:cs="仿宋"/>
          <w:b/>
          <w:color w:val="auto"/>
          <w:sz w:val="18"/>
          <w:szCs w:val="18"/>
          <w:highlight w:val="none"/>
          <w:u w:color="FF0000"/>
        </w:rPr>
      </w:pPr>
      <w:r>
        <w:rPr>
          <w:rFonts w:hint="eastAsia" w:ascii="仿宋" w:hAnsi="仿宋" w:eastAsia="仿宋" w:cs="仿宋"/>
          <w:color w:val="auto"/>
          <w:kern w:val="0"/>
          <w:szCs w:val="24"/>
          <w:highlight w:val="none"/>
        </w:rPr>
        <w:t>本合同由买卖双方共同签字盖章，自买卖双方签字盖章之日起生效。</w:t>
      </w:r>
    </w:p>
    <w:p>
      <w:pPr>
        <w:adjustRightInd w:val="0"/>
        <w:snapToGrid w:val="0"/>
        <w:spacing w:line="560" w:lineRule="exact"/>
        <w:ind w:firstLine="361" w:firstLineChars="200"/>
        <w:rPr>
          <w:rFonts w:hint="eastAsia" w:ascii="仿宋" w:hAnsi="仿宋" w:eastAsia="仿宋" w:cs="仿宋"/>
          <w:b/>
          <w:color w:val="auto"/>
          <w:sz w:val="18"/>
          <w:szCs w:val="18"/>
          <w:highlight w:val="none"/>
          <w:u w:color="FF0000"/>
        </w:rPr>
      </w:pPr>
      <w:r>
        <w:rPr>
          <w:rFonts w:hint="eastAsia" w:ascii="仿宋" w:hAnsi="仿宋" w:eastAsia="仿宋" w:cs="仿宋"/>
          <w:b/>
          <w:color w:val="auto"/>
          <w:sz w:val="18"/>
          <w:szCs w:val="18"/>
          <w:highlight w:val="none"/>
          <w:u w:color="FF0000"/>
        </w:rPr>
        <w:br w:type="page"/>
      </w:r>
    </w:p>
    <w:p>
      <w:pPr>
        <w:pStyle w:val="3"/>
        <w:numPr>
          <w:ilvl w:val="0"/>
          <w:numId w:val="9"/>
        </w:numPr>
        <w:spacing w:line="560" w:lineRule="exact"/>
        <w:jc w:val="center"/>
        <w:rPr>
          <w:rFonts w:hint="eastAsia" w:ascii="仿宋" w:hAnsi="仿宋" w:eastAsia="仿宋" w:cs="仿宋"/>
          <w:color w:val="auto"/>
          <w:highlight w:val="none"/>
        </w:rPr>
      </w:pPr>
      <w:bookmarkStart w:id="121" w:name="_Toc458617470"/>
      <w:bookmarkStart w:id="122" w:name="_Toc458617747"/>
      <w:r>
        <w:rPr>
          <w:rFonts w:hint="eastAsia" w:ascii="仿宋" w:hAnsi="仿宋" w:eastAsia="仿宋" w:cs="仿宋"/>
          <w:color w:val="auto"/>
          <w:highlight w:val="none"/>
        </w:rPr>
        <w:t xml:space="preserve"> </w:t>
      </w:r>
      <w:bookmarkStart w:id="123" w:name="_Toc19489"/>
      <w:r>
        <w:rPr>
          <w:rFonts w:hint="eastAsia" w:ascii="仿宋" w:hAnsi="仿宋" w:eastAsia="仿宋" w:cs="仿宋"/>
          <w:color w:val="auto"/>
          <w:highlight w:val="none"/>
        </w:rPr>
        <w:t>投标文件格式</w:t>
      </w:r>
      <w:bookmarkEnd w:id="121"/>
      <w:bookmarkEnd w:id="122"/>
      <w:bookmarkEnd w:id="123"/>
    </w:p>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投标文件编制说明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1、投标文件应当按照招标文件给定的格式和要求编制，格式之外的可自行编写。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10"/>
        <w:rPr>
          <w:rFonts w:hint="eastAsia" w:ascii="仿宋" w:hAnsi="仿宋" w:eastAsia="仿宋" w:cs="仿宋"/>
          <w:color w:val="auto"/>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pStyle w:val="10"/>
        <w:rPr>
          <w:rFonts w:hint="eastAsia" w:ascii="仿宋" w:hAnsi="仿宋" w:eastAsia="仿宋" w:cs="仿宋"/>
          <w:color w:val="auto"/>
          <w:highlight w:val="none"/>
        </w:rPr>
      </w:pPr>
    </w:p>
    <w:p>
      <w:pPr>
        <w:spacing w:line="64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640" w:lineRule="exact"/>
        <w:jc w:val="right"/>
        <w:rPr>
          <w:rFonts w:hint="eastAsia" w:ascii="仿宋" w:hAnsi="仿宋" w:eastAsia="仿宋" w:cs="仿宋"/>
          <w:b/>
          <w:color w:val="auto"/>
          <w:sz w:val="36"/>
          <w:szCs w:val="36"/>
          <w:highlight w:val="none"/>
        </w:rPr>
      </w:pPr>
      <w:r>
        <w:rPr>
          <w:rFonts w:hint="eastAsia" w:ascii="仿宋" w:hAnsi="仿宋" w:eastAsia="仿宋" w:cs="仿宋"/>
          <w:color w:val="auto"/>
          <w:sz w:val="36"/>
          <w:highlight w:val="none"/>
        </w:rPr>
        <w:pict>
          <v:shape id="_x0000_s1037" o:spid="_x0000_s1037" o:spt="202" type="#_x0000_t202" style="position:absolute;left:0pt;margin-left:326.1pt;margin-top:12pt;height:29.15pt;width:117.7pt;z-index:251671552;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 xml:space="preserve">文件编号: </w:t>
      </w:r>
      <w:r>
        <w:rPr>
          <w:rFonts w:hint="eastAsia" w:ascii="仿宋" w:hAnsi="仿宋" w:eastAsia="仿宋" w:cs="仿宋"/>
          <w:b/>
          <w:color w:val="auto"/>
          <w:sz w:val="36"/>
          <w:szCs w:val="36"/>
          <w:highlight w:val="none"/>
          <w:lang w:eastAsia="zh-CN"/>
        </w:rPr>
        <w:t>HZGH-2022-041-02</w:t>
      </w:r>
    </w:p>
    <w:p>
      <w:pPr>
        <w:spacing w:line="560" w:lineRule="exact"/>
        <w:rPr>
          <w:rFonts w:hint="eastAsia" w:ascii="仿宋" w:hAnsi="仿宋" w:eastAsia="仿宋" w:cs="仿宋"/>
          <w:b/>
          <w:color w:val="auto"/>
          <w:sz w:val="36"/>
          <w:szCs w:val="36"/>
          <w:highlight w:val="none"/>
        </w:rPr>
      </w:pPr>
    </w:p>
    <w:p>
      <w:pPr>
        <w:pStyle w:val="16"/>
        <w:rPr>
          <w:rFonts w:hint="eastAsia" w:ascii="仿宋" w:hAnsi="仿宋" w:eastAsia="仿宋" w:cs="仿宋"/>
          <w:color w:val="auto"/>
          <w:highlight w:val="none"/>
        </w:rPr>
      </w:pPr>
    </w:p>
    <w:p>
      <w:pPr>
        <w:spacing w:beforeLines="50" w:line="560" w:lineRule="exact"/>
        <w:ind w:right="-998" w:rightChars="-416"/>
        <w:rPr>
          <w:rFonts w:hint="eastAsia" w:ascii="仿宋" w:hAnsi="仿宋" w:eastAsia="仿宋" w:cs="仿宋"/>
          <w:b/>
          <w:bCs/>
          <w:color w:val="auto"/>
          <w:spacing w:val="52"/>
          <w:kern w:val="0"/>
          <w:sz w:val="15"/>
          <w:szCs w:val="15"/>
          <w:highlight w:val="none"/>
        </w:rPr>
      </w:pPr>
    </w:p>
    <w:p>
      <w:pPr>
        <w:keepNext w:val="0"/>
        <w:keepLines w:val="0"/>
        <w:pageBreakBefore w:val="0"/>
        <w:widowControl w:val="0"/>
        <w:kinsoku/>
        <w:wordWrap/>
        <w:overflowPunct/>
        <w:topLinePunct w:val="0"/>
        <w:autoSpaceDE/>
        <w:autoSpaceDN/>
        <w:bidi w:val="0"/>
        <w:adjustRightInd w:val="0"/>
        <w:snapToGrid/>
        <w:spacing w:beforeLines="50" w:line="360" w:lineRule="auto"/>
        <w:ind w:right="0" w:rightChars="0"/>
        <w:jc w:val="center"/>
        <w:textAlignment w:val="auto"/>
        <w:rPr>
          <w:rFonts w:hint="eastAsia" w:ascii="仿宋" w:hAnsi="仿宋" w:eastAsia="仿宋" w:cs="仿宋"/>
          <w:b/>
          <w:color w:val="auto"/>
          <w:spacing w:val="-22"/>
          <w:sz w:val="56"/>
          <w:szCs w:val="56"/>
          <w:highlight w:val="none"/>
          <w:shd w:val="clear" w:color="auto" w:fill="FFFFFF"/>
          <w:lang w:eastAsia="zh-CN"/>
        </w:rPr>
      </w:pPr>
      <w:r>
        <w:rPr>
          <w:rFonts w:hint="eastAsia" w:ascii="仿宋" w:hAnsi="仿宋" w:eastAsia="仿宋" w:cs="仿宋"/>
          <w:b/>
          <w:color w:val="auto"/>
          <w:spacing w:val="-22"/>
          <w:sz w:val="56"/>
          <w:szCs w:val="56"/>
          <w:highlight w:val="none"/>
          <w:shd w:val="clear" w:color="auto" w:fill="FFFFFF"/>
          <w:lang w:eastAsia="zh-CN"/>
        </w:rPr>
        <w:t>膈肌起搏器等医疗设备采购项目</w:t>
      </w:r>
    </w:p>
    <w:p>
      <w:pPr>
        <w:spacing w:beforeLines="70" w:line="5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lang w:val="en-US" w:eastAsia="zh-CN"/>
        </w:rPr>
        <w:t>第二标段：</w:t>
      </w:r>
      <w:r>
        <w:rPr>
          <w:rFonts w:hint="eastAsia" w:ascii="仿宋" w:hAnsi="仿宋" w:eastAsia="仿宋" w:cs="仿宋"/>
          <w:b/>
          <w:bCs/>
          <w:i w:val="0"/>
          <w:iCs w:val="0"/>
          <w:caps w:val="0"/>
          <w:color w:val="auto"/>
          <w:spacing w:val="0"/>
          <w:sz w:val="28"/>
          <w:szCs w:val="28"/>
          <w:highlight w:val="none"/>
          <w:shd w:val="clear" w:fill="FFFFFF"/>
        </w:rPr>
        <w:t>消化道动力检测仪系统</w:t>
      </w:r>
      <w:r>
        <w:rPr>
          <w:rFonts w:hint="eastAsia" w:ascii="仿宋" w:hAnsi="仿宋" w:eastAsia="仿宋" w:cs="仿宋"/>
          <w:b/>
          <w:bCs/>
          <w:i w:val="0"/>
          <w:iCs w:val="0"/>
          <w:caps w:val="0"/>
          <w:color w:val="auto"/>
          <w:spacing w:val="0"/>
          <w:sz w:val="28"/>
          <w:szCs w:val="28"/>
          <w:highlight w:val="none"/>
          <w:shd w:val="clear" w:fill="FFFFFF"/>
          <w:lang w:eastAsia="zh-CN"/>
        </w:rPr>
        <w:t>、</w:t>
      </w:r>
      <w:r>
        <w:rPr>
          <w:rFonts w:hint="eastAsia" w:ascii="仿宋" w:hAnsi="仿宋" w:eastAsia="仿宋" w:cs="仿宋"/>
          <w:b/>
          <w:bCs/>
          <w:i w:val="0"/>
          <w:iCs w:val="0"/>
          <w:caps w:val="0"/>
          <w:color w:val="auto"/>
          <w:spacing w:val="0"/>
          <w:sz w:val="28"/>
          <w:szCs w:val="28"/>
          <w:highlight w:val="none"/>
          <w:shd w:val="clear" w:fill="FFFFFF"/>
        </w:rPr>
        <w:t>全自动软式内镜清洗消毒器</w:t>
      </w:r>
      <w:r>
        <w:rPr>
          <w:rFonts w:hint="eastAsia" w:ascii="仿宋" w:hAnsi="仿宋" w:eastAsia="仿宋" w:cs="仿宋"/>
          <w:b/>
          <w:bCs/>
          <w:i w:val="0"/>
          <w:iCs w:val="0"/>
          <w:caps w:val="0"/>
          <w:color w:val="auto"/>
          <w:spacing w:val="0"/>
          <w:sz w:val="28"/>
          <w:szCs w:val="28"/>
          <w:highlight w:val="none"/>
          <w:shd w:val="clear" w:fill="FFFFFF"/>
          <w:lang w:val="en-US" w:eastAsia="zh-CN"/>
        </w:rPr>
        <w:t>采购</w:t>
      </w: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投标文件</w:t>
      </w:r>
    </w:p>
    <w:p>
      <w:pPr>
        <w:spacing w:line="560" w:lineRule="exact"/>
        <w:rPr>
          <w:rFonts w:hint="eastAsia" w:ascii="仿宋" w:hAnsi="仿宋" w:eastAsia="仿宋" w:cs="仿宋"/>
          <w:color w:val="auto"/>
          <w:sz w:val="32"/>
          <w:highlight w:val="none"/>
        </w:rPr>
      </w:pPr>
    </w:p>
    <w:p>
      <w:pPr>
        <w:spacing w:line="560" w:lineRule="exact"/>
        <w:rPr>
          <w:rFonts w:hint="eastAsia" w:ascii="仿宋" w:hAnsi="仿宋" w:eastAsia="仿宋" w:cs="仿宋"/>
          <w:color w:val="auto"/>
          <w:sz w:val="32"/>
          <w:highlight w:val="none"/>
        </w:rPr>
      </w:pPr>
    </w:p>
    <w:p>
      <w:pPr>
        <w:pStyle w:val="10"/>
        <w:rPr>
          <w:rFonts w:hint="eastAsia" w:ascii="仿宋" w:hAnsi="仿宋" w:eastAsia="仿宋" w:cs="仿宋"/>
          <w:color w:val="auto"/>
          <w:sz w:val="32"/>
          <w:highlight w:val="none"/>
        </w:rPr>
      </w:pPr>
    </w:p>
    <w:p>
      <w:pPr>
        <w:rPr>
          <w:rFonts w:hint="eastAsia" w:ascii="仿宋" w:hAnsi="仿宋" w:eastAsia="仿宋" w:cs="仿宋"/>
          <w:color w:val="auto"/>
          <w:sz w:val="32"/>
          <w:highlight w:val="none"/>
        </w:rPr>
      </w:pPr>
    </w:p>
    <w:p>
      <w:pPr>
        <w:pStyle w:val="16"/>
        <w:rPr>
          <w:rFonts w:hint="eastAsia" w:ascii="仿宋" w:hAnsi="仿宋" w:eastAsia="仿宋" w:cs="仿宋"/>
          <w:color w:val="auto"/>
          <w:sz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beforeLines="70" w:line="56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w:t>
      </w:r>
      <w:r>
        <w:rPr>
          <w:rFonts w:hint="eastAsia" w:ascii="仿宋" w:hAnsi="仿宋" w:eastAsia="仿宋" w:cs="仿宋"/>
          <w:b/>
          <w:color w:val="auto"/>
          <w:spacing w:val="8"/>
          <w:sz w:val="28"/>
          <w:szCs w:val="28"/>
          <w:highlight w:val="none"/>
        </w:rPr>
        <w:t xml:space="preserve">                       </w:t>
      </w:r>
    </w:p>
    <w:p>
      <w:pPr>
        <w:spacing w:beforeLines="70" w:line="560" w:lineRule="exact"/>
        <w:ind w:firstLine="1661" w:firstLineChars="591"/>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u w:val="single"/>
        </w:rPr>
        <w:t xml:space="preserve">                          </w:t>
      </w:r>
    </w:p>
    <w:p>
      <w:pPr>
        <w:spacing w:line="56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bookmarkStart w:id="124" w:name="_Toc167591043"/>
      <w:bookmarkStart w:id="125" w:name="_Toc169846873"/>
      <w:bookmarkStart w:id="126" w:name="_Toc194663918"/>
      <w:bookmarkStart w:id="127" w:name="_Toc173549978"/>
      <w:bookmarkStart w:id="128" w:name="_Toc167591330"/>
      <w:bookmarkStart w:id="129" w:name="_Toc170980453"/>
      <w:bookmarkStart w:id="130" w:name="_Toc167849360"/>
      <w:bookmarkStart w:id="131" w:name="_Toc167591144"/>
      <w:bookmarkStart w:id="132" w:name="_Toc175032437"/>
      <w:bookmarkStart w:id="133" w:name="_Toc169838532"/>
      <w:bookmarkStart w:id="134" w:name="_Toc167590775"/>
      <w:bookmarkStart w:id="135" w:name="_Toc169846776"/>
      <w:bookmarkStart w:id="136" w:name="_Toc188808833"/>
      <w:bookmarkStart w:id="137" w:name="_Toc167591492"/>
      <w:bookmarkStart w:id="138" w:name="_Toc193126881"/>
      <w:bookmarkStart w:id="139" w:name="_Toc175033592"/>
      <w:bookmarkStart w:id="140" w:name="_Toc154482479"/>
      <w:bookmarkStart w:id="141" w:name="_Toc170980552"/>
      <w:bookmarkStart w:id="142" w:name="_Toc193187097"/>
    </w:p>
    <w:p>
      <w:pPr>
        <w:spacing w:line="560" w:lineRule="exact"/>
        <w:ind w:left="240" w:leftChars="100" w:firstLine="4003" w:firstLineChars="1246"/>
        <w:rPr>
          <w:rFonts w:hint="eastAsia" w:ascii="仿宋" w:hAnsi="仿宋" w:eastAsia="仿宋" w:cs="仿宋"/>
          <w:b/>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1．投标函（格式）</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2．开标一览表（格式）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3．投标分项报价表（格式）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4．节能环保、环境标志产品明细表 （格式，若有）</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 选配件报价表（格式，若有）</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6．货物说明一览表（格式）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7．技术规格响应偏离表（格式）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8．商务条款响应偏离表（格式）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 资格证明文件</w:t>
      </w:r>
    </w:p>
    <w:p>
      <w:pPr>
        <w:autoSpaceDE w:val="0"/>
        <w:autoSpaceDN w:val="0"/>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 201</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年1月</w:t>
      </w:r>
      <w:r>
        <w:rPr>
          <w:rFonts w:hint="eastAsia" w:ascii="仿宋" w:hAnsi="仿宋" w:eastAsia="仿宋" w:cs="仿宋"/>
          <w:color w:val="auto"/>
          <w:szCs w:val="24"/>
          <w:highlight w:val="none"/>
          <w:lang w:val="en-US" w:eastAsia="zh-CN"/>
        </w:rPr>
        <w:t>1日</w:t>
      </w:r>
      <w:r>
        <w:rPr>
          <w:rFonts w:hint="eastAsia" w:ascii="仿宋" w:hAnsi="仿宋" w:eastAsia="仿宋" w:cs="仿宋"/>
          <w:color w:val="auto"/>
          <w:szCs w:val="24"/>
          <w:highlight w:val="none"/>
        </w:rPr>
        <w:t>至今</w:t>
      </w:r>
      <w:r>
        <w:rPr>
          <w:rFonts w:hint="eastAsia" w:ascii="仿宋" w:hAnsi="仿宋" w:eastAsia="仿宋" w:cs="仿宋"/>
          <w:color w:val="auto"/>
          <w:szCs w:val="24"/>
          <w:highlight w:val="none"/>
          <w:lang w:eastAsia="zh-CN"/>
        </w:rPr>
        <w:t>类似项目业绩</w:t>
      </w:r>
      <w:r>
        <w:rPr>
          <w:rFonts w:hint="eastAsia" w:ascii="仿宋" w:hAnsi="仿宋" w:eastAsia="仿宋" w:cs="仿宋"/>
          <w:color w:val="auto"/>
          <w:szCs w:val="24"/>
          <w:highlight w:val="none"/>
        </w:rPr>
        <w:t>（以合同为准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复印件加盖公章</w:t>
      </w:r>
      <w:r>
        <w:rPr>
          <w:rFonts w:hint="eastAsia" w:ascii="仿宋" w:hAnsi="仿宋" w:eastAsia="仿宋" w:cs="仿宋"/>
          <w:color w:val="auto"/>
          <w:szCs w:val="24"/>
          <w:highlight w:val="none"/>
        </w:rPr>
        <w:t>）</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 产品的合法渠道证明文件</w:t>
      </w:r>
    </w:p>
    <w:p>
      <w:pPr>
        <w:spacing w:line="500" w:lineRule="exact"/>
        <w:ind w:firstLine="1200" w:firstLineChars="5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项目实施方案</w:t>
      </w:r>
    </w:p>
    <w:p>
      <w:pPr>
        <w:spacing w:line="500" w:lineRule="exact"/>
        <w:ind w:firstLine="1200" w:firstLineChars="500"/>
        <w:rPr>
          <w:rFonts w:hint="eastAsia" w:ascii="仿宋" w:hAnsi="仿宋" w:eastAsia="仿宋" w:cs="仿宋"/>
          <w:color w:val="auto"/>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产品的技术文件</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质量保证</w:t>
      </w:r>
    </w:p>
    <w:p>
      <w:pPr>
        <w:spacing w:line="500" w:lineRule="exact"/>
        <w:ind w:firstLine="1200" w:firstLineChars="5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售后服务</w:t>
      </w:r>
      <w:r>
        <w:rPr>
          <w:rFonts w:hint="eastAsia" w:ascii="仿宋" w:hAnsi="仿宋" w:eastAsia="仿宋" w:cs="仿宋"/>
          <w:color w:val="auto"/>
          <w:szCs w:val="24"/>
          <w:highlight w:val="none"/>
          <w:lang w:eastAsia="zh-CN"/>
        </w:rPr>
        <w:t>及培训计划</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 投标人认为有必要说明的事宜（若有）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投标人承诺书</w:t>
      </w:r>
      <w:r>
        <w:rPr>
          <w:rFonts w:hint="eastAsia" w:ascii="仿宋" w:hAnsi="仿宋" w:eastAsia="仿宋" w:cs="仿宋"/>
          <w:color w:val="auto"/>
          <w:szCs w:val="24"/>
          <w:highlight w:val="none"/>
        </w:rPr>
        <w:t>（格式）</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企业声明函》（格式，若有）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19</w:t>
      </w:r>
      <w:r>
        <w:rPr>
          <w:rFonts w:hint="eastAsia" w:ascii="仿宋" w:hAnsi="仿宋" w:eastAsia="仿宋" w:cs="仿宋"/>
          <w:color w:val="auto"/>
          <w:kern w:val="0"/>
          <w:szCs w:val="24"/>
          <w:highlight w:val="none"/>
        </w:rPr>
        <w:t>.《残疾人福利性单位声明函》</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Start w:id="143" w:name="_Toc25120"/>
      <w:bookmarkStart w:id="144" w:name="_Toc1386"/>
      <w:bookmarkStart w:id="145" w:name="_Toc458617471"/>
      <w:bookmarkStart w:id="146" w:name="_Toc193187098"/>
      <w:bookmarkStart w:id="147" w:name="_Toc188808834"/>
      <w:bookmarkStart w:id="148" w:name="_Toc193126882"/>
      <w:bookmarkStart w:id="149" w:name="_Toc194663919"/>
      <w:r>
        <w:rPr>
          <w:rFonts w:hint="eastAsia" w:ascii="仿宋" w:hAnsi="仿宋" w:eastAsia="仿宋" w:cs="仿宋"/>
          <w:color w:val="auto"/>
          <w:szCs w:val="24"/>
          <w:highlight w:val="none"/>
        </w:rPr>
        <w:t>（格式，若有）</w:t>
      </w:r>
    </w:p>
    <w:p>
      <w:pPr>
        <w:autoSpaceDE w:val="0"/>
        <w:autoSpaceDN w:val="0"/>
        <w:spacing w:line="500" w:lineRule="exact"/>
        <w:ind w:left="240" w:leftChars="100" w:firstLine="960" w:firstLineChars="4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2</w:t>
      </w:r>
      <w:r>
        <w:rPr>
          <w:rFonts w:hint="eastAsia" w:ascii="仿宋" w:hAnsi="仿宋" w:eastAsia="仿宋" w:cs="仿宋"/>
          <w:color w:val="auto"/>
          <w:kern w:val="0"/>
          <w:szCs w:val="24"/>
          <w:highlight w:val="none"/>
          <w:lang w:val="en-US" w:eastAsia="zh-CN"/>
        </w:rPr>
        <w:t>0</w:t>
      </w: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《监狱、戒毒企业声明函》（格式，若有）</w:t>
      </w:r>
    </w:p>
    <w:p>
      <w:pPr>
        <w:pStyle w:val="10"/>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37"/>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1.投标函</w:t>
      </w:r>
      <w:bookmarkEnd w:id="143"/>
      <w:bookmarkEnd w:id="144"/>
      <w:bookmarkEnd w:id="145"/>
      <w:r>
        <w:rPr>
          <w:rFonts w:hint="eastAsia" w:ascii="仿宋" w:hAnsi="仿宋" w:eastAsia="仿宋" w:cs="仿宋"/>
          <w:bCs/>
          <w:color w:val="auto"/>
          <w:sz w:val="22"/>
          <w:szCs w:val="20"/>
          <w:highlight w:val="none"/>
        </w:rPr>
        <w:t>（格式）</w:t>
      </w:r>
    </w:p>
    <w:p>
      <w:pPr>
        <w:spacing w:line="560" w:lineRule="exact"/>
        <w:ind w:left="240" w:leftChars="100"/>
        <w:rPr>
          <w:rFonts w:hint="eastAsia" w:ascii="仿宋" w:hAnsi="仿宋" w:eastAsia="仿宋" w:cs="仿宋"/>
          <w:color w:val="auto"/>
          <w:szCs w:val="21"/>
          <w:highlight w:val="none"/>
        </w:rPr>
      </w:pPr>
    </w:p>
    <w:p>
      <w:pPr>
        <w:spacing w:line="560" w:lineRule="exact"/>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致：</w:t>
      </w:r>
      <w:r>
        <w:rPr>
          <w:rFonts w:hint="eastAsia" w:ascii="仿宋" w:hAnsi="仿宋" w:eastAsia="仿宋" w:cs="仿宋"/>
          <w:b/>
          <w:color w:val="auto"/>
          <w:szCs w:val="24"/>
          <w:highlight w:val="none"/>
          <w:lang w:eastAsia="zh-CN"/>
        </w:rPr>
        <w:t>华招广和项目管理有限公司</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根据贵单位</w:t>
      </w:r>
      <w:r>
        <w:rPr>
          <w:rFonts w:hint="eastAsia" w:ascii="仿宋" w:hAnsi="仿宋" w:eastAsia="仿宋" w:cs="仿宋"/>
          <w:color w:val="auto"/>
          <w:szCs w:val="24"/>
          <w:highlight w:val="none"/>
          <w:u w:val="single"/>
        </w:rPr>
        <w:t xml:space="preserve">         （招标项目名称）    </w:t>
      </w:r>
      <w:r>
        <w:rPr>
          <w:rFonts w:hint="eastAsia" w:ascii="仿宋" w:hAnsi="仿宋" w:eastAsia="仿宋" w:cs="仿宋"/>
          <w:color w:val="auto"/>
          <w:szCs w:val="24"/>
          <w:highlight w:val="none"/>
        </w:rPr>
        <w:t>项目</w:t>
      </w:r>
      <w:r>
        <w:rPr>
          <w:rFonts w:hint="eastAsia" w:ascii="仿宋" w:hAnsi="仿宋" w:eastAsia="仿宋" w:cs="仿宋"/>
          <w:color w:val="auto"/>
          <w:szCs w:val="24"/>
          <w:highlight w:val="none"/>
          <w:u w:val="single"/>
        </w:rPr>
        <w:t>（项目编号）</w:t>
      </w:r>
      <w:r>
        <w:rPr>
          <w:rFonts w:hint="eastAsia" w:ascii="仿宋" w:hAnsi="仿宋" w:eastAsia="仿宋" w:cs="仿宋"/>
          <w:color w:val="auto"/>
          <w:szCs w:val="24"/>
          <w:highlight w:val="none"/>
        </w:rPr>
        <w:t>的招标公告，我方代表</w:t>
      </w:r>
      <w:r>
        <w:rPr>
          <w:rFonts w:hint="eastAsia" w:ascii="仿宋" w:hAnsi="仿宋" w:eastAsia="仿宋" w:cs="仿宋"/>
          <w:color w:val="auto"/>
          <w:szCs w:val="24"/>
          <w:highlight w:val="none"/>
          <w:u w:val="single"/>
        </w:rPr>
        <w:t xml:space="preserve">   （姓名、职务）   </w:t>
      </w:r>
      <w:r>
        <w:rPr>
          <w:rFonts w:hint="eastAsia" w:ascii="仿宋" w:hAnsi="仿宋" w:eastAsia="仿宋" w:cs="仿宋"/>
          <w:color w:val="auto"/>
          <w:szCs w:val="24"/>
          <w:highlight w:val="none"/>
        </w:rPr>
        <w:t>经正式授权并代表</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就该项目进行投标。</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在此，我方郑重声明以下诸点，并负法律责任：</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1、我方提交的投标文件正本一份，副本四份，电子文件一份，“开标一览表”一份。</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2、我方所附投标报价表中应提交和交付的货物/服务投标总价为人民币：</w:t>
      </w:r>
      <w:r>
        <w:rPr>
          <w:rFonts w:hint="eastAsia" w:ascii="仿宋" w:hAnsi="仿宋" w:eastAsia="仿宋" w:cs="仿宋"/>
          <w:color w:val="auto"/>
          <w:szCs w:val="24"/>
          <w:highlight w:val="none"/>
          <w:u w:val="single"/>
        </w:rPr>
        <w:t>（同时用汉字大写和数字表示的投标总价）</w:t>
      </w:r>
      <w:r>
        <w:rPr>
          <w:rFonts w:hint="eastAsia" w:ascii="仿宋" w:hAnsi="仿宋" w:eastAsia="仿宋" w:cs="仿宋"/>
          <w:color w:val="auto"/>
          <w:szCs w:val="24"/>
          <w:highlight w:val="none"/>
        </w:rPr>
        <w:t>。该报价一次报死，不受市场因素的影响。</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3、我方已详细审查全部招标文件，完全理解并同意放弃对这方面有不明及误解质疑的权力。</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4、我方完全理解并同意招标文件中有关没收投标保证金、要求专业担保机构先行偿付和拒绝投标的条款。</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5、我方同意按照要求提供投标有关的一切数据或资料。</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6、我方将按招标文件的规定履行合同责任和义务。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7、我方完全理解最低报价不是中标的唯一条件，采购人有权选择质优价廉的货物/服务。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8、我方同意按招标文件规定，遵守贵方有关招标的各项规定。</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9、若我方中标，我方保证按有关规定向贵方支付招标服务费。</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10、投标有效期为自提交投标文件的截止之日起90个日历日。</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11、所有关于本项目的函电，请按下列地址联系：</w:t>
      </w:r>
    </w:p>
    <w:p>
      <w:pPr>
        <w:spacing w:line="560" w:lineRule="exact"/>
        <w:ind w:firstLine="480" w:firstLineChars="200"/>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投标人名称（公章）：</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详 细 地 址：</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邮 政 编 码：</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电       话：</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传       真：</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电 子 邮 件：</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开 户 银 行：</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帐       号：</w:t>
      </w:r>
      <w:r>
        <w:rPr>
          <w:rFonts w:hint="eastAsia" w:ascii="仿宋" w:hAnsi="仿宋" w:eastAsia="仿宋" w:cs="仿宋"/>
          <w:color w:val="auto"/>
          <w:szCs w:val="24"/>
          <w:highlight w:val="none"/>
          <w:u w:val="singl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u w:val="single"/>
        </w:rPr>
        <w:t xml:space="preserve">               </w:t>
      </w:r>
    </w:p>
    <w:p>
      <w:pPr>
        <w:autoSpaceDE w:val="0"/>
        <w:autoSpaceDN w:val="0"/>
        <w:adjustRightInd w:val="0"/>
        <w:spacing w:line="560" w:lineRule="exact"/>
        <w:ind w:left="240" w:leftChars="100" w:firstLine="3960" w:firstLineChars="1650"/>
        <w:rPr>
          <w:rFonts w:hint="eastAsia" w:ascii="仿宋" w:hAnsi="仿宋" w:eastAsia="仿宋" w:cs="仿宋"/>
          <w:color w:val="auto"/>
          <w:szCs w:val="24"/>
          <w:highlight w:val="none"/>
          <w:u w:val="single"/>
          <w:lang w:val="zh-CN"/>
        </w:rPr>
      </w:pPr>
      <w:r>
        <w:rPr>
          <w:rFonts w:hint="eastAsia" w:ascii="仿宋" w:hAnsi="仿宋" w:eastAsia="仿宋" w:cs="仿宋"/>
          <w:color w:val="auto"/>
          <w:szCs w:val="24"/>
          <w:highlight w:val="none"/>
          <w:lang w:val="zh-CN"/>
        </w:rPr>
        <w:t>联系电话/手机：</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rPr>
        <w:t xml:space="preserve">  </w:t>
      </w:r>
    </w:p>
    <w:p>
      <w:pPr>
        <w:spacing w:line="560" w:lineRule="exact"/>
        <w:ind w:left="240" w:leftChars="100"/>
        <w:jc w:val="center"/>
        <w:rPr>
          <w:rFonts w:hint="eastAsia" w:ascii="仿宋" w:hAnsi="仿宋" w:eastAsia="仿宋" w:cs="仿宋"/>
          <w:color w:val="auto"/>
          <w:szCs w:val="24"/>
          <w:highlight w:val="none"/>
        </w:rPr>
        <w:sectPr>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bookmarkEnd w:id="146"/>
    <w:bookmarkEnd w:id="147"/>
    <w:bookmarkEnd w:id="148"/>
    <w:bookmarkEnd w:id="149"/>
    <w:p>
      <w:pPr>
        <w:pStyle w:val="37"/>
        <w:spacing w:line="560" w:lineRule="exact"/>
        <w:ind w:firstLine="0" w:firstLineChars="0"/>
        <w:rPr>
          <w:rFonts w:hint="eastAsia" w:ascii="仿宋" w:hAnsi="仿宋" w:eastAsia="仿宋" w:cs="仿宋"/>
          <w:bCs/>
          <w:color w:val="auto"/>
          <w:sz w:val="24"/>
          <w:szCs w:val="21"/>
          <w:highlight w:val="none"/>
        </w:rPr>
      </w:pPr>
      <w:bookmarkStart w:id="150" w:name="_Toc6986"/>
      <w:bookmarkStart w:id="151" w:name="_Toc458617472"/>
      <w:bookmarkStart w:id="152" w:name="_Toc5497"/>
      <w:bookmarkStart w:id="153" w:name="_Toc194663926"/>
      <w:bookmarkStart w:id="154" w:name="_Toc193126889"/>
      <w:bookmarkStart w:id="155" w:name="_Toc193187105"/>
      <w:bookmarkStart w:id="156" w:name="_Toc188808840"/>
      <w:r>
        <w:rPr>
          <w:rFonts w:hint="eastAsia" w:ascii="仿宋" w:hAnsi="仿宋" w:eastAsia="仿宋" w:cs="仿宋"/>
          <w:b/>
          <w:color w:val="auto"/>
          <w:highlight w:val="none"/>
        </w:rPr>
        <w:t>2.开标一览表</w:t>
      </w:r>
      <w:bookmarkEnd w:id="150"/>
      <w:bookmarkEnd w:id="151"/>
      <w:bookmarkEnd w:id="152"/>
      <w:r>
        <w:rPr>
          <w:rFonts w:hint="eastAsia" w:ascii="仿宋" w:hAnsi="仿宋" w:eastAsia="仿宋" w:cs="仿宋"/>
          <w:bCs/>
          <w:color w:val="auto"/>
          <w:sz w:val="24"/>
          <w:szCs w:val="21"/>
          <w:highlight w:val="none"/>
        </w:rPr>
        <w:t>（格式）</w:t>
      </w:r>
    </w:p>
    <w:p>
      <w:pPr>
        <w:spacing w:line="560" w:lineRule="exact"/>
        <w:ind w:left="240" w:leftChars="100"/>
        <w:jc w:val="center"/>
        <w:rPr>
          <w:rFonts w:hint="eastAsia" w:ascii="仿宋" w:hAnsi="仿宋" w:eastAsia="仿宋" w:cs="仿宋"/>
          <w:b/>
          <w:bCs/>
          <w:color w:val="auto"/>
          <w:sz w:val="36"/>
          <w:szCs w:val="21"/>
          <w:highlight w:val="none"/>
        </w:rPr>
      </w:pPr>
    </w:p>
    <w:p>
      <w:pPr>
        <w:spacing w:line="560" w:lineRule="exact"/>
        <w:rPr>
          <w:rFonts w:hint="eastAsia" w:ascii="仿宋" w:hAnsi="仿宋" w:eastAsia="仿宋" w:cs="仿宋"/>
          <w:b/>
          <w:bCs/>
          <w:color w:val="auto"/>
          <w:sz w:val="36"/>
          <w:szCs w:val="21"/>
          <w:highlight w:val="none"/>
        </w:rPr>
      </w:pPr>
    </w:p>
    <w:p>
      <w:pPr>
        <w:spacing w:line="560" w:lineRule="exact"/>
        <w:ind w:firstLine="120" w:firstLineChars="50"/>
        <w:rPr>
          <w:rFonts w:hint="eastAsia" w:ascii="仿宋" w:hAnsi="仿宋" w:eastAsia="仿宋" w:cs="仿宋"/>
          <w:bCs/>
          <w:color w:val="auto"/>
          <w:kern w:val="0"/>
          <w:szCs w:val="24"/>
          <w:highlight w:val="none"/>
          <w:u w:val="single"/>
        </w:rPr>
      </w:pPr>
      <w:r>
        <w:rPr>
          <w:rFonts w:hint="eastAsia" w:ascii="仿宋" w:hAnsi="仿宋" w:eastAsia="仿宋" w:cs="仿宋"/>
          <w:bCs/>
          <w:color w:val="auto"/>
          <w:kern w:val="0"/>
          <w:szCs w:val="24"/>
          <w:highlight w:val="none"/>
        </w:rPr>
        <w:t>投标人名称：</w:t>
      </w:r>
      <w:r>
        <w:rPr>
          <w:rFonts w:hint="eastAsia" w:ascii="仿宋" w:hAnsi="仿宋" w:eastAsia="仿宋" w:cs="仿宋"/>
          <w:bCs/>
          <w:color w:val="auto"/>
          <w:kern w:val="0"/>
          <w:szCs w:val="24"/>
          <w:highlight w:val="none"/>
          <w:u w:val="single"/>
        </w:rPr>
        <w:t xml:space="preserve">                    </w:t>
      </w:r>
      <w:r>
        <w:rPr>
          <w:rFonts w:hint="eastAsia" w:ascii="仿宋" w:hAnsi="仿宋" w:eastAsia="仿宋" w:cs="仿宋"/>
          <w:bCs/>
          <w:color w:val="auto"/>
          <w:kern w:val="0"/>
          <w:szCs w:val="24"/>
          <w:highlight w:val="none"/>
        </w:rPr>
        <w:t xml:space="preserve">                                                   </w:t>
      </w:r>
    </w:p>
    <w:tbl>
      <w:tblPr>
        <w:tblStyle w:val="2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jc w:val="center"/>
        </w:trPr>
        <w:tc>
          <w:tcPr>
            <w:tcW w:w="1524" w:type="dxa"/>
            <w:vAlign w:val="center"/>
          </w:tcPr>
          <w:p>
            <w:pPr>
              <w:spacing w:line="560" w:lineRule="exact"/>
              <w:ind w:right="163" w:rightChars="68" w:firstLine="118" w:firstLineChars="4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项目编号</w:t>
            </w:r>
          </w:p>
        </w:tc>
        <w:tc>
          <w:tcPr>
            <w:tcW w:w="5462"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投标总价</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日历日</w:t>
            </w:r>
            <w:r>
              <w:rPr>
                <w:rFonts w:hint="eastAsia" w:ascii="仿宋" w:hAnsi="仿宋" w:eastAsia="仿宋" w:cs="仿宋"/>
                <w:b/>
                <w:color w:val="auto"/>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质保期</w:t>
            </w:r>
          </w:p>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lang w:eastAsia="zh-CN"/>
              </w:rPr>
              <w:t>（</w:t>
            </w:r>
            <w:r>
              <w:rPr>
                <w:rFonts w:hint="eastAsia" w:ascii="仿宋" w:hAnsi="仿宋" w:eastAsia="仿宋" w:cs="仿宋"/>
                <w:b/>
                <w:color w:val="auto"/>
                <w:szCs w:val="24"/>
                <w:highlight w:val="none"/>
                <w:lang w:val="en-US" w:eastAsia="zh-CN"/>
              </w:rPr>
              <w:t>月</w:t>
            </w:r>
            <w:r>
              <w:rPr>
                <w:rFonts w:hint="eastAsia" w:ascii="仿宋" w:hAnsi="仿宋" w:eastAsia="仿宋" w:cs="仿宋"/>
                <w:b/>
                <w:color w:val="auto"/>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hint="eastAsia" w:ascii="仿宋" w:hAnsi="仿宋" w:eastAsia="仿宋" w:cs="仿宋"/>
                <w:color w:val="auto"/>
                <w:szCs w:val="24"/>
                <w:highlight w:val="none"/>
              </w:rPr>
            </w:pPr>
          </w:p>
        </w:tc>
        <w:tc>
          <w:tcPr>
            <w:tcW w:w="5462"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2843" w:type="dxa"/>
            <w:gridSpan w:val="3"/>
            <w:tcBorders>
              <w:top w:val="single" w:color="auto" w:sz="4" w:space="0"/>
            </w:tcBorders>
            <w:vAlign w:val="center"/>
          </w:tcPr>
          <w:p>
            <w:pPr>
              <w:spacing w:line="560" w:lineRule="exact"/>
              <w:ind w:left="240" w:leftChars="1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（大写）                                </w:t>
            </w:r>
          </w:p>
        </w:tc>
      </w:tr>
    </w:tbl>
    <w:p>
      <w:pPr>
        <w:spacing w:line="560" w:lineRule="exact"/>
        <w:ind w:left="240" w:leftChars="100"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57" w:name="_Toc9029"/>
      <w:bookmarkStart w:id="158" w:name="_Toc10249"/>
      <w:bookmarkStart w:id="159" w:name="_Toc458617473"/>
      <w:bookmarkStart w:id="160" w:name="_Toc167591334"/>
      <w:bookmarkStart w:id="161" w:name="_Toc193187101"/>
      <w:bookmarkStart w:id="162" w:name="_Toc170980556"/>
      <w:bookmarkStart w:id="163" w:name="_Toc167591148"/>
      <w:bookmarkStart w:id="164" w:name="_Toc194663922"/>
      <w:bookmarkStart w:id="165" w:name="_Toc167590779"/>
      <w:bookmarkStart w:id="166" w:name="_Toc169838536"/>
      <w:bookmarkStart w:id="167" w:name="_Toc188808836"/>
      <w:bookmarkStart w:id="168" w:name="_Toc173549982"/>
      <w:bookmarkStart w:id="169" w:name="_Toc167591496"/>
      <w:bookmarkStart w:id="170" w:name="_Toc175032441"/>
      <w:bookmarkStart w:id="171" w:name="_Toc167591047"/>
      <w:bookmarkStart w:id="172" w:name="_Toc169846877"/>
      <w:bookmarkStart w:id="173" w:name="_Toc154482483"/>
      <w:bookmarkStart w:id="174" w:name="_Toc167849364"/>
      <w:bookmarkStart w:id="175" w:name="_Toc175033596"/>
      <w:bookmarkStart w:id="176" w:name="_Toc169846780"/>
      <w:bookmarkStart w:id="177" w:name="_Toc193126885"/>
      <w:bookmarkStart w:id="178" w:name="_Toc170980457"/>
      <w:r>
        <w:rPr>
          <w:rFonts w:hint="eastAsia" w:ascii="仿宋" w:hAnsi="仿宋" w:eastAsia="仿宋" w:cs="仿宋"/>
          <w:b/>
          <w:color w:val="auto"/>
          <w:highlight w:val="none"/>
        </w:rPr>
        <w:br w:type="page"/>
      </w:r>
    </w:p>
    <w:p>
      <w:pPr>
        <w:pStyle w:val="37"/>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3.投标分项报价表</w:t>
      </w:r>
      <w:bookmarkEnd w:id="157"/>
      <w:bookmarkEnd w:id="158"/>
      <w:bookmarkEnd w:id="159"/>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tbl>
      <w:tblPr>
        <w:tblStyle w:val="23"/>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319"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13" w:type="dxa"/>
            <w:vAlign w:val="center"/>
          </w:tcPr>
          <w:p>
            <w:pPr>
              <w:spacing w:line="560" w:lineRule="exact"/>
              <w:ind w:firstLine="116" w:firstLineChars="48"/>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385"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719"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851"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ind w:left="53" w:leftChars="2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p>
        </w:tc>
      </w:tr>
    </w:tbl>
    <w:p>
      <w:pPr>
        <w:pStyle w:val="37"/>
        <w:spacing w:line="560" w:lineRule="exact"/>
        <w:ind w:firstLine="0" w:firstLineChars="0"/>
        <w:rPr>
          <w:rFonts w:hint="eastAsia" w:ascii="仿宋" w:hAnsi="仿宋" w:eastAsia="仿宋" w:cs="仿宋"/>
          <w:color w:val="auto"/>
          <w:szCs w:val="24"/>
          <w:highlight w:val="none"/>
          <w:u w:val="single"/>
        </w:rPr>
      </w:pPr>
      <w:r>
        <w:rPr>
          <w:rFonts w:hint="eastAsia" w:ascii="仿宋" w:hAnsi="仿宋" w:eastAsia="仿宋" w:cs="仿宋"/>
          <w:color w:val="auto"/>
          <w:sz w:val="24"/>
          <w:szCs w:val="24"/>
          <w:highlight w:val="none"/>
          <w:lang w:val="zh-CN"/>
        </w:rPr>
        <w:t>法定代表人或被授权人（签字或盖章）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br w:type="page"/>
      </w:r>
    </w:p>
    <w:p>
      <w:pPr>
        <w:pStyle w:val="37"/>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 xml:space="preserve">4、节能环保、环境标志产品明细表 </w:t>
      </w:r>
      <w:r>
        <w:rPr>
          <w:rFonts w:hint="eastAsia" w:ascii="仿宋" w:hAnsi="仿宋" w:eastAsia="仿宋" w:cs="仿宋"/>
          <w:bCs/>
          <w:color w:val="auto"/>
          <w:sz w:val="24"/>
          <w:szCs w:val="24"/>
          <w:highlight w:val="none"/>
        </w:rPr>
        <w:t>（格式，若有）</w:t>
      </w:r>
    </w:p>
    <w:p>
      <w:pPr>
        <w:pStyle w:val="37"/>
        <w:spacing w:line="520" w:lineRule="exact"/>
        <w:ind w:firstLine="170" w:firstLineChars="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tbl>
      <w:tblPr>
        <w:tblStyle w:val="23"/>
        <w:tblW w:w="14251" w:type="dxa"/>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autoSpaceDE w:val="0"/>
              <w:autoSpaceDN w:val="0"/>
              <w:adjustRightInd w:val="0"/>
              <w:snapToGrid w:val="0"/>
              <w:spacing w:line="52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合计（人民币</w:t>
            </w:r>
            <w:r>
              <w:rPr>
                <w:rFonts w:hint="eastAsia" w:ascii="仿宋" w:hAnsi="仿宋" w:eastAsia="仿宋" w:cs="仿宋"/>
                <w:color w:val="auto"/>
                <w:szCs w:val="24"/>
                <w:highlight w:val="none"/>
              </w:rPr>
              <w:t>元</w:t>
            </w:r>
            <w:r>
              <w:rPr>
                <w:rFonts w:hint="eastAsia" w:ascii="仿宋" w:hAnsi="仿宋" w:eastAsia="仿宋" w:cs="仿宋"/>
                <w:color w:val="auto"/>
                <w:highlight w:val="none"/>
              </w:rPr>
              <w:t>）</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hint="eastAsia" w:ascii="仿宋" w:hAnsi="仿宋" w:eastAsia="仿宋" w:cs="仿宋"/>
                <w:color w:val="auto"/>
                <w:highlight w:val="none"/>
              </w:rPr>
            </w:pPr>
          </w:p>
        </w:tc>
      </w:tr>
    </w:tbl>
    <w:p>
      <w:pPr>
        <w:autoSpaceDE w:val="0"/>
        <w:autoSpaceDN w:val="0"/>
        <w:adjustRightInd w:val="0"/>
        <w:snapToGrid w:val="0"/>
        <w:spacing w:line="520" w:lineRule="exac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hint="eastAsia" w:ascii="仿宋" w:hAnsi="仿宋" w:eastAsia="仿宋" w:cs="仿宋"/>
          <w:color w:val="auto"/>
          <w:szCs w:val="21"/>
          <w:highlight w:val="none"/>
          <w:lang w:val="zh-CN"/>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79" w:name="_Toc193187100"/>
      <w:bookmarkStart w:id="180" w:name="_Toc458617474"/>
      <w:bookmarkStart w:id="181" w:name="_Toc4842"/>
      <w:bookmarkStart w:id="182" w:name="_Toc193126884"/>
      <w:bookmarkStart w:id="183" w:name="_Toc17354"/>
      <w:bookmarkStart w:id="184" w:name="_Toc194663921"/>
      <w:r>
        <w:rPr>
          <w:rFonts w:hint="eastAsia" w:ascii="仿宋" w:hAnsi="仿宋" w:eastAsia="仿宋" w:cs="仿宋"/>
          <w:b/>
          <w:color w:val="auto"/>
          <w:highlight w:val="none"/>
        </w:rPr>
        <w:br w:type="page"/>
      </w:r>
    </w:p>
    <w:p>
      <w:pPr>
        <w:pStyle w:val="37"/>
        <w:spacing w:line="560" w:lineRule="exact"/>
        <w:ind w:firstLineChars="71"/>
        <w:rPr>
          <w:rFonts w:hint="eastAsia" w:ascii="仿宋" w:hAnsi="仿宋" w:eastAsia="仿宋" w:cs="仿宋"/>
          <w:color w:val="auto"/>
          <w:sz w:val="24"/>
          <w:szCs w:val="24"/>
          <w:highlight w:val="none"/>
        </w:rPr>
      </w:pPr>
      <w:r>
        <w:rPr>
          <w:rFonts w:hint="eastAsia" w:ascii="仿宋" w:hAnsi="仿宋" w:eastAsia="仿宋" w:cs="仿宋"/>
          <w:b/>
          <w:color w:val="auto"/>
          <w:highlight w:val="none"/>
        </w:rPr>
        <w:t>5.选配件报价表</w:t>
      </w:r>
      <w:bookmarkEnd w:id="179"/>
      <w:bookmarkEnd w:id="180"/>
      <w:bookmarkEnd w:id="181"/>
      <w:bookmarkEnd w:id="182"/>
      <w:bookmarkEnd w:id="183"/>
      <w:bookmarkEnd w:id="184"/>
      <w:r>
        <w:rPr>
          <w:rFonts w:hint="eastAsia" w:ascii="仿宋" w:hAnsi="仿宋" w:eastAsia="仿宋" w:cs="仿宋"/>
          <w:bCs/>
          <w:color w:val="auto"/>
          <w:sz w:val="24"/>
          <w:szCs w:val="24"/>
          <w:highlight w:val="none"/>
        </w:rPr>
        <w:t>（格式，若有）</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843"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0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417"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3"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92"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1134"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428"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17"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992"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134"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28"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pStyle w:val="37"/>
        <w:spacing w:line="560" w:lineRule="exact"/>
        <w:ind w:firstLine="170" w:firstLineChars="71"/>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br w:type="page"/>
      </w:r>
      <w:bookmarkStart w:id="185" w:name="_Toc10875"/>
      <w:bookmarkStart w:id="186" w:name="_Toc16402"/>
      <w:bookmarkStart w:id="187" w:name="_Toc458617475"/>
      <w:r>
        <w:rPr>
          <w:rFonts w:hint="eastAsia" w:ascii="仿宋" w:hAnsi="仿宋" w:eastAsia="仿宋" w:cs="仿宋"/>
          <w:b/>
          <w:color w:val="auto"/>
          <w:highlight w:val="none"/>
        </w:rPr>
        <w:t>6.货物说明一览表</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85"/>
      <w:bookmarkEnd w:id="186"/>
      <w:bookmarkEnd w:id="187"/>
      <w:r>
        <w:rPr>
          <w:rFonts w:hint="eastAsia" w:ascii="仿宋" w:hAnsi="仿宋" w:eastAsia="仿宋" w:cs="仿宋"/>
          <w:bCs/>
          <w:color w:val="auto"/>
          <w:sz w:val="24"/>
          <w:szCs w:val="21"/>
          <w:highlight w:val="none"/>
        </w:rPr>
        <w:t>（格式）</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tbl>
      <w:tblPr>
        <w:tblStyle w:val="2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6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62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504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配置、规格及主要技术参数</w:t>
            </w:r>
          </w:p>
        </w:tc>
        <w:tc>
          <w:tcPr>
            <w:tcW w:w="180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bl>
    <w:p>
      <w:pPr>
        <w:spacing w:line="560" w:lineRule="exact"/>
        <w:ind w:left="240" w:leftChars="100" w:firstLine="480" w:firstLineChars="200"/>
        <w:rPr>
          <w:rFonts w:hint="eastAsia" w:ascii="仿宋" w:hAnsi="仿宋" w:eastAsia="仿宋" w:cs="仿宋"/>
          <w:color w:val="auto"/>
          <w:highlight w:val="none"/>
          <w:u w:val="single"/>
        </w:rPr>
        <w:sectPr>
          <w:headerReference r:id="rId21" w:type="first"/>
          <w:footerReference r:id="rId23" w:type="first"/>
          <w:headerReference r:id="rId20" w:type="default"/>
          <w:footerReference r:id="rId22" w:type="default"/>
          <w:pgSz w:w="16840" w:h="11905" w:orient="landscape"/>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bookmarkStart w:id="188" w:name="_Toc193126886"/>
      <w:bookmarkStart w:id="189" w:name="_Toc188808837"/>
      <w:bookmarkStart w:id="190" w:name="_Toc193187102"/>
      <w:bookmarkStart w:id="191" w:name="_Toc194663923"/>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p>
    <w:bookmarkEnd w:id="188"/>
    <w:bookmarkEnd w:id="189"/>
    <w:bookmarkEnd w:id="190"/>
    <w:bookmarkEnd w:id="191"/>
    <w:p>
      <w:pPr>
        <w:pStyle w:val="37"/>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7.技术规格响应偏离表</w:t>
      </w:r>
      <w:r>
        <w:rPr>
          <w:rFonts w:hint="eastAsia" w:ascii="仿宋" w:hAnsi="仿宋" w:eastAsia="仿宋" w:cs="仿宋"/>
          <w:bCs/>
          <w:color w:val="auto"/>
          <w:sz w:val="24"/>
          <w:szCs w:val="21"/>
          <w:highlight w:val="none"/>
        </w:rPr>
        <w:t>（格式）</w:t>
      </w:r>
    </w:p>
    <w:p>
      <w:pPr>
        <w:spacing w:line="560" w:lineRule="exact"/>
        <w:jc w:val="lef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名称</w:t>
            </w:r>
          </w:p>
        </w:tc>
        <w:tc>
          <w:tcPr>
            <w:tcW w:w="231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240" w:leftChars="100"/>
        <w:textAlignment w:val="auto"/>
        <w:rPr>
          <w:rFonts w:hint="eastAsia" w:ascii="仿宋" w:hAnsi="仿宋" w:eastAsia="仿宋" w:cs="仿宋"/>
          <w:b/>
          <w:bCs/>
          <w:color w:val="auto"/>
          <w:sz w:val="18"/>
          <w:szCs w:val="18"/>
          <w:highlight w:val="none"/>
          <w:u w:val="none"/>
          <w:lang w:val="en-US" w:eastAsia="zh-CN"/>
        </w:rPr>
      </w:pPr>
      <w:r>
        <w:rPr>
          <w:rFonts w:hint="eastAsia" w:ascii="仿宋" w:hAnsi="仿宋" w:eastAsia="仿宋" w:cs="仿宋"/>
          <w:b/>
          <w:bCs/>
          <w:color w:val="auto"/>
          <w:sz w:val="18"/>
          <w:szCs w:val="18"/>
          <w:highlight w:val="none"/>
          <w:u w:val="none"/>
          <w:lang w:eastAsia="zh-CN"/>
        </w:rPr>
        <w:t>注：本表请按项目的实际技术参数，逐条对应招标文件第三章《</w:t>
      </w:r>
      <w:r>
        <w:rPr>
          <w:rFonts w:hint="eastAsia" w:ascii="仿宋" w:hAnsi="仿宋" w:eastAsia="仿宋" w:cs="仿宋"/>
          <w:b/>
          <w:bCs/>
          <w:color w:val="auto"/>
          <w:sz w:val="18"/>
          <w:szCs w:val="18"/>
          <w:highlight w:val="none"/>
          <w:u w:val="none"/>
          <w:lang w:val="en-US" w:eastAsia="zh-CN"/>
        </w:rPr>
        <w:t>采购内容及技术要求</w:t>
      </w:r>
      <w:r>
        <w:rPr>
          <w:rFonts w:hint="eastAsia" w:ascii="仿宋" w:hAnsi="仿宋" w:eastAsia="仿宋" w:cs="仿宋"/>
          <w:b/>
          <w:bCs/>
          <w:color w:val="auto"/>
          <w:sz w:val="18"/>
          <w:szCs w:val="18"/>
          <w:highlight w:val="none"/>
          <w:u w:val="none"/>
          <w:lang w:eastAsia="zh-CN"/>
        </w:rPr>
        <w:t>》</w:t>
      </w:r>
      <w:r>
        <w:rPr>
          <w:rFonts w:hint="eastAsia" w:ascii="仿宋" w:hAnsi="仿宋" w:eastAsia="仿宋" w:cs="仿宋"/>
          <w:b/>
          <w:bCs/>
          <w:color w:val="auto"/>
          <w:sz w:val="18"/>
          <w:szCs w:val="18"/>
          <w:highlight w:val="none"/>
          <w:u w:val="none"/>
          <w:lang w:val="en-US" w:eastAsia="zh-CN"/>
        </w:rPr>
        <w:t>认真填写，偏离情况填写：优于、等于或低于，偏离说明对偏离情况做出详细说明。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w:t>
      </w:r>
    </w:p>
    <w:p>
      <w:pPr>
        <w:spacing w:line="560" w:lineRule="exact"/>
        <w:ind w:firstLine="360" w:firstLineChars="15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日 期：</w:t>
      </w:r>
      <w:bookmarkStart w:id="192" w:name="_Toc193126887"/>
      <w:bookmarkStart w:id="193" w:name="_Toc193187103"/>
      <w:bookmarkStart w:id="194" w:name="_Toc194663924"/>
      <w:bookmarkStart w:id="195" w:name="_Toc188808838"/>
      <w:r>
        <w:rPr>
          <w:rFonts w:hint="eastAsia" w:ascii="仿宋" w:hAnsi="仿宋" w:eastAsia="仿宋" w:cs="仿宋"/>
          <w:color w:val="auto"/>
          <w:szCs w:val="24"/>
          <w:highlight w:val="none"/>
        </w:rPr>
        <w:t xml:space="preserve">   </w:t>
      </w:r>
    </w:p>
    <w:p>
      <w:pPr>
        <w:pStyle w:val="37"/>
        <w:spacing w:line="560" w:lineRule="exact"/>
        <w:ind w:firstLineChars="71"/>
        <w:rPr>
          <w:rFonts w:hint="eastAsia" w:ascii="仿宋" w:hAnsi="仿宋" w:eastAsia="仿宋" w:cs="仿宋"/>
          <w:b/>
          <w:color w:val="auto"/>
          <w:highlight w:val="none"/>
        </w:rPr>
      </w:pPr>
      <w:bookmarkStart w:id="196" w:name="_Toc11969"/>
      <w:bookmarkStart w:id="197" w:name="_Toc458617476"/>
      <w:bookmarkStart w:id="198" w:name="_Toc2240"/>
    </w:p>
    <w:p>
      <w:pPr>
        <w:pStyle w:val="37"/>
        <w:spacing w:line="560" w:lineRule="exact"/>
        <w:ind w:firstLineChars="71"/>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8.商务条款响应偏离表</w:t>
      </w:r>
      <w:bookmarkEnd w:id="192"/>
      <w:bookmarkEnd w:id="193"/>
      <w:bookmarkEnd w:id="194"/>
      <w:bookmarkEnd w:id="195"/>
      <w:bookmarkEnd w:id="196"/>
      <w:bookmarkEnd w:id="197"/>
      <w:bookmarkEnd w:id="198"/>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eastAsia="zh-CN"/>
        </w:rPr>
        <w:t>注：本表按照招标文件第四章《</w:t>
      </w:r>
      <w:r>
        <w:rPr>
          <w:rFonts w:hint="eastAsia" w:ascii="仿宋" w:hAnsi="仿宋" w:eastAsia="仿宋" w:cs="仿宋"/>
          <w:b/>
          <w:bCs/>
          <w:color w:val="auto"/>
          <w:sz w:val="20"/>
          <w:szCs w:val="20"/>
          <w:highlight w:val="none"/>
          <w:lang w:val="en-US" w:eastAsia="zh-CN"/>
        </w:rPr>
        <w:t>商务要求</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lang w:val="en-US" w:eastAsia="zh-CN"/>
        </w:rPr>
        <w:t>逐条响应，否则按无效投标处理。偏离情况填写：优于、等于或低于，偏离说明对偏离情况做出详细说明。</w:t>
      </w:r>
    </w:p>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pPr>
        <w:spacing w:line="560" w:lineRule="exact"/>
        <w:ind w:left="240" w:leftChars="100" w:firstLine="120" w:firstLineChars="50"/>
        <w:rPr>
          <w:rFonts w:hint="eastAsia" w:ascii="仿宋" w:hAnsi="仿宋" w:eastAsia="仿宋" w:cs="仿宋"/>
          <w:color w:val="auto"/>
          <w:highlight w:val="none"/>
          <w:u w:val="single"/>
        </w:rPr>
      </w:pPr>
      <w:r>
        <w:rPr>
          <w:rFonts w:hint="eastAsia" w:ascii="仿宋" w:hAnsi="仿宋" w:eastAsia="仿宋" w:cs="仿宋"/>
          <w:color w:val="auto"/>
          <w:szCs w:val="24"/>
          <w:highlight w:val="none"/>
        </w:rPr>
        <w:t>日 期：</w:t>
      </w:r>
      <w:r>
        <w:rPr>
          <w:rFonts w:hint="eastAsia" w:ascii="仿宋" w:hAnsi="仿宋" w:eastAsia="仿宋" w:cs="仿宋"/>
          <w:color w:val="auto"/>
          <w:highlight w:val="none"/>
          <w:u w:val="single"/>
        </w:rPr>
        <w:t xml:space="preserve">            </w:t>
      </w:r>
    </w:p>
    <w:p>
      <w:pPr>
        <w:spacing w:line="560" w:lineRule="exact"/>
        <w:rPr>
          <w:rFonts w:hint="eastAsia" w:ascii="仿宋" w:hAnsi="仿宋" w:eastAsia="仿宋" w:cs="仿宋"/>
          <w:b/>
          <w:color w:val="auto"/>
          <w:kern w:val="0"/>
          <w:sz w:val="28"/>
          <w:highlight w:val="none"/>
        </w:rPr>
      </w:pPr>
      <w:r>
        <w:rPr>
          <w:rFonts w:hint="eastAsia" w:ascii="仿宋" w:hAnsi="仿宋" w:eastAsia="仿宋" w:cs="仿宋"/>
          <w:color w:val="auto"/>
          <w:szCs w:val="21"/>
          <w:highlight w:val="none"/>
          <w:u w:val="single"/>
        </w:rPr>
        <w:br w:type="page"/>
      </w:r>
    </w:p>
    <w:p>
      <w:pPr>
        <w:pStyle w:val="37"/>
        <w:spacing w:line="560" w:lineRule="exact"/>
        <w:ind w:firstLineChars="71"/>
        <w:rPr>
          <w:rFonts w:hint="eastAsia" w:ascii="仿宋" w:hAnsi="仿宋" w:eastAsia="仿宋" w:cs="仿宋"/>
          <w:b/>
          <w:color w:val="auto"/>
          <w:highlight w:val="none"/>
          <w:u w:val="wavyHeavy" w:color="FF0000"/>
        </w:rPr>
      </w:pPr>
      <w:bookmarkStart w:id="199" w:name="_Toc28085"/>
      <w:bookmarkStart w:id="200" w:name="_Toc5659"/>
      <w:bookmarkStart w:id="201" w:name="_Toc458617478"/>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.资格证明文件</w:t>
      </w:r>
      <w:bookmarkEnd w:id="153"/>
      <w:bookmarkEnd w:id="154"/>
      <w:bookmarkEnd w:id="155"/>
      <w:bookmarkEnd w:id="156"/>
      <w:bookmarkEnd w:id="199"/>
      <w:bookmarkEnd w:id="200"/>
      <w:bookmarkEnd w:id="201"/>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（1）基本资格条件：符合《中华人民共和国政府采购法》第二十二条的规定：</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2、财务状况报告：提供具有财务审计资质单位出具的</w:t>
      </w:r>
      <w:r>
        <w:rPr>
          <w:rFonts w:hint="eastAsia" w:ascii="仿宋" w:hAnsi="仿宋" w:eastAsia="仿宋" w:cs="仿宋"/>
          <w:color w:val="auto"/>
          <w:sz w:val="24"/>
          <w:highlight w:val="none"/>
          <w:lang w:val="en-US" w:eastAsia="zh-CN"/>
        </w:rPr>
        <w:t>2020年度或2021年度</w:t>
      </w:r>
      <w:r>
        <w:rPr>
          <w:rFonts w:hint="eastAsia" w:ascii="仿宋" w:hAnsi="仿宋" w:eastAsia="仿宋" w:cs="仿宋"/>
          <w:color w:val="auto"/>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税收缴纳证明：提供2021年1月1日至今任意一个月的缴费凭据；（依法免税的投标人应提供相关文件证明）</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社会保障资金缴纳证明：提供2021年1月1日至今任意一个月的社保缴费凭据或社保机构开具的社会保险参保缴费情况证明；（依法不需要缴纳社会保障资金的投标人应提供相关证明）。</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5、提供具有履行本合同所必需的设备和专业技术能力的说明及承诺；（格式自拟，加盖投标人公章）</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6、提供参加政府采购活动前三年内在经营活动中没有重大违法记录的书面声明。（格式自拟，加盖投标人公章）</w:t>
      </w:r>
    </w:p>
    <w:p>
      <w:pP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（2）、特定资格条件：</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、投标保证金交纳凭证；（</w:t>
      </w:r>
      <w:r>
        <w:rPr>
          <w:rFonts w:hint="eastAsia" w:ascii="仿宋" w:hAnsi="仿宋" w:eastAsia="仿宋" w:cs="仿宋"/>
          <w:color w:val="auto"/>
          <w:sz w:val="24"/>
          <w:highlight w:val="none"/>
          <w:lang w:eastAsia="zh-CN"/>
        </w:rPr>
        <w:t>保证金交纳凭证复印件加盖公章</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人为代理商的须提供《医疗器械经营许可证》（或医疗器械经营备案凭证）及生产厂家的《医疗器械生产许可证》（或医疗器械生产备案凭证）复印件和所投产品的《医疗器械产品注册证》（或《医疗器械产品备案凭证》）复印件；</w:t>
      </w:r>
    </w:p>
    <w:p>
      <w:pPr>
        <w:pStyle w:val="37"/>
        <w:spacing w:line="520" w:lineRule="exact"/>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人为制造厂家应出具《医疗器械经营许可证》（或医疗器械经营备案凭证）及《医疗器械生产许可证》（或医疗器械生产备案凭证）和所投产品《医疗器械产品注册证》（或《医疗器械产品备案凭证》）；</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、单位负责人为同一人或者存在直接控股、管理关系的不同投标人，不得参加同一合同项下的政府采购活动；（提供书面承诺函，格式自拟加盖投标人公章）</w:t>
      </w:r>
    </w:p>
    <w:p>
      <w:pPr>
        <w:pStyle w:val="37"/>
        <w:spacing w:line="520" w:lineRule="exact"/>
        <w:ind w:firstLine="480"/>
        <w:rPr>
          <w:rFonts w:hint="eastAsia" w:ascii="仿宋" w:hAnsi="仿宋" w:eastAsia="仿宋" w:cs="仿宋"/>
          <w:color w:val="auto"/>
          <w:sz w:val="24"/>
          <w:highlight w:val="none"/>
        </w:rPr>
      </w:pPr>
    </w:p>
    <w:p>
      <w:pPr>
        <w:pStyle w:val="1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rPr>
          <w:rFonts w:hint="eastAsia" w:ascii="仿宋" w:hAnsi="仿宋" w:eastAsia="仿宋" w:cs="仿宋"/>
          <w:color w:val="auto"/>
          <w:szCs w:val="24"/>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bookmarkStart w:id="202" w:name="_Toc47262070"/>
      <w:bookmarkStart w:id="203" w:name="_Toc47418939"/>
      <w:bookmarkStart w:id="204" w:name="_Toc47418732"/>
      <w:bookmarkStart w:id="205" w:name="_Toc48995852"/>
      <w:bookmarkStart w:id="206" w:name="_Toc48791236"/>
      <w:bookmarkStart w:id="207" w:name="_Toc47261691"/>
      <w:bookmarkStart w:id="208" w:name="_Toc49019498"/>
      <w:bookmarkStart w:id="209" w:name="_Toc47418256"/>
      <w:bookmarkStart w:id="210" w:name="_Toc49019237"/>
      <w:bookmarkStart w:id="211" w:name="_Toc47261886"/>
      <w:r>
        <w:rPr>
          <w:rFonts w:hint="eastAsia" w:ascii="仿宋" w:hAnsi="仿宋" w:eastAsia="仿宋" w:cs="仿宋"/>
          <w:b/>
          <w:bCs/>
          <w:color w:val="auto"/>
          <w:sz w:val="28"/>
          <w:szCs w:val="28"/>
          <w:highlight w:val="none"/>
        </w:rPr>
        <w:t>法定代表人资格证明书</w:t>
      </w:r>
    </w:p>
    <w:tbl>
      <w:tblPr>
        <w:tblStyle w:val="2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信息</w:t>
            </w: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    名</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    务</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联系电话</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color w:val="auto"/>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p>
        </w:tc>
      </w:tr>
    </w:tbl>
    <w:p>
      <w:pPr>
        <w:spacing w:line="560" w:lineRule="exact"/>
        <w:ind w:left="240" w:leftChars="100"/>
        <w:jc w:val="center"/>
        <w:rPr>
          <w:rFonts w:hint="eastAsia" w:ascii="仿宋" w:hAnsi="仿宋" w:eastAsia="仿宋" w:cs="仿宋"/>
          <w:b/>
          <w:bCs/>
          <w:color w:val="auto"/>
          <w:szCs w:val="24"/>
          <w:highlight w:val="none"/>
        </w:rPr>
      </w:pPr>
      <w:r>
        <w:rPr>
          <w:rFonts w:hint="eastAsia" w:ascii="仿宋" w:hAnsi="仿宋" w:eastAsia="仿宋" w:cs="仿宋"/>
          <w:color w:val="auto"/>
          <w:kern w:val="0"/>
          <w:sz w:val="24"/>
          <w:highlight w:val="none"/>
          <w:u w:val="none"/>
        </w:rPr>
        <w:t>（法定代表人直接投标，只须提供法定代表人证明书及身份证原件）</w:t>
      </w:r>
      <w:r>
        <w:rPr>
          <w:rFonts w:hint="eastAsia" w:ascii="仿宋" w:hAnsi="仿宋" w:eastAsia="仿宋" w:cs="仿宋"/>
          <w:b/>
          <w:bCs/>
          <w:color w:val="auto"/>
          <w:szCs w:val="24"/>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权项</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目与</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内容</w:t>
            </w: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本授权书</w:t>
            </w: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投标人名称：</w:t>
            </w:r>
            <w:r>
              <w:rPr>
                <w:rFonts w:hint="eastAsia" w:ascii="仿宋" w:hAnsi="仿宋" w:eastAsia="仿宋" w:cs="仿宋"/>
                <w:bCs/>
                <w:caps/>
                <w:color w:val="auto"/>
                <w:szCs w:val="24"/>
                <w:highlight w:val="none"/>
                <w:u w:val="single"/>
              </w:rPr>
              <w:t xml:space="preserve">             </w:t>
            </w:r>
            <w:r>
              <w:rPr>
                <w:rFonts w:hint="eastAsia" w:ascii="仿宋" w:hAnsi="仿宋" w:eastAsia="仿宋" w:cs="仿宋"/>
                <w:bCs/>
                <w:caps/>
                <w:color w:val="auto"/>
                <w:szCs w:val="24"/>
                <w:highlight w:val="none"/>
              </w:rPr>
              <w:t>（投标人单位公章）     日 期：</w:t>
            </w:r>
          </w:p>
        </w:tc>
      </w:tr>
      <w:bookmarkEnd w:id="202"/>
      <w:bookmarkEnd w:id="203"/>
      <w:bookmarkEnd w:id="204"/>
      <w:bookmarkEnd w:id="205"/>
      <w:bookmarkEnd w:id="206"/>
      <w:bookmarkEnd w:id="207"/>
      <w:bookmarkEnd w:id="208"/>
      <w:bookmarkEnd w:id="209"/>
      <w:bookmarkEnd w:id="210"/>
      <w:bookmarkEnd w:id="211"/>
    </w:tbl>
    <w:p>
      <w:pPr>
        <w:pStyle w:val="37"/>
        <w:spacing w:line="560" w:lineRule="exact"/>
        <w:ind w:firstLine="0" w:firstLineChars="0"/>
        <w:jc w:val="center"/>
        <w:rPr>
          <w:rFonts w:hint="eastAsia" w:ascii="仿宋" w:hAnsi="仿宋" w:eastAsia="仿宋" w:cs="仿宋"/>
          <w:b/>
          <w:color w:val="auto"/>
          <w:highlight w:val="none"/>
        </w:rPr>
      </w:pPr>
      <w:r>
        <w:rPr>
          <w:rFonts w:hint="eastAsia" w:ascii="仿宋" w:hAnsi="仿宋" w:eastAsia="仿宋" w:cs="仿宋"/>
          <w:bCs/>
          <w:caps/>
          <w:color w:val="auto"/>
          <w:szCs w:val="24"/>
          <w:highlight w:val="none"/>
        </w:rPr>
        <w:t xml:space="preserve"> </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none"/>
          <w:lang w:eastAsia="zh-CN"/>
        </w:rPr>
        <w:t>被授权人投标时</w:t>
      </w:r>
      <w:r>
        <w:rPr>
          <w:rFonts w:hint="eastAsia" w:ascii="仿宋" w:hAnsi="仿宋" w:eastAsia="仿宋" w:cs="仿宋"/>
          <w:color w:val="auto"/>
          <w:kern w:val="0"/>
          <w:sz w:val="24"/>
          <w:highlight w:val="none"/>
          <w:u w:val="none"/>
        </w:rPr>
        <w:t>，须提供</w:t>
      </w:r>
      <w:r>
        <w:rPr>
          <w:rFonts w:hint="eastAsia" w:ascii="仿宋" w:hAnsi="仿宋" w:eastAsia="仿宋" w:cs="仿宋"/>
          <w:color w:val="auto"/>
          <w:kern w:val="0"/>
          <w:sz w:val="24"/>
          <w:highlight w:val="none"/>
          <w:u w:val="none"/>
          <w:lang w:eastAsia="zh-CN"/>
        </w:rPr>
        <w:t>法定代表人授权委托书</w:t>
      </w:r>
      <w:r>
        <w:rPr>
          <w:rFonts w:hint="eastAsia" w:ascii="仿宋" w:hAnsi="仿宋" w:eastAsia="仿宋" w:cs="仿宋"/>
          <w:color w:val="auto"/>
          <w:kern w:val="0"/>
          <w:sz w:val="24"/>
          <w:highlight w:val="none"/>
          <w:u w:val="none"/>
        </w:rPr>
        <w:t>及</w:t>
      </w:r>
      <w:r>
        <w:rPr>
          <w:rFonts w:hint="eastAsia" w:ascii="仿宋" w:hAnsi="仿宋" w:eastAsia="仿宋" w:cs="仿宋"/>
          <w:color w:val="auto"/>
          <w:kern w:val="0"/>
          <w:sz w:val="24"/>
          <w:highlight w:val="none"/>
          <w:u w:val="none"/>
          <w:lang w:eastAsia="zh-CN"/>
        </w:rPr>
        <w:t>被授权人身份证</w:t>
      </w:r>
      <w:r>
        <w:rPr>
          <w:rFonts w:hint="eastAsia" w:ascii="仿宋" w:hAnsi="仿宋" w:eastAsia="仿宋" w:cs="仿宋"/>
          <w:color w:val="auto"/>
          <w:kern w:val="0"/>
          <w:sz w:val="24"/>
          <w:highlight w:val="none"/>
          <w:u w:val="none"/>
        </w:rPr>
        <w:t>原件）</w:t>
      </w:r>
    </w:p>
    <w:p>
      <w:pPr>
        <w:pStyle w:val="37"/>
        <w:spacing w:line="560" w:lineRule="exact"/>
        <w:ind w:left="0" w:leftChars="0" w:firstLine="0" w:firstLineChars="0"/>
        <w:rPr>
          <w:rFonts w:hint="eastAsia" w:ascii="仿宋" w:hAnsi="仿宋" w:eastAsia="仿宋" w:cs="仿宋"/>
          <w:b/>
          <w:color w:val="auto"/>
          <w:sz w:val="20"/>
          <w:szCs w:val="16"/>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0</w:t>
      </w:r>
      <w:r>
        <w:rPr>
          <w:rFonts w:hint="eastAsia" w:ascii="仿宋" w:hAnsi="仿宋" w:eastAsia="仿宋" w:cs="仿宋"/>
          <w:b/>
          <w:color w:val="auto"/>
          <w:highlight w:val="none"/>
        </w:rPr>
        <w:t>.201</w:t>
      </w: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年1月</w:t>
      </w:r>
      <w:r>
        <w:rPr>
          <w:rFonts w:hint="eastAsia" w:ascii="仿宋" w:hAnsi="仿宋" w:eastAsia="仿宋" w:cs="仿宋"/>
          <w:b/>
          <w:color w:val="auto"/>
          <w:highlight w:val="none"/>
          <w:lang w:val="en-US" w:eastAsia="zh-CN"/>
        </w:rPr>
        <w:t>1日</w:t>
      </w:r>
      <w:r>
        <w:rPr>
          <w:rFonts w:hint="eastAsia" w:ascii="仿宋" w:hAnsi="仿宋" w:eastAsia="仿宋" w:cs="仿宋"/>
          <w:b/>
          <w:color w:val="auto"/>
          <w:highlight w:val="none"/>
        </w:rPr>
        <w:t>至今</w:t>
      </w:r>
      <w:bookmarkStart w:id="212" w:name="_Toc193126891"/>
      <w:bookmarkStart w:id="213" w:name="_Toc188808842"/>
      <w:r>
        <w:rPr>
          <w:rFonts w:hint="eastAsia" w:ascii="仿宋" w:hAnsi="仿宋" w:eastAsia="仿宋" w:cs="仿宋"/>
          <w:b/>
          <w:color w:val="auto"/>
          <w:highlight w:val="none"/>
          <w:lang w:eastAsia="zh-CN"/>
        </w:rPr>
        <w:t>类似项目业绩</w:t>
      </w:r>
      <w:r>
        <w:rPr>
          <w:rFonts w:hint="eastAsia" w:ascii="仿宋" w:hAnsi="仿宋" w:eastAsia="仿宋" w:cs="仿宋"/>
          <w:b/>
          <w:color w:val="auto"/>
          <w:highlight w:val="none"/>
        </w:rPr>
        <w:t>（以合同为准</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复印件加盖公章</w:t>
      </w:r>
      <w:r>
        <w:rPr>
          <w:rFonts w:hint="eastAsia" w:ascii="仿宋" w:hAnsi="仿宋" w:eastAsia="仿宋" w:cs="仿宋"/>
          <w:b/>
          <w:color w:val="auto"/>
          <w:highlight w:val="none"/>
        </w:rPr>
        <w:t>）</w:t>
      </w:r>
    </w:p>
    <w:p>
      <w:pPr>
        <w:pStyle w:val="37"/>
        <w:spacing w:line="560" w:lineRule="exact"/>
        <w:ind w:firstLine="0" w:firstLineChars="0"/>
        <w:rPr>
          <w:rFonts w:hint="eastAsia" w:ascii="仿宋" w:hAnsi="仿宋" w:eastAsia="仿宋" w:cs="仿宋"/>
          <w:b/>
          <w:color w:val="auto"/>
          <w:szCs w:val="28"/>
          <w:highlight w:val="none"/>
        </w:rPr>
      </w:pPr>
      <w:bookmarkStart w:id="214" w:name="_Toc14386"/>
      <w:bookmarkStart w:id="215" w:name="_Toc937"/>
      <w:bookmarkStart w:id="216" w:name="_Toc458617479"/>
    </w:p>
    <w:p>
      <w:pPr>
        <w:pStyle w:val="37"/>
        <w:spacing w:line="560" w:lineRule="exact"/>
        <w:ind w:firstLine="0" w:firstLineChars="0"/>
        <w:rPr>
          <w:rFonts w:hint="eastAsia" w:ascii="仿宋" w:hAnsi="仿宋" w:eastAsia="仿宋" w:cs="仿宋"/>
          <w:b/>
          <w:color w:val="auto"/>
          <w:szCs w:val="28"/>
          <w:highlight w:val="none"/>
        </w:rPr>
      </w:pPr>
    </w:p>
    <w:p>
      <w:pPr>
        <w:pStyle w:val="37"/>
        <w:spacing w:line="56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.产品的合法渠道证明文件</w:t>
      </w:r>
      <w:bookmarkEnd w:id="214"/>
      <w:bookmarkEnd w:id="215"/>
      <w:bookmarkEnd w:id="216"/>
      <w:bookmarkStart w:id="217" w:name="_Toc194663938"/>
      <w:bookmarkStart w:id="218" w:name="_Toc193126901"/>
      <w:bookmarkStart w:id="219" w:name="_Toc193187107"/>
      <w:bookmarkStart w:id="220" w:name="_Toc23774"/>
      <w:bookmarkStart w:id="221" w:name="_Toc23126"/>
      <w:bookmarkStart w:id="222" w:name="_Toc458617480"/>
    </w:p>
    <w:p>
      <w:pPr>
        <w:pStyle w:val="10"/>
        <w:rPr>
          <w:rFonts w:hint="eastAsia" w:ascii="仿宋" w:hAnsi="仿宋" w:eastAsia="仿宋" w:cs="仿宋"/>
          <w:color w:val="auto"/>
          <w:highlight w:val="none"/>
        </w:rPr>
      </w:pPr>
    </w:p>
    <w:p>
      <w:pPr>
        <w:pStyle w:val="37"/>
        <w:spacing w:line="560" w:lineRule="exact"/>
        <w:ind w:firstLineChars="71"/>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2</w:t>
      </w:r>
      <w:r>
        <w:rPr>
          <w:rFonts w:hint="eastAsia" w:ascii="仿宋" w:hAnsi="仿宋" w:eastAsia="仿宋" w:cs="仿宋"/>
          <w:b/>
          <w:color w:val="auto"/>
          <w:highlight w:val="none"/>
        </w:rPr>
        <w:t>.</w:t>
      </w:r>
      <w:bookmarkEnd w:id="217"/>
      <w:bookmarkEnd w:id="218"/>
      <w:bookmarkEnd w:id="219"/>
      <w:r>
        <w:rPr>
          <w:rFonts w:hint="eastAsia" w:ascii="仿宋" w:hAnsi="仿宋" w:eastAsia="仿宋" w:cs="仿宋"/>
          <w:b/>
          <w:color w:val="auto"/>
          <w:highlight w:val="none"/>
        </w:rPr>
        <w:t>项目实施方案</w:t>
      </w:r>
    </w:p>
    <w:bookmarkEnd w:id="220"/>
    <w:bookmarkEnd w:id="221"/>
    <w:bookmarkEnd w:id="222"/>
    <w:p>
      <w:pPr>
        <w:pStyle w:val="37"/>
        <w:spacing w:line="560" w:lineRule="exact"/>
        <w:ind w:firstLineChars="71"/>
        <w:rPr>
          <w:rFonts w:hint="eastAsia" w:ascii="仿宋" w:hAnsi="仿宋" w:eastAsia="仿宋" w:cs="仿宋"/>
          <w:b/>
          <w:color w:val="auto"/>
          <w:szCs w:val="28"/>
          <w:highlight w:val="none"/>
        </w:rPr>
      </w:pPr>
      <w:bookmarkStart w:id="223" w:name="_Toc193126902"/>
      <w:bookmarkStart w:id="224" w:name="_Toc188808852"/>
      <w:bookmarkStart w:id="225" w:name="_Toc193187108"/>
      <w:bookmarkStart w:id="226" w:name="_Toc194663939"/>
    </w:p>
    <w:p>
      <w:pPr>
        <w:pStyle w:val="37"/>
        <w:spacing w:line="560" w:lineRule="exact"/>
        <w:ind w:left="0" w:leftChars="0" w:firstLine="0" w:firstLineChars="0"/>
        <w:rPr>
          <w:rFonts w:hint="eastAsia" w:ascii="仿宋" w:hAnsi="仿宋" w:eastAsia="仿宋" w:cs="仿宋"/>
          <w:b/>
          <w:color w:val="auto"/>
          <w:szCs w:val="28"/>
          <w:highlight w:val="none"/>
        </w:rPr>
      </w:pPr>
    </w:p>
    <w:p>
      <w:pPr>
        <w:pStyle w:val="37"/>
        <w:spacing w:line="560" w:lineRule="exact"/>
        <w:ind w:left="0" w:leftChars="0" w:firstLine="0" w:firstLineChars="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1</w:t>
      </w:r>
      <w:r>
        <w:rPr>
          <w:rFonts w:hint="eastAsia" w:ascii="仿宋" w:hAnsi="仿宋" w:eastAsia="仿宋" w:cs="仿宋"/>
          <w:b/>
          <w:color w:val="auto"/>
          <w:szCs w:val="28"/>
          <w:highlight w:val="none"/>
          <w:lang w:val="en-US" w:eastAsia="zh-CN"/>
        </w:rPr>
        <w:t>3</w:t>
      </w:r>
      <w:r>
        <w:rPr>
          <w:rFonts w:hint="eastAsia" w:ascii="仿宋" w:hAnsi="仿宋" w:eastAsia="仿宋" w:cs="仿宋"/>
          <w:b/>
          <w:color w:val="auto"/>
          <w:szCs w:val="28"/>
          <w:highlight w:val="none"/>
        </w:rPr>
        <w:t>.</w:t>
      </w:r>
      <w:r>
        <w:rPr>
          <w:rFonts w:hint="eastAsia" w:ascii="仿宋" w:hAnsi="仿宋" w:eastAsia="仿宋" w:cs="仿宋"/>
          <w:b/>
          <w:color w:val="auto"/>
          <w:highlight w:val="none"/>
        </w:rPr>
        <w:t>产品的技术文件</w:t>
      </w:r>
    </w:p>
    <w:p>
      <w:pPr>
        <w:pStyle w:val="37"/>
        <w:spacing w:line="560" w:lineRule="exact"/>
        <w:ind w:left="0" w:leftChars="0" w:firstLine="0" w:firstLineChars="0"/>
        <w:rPr>
          <w:rFonts w:hint="eastAsia" w:ascii="仿宋" w:hAnsi="仿宋" w:eastAsia="仿宋" w:cs="仿宋"/>
          <w:b/>
          <w:color w:val="auto"/>
          <w:highlight w:val="none"/>
        </w:rPr>
      </w:pPr>
      <w:bookmarkStart w:id="227" w:name="_Toc17505"/>
      <w:bookmarkStart w:id="228" w:name="_Toc458617481"/>
      <w:bookmarkStart w:id="229" w:name="_Toc8306"/>
    </w:p>
    <w:p>
      <w:pPr>
        <w:pStyle w:val="37"/>
        <w:spacing w:line="560" w:lineRule="exact"/>
        <w:ind w:firstLineChars="71"/>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.质量保证</w:t>
      </w:r>
      <w:bookmarkEnd w:id="223"/>
      <w:bookmarkEnd w:id="224"/>
      <w:bookmarkEnd w:id="225"/>
      <w:bookmarkEnd w:id="226"/>
      <w:bookmarkEnd w:id="227"/>
      <w:bookmarkEnd w:id="228"/>
      <w:bookmarkEnd w:id="229"/>
      <w:bookmarkStart w:id="230" w:name="_Toc194663941"/>
      <w:bookmarkStart w:id="231" w:name="_Toc188808854"/>
      <w:bookmarkStart w:id="232" w:name="_Toc193126904"/>
      <w:bookmarkStart w:id="233" w:name="_Toc193187110"/>
      <w:r>
        <w:rPr>
          <w:rFonts w:hint="eastAsia" w:ascii="仿宋" w:hAnsi="仿宋" w:eastAsia="仿宋" w:cs="仿宋"/>
          <w:b/>
          <w:color w:val="auto"/>
          <w:highlight w:val="none"/>
        </w:rPr>
        <w:t xml:space="preserve">承诺 </w:t>
      </w:r>
    </w:p>
    <w:p>
      <w:pPr>
        <w:spacing w:line="560" w:lineRule="exact"/>
        <w:outlineLvl w:val="1"/>
        <w:rPr>
          <w:rFonts w:hint="eastAsia" w:ascii="仿宋" w:hAnsi="仿宋" w:eastAsia="仿宋" w:cs="仿宋"/>
          <w:b/>
          <w:color w:val="auto"/>
          <w:sz w:val="28"/>
          <w:szCs w:val="28"/>
          <w:highlight w:val="none"/>
        </w:rPr>
      </w:pPr>
    </w:p>
    <w:p>
      <w:pPr>
        <w:pStyle w:val="14"/>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bookmarkStart w:id="234" w:name="_Toc458617482"/>
      <w:bookmarkStart w:id="235" w:name="_Toc2456"/>
      <w:bookmarkStart w:id="236" w:name="_Toc21757"/>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.售后服务</w:t>
      </w:r>
      <w:bookmarkEnd w:id="230"/>
      <w:bookmarkEnd w:id="231"/>
      <w:bookmarkEnd w:id="232"/>
      <w:bookmarkEnd w:id="233"/>
      <w:bookmarkEnd w:id="234"/>
      <w:bookmarkEnd w:id="235"/>
      <w:bookmarkEnd w:id="236"/>
      <w:bookmarkStart w:id="237" w:name="_Toc458617483"/>
      <w:bookmarkStart w:id="238" w:name="_Toc11302"/>
      <w:bookmarkStart w:id="239" w:name="_Toc6260"/>
      <w:bookmarkStart w:id="240" w:name="_Toc193187111"/>
      <w:bookmarkStart w:id="241" w:name="_Toc188808855"/>
      <w:bookmarkStart w:id="242" w:name="_Toc194663942"/>
      <w:bookmarkStart w:id="243" w:name="_Toc193126905"/>
      <w:r>
        <w:rPr>
          <w:rFonts w:hint="eastAsia" w:ascii="仿宋" w:hAnsi="仿宋" w:eastAsia="仿宋" w:cs="仿宋"/>
          <w:b/>
          <w:color w:val="auto"/>
          <w:highlight w:val="none"/>
          <w:lang w:eastAsia="zh-CN"/>
        </w:rPr>
        <w:t>及</w:t>
      </w:r>
      <w:r>
        <w:rPr>
          <w:rFonts w:hint="eastAsia" w:ascii="仿宋" w:hAnsi="仿宋" w:eastAsia="仿宋" w:cs="仿宋"/>
          <w:b/>
          <w:color w:val="auto"/>
          <w:highlight w:val="none"/>
        </w:rPr>
        <w:t>培训计划</w:t>
      </w:r>
      <w:bookmarkEnd w:id="237"/>
      <w:bookmarkEnd w:id="238"/>
      <w:bookmarkEnd w:id="239"/>
    </w:p>
    <w:p>
      <w:pPr>
        <w:pStyle w:val="37"/>
        <w:spacing w:line="560" w:lineRule="exact"/>
        <w:ind w:firstLine="0" w:firstLineChars="0"/>
        <w:rPr>
          <w:rFonts w:hint="eastAsia" w:ascii="仿宋" w:hAnsi="仿宋" w:eastAsia="仿宋" w:cs="仿宋"/>
          <w:b/>
          <w:color w:val="auto"/>
          <w:highlight w:val="none"/>
        </w:rPr>
      </w:pPr>
      <w:bookmarkStart w:id="244" w:name="_Toc458617484"/>
      <w:bookmarkStart w:id="245" w:name="_Toc27682"/>
      <w:bookmarkStart w:id="246" w:name="_Toc6949"/>
    </w:p>
    <w:p>
      <w:pPr>
        <w:pStyle w:val="37"/>
        <w:spacing w:line="560" w:lineRule="exact"/>
        <w:ind w:firstLine="0" w:firstLineChars="0"/>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.投标人认为有必要补充说明的事宜</w:t>
      </w:r>
      <w:bookmarkEnd w:id="244"/>
      <w:bookmarkEnd w:id="245"/>
      <w:bookmarkEnd w:id="246"/>
      <w:r>
        <w:rPr>
          <w:rFonts w:hint="eastAsia" w:ascii="仿宋" w:hAnsi="仿宋" w:eastAsia="仿宋" w:cs="仿宋"/>
          <w:bCs/>
          <w:color w:val="auto"/>
          <w:sz w:val="24"/>
          <w:szCs w:val="21"/>
          <w:highlight w:val="none"/>
        </w:rPr>
        <w:t>（若有）</w:t>
      </w:r>
    </w:p>
    <w:p>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7</w:t>
      </w:r>
      <w:r>
        <w:rPr>
          <w:rFonts w:hint="eastAsia" w:ascii="仿宋" w:hAnsi="仿宋" w:eastAsia="仿宋" w:cs="仿宋"/>
          <w:b/>
          <w:bCs/>
          <w:color w:val="auto"/>
          <w:szCs w:val="28"/>
          <w:highlight w:val="none"/>
        </w:rPr>
        <w:t>.</w:t>
      </w:r>
      <w:bookmarkEnd w:id="240"/>
      <w:bookmarkEnd w:id="241"/>
      <w:bookmarkEnd w:id="242"/>
      <w:bookmarkEnd w:id="243"/>
      <w:r>
        <w:rPr>
          <w:rFonts w:hint="eastAsia" w:ascii="仿宋" w:hAnsi="仿宋" w:eastAsia="仿宋" w:cs="仿宋"/>
          <w:b/>
          <w:bCs/>
          <w:color w:val="auto"/>
          <w:szCs w:val="28"/>
          <w:highlight w:val="none"/>
          <w:lang w:eastAsia="zh-CN"/>
        </w:rPr>
        <w:t>投标人承诺书</w:t>
      </w:r>
    </w:p>
    <w:p>
      <w:pPr>
        <w:widowControl/>
        <w:spacing w:line="560" w:lineRule="exact"/>
        <w:rPr>
          <w:rFonts w:hint="eastAsia" w:ascii="仿宋" w:hAnsi="仿宋" w:eastAsia="仿宋" w:cs="仿宋"/>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32"/>
          <w:szCs w:val="32"/>
          <w:highlight w:val="none"/>
        </w:rPr>
        <w:t xml:space="preserve">                   </w:t>
      </w:r>
      <w:r>
        <w:rPr>
          <w:rFonts w:hint="eastAsia" w:ascii="仿宋" w:hAnsi="仿宋" w:eastAsia="仿宋" w:cs="仿宋"/>
          <w:b/>
          <w:bCs/>
          <w:color w:val="auto"/>
          <w:kern w:val="0"/>
          <w:sz w:val="30"/>
          <w:szCs w:val="30"/>
          <w:highlight w:val="none"/>
        </w:rPr>
        <w:t xml:space="preserve"> </w:t>
      </w:r>
      <w:r>
        <w:rPr>
          <w:rFonts w:hint="eastAsia" w:ascii="仿宋" w:hAnsi="仿宋" w:eastAsia="仿宋" w:cs="仿宋"/>
          <w:b/>
          <w:bCs/>
          <w:color w:val="auto"/>
          <w:kern w:val="0"/>
          <w:sz w:val="28"/>
          <w:szCs w:val="28"/>
          <w:highlight w:val="none"/>
        </w:rPr>
        <w:t>陕西省政府采购投标人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拒绝政府采购领域商业贿赂承诺书Ⅰ</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为响应党中央、国务院关于治理政府采购领域商业贿赂行为的号召，</w:t>
      </w:r>
      <w:r>
        <w:rPr>
          <w:rFonts w:hint="eastAsia" w:ascii="仿宋" w:hAnsi="仿宋" w:eastAsia="仿宋" w:cs="仿宋"/>
          <w:color w:val="auto"/>
          <w:kern w:val="0"/>
          <w:highlight w:val="none"/>
        </w:rPr>
        <w:t xml:space="preserve">我单位作为     </w:t>
      </w:r>
      <w:r>
        <w:rPr>
          <w:rFonts w:hint="eastAsia" w:ascii="仿宋" w:hAnsi="仿宋" w:eastAsia="仿宋" w:cs="仿宋"/>
          <w:color w:val="auto"/>
          <w:kern w:val="0"/>
          <w:highlight w:val="none"/>
          <w:u w:val="single"/>
        </w:rPr>
        <w:t xml:space="preserve">（项目名称）         </w:t>
      </w:r>
      <w:r>
        <w:rPr>
          <w:rFonts w:hint="eastAsia" w:ascii="仿宋" w:hAnsi="仿宋" w:eastAsia="仿宋" w:cs="仿宋"/>
          <w:color w:val="auto"/>
          <w:kern w:val="0"/>
          <w:highlight w:val="none"/>
        </w:rPr>
        <w:t xml:space="preserve"> 的投标人，</w:t>
      </w:r>
      <w:r>
        <w:rPr>
          <w:rFonts w:hint="eastAsia" w:ascii="仿宋" w:hAnsi="仿宋" w:eastAsia="仿宋" w:cs="仿宋"/>
          <w:color w:val="auto"/>
          <w:kern w:val="0"/>
          <w:szCs w:val="24"/>
          <w:highlight w:val="none"/>
        </w:rPr>
        <w:t xml:space="preserve">在此庄严承诺：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2、不向采购人、采购代理机构和政府采购评审专家进行任何形式的商业贿赂以谋取交易机会。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3、不向政府采购采购代理机构和采购人提供虚假资质文件或采用虚假应标方式参与政府采购市场竞争并谋取中标、成交。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7、不与采购人、采购代理机构政府采购评审专家或其它投标人恶意串通，进行质疑和投诉，维护政府采购市场秩序。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8、尊重和接受政府采购监督管理部门的监督和政府采购代理机构招标要求，承担因违约行为给采购人造成的损失。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9、不发生其他有悖于政府采购公开、公平、公正和诚信原则的行为。 </w:t>
      </w:r>
    </w:p>
    <w:p>
      <w:pPr>
        <w:pStyle w:val="16"/>
        <w:rPr>
          <w:rFonts w:hint="eastAsia" w:ascii="仿宋" w:hAnsi="仿宋" w:eastAsia="仿宋" w:cs="仿宋"/>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p>
    <w:p>
      <w:pP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承诺单位：</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 xml:space="preserve"> </w:t>
      </w:r>
      <w:r>
        <w:rPr>
          <w:rFonts w:hint="eastAsia" w:ascii="仿宋" w:hAnsi="仿宋" w:eastAsia="仿宋" w:cs="仿宋"/>
          <w:color w:val="auto"/>
          <w:kern w:val="0"/>
          <w:szCs w:val="24"/>
          <w:highlight w:val="none"/>
        </w:rPr>
        <w:t>全权代表：</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u w:val="single"/>
        </w:rPr>
      </w:pPr>
      <w:r>
        <w:rPr>
          <w:rFonts w:hint="eastAsia" w:ascii="仿宋" w:hAnsi="仿宋" w:eastAsia="仿宋" w:cs="仿宋"/>
          <w:color w:val="auto"/>
          <w:kern w:val="0"/>
          <w:szCs w:val="24"/>
          <w:highlight w:val="none"/>
        </w:rPr>
        <w:t>地　　址：</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u w:val="single"/>
          <w:lang w:eastAsia="zh-CN"/>
        </w:rPr>
      </w:pPr>
      <w:r>
        <w:rPr>
          <w:rFonts w:hint="eastAsia" w:ascii="仿宋" w:hAnsi="仿宋" w:eastAsia="仿宋" w:cs="仿宋"/>
          <w:color w:val="auto"/>
          <w:kern w:val="0"/>
          <w:szCs w:val="24"/>
          <w:highlight w:val="none"/>
        </w:rPr>
        <w:t>邮    编：</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电　　话：</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920" w:firstLineChars="2050"/>
        <w:textAlignment w:val="auto"/>
        <w:rPr>
          <w:rFonts w:hint="eastAsia" w:ascii="仿宋" w:hAnsi="仿宋" w:eastAsia="仿宋" w:cs="仿宋"/>
          <w:color w:val="auto"/>
          <w:kern w:val="0"/>
          <w:szCs w:val="24"/>
          <w:highlight w:val="none"/>
        </w:rPr>
        <w:sectPr>
          <w:headerReference r:id="rId25" w:type="first"/>
          <w:footerReference r:id="rId27" w:type="first"/>
          <w:headerReference r:id="rId24" w:type="default"/>
          <w:footerReference r:id="rId26" w:type="defaul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kern w:val="0"/>
          <w:szCs w:val="24"/>
          <w:highlight w:val="none"/>
        </w:rPr>
        <w:t>年　　月　　日</w:t>
      </w:r>
    </w:p>
    <w:bookmarkEnd w:id="212"/>
    <w:bookmarkEnd w:id="213"/>
    <w:p>
      <w:pPr>
        <w:spacing w:line="360" w:lineRule="atLeast"/>
        <w:jc w:val="center"/>
        <w:rPr>
          <w:rFonts w:hint="eastAsia" w:ascii="仿宋" w:hAnsi="仿宋" w:eastAsia="仿宋" w:cs="仿宋"/>
          <w:b/>
          <w:color w:val="auto"/>
          <w:sz w:val="32"/>
          <w:szCs w:val="32"/>
          <w:highlight w:val="none"/>
        </w:rPr>
      </w:pPr>
      <w:bookmarkStart w:id="247" w:name="_Toc458617748"/>
      <w:r>
        <w:rPr>
          <w:rFonts w:hint="eastAsia" w:ascii="仿宋" w:hAnsi="仿宋" w:eastAsia="仿宋" w:cs="仿宋"/>
          <w:b/>
          <w:color w:val="auto"/>
          <w:sz w:val="32"/>
          <w:szCs w:val="32"/>
          <w:highlight w:val="none"/>
        </w:rPr>
        <w:t>承诺书Ⅱ</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承诺书Ⅳ</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uto"/>
        <w:ind w:right="480"/>
        <w:rPr>
          <w:rFonts w:hint="eastAsia" w:ascii="仿宋" w:hAnsi="仿宋" w:eastAsia="仿宋" w:cs="仿宋"/>
          <w:color w:val="auto"/>
          <w:sz w:val="24"/>
          <w:szCs w:val="28"/>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br w:type="page"/>
      </w:r>
    </w:p>
    <w:p>
      <w:pPr>
        <w:spacing w:line="360" w:lineRule="atLeast"/>
        <w:jc w:val="cente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承诺书Ⅵ</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作为参加贵公司组织的招标采购项目的投标人，本公司承诺：</w:t>
            </w:r>
            <w:r>
              <w:rPr>
                <w:rFonts w:hint="eastAsia" w:ascii="仿宋" w:hAnsi="仿宋" w:eastAsia="仿宋" w:cs="仿宋"/>
                <w:color w:val="auto"/>
                <w:sz w:val="24"/>
                <w:highlight w:val="none"/>
                <w:lang w:eastAsia="zh-CN"/>
              </w:rPr>
              <w:t>我单位法人代表及主要负责人所在的公司在近三年内没有违法违规行为，</w:t>
            </w:r>
            <w:r>
              <w:rPr>
                <w:rFonts w:hint="eastAsia" w:ascii="仿宋" w:hAnsi="仿宋" w:eastAsia="仿宋" w:cs="仿宋"/>
                <w:color w:val="auto"/>
                <w:sz w:val="24"/>
                <w:highlight w:val="none"/>
              </w:rPr>
              <w:t>如有</w:t>
            </w:r>
            <w:r>
              <w:rPr>
                <w:rFonts w:hint="eastAsia" w:ascii="仿宋" w:hAnsi="仿宋" w:eastAsia="仿宋" w:cs="仿宋"/>
                <w:color w:val="auto"/>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rPr>
          <w:rFonts w:hint="eastAsia" w:ascii="仿宋" w:hAnsi="仿宋" w:eastAsia="仿宋" w:cs="仿宋"/>
          <w:b/>
          <w:bCs/>
          <w:color w:val="auto"/>
          <w:szCs w:val="28"/>
          <w:highlight w:val="none"/>
          <w:lang w:val="en-US" w:eastAsia="zh-CN"/>
        </w:rPr>
      </w:pPr>
    </w:p>
    <w:p>
      <w:pPr>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br w:type="page"/>
      </w:r>
    </w:p>
    <w:p>
      <w:pPr>
        <w:pStyle w:val="37"/>
        <w:spacing w:line="560" w:lineRule="exact"/>
        <w:ind w:firstLine="174" w:firstLineChars="62"/>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18</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中小</w:t>
      </w:r>
      <w:r>
        <w:rPr>
          <w:rFonts w:hint="eastAsia" w:ascii="仿宋" w:hAnsi="仿宋" w:eastAsia="仿宋" w:cs="仿宋"/>
          <w:b/>
          <w:bCs/>
          <w:color w:val="auto"/>
          <w:szCs w:val="28"/>
          <w:highlight w:val="none"/>
        </w:rPr>
        <w:t>企业声明函》</w:t>
      </w:r>
      <w:bookmarkEnd w:id="247"/>
      <w:bookmarkStart w:id="248" w:name="OLE_LINK19"/>
      <w:r>
        <w:rPr>
          <w:rFonts w:hint="eastAsia" w:ascii="仿宋" w:hAnsi="仿宋" w:eastAsia="仿宋" w:cs="仿宋"/>
          <w:color w:val="auto"/>
          <w:sz w:val="24"/>
          <w:szCs w:val="24"/>
          <w:highlight w:val="none"/>
        </w:rPr>
        <w:t>（格式，若有）</w:t>
      </w:r>
    </w:p>
    <w:bookmarkEnd w:id="248"/>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eastAsia="zh-CN"/>
        </w:rPr>
        <w:t>中小</w:t>
      </w:r>
      <w:r>
        <w:rPr>
          <w:rFonts w:hint="eastAsia" w:ascii="仿宋" w:hAnsi="仿宋" w:eastAsia="仿宋" w:cs="仿宋"/>
          <w:b/>
          <w:bCs/>
          <w:color w:val="auto"/>
          <w:kern w:val="0"/>
          <w:sz w:val="28"/>
          <w:szCs w:val="28"/>
          <w:highlight w:val="none"/>
        </w:rPr>
        <w:t>企业声明函</w:t>
      </w:r>
      <w:r>
        <w:rPr>
          <w:rFonts w:hint="eastAsia" w:ascii="仿宋" w:hAnsi="仿宋" w:eastAsia="仿宋" w:cs="仿宋"/>
          <w:b/>
          <w:bCs/>
          <w:color w:val="auto"/>
          <w:kern w:val="0"/>
          <w:sz w:val="28"/>
          <w:szCs w:val="28"/>
          <w:highlight w:val="none"/>
          <w:lang w:val="en-US" w:eastAsia="zh-CN"/>
        </w:rPr>
        <w:t>(货物）</w:t>
      </w:r>
      <w:r>
        <w:rPr>
          <w:rFonts w:hint="eastAsia" w:ascii="仿宋" w:hAnsi="仿宋" w:eastAsia="仿宋" w:cs="仿宋"/>
          <w:b/>
          <w:bCs/>
          <w:color w:val="auto"/>
          <w:kern w:val="0"/>
          <w:sz w:val="20"/>
          <w:szCs w:val="20"/>
          <w:highlight w:val="none"/>
        </w:rPr>
        <w:t>(非中小企业不填写)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rPr>
        <w:t>本公司郑重声明，根据《政府采购促进中小企业发展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号）的规定，本公司</w:t>
      </w:r>
      <w:r>
        <w:rPr>
          <w:rFonts w:hint="eastAsia" w:ascii="仿宋" w:hAnsi="仿宋" w:eastAsia="仿宋" w:cs="仿宋"/>
          <w:color w:val="auto"/>
          <w:szCs w:val="24"/>
          <w:highlight w:val="none"/>
          <w:lang w:eastAsia="zh-CN"/>
        </w:rPr>
        <w:t>参加</w:t>
      </w:r>
      <w:r>
        <w:rPr>
          <w:rFonts w:hint="eastAsia" w:ascii="仿宋" w:hAnsi="仿宋" w:eastAsia="仿宋" w:cs="仿宋"/>
          <w:color w:val="auto"/>
          <w:szCs w:val="24"/>
          <w:highlight w:val="none"/>
          <w:u w:val="single"/>
          <w:lang w:val="en-US" w:eastAsia="zh-CN"/>
        </w:rPr>
        <w:t xml:space="preserve"> （单位名称）</w:t>
      </w:r>
      <w:r>
        <w:rPr>
          <w:rFonts w:hint="eastAsia" w:ascii="仿宋" w:hAnsi="仿宋" w:eastAsia="仿宋" w:cs="仿宋"/>
          <w:color w:val="auto"/>
          <w:szCs w:val="24"/>
          <w:highlight w:val="none"/>
          <w:u w:val="none"/>
          <w:lang w:val="en-US" w:eastAsia="zh-CN"/>
        </w:rPr>
        <w:t xml:space="preserve"> 的</w:t>
      </w:r>
      <w:r>
        <w:rPr>
          <w:rFonts w:hint="eastAsia" w:ascii="仿宋" w:hAnsi="仿宋" w:eastAsia="仿宋" w:cs="仿宋"/>
          <w:color w:val="auto"/>
          <w:szCs w:val="24"/>
          <w:highlight w:val="none"/>
          <w:u w:val="single"/>
          <w:lang w:val="en-US" w:eastAsia="zh-CN"/>
        </w:rPr>
        <w:t>（项目名称）</w:t>
      </w:r>
      <w:r>
        <w:rPr>
          <w:rFonts w:hint="eastAsia" w:ascii="仿宋" w:hAnsi="仿宋" w:eastAsia="仿宋" w:cs="仿宋"/>
          <w:color w:val="auto"/>
          <w:szCs w:val="24"/>
          <w:highlight w:val="none"/>
          <w:u w:val="none"/>
          <w:lang w:val="en-US" w:eastAsia="zh-CN"/>
        </w:rPr>
        <w:t>采购活动，提供的货物全部由符合政策要求的中小企业制造。相关企业的具体情况如下：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u w:val="none"/>
          <w:lang w:val="en-US" w:eastAsia="zh-CN"/>
        </w:rPr>
        <w:t>1.</w:t>
      </w:r>
      <w:r>
        <w:rPr>
          <w:rFonts w:hint="eastAsia" w:ascii="仿宋" w:hAnsi="仿宋" w:eastAsia="仿宋" w:cs="仿宋"/>
          <w:color w:val="auto"/>
          <w:szCs w:val="24"/>
          <w:highlight w:val="none"/>
          <w:u w:val="single"/>
          <w:lang w:val="en-US" w:eastAsia="zh-CN"/>
        </w:rPr>
        <w:t xml:space="preserve">（标的名称） </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none"/>
          <w:lang w:val="en-US" w:eastAsia="zh-CN"/>
        </w:rPr>
        <w:t>万元</w:t>
      </w:r>
      <w:r>
        <w:rPr>
          <w:rFonts w:hint="eastAsia" w:ascii="仿宋" w:hAnsi="仿宋" w:eastAsia="仿宋" w:cs="仿宋"/>
          <w:color w:val="auto"/>
          <w:szCs w:val="24"/>
          <w:highlight w:val="none"/>
          <w:lang w:val="en-US" w:eastAsia="zh-CN"/>
        </w:rPr>
        <w:t>，资产总额为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w:t>
      </w:r>
      <w:r>
        <w:rPr>
          <w:rFonts w:hint="eastAsia" w:ascii="仿宋" w:hAnsi="仿宋" w:eastAsia="仿宋" w:cs="仿宋"/>
          <w:color w:val="auto"/>
          <w:szCs w:val="24"/>
          <w:highlight w:val="none"/>
          <w:vertAlign w:val="superscript"/>
          <w:lang w:val="en-US" w:eastAsia="zh-CN"/>
        </w:rPr>
        <w:t>1</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u w:val="single"/>
          <w:lang w:val="en-US" w:eastAsia="zh-CN"/>
        </w:rPr>
        <w:t xml:space="preserve"> （标的名称）</w:t>
      </w:r>
      <w:r>
        <w:rPr>
          <w:rFonts w:hint="eastAsia" w:ascii="仿宋" w:hAnsi="仿宋" w:eastAsia="仿宋" w:cs="仿宋"/>
          <w:color w:val="auto"/>
          <w:szCs w:val="24"/>
          <w:highlight w:val="none"/>
          <w:lang w:val="en-US" w:eastAsia="zh-CN"/>
        </w:rPr>
        <w:t xml:space="preserve"> ，属于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w:t>
      </w:r>
    </w:p>
    <w:p>
      <w:pPr>
        <w:pStyle w:val="10"/>
        <w:keepNext w:val="0"/>
        <w:keepLines w:val="0"/>
        <w:pageBreakBefore w:val="0"/>
        <w:widowControl w:val="0"/>
        <w:kinsoku/>
        <w:wordWrap/>
        <w:overflowPunct/>
        <w:topLinePunct w:val="0"/>
        <w:autoSpaceDE/>
        <w:autoSpaceDN/>
        <w:bidi w:val="0"/>
        <w:adjustRightInd/>
        <w:snapToGrid/>
        <w:spacing w:before="105" w:line="560" w:lineRule="exact"/>
        <w:ind w:right="417" w:firstLine="645"/>
        <w:jc w:val="both"/>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以上企业，不属于大企业的分支机构，不存在控股股东为大企业的情形，也不存在与大企业的负责人为同一人的情形。</w:t>
      </w:r>
    </w:p>
    <w:p>
      <w:pPr>
        <w:pStyle w:val="10"/>
        <w:keepNext w:val="0"/>
        <w:keepLines w:val="0"/>
        <w:pageBreakBefore w:val="0"/>
        <w:widowControl w:val="0"/>
        <w:kinsoku/>
        <w:wordWrap/>
        <w:overflowPunct/>
        <w:topLinePunct w:val="0"/>
        <w:autoSpaceDE/>
        <w:autoSpaceDN/>
        <w:bidi w:val="0"/>
        <w:adjustRightInd/>
        <w:snapToGrid/>
        <w:spacing w:line="560" w:lineRule="exact"/>
        <w:ind w:right="372" w:firstLine="645"/>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本企业对上述声明内容的真实性负责。如有虚假，将依法承担相应责任。</w:t>
      </w:r>
    </w:p>
    <w:p>
      <w:pPr>
        <w:pStyle w:val="10"/>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企业名称（盖章）：</w:t>
      </w:r>
    </w:p>
    <w:p>
      <w:pPr>
        <w:pStyle w:val="10"/>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日期：</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pict>
          <v:shape id="_x0000_s1035" o:spid="_x0000_s1035" o:spt="202" type="#_x0000_t202" style="position:absolute;left:0pt;margin-left:94.55pt;margin-top:688.15pt;height:28.85pt;width:395pt;mso-position-horizontal-relative:page;mso-position-vertical-relative:page;z-index:-251657216;mso-width-relative:page;mso-height-relative:page;" filled="f" stroked="f" coordsize="21600,21600">
            <v:path/>
            <v:fill on="f" focussize="0,0"/>
            <v:stroke on="f"/>
            <v:imagedata o:title=""/>
            <o:lock v:ext="edit" aspectratio="f"/>
            <v:textbox inset="0mm,0mm,0mm,0mm">
              <w:txbxContent>
                <w:p>
                  <w:pPr>
                    <w:spacing w:before="5"/>
                    <w:ind w:left="20" w:right="0" w:firstLine="0"/>
                    <w:jc w:val="left"/>
                    <w:rPr>
                      <w:rFonts w:hint="eastAsia" w:ascii="宋体" w:eastAsia="宋体"/>
                      <w:sz w:val="18"/>
                      <w:szCs w:val="22"/>
                    </w:rPr>
                  </w:pPr>
                  <w:r>
                    <w:rPr>
                      <w:rFonts w:hint="eastAsia" w:ascii="楷体" w:hAnsi="楷体" w:eastAsia="楷体" w:cs="楷体"/>
                      <w:position w:val="6"/>
                      <w:sz w:val="11"/>
                      <w:szCs w:val="22"/>
                    </w:rPr>
                    <w:t>1</w:t>
                  </w:r>
                  <w:r>
                    <w:rPr>
                      <w:rFonts w:hint="eastAsia" w:ascii="楷体" w:hAnsi="楷体" w:eastAsia="楷体" w:cs="楷体"/>
                      <w:sz w:val="18"/>
                      <w:szCs w:val="22"/>
                    </w:rPr>
                    <w:t>从业人员、营业收入、资产总额填报上一年度数据，无上一年度数据的新成立企业可不填报。</w:t>
                  </w:r>
                </w:p>
                <w:p>
                  <w:pPr>
                    <w:spacing w:before="8"/>
                    <w:ind w:left="866" w:right="0" w:firstLine="0"/>
                    <w:jc w:val="center"/>
                    <w:rPr>
                      <w:rFonts w:ascii="Calibri"/>
                      <w:sz w:val="18"/>
                    </w:rPr>
                  </w:pPr>
                </w:p>
              </w:txbxContent>
            </v:textbox>
          </v:shape>
        </w:pict>
      </w:r>
    </w:p>
    <w:p>
      <w:pPr>
        <w:rPr>
          <w:rFonts w:hint="eastAsia" w:ascii="仿宋" w:hAnsi="仿宋" w:eastAsia="仿宋" w:cs="仿宋"/>
          <w:color w:val="auto"/>
          <w:kern w:val="2"/>
          <w:sz w:val="24"/>
          <w:szCs w:val="24"/>
          <w:highlight w:val="none"/>
          <w:u w:val="none"/>
          <w:lang w:val="en-US" w:eastAsia="zh-CN" w:bidi="ar-SA"/>
        </w:rPr>
      </w:pPr>
    </w:p>
    <w:p>
      <w:pPr>
        <w:spacing w:line="480" w:lineRule="exact"/>
        <w:ind w:firstLine="241" w:firstLineChars="100"/>
        <w:rPr>
          <w:rFonts w:hint="eastAsia" w:ascii="仿宋" w:hAnsi="仿宋" w:eastAsia="仿宋" w:cs="仿宋"/>
          <w:b/>
          <w:color w:val="auto"/>
          <w:sz w:val="24"/>
          <w:highlight w:val="none"/>
          <w:lang w:val="en-US" w:eastAsia="zh-CN"/>
        </w:rPr>
      </w:pPr>
    </w:p>
    <w:p>
      <w:pPr>
        <w:pStyle w:val="10"/>
        <w:rPr>
          <w:rFonts w:hint="eastAsia" w:ascii="仿宋" w:hAnsi="仿宋" w:eastAsia="仿宋" w:cs="仿宋"/>
          <w:color w:val="auto"/>
          <w:highlight w:val="none"/>
          <w:lang w:val="en-US" w:eastAsia="zh-CN"/>
        </w:rPr>
        <w:sectPr>
          <w:footerReference r:id="rId28" w:type="default"/>
          <w:pgSz w:w="11905" w:h="16840"/>
          <w:pgMar w:top="1417" w:right="1417" w:bottom="1417" w:left="1417" w:header="935" w:footer="907" w:gutter="0"/>
          <w:pgNumType w:fmt="decimal"/>
          <w:cols w:space="0" w:num="1"/>
          <w:titlePg/>
          <w:rtlGutter w:val="0"/>
          <w:docGrid w:linePitch="0" w:charSpace="0"/>
        </w:sectPr>
      </w:pPr>
    </w:p>
    <w:p>
      <w:pPr>
        <w:pStyle w:val="37"/>
        <w:spacing w:line="560" w:lineRule="exact"/>
        <w:ind w:firstLine="174" w:firstLineChars="62"/>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val="en-US" w:eastAsia="zh-CN"/>
        </w:rPr>
        <w:t>19</w:t>
      </w:r>
      <w:r>
        <w:rPr>
          <w:rFonts w:hint="eastAsia" w:ascii="仿宋" w:hAnsi="仿宋" w:eastAsia="仿宋" w:cs="仿宋"/>
          <w:b/>
          <w:bCs/>
          <w:color w:val="auto"/>
          <w:szCs w:val="28"/>
          <w:highlight w:val="none"/>
        </w:rPr>
        <w:t>.《残疾人福利性单位声明函》</w:t>
      </w:r>
      <w:r>
        <w:rPr>
          <w:rFonts w:hint="eastAsia" w:ascii="仿宋" w:hAnsi="仿宋" w:eastAsia="仿宋" w:cs="仿宋"/>
          <w:color w:val="auto"/>
          <w:sz w:val="24"/>
          <w:szCs w:val="24"/>
          <w:highlight w:val="none"/>
        </w:rPr>
        <w:t>（格式，若有）</w:t>
      </w:r>
    </w:p>
    <w:p>
      <w:pPr>
        <w:spacing w:line="560" w:lineRule="exact"/>
        <w:jc w:val="center"/>
        <w:rPr>
          <w:rFonts w:hint="eastAsia" w:ascii="仿宋" w:hAnsi="仿宋" w:eastAsia="仿宋" w:cs="仿宋"/>
          <w:b/>
          <w:color w:val="auto"/>
          <w:spacing w:val="6"/>
          <w:szCs w:val="24"/>
          <w:highlight w:val="none"/>
        </w:rPr>
      </w:pPr>
      <w:bookmarkStart w:id="249" w:name="OLE_LINK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pacing w:val="6"/>
          <w:szCs w:val="24"/>
          <w:highlight w:val="none"/>
        </w:rPr>
      </w:pPr>
      <w:r>
        <w:rPr>
          <w:rFonts w:hint="eastAsia" w:ascii="仿宋" w:hAnsi="仿宋" w:eastAsia="仿宋" w:cs="仿宋"/>
          <w:b/>
          <w:color w:val="auto"/>
          <w:spacing w:val="6"/>
          <w:szCs w:val="24"/>
          <w:highlight w:val="none"/>
        </w:rPr>
        <w:t>残疾人福利性单位声明函</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rPr>
        <w:t>残疾人福利企业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bookmarkEnd w:id="249"/>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本单位郑重声明，根据《财政部 民政部 中国残疾人联合会关于促进残疾人就业政府采购政策的通知》（财库</w:t>
      </w:r>
      <w:r>
        <w:rPr>
          <w:rFonts w:hint="eastAsia" w:ascii="仿宋" w:hAnsi="仿宋" w:eastAsia="仿宋" w:cs="仿宋"/>
          <w:color w:val="auto"/>
          <w:szCs w:val="24"/>
          <w:highlight w:val="none"/>
        </w:rPr>
        <w:t>〔2017〕 141</w:t>
      </w:r>
      <w:r>
        <w:rPr>
          <w:rFonts w:hint="eastAsia" w:ascii="仿宋" w:hAnsi="仿宋" w:eastAsia="仿宋" w:cs="仿宋"/>
          <w:color w:val="auto"/>
          <w:spacing w:val="6"/>
          <w:szCs w:val="24"/>
          <w:highlight w:val="none"/>
        </w:rPr>
        <w:t>号）的规定，本单位为符合条件的残疾人福利性单位，且本单位参加</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单位的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u w:val="single"/>
        </w:rPr>
      </w:pPr>
      <w:r>
        <w:rPr>
          <w:rFonts w:hint="eastAsia" w:ascii="仿宋" w:hAnsi="仿宋" w:eastAsia="仿宋" w:cs="仿宋"/>
          <w:color w:val="auto"/>
          <w:spacing w:val="6"/>
          <w:szCs w:val="24"/>
          <w:highlight w:val="none"/>
        </w:rPr>
        <w:t xml:space="preserve">              单位名称（盖章）：</w:t>
      </w:r>
      <w:r>
        <w:rPr>
          <w:rFonts w:hint="eastAsia" w:ascii="仿宋" w:hAnsi="仿宋" w:eastAsia="仿宋" w:cs="仿宋"/>
          <w:color w:val="auto"/>
          <w:spacing w:val="6"/>
          <w:szCs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日  期：</w:t>
      </w:r>
      <w:r>
        <w:rPr>
          <w:rFonts w:hint="eastAsia" w:ascii="仿宋" w:hAnsi="仿宋" w:eastAsia="仿宋" w:cs="仿宋"/>
          <w:color w:val="auto"/>
          <w:spacing w:val="6"/>
          <w:szCs w:val="24"/>
          <w:highlight w:val="none"/>
          <w:u w:val="single"/>
        </w:rPr>
        <w:t xml:space="preserve">            </w:t>
      </w: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360" w:lineRule="auto"/>
        <w:ind w:firstLine="422" w:firstLineChars="200"/>
        <w:rPr>
          <w:rFonts w:hint="eastAsia" w:ascii="仿宋" w:hAnsi="仿宋" w:eastAsia="仿宋" w:cs="仿宋"/>
          <w:b/>
          <w:bCs w:val="0"/>
          <w:color w:val="auto"/>
          <w:kern w:val="0"/>
          <w:sz w:val="21"/>
          <w:szCs w:val="20"/>
          <w:highlight w:val="none"/>
          <w:lang w:val="zh-CN"/>
        </w:rPr>
      </w:pPr>
      <w:r>
        <w:rPr>
          <w:rFonts w:hint="eastAsia" w:ascii="仿宋" w:hAnsi="仿宋" w:eastAsia="仿宋" w:cs="仿宋"/>
          <w:b/>
          <w:bCs w:val="0"/>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br w:type="page"/>
      </w:r>
    </w:p>
    <w:p>
      <w:pPr>
        <w:pStyle w:val="37"/>
        <w:spacing w:line="5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rPr>
        <w:t>2</w:t>
      </w:r>
      <w:r>
        <w:rPr>
          <w:rFonts w:hint="eastAsia" w:ascii="仿宋" w:hAnsi="仿宋" w:eastAsia="仿宋" w:cs="仿宋"/>
          <w:b/>
          <w:bCs/>
          <w:color w:val="auto"/>
          <w:szCs w:val="28"/>
          <w:highlight w:val="none"/>
          <w:lang w:val="en-US" w:eastAsia="zh-CN"/>
        </w:rPr>
        <w:t>0</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监狱、戒毒企业</w:t>
      </w:r>
      <w:r>
        <w:rPr>
          <w:rFonts w:hint="eastAsia" w:ascii="仿宋" w:hAnsi="仿宋" w:eastAsia="仿宋" w:cs="仿宋"/>
          <w:b/>
          <w:bCs/>
          <w:color w:val="auto"/>
          <w:szCs w:val="28"/>
          <w:highlight w:val="none"/>
        </w:rPr>
        <w:t>声明函》</w:t>
      </w:r>
      <w:r>
        <w:rPr>
          <w:rFonts w:hint="eastAsia" w:ascii="仿宋" w:hAnsi="仿宋" w:eastAsia="仿宋" w:cs="仿宋"/>
          <w:color w:val="auto"/>
          <w:sz w:val="24"/>
          <w:szCs w:val="24"/>
          <w:highlight w:val="none"/>
        </w:rPr>
        <w:t>（格式，若有）</w:t>
      </w:r>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strike w:val="0"/>
          <w:dstrike w:val="0"/>
          <w:color w:val="auto"/>
          <w:spacing w:val="6"/>
          <w:sz w:val="21"/>
          <w:szCs w:val="21"/>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w:t>
      </w:r>
      <w:r>
        <w:rPr>
          <w:rFonts w:hint="eastAsia" w:ascii="仿宋" w:hAnsi="仿宋" w:eastAsia="仿宋" w:cs="仿宋"/>
          <w:color w:val="auto"/>
          <w:spacing w:val="-4"/>
          <w:kern w:val="0"/>
          <w:sz w:val="24"/>
          <w:highlight w:val="none"/>
        </w:rPr>
        <w:t>财政部 司法部 关于政府采购支持监狱企业发展有关问题的通知</w:t>
      </w:r>
      <w:r>
        <w:rPr>
          <w:rFonts w:hint="eastAsia" w:ascii="仿宋" w:hAnsi="仿宋" w:eastAsia="仿宋" w:cs="仿宋"/>
          <w:color w:val="auto"/>
          <w:sz w:val="24"/>
          <w:highlight w:val="none"/>
        </w:rPr>
        <w:t>》（财库〔2014〕68号）的规定，本单位为符合条件的监狱、戒毒企业，且本单位参加的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投标人全称（公章）：</w:t>
      </w:r>
      <w:r>
        <w:rPr>
          <w:rFonts w:hint="eastAsia" w:ascii="仿宋" w:hAnsi="仿宋" w:eastAsia="仿宋" w:cs="仿宋"/>
          <w:color w:val="auto"/>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ind w:firstLine="504" w:firstLineChars="200"/>
        <w:rPr>
          <w:rFonts w:hint="eastAsia" w:ascii="仿宋" w:hAnsi="仿宋" w:eastAsia="仿宋" w:cs="仿宋"/>
          <w:b w:val="0"/>
          <w:bCs/>
          <w:color w:val="auto"/>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auto"/>
          <w:spacing w:val="6"/>
          <w:sz w:val="21"/>
          <w:szCs w:val="20"/>
          <w:highlight w:val="none"/>
          <w:shd w:val="pct10" w:color="auto" w:fill="FFFFFF"/>
        </w:rPr>
      </w:pPr>
    </w:p>
    <w:p>
      <w:pPr>
        <w:pStyle w:val="10"/>
        <w:rPr>
          <w:rFonts w:hint="eastAsia" w:ascii="仿宋" w:hAnsi="仿宋" w:eastAsia="仿宋" w:cs="仿宋"/>
          <w:b w:val="0"/>
          <w:bCs/>
          <w:color w:val="auto"/>
          <w:spacing w:val="6"/>
          <w:sz w:val="21"/>
          <w:szCs w:val="20"/>
          <w:highlight w:val="none"/>
          <w:shd w:val="pct10" w:color="auto" w:fill="FFFFFF"/>
        </w:rPr>
      </w:pPr>
    </w:p>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rPr>
        <w:sectPr>
          <w:headerReference r:id="rId29" w:type="first"/>
          <w:footerReference r:id="rId30" w:type="firs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b/>
          <w:bCs w:val="0"/>
          <w:color w:val="auto"/>
          <w:kern w:val="0"/>
          <w:sz w:val="21"/>
          <w:szCs w:val="20"/>
          <w:highlight w:val="none"/>
          <w:lang w:val="zh-CN"/>
        </w:rPr>
        <w:t>备注：投标人提供的《</w:t>
      </w:r>
      <w:r>
        <w:rPr>
          <w:rFonts w:hint="eastAsia" w:ascii="仿宋" w:hAnsi="仿宋" w:eastAsia="仿宋" w:cs="仿宋"/>
          <w:b/>
          <w:bCs w:val="0"/>
          <w:color w:val="auto"/>
          <w:sz w:val="21"/>
          <w:szCs w:val="20"/>
          <w:highlight w:val="none"/>
        </w:rPr>
        <w:t>监狱、戒毒企业</w:t>
      </w:r>
      <w:r>
        <w:rPr>
          <w:rFonts w:hint="eastAsia" w:ascii="仿宋" w:hAnsi="仿宋" w:eastAsia="仿宋" w:cs="仿宋"/>
          <w:b/>
          <w:bCs w:val="0"/>
          <w:color w:val="auto"/>
          <w:kern w:val="0"/>
          <w:sz w:val="21"/>
          <w:szCs w:val="20"/>
          <w:highlight w:val="none"/>
          <w:lang w:val="zh-CN"/>
        </w:rPr>
        <w:t>声明函》必须真实有效，</w:t>
      </w:r>
      <w:r>
        <w:rPr>
          <w:rFonts w:hint="eastAsia" w:ascii="仿宋" w:hAnsi="仿宋" w:eastAsia="仿宋" w:cs="仿宋"/>
          <w:b/>
          <w:bCs w:val="0"/>
          <w:color w:val="auto"/>
          <w:sz w:val="21"/>
          <w:szCs w:val="20"/>
          <w:highlight w:val="none"/>
        </w:rPr>
        <w:t>投标人应当提供由省级以上监狱管理局、戒毒管理局(含新疆生产建设兵团)出具的属于监狱企业的证明文件。</w:t>
      </w:r>
    </w:p>
    <w:p>
      <w:pPr>
        <w:pStyle w:val="37"/>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ascii="仿宋" w:hAnsi="仿宋" w:eastAsia="仿宋" w:cs="仿宋"/>
          <w:color w:val="auto"/>
          <w:highlight w:val="none"/>
        </w:rPr>
      </w:pPr>
    </w:p>
    <w:p>
      <w:pPr>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投标文件封袋正面标识式样</w:t>
      </w:r>
    </w:p>
    <w:p>
      <w:pPr>
        <w:rPr>
          <w:rFonts w:hint="eastAsia" w:ascii="仿宋" w:hAnsi="仿宋" w:eastAsia="仿宋" w:cs="仿宋"/>
          <w:color w:val="auto"/>
          <w:highlight w:val="none"/>
        </w:rPr>
      </w:pPr>
      <w:r>
        <w:rPr>
          <w:rFonts w:hint="eastAsia" w:ascii="仿宋" w:hAnsi="仿宋" w:eastAsia="仿宋" w:cs="仿宋"/>
          <w:b/>
          <w:color w:val="auto"/>
          <w:sz w:val="24"/>
          <w:highlight w:val="none"/>
        </w:rPr>
        <w:pict>
          <v:shape id="_x0000_s1038" o:spid="_x0000_s1038" o:spt="202" type="#_x0000_t202" style="position:absolute;left:0pt;margin-left:-16.15pt;margin-top:13.25pt;height:606.8pt;width:447.15pt;z-index:251672576;mso-width-relative:page;mso-height-relative:page;" coordsize="21600,21600">
            <v:path/>
            <v:fill focussize="0,0"/>
            <v:stroke/>
            <v:imagedata o:title=""/>
            <o:lock v:ext="edit" grouping="f" rotation="f" text="f"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0"/>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10"/>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10"/>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资质证明材料正面标识式样</w:t>
      </w: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lang w:eastAsia="zh-CN"/>
        </w:rPr>
      </w:pPr>
      <w:r>
        <w:rPr>
          <w:rFonts w:hint="eastAsia" w:ascii="仿宋" w:hAnsi="仿宋" w:eastAsia="仿宋" w:cs="仿宋"/>
          <w:color w:val="auto"/>
          <w:highlight w:val="none"/>
        </w:rPr>
        <w:pict>
          <v:shape id="_x0000_s1039" o:spid="_x0000_s1039" o:spt="202" type="#_x0000_t202" style="position:absolute;left:0pt;margin-left:-10.9pt;margin-top:-0.9pt;height:641.25pt;width:440.6pt;z-index:251674624;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24"/>
          <w:highlight w:val="none"/>
          <w:lang w:eastAsia="zh-CN"/>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开标一览表</w:t>
      </w:r>
      <w:r>
        <w:rPr>
          <w:rFonts w:hint="eastAsia" w:ascii="仿宋" w:hAnsi="仿宋" w:eastAsia="仿宋" w:cs="仿宋"/>
          <w:b/>
          <w:color w:val="auto"/>
          <w:sz w:val="24"/>
          <w:highlight w:val="none"/>
        </w:rPr>
        <w:t>正面标识式样</w:t>
      </w:r>
    </w:p>
    <w:p>
      <w:pPr>
        <w:rPr>
          <w:rFonts w:hint="eastAsia" w:ascii="仿宋" w:hAnsi="仿宋" w:eastAsia="仿宋" w:cs="仿宋"/>
          <w:b/>
          <w:color w:val="auto"/>
          <w:sz w:val="44"/>
          <w:szCs w:val="44"/>
          <w:highlight w:val="none"/>
        </w:rPr>
      </w:pPr>
      <w:r>
        <w:rPr>
          <w:rFonts w:hint="eastAsia" w:ascii="仿宋" w:hAnsi="仿宋" w:eastAsia="仿宋" w:cs="仿宋"/>
          <w:color w:val="auto"/>
          <w:highlight w:val="none"/>
        </w:rPr>
        <w:pict>
          <v:shape id="_x0000_s1040" o:spid="_x0000_s1040" o:spt="202" type="#_x0000_t202" style="position:absolute;left:0pt;margin-left:-10.9pt;margin-top:14.65pt;height:641.25pt;width:440.6pt;z-index:251673600;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44"/>
          <w:szCs w:val="44"/>
          <w:highlight w:val="none"/>
        </w:rPr>
        <w:br w:type="page"/>
      </w:r>
    </w:p>
    <w:p>
      <w:pPr>
        <w:bidi w:val="0"/>
        <w:jc w:val="left"/>
        <w:rPr>
          <w:rFonts w:hint="eastAsia" w:ascii="仿宋" w:hAnsi="仿宋" w:eastAsia="仿宋" w:cs="仿宋"/>
          <w:color w:val="auto"/>
          <w:kern w:val="2"/>
          <w:sz w:val="24"/>
          <w:szCs w:val="22"/>
          <w:highlight w:val="none"/>
          <w:lang w:val="en-US" w:eastAsia="zh-CN" w:bidi="ar-SA"/>
        </w:rPr>
      </w:pPr>
    </w:p>
    <w:p>
      <w:pPr>
        <w:spacing w:line="560" w:lineRule="exact"/>
        <w:jc w:val="center"/>
        <w:rPr>
          <w:rFonts w:hint="eastAsia" w:ascii="仿宋" w:hAnsi="仿宋" w:eastAsia="仿宋" w:cs="仿宋"/>
          <w:b/>
          <w:color w:val="auto"/>
          <w:sz w:val="44"/>
          <w:szCs w:val="44"/>
          <w:highlight w:val="none"/>
        </w:rPr>
      </w:pPr>
    </w:p>
    <w:p>
      <w:pPr>
        <w:pStyle w:val="7"/>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jc w:val="center"/>
        <w:rPr>
          <w:rFonts w:hint="eastAsia" w:ascii="仿宋" w:hAnsi="仿宋" w:eastAsia="仿宋" w:cs="仿宋"/>
          <w:b/>
          <w:bCs/>
          <w:color w:val="auto"/>
          <w:sz w:val="48"/>
          <w:szCs w:val="48"/>
          <w:highlight w:val="none"/>
          <w:lang w:val="zh-CN" w:eastAsia="zh-CN"/>
        </w:rPr>
      </w:pPr>
    </w:p>
    <w:p>
      <w:pPr>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zh-CN" w:eastAsia="zh-CN"/>
        </w:rPr>
        <w:t>为政府采购</w:t>
      </w:r>
      <w:r>
        <w:rPr>
          <w:rFonts w:hint="eastAsia" w:ascii="仿宋" w:hAnsi="仿宋" w:eastAsia="仿宋" w:cs="仿宋"/>
          <w:b/>
          <w:bCs/>
          <w:i/>
          <w:iCs/>
          <w:color w:val="auto"/>
          <w:sz w:val="48"/>
          <w:szCs w:val="48"/>
          <w:highlight w:val="none"/>
          <w:lang w:val="en-US" w:eastAsia="zh-CN"/>
        </w:rPr>
        <w:t xml:space="preserve">  我们更专心</w:t>
      </w:r>
    </w:p>
    <w:p>
      <w:pPr>
        <w:pStyle w:val="7"/>
        <w:rPr>
          <w:rFonts w:hint="eastAsia" w:ascii="仿宋" w:hAnsi="仿宋" w:eastAsia="仿宋" w:cs="仿宋"/>
          <w:i/>
          <w:iCs/>
          <w:color w:val="auto"/>
          <w:sz w:val="28"/>
          <w:szCs w:val="22"/>
          <w:highlight w:val="none"/>
          <w:u w:val="none"/>
          <w:lang w:val="en-US" w:eastAsia="zh-CN"/>
        </w:rPr>
      </w:pPr>
      <w:r>
        <w:rPr>
          <w:rFonts w:hint="eastAsia" w:ascii="仿宋" w:hAnsi="仿宋" w:eastAsia="仿宋" w:cs="仿宋"/>
          <w:b/>
          <w:bCs/>
          <w:i/>
          <w:iCs/>
          <w:color w:val="auto"/>
          <w:sz w:val="48"/>
          <w:szCs w:val="48"/>
          <w:highlight w:val="none"/>
          <w:u w:val="none"/>
          <w:lang w:val="en-US" w:eastAsia="zh-CN"/>
        </w:rPr>
        <w:t xml:space="preserve">        </w:t>
      </w:r>
      <w:r>
        <w:rPr>
          <w:rFonts w:hint="eastAsia" w:ascii="仿宋" w:hAnsi="仿宋" w:eastAsia="仿宋" w:cs="仿宋"/>
          <w:b/>
          <w:bCs/>
          <w:i/>
          <w:iCs/>
          <w:color w:val="auto"/>
          <w:sz w:val="48"/>
          <w:szCs w:val="48"/>
          <w:highlight w:val="none"/>
          <w:u w:val="single"/>
          <w:lang w:val="en-US" w:eastAsia="zh-CN"/>
        </w:rPr>
        <w:t xml:space="preserve">                      </w:t>
      </w:r>
      <w:r>
        <w:rPr>
          <w:rFonts w:hint="eastAsia" w:ascii="仿宋" w:hAnsi="仿宋" w:eastAsia="仿宋" w:cs="仿宋"/>
          <w:b/>
          <w:bCs/>
          <w:i/>
          <w:iCs/>
          <w:color w:val="auto"/>
          <w:sz w:val="48"/>
          <w:szCs w:val="48"/>
          <w:highlight w:val="none"/>
          <w:u w:val="none"/>
          <w:lang w:val="en-US" w:eastAsia="zh-CN"/>
        </w:rPr>
        <w:t xml:space="preserve">      </w:t>
      </w:r>
    </w:p>
    <w:p>
      <w:pPr>
        <w:pStyle w:val="7"/>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en-US" w:eastAsia="zh-CN"/>
        </w:rPr>
        <w:t>做政府采购  我们更用心</w:t>
      </w: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u w:val="singl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sz w:val="40"/>
          <w:szCs w:val="40"/>
          <w:highlight w:val="none"/>
          <w:u w:val="none"/>
          <w:lang w:val="zh-CN" w:eastAsia="zh-CN"/>
        </w:rPr>
      </w:pPr>
      <w:r>
        <w:rPr>
          <w:rFonts w:hint="eastAsia" w:ascii="仿宋" w:hAnsi="仿宋" w:eastAsia="仿宋" w:cs="仿宋"/>
          <w:color w:val="auto"/>
          <w:sz w:val="40"/>
          <w:szCs w:val="40"/>
          <w:highlight w:val="none"/>
          <w:u w:val="none"/>
          <w:lang w:val="zh-CN" w:eastAsia="zh-CN"/>
        </w:rPr>
        <w:t>华招广和项目管理有限公司</w:t>
      </w:r>
    </w:p>
    <w:p>
      <w:pPr>
        <w:pStyle w:val="7"/>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single"/>
          <w:lang w:val="en-US" w:eastAsia="zh-CN"/>
        </w:rPr>
        <w:t xml:space="preserve">                                                         </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u w:val="none"/>
          <w:lang w:val="zh-CN" w:eastAsia="zh-CN"/>
        </w:rPr>
        <w:t>地</w:t>
      </w:r>
      <w:r>
        <w:rPr>
          <w:rFonts w:hint="eastAsia" w:ascii="仿宋" w:hAnsi="仿宋" w:eastAsia="仿宋" w:cs="仿宋"/>
          <w:b w:val="0"/>
          <w:bCs/>
          <w:color w:val="auto"/>
          <w:sz w:val="24"/>
          <w:szCs w:val="24"/>
          <w:highlight w:val="none"/>
          <w:u w:val="none"/>
          <w:lang w:val="en-US" w:eastAsia="zh-CN"/>
        </w:rPr>
        <w:t xml:space="preserve">    </w:t>
      </w:r>
      <w:r>
        <w:rPr>
          <w:rFonts w:hint="eastAsia" w:ascii="仿宋" w:hAnsi="仿宋" w:eastAsia="仿宋" w:cs="仿宋"/>
          <w:b w:val="0"/>
          <w:bCs/>
          <w:color w:val="auto"/>
          <w:sz w:val="24"/>
          <w:szCs w:val="24"/>
          <w:highlight w:val="none"/>
          <w:u w:val="none"/>
          <w:lang w:val="zh-CN" w:eastAsia="zh-CN"/>
        </w:rPr>
        <w:t>址：</w:t>
      </w:r>
      <w:r>
        <w:rPr>
          <w:rFonts w:hint="eastAsia" w:ascii="仿宋" w:hAnsi="仿宋" w:eastAsia="仿宋" w:cs="仿宋"/>
          <w:b w:val="0"/>
          <w:bCs/>
          <w:color w:val="auto"/>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编：</w:t>
      </w:r>
      <w:r>
        <w:rPr>
          <w:rFonts w:hint="eastAsia" w:ascii="仿宋" w:hAnsi="仿宋" w:eastAsia="仿宋" w:cs="仿宋"/>
          <w:color w:val="auto"/>
          <w:sz w:val="24"/>
          <w:szCs w:val="24"/>
          <w:highlight w:val="none"/>
          <w:lang w:val="en-US" w:eastAsia="zh-CN"/>
        </w:rPr>
        <w:t>710000</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话：</w:t>
      </w:r>
      <w:r>
        <w:rPr>
          <w:rFonts w:hint="eastAsia" w:ascii="仿宋" w:hAnsi="仿宋" w:eastAsia="仿宋" w:cs="仿宋"/>
          <w:b w:val="0"/>
          <w:bCs/>
          <w:color w:val="auto"/>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电子邮箱：</w:t>
      </w:r>
      <w:r>
        <w:rPr>
          <w:rFonts w:hint="eastAsia" w:ascii="仿宋" w:hAnsi="仿宋" w:eastAsia="仿宋" w:cs="仿宋"/>
          <w:color w:val="auto"/>
          <w:sz w:val="24"/>
          <w:szCs w:val="24"/>
          <w:highlight w:val="none"/>
          <w:lang w:val="en-US" w:eastAsia="zh-CN"/>
        </w:rPr>
        <w:t>hzghxmglyxgs@163.com</w:t>
      </w:r>
    </w:p>
    <w:p>
      <w:pPr>
        <w:pStyle w:val="7"/>
        <w:jc w:val="both"/>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p>
    <w:p>
      <w:pPr>
        <w:pStyle w:val="7"/>
        <w:jc w:val="both"/>
        <w:rPr>
          <w:rFonts w:hint="eastAsia" w:ascii="仿宋" w:hAnsi="仿宋" w:eastAsia="仿宋" w:cs="仿宋"/>
          <w:color w:val="auto"/>
          <w:highlight w:val="none"/>
        </w:rPr>
      </w:pPr>
    </w:p>
    <w:sectPr>
      <w:headerReference r:id="rId31" w:type="first"/>
      <w:footerReference r:id="rId33" w:type="first"/>
      <w:footerReference r:id="rId32" w:type="default"/>
      <w:pgSz w:w="11905" w:h="16840"/>
      <w:pgMar w:top="1417" w:right="1417" w:bottom="1417" w:left="1417" w:header="935" w:footer="10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400" w:hangingChars="200"/>
      <w:jc w:val="center"/>
      <w:rPr>
        <w:rFonts w:ascii="楷体" w:hAnsi="楷体" w:eastAsia="楷体" w:cs="楷体"/>
        <w:b/>
        <w:sz w:val="20"/>
        <w:szCs w:val="20"/>
        <w:u w:val="single"/>
      </w:rPr>
    </w:pPr>
    <w:r>
      <w:rPr>
        <w:rFonts w:hint="eastAsia" w:ascii="仿宋" w:hAnsi="仿宋" w:eastAsia="仿宋" w:cs="仿宋"/>
        <w:b w:val="0"/>
        <w:bCs/>
        <w:sz w:val="20"/>
        <w:szCs w:val="20"/>
        <w:u w:val="single"/>
        <w:lang w:eastAsia="zh-CN"/>
      </w:rPr>
      <w:t>华招广和项目管理有限公司</w:t>
    </w:r>
    <w:r>
      <w:rPr>
        <w:rFonts w:hint="eastAsia" w:ascii="仿宋" w:hAnsi="仿宋" w:eastAsia="仿宋" w:cs="仿宋"/>
        <w:b w:val="0"/>
        <w:bCs/>
        <w:sz w:val="20"/>
        <w:szCs w:val="20"/>
        <w:u w:val="single"/>
        <w:lang w:val="en-US" w:eastAsia="zh-CN"/>
      </w:rPr>
      <w:t xml:space="preserve"> </w:t>
    </w:r>
    <w:r>
      <w:rPr>
        <w:rFonts w:hint="eastAsia" w:ascii="仿宋" w:hAnsi="仿宋" w:eastAsia="仿宋" w:cs="仿宋"/>
        <w:b w:val="0"/>
        <w:bCs/>
        <w:sz w:val="20"/>
        <w:szCs w:val="20"/>
        <w:u w:val="single"/>
      </w:rPr>
      <w:t xml:space="preserve"> 地 址：西安市朱雀大街南段1号汇成天玺C座18层电 话：029-85566819</w:t>
    </w:r>
  </w:p>
  <w:p>
    <w:pPr>
      <w:spacing w:line="280" w:lineRule="exact"/>
      <w:ind w:left="360" w:hanging="360" w:hangingChars="200"/>
      <w:rPr>
        <w:rFonts w:ascii="楷体" w:hAnsi="楷体" w:eastAsia="楷体" w:cs="楷体"/>
        <w:b/>
        <w:sz w:val="18"/>
        <w:szCs w:val="18"/>
        <w:u w:val="single"/>
      </w:rPr>
    </w:pPr>
    <w:r>
      <w:rPr>
        <w:sz w:val="18"/>
      </w:rPr>
      <w:pict>
        <v:shape id="_x0000_s2059" o:spid="_x0000_s2059"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tabs>
        <w:tab w:val="center" w:pos="7063"/>
        <w:tab w:val="left" w:pos="13313"/>
      </w:tabs>
      <w:spacing w:line="280" w:lineRule="exact"/>
      <w:jc w:val="left"/>
      <w:rPr>
        <w:rFonts w:hint="eastAsia" w:ascii="楷体" w:hAnsi="楷体" w:eastAsia="仿宋" w:cs="楷体"/>
        <w:b/>
        <w:sz w:val="18"/>
        <w:szCs w:val="18"/>
        <w:u w:val="single"/>
        <w:lang w:eastAsia="zh-CN"/>
      </w:rPr>
    </w:pPr>
    <w:r>
      <w:rPr>
        <w:rFonts w:hint="eastAsia" w:ascii="仿宋" w:hAnsi="仿宋" w:eastAsia="仿宋" w:cs="仿宋"/>
        <w:b w:val="0"/>
        <w:bCs/>
        <w:sz w:val="18"/>
        <w:szCs w:val="18"/>
        <w:u w:val="single"/>
        <w:lang w:eastAsia="zh-CN"/>
      </w:rPr>
      <w:tab/>
    </w: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r>
      <w:rPr>
        <w:rFonts w:hint="eastAsia" w:ascii="仿宋" w:hAnsi="仿宋" w:eastAsia="仿宋" w:cs="仿宋"/>
        <w:b w:val="0"/>
        <w:bCs/>
        <w:sz w:val="18"/>
        <w:szCs w:val="18"/>
        <w:u w:val="single"/>
        <w:lang w:eastAsia="zh-CN"/>
      </w:rPr>
      <w:tab/>
    </w:r>
  </w:p>
  <w:p>
    <w:pPr>
      <w:spacing w:line="280" w:lineRule="exact"/>
      <w:jc w:val="center"/>
      <w:rPr>
        <w:rFonts w:ascii="楷体" w:hAnsi="楷体" w:eastAsia="楷体" w:cs="楷体"/>
        <w:b/>
        <w:sz w:val="18"/>
        <w:szCs w:val="18"/>
        <w:u w:val="single"/>
      </w:rP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cs="楷体"/>
        <w:b/>
      </w:rPr>
    </w:pP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电 话：029-85566819</w:t>
    </w:r>
  </w:p>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pStyle w:val="14"/>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76</w:t>
                </w:r>
                <w:r>
                  <w:rPr>
                    <w:rFonts w:ascii="楷体" w:hAnsi="楷体" w:eastAsia="楷体" w:cs="楷体"/>
                  </w:rPr>
                  <w:fldChar w:fldCharType="end"/>
                </w:r>
                <w:r>
                  <w:rPr>
                    <w:rFonts w:ascii="楷体" w:hAnsi="楷体" w:eastAsia="楷体" w:cs="楷体"/>
                  </w:rPr>
                  <w:t xml:space="preserve"> 页 共 </w:t>
                </w:r>
                <w:r>
                  <w:rPr>
                    <w:rFonts w:ascii="楷体" w:hAnsi="楷体" w:eastAsia="楷体" w:cs="楷体"/>
                  </w:rPr>
                  <w:fldChar w:fldCharType="begin"/>
                </w:r>
                <w:r>
                  <w:rPr>
                    <w:rFonts w:ascii="楷体" w:hAnsi="楷体" w:eastAsia="楷体" w:cs="楷体"/>
                  </w:rPr>
                  <w:instrText xml:space="preserve"> NUMPAGES  \* MERGEFORMAT </w:instrText>
                </w:r>
                <w:r>
                  <w:rPr>
                    <w:rFonts w:ascii="楷体" w:hAnsi="楷体" w:eastAsia="楷体" w:cs="楷体"/>
                  </w:rPr>
                  <w:fldChar w:fldCharType="separate"/>
                </w:r>
                <w:r>
                  <w:rPr>
                    <w:rFonts w:ascii="楷体" w:hAnsi="楷体" w:eastAsia="楷体" w:cs="楷体"/>
                  </w:rPr>
                  <w:t>102</w:t>
                </w:r>
                <w:r>
                  <w:rPr>
                    <w:rFonts w:ascii="楷体" w:hAnsi="楷体" w:eastAsia="楷体" w:cs="楷体"/>
                  </w:rPr>
                  <w:fldChar w:fldCharType="end"/>
                </w:r>
                <w:r>
                  <w:rPr>
                    <w:rFonts w:ascii="楷体" w:hAnsi="楷体" w:eastAsia="楷体" w:cs="楷体"/>
                  </w:rP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9"/>
        <w:tab w:val="clear" w:pos="4153"/>
      </w:tabs>
      <w:spacing w:line="360" w:lineRule="auto"/>
      <w:rPr>
        <w:rFonts w:ascii="楷体" w:hAnsi="楷体" w:eastAsia="楷体" w:cs="楷体"/>
        <w:b/>
        <w:sz w:val="18"/>
        <w:szCs w:val="18"/>
        <w:u w:val="single"/>
      </w:rPr>
    </w:pPr>
    <w:r>
      <w:rPr>
        <w:rFonts w:hint="eastAsia" w:ascii="仿宋" w:hAnsi="仿宋" w:eastAsia="仿宋" w:cs="仿宋"/>
        <w:sz w:val="18"/>
      </w:rPr>
      <w:pict>
        <v:shape id="_x0000_s2054" o:spid="_x0000_s2054" o:spt="202" type="#_x0000_t202" style="position:absolute;left:0pt;margin-left:191.85pt;margin-top:12.2pt;height:18.2pt;width:81pt;mso-position-horizontal-relative:margin;z-index:251664384;mso-width-relative:page;mso-height-relative:page;" filled="f" stroked="f" coordsize="21600,21600">
          <v:path/>
          <v:fill on="f" focussize="0,0"/>
          <v:stroke on="f" weight="0.5pt"/>
          <v:imagedata o:title=""/>
          <o:lock v:ext="edit" aspectratio="f"/>
          <v:textbox inset="0mm,0mm,0mm,0mm">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电 话：029-85566819</w:t>
    </w:r>
  </w:p>
  <w:p>
    <w:pPr>
      <w:spacing w:line="280" w:lineRule="exact"/>
      <w:rPr>
        <w:rFonts w:hint="eastAsia" w:ascii="仿宋" w:hAnsi="仿宋" w:eastAsia="仿宋" w:cs="仿宋"/>
        <w:b w:val="0"/>
        <w:bCs/>
        <w:sz w:val="18"/>
        <w:szCs w:val="18"/>
        <w:u w:val="single"/>
      </w:rPr>
    </w:pPr>
    <w:r>
      <w:rPr>
        <w:rFonts w:hint="eastAsia" w:ascii="仿宋" w:hAnsi="仿宋" w:eastAsia="仿宋" w:cs="仿宋"/>
        <w:b w:val="0"/>
        <w:bCs/>
        <w:sz w:val="18"/>
      </w:rP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ind w:left="0"/>
      <w:rPr>
        <w:b/>
        <w:bCs/>
        <w:sz w:val="18"/>
        <w:szCs w:val="18"/>
      </w:rPr>
    </w:pPr>
    <w:r>
      <w:rPr>
        <w:rFonts w:hint="eastAsia" w:ascii="仿宋" w:hAnsi="仿宋" w:eastAsia="仿宋" w:cs="仿宋"/>
        <w:b/>
        <w:bCs/>
        <w:sz w:val="18"/>
        <w:szCs w:val="18"/>
      </w:rPr>
      <w:pict>
        <v:shape id="_x0000_s2055" o:spid="_x0000_s2055" o:spt="202" type="#_x0000_t202" style="position:absolute;left:0pt;margin-left:187.1pt;margin-top:16.85pt;height:144pt;width:144pt;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sz w:val="18"/>
        <w:szCs w:val="18"/>
        <w:u w:val="single"/>
        <w:lang w:eastAsia="zh-CN"/>
      </w:rPr>
      <w:t>华招广和项目管理有限公司</w:t>
    </w:r>
    <w:r>
      <w:rPr>
        <w:rFonts w:hint="eastAsia" w:ascii="仿宋" w:hAnsi="仿宋" w:eastAsia="仿宋" w:cs="仿宋"/>
        <w:b/>
        <w:bCs/>
        <w:sz w:val="18"/>
        <w:szCs w:val="18"/>
        <w:u w:val="single"/>
      </w:rPr>
      <w:t xml:space="preserve">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pPr>
    <w:r>
      <w:rPr>
        <w:sz w:val="18"/>
      </w:rPr>
      <w:pict>
        <v:shape id="_x0000_s2066" o:spid="_x0000_s2066" o:spt="202" type="#_x0000_t202" style="position:absolute;left:0pt;margin-left:186.15pt;margin-top:18.75pt;height:144pt;width:144pt;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rPr>
        <w:rFonts w:hint="eastAsia"/>
      </w:rPr>
    </w:pPr>
    <w:r>
      <w:rPr>
        <w:sz w:val="18"/>
      </w:rPr>
      <w:pict>
        <v:shape id="_x0000_s2067" o:spid="_x0000_s2067" o:spt="202" type="#_x0000_t202" style="position:absolute;left:0pt;margin-left:182.4pt;margin-top:20.6pt;height:144pt;width:144pt;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jc w:val="center"/>
      <w:rPr>
        <w:rFonts w:ascii="楷体" w:hAnsi="楷体" w:eastAsia="楷体" w:cs="楷体"/>
        <w:b/>
        <w:sz w:val="18"/>
        <w:szCs w:val="18"/>
      </w:rPr>
    </w:pPr>
    <w:r>
      <w:rPr>
        <w:sz w:val="18"/>
      </w:rPr>
      <w:pict>
        <v:shape id="_x0000_s2058" o:spid="_x0000_s205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rPr>
        <w:rFonts w:ascii="宋体" w:hAnsi="宋体"/>
        <w:b/>
        <w:sz w:val="21"/>
        <w:szCs w:val="16"/>
      </w:rPr>
    </w:pPr>
    <w:r>
      <w:rPr>
        <w:sz w:val="18"/>
      </w:rPr>
      <w:pict>
        <v:shape id="_x0000_s2050" o:spid="_x0000_s205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0" w:hangingChars="200"/>
      <w:rPr>
        <w:rFonts w:ascii="楷体" w:hAnsi="楷体" w:eastAsia="楷体" w:cs="楷体"/>
        <w:b/>
        <w:sz w:val="18"/>
        <w:szCs w:val="18"/>
        <w:u w:val="single"/>
      </w:rPr>
    </w:pP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rPr>
    </w:pPr>
    <w:r>
      <w:rPr>
        <w:rFonts w:hint="eastAsia" w:ascii="仿宋" w:hAnsi="仿宋" w:eastAsia="仿宋" w:cs="仿宋"/>
        <w:b w:val="0"/>
        <w:bCs/>
        <w:u w:val="single"/>
        <w:lang w:eastAsia="zh-CN"/>
      </w:rPr>
      <w:t>膈肌起搏器等医疗设备采购项目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        </w:t>
    </w:r>
    <w:r>
      <w:rPr>
        <w:rFonts w:hint="eastAsia" w:ascii="楷体" w:hAnsi="楷体" w:eastAsia="楷体" w:cs="楷体"/>
        <w:b/>
        <w:u w:val="single"/>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240" w:lineRule="auto"/>
      <w:jc w:val="both"/>
      <w:textAlignment w:val="auto"/>
    </w:pPr>
    <w:r>
      <w:rPr>
        <w:rFonts w:hint="eastAsia" w:ascii="仿宋" w:hAnsi="仿宋" w:eastAsia="仿宋" w:cs="仿宋"/>
        <w:b/>
        <w:bCs w:val="0"/>
        <w:sz w:val="20"/>
        <w:szCs w:val="20"/>
        <w:u w:val="none"/>
        <w:lang w:eastAsia="zh-CN"/>
      </w:rPr>
      <w:t>膈肌起搏器等医疗设备采购项目</w:t>
    </w:r>
    <w:r>
      <w:rPr>
        <w:rFonts w:hint="eastAsia" w:ascii="仿宋" w:hAnsi="仿宋" w:eastAsia="仿宋" w:cs="仿宋"/>
        <w:b/>
        <w:bCs w:val="0"/>
        <w:sz w:val="20"/>
        <w:szCs w:val="20"/>
        <w:u w:val="none"/>
      </w:rPr>
      <w:t xml:space="preserve">                </w:t>
    </w:r>
    <w:r>
      <w:rPr>
        <w:rFonts w:hint="eastAsia" w:ascii="仿宋" w:hAnsi="仿宋" w:eastAsia="仿宋" w:cs="仿宋"/>
        <w:b/>
        <w:bCs w:val="0"/>
        <w:sz w:val="20"/>
        <w:szCs w:val="20"/>
        <w:u w:val="none"/>
        <w:lang w:val="en-US" w:eastAsia="zh-CN"/>
      </w:rPr>
      <w:t xml:space="preserve">                   公开招标文件 </w:t>
    </w:r>
    <w:r>
      <w:rPr>
        <w:rFonts w:hint="eastAsia" w:ascii="楷体" w:hAnsi="楷体" w:eastAsia="楷体" w:cs="楷体"/>
        <w:b/>
        <w:u w:val="none"/>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膈肌起搏器等医疗设备采购项目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w:t>
    </w:r>
    <w:r>
      <w:rPr>
        <w:rFonts w:hint="eastAsia" w:ascii="楷体" w:hAnsi="楷体" w:eastAsia="楷体" w:cs="楷体"/>
        <w:b/>
        <w:u w:val="none"/>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b/>
        <w:bCs w:val="0"/>
        <w:lang w:eastAsia="zh-CN"/>
      </w:rPr>
    </w:pPr>
    <w:r>
      <w:rPr>
        <w:rFonts w:hint="eastAsia" w:ascii="仿宋" w:hAnsi="仿宋" w:eastAsia="仿宋" w:cs="仿宋"/>
        <w:b/>
        <w:bCs w:val="0"/>
        <w:u w:val="none"/>
        <w:lang w:eastAsia="zh-CN"/>
      </w:rPr>
      <w:t>膈肌起搏器等医疗设备采购项目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jc w:val="both"/>
      <w:textAlignment w:val="auto"/>
      <w:rPr>
        <w:rFonts w:hint="eastAsia"/>
        <w:u w:val="none"/>
        <w:lang w:eastAsia="zh-CN"/>
      </w:rPr>
    </w:pPr>
    <w:r>
      <w:rPr>
        <w:rFonts w:hint="eastAsia" w:ascii="仿宋" w:hAnsi="仿宋" w:eastAsia="仿宋" w:cs="仿宋"/>
        <w:b w:val="0"/>
        <w:bCs/>
        <w:u w:val="single"/>
        <w:lang w:eastAsia="zh-CN"/>
      </w:rPr>
      <w:t>膈肌起搏器等医疗设备采购项目</w:t>
    </w:r>
    <w:r>
      <w:rPr>
        <w:rFonts w:hint="eastAsia" w:ascii="楷体" w:hAnsi="楷体" w:eastAsia="楷体" w:cs="楷体"/>
        <w:b/>
        <w:u w:val="single"/>
      </w:rPr>
      <w:t xml:space="preserve">                </w:t>
    </w:r>
    <w:r>
      <w:rPr>
        <w:rFonts w:hint="eastAsia" w:ascii="楷体" w:hAnsi="楷体" w:eastAsia="楷体" w:cs="楷体"/>
        <w:b/>
        <w:u w:val="single"/>
        <w:lang w:val="en-US" w:eastAsia="zh-CN"/>
      </w:rPr>
      <w:t xml:space="preserve">             </w:t>
    </w:r>
    <w:r>
      <w:rPr>
        <w:rFonts w:hint="eastAsia" w:ascii="仿宋" w:hAnsi="仿宋" w:eastAsia="仿宋" w:cs="仿宋"/>
        <w:b w:val="0"/>
        <w:bCs/>
        <w:u w:val="single"/>
        <w:lang w:val="en-US" w:eastAsia="zh-CN"/>
      </w:rPr>
      <w:t xml:space="preserve">   公开招标文件</w:t>
    </w:r>
    <w:r>
      <w:rPr>
        <w:rFonts w:hint="eastAsia" w:ascii="楷体" w:hAnsi="楷体" w:eastAsia="楷体" w:cs="楷体"/>
        <w:b/>
        <w:u w:val="single"/>
        <w:lang w:val="en-US" w:eastAsia="zh-CN"/>
      </w:rPr>
      <w:t xml:space="preserve">                        </w:t>
    </w:r>
    <w:r>
      <w:rPr>
        <w:rFonts w:hint="eastAsia" w:ascii="楷体" w:hAnsi="楷体" w:eastAsia="楷体" w:cs="楷体"/>
        <w:b/>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b/>
        <w:bCs w:val="0"/>
        <w:sz w:val="20"/>
        <w:szCs w:val="20"/>
      </w:rPr>
    </w:pPr>
    <w:r>
      <w:rPr>
        <w:rFonts w:hint="eastAsia" w:ascii="仿宋" w:hAnsi="仿宋" w:eastAsia="仿宋" w:cs="仿宋"/>
        <w:b/>
        <w:bCs w:val="0"/>
        <w:sz w:val="20"/>
        <w:szCs w:val="20"/>
        <w:u w:val="single"/>
        <w:lang w:eastAsia="zh-CN"/>
      </w:rPr>
      <w:t>膈肌起搏器等医疗设备采购项目</w:t>
    </w:r>
    <w:r>
      <w:rPr>
        <w:rFonts w:hint="eastAsia" w:ascii="仿宋" w:hAnsi="仿宋" w:eastAsia="仿宋" w:cs="仿宋"/>
        <w:b/>
        <w:bCs w:val="0"/>
        <w:sz w:val="20"/>
        <w:szCs w:val="20"/>
        <w:u w:val="single"/>
      </w:rPr>
      <w:t xml:space="preserve">  </w:t>
    </w:r>
    <w:r>
      <w:rPr>
        <w:rFonts w:hint="eastAsia" w:ascii="仿宋" w:hAnsi="仿宋" w:eastAsia="仿宋" w:cs="仿宋"/>
        <w:b/>
        <w:bCs w:val="0"/>
        <w:sz w:val="20"/>
        <w:szCs w:val="20"/>
        <w:u w:val="single"/>
        <w:lang w:val="en-US" w:eastAsia="zh-CN"/>
      </w:rPr>
      <w:t xml:space="preserve">                                 公开招标文件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hint="eastAsia" w:ascii="宋体" w:hAnsi="宋体" w:eastAsia="楷体"/>
        <w:b/>
        <w:bCs w:val="0"/>
        <w:u w:val="single"/>
        <w:lang w:eastAsia="zh-CN"/>
      </w:rPr>
    </w:pPr>
    <w:r>
      <w:rPr>
        <w:rFonts w:hint="eastAsia" w:ascii="仿宋" w:hAnsi="仿宋" w:eastAsia="仿宋" w:cs="仿宋"/>
        <w:b/>
        <w:bCs w:val="0"/>
        <w:u w:val="single"/>
        <w:lang w:eastAsia="zh-CN"/>
      </w:rPr>
      <w:t>膈肌起搏器等医疗设备采购项目</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公开招标文件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ascii="楷体" w:hAnsi="楷体" w:eastAsia="楷体" w:cs="楷体"/>
      </w:rPr>
    </w:pPr>
    <w:r>
      <w:rPr>
        <w:rFonts w:hint="eastAsia" w:ascii="仿宋" w:hAnsi="仿宋" w:eastAsia="仿宋" w:cs="仿宋"/>
        <w:b/>
        <w:bCs w:val="0"/>
        <w:u w:val="none"/>
        <w:lang w:eastAsia="zh-CN"/>
      </w:rPr>
      <w:t>膈肌起搏器等医疗设备采购项目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仿宋" w:hAnsi="仿宋" w:eastAsia="仿宋" w:cs="仿宋"/>
        <w:b/>
        <w:bCs w:val="0"/>
        <w:u w:val="none"/>
      </w:rPr>
      <w:t xml:space="preserve"> </w:t>
    </w:r>
    <w:r>
      <w:rPr>
        <w:rFonts w:hint="eastAsia" w:ascii="楷体" w:hAnsi="楷体" w:eastAsia="楷体" w:cs="楷体"/>
        <w:b/>
        <w:bCs w:val="0"/>
        <w:u w:val="none"/>
      </w:rPr>
      <w:t xml:space="preserve">  </w:t>
    </w:r>
    <w:r>
      <w:rPr>
        <w:rFonts w:hint="eastAsia" w:ascii="楷体" w:hAnsi="楷体" w:eastAsia="楷体" w:cs="楷体"/>
        <w:b/>
        <w:u w:val="none"/>
      </w:rPr>
      <w:t xml:space="preserve"> </w:t>
    </w:r>
    <w:r>
      <w:rPr>
        <w:rFonts w:hint="eastAsia" w:ascii="楷体" w:hAnsi="楷体" w:eastAsia="楷体" w:cs="楷体"/>
        <w:b/>
        <w:u w:val="none"/>
        <w:lang w:val="en-US" w:eastAsia="zh-CN"/>
      </w:rPr>
      <w:t xml:space="preserve">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膈肌起搏器等医疗设备采购项目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r>
      <w:rPr>
        <w:rFonts w:hint="eastAsia" w:ascii="楷体" w:hAnsi="楷体" w:eastAsia="楷体" w:cs="楷体"/>
        <w:b/>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AB45C"/>
    <w:multiLevelType w:val="singleLevel"/>
    <w:tmpl w:val="B75AB45C"/>
    <w:lvl w:ilvl="0" w:tentative="0">
      <w:start w:val="10"/>
      <w:numFmt w:val="decimal"/>
      <w:suff w:val="nothing"/>
      <w:lvlText w:val="%1、"/>
      <w:lvlJc w:val="left"/>
    </w:lvl>
  </w:abstractNum>
  <w:abstractNum w:abstractNumId="1">
    <w:nsid w:val="F8DC9CD1"/>
    <w:multiLevelType w:val="singleLevel"/>
    <w:tmpl w:val="F8DC9CD1"/>
    <w:lvl w:ilvl="0" w:tentative="0">
      <w:start w:val="6"/>
      <w:numFmt w:val="chineseCounting"/>
      <w:suff w:val="space"/>
      <w:lvlText w:val="第%1章"/>
      <w:lvlJc w:val="left"/>
      <w:rPr>
        <w:rFonts w:hint="eastAsia"/>
      </w:rPr>
    </w:lvl>
  </w:abstractNum>
  <w:abstractNum w:abstractNumId="2">
    <w:nsid w:val="0000000E"/>
    <w:multiLevelType w:val="singleLevel"/>
    <w:tmpl w:val="0000000E"/>
    <w:lvl w:ilvl="0" w:tentative="0">
      <w:start w:val="2"/>
      <w:numFmt w:val="decimal"/>
      <w:suff w:val="nothing"/>
      <w:lvlText w:val="%1）"/>
      <w:lvlJc w:val="left"/>
    </w:lvl>
  </w:abstractNum>
  <w:abstractNum w:abstractNumId="3">
    <w:nsid w:val="01041D89"/>
    <w:multiLevelType w:val="singleLevel"/>
    <w:tmpl w:val="01041D89"/>
    <w:lvl w:ilvl="0" w:tentative="0">
      <w:start w:val="1"/>
      <w:numFmt w:val="chineseCounting"/>
      <w:suff w:val="space"/>
      <w:lvlText w:val="第%1章"/>
      <w:lvlJc w:val="left"/>
      <w:rPr>
        <w:rFonts w:hint="eastAsia"/>
      </w:rPr>
    </w:lvl>
  </w:abstractNum>
  <w:abstractNum w:abstractNumId="4">
    <w:nsid w:val="07DEEC27"/>
    <w:multiLevelType w:val="singleLevel"/>
    <w:tmpl w:val="07DEEC27"/>
    <w:lvl w:ilvl="0" w:tentative="0">
      <w:start w:val="1"/>
      <w:numFmt w:val="decimal"/>
      <w:suff w:val="space"/>
      <w:lvlText w:val="%1)"/>
      <w:lvlJc w:val="left"/>
    </w:lvl>
  </w:abstractNum>
  <w:abstractNum w:abstractNumId="5">
    <w:nsid w:val="1734BF6A"/>
    <w:multiLevelType w:val="singleLevel"/>
    <w:tmpl w:val="1734BF6A"/>
    <w:lvl w:ilvl="0" w:tentative="0">
      <w:start w:val="1"/>
      <w:numFmt w:val="decimal"/>
      <w:suff w:val="nothing"/>
      <w:lvlText w:val="%1、"/>
      <w:lvlJc w:val="left"/>
    </w:lvl>
  </w:abstractNum>
  <w:abstractNum w:abstractNumId="6">
    <w:nsid w:val="576A36EB"/>
    <w:multiLevelType w:val="singleLevel"/>
    <w:tmpl w:val="576A36EB"/>
    <w:lvl w:ilvl="0" w:tentative="0">
      <w:start w:val="1"/>
      <w:numFmt w:val="decimal"/>
      <w:suff w:val="nothing"/>
      <w:lvlText w:val="（%1）"/>
      <w:lvlJc w:val="left"/>
    </w:lvl>
  </w:abstractNum>
  <w:abstractNum w:abstractNumId="7">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131D8C7"/>
    <w:multiLevelType w:val="singleLevel"/>
    <w:tmpl w:val="6131D8C7"/>
    <w:lvl w:ilvl="0" w:tentative="0">
      <w:start w:val="3"/>
      <w:numFmt w:val="chineseCounting"/>
      <w:suff w:val="space"/>
      <w:lvlText w:val="第%1章"/>
      <w:lvlJc w:val="left"/>
    </w:lvl>
  </w:abstractNum>
  <w:num w:numId="1">
    <w:abstractNumId w:val="7"/>
  </w:num>
  <w:num w:numId="2">
    <w:abstractNumId w:val="0"/>
  </w:num>
  <w:num w:numId="3">
    <w:abstractNumId w:val="3"/>
  </w:num>
  <w:num w:numId="4">
    <w:abstractNumId w:val="5"/>
  </w:num>
  <w:num w:numId="5">
    <w:abstractNumId w:val="2"/>
  </w:num>
  <w:num w:numId="6">
    <w:abstractNumId w:val="6"/>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ZjZTVlYjc4MTYxOWE0MmI4MTYyZmE4NjhhODg0NWUifQ=="/>
  </w:docVars>
  <w:rsids>
    <w:rsidRoot w:val="00172A27"/>
    <w:rsid w:val="001332BF"/>
    <w:rsid w:val="00212B6B"/>
    <w:rsid w:val="002B2614"/>
    <w:rsid w:val="002D1185"/>
    <w:rsid w:val="003F04EF"/>
    <w:rsid w:val="00415775"/>
    <w:rsid w:val="00415DA5"/>
    <w:rsid w:val="00437251"/>
    <w:rsid w:val="004F223F"/>
    <w:rsid w:val="0054681D"/>
    <w:rsid w:val="00622852"/>
    <w:rsid w:val="006512A4"/>
    <w:rsid w:val="006E4C02"/>
    <w:rsid w:val="007B1225"/>
    <w:rsid w:val="007B30B1"/>
    <w:rsid w:val="008563F8"/>
    <w:rsid w:val="009140CB"/>
    <w:rsid w:val="00A86B23"/>
    <w:rsid w:val="00B507E4"/>
    <w:rsid w:val="00CA45D3"/>
    <w:rsid w:val="00D04A1F"/>
    <w:rsid w:val="00E84244"/>
    <w:rsid w:val="00F35AEF"/>
    <w:rsid w:val="01055DED"/>
    <w:rsid w:val="012357C5"/>
    <w:rsid w:val="0124044D"/>
    <w:rsid w:val="012F172C"/>
    <w:rsid w:val="012F2A87"/>
    <w:rsid w:val="013B4745"/>
    <w:rsid w:val="013F27E7"/>
    <w:rsid w:val="014C0D5E"/>
    <w:rsid w:val="01523E16"/>
    <w:rsid w:val="015509EB"/>
    <w:rsid w:val="016D5D6E"/>
    <w:rsid w:val="01770D23"/>
    <w:rsid w:val="01792237"/>
    <w:rsid w:val="017C0051"/>
    <w:rsid w:val="017D4B6D"/>
    <w:rsid w:val="018B4AD5"/>
    <w:rsid w:val="01A9549C"/>
    <w:rsid w:val="01B444B0"/>
    <w:rsid w:val="01B93012"/>
    <w:rsid w:val="01CA3F1A"/>
    <w:rsid w:val="01D17056"/>
    <w:rsid w:val="01DC0309"/>
    <w:rsid w:val="01E07E04"/>
    <w:rsid w:val="01E72F16"/>
    <w:rsid w:val="01F6245E"/>
    <w:rsid w:val="020B2B51"/>
    <w:rsid w:val="022C51CF"/>
    <w:rsid w:val="023D0CA8"/>
    <w:rsid w:val="0272187E"/>
    <w:rsid w:val="0273481D"/>
    <w:rsid w:val="027B5DA6"/>
    <w:rsid w:val="028E56AC"/>
    <w:rsid w:val="029C5C96"/>
    <w:rsid w:val="029D4595"/>
    <w:rsid w:val="029E1D87"/>
    <w:rsid w:val="02C11121"/>
    <w:rsid w:val="02CA10BB"/>
    <w:rsid w:val="02E00A2B"/>
    <w:rsid w:val="02E24518"/>
    <w:rsid w:val="02EA5B34"/>
    <w:rsid w:val="02F219E1"/>
    <w:rsid w:val="02FE10CF"/>
    <w:rsid w:val="03092897"/>
    <w:rsid w:val="03114ED8"/>
    <w:rsid w:val="031C45A2"/>
    <w:rsid w:val="03226876"/>
    <w:rsid w:val="032822E5"/>
    <w:rsid w:val="033E3C8D"/>
    <w:rsid w:val="0363799C"/>
    <w:rsid w:val="03666CBA"/>
    <w:rsid w:val="037759DB"/>
    <w:rsid w:val="03804B01"/>
    <w:rsid w:val="03927018"/>
    <w:rsid w:val="03F25C0E"/>
    <w:rsid w:val="0402140E"/>
    <w:rsid w:val="040E606A"/>
    <w:rsid w:val="0413485F"/>
    <w:rsid w:val="042302C3"/>
    <w:rsid w:val="04286C44"/>
    <w:rsid w:val="04681381"/>
    <w:rsid w:val="047000DE"/>
    <w:rsid w:val="048076C9"/>
    <w:rsid w:val="04A35E84"/>
    <w:rsid w:val="04EF0188"/>
    <w:rsid w:val="050359C4"/>
    <w:rsid w:val="05145A42"/>
    <w:rsid w:val="05243AD3"/>
    <w:rsid w:val="05244660"/>
    <w:rsid w:val="0544323B"/>
    <w:rsid w:val="055B54AB"/>
    <w:rsid w:val="055F0593"/>
    <w:rsid w:val="057C07ED"/>
    <w:rsid w:val="0582059A"/>
    <w:rsid w:val="05881D5D"/>
    <w:rsid w:val="059A78A9"/>
    <w:rsid w:val="059F6C93"/>
    <w:rsid w:val="05C32147"/>
    <w:rsid w:val="05CC27DB"/>
    <w:rsid w:val="05E12F78"/>
    <w:rsid w:val="05E338DE"/>
    <w:rsid w:val="05E85EDC"/>
    <w:rsid w:val="05EF4934"/>
    <w:rsid w:val="05FB470C"/>
    <w:rsid w:val="063B2138"/>
    <w:rsid w:val="06424AAD"/>
    <w:rsid w:val="066702F8"/>
    <w:rsid w:val="06671B17"/>
    <w:rsid w:val="067261DB"/>
    <w:rsid w:val="06730A9B"/>
    <w:rsid w:val="06842B31"/>
    <w:rsid w:val="068968D6"/>
    <w:rsid w:val="068C0996"/>
    <w:rsid w:val="06942BE2"/>
    <w:rsid w:val="069A21EB"/>
    <w:rsid w:val="06AD6D7A"/>
    <w:rsid w:val="06B1749B"/>
    <w:rsid w:val="06B90E07"/>
    <w:rsid w:val="06DB69A0"/>
    <w:rsid w:val="06E174F0"/>
    <w:rsid w:val="073B1519"/>
    <w:rsid w:val="074309B5"/>
    <w:rsid w:val="074D45F0"/>
    <w:rsid w:val="075238C8"/>
    <w:rsid w:val="075409F1"/>
    <w:rsid w:val="077716F8"/>
    <w:rsid w:val="0784427C"/>
    <w:rsid w:val="079C558D"/>
    <w:rsid w:val="07A86BC0"/>
    <w:rsid w:val="07B06814"/>
    <w:rsid w:val="07B1292F"/>
    <w:rsid w:val="07B83524"/>
    <w:rsid w:val="07ED6184"/>
    <w:rsid w:val="07FF518E"/>
    <w:rsid w:val="081E722F"/>
    <w:rsid w:val="08263A7B"/>
    <w:rsid w:val="08343F08"/>
    <w:rsid w:val="08390C7A"/>
    <w:rsid w:val="084F5E63"/>
    <w:rsid w:val="087361B7"/>
    <w:rsid w:val="08865858"/>
    <w:rsid w:val="08C40321"/>
    <w:rsid w:val="08C916A1"/>
    <w:rsid w:val="08D93C4A"/>
    <w:rsid w:val="08DF02AB"/>
    <w:rsid w:val="08F62F8E"/>
    <w:rsid w:val="09132E62"/>
    <w:rsid w:val="091A2465"/>
    <w:rsid w:val="092F3308"/>
    <w:rsid w:val="0952618D"/>
    <w:rsid w:val="096F0401"/>
    <w:rsid w:val="09875E86"/>
    <w:rsid w:val="09917F6C"/>
    <w:rsid w:val="09AF7900"/>
    <w:rsid w:val="09B84246"/>
    <w:rsid w:val="09EE72C6"/>
    <w:rsid w:val="0A0018ED"/>
    <w:rsid w:val="0A0C6A2E"/>
    <w:rsid w:val="0A2817E2"/>
    <w:rsid w:val="0A405FB1"/>
    <w:rsid w:val="0A4B6101"/>
    <w:rsid w:val="0A530AAC"/>
    <w:rsid w:val="0A5663A8"/>
    <w:rsid w:val="0A5D6092"/>
    <w:rsid w:val="0A783EE1"/>
    <w:rsid w:val="0A8660B1"/>
    <w:rsid w:val="0A9E5956"/>
    <w:rsid w:val="0AC05AD3"/>
    <w:rsid w:val="0AD66945"/>
    <w:rsid w:val="0ADE612F"/>
    <w:rsid w:val="0AEE0C79"/>
    <w:rsid w:val="0AF812C0"/>
    <w:rsid w:val="0AFC0079"/>
    <w:rsid w:val="0AFD2C46"/>
    <w:rsid w:val="0B1434B9"/>
    <w:rsid w:val="0B1801AC"/>
    <w:rsid w:val="0B295D9A"/>
    <w:rsid w:val="0B297899"/>
    <w:rsid w:val="0B394155"/>
    <w:rsid w:val="0B3B7FFF"/>
    <w:rsid w:val="0B8D1D0D"/>
    <w:rsid w:val="0BC065FD"/>
    <w:rsid w:val="0BC742BD"/>
    <w:rsid w:val="0BD42F9A"/>
    <w:rsid w:val="0BF7122A"/>
    <w:rsid w:val="0BF76B33"/>
    <w:rsid w:val="0C1B324A"/>
    <w:rsid w:val="0C2A4A9B"/>
    <w:rsid w:val="0C2C5130"/>
    <w:rsid w:val="0C394E6F"/>
    <w:rsid w:val="0C7C3AF1"/>
    <w:rsid w:val="0C7F7B3F"/>
    <w:rsid w:val="0C8D0FFD"/>
    <w:rsid w:val="0C9F35C5"/>
    <w:rsid w:val="0CA34C15"/>
    <w:rsid w:val="0CB02C73"/>
    <w:rsid w:val="0CB4444F"/>
    <w:rsid w:val="0CB76658"/>
    <w:rsid w:val="0CCA7874"/>
    <w:rsid w:val="0CCE1649"/>
    <w:rsid w:val="0CD143AE"/>
    <w:rsid w:val="0CD35D61"/>
    <w:rsid w:val="0CDD25B5"/>
    <w:rsid w:val="0CFD5D54"/>
    <w:rsid w:val="0D0509C0"/>
    <w:rsid w:val="0D0A04D3"/>
    <w:rsid w:val="0D141443"/>
    <w:rsid w:val="0D2A3412"/>
    <w:rsid w:val="0D3C343A"/>
    <w:rsid w:val="0D68320E"/>
    <w:rsid w:val="0D6F3E84"/>
    <w:rsid w:val="0D7414F9"/>
    <w:rsid w:val="0D7504FF"/>
    <w:rsid w:val="0D7541CB"/>
    <w:rsid w:val="0D771362"/>
    <w:rsid w:val="0D7B584C"/>
    <w:rsid w:val="0D971B21"/>
    <w:rsid w:val="0DC066B8"/>
    <w:rsid w:val="0DDC6F83"/>
    <w:rsid w:val="0DF37BA7"/>
    <w:rsid w:val="0E035AFD"/>
    <w:rsid w:val="0E0C77C9"/>
    <w:rsid w:val="0E1C5299"/>
    <w:rsid w:val="0E492B32"/>
    <w:rsid w:val="0E50645E"/>
    <w:rsid w:val="0E516D66"/>
    <w:rsid w:val="0E56494C"/>
    <w:rsid w:val="0E613CA6"/>
    <w:rsid w:val="0E687109"/>
    <w:rsid w:val="0EAE1199"/>
    <w:rsid w:val="0EC45296"/>
    <w:rsid w:val="0ECD1414"/>
    <w:rsid w:val="0ED717DB"/>
    <w:rsid w:val="0EDC0DEC"/>
    <w:rsid w:val="0F032FD0"/>
    <w:rsid w:val="0F1C53D9"/>
    <w:rsid w:val="0F22324D"/>
    <w:rsid w:val="0F3B7A08"/>
    <w:rsid w:val="0F473211"/>
    <w:rsid w:val="0F517930"/>
    <w:rsid w:val="0F6E0F54"/>
    <w:rsid w:val="0F730FDF"/>
    <w:rsid w:val="0F851B60"/>
    <w:rsid w:val="0FAB058B"/>
    <w:rsid w:val="0FDD068A"/>
    <w:rsid w:val="0FE42502"/>
    <w:rsid w:val="0FEB3F6C"/>
    <w:rsid w:val="0FF2353C"/>
    <w:rsid w:val="10366258"/>
    <w:rsid w:val="10533972"/>
    <w:rsid w:val="107408FA"/>
    <w:rsid w:val="10871698"/>
    <w:rsid w:val="108D5328"/>
    <w:rsid w:val="10A34A02"/>
    <w:rsid w:val="10BC3591"/>
    <w:rsid w:val="10BE4AFC"/>
    <w:rsid w:val="10BF4AC4"/>
    <w:rsid w:val="10C71E23"/>
    <w:rsid w:val="10E60340"/>
    <w:rsid w:val="10F62C44"/>
    <w:rsid w:val="10F70157"/>
    <w:rsid w:val="11026414"/>
    <w:rsid w:val="11040411"/>
    <w:rsid w:val="11097885"/>
    <w:rsid w:val="11196266"/>
    <w:rsid w:val="112C3F71"/>
    <w:rsid w:val="113863E8"/>
    <w:rsid w:val="11423D95"/>
    <w:rsid w:val="11440F71"/>
    <w:rsid w:val="11625C09"/>
    <w:rsid w:val="11686CB0"/>
    <w:rsid w:val="1194672F"/>
    <w:rsid w:val="11AE5A5C"/>
    <w:rsid w:val="11B22024"/>
    <w:rsid w:val="11E2074A"/>
    <w:rsid w:val="11E410CE"/>
    <w:rsid w:val="11EB0E21"/>
    <w:rsid w:val="12194051"/>
    <w:rsid w:val="12441018"/>
    <w:rsid w:val="12636497"/>
    <w:rsid w:val="12802962"/>
    <w:rsid w:val="12837C26"/>
    <w:rsid w:val="1288628B"/>
    <w:rsid w:val="128F4B3E"/>
    <w:rsid w:val="12931771"/>
    <w:rsid w:val="1297299C"/>
    <w:rsid w:val="129C1085"/>
    <w:rsid w:val="12A24466"/>
    <w:rsid w:val="12AB57C6"/>
    <w:rsid w:val="12B916D9"/>
    <w:rsid w:val="12C62D16"/>
    <w:rsid w:val="12C66E1B"/>
    <w:rsid w:val="12E0108A"/>
    <w:rsid w:val="12E5382D"/>
    <w:rsid w:val="12F72695"/>
    <w:rsid w:val="130C1DB4"/>
    <w:rsid w:val="132E72DF"/>
    <w:rsid w:val="13435AC3"/>
    <w:rsid w:val="13456171"/>
    <w:rsid w:val="137D3F12"/>
    <w:rsid w:val="1381103D"/>
    <w:rsid w:val="13813A05"/>
    <w:rsid w:val="13974ECE"/>
    <w:rsid w:val="13A0181A"/>
    <w:rsid w:val="13A5784A"/>
    <w:rsid w:val="13BA1D03"/>
    <w:rsid w:val="13C52B29"/>
    <w:rsid w:val="13DF4459"/>
    <w:rsid w:val="13FE4229"/>
    <w:rsid w:val="14090F70"/>
    <w:rsid w:val="140A6FFA"/>
    <w:rsid w:val="14192869"/>
    <w:rsid w:val="142E6F39"/>
    <w:rsid w:val="143A24B3"/>
    <w:rsid w:val="14404038"/>
    <w:rsid w:val="14442427"/>
    <w:rsid w:val="1450503A"/>
    <w:rsid w:val="146107D5"/>
    <w:rsid w:val="146D0D6E"/>
    <w:rsid w:val="148467C3"/>
    <w:rsid w:val="14C00317"/>
    <w:rsid w:val="14D07C41"/>
    <w:rsid w:val="14D110EB"/>
    <w:rsid w:val="14E94C0C"/>
    <w:rsid w:val="14EA7F1C"/>
    <w:rsid w:val="14ED2ACB"/>
    <w:rsid w:val="14F345D7"/>
    <w:rsid w:val="14F372D7"/>
    <w:rsid w:val="1506296A"/>
    <w:rsid w:val="151B3FA6"/>
    <w:rsid w:val="15206496"/>
    <w:rsid w:val="152278DB"/>
    <w:rsid w:val="1529097F"/>
    <w:rsid w:val="15293666"/>
    <w:rsid w:val="154E568E"/>
    <w:rsid w:val="15612E6D"/>
    <w:rsid w:val="157647B4"/>
    <w:rsid w:val="15816A00"/>
    <w:rsid w:val="158F0C46"/>
    <w:rsid w:val="15BD216B"/>
    <w:rsid w:val="15DB0CA8"/>
    <w:rsid w:val="15E17FEB"/>
    <w:rsid w:val="15FA64EA"/>
    <w:rsid w:val="161E1E16"/>
    <w:rsid w:val="16357A0B"/>
    <w:rsid w:val="163F4A7E"/>
    <w:rsid w:val="16446C59"/>
    <w:rsid w:val="164C117E"/>
    <w:rsid w:val="16605739"/>
    <w:rsid w:val="167E5D20"/>
    <w:rsid w:val="1688735E"/>
    <w:rsid w:val="1697633D"/>
    <w:rsid w:val="16A9014A"/>
    <w:rsid w:val="16B85F78"/>
    <w:rsid w:val="16C53D60"/>
    <w:rsid w:val="16CB2E16"/>
    <w:rsid w:val="16EE2F79"/>
    <w:rsid w:val="16F4105E"/>
    <w:rsid w:val="17090F66"/>
    <w:rsid w:val="17102234"/>
    <w:rsid w:val="171505C0"/>
    <w:rsid w:val="17162CA4"/>
    <w:rsid w:val="171921EC"/>
    <w:rsid w:val="173338BA"/>
    <w:rsid w:val="173510B8"/>
    <w:rsid w:val="1750478E"/>
    <w:rsid w:val="175301E9"/>
    <w:rsid w:val="17625B4B"/>
    <w:rsid w:val="17646E49"/>
    <w:rsid w:val="176C1469"/>
    <w:rsid w:val="176E561B"/>
    <w:rsid w:val="17AE1FA3"/>
    <w:rsid w:val="17BC0CF5"/>
    <w:rsid w:val="17BE36CE"/>
    <w:rsid w:val="17DE12E7"/>
    <w:rsid w:val="17F20DEB"/>
    <w:rsid w:val="17F6732D"/>
    <w:rsid w:val="18116E71"/>
    <w:rsid w:val="181C111E"/>
    <w:rsid w:val="18275A8E"/>
    <w:rsid w:val="183B5375"/>
    <w:rsid w:val="18513CDE"/>
    <w:rsid w:val="18527BFC"/>
    <w:rsid w:val="185F4462"/>
    <w:rsid w:val="18825D67"/>
    <w:rsid w:val="18836302"/>
    <w:rsid w:val="18865395"/>
    <w:rsid w:val="18874B24"/>
    <w:rsid w:val="188A78FE"/>
    <w:rsid w:val="18900317"/>
    <w:rsid w:val="18BA0CCF"/>
    <w:rsid w:val="18CB7939"/>
    <w:rsid w:val="18CE7630"/>
    <w:rsid w:val="18E35026"/>
    <w:rsid w:val="18E51E11"/>
    <w:rsid w:val="18FA4C52"/>
    <w:rsid w:val="190F021E"/>
    <w:rsid w:val="191275CB"/>
    <w:rsid w:val="19177932"/>
    <w:rsid w:val="191D31E8"/>
    <w:rsid w:val="192D1987"/>
    <w:rsid w:val="192D2635"/>
    <w:rsid w:val="19383276"/>
    <w:rsid w:val="1943640C"/>
    <w:rsid w:val="194C6169"/>
    <w:rsid w:val="195C14A3"/>
    <w:rsid w:val="196977F2"/>
    <w:rsid w:val="196C4F56"/>
    <w:rsid w:val="197B498D"/>
    <w:rsid w:val="199C65D8"/>
    <w:rsid w:val="19A93FB3"/>
    <w:rsid w:val="19AD6C6F"/>
    <w:rsid w:val="19B6156E"/>
    <w:rsid w:val="19C169F0"/>
    <w:rsid w:val="19E1220D"/>
    <w:rsid w:val="19E768A4"/>
    <w:rsid w:val="1A053724"/>
    <w:rsid w:val="1A0A2802"/>
    <w:rsid w:val="1A20007A"/>
    <w:rsid w:val="1A2127C9"/>
    <w:rsid w:val="1A3441CE"/>
    <w:rsid w:val="1A3A0D62"/>
    <w:rsid w:val="1A422589"/>
    <w:rsid w:val="1A435612"/>
    <w:rsid w:val="1A4F2F04"/>
    <w:rsid w:val="1A5C3EFC"/>
    <w:rsid w:val="1A655C5C"/>
    <w:rsid w:val="1A74734D"/>
    <w:rsid w:val="1A80467A"/>
    <w:rsid w:val="1A8E2FFB"/>
    <w:rsid w:val="1A9A6CA4"/>
    <w:rsid w:val="1AA014F2"/>
    <w:rsid w:val="1AAE69FD"/>
    <w:rsid w:val="1AE72B08"/>
    <w:rsid w:val="1AFF2903"/>
    <w:rsid w:val="1B060011"/>
    <w:rsid w:val="1B1B4F5A"/>
    <w:rsid w:val="1B503750"/>
    <w:rsid w:val="1B50707D"/>
    <w:rsid w:val="1B525722"/>
    <w:rsid w:val="1B730FBA"/>
    <w:rsid w:val="1B781C93"/>
    <w:rsid w:val="1B87230D"/>
    <w:rsid w:val="1BA33337"/>
    <w:rsid w:val="1BBB35A3"/>
    <w:rsid w:val="1BBD281B"/>
    <w:rsid w:val="1BE0539F"/>
    <w:rsid w:val="1BEA36C9"/>
    <w:rsid w:val="1C152E24"/>
    <w:rsid w:val="1C1B7095"/>
    <w:rsid w:val="1C2D5F08"/>
    <w:rsid w:val="1C331FB5"/>
    <w:rsid w:val="1C372579"/>
    <w:rsid w:val="1C383C46"/>
    <w:rsid w:val="1C4673D1"/>
    <w:rsid w:val="1C632A91"/>
    <w:rsid w:val="1C745FAB"/>
    <w:rsid w:val="1C817A29"/>
    <w:rsid w:val="1C865987"/>
    <w:rsid w:val="1CBD25FA"/>
    <w:rsid w:val="1CBD2F9B"/>
    <w:rsid w:val="1CC542FF"/>
    <w:rsid w:val="1CCD1B66"/>
    <w:rsid w:val="1CDC25B0"/>
    <w:rsid w:val="1CF562EB"/>
    <w:rsid w:val="1CF9709D"/>
    <w:rsid w:val="1D0F6716"/>
    <w:rsid w:val="1D172126"/>
    <w:rsid w:val="1D3A4269"/>
    <w:rsid w:val="1D58544F"/>
    <w:rsid w:val="1D61602F"/>
    <w:rsid w:val="1D7157E9"/>
    <w:rsid w:val="1D9474D1"/>
    <w:rsid w:val="1DA60DBD"/>
    <w:rsid w:val="1DA975B6"/>
    <w:rsid w:val="1DB45E8F"/>
    <w:rsid w:val="1DD161C7"/>
    <w:rsid w:val="1DDF4275"/>
    <w:rsid w:val="1DFC4345"/>
    <w:rsid w:val="1E290DC9"/>
    <w:rsid w:val="1E2C5F17"/>
    <w:rsid w:val="1E4F6E0B"/>
    <w:rsid w:val="1E5A2FDA"/>
    <w:rsid w:val="1E5C4B51"/>
    <w:rsid w:val="1E6964CA"/>
    <w:rsid w:val="1E7237CC"/>
    <w:rsid w:val="1E80551E"/>
    <w:rsid w:val="1E867E3E"/>
    <w:rsid w:val="1EA74D18"/>
    <w:rsid w:val="1EAA4AFF"/>
    <w:rsid w:val="1EB06311"/>
    <w:rsid w:val="1EC60C39"/>
    <w:rsid w:val="1ED01E7C"/>
    <w:rsid w:val="1ED11AC5"/>
    <w:rsid w:val="1ED3701A"/>
    <w:rsid w:val="1ED400B8"/>
    <w:rsid w:val="1ED40BEC"/>
    <w:rsid w:val="1EE12E22"/>
    <w:rsid w:val="1EF601FB"/>
    <w:rsid w:val="1F097C64"/>
    <w:rsid w:val="1F1B7BE1"/>
    <w:rsid w:val="1F554D19"/>
    <w:rsid w:val="1F6223AD"/>
    <w:rsid w:val="1FA37E2C"/>
    <w:rsid w:val="1FD3721C"/>
    <w:rsid w:val="1FDA5EC4"/>
    <w:rsid w:val="1FEA44CB"/>
    <w:rsid w:val="1FF752B6"/>
    <w:rsid w:val="1FFB7F79"/>
    <w:rsid w:val="1FFD1DA0"/>
    <w:rsid w:val="202B1E56"/>
    <w:rsid w:val="203B5D40"/>
    <w:rsid w:val="20520BA1"/>
    <w:rsid w:val="20525340"/>
    <w:rsid w:val="20731008"/>
    <w:rsid w:val="20CC5161"/>
    <w:rsid w:val="20DD65CC"/>
    <w:rsid w:val="20DF14B0"/>
    <w:rsid w:val="20EC3370"/>
    <w:rsid w:val="20F81C87"/>
    <w:rsid w:val="2107732F"/>
    <w:rsid w:val="212479FC"/>
    <w:rsid w:val="2125239E"/>
    <w:rsid w:val="213071C1"/>
    <w:rsid w:val="213345E1"/>
    <w:rsid w:val="217E72AA"/>
    <w:rsid w:val="21A470C7"/>
    <w:rsid w:val="21A5220F"/>
    <w:rsid w:val="21A76E86"/>
    <w:rsid w:val="21A9409D"/>
    <w:rsid w:val="21C93E43"/>
    <w:rsid w:val="21D9248D"/>
    <w:rsid w:val="21ED33E6"/>
    <w:rsid w:val="21FB7029"/>
    <w:rsid w:val="220C2809"/>
    <w:rsid w:val="22151983"/>
    <w:rsid w:val="221F065E"/>
    <w:rsid w:val="2238284E"/>
    <w:rsid w:val="224D5266"/>
    <w:rsid w:val="22631FB1"/>
    <w:rsid w:val="226B006C"/>
    <w:rsid w:val="227C2CCE"/>
    <w:rsid w:val="228C7A05"/>
    <w:rsid w:val="22972603"/>
    <w:rsid w:val="22A420D9"/>
    <w:rsid w:val="22AB2F38"/>
    <w:rsid w:val="22AE02AF"/>
    <w:rsid w:val="22BB79DA"/>
    <w:rsid w:val="22C30BD7"/>
    <w:rsid w:val="22D06515"/>
    <w:rsid w:val="22D5669C"/>
    <w:rsid w:val="22DD7278"/>
    <w:rsid w:val="22EB2228"/>
    <w:rsid w:val="23371C43"/>
    <w:rsid w:val="233D6F48"/>
    <w:rsid w:val="234D186E"/>
    <w:rsid w:val="235360D7"/>
    <w:rsid w:val="235D306F"/>
    <w:rsid w:val="2362550E"/>
    <w:rsid w:val="2374115A"/>
    <w:rsid w:val="23865F50"/>
    <w:rsid w:val="238E2AF8"/>
    <w:rsid w:val="23B221C1"/>
    <w:rsid w:val="23B501F5"/>
    <w:rsid w:val="23B77F19"/>
    <w:rsid w:val="23B94AAA"/>
    <w:rsid w:val="23CB1C0B"/>
    <w:rsid w:val="23E87193"/>
    <w:rsid w:val="240406AE"/>
    <w:rsid w:val="24060E09"/>
    <w:rsid w:val="240E33FD"/>
    <w:rsid w:val="24173B5E"/>
    <w:rsid w:val="242D1523"/>
    <w:rsid w:val="24350B84"/>
    <w:rsid w:val="243F3724"/>
    <w:rsid w:val="24416D82"/>
    <w:rsid w:val="245840A6"/>
    <w:rsid w:val="24831C33"/>
    <w:rsid w:val="248C32DF"/>
    <w:rsid w:val="248D64FB"/>
    <w:rsid w:val="249C21F4"/>
    <w:rsid w:val="24C061DB"/>
    <w:rsid w:val="24C063A4"/>
    <w:rsid w:val="24C40077"/>
    <w:rsid w:val="24F03545"/>
    <w:rsid w:val="25064086"/>
    <w:rsid w:val="2508510A"/>
    <w:rsid w:val="250F557F"/>
    <w:rsid w:val="252D413F"/>
    <w:rsid w:val="252E255C"/>
    <w:rsid w:val="2536380C"/>
    <w:rsid w:val="25430663"/>
    <w:rsid w:val="256154CC"/>
    <w:rsid w:val="25693605"/>
    <w:rsid w:val="256B38EE"/>
    <w:rsid w:val="256C2323"/>
    <w:rsid w:val="257F78F7"/>
    <w:rsid w:val="259454BD"/>
    <w:rsid w:val="25A02751"/>
    <w:rsid w:val="25A51CCF"/>
    <w:rsid w:val="25B52913"/>
    <w:rsid w:val="25C3506D"/>
    <w:rsid w:val="25DD6823"/>
    <w:rsid w:val="25E505BC"/>
    <w:rsid w:val="25E649CE"/>
    <w:rsid w:val="25F57456"/>
    <w:rsid w:val="25F609E6"/>
    <w:rsid w:val="260A4725"/>
    <w:rsid w:val="260B64D3"/>
    <w:rsid w:val="26380130"/>
    <w:rsid w:val="26452162"/>
    <w:rsid w:val="265570F7"/>
    <w:rsid w:val="265F7849"/>
    <w:rsid w:val="2664440E"/>
    <w:rsid w:val="26792478"/>
    <w:rsid w:val="26AA3247"/>
    <w:rsid w:val="26AD7B8E"/>
    <w:rsid w:val="26BF7B51"/>
    <w:rsid w:val="26C6302D"/>
    <w:rsid w:val="26CE14DA"/>
    <w:rsid w:val="26EB5B51"/>
    <w:rsid w:val="26EE5A36"/>
    <w:rsid w:val="26EF4DE2"/>
    <w:rsid w:val="26F50BDB"/>
    <w:rsid w:val="26FE4E7F"/>
    <w:rsid w:val="272A5FBD"/>
    <w:rsid w:val="272C4EF1"/>
    <w:rsid w:val="272E10E9"/>
    <w:rsid w:val="27513170"/>
    <w:rsid w:val="2759523E"/>
    <w:rsid w:val="275B0BB9"/>
    <w:rsid w:val="27775B13"/>
    <w:rsid w:val="27870A9C"/>
    <w:rsid w:val="278C6260"/>
    <w:rsid w:val="278D0C17"/>
    <w:rsid w:val="27925D43"/>
    <w:rsid w:val="27AF2CA0"/>
    <w:rsid w:val="27B76F7E"/>
    <w:rsid w:val="27C90A53"/>
    <w:rsid w:val="2801667A"/>
    <w:rsid w:val="280E56A9"/>
    <w:rsid w:val="281178FD"/>
    <w:rsid w:val="28172BDD"/>
    <w:rsid w:val="285B02BE"/>
    <w:rsid w:val="28811AC2"/>
    <w:rsid w:val="28941480"/>
    <w:rsid w:val="289C575D"/>
    <w:rsid w:val="28A21EE1"/>
    <w:rsid w:val="28A4544E"/>
    <w:rsid w:val="28A50596"/>
    <w:rsid w:val="28A86B5F"/>
    <w:rsid w:val="28CB4833"/>
    <w:rsid w:val="28E97F29"/>
    <w:rsid w:val="29253FFF"/>
    <w:rsid w:val="292672E2"/>
    <w:rsid w:val="292809E6"/>
    <w:rsid w:val="2938145D"/>
    <w:rsid w:val="294301B4"/>
    <w:rsid w:val="29481585"/>
    <w:rsid w:val="294A6AD1"/>
    <w:rsid w:val="294F363A"/>
    <w:rsid w:val="29843C2C"/>
    <w:rsid w:val="299B3C02"/>
    <w:rsid w:val="29AA0B85"/>
    <w:rsid w:val="29B01376"/>
    <w:rsid w:val="29B05C8A"/>
    <w:rsid w:val="29CB6F7F"/>
    <w:rsid w:val="29CC694D"/>
    <w:rsid w:val="29D33A58"/>
    <w:rsid w:val="29E90A73"/>
    <w:rsid w:val="29EF290B"/>
    <w:rsid w:val="2A2361E0"/>
    <w:rsid w:val="2A377938"/>
    <w:rsid w:val="2A39304D"/>
    <w:rsid w:val="2A3A1778"/>
    <w:rsid w:val="2A5A1271"/>
    <w:rsid w:val="2A5B5A23"/>
    <w:rsid w:val="2A7B5F86"/>
    <w:rsid w:val="2AA00955"/>
    <w:rsid w:val="2ACD779E"/>
    <w:rsid w:val="2AD61463"/>
    <w:rsid w:val="2ADE6251"/>
    <w:rsid w:val="2B01663B"/>
    <w:rsid w:val="2B0330EB"/>
    <w:rsid w:val="2B0D2B5D"/>
    <w:rsid w:val="2B3F0DEA"/>
    <w:rsid w:val="2B5330CD"/>
    <w:rsid w:val="2B716D0A"/>
    <w:rsid w:val="2B8E79ED"/>
    <w:rsid w:val="2B9745EB"/>
    <w:rsid w:val="2B9F34D7"/>
    <w:rsid w:val="2BF84B95"/>
    <w:rsid w:val="2BFA3C7B"/>
    <w:rsid w:val="2C2B420A"/>
    <w:rsid w:val="2C5177DB"/>
    <w:rsid w:val="2C5746C9"/>
    <w:rsid w:val="2C6A4DE8"/>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D31CA"/>
    <w:rsid w:val="2D1813B0"/>
    <w:rsid w:val="2D2D7366"/>
    <w:rsid w:val="2D5D7B79"/>
    <w:rsid w:val="2D637222"/>
    <w:rsid w:val="2D7B4BF1"/>
    <w:rsid w:val="2DBC364F"/>
    <w:rsid w:val="2DBE4625"/>
    <w:rsid w:val="2DC055B8"/>
    <w:rsid w:val="2DC113FE"/>
    <w:rsid w:val="2DD15DA4"/>
    <w:rsid w:val="2E2D1F06"/>
    <w:rsid w:val="2E407B36"/>
    <w:rsid w:val="2E487979"/>
    <w:rsid w:val="2E506092"/>
    <w:rsid w:val="2E626225"/>
    <w:rsid w:val="2E631B17"/>
    <w:rsid w:val="2E6C4E49"/>
    <w:rsid w:val="2E757732"/>
    <w:rsid w:val="2E7B0F51"/>
    <w:rsid w:val="2E7E6BE3"/>
    <w:rsid w:val="2E8F5A76"/>
    <w:rsid w:val="2E9E012E"/>
    <w:rsid w:val="2EB251DE"/>
    <w:rsid w:val="2ED32D30"/>
    <w:rsid w:val="2EF61388"/>
    <w:rsid w:val="2F01235C"/>
    <w:rsid w:val="2F385590"/>
    <w:rsid w:val="2F385D91"/>
    <w:rsid w:val="2F3B117B"/>
    <w:rsid w:val="2F442969"/>
    <w:rsid w:val="2F5F4D24"/>
    <w:rsid w:val="2F726093"/>
    <w:rsid w:val="2F783A2A"/>
    <w:rsid w:val="2F7E20B0"/>
    <w:rsid w:val="2F8F7D10"/>
    <w:rsid w:val="2F906FF8"/>
    <w:rsid w:val="2FF729FF"/>
    <w:rsid w:val="301069EF"/>
    <w:rsid w:val="3012492F"/>
    <w:rsid w:val="301B091F"/>
    <w:rsid w:val="30292A80"/>
    <w:rsid w:val="303C0946"/>
    <w:rsid w:val="30546F10"/>
    <w:rsid w:val="307125A3"/>
    <w:rsid w:val="30804691"/>
    <w:rsid w:val="30A16DC3"/>
    <w:rsid w:val="30B43F6C"/>
    <w:rsid w:val="30CC528D"/>
    <w:rsid w:val="30CD4E6D"/>
    <w:rsid w:val="30DC11B0"/>
    <w:rsid w:val="30E66B9A"/>
    <w:rsid w:val="30E82D1B"/>
    <w:rsid w:val="30E952C1"/>
    <w:rsid w:val="30EE5C9D"/>
    <w:rsid w:val="30F300DB"/>
    <w:rsid w:val="310C74DD"/>
    <w:rsid w:val="3133496E"/>
    <w:rsid w:val="313703B3"/>
    <w:rsid w:val="31377547"/>
    <w:rsid w:val="313C4765"/>
    <w:rsid w:val="313E0380"/>
    <w:rsid w:val="31536540"/>
    <w:rsid w:val="3157169C"/>
    <w:rsid w:val="3163741B"/>
    <w:rsid w:val="31660CB9"/>
    <w:rsid w:val="316F12FA"/>
    <w:rsid w:val="317F1F84"/>
    <w:rsid w:val="317F52E7"/>
    <w:rsid w:val="319E21A8"/>
    <w:rsid w:val="31B448F8"/>
    <w:rsid w:val="31C4112D"/>
    <w:rsid w:val="31C613CE"/>
    <w:rsid w:val="31CF19CB"/>
    <w:rsid w:val="3210318C"/>
    <w:rsid w:val="32121212"/>
    <w:rsid w:val="3218445A"/>
    <w:rsid w:val="32246337"/>
    <w:rsid w:val="3228271D"/>
    <w:rsid w:val="323D6705"/>
    <w:rsid w:val="32756B2E"/>
    <w:rsid w:val="32B93E22"/>
    <w:rsid w:val="332330F3"/>
    <w:rsid w:val="332E0AFE"/>
    <w:rsid w:val="334E2B10"/>
    <w:rsid w:val="338D5193"/>
    <w:rsid w:val="33944C88"/>
    <w:rsid w:val="339A6860"/>
    <w:rsid w:val="33A3621B"/>
    <w:rsid w:val="33D23C1C"/>
    <w:rsid w:val="33D9318C"/>
    <w:rsid w:val="33E47652"/>
    <w:rsid w:val="33F84719"/>
    <w:rsid w:val="3403693D"/>
    <w:rsid w:val="343D19BC"/>
    <w:rsid w:val="34511E57"/>
    <w:rsid w:val="345B07DB"/>
    <w:rsid w:val="34602BF4"/>
    <w:rsid w:val="3461567F"/>
    <w:rsid w:val="346B13B4"/>
    <w:rsid w:val="34784159"/>
    <w:rsid w:val="34834764"/>
    <w:rsid w:val="34864294"/>
    <w:rsid w:val="348A089D"/>
    <w:rsid w:val="349419A1"/>
    <w:rsid w:val="34954270"/>
    <w:rsid w:val="34AF7F0F"/>
    <w:rsid w:val="34BF3CD1"/>
    <w:rsid w:val="34ED489E"/>
    <w:rsid w:val="34F75FCE"/>
    <w:rsid w:val="34FB56A9"/>
    <w:rsid w:val="34FF0821"/>
    <w:rsid w:val="350E66D5"/>
    <w:rsid w:val="35125D28"/>
    <w:rsid w:val="352552E3"/>
    <w:rsid w:val="35292E4E"/>
    <w:rsid w:val="352A6222"/>
    <w:rsid w:val="3552741C"/>
    <w:rsid w:val="35543CEB"/>
    <w:rsid w:val="3575320F"/>
    <w:rsid w:val="35880003"/>
    <w:rsid w:val="358B37A9"/>
    <w:rsid w:val="35C672EF"/>
    <w:rsid w:val="35D37514"/>
    <w:rsid w:val="36031236"/>
    <w:rsid w:val="360432C6"/>
    <w:rsid w:val="361643BC"/>
    <w:rsid w:val="3635517E"/>
    <w:rsid w:val="365D70AD"/>
    <w:rsid w:val="368708DF"/>
    <w:rsid w:val="368E4B68"/>
    <w:rsid w:val="36BB53A8"/>
    <w:rsid w:val="36BE5E23"/>
    <w:rsid w:val="36BF5033"/>
    <w:rsid w:val="36C71921"/>
    <w:rsid w:val="36E30215"/>
    <w:rsid w:val="36FF448C"/>
    <w:rsid w:val="37046530"/>
    <w:rsid w:val="372C5176"/>
    <w:rsid w:val="37371245"/>
    <w:rsid w:val="374F1BF5"/>
    <w:rsid w:val="375607F8"/>
    <w:rsid w:val="375C07E0"/>
    <w:rsid w:val="37896CF9"/>
    <w:rsid w:val="379301A5"/>
    <w:rsid w:val="37D5200F"/>
    <w:rsid w:val="37DB6D52"/>
    <w:rsid w:val="37E6048F"/>
    <w:rsid w:val="37EC3B69"/>
    <w:rsid w:val="37EF0D21"/>
    <w:rsid w:val="37F0245C"/>
    <w:rsid w:val="380C7A67"/>
    <w:rsid w:val="38351594"/>
    <w:rsid w:val="383B7389"/>
    <w:rsid w:val="383C1711"/>
    <w:rsid w:val="38413AE0"/>
    <w:rsid w:val="386E6D96"/>
    <w:rsid w:val="387434A8"/>
    <w:rsid w:val="38A87967"/>
    <w:rsid w:val="38B14AD4"/>
    <w:rsid w:val="38BE4D8A"/>
    <w:rsid w:val="38D73CFB"/>
    <w:rsid w:val="38DC3260"/>
    <w:rsid w:val="390E1E02"/>
    <w:rsid w:val="3915015C"/>
    <w:rsid w:val="392628AE"/>
    <w:rsid w:val="39406108"/>
    <w:rsid w:val="39497683"/>
    <w:rsid w:val="39695EA8"/>
    <w:rsid w:val="397A53E5"/>
    <w:rsid w:val="398B6386"/>
    <w:rsid w:val="39A668D6"/>
    <w:rsid w:val="39BE3330"/>
    <w:rsid w:val="39C35DCF"/>
    <w:rsid w:val="39C728BC"/>
    <w:rsid w:val="39D57530"/>
    <w:rsid w:val="3A28763D"/>
    <w:rsid w:val="3A40613F"/>
    <w:rsid w:val="3A475A72"/>
    <w:rsid w:val="3A4A0105"/>
    <w:rsid w:val="3A5272F0"/>
    <w:rsid w:val="3A5D320E"/>
    <w:rsid w:val="3A6E4CBE"/>
    <w:rsid w:val="3A734C3F"/>
    <w:rsid w:val="3A880C34"/>
    <w:rsid w:val="3A8B11DE"/>
    <w:rsid w:val="3AAC7568"/>
    <w:rsid w:val="3AB12744"/>
    <w:rsid w:val="3AF15D15"/>
    <w:rsid w:val="3AF71F37"/>
    <w:rsid w:val="3AFB7764"/>
    <w:rsid w:val="3AFE2B26"/>
    <w:rsid w:val="3AFF1AE7"/>
    <w:rsid w:val="3B0566D6"/>
    <w:rsid w:val="3B0D7B4F"/>
    <w:rsid w:val="3B1E39AD"/>
    <w:rsid w:val="3B1F1BAD"/>
    <w:rsid w:val="3B314084"/>
    <w:rsid w:val="3B400C2A"/>
    <w:rsid w:val="3B4902C5"/>
    <w:rsid w:val="3B491FFF"/>
    <w:rsid w:val="3B576456"/>
    <w:rsid w:val="3B5A5BE4"/>
    <w:rsid w:val="3B676B03"/>
    <w:rsid w:val="3B705648"/>
    <w:rsid w:val="3B7364AD"/>
    <w:rsid w:val="3B853139"/>
    <w:rsid w:val="3B8B3101"/>
    <w:rsid w:val="3B99017C"/>
    <w:rsid w:val="3B9D0916"/>
    <w:rsid w:val="3B9E48BA"/>
    <w:rsid w:val="3BC34FD9"/>
    <w:rsid w:val="3BC56483"/>
    <w:rsid w:val="3BCF25C4"/>
    <w:rsid w:val="3BDB41B0"/>
    <w:rsid w:val="3BE12916"/>
    <w:rsid w:val="3BEC5070"/>
    <w:rsid w:val="3BF61A45"/>
    <w:rsid w:val="3BFC0ABB"/>
    <w:rsid w:val="3BFE1F4A"/>
    <w:rsid w:val="3C207D13"/>
    <w:rsid w:val="3C3B203F"/>
    <w:rsid w:val="3C3C316B"/>
    <w:rsid w:val="3C514A37"/>
    <w:rsid w:val="3C5C3D07"/>
    <w:rsid w:val="3C5E7F90"/>
    <w:rsid w:val="3C756E3E"/>
    <w:rsid w:val="3C7C153C"/>
    <w:rsid w:val="3C802B2B"/>
    <w:rsid w:val="3C8214A5"/>
    <w:rsid w:val="3CA06481"/>
    <w:rsid w:val="3CA52204"/>
    <w:rsid w:val="3CAE6D48"/>
    <w:rsid w:val="3CE547C2"/>
    <w:rsid w:val="3CF9519B"/>
    <w:rsid w:val="3D0A7808"/>
    <w:rsid w:val="3D0E3359"/>
    <w:rsid w:val="3D1B69F5"/>
    <w:rsid w:val="3D265052"/>
    <w:rsid w:val="3D3B6738"/>
    <w:rsid w:val="3D42011F"/>
    <w:rsid w:val="3D6407A3"/>
    <w:rsid w:val="3D6E3256"/>
    <w:rsid w:val="3D80309E"/>
    <w:rsid w:val="3D9C3270"/>
    <w:rsid w:val="3DCC4131"/>
    <w:rsid w:val="3DD07E50"/>
    <w:rsid w:val="3E0878BC"/>
    <w:rsid w:val="3E0C4F21"/>
    <w:rsid w:val="3E122E4D"/>
    <w:rsid w:val="3E136A36"/>
    <w:rsid w:val="3E160C8A"/>
    <w:rsid w:val="3E2312D7"/>
    <w:rsid w:val="3E387F22"/>
    <w:rsid w:val="3E40319B"/>
    <w:rsid w:val="3E570181"/>
    <w:rsid w:val="3E812F4E"/>
    <w:rsid w:val="3E836939"/>
    <w:rsid w:val="3E8454A0"/>
    <w:rsid w:val="3E9901B3"/>
    <w:rsid w:val="3E9A677D"/>
    <w:rsid w:val="3EC0465A"/>
    <w:rsid w:val="3EC771AC"/>
    <w:rsid w:val="3ECB2DBD"/>
    <w:rsid w:val="3EDC3C7D"/>
    <w:rsid w:val="3EE4627D"/>
    <w:rsid w:val="3EFD11FA"/>
    <w:rsid w:val="3F0C53C6"/>
    <w:rsid w:val="3F1E6A7C"/>
    <w:rsid w:val="3F2102B1"/>
    <w:rsid w:val="3F210EC9"/>
    <w:rsid w:val="3F27793E"/>
    <w:rsid w:val="3F2B7A13"/>
    <w:rsid w:val="3F335F63"/>
    <w:rsid w:val="3F483382"/>
    <w:rsid w:val="3F571E72"/>
    <w:rsid w:val="3F596CF5"/>
    <w:rsid w:val="3F650911"/>
    <w:rsid w:val="3FA60E7C"/>
    <w:rsid w:val="3FC43688"/>
    <w:rsid w:val="3FC5258F"/>
    <w:rsid w:val="3FCE1901"/>
    <w:rsid w:val="3FF33B69"/>
    <w:rsid w:val="3FFA115C"/>
    <w:rsid w:val="3FFC3900"/>
    <w:rsid w:val="4009429C"/>
    <w:rsid w:val="402970A9"/>
    <w:rsid w:val="404F6E14"/>
    <w:rsid w:val="405B2791"/>
    <w:rsid w:val="40606C2F"/>
    <w:rsid w:val="407B1A4D"/>
    <w:rsid w:val="408049E1"/>
    <w:rsid w:val="408137B6"/>
    <w:rsid w:val="408A2B7E"/>
    <w:rsid w:val="409D3C6E"/>
    <w:rsid w:val="40A31C8C"/>
    <w:rsid w:val="40AB1595"/>
    <w:rsid w:val="40AF007F"/>
    <w:rsid w:val="40BF627F"/>
    <w:rsid w:val="40CE0ED0"/>
    <w:rsid w:val="40E10A8C"/>
    <w:rsid w:val="410D6A4B"/>
    <w:rsid w:val="410F6A02"/>
    <w:rsid w:val="411141F8"/>
    <w:rsid w:val="4121618D"/>
    <w:rsid w:val="41291E14"/>
    <w:rsid w:val="414413B8"/>
    <w:rsid w:val="41465FC8"/>
    <w:rsid w:val="4156445A"/>
    <w:rsid w:val="416A10A3"/>
    <w:rsid w:val="417A5FF0"/>
    <w:rsid w:val="41826AE7"/>
    <w:rsid w:val="418402D9"/>
    <w:rsid w:val="419B175C"/>
    <w:rsid w:val="41B67136"/>
    <w:rsid w:val="41D72072"/>
    <w:rsid w:val="41F528B8"/>
    <w:rsid w:val="41FA48BA"/>
    <w:rsid w:val="4228529E"/>
    <w:rsid w:val="422D25F9"/>
    <w:rsid w:val="42307F0D"/>
    <w:rsid w:val="423546AB"/>
    <w:rsid w:val="424D7A5D"/>
    <w:rsid w:val="42516D59"/>
    <w:rsid w:val="42625183"/>
    <w:rsid w:val="426B045B"/>
    <w:rsid w:val="42760EAB"/>
    <w:rsid w:val="42807E2C"/>
    <w:rsid w:val="42874D2A"/>
    <w:rsid w:val="428A21A6"/>
    <w:rsid w:val="428B390F"/>
    <w:rsid w:val="42966D5D"/>
    <w:rsid w:val="429D0D37"/>
    <w:rsid w:val="42AB1075"/>
    <w:rsid w:val="42B03B3D"/>
    <w:rsid w:val="42D17CD5"/>
    <w:rsid w:val="42DB2D12"/>
    <w:rsid w:val="42DD389C"/>
    <w:rsid w:val="42DE2AAC"/>
    <w:rsid w:val="43086A11"/>
    <w:rsid w:val="43087C4A"/>
    <w:rsid w:val="431471CA"/>
    <w:rsid w:val="432C0C29"/>
    <w:rsid w:val="433520F6"/>
    <w:rsid w:val="433C731A"/>
    <w:rsid w:val="436D590E"/>
    <w:rsid w:val="43816903"/>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6153A"/>
    <w:rsid w:val="44363141"/>
    <w:rsid w:val="443F4C85"/>
    <w:rsid w:val="44515DC7"/>
    <w:rsid w:val="4454229E"/>
    <w:rsid w:val="445E05A4"/>
    <w:rsid w:val="4462484A"/>
    <w:rsid w:val="44626645"/>
    <w:rsid w:val="44690EA9"/>
    <w:rsid w:val="449648D0"/>
    <w:rsid w:val="44986654"/>
    <w:rsid w:val="449B7DBF"/>
    <w:rsid w:val="44DC29EB"/>
    <w:rsid w:val="44DD1A31"/>
    <w:rsid w:val="44F73CE5"/>
    <w:rsid w:val="44F84650"/>
    <w:rsid w:val="44FD4940"/>
    <w:rsid w:val="452615A5"/>
    <w:rsid w:val="452911C3"/>
    <w:rsid w:val="453110FA"/>
    <w:rsid w:val="45380EAE"/>
    <w:rsid w:val="454C6201"/>
    <w:rsid w:val="454E0A80"/>
    <w:rsid w:val="45607318"/>
    <w:rsid w:val="456848E6"/>
    <w:rsid w:val="456B0E9A"/>
    <w:rsid w:val="457356E1"/>
    <w:rsid w:val="457A56BB"/>
    <w:rsid w:val="457F0835"/>
    <w:rsid w:val="45901F42"/>
    <w:rsid w:val="45BD1FBC"/>
    <w:rsid w:val="45CD3F04"/>
    <w:rsid w:val="45D4449A"/>
    <w:rsid w:val="45D75901"/>
    <w:rsid w:val="45DC4C85"/>
    <w:rsid w:val="45DD1704"/>
    <w:rsid w:val="45DE6F05"/>
    <w:rsid w:val="45ED2C31"/>
    <w:rsid w:val="460652C7"/>
    <w:rsid w:val="46091005"/>
    <w:rsid w:val="46383D12"/>
    <w:rsid w:val="464F5D68"/>
    <w:rsid w:val="466573DB"/>
    <w:rsid w:val="466B6068"/>
    <w:rsid w:val="4670684F"/>
    <w:rsid w:val="467F6055"/>
    <w:rsid w:val="46992809"/>
    <w:rsid w:val="46B74038"/>
    <w:rsid w:val="46DD5893"/>
    <w:rsid w:val="46E121E3"/>
    <w:rsid w:val="46E804A0"/>
    <w:rsid w:val="46F705B5"/>
    <w:rsid w:val="47182C2B"/>
    <w:rsid w:val="471C2E4A"/>
    <w:rsid w:val="471E4A10"/>
    <w:rsid w:val="47283607"/>
    <w:rsid w:val="47365880"/>
    <w:rsid w:val="47470C00"/>
    <w:rsid w:val="47617BC5"/>
    <w:rsid w:val="47726B9D"/>
    <w:rsid w:val="47754A35"/>
    <w:rsid w:val="477570E2"/>
    <w:rsid w:val="477804F9"/>
    <w:rsid w:val="47A54B82"/>
    <w:rsid w:val="47B34FC5"/>
    <w:rsid w:val="47B55A11"/>
    <w:rsid w:val="47C1116A"/>
    <w:rsid w:val="47DB0AEF"/>
    <w:rsid w:val="47E32C0C"/>
    <w:rsid w:val="47ED3E2A"/>
    <w:rsid w:val="482468EA"/>
    <w:rsid w:val="48256827"/>
    <w:rsid w:val="48426317"/>
    <w:rsid w:val="48427ACE"/>
    <w:rsid w:val="4848607E"/>
    <w:rsid w:val="48504E40"/>
    <w:rsid w:val="486D3064"/>
    <w:rsid w:val="486E2084"/>
    <w:rsid w:val="489D1D0E"/>
    <w:rsid w:val="48A10C08"/>
    <w:rsid w:val="48AE76E2"/>
    <w:rsid w:val="48B7515A"/>
    <w:rsid w:val="48BB4EC6"/>
    <w:rsid w:val="48C267D2"/>
    <w:rsid w:val="48CD6A98"/>
    <w:rsid w:val="48DB2CE5"/>
    <w:rsid w:val="48DD1AEA"/>
    <w:rsid w:val="48ED73F7"/>
    <w:rsid w:val="494D34B4"/>
    <w:rsid w:val="49531DF8"/>
    <w:rsid w:val="496421BE"/>
    <w:rsid w:val="497854A4"/>
    <w:rsid w:val="499B4C71"/>
    <w:rsid w:val="499E5BE3"/>
    <w:rsid w:val="49B8210F"/>
    <w:rsid w:val="49BB234A"/>
    <w:rsid w:val="49C63487"/>
    <w:rsid w:val="49DD4B67"/>
    <w:rsid w:val="49E60E0F"/>
    <w:rsid w:val="49E65861"/>
    <w:rsid w:val="4A01680F"/>
    <w:rsid w:val="4A0270C9"/>
    <w:rsid w:val="4A047EDF"/>
    <w:rsid w:val="4A3E42B1"/>
    <w:rsid w:val="4A531EA6"/>
    <w:rsid w:val="4A540A2C"/>
    <w:rsid w:val="4A583F0B"/>
    <w:rsid w:val="4A5D08DF"/>
    <w:rsid w:val="4A7A41D7"/>
    <w:rsid w:val="4A807380"/>
    <w:rsid w:val="4A840EEF"/>
    <w:rsid w:val="4A8B1860"/>
    <w:rsid w:val="4A946414"/>
    <w:rsid w:val="4A955A6C"/>
    <w:rsid w:val="4A982852"/>
    <w:rsid w:val="4AAE2BCA"/>
    <w:rsid w:val="4ABD4214"/>
    <w:rsid w:val="4AFA208B"/>
    <w:rsid w:val="4B0A3310"/>
    <w:rsid w:val="4B20492F"/>
    <w:rsid w:val="4B3576CB"/>
    <w:rsid w:val="4B3D1E78"/>
    <w:rsid w:val="4B444FB2"/>
    <w:rsid w:val="4B595064"/>
    <w:rsid w:val="4B672180"/>
    <w:rsid w:val="4B6E1D26"/>
    <w:rsid w:val="4B807E8F"/>
    <w:rsid w:val="4B920889"/>
    <w:rsid w:val="4B996870"/>
    <w:rsid w:val="4BA46E08"/>
    <w:rsid w:val="4BC73B78"/>
    <w:rsid w:val="4BC77460"/>
    <w:rsid w:val="4BCF201E"/>
    <w:rsid w:val="4C4C4528"/>
    <w:rsid w:val="4C510A38"/>
    <w:rsid w:val="4C573346"/>
    <w:rsid w:val="4C6435A9"/>
    <w:rsid w:val="4C6F418B"/>
    <w:rsid w:val="4C82601B"/>
    <w:rsid w:val="4C8330E1"/>
    <w:rsid w:val="4C885559"/>
    <w:rsid w:val="4C8E77FD"/>
    <w:rsid w:val="4CA14226"/>
    <w:rsid w:val="4CAD6AA6"/>
    <w:rsid w:val="4CAF216E"/>
    <w:rsid w:val="4CB058CB"/>
    <w:rsid w:val="4CB620E8"/>
    <w:rsid w:val="4CB90C56"/>
    <w:rsid w:val="4CC65395"/>
    <w:rsid w:val="4CD5793B"/>
    <w:rsid w:val="4CD80E01"/>
    <w:rsid w:val="4CDE02B9"/>
    <w:rsid w:val="4CFB5C1C"/>
    <w:rsid w:val="4D0F78F1"/>
    <w:rsid w:val="4D4D0E1D"/>
    <w:rsid w:val="4D4D4426"/>
    <w:rsid w:val="4D4E796F"/>
    <w:rsid w:val="4D4F6EEF"/>
    <w:rsid w:val="4D5D085A"/>
    <w:rsid w:val="4D807194"/>
    <w:rsid w:val="4D9438AB"/>
    <w:rsid w:val="4D995F1E"/>
    <w:rsid w:val="4DC75FAC"/>
    <w:rsid w:val="4DCD3B45"/>
    <w:rsid w:val="4DD32B18"/>
    <w:rsid w:val="4DD521DA"/>
    <w:rsid w:val="4DE407A5"/>
    <w:rsid w:val="4DEC558E"/>
    <w:rsid w:val="4DF22D5D"/>
    <w:rsid w:val="4E0E54C5"/>
    <w:rsid w:val="4E1227F0"/>
    <w:rsid w:val="4E2D7430"/>
    <w:rsid w:val="4E332B5E"/>
    <w:rsid w:val="4E487814"/>
    <w:rsid w:val="4E4F6905"/>
    <w:rsid w:val="4E8A7219"/>
    <w:rsid w:val="4E997E3B"/>
    <w:rsid w:val="4ECE0CD5"/>
    <w:rsid w:val="4ED22A57"/>
    <w:rsid w:val="4ED92E23"/>
    <w:rsid w:val="4EE964BF"/>
    <w:rsid w:val="4F0B12EB"/>
    <w:rsid w:val="4F277882"/>
    <w:rsid w:val="4F306048"/>
    <w:rsid w:val="4F313C6F"/>
    <w:rsid w:val="4F416BC0"/>
    <w:rsid w:val="4F6476F0"/>
    <w:rsid w:val="4F6A2B78"/>
    <w:rsid w:val="4F762AE3"/>
    <w:rsid w:val="4F7D2F66"/>
    <w:rsid w:val="4F8C33D2"/>
    <w:rsid w:val="4F9F3258"/>
    <w:rsid w:val="4F9F3566"/>
    <w:rsid w:val="4FAF0352"/>
    <w:rsid w:val="4FB3614F"/>
    <w:rsid w:val="4FBC4B75"/>
    <w:rsid w:val="50292472"/>
    <w:rsid w:val="502B58CD"/>
    <w:rsid w:val="503324EC"/>
    <w:rsid w:val="503E4E84"/>
    <w:rsid w:val="50432740"/>
    <w:rsid w:val="504D48EB"/>
    <w:rsid w:val="506177CB"/>
    <w:rsid w:val="506D1CE6"/>
    <w:rsid w:val="50756606"/>
    <w:rsid w:val="507C3FF5"/>
    <w:rsid w:val="50950193"/>
    <w:rsid w:val="50B535BC"/>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F4AC1"/>
    <w:rsid w:val="522B490F"/>
    <w:rsid w:val="522C4379"/>
    <w:rsid w:val="52315D30"/>
    <w:rsid w:val="524E2361"/>
    <w:rsid w:val="52985353"/>
    <w:rsid w:val="529F24A2"/>
    <w:rsid w:val="52AA7CFA"/>
    <w:rsid w:val="52B171E6"/>
    <w:rsid w:val="52DB122A"/>
    <w:rsid w:val="52E13D67"/>
    <w:rsid w:val="52E27A56"/>
    <w:rsid w:val="52E80195"/>
    <w:rsid w:val="52E82C9B"/>
    <w:rsid w:val="52E846A6"/>
    <w:rsid w:val="52F64BDB"/>
    <w:rsid w:val="532129F8"/>
    <w:rsid w:val="533233B6"/>
    <w:rsid w:val="5333575C"/>
    <w:rsid w:val="53431BBB"/>
    <w:rsid w:val="5345258D"/>
    <w:rsid w:val="534E32E5"/>
    <w:rsid w:val="53501C8A"/>
    <w:rsid w:val="537C2D95"/>
    <w:rsid w:val="53921F79"/>
    <w:rsid w:val="53942A5B"/>
    <w:rsid w:val="539A0A2E"/>
    <w:rsid w:val="539B0D65"/>
    <w:rsid w:val="539C7BB1"/>
    <w:rsid w:val="53A254EF"/>
    <w:rsid w:val="53B74C02"/>
    <w:rsid w:val="53C63F53"/>
    <w:rsid w:val="53CA60F3"/>
    <w:rsid w:val="53DA3115"/>
    <w:rsid w:val="53E37A46"/>
    <w:rsid w:val="53E60B87"/>
    <w:rsid w:val="53E813CD"/>
    <w:rsid w:val="54147818"/>
    <w:rsid w:val="54284D48"/>
    <w:rsid w:val="542C0D25"/>
    <w:rsid w:val="543036B4"/>
    <w:rsid w:val="54507C6E"/>
    <w:rsid w:val="54523FAB"/>
    <w:rsid w:val="54606D4B"/>
    <w:rsid w:val="546F563B"/>
    <w:rsid w:val="54737B83"/>
    <w:rsid w:val="54767A69"/>
    <w:rsid w:val="54771DDB"/>
    <w:rsid w:val="54800851"/>
    <w:rsid w:val="548D1DAF"/>
    <w:rsid w:val="549E6667"/>
    <w:rsid w:val="54B83081"/>
    <w:rsid w:val="54CD7213"/>
    <w:rsid w:val="54D27679"/>
    <w:rsid w:val="54FA20B3"/>
    <w:rsid w:val="552D41F8"/>
    <w:rsid w:val="5530235E"/>
    <w:rsid w:val="553A11F2"/>
    <w:rsid w:val="554A1014"/>
    <w:rsid w:val="554D547D"/>
    <w:rsid w:val="555812FC"/>
    <w:rsid w:val="558504DB"/>
    <w:rsid w:val="5599207C"/>
    <w:rsid w:val="55BA23F6"/>
    <w:rsid w:val="55C17A4A"/>
    <w:rsid w:val="55C776A4"/>
    <w:rsid w:val="55C86FE2"/>
    <w:rsid w:val="55D93944"/>
    <w:rsid w:val="55E0012B"/>
    <w:rsid w:val="55E22738"/>
    <w:rsid w:val="55E53654"/>
    <w:rsid w:val="55F16398"/>
    <w:rsid w:val="55FA5978"/>
    <w:rsid w:val="560471D1"/>
    <w:rsid w:val="5620288D"/>
    <w:rsid w:val="56262D0A"/>
    <w:rsid w:val="562F094C"/>
    <w:rsid w:val="56303DF0"/>
    <w:rsid w:val="563C241F"/>
    <w:rsid w:val="5645459C"/>
    <w:rsid w:val="564845D6"/>
    <w:rsid w:val="56497A16"/>
    <w:rsid w:val="564B1CD3"/>
    <w:rsid w:val="56523972"/>
    <w:rsid w:val="56526786"/>
    <w:rsid w:val="568D4159"/>
    <w:rsid w:val="569017FC"/>
    <w:rsid w:val="56AA326E"/>
    <w:rsid w:val="56B557FE"/>
    <w:rsid w:val="56B86A4A"/>
    <w:rsid w:val="56C90586"/>
    <w:rsid w:val="56D20E62"/>
    <w:rsid w:val="56E53FAA"/>
    <w:rsid w:val="56F15FB4"/>
    <w:rsid w:val="57032FAA"/>
    <w:rsid w:val="57083A80"/>
    <w:rsid w:val="570A1F63"/>
    <w:rsid w:val="570F4518"/>
    <w:rsid w:val="57101FBF"/>
    <w:rsid w:val="57192727"/>
    <w:rsid w:val="572C1D0F"/>
    <w:rsid w:val="572E2ABD"/>
    <w:rsid w:val="57393751"/>
    <w:rsid w:val="57511B9A"/>
    <w:rsid w:val="57537352"/>
    <w:rsid w:val="575B1004"/>
    <w:rsid w:val="5771718C"/>
    <w:rsid w:val="577D318D"/>
    <w:rsid w:val="5791578D"/>
    <w:rsid w:val="57986AAA"/>
    <w:rsid w:val="57A273D9"/>
    <w:rsid w:val="57AF5A40"/>
    <w:rsid w:val="57C97408"/>
    <w:rsid w:val="57EC1C9C"/>
    <w:rsid w:val="58022941"/>
    <w:rsid w:val="580632C8"/>
    <w:rsid w:val="580C02FC"/>
    <w:rsid w:val="58277B25"/>
    <w:rsid w:val="5830410B"/>
    <w:rsid w:val="58310F67"/>
    <w:rsid w:val="583A1FAC"/>
    <w:rsid w:val="583E68FD"/>
    <w:rsid w:val="5846711A"/>
    <w:rsid w:val="58553838"/>
    <w:rsid w:val="585A1073"/>
    <w:rsid w:val="585D5C86"/>
    <w:rsid w:val="587E5B83"/>
    <w:rsid w:val="588C01E0"/>
    <w:rsid w:val="589A6EED"/>
    <w:rsid w:val="58A54D70"/>
    <w:rsid w:val="58BE78AD"/>
    <w:rsid w:val="58CA70BC"/>
    <w:rsid w:val="58CF664E"/>
    <w:rsid w:val="58D161EE"/>
    <w:rsid w:val="58DC20DE"/>
    <w:rsid w:val="58E56323"/>
    <w:rsid w:val="58EC223F"/>
    <w:rsid w:val="58ED1D81"/>
    <w:rsid w:val="58ED6689"/>
    <w:rsid w:val="59031290"/>
    <w:rsid w:val="590F1BC4"/>
    <w:rsid w:val="5919022D"/>
    <w:rsid w:val="591D661A"/>
    <w:rsid w:val="592A6680"/>
    <w:rsid w:val="59402032"/>
    <w:rsid w:val="59464947"/>
    <w:rsid w:val="594A6B94"/>
    <w:rsid w:val="594D270F"/>
    <w:rsid w:val="595405FB"/>
    <w:rsid w:val="59797E10"/>
    <w:rsid w:val="598007BD"/>
    <w:rsid w:val="59821BF3"/>
    <w:rsid w:val="59831117"/>
    <w:rsid w:val="599D1711"/>
    <w:rsid w:val="59A32903"/>
    <w:rsid w:val="59B25B64"/>
    <w:rsid w:val="59B65B0A"/>
    <w:rsid w:val="59DD38F5"/>
    <w:rsid w:val="59E72771"/>
    <w:rsid w:val="59FB19D7"/>
    <w:rsid w:val="59FC1DF4"/>
    <w:rsid w:val="5A0170D0"/>
    <w:rsid w:val="5A207B2C"/>
    <w:rsid w:val="5A2D57D7"/>
    <w:rsid w:val="5A3C0B29"/>
    <w:rsid w:val="5A4D5D2C"/>
    <w:rsid w:val="5A5D1EE9"/>
    <w:rsid w:val="5A646519"/>
    <w:rsid w:val="5A6E4321"/>
    <w:rsid w:val="5A6F07AD"/>
    <w:rsid w:val="5A743B23"/>
    <w:rsid w:val="5A786D03"/>
    <w:rsid w:val="5A8810C1"/>
    <w:rsid w:val="5A953CA8"/>
    <w:rsid w:val="5AA20354"/>
    <w:rsid w:val="5AA4013C"/>
    <w:rsid w:val="5AAA217B"/>
    <w:rsid w:val="5ADD173D"/>
    <w:rsid w:val="5AFF1EAD"/>
    <w:rsid w:val="5B1D4B5D"/>
    <w:rsid w:val="5B245381"/>
    <w:rsid w:val="5B266B67"/>
    <w:rsid w:val="5BA004B1"/>
    <w:rsid w:val="5BA64A59"/>
    <w:rsid w:val="5BB42013"/>
    <w:rsid w:val="5BC71BFF"/>
    <w:rsid w:val="5BCE3661"/>
    <w:rsid w:val="5BDE4B2E"/>
    <w:rsid w:val="5BE6497C"/>
    <w:rsid w:val="5BF53D6D"/>
    <w:rsid w:val="5BF66452"/>
    <w:rsid w:val="5BFE2754"/>
    <w:rsid w:val="5C00251E"/>
    <w:rsid w:val="5C0C5517"/>
    <w:rsid w:val="5C243A94"/>
    <w:rsid w:val="5C362DC6"/>
    <w:rsid w:val="5C513933"/>
    <w:rsid w:val="5C684A5F"/>
    <w:rsid w:val="5C7C22C9"/>
    <w:rsid w:val="5CCB049C"/>
    <w:rsid w:val="5CD246B1"/>
    <w:rsid w:val="5D104C52"/>
    <w:rsid w:val="5D1610E5"/>
    <w:rsid w:val="5D1F134D"/>
    <w:rsid w:val="5D225E96"/>
    <w:rsid w:val="5D5479DF"/>
    <w:rsid w:val="5D8B235F"/>
    <w:rsid w:val="5D935CC9"/>
    <w:rsid w:val="5D9929C5"/>
    <w:rsid w:val="5DA1690A"/>
    <w:rsid w:val="5DA344BD"/>
    <w:rsid w:val="5DAB1604"/>
    <w:rsid w:val="5DAC7F7B"/>
    <w:rsid w:val="5DC00E21"/>
    <w:rsid w:val="5DEF4991"/>
    <w:rsid w:val="5E004546"/>
    <w:rsid w:val="5E223849"/>
    <w:rsid w:val="5E31684C"/>
    <w:rsid w:val="5E52320C"/>
    <w:rsid w:val="5E64188D"/>
    <w:rsid w:val="5E6B6BD9"/>
    <w:rsid w:val="5E9D2BEC"/>
    <w:rsid w:val="5EB805C9"/>
    <w:rsid w:val="5EEC5CE5"/>
    <w:rsid w:val="5EF731E5"/>
    <w:rsid w:val="5F004E6E"/>
    <w:rsid w:val="5F010358"/>
    <w:rsid w:val="5F095904"/>
    <w:rsid w:val="5F232B8A"/>
    <w:rsid w:val="5F285753"/>
    <w:rsid w:val="5F3B01E3"/>
    <w:rsid w:val="5F3D041A"/>
    <w:rsid w:val="5F416DD5"/>
    <w:rsid w:val="5F454D59"/>
    <w:rsid w:val="5F4F0951"/>
    <w:rsid w:val="5F660454"/>
    <w:rsid w:val="5F89663A"/>
    <w:rsid w:val="5FA25FD2"/>
    <w:rsid w:val="5FAF21EE"/>
    <w:rsid w:val="5FAF3AE3"/>
    <w:rsid w:val="5FD84CCD"/>
    <w:rsid w:val="5FD95DF5"/>
    <w:rsid w:val="5FE17C6A"/>
    <w:rsid w:val="60153E06"/>
    <w:rsid w:val="601B7860"/>
    <w:rsid w:val="603A6C4E"/>
    <w:rsid w:val="606E74AB"/>
    <w:rsid w:val="607F4815"/>
    <w:rsid w:val="60C66FF8"/>
    <w:rsid w:val="60C715F3"/>
    <w:rsid w:val="60C831F4"/>
    <w:rsid w:val="60CA46DE"/>
    <w:rsid w:val="60D962FE"/>
    <w:rsid w:val="60DA1FB7"/>
    <w:rsid w:val="61045E17"/>
    <w:rsid w:val="61097C32"/>
    <w:rsid w:val="610C045C"/>
    <w:rsid w:val="612C2C0F"/>
    <w:rsid w:val="61360CD6"/>
    <w:rsid w:val="6139596E"/>
    <w:rsid w:val="6143048E"/>
    <w:rsid w:val="61541D0C"/>
    <w:rsid w:val="616113F3"/>
    <w:rsid w:val="616926CF"/>
    <w:rsid w:val="616E4608"/>
    <w:rsid w:val="618E5BFD"/>
    <w:rsid w:val="61955C9E"/>
    <w:rsid w:val="61964B23"/>
    <w:rsid w:val="61AC2EA4"/>
    <w:rsid w:val="61BF0A39"/>
    <w:rsid w:val="61D23AE4"/>
    <w:rsid w:val="61D74436"/>
    <w:rsid w:val="61DF72E6"/>
    <w:rsid w:val="61FC40A6"/>
    <w:rsid w:val="620A7850"/>
    <w:rsid w:val="621D6280"/>
    <w:rsid w:val="62232E5A"/>
    <w:rsid w:val="62845FB8"/>
    <w:rsid w:val="62925A24"/>
    <w:rsid w:val="62947959"/>
    <w:rsid w:val="629F4600"/>
    <w:rsid w:val="62B27BC4"/>
    <w:rsid w:val="62B3264F"/>
    <w:rsid w:val="62B87B19"/>
    <w:rsid w:val="62C15A67"/>
    <w:rsid w:val="62CC63A3"/>
    <w:rsid w:val="62D13DAB"/>
    <w:rsid w:val="62D5208D"/>
    <w:rsid w:val="62D949A4"/>
    <w:rsid w:val="6308497A"/>
    <w:rsid w:val="630A00B2"/>
    <w:rsid w:val="63117187"/>
    <w:rsid w:val="633D44AA"/>
    <w:rsid w:val="63687677"/>
    <w:rsid w:val="638130A6"/>
    <w:rsid w:val="638F1AF4"/>
    <w:rsid w:val="63AA5BC2"/>
    <w:rsid w:val="63B4356F"/>
    <w:rsid w:val="63CF48F8"/>
    <w:rsid w:val="63F840D4"/>
    <w:rsid w:val="641D14C4"/>
    <w:rsid w:val="642719FF"/>
    <w:rsid w:val="644B3147"/>
    <w:rsid w:val="6465549E"/>
    <w:rsid w:val="646C3009"/>
    <w:rsid w:val="64721148"/>
    <w:rsid w:val="64735320"/>
    <w:rsid w:val="64B30238"/>
    <w:rsid w:val="64D01B87"/>
    <w:rsid w:val="64D178B9"/>
    <w:rsid w:val="64D77A7E"/>
    <w:rsid w:val="64E73DF1"/>
    <w:rsid w:val="64F0414B"/>
    <w:rsid w:val="64FF1C3C"/>
    <w:rsid w:val="65012D42"/>
    <w:rsid w:val="65143021"/>
    <w:rsid w:val="652A63DB"/>
    <w:rsid w:val="652F58D3"/>
    <w:rsid w:val="653E1ABB"/>
    <w:rsid w:val="655B7102"/>
    <w:rsid w:val="656575F4"/>
    <w:rsid w:val="656738B8"/>
    <w:rsid w:val="657021F5"/>
    <w:rsid w:val="65713C4C"/>
    <w:rsid w:val="65722B1B"/>
    <w:rsid w:val="65A23327"/>
    <w:rsid w:val="65B826BD"/>
    <w:rsid w:val="65C26555"/>
    <w:rsid w:val="65DC7921"/>
    <w:rsid w:val="65E317A8"/>
    <w:rsid w:val="65ED6C11"/>
    <w:rsid w:val="65FC7C13"/>
    <w:rsid w:val="6613537E"/>
    <w:rsid w:val="66152556"/>
    <w:rsid w:val="66300342"/>
    <w:rsid w:val="66334C1F"/>
    <w:rsid w:val="663A3856"/>
    <w:rsid w:val="663B51C1"/>
    <w:rsid w:val="665611EB"/>
    <w:rsid w:val="665A29E1"/>
    <w:rsid w:val="666329BA"/>
    <w:rsid w:val="66680388"/>
    <w:rsid w:val="667416AB"/>
    <w:rsid w:val="667C4915"/>
    <w:rsid w:val="668019A3"/>
    <w:rsid w:val="668F7D8F"/>
    <w:rsid w:val="66A546B3"/>
    <w:rsid w:val="66A912E3"/>
    <w:rsid w:val="66AB6843"/>
    <w:rsid w:val="66B42F90"/>
    <w:rsid w:val="66FC5136"/>
    <w:rsid w:val="66FD4E0B"/>
    <w:rsid w:val="670901AC"/>
    <w:rsid w:val="672A302E"/>
    <w:rsid w:val="67491773"/>
    <w:rsid w:val="675121D1"/>
    <w:rsid w:val="6767500B"/>
    <w:rsid w:val="676F41FA"/>
    <w:rsid w:val="67841E7B"/>
    <w:rsid w:val="67945E5C"/>
    <w:rsid w:val="67C63136"/>
    <w:rsid w:val="67D172DA"/>
    <w:rsid w:val="67F22E4A"/>
    <w:rsid w:val="67F24D27"/>
    <w:rsid w:val="67F42206"/>
    <w:rsid w:val="683D0B85"/>
    <w:rsid w:val="6859024B"/>
    <w:rsid w:val="68636054"/>
    <w:rsid w:val="6889707C"/>
    <w:rsid w:val="68914153"/>
    <w:rsid w:val="68920C43"/>
    <w:rsid w:val="68A0408F"/>
    <w:rsid w:val="68AB04A4"/>
    <w:rsid w:val="68BC6927"/>
    <w:rsid w:val="68C06D09"/>
    <w:rsid w:val="68D15127"/>
    <w:rsid w:val="68E1674A"/>
    <w:rsid w:val="68EF2603"/>
    <w:rsid w:val="69025AEA"/>
    <w:rsid w:val="69072D46"/>
    <w:rsid w:val="692C4039"/>
    <w:rsid w:val="692D5F29"/>
    <w:rsid w:val="692E2855"/>
    <w:rsid w:val="695D40C5"/>
    <w:rsid w:val="69731484"/>
    <w:rsid w:val="69757FA5"/>
    <w:rsid w:val="69835459"/>
    <w:rsid w:val="6994351D"/>
    <w:rsid w:val="699B55F7"/>
    <w:rsid w:val="69CA04A8"/>
    <w:rsid w:val="69D9013F"/>
    <w:rsid w:val="69F741A2"/>
    <w:rsid w:val="69FE6E97"/>
    <w:rsid w:val="6A185E40"/>
    <w:rsid w:val="6A1C73EF"/>
    <w:rsid w:val="6A1D5127"/>
    <w:rsid w:val="6A3949FB"/>
    <w:rsid w:val="6A457C16"/>
    <w:rsid w:val="6A550048"/>
    <w:rsid w:val="6A6857B4"/>
    <w:rsid w:val="6A6B5D71"/>
    <w:rsid w:val="6A8E0CFE"/>
    <w:rsid w:val="6AA81A91"/>
    <w:rsid w:val="6AC41808"/>
    <w:rsid w:val="6AE0238F"/>
    <w:rsid w:val="6AF46091"/>
    <w:rsid w:val="6B195886"/>
    <w:rsid w:val="6B447524"/>
    <w:rsid w:val="6B854DB8"/>
    <w:rsid w:val="6BA05817"/>
    <w:rsid w:val="6BEE1234"/>
    <w:rsid w:val="6C0C10C6"/>
    <w:rsid w:val="6C1A02D9"/>
    <w:rsid w:val="6C1F4FB5"/>
    <w:rsid w:val="6C385E5A"/>
    <w:rsid w:val="6C4E481F"/>
    <w:rsid w:val="6C5C7602"/>
    <w:rsid w:val="6C5E67E5"/>
    <w:rsid w:val="6C867BD8"/>
    <w:rsid w:val="6C897CC8"/>
    <w:rsid w:val="6C8D7504"/>
    <w:rsid w:val="6C8E7FF3"/>
    <w:rsid w:val="6CA32D3B"/>
    <w:rsid w:val="6CB055BD"/>
    <w:rsid w:val="6CB56456"/>
    <w:rsid w:val="6CB95002"/>
    <w:rsid w:val="6CCC3A0B"/>
    <w:rsid w:val="6CCF41D4"/>
    <w:rsid w:val="6CE5509D"/>
    <w:rsid w:val="6CEA61B3"/>
    <w:rsid w:val="6D1022EC"/>
    <w:rsid w:val="6D113871"/>
    <w:rsid w:val="6D1B703E"/>
    <w:rsid w:val="6D2546CA"/>
    <w:rsid w:val="6D2C4E96"/>
    <w:rsid w:val="6D2F429A"/>
    <w:rsid w:val="6D445346"/>
    <w:rsid w:val="6D4C40EA"/>
    <w:rsid w:val="6D535020"/>
    <w:rsid w:val="6D6479C3"/>
    <w:rsid w:val="6D857BC4"/>
    <w:rsid w:val="6D954F12"/>
    <w:rsid w:val="6DAC0736"/>
    <w:rsid w:val="6DB93DFC"/>
    <w:rsid w:val="6DCD71EF"/>
    <w:rsid w:val="6DCF0384"/>
    <w:rsid w:val="6DD742F7"/>
    <w:rsid w:val="6DDA142E"/>
    <w:rsid w:val="6DE27BA2"/>
    <w:rsid w:val="6DF712F5"/>
    <w:rsid w:val="6E47267B"/>
    <w:rsid w:val="6E540736"/>
    <w:rsid w:val="6E601F9E"/>
    <w:rsid w:val="6E6925E9"/>
    <w:rsid w:val="6E916B4D"/>
    <w:rsid w:val="6EBD2E31"/>
    <w:rsid w:val="6EC707CC"/>
    <w:rsid w:val="6EE710C0"/>
    <w:rsid w:val="6EED4691"/>
    <w:rsid w:val="6F037511"/>
    <w:rsid w:val="6F087CC4"/>
    <w:rsid w:val="6F1268A1"/>
    <w:rsid w:val="6F151728"/>
    <w:rsid w:val="6F23376B"/>
    <w:rsid w:val="6F3D79B6"/>
    <w:rsid w:val="6F664487"/>
    <w:rsid w:val="6F6E474D"/>
    <w:rsid w:val="6F6F3E14"/>
    <w:rsid w:val="6F830F20"/>
    <w:rsid w:val="6F8664ED"/>
    <w:rsid w:val="6FC337BC"/>
    <w:rsid w:val="6FC47F24"/>
    <w:rsid w:val="6FC667B7"/>
    <w:rsid w:val="6FD04AE8"/>
    <w:rsid w:val="6FD33091"/>
    <w:rsid w:val="6FDC162A"/>
    <w:rsid w:val="6FDC44E0"/>
    <w:rsid w:val="6FDD6525"/>
    <w:rsid w:val="6FE30F1E"/>
    <w:rsid w:val="6FF9505C"/>
    <w:rsid w:val="703A3132"/>
    <w:rsid w:val="703A3AFA"/>
    <w:rsid w:val="703A4681"/>
    <w:rsid w:val="70457B12"/>
    <w:rsid w:val="707E05D0"/>
    <w:rsid w:val="70811B26"/>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609F9"/>
    <w:rsid w:val="715765A8"/>
    <w:rsid w:val="717552D6"/>
    <w:rsid w:val="7181116E"/>
    <w:rsid w:val="71A06F30"/>
    <w:rsid w:val="71C85D97"/>
    <w:rsid w:val="71DF1321"/>
    <w:rsid w:val="72190478"/>
    <w:rsid w:val="721D327C"/>
    <w:rsid w:val="722C7603"/>
    <w:rsid w:val="72352E2A"/>
    <w:rsid w:val="723751A3"/>
    <w:rsid w:val="725B3487"/>
    <w:rsid w:val="726308E2"/>
    <w:rsid w:val="726B400C"/>
    <w:rsid w:val="726E6079"/>
    <w:rsid w:val="72744F0E"/>
    <w:rsid w:val="72785D98"/>
    <w:rsid w:val="729B5B36"/>
    <w:rsid w:val="72B35287"/>
    <w:rsid w:val="72C30A05"/>
    <w:rsid w:val="72C31732"/>
    <w:rsid w:val="72E57670"/>
    <w:rsid w:val="72E849C4"/>
    <w:rsid w:val="72FF46E8"/>
    <w:rsid w:val="7309711B"/>
    <w:rsid w:val="7318135E"/>
    <w:rsid w:val="732348BD"/>
    <w:rsid w:val="73470B82"/>
    <w:rsid w:val="73556C95"/>
    <w:rsid w:val="735D56FE"/>
    <w:rsid w:val="736639D2"/>
    <w:rsid w:val="736C5E03"/>
    <w:rsid w:val="73A6170B"/>
    <w:rsid w:val="73D42779"/>
    <w:rsid w:val="73DD51A0"/>
    <w:rsid w:val="73E5115F"/>
    <w:rsid w:val="73F05C68"/>
    <w:rsid w:val="73FB6E93"/>
    <w:rsid w:val="73FF497F"/>
    <w:rsid w:val="7410293E"/>
    <w:rsid w:val="74176E58"/>
    <w:rsid w:val="74267DF1"/>
    <w:rsid w:val="742817A0"/>
    <w:rsid w:val="74355268"/>
    <w:rsid w:val="745A3FA1"/>
    <w:rsid w:val="745A54CE"/>
    <w:rsid w:val="747353EF"/>
    <w:rsid w:val="747B608F"/>
    <w:rsid w:val="74974E4F"/>
    <w:rsid w:val="749A6BDF"/>
    <w:rsid w:val="74A521A7"/>
    <w:rsid w:val="74AF0D4A"/>
    <w:rsid w:val="74BE2458"/>
    <w:rsid w:val="74C10DD9"/>
    <w:rsid w:val="74C33E4E"/>
    <w:rsid w:val="74C45CA6"/>
    <w:rsid w:val="74D359E3"/>
    <w:rsid w:val="74DB0660"/>
    <w:rsid w:val="74F75D5F"/>
    <w:rsid w:val="75080509"/>
    <w:rsid w:val="751520A8"/>
    <w:rsid w:val="7532425C"/>
    <w:rsid w:val="7543351B"/>
    <w:rsid w:val="755620AE"/>
    <w:rsid w:val="756056DD"/>
    <w:rsid w:val="75844AE0"/>
    <w:rsid w:val="758516A6"/>
    <w:rsid w:val="759762C9"/>
    <w:rsid w:val="7598328E"/>
    <w:rsid w:val="75986D1A"/>
    <w:rsid w:val="759D618A"/>
    <w:rsid w:val="75A97067"/>
    <w:rsid w:val="75AE319A"/>
    <w:rsid w:val="75B11ED2"/>
    <w:rsid w:val="75B24EF7"/>
    <w:rsid w:val="75BF1E0A"/>
    <w:rsid w:val="75CC0C58"/>
    <w:rsid w:val="75D51F38"/>
    <w:rsid w:val="75DF7A1C"/>
    <w:rsid w:val="762A110B"/>
    <w:rsid w:val="762F41B1"/>
    <w:rsid w:val="76355800"/>
    <w:rsid w:val="763F7CD2"/>
    <w:rsid w:val="7646502B"/>
    <w:rsid w:val="76520811"/>
    <w:rsid w:val="7653028C"/>
    <w:rsid w:val="766742B8"/>
    <w:rsid w:val="76802AA6"/>
    <w:rsid w:val="7698687A"/>
    <w:rsid w:val="769B6DFE"/>
    <w:rsid w:val="76AC0DE3"/>
    <w:rsid w:val="76AC2FAB"/>
    <w:rsid w:val="76C555D2"/>
    <w:rsid w:val="77115B9B"/>
    <w:rsid w:val="7721368A"/>
    <w:rsid w:val="773027D1"/>
    <w:rsid w:val="773B1476"/>
    <w:rsid w:val="77401D44"/>
    <w:rsid w:val="77422BFC"/>
    <w:rsid w:val="775E6259"/>
    <w:rsid w:val="77606B82"/>
    <w:rsid w:val="7784439D"/>
    <w:rsid w:val="7790268A"/>
    <w:rsid w:val="7796561D"/>
    <w:rsid w:val="77BF11BB"/>
    <w:rsid w:val="77C807D0"/>
    <w:rsid w:val="77D914A6"/>
    <w:rsid w:val="77F33EA5"/>
    <w:rsid w:val="77F57B49"/>
    <w:rsid w:val="77FC726A"/>
    <w:rsid w:val="78015423"/>
    <w:rsid w:val="78065E21"/>
    <w:rsid w:val="78092026"/>
    <w:rsid w:val="7825083A"/>
    <w:rsid w:val="78337982"/>
    <w:rsid w:val="78443A4F"/>
    <w:rsid w:val="785B5E7F"/>
    <w:rsid w:val="786F030A"/>
    <w:rsid w:val="78974E9C"/>
    <w:rsid w:val="78AD3A04"/>
    <w:rsid w:val="78AE50CC"/>
    <w:rsid w:val="78C2184C"/>
    <w:rsid w:val="79070BEF"/>
    <w:rsid w:val="79084E2A"/>
    <w:rsid w:val="790C6BE5"/>
    <w:rsid w:val="79304A13"/>
    <w:rsid w:val="79423DE2"/>
    <w:rsid w:val="795466FB"/>
    <w:rsid w:val="796171A5"/>
    <w:rsid w:val="797352EE"/>
    <w:rsid w:val="797C46A7"/>
    <w:rsid w:val="797F058B"/>
    <w:rsid w:val="79983DBB"/>
    <w:rsid w:val="799E3886"/>
    <w:rsid w:val="79AB3CFB"/>
    <w:rsid w:val="79AC51A9"/>
    <w:rsid w:val="79AC5821"/>
    <w:rsid w:val="79B4774B"/>
    <w:rsid w:val="79B93659"/>
    <w:rsid w:val="79D66388"/>
    <w:rsid w:val="79ED09E8"/>
    <w:rsid w:val="79FA3CE1"/>
    <w:rsid w:val="7A200DCD"/>
    <w:rsid w:val="7A2A3475"/>
    <w:rsid w:val="7A51609D"/>
    <w:rsid w:val="7A7A449B"/>
    <w:rsid w:val="7A8A3D33"/>
    <w:rsid w:val="7A9D1AF2"/>
    <w:rsid w:val="7AA049F7"/>
    <w:rsid w:val="7AAB1305"/>
    <w:rsid w:val="7AB33BBE"/>
    <w:rsid w:val="7AC5733B"/>
    <w:rsid w:val="7ACD5297"/>
    <w:rsid w:val="7AD73021"/>
    <w:rsid w:val="7ADC47C3"/>
    <w:rsid w:val="7AE658A6"/>
    <w:rsid w:val="7AE75F94"/>
    <w:rsid w:val="7AF028DE"/>
    <w:rsid w:val="7AFD2567"/>
    <w:rsid w:val="7B330527"/>
    <w:rsid w:val="7B3D7962"/>
    <w:rsid w:val="7B3E5193"/>
    <w:rsid w:val="7B681689"/>
    <w:rsid w:val="7B76061B"/>
    <w:rsid w:val="7BAD023F"/>
    <w:rsid w:val="7BB65DD0"/>
    <w:rsid w:val="7BBB055C"/>
    <w:rsid w:val="7BBD4F47"/>
    <w:rsid w:val="7BC1580A"/>
    <w:rsid w:val="7BDB07B3"/>
    <w:rsid w:val="7C0844BB"/>
    <w:rsid w:val="7C3519A7"/>
    <w:rsid w:val="7C467E54"/>
    <w:rsid w:val="7C504E5F"/>
    <w:rsid w:val="7C636D7B"/>
    <w:rsid w:val="7C66727A"/>
    <w:rsid w:val="7C6D6003"/>
    <w:rsid w:val="7C87012C"/>
    <w:rsid w:val="7C8A5BC2"/>
    <w:rsid w:val="7CC448B2"/>
    <w:rsid w:val="7CC959C7"/>
    <w:rsid w:val="7CEF347D"/>
    <w:rsid w:val="7CF6186E"/>
    <w:rsid w:val="7CFE2AF1"/>
    <w:rsid w:val="7D047736"/>
    <w:rsid w:val="7D0A382D"/>
    <w:rsid w:val="7D11179C"/>
    <w:rsid w:val="7D2F4329"/>
    <w:rsid w:val="7D3704C0"/>
    <w:rsid w:val="7D414A16"/>
    <w:rsid w:val="7D4E5163"/>
    <w:rsid w:val="7D512740"/>
    <w:rsid w:val="7D7E6ECE"/>
    <w:rsid w:val="7D9C4976"/>
    <w:rsid w:val="7DAF3DF1"/>
    <w:rsid w:val="7DC7520F"/>
    <w:rsid w:val="7DDA3896"/>
    <w:rsid w:val="7DE13763"/>
    <w:rsid w:val="7DEC7CA4"/>
    <w:rsid w:val="7DF56D2F"/>
    <w:rsid w:val="7DFA2799"/>
    <w:rsid w:val="7E0B2A9C"/>
    <w:rsid w:val="7E0E6C77"/>
    <w:rsid w:val="7E1C414C"/>
    <w:rsid w:val="7E3048C1"/>
    <w:rsid w:val="7E515808"/>
    <w:rsid w:val="7E5704FB"/>
    <w:rsid w:val="7E5C3572"/>
    <w:rsid w:val="7E5E3D70"/>
    <w:rsid w:val="7E742EE1"/>
    <w:rsid w:val="7E830CAF"/>
    <w:rsid w:val="7E8B0B81"/>
    <w:rsid w:val="7E8F2D75"/>
    <w:rsid w:val="7EA454A5"/>
    <w:rsid w:val="7ED405DD"/>
    <w:rsid w:val="7EE1772D"/>
    <w:rsid w:val="7EF805C1"/>
    <w:rsid w:val="7F007CB5"/>
    <w:rsid w:val="7F162CCF"/>
    <w:rsid w:val="7F1718AA"/>
    <w:rsid w:val="7F3535AD"/>
    <w:rsid w:val="7F4B382D"/>
    <w:rsid w:val="7F51576B"/>
    <w:rsid w:val="7F5760BD"/>
    <w:rsid w:val="7F676991"/>
    <w:rsid w:val="7F6A322B"/>
    <w:rsid w:val="7F7A726C"/>
    <w:rsid w:val="7F892996"/>
    <w:rsid w:val="7F8F2E0F"/>
    <w:rsid w:val="7F9978A1"/>
    <w:rsid w:val="7F9C2283"/>
    <w:rsid w:val="7F9F5B66"/>
    <w:rsid w:val="7FA51862"/>
    <w:rsid w:val="7FB47F73"/>
    <w:rsid w:val="7FB61109"/>
    <w:rsid w:val="7FD75502"/>
    <w:rsid w:val="7FDC6271"/>
    <w:rsid w:val="7FF22503"/>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5"/>
    <w:unhideWhenUsed/>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3" w:lineRule="auto"/>
      <w:outlineLvl w:val="2"/>
    </w:pPr>
    <w:rPr>
      <w:b/>
      <w:sz w:val="28"/>
    </w:rPr>
  </w:style>
  <w:style w:type="paragraph" w:styleId="7">
    <w:name w:val="heading 4"/>
    <w:basedOn w:val="1"/>
    <w:next w:val="1"/>
    <w:qFormat/>
    <w:uiPriority w:val="0"/>
    <w:pPr>
      <w:keepNext/>
      <w:keepLines/>
      <w:jc w:val="left"/>
      <w:outlineLvl w:val="3"/>
    </w:pPr>
    <w:rPr>
      <w:rFonts w:hint="eastAsia" w:ascii="Arial" w:hAnsi="Arial" w:eastAsia="宋体" w:cs="Times New Roman"/>
      <w:b/>
      <w:sz w:val="32"/>
    </w:rPr>
  </w:style>
  <w:style w:type="paragraph" w:styleId="8">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黑体"/>
      <w:szCs w:val="22"/>
    </w:rPr>
  </w:style>
  <w:style w:type="paragraph" w:styleId="5">
    <w:name w:val="Normal Indent"/>
    <w:basedOn w:val="1"/>
    <w:qFormat/>
    <w:uiPriority w:val="0"/>
    <w:pPr>
      <w:ind w:firstLine="420"/>
    </w:pPr>
    <w:rPr>
      <w:rFonts w:ascii="Times New Roman" w:hAnsi="Times New Roman"/>
      <w:sz w:val="21"/>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hAnsi="Times New Roman"/>
    </w:rPr>
  </w:style>
  <w:style w:type="paragraph" w:styleId="11">
    <w:name w:val="Body Text Indent"/>
    <w:basedOn w:val="1"/>
    <w:qFormat/>
    <w:uiPriority w:val="0"/>
    <w:pPr>
      <w:spacing w:after="120" w:afterLines="0"/>
      <w:ind w:left="420" w:leftChars="200"/>
    </w:p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next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10"/>
    <w:unhideWhenUsed/>
    <w:qFormat/>
    <w:uiPriority w:val="99"/>
    <w:pPr>
      <w:ind w:firstLine="420" w:firstLineChars="100"/>
    </w:pPr>
  </w:style>
  <w:style w:type="paragraph" w:styleId="22">
    <w:name w:val="Body Text First Indent 2"/>
    <w:basedOn w:val="11"/>
    <w:qFormat/>
    <w:uiPriority w:val="0"/>
    <w:pPr>
      <w:tabs>
        <w:tab w:val="left" w:pos="4900"/>
      </w:tabs>
      <w:ind w:firstLine="420" w:firstLineChars="200"/>
    </w:p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rFonts w:ascii="宋体" w:hAnsi="宋体" w:eastAsia="宋体"/>
      <w:b/>
      <w:color w:val="0000FF"/>
      <w:kern w:val="2"/>
      <w:sz w:val="24"/>
      <w:szCs w:val="24"/>
      <w:u w:val="single"/>
      <w:lang w:val="en-US" w:eastAsia="zh-CN" w:bidi="ar-SA"/>
    </w:rPr>
  </w:style>
  <w:style w:type="character" w:styleId="32">
    <w:name w:val="HTML Code"/>
    <w:basedOn w:val="25"/>
    <w:qFormat/>
    <w:uiPriority w:val="0"/>
    <w:rPr>
      <w:rFonts w:hint="default" w:ascii="Menlo" w:hAnsi="Menlo" w:eastAsia="Menlo" w:cs="Menlo"/>
      <w:color w:val="C7254E"/>
      <w:sz w:val="21"/>
      <w:szCs w:val="21"/>
      <w:shd w:val="clear" w:color="auto" w:fill="F9F2F4"/>
    </w:rPr>
  </w:style>
  <w:style w:type="character" w:styleId="33">
    <w:name w:val="HTML Keyboard"/>
    <w:basedOn w:val="25"/>
    <w:qFormat/>
    <w:uiPriority w:val="0"/>
    <w:rPr>
      <w:rFonts w:ascii="Menlo" w:hAnsi="Menlo" w:eastAsia="Menlo" w:cs="Menlo"/>
      <w:color w:val="FFFFFF"/>
      <w:sz w:val="21"/>
      <w:szCs w:val="21"/>
      <w:shd w:val="clear" w:color="auto" w:fill="333333"/>
    </w:rPr>
  </w:style>
  <w:style w:type="character" w:styleId="34">
    <w:name w:val="HTML Sample"/>
    <w:basedOn w:val="25"/>
    <w:qFormat/>
    <w:uiPriority w:val="0"/>
    <w:rPr>
      <w:rFonts w:hint="default" w:ascii="Menlo" w:hAnsi="Menlo" w:eastAsia="Menlo" w:cs="Menlo"/>
      <w:sz w:val="21"/>
      <w:szCs w:val="21"/>
    </w:rPr>
  </w:style>
  <w:style w:type="paragraph" w:customStyle="1" w:styleId="35">
    <w:name w:val="正文缩进1"/>
    <w:basedOn w:val="1"/>
    <w:qFormat/>
    <w:uiPriority w:val="0"/>
    <w:pPr>
      <w:ind w:firstLine="420" w:firstLineChars="200"/>
    </w:pPr>
  </w:style>
  <w:style w:type="paragraph" w:customStyle="1" w:styleId="36">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7">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8">
    <w:name w:val="p15"/>
    <w:basedOn w:val="1"/>
    <w:qFormat/>
    <w:uiPriority w:val="99"/>
    <w:pPr>
      <w:widowControl/>
    </w:pPr>
    <w:rPr>
      <w:kern w:val="0"/>
      <w:sz w:val="21"/>
      <w:szCs w:val="21"/>
    </w:rPr>
  </w:style>
  <w:style w:type="paragraph" w:customStyle="1" w:styleId="39">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0">
    <w:name w:val="old"/>
    <w:basedOn w:val="25"/>
    <w:qFormat/>
    <w:uiPriority w:val="0"/>
    <w:rPr>
      <w:color w:val="999999"/>
    </w:rPr>
  </w:style>
  <w:style w:type="character" w:customStyle="1" w:styleId="41">
    <w:name w:val="hover3"/>
    <w:basedOn w:val="25"/>
    <w:qFormat/>
    <w:uiPriority w:val="0"/>
    <w:rPr>
      <w:shd w:val="clear" w:color="auto" w:fill="EEEEEE"/>
    </w:rPr>
  </w:style>
  <w:style w:type="character" w:customStyle="1" w:styleId="42">
    <w:name w:val="glyphicon4"/>
    <w:basedOn w:val="25"/>
    <w:qFormat/>
    <w:uiPriority w:val="0"/>
  </w:style>
  <w:style w:type="character" w:customStyle="1" w:styleId="43">
    <w:name w:val="hour_am"/>
    <w:basedOn w:val="25"/>
    <w:qFormat/>
    <w:uiPriority w:val="0"/>
  </w:style>
  <w:style w:type="character" w:customStyle="1" w:styleId="44">
    <w:name w:val="hour_pm"/>
    <w:basedOn w:val="25"/>
    <w:qFormat/>
    <w:uiPriority w:val="0"/>
  </w:style>
  <w:style w:type="character" w:customStyle="1" w:styleId="45">
    <w:name w:val="button"/>
    <w:basedOn w:val="25"/>
    <w:qFormat/>
    <w:uiPriority w:val="0"/>
  </w:style>
  <w:style w:type="character" w:customStyle="1" w:styleId="46">
    <w:name w:val="tmpztreemove_arrow"/>
    <w:basedOn w:val="25"/>
    <w:qFormat/>
    <w:uiPriority w:val="0"/>
    <w:rPr>
      <w:shd w:val="clear" w:color="auto" w:fill="FFFFFF"/>
    </w:rPr>
  </w:style>
  <w:style w:type="character" w:customStyle="1" w:styleId="47">
    <w:name w:val="indent"/>
    <w:basedOn w:val="25"/>
    <w:qFormat/>
    <w:uiPriority w:val="0"/>
  </w:style>
  <w:style w:type="paragraph" w:customStyle="1" w:styleId="48">
    <w:name w:val="title1"/>
    <w:basedOn w:val="1"/>
    <w:qFormat/>
    <w:uiPriority w:val="0"/>
    <w:pPr>
      <w:spacing w:before="150" w:line="450" w:lineRule="atLeast"/>
      <w:jc w:val="left"/>
    </w:pPr>
    <w:rPr>
      <w:rFonts w:cs="Times New Roman"/>
      <w:b/>
      <w:kern w:val="0"/>
      <w:szCs w:val="24"/>
    </w:rPr>
  </w:style>
  <w:style w:type="paragraph" w:customStyle="1" w:styleId="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List Paragraph"/>
    <w:basedOn w:val="1"/>
    <w:qFormat/>
    <w:uiPriority w:val="34"/>
    <w:pPr>
      <w:ind w:firstLine="420" w:firstLineChars="200"/>
    </w:pPr>
  </w:style>
  <w:style w:type="paragraph" w:customStyle="1" w:styleId="51">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2">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val="none" w:color="000000"/>
      <w:lang w:val="en-US" w:eastAsia="zh-CN" w:bidi="ar-SA"/>
    </w:rPr>
  </w:style>
  <w:style w:type="character" w:customStyle="1" w:styleId="53">
    <w:name w:val="NormalCharacter"/>
    <w:qFormat/>
    <w:uiPriority w:val="0"/>
  </w:style>
  <w:style w:type="paragraph" w:customStyle="1" w:styleId="54">
    <w:name w:val="Table Paragraph"/>
    <w:basedOn w:val="1"/>
    <w:qFormat/>
    <w:uiPriority w:val="1"/>
    <w:pPr>
      <w:autoSpaceDE w:val="0"/>
      <w:autoSpaceDN w:val="0"/>
      <w:spacing w:before="137"/>
      <w:ind w:left="108"/>
      <w:jc w:val="center"/>
    </w:pPr>
    <w:rPr>
      <w:rFonts w:ascii="宋体" w:hAnsi="宋体" w:cs="宋体"/>
      <w:kern w:val="0"/>
      <w:sz w:val="22"/>
      <w:szCs w:val="22"/>
      <w:lang w:val="zh-CN" w:bidi="zh-CN"/>
    </w:rPr>
  </w:style>
  <w:style w:type="paragraph" w:customStyle="1" w:styleId="5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
    <w:name w:val="彩色列表 - 强调文字颜色 11"/>
    <w:basedOn w:val="1"/>
    <w:qFormat/>
    <w:uiPriority w:val="34"/>
    <w:pPr>
      <w:ind w:firstLine="420" w:firstLineChars="200"/>
    </w:pPr>
    <w:rPr>
      <w:rFonts w:ascii="Calibri" w:hAnsi="Calibri"/>
      <w:szCs w:val="22"/>
    </w:rPr>
  </w:style>
  <w:style w:type="character" w:customStyle="1" w:styleId="57">
    <w:name w:val="font01"/>
    <w:basedOn w:val="25"/>
    <w:qFormat/>
    <w:uiPriority w:val="0"/>
    <w:rPr>
      <w:rFonts w:hint="default" w:ascii="Arial" w:hAnsi="Arial" w:cs="Arial"/>
      <w:color w:val="000000"/>
      <w:sz w:val="22"/>
      <w:szCs w:val="22"/>
      <w:u w:val="none"/>
    </w:rPr>
  </w:style>
  <w:style w:type="character" w:customStyle="1" w:styleId="58">
    <w:name w:val="font41"/>
    <w:basedOn w:val="25"/>
    <w:qFormat/>
    <w:uiPriority w:val="0"/>
    <w:rPr>
      <w:rFonts w:hint="default" w:ascii="Arial" w:hAnsi="Arial" w:cs="Arial"/>
      <w:color w:val="000000"/>
      <w:sz w:val="22"/>
      <w:szCs w:val="22"/>
      <w:u w:val="none"/>
    </w:rPr>
  </w:style>
  <w:style w:type="character" w:customStyle="1" w:styleId="59">
    <w:name w:val="font101"/>
    <w:basedOn w:val="25"/>
    <w:qFormat/>
    <w:uiPriority w:val="0"/>
    <w:rPr>
      <w:rFonts w:ascii="Arial" w:hAnsi="Arial" w:cs="Arial"/>
      <w:color w:val="000000"/>
      <w:sz w:val="20"/>
      <w:szCs w:val="20"/>
      <w:u w:val="none"/>
    </w:rPr>
  </w:style>
  <w:style w:type="character" w:customStyle="1" w:styleId="60">
    <w:name w:val="font61"/>
    <w:basedOn w:val="25"/>
    <w:qFormat/>
    <w:uiPriority w:val="0"/>
    <w:rPr>
      <w:rFonts w:hint="eastAsia" w:ascii="仿宋" w:hAnsi="仿宋" w:eastAsia="仿宋" w:cs="仿宋"/>
      <w:color w:val="000000"/>
      <w:sz w:val="20"/>
      <w:szCs w:val="20"/>
      <w:u w:val="none"/>
    </w:rPr>
  </w:style>
  <w:style w:type="paragraph" w:customStyle="1" w:styleId="6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2">
    <w:name w:val="标题 5（有编号）（绿盟科技）"/>
    <w:basedOn w:val="1"/>
    <w:next w:val="63"/>
    <w:qFormat/>
    <w:uiPriority w:val="0"/>
    <w:pPr>
      <w:keepNext/>
      <w:keepLines/>
      <w:numPr>
        <w:ilvl w:val="4"/>
        <w:numId w:val="1"/>
      </w:numPr>
      <w:spacing w:before="280" w:after="156" w:line="377" w:lineRule="auto"/>
      <w:outlineLvl w:val="4"/>
    </w:pPr>
    <w:rPr>
      <w:rFonts w:eastAsia="黑体"/>
      <w:b/>
      <w:szCs w:val="28"/>
    </w:rPr>
  </w:style>
  <w:style w:type="paragraph" w:customStyle="1" w:styleId="63">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4">
    <w:name w:val="font11"/>
    <w:basedOn w:val="25"/>
    <w:qFormat/>
    <w:uiPriority w:val="0"/>
    <w:rPr>
      <w:rFonts w:hint="eastAsia" w:ascii="宋体" w:hAnsi="宋体" w:eastAsia="宋体" w:cs="宋体"/>
      <w:color w:val="000000"/>
      <w:sz w:val="22"/>
      <w:szCs w:val="22"/>
      <w:u w:val="none"/>
    </w:rPr>
  </w:style>
  <w:style w:type="character" w:customStyle="1" w:styleId="65">
    <w:name w:val="nth-of-type(1)"/>
    <w:basedOn w:val="25"/>
    <w:qFormat/>
    <w:uiPriority w:val="0"/>
  </w:style>
  <w:style w:type="character" w:customStyle="1" w:styleId="66">
    <w:name w:val="nth-of-type(1)1"/>
    <w:basedOn w:val="25"/>
    <w:qFormat/>
    <w:uiPriority w:val="0"/>
  </w:style>
  <w:style w:type="character" w:customStyle="1" w:styleId="67">
    <w:name w:val="nth-of-type(1)2"/>
    <w:basedOn w:val="25"/>
    <w:qFormat/>
    <w:uiPriority w:val="0"/>
  </w:style>
  <w:style w:type="character" w:customStyle="1" w:styleId="68">
    <w:name w:val="nth-of-type(1)3"/>
    <w:basedOn w:val="25"/>
    <w:qFormat/>
    <w:uiPriority w:val="0"/>
  </w:style>
  <w:style w:type="character" w:customStyle="1" w:styleId="69">
    <w:name w:val="nth-of-type(1)4"/>
    <w:basedOn w:val="25"/>
    <w:qFormat/>
    <w:uiPriority w:val="0"/>
  </w:style>
  <w:style w:type="character" w:customStyle="1" w:styleId="70">
    <w:name w:val="nth-of-type(1)5"/>
    <w:basedOn w:val="25"/>
    <w:qFormat/>
    <w:uiPriority w:val="0"/>
  </w:style>
  <w:style w:type="character" w:customStyle="1" w:styleId="71">
    <w:name w:val="nth-of-type(1)6"/>
    <w:basedOn w:val="25"/>
    <w:qFormat/>
    <w:uiPriority w:val="0"/>
    <w:rPr>
      <w:rFonts w:ascii="SourceHanSansCN-Regular" w:hAnsi="SourceHanSansCN-Regular" w:eastAsia="SourceHanSansCN-Regular" w:cs="SourceHanSansCN-Regular"/>
      <w:color w:val="FB560A"/>
      <w:sz w:val="21"/>
      <w:szCs w:val="21"/>
    </w:rPr>
  </w:style>
  <w:style w:type="character" w:customStyle="1" w:styleId="72">
    <w:name w:val="nth-of-type(1)7"/>
    <w:basedOn w:val="25"/>
    <w:qFormat/>
    <w:uiPriority w:val="0"/>
  </w:style>
  <w:style w:type="character" w:customStyle="1" w:styleId="73">
    <w:name w:val="nth-of-type(1)8"/>
    <w:basedOn w:val="25"/>
    <w:qFormat/>
    <w:uiPriority w:val="0"/>
  </w:style>
  <w:style w:type="character" w:customStyle="1" w:styleId="74">
    <w:name w:val="nth-of-type(1)9"/>
    <w:basedOn w:val="25"/>
    <w:qFormat/>
    <w:uiPriority w:val="0"/>
  </w:style>
  <w:style w:type="character" w:customStyle="1" w:styleId="75">
    <w:name w:val="nth-of-type(1)10"/>
    <w:basedOn w:val="25"/>
    <w:qFormat/>
    <w:uiPriority w:val="0"/>
  </w:style>
  <w:style w:type="character" w:customStyle="1" w:styleId="76">
    <w:name w:val="nth-of-type(1)11"/>
    <w:basedOn w:val="25"/>
    <w:qFormat/>
    <w:uiPriority w:val="0"/>
  </w:style>
  <w:style w:type="character" w:customStyle="1" w:styleId="77">
    <w:name w:val="nth-of-type(1)12"/>
    <w:basedOn w:val="25"/>
    <w:qFormat/>
    <w:uiPriority w:val="0"/>
  </w:style>
  <w:style w:type="character" w:customStyle="1" w:styleId="78">
    <w:name w:val="nth-of-type(1)13"/>
    <w:basedOn w:val="25"/>
    <w:qFormat/>
    <w:uiPriority w:val="0"/>
    <w:rPr>
      <w:sz w:val="21"/>
      <w:szCs w:val="21"/>
    </w:rPr>
  </w:style>
  <w:style w:type="character" w:customStyle="1" w:styleId="79">
    <w:name w:val="nth-of-type(1)14"/>
    <w:basedOn w:val="25"/>
    <w:qFormat/>
    <w:uiPriority w:val="0"/>
  </w:style>
  <w:style w:type="character" w:customStyle="1" w:styleId="80">
    <w:name w:val="nth-of-type(1)15"/>
    <w:basedOn w:val="25"/>
    <w:qFormat/>
    <w:uiPriority w:val="0"/>
  </w:style>
  <w:style w:type="character" w:customStyle="1" w:styleId="81">
    <w:name w:val="nth-of-type(1)16"/>
    <w:basedOn w:val="25"/>
    <w:qFormat/>
    <w:uiPriority w:val="0"/>
  </w:style>
  <w:style w:type="character" w:customStyle="1" w:styleId="82">
    <w:name w:val="nth-of-type(1)17"/>
    <w:basedOn w:val="25"/>
    <w:qFormat/>
    <w:uiPriority w:val="0"/>
  </w:style>
  <w:style w:type="character" w:customStyle="1" w:styleId="83">
    <w:name w:val="nth-of-type(1)18"/>
    <w:basedOn w:val="25"/>
    <w:qFormat/>
    <w:uiPriority w:val="0"/>
  </w:style>
  <w:style w:type="character" w:customStyle="1" w:styleId="84">
    <w:name w:val="hover25"/>
    <w:basedOn w:val="25"/>
    <w:qFormat/>
    <w:uiPriority w:val="0"/>
    <w:rPr>
      <w:color w:val="167AE0"/>
    </w:rPr>
  </w:style>
  <w:style w:type="character" w:customStyle="1" w:styleId="85">
    <w:name w:val="layui-this"/>
    <w:basedOn w:val="25"/>
    <w:qFormat/>
    <w:uiPriority w:val="0"/>
    <w:rPr>
      <w:bdr w:val="single" w:color="EEEEEE" w:sz="6" w:space="0"/>
      <w:shd w:val="clear" w:fill="FFFFFF"/>
    </w:rPr>
  </w:style>
  <w:style w:type="character" w:customStyle="1" w:styleId="86">
    <w:name w:val="nth-of-type(5)"/>
    <w:basedOn w:val="25"/>
    <w:qFormat/>
    <w:uiPriority w:val="0"/>
  </w:style>
  <w:style w:type="character" w:customStyle="1" w:styleId="87">
    <w:name w:val="nth-of-type(5)1"/>
    <w:basedOn w:val="25"/>
    <w:qFormat/>
    <w:uiPriority w:val="0"/>
  </w:style>
  <w:style w:type="character" w:customStyle="1" w:styleId="88">
    <w:name w:val="nth-of-type(5)2"/>
    <w:basedOn w:val="25"/>
    <w:qFormat/>
    <w:uiPriority w:val="0"/>
  </w:style>
  <w:style w:type="character" w:customStyle="1" w:styleId="89">
    <w:name w:val="nth-of-type(5)3"/>
    <w:basedOn w:val="25"/>
    <w:qFormat/>
    <w:uiPriority w:val="0"/>
  </w:style>
  <w:style w:type="character" w:customStyle="1" w:styleId="90">
    <w:name w:val="nth-of-type(5)4"/>
    <w:basedOn w:val="25"/>
    <w:qFormat/>
    <w:uiPriority w:val="0"/>
    <w:rPr>
      <w:sz w:val="21"/>
      <w:szCs w:val="21"/>
    </w:rPr>
  </w:style>
  <w:style w:type="character" w:customStyle="1" w:styleId="91">
    <w:name w:val="nth-of-type(5)5"/>
    <w:basedOn w:val="25"/>
    <w:qFormat/>
    <w:uiPriority w:val="0"/>
  </w:style>
  <w:style w:type="character" w:customStyle="1" w:styleId="92">
    <w:name w:val="nth-of-type(5)6"/>
    <w:basedOn w:val="25"/>
    <w:qFormat/>
    <w:uiPriority w:val="0"/>
  </w:style>
  <w:style w:type="character" w:customStyle="1" w:styleId="93">
    <w:name w:val="nth-of-type(2)"/>
    <w:basedOn w:val="25"/>
    <w:qFormat/>
    <w:uiPriority w:val="0"/>
  </w:style>
  <w:style w:type="character" w:customStyle="1" w:styleId="94">
    <w:name w:val="nth-of-type(2)1"/>
    <w:basedOn w:val="25"/>
    <w:qFormat/>
    <w:uiPriority w:val="0"/>
  </w:style>
  <w:style w:type="character" w:customStyle="1" w:styleId="95">
    <w:name w:val="nth-of-type(2)2"/>
    <w:basedOn w:val="25"/>
    <w:qFormat/>
    <w:uiPriority w:val="0"/>
  </w:style>
  <w:style w:type="character" w:customStyle="1" w:styleId="96">
    <w:name w:val="nth-of-type(2)3"/>
    <w:basedOn w:val="25"/>
    <w:qFormat/>
    <w:uiPriority w:val="0"/>
  </w:style>
  <w:style w:type="character" w:customStyle="1" w:styleId="97">
    <w:name w:val="nth-of-type(2)4"/>
    <w:basedOn w:val="25"/>
    <w:qFormat/>
    <w:uiPriority w:val="0"/>
  </w:style>
  <w:style w:type="character" w:customStyle="1" w:styleId="98">
    <w:name w:val="nth-of-type(2)5"/>
    <w:basedOn w:val="25"/>
    <w:qFormat/>
    <w:uiPriority w:val="0"/>
  </w:style>
  <w:style w:type="character" w:customStyle="1" w:styleId="99">
    <w:name w:val="nth-of-type(2)6"/>
    <w:basedOn w:val="25"/>
    <w:qFormat/>
    <w:uiPriority w:val="0"/>
  </w:style>
  <w:style w:type="character" w:customStyle="1" w:styleId="100">
    <w:name w:val="nth-of-type(2)7"/>
    <w:basedOn w:val="25"/>
    <w:qFormat/>
    <w:uiPriority w:val="0"/>
  </w:style>
  <w:style w:type="character" w:customStyle="1" w:styleId="101">
    <w:name w:val="nth-of-type(2)8"/>
    <w:basedOn w:val="25"/>
    <w:qFormat/>
    <w:uiPriority w:val="0"/>
  </w:style>
  <w:style w:type="character" w:customStyle="1" w:styleId="102">
    <w:name w:val="nth-of-type(2)9"/>
    <w:basedOn w:val="25"/>
    <w:qFormat/>
    <w:uiPriority w:val="0"/>
  </w:style>
  <w:style w:type="character" w:customStyle="1" w:styleId="103">
    <w:name w:val="nth-of-type(2)10"/>
    <w:basedOn w:val="25"/>
    <w:qFormat/>
    <w:uiPriority w:val="0"/>
    <w:rPr>
      <w:sz w:val="21"/>
      <w:szCs w:val="21"/>
    </w:rPr>
  </w:style>
  <w:style w:type="character" w:customStyle="1" w:styleId="104">
    <w:name w:val="nth-of-type(2)11"/>
    <w:basedOn w:val="25"/>
    <w:qFormat/>
    <w:uiPriority w:val="0"/>
  </w:style>
  <w:style w:type="character" w:customStyle="1" w:styleId="105">
    <w:name w:val="nth-of-type(2)12"/>
    <w:basedOn w:val="25"/>
    <w:qFormat/>
    <w:uiPriority w:val="0"/>
  </w:style>
  <w:style w:type="character" w:customStyle="1" w:styleId="106">
    <w:name w:val="nth-of-type(2)13"/>
    <w:basedOn w:val="25"/>
    <w:qFormat/>
    <w:uiPriority w:val="0"/>
  </w:style>
  <w:style w:type="character" w:customStyle="1" w:styleId="107">
    <w:name w:val="nth-of-type(2)14"/>
    <w:basedOn w:val="25"/>
    <w:qFormat/>
    <w:uiPriority w:val="0"/>
  </w:style>
  <w:style w:type="character" w:customStyle="1" w:styleId="108">
    <w:name w:val="before2"/>
    <w:basedOn w:val="25"/>
    <w:qFormat/>
    <w:uiPriority w:val="0"/>
    <w:rPr>
      <w:shd w:val="clear" w:fill="C20E0C"/>
    </w:rPr>
  </w:style>
  <w:style w:type="character" w:customStyle="1" w:styleId="109">
    <w:name w:val="nth-of-type(4)"/>
    <w:basedOn w:val="25"/>
    <w:qFormat/>
    <w:uiPriority w:val="0"/>
  </w:style>
  <w:style w:type="character" w:customStyle="1" w:styleId="110">
    <w:name w:val="nth-of-type(4)1"/>
    <w:basedOn w:val="25"/>
    <w:qFormat/>
    <w:uiPriority w:val="0"/>
  </w:style>
  <w:style w:type="character" w:customStyle="1" w:styleId="111">
    <w:name w:val="nth-of-type(4)2"/>
    <w:basedOn w:val="25"/>
    <w:qFormat/>
    <w:uiPriority w:val="0"/>
  </w:style>
  <w:style w:type="character" w:customStyle="1" w:styleId="112">
    <w:name w:val="nth-of-type(4)3"/>
    <w:basedOn w:val="25"/>
    <w:qFormat/>
    <w:uiPriority w:val="0"/>
  </w:style>
  <w:style w:type="character" w:customStyle="1" w:styleId="113">
    <w:name w:val="nth-of-type(4)4"/>
    <w:basedOn w:val="25"/>
    <w:qFormat/>
    <w:uiPriority w:val="0"/>
    <w:rPr>
      <w:sz w:val="21"/>
      <w:szCs w:val="21"/>
    </w:rPr>
  </w:style>
  <w:style w:type="character" w:customStyle="1" w:styleId="114">
    <w:name w:val="nth-of-type(4)5"/>
    <w:basedOn w:val="25"/>
    <w:qFormat/>
    <w:uiPriority w:val="0"/>
  </w:style>
  <w:style w:type="character" w:customStyle="1" w:styleId="115">
    <w:name w:val="nth-of-type(4)6"/>
    <w:basedOn w:val="25"/>
    <w:qFormat/>
    <w:uiPriority w:val="0"/>
  </w:style>
  <w:style w:type="character" w:customStyle="1" w:styleId="116">
    <w:name w:val="nth-of-type(4)7"/>
    <w:basedOn w:val="25"/>
    <w:qFormat/>
    <w:uiPriority w:val="0"/>
  </w:style>
  <w:style w:type="character" w:customStyle="1" w:styleId="117">
    <w:name w:val="nth-of-type(4)8"/>
    <w:basedOn w:val="25"/>
    <w:qFormat/>
    <w:uiPriority w:val="0"/>
  </w:style>
  <w:style w:type="character" w:customStyle="1" w:styleId="118">
    <w:name w:val="nth-of-type(6)"/>
    <w:basedOn w:val="25"/>
    <w:qFormat/>
    <w:uiPriority w:val="0"/>
  </w:style>
  <w:style w:type="character" w:customStyle="1" w:styleId="119">
    <w:name w:val="nth-of-type(6)1"/>
    <w:basedOn w:val="25"/>
    <w:qFormat/>
    <w:uiPriority w:val="0"/>
    <w:rPr>
      <w:color w:val="0082DF"/>
    </w:rPr>
  </w:style>
  <w:style w:type="character" w:customStyle="1" w:styleId="120">
    <w:name w:val="nth-of-type(6)2"/>
    <w:basedOn w:val="25"/>
    <w:qFormat/>
    <w:uiPriority w:val="0"/>
  </w:style>
  <w:style w:type="character" w:customStyle="1" w:styleId="121">
    <w:name w:val="nth-of-type(6)3"/>
    <w:basedOn w:val="25"/>
    <w:qFormat/>
    <w:uiPriority w:val="0"/>
  </w:style>
  <w:style w:type="character" w:customStyle="1" w:styleId="122">
    <w:name w:val="nth-of-type(6)4"/>
    <w:basedOn w:val="25"/>
    <w:qFormat/>
    <w:uiPriority w:val="0"/>
  </w:style>
  <w:style w:type="character" w:customStyle="1" w:styleId="123">
    <w:name w:val="nth-of-type(6)5"/>
    <w:basedOn w:val="25"/>
    <w:qFormat/>
    <w:uiPriority w:val="0"/>
  </w:style>
  <w:style w:type="character" w:customStyle="1" w:styleId="124">
    <w:name w:val="nth-of-type(8)"/>
    <w:basedOn w:val="25"/>
    <w:qFormat/>
    <w:uiPriority w:val="0"/>
  </w:style>
  <w:style w:type="character" w:customStyle="1" w:styleId="125">
    <w:name w:val="lineshow"/>
    <w:basedOn w:val="25"/>
    <w:qFormat/>
    <w:uiPriority w:val="0"/>
  </w:style>
  <w:style w:type="character" w:customStyle="1" w:styleId="126">
    <w:name w:val="lineshow1"/>
    <w:basedOn w:val="25"/>
    <w:qFormat/>
    <w:uiPriority w:val="0"/>
  </w:style>
  <w:style w:type="character" w:customStyle="1" w:styleId="127">
    <w:name w:val="nth-child(3)"/>
    <w:basedOn w:val="25"/>
    <w:qFormat/>
    <w:uiPriority w:val="0"/>
  </w:style>
  <w:style w:type="character" w:customStyle="1" w:styleId="128">
    <w:name w:val="nth-of-type(7)"/>
    <w:basedOn w:val="25"/>
    <w:qFormat/>
    <w:uiPriority w:val="0"/>
  </w:style>
  <w:style w:type="character" w:customStyle="1" w:styleId="129">
    <w:name w:val="nth-of-type(7)1"/>
    <w:basedOn w:val="25"/>
    <w:qFormat/>
    <w:uiPriority w:val="0"/>
  </w:style>
  <w:style w:type="character" w:customStyle="1" w:styleId="130">
    <w:name w:val="nth-of-type(7)2"/>
    <w:basedOn w:val="25"/>
    <w:qFormat/>
    <w:uiPriority w:val="0"/>
  </w:style>
  <w:style w:type="character" w:customStyle="1" w:styleId="131">
    <w:name w:val="nth-of-type(3)"/>
    <w:basedOn w:val="25"/>
    <w:qFormat/>
    <w:uiPriority w:val="0"/>
  </w:style>
  <w:style w:type="character" w:customStyle="1" w:styleId="132">
    <w:name w:val="nth-of-type(3)1"/>
    <w:basedOn w:val="25"/>
    <w:qFormat/>
    <w:uiPriority w:val="0"/>
  </w:style>
  <w:style w:type="character" w:customStyle="1" w:styleId="133">
    <w:name w:val="nth-of-type(3)2"/>
    <w:basedOn w:val="25"/>
    <w:qFormat/>
    <w:uiPriority w:val="0"/>
  </w:style>
  <w:style w:type="character" w:customStyle="1" w:styleId="134">
    <w:name w:val="nth-of-type(3)3"/>
    <w:basedOn w:val="25"/>
    <w:qFormat/>
    <w:uiPriority w:val="0"/>
    <w:rPr>
      <w:sz w:val="21"/>
      <w:szCs w:val="21"/>
    </w:rPr>
  </w:style>
  <w:style w:type="character" w:customStyle="1" w:styleId="135">
    <w:name w:val="nth-of-type(3)4"/>
    <w:basedOn w:val="25"/>
    <w:qFormat/>
    <w:uiPriority w:val="0"/>
  </w:style>
  <w:style w:type="character" w:customStyle="1" w:styleId="136">
    <w:name w:val="nth-of-type(3)5"/>
    <w:basedOn w:val="25"/>
    <w:qFormat/>
    <w:uiPriority w:val="0"/>
  </w:style>
  <w:style w:type="character" w:customStyle="1" w:styleId="137">
    <w:name w:val="nth-of-type(3)6"/>
    <w:basedOn w:val="25"/>
    <w:qFormat/>
    <w:uiPriority w:val="0"/>
  </w:style>
  <w:style w:type="character" w:customStyle="1" w:styleId="138">
    <w:name w:val="nth-of-type(3)7"/>
    <w:basedOn w:val="25"/>
    <w:qFormat/>
    <w:uiPriority w:val="0"/>
  </w:style>
  <w:style w:type="character" w:customStyle="1" w:styleId="139">
    <w:name w:val="nth-of-type(9)"/>
    <w:basedOn w:val="25"/>
    <w:qFormat/>
    <w:uiPriority w:val="0"/>
  </w:style>
  <w:style w:type="character" w:customStyle="1" w:styleId="140">
    <w:name w:val="nth-of-type(10)"/>
    <w:basedOn w:val="25"/>
    <w:qFormat/>
    <w:uiPriority w:val="0"/>
  </w:style>
  <w:style w:type="character" w:customStyle="1" w:styleId="141">
    <w:name w:val="titleshow"/>
    <w:basedOn w:val="25"/>
    <w:qFormat/>
    <w:uiPriority w:val="0"/>
    <w:rPr>
      <w:color w:val="3E464C"/>
    </w:rPr>
  </w:style>
  <w:style w:type="character" w:customStyle="1" w:styleId="142">
    <w:name w:val="nth-child(2)"/>
    <w:basedOn w:val="25"/>
    <w:qFormat/>
    <w:uiPriority w:val="0"/>
  </w:style>
  <w:style w:type="character" w:customStyle="1" w:styleId="143">
    <w:name w:val="last-child1"/>
    <w:basedOn w:val="25"/>
    <w:qFormat/>
    <w:uiPriority w:val="0"/>
    <w:rPr>
      <w:color w:val="FFFFFF"/>
    </w:rPr>
  </w:style>
  <w:style w:type="character" w:customStyle="1" w:styleId="144">
    <w:name w:val="last-child2"/>
    <w:basedOn w:val="25"/>
    <w:qFormat/>
    <w:uiPriority w:val="0"/>
  </w:style>
  <w:style w:type="character" w:customStyle="1" w:styleId="145">
    <w:name w:val="last-child3"/>
    <w:basedOn w:val="25"/>
    <w:qFormat/>
    <w:uiPriority w:val="0"/>
  </w:style>
  <w:style w:type="character" w:customStyle="1" w:styleId="146">
    <w:name w:val="nth-child(1)"/>
    <w:basedOn w:val="25"/>
    <w:qFormat/>
    <w:uiPriority w:val="0"/>
  </w:style>
  <w:style w:type="character" w:customStyle="1" w:styleId="147">
    <w:name w:val="first-child1"/>
    <w:basedOn w:val="25"/>
    <w:qFormat/>
    <w:uiPriority w:val="0"/>
  </w:style>
  <w:style w:type="character" w:customStyle="1" w:styleId="148">
    <w:name w:val="first-child2"/>
    <w:basedOn w:val="25"/>
    <w:qFormat/>
    <w:uiPriority w:val="0"/>
  </w:style>
  <w:style w:type="character" w:customStyle="1" w:styleId="149">
    <w:name w:val="first-child3"/>
    <w:basedOn w:val="25"/>
    <w:qFormat/>
    <w:uiPriority w:val="0"/>
  </w:style>
  <w:style w:type="character" w:customStyle="1" w:styleId="150">
    <w:name w:val="first-child4"/>
    <w:basedOn w:val="25"/>
    <w:qFormat/>
    <w:uiPriority w:val="0"/>
  </w:style>
  <w:style w:type="character" w:customStyle="1" w:styleId="151">
    <w:name w:val="layui-laypage-curr"/>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9"/>
    <customShpInfo spid="_x0000_s2052"/>
    <customShpInfo spid="_x0000_s2051"/>
    <customShpInfo spid="_x0000_s2054"/>
    <customShpInfo spid="_x0000_s2053"/>
    <customShpInfo spid="_x0000_s2055" textRotate="1"/>
    <customShpInfo spid="_x0000_s2066" textRotate="1"/>
    <customShpInfo spid="_x0000_s2067" textRotate="1"/>
    <customShpInfo spid="_x0000_s2058" textRotate="1"/>
    <customShpInfo spid="_x0000_s1036"/>
    <customShpInfo spid="_x0000_s1026"/>
    <customShpInfo spid="_x0000_s1027"/>
    <customShpInfo spid="_x0000_s1037"/>
    <customShpInfo spid="_x0000_s1035"/>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94</Pages>
  <Words>40952</Words>
  <Characters>43056</Characters>
  <Lines>1</Lines>
  <Paragraphs>1</Paragraphs>
  <TotalTime>8</TotalTime>
  <ScaleCrop>false</ScaleCrop>
  <LinksUpToDate>false</LinksUpToDate>
  <CharactersWithSpaces>45629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2021-07-12T06:24:00Z</cp:lastPrinted>
  <dcterms:modified xsi:type="dcterms:W3CDTF">2022-06-29T03:24:42Z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E244BE1521F748C4B7CE0919B350EA60</vt:lpwstr>
  </property>
  <property fmtid="{D5CDD505-2E9C-101B-9397-08002B2CF9AE}" pid="4" name="commondata">
    <vt:lpwstr>eyJoZGlkIjoiZDA1NjllZTBmZjRkODQ4Yzg1ZWZjMzk1NDljZWE0OWQifQ==</vt:lpwstr>
  </property>
</Properties>
</file>