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ZMZB2022SZY-129</w:t>
      </w:r>
    </w:p>
    <w:p>
      <w:pPr>
        <w:tabs>
          <w:tab w:val="left" w:pos="2336"/>
        </w:tabs>
        <w:adjustRightInd w:val="0"/>
        <w:snapToGrid w:val="0"/>
        <w:spacing w:line="360" w:lineRule="auto"/>
        <w:rPr>
          <w:rFonts w:ascii="宋体" w:hAnsi="宋体" w:cs="宋体"/>
          <w:b/>
          <w:sz w:val="44"/>
          <w:szCs w:val="44"/>
        </w:rPr>
      </w:pPr>
      <w:r>
        <w:rPr>
          <w:rFonts w:hint="eastAsia" w:ascii="宋体" w:hAnsi="宋体" w:cs="宋体"/>
          <w:b/>
          <w:sz w:val="44"/>
          <w:szCs w:val="44"/>
        </w:rPr>
        <w:tab/>
      </w:r>
    </w:p>
    <w:p>
      <w:pPr>
        <w:adjustRightInd w:val="0"/>
        <w:snapToGrid w:val="0"/>
        <w:spacing w:line="360" w:lineRule="auto"/>
        <w:rPr>
          <w:rFonts w:ascii="宋体" w:hAnsi="宋体" w:cs="宋体"/>
          <w:b/>
          <w:sz w:val="10"/>
          <w:szCs w:val="10"/>
        </w:rPr>
      </w:pPr>
    </w:p>
    <w:p>
      <w:pPr>
        <w:adjustRightInd w:val="0"/>
        <w:snapToGrid w:val="0"/>
        <w:spacing w:line="360" w:lineRule="auto"/>
        <w:jc w:val="center"/>
        <w:rPr>
          <w:rFonts w:hint="eastAsia" w:ascii="宋体" w:hAnsi="宋体" w:cs="宋体"/>
          <w:b/>
          <w:sz w:val="56"/>
          <w:szCs w:val="56"/>
          <w:lang w:eastAsia="zh-CN"/>
        </w:rPr>
      </w:pPr>
      <w:r>
        <w:rPr>
          <w:rFonts w:hint="eastAsia" w:ascii="宋体" w:hAnsi="宋体" w:cs="宋体"/>
          <w:b/>
          <w:sz w:val="56"/>
          <w:szCs w:val="56"/>
          <w:lang w:eastAsia="zh-CN"/>
        </w:rPr>
        <w:t>陕西省中医医院</w:t>
      </w:r>
    </w:p>
    <w:p>
      <w:pPr>
        <w:adjustRightInd w:val="0"/>
        <w:snapToGrid w:val="0"/>
        <w:spacing w:line="360" w:lineRule="auto"/>
        <w:jc w:val="center"/>
        <w:rPr>
          <w:rFonts w:hint="eastAsia" w:ascii="宋体" w:hAnsi="宋体" w:cs="宋体"/>
          <w:b/>
          <w:sz w:val="56"/>
          <w:szCs w:val="56"/>
          <w:lang w:eastAsia="zh-CN"/>
        </w:rPr>
      </w:pPr>
      <w:r>
        <w:rPr>
          <w:rFonts w:hint="eastAsia" w:ascii="宋体" w:hAnsi="宋体" w:cs="宋体"/>
          <w:b/>
          <w:sz w:val="56"/>
          <w:szCs w:val="56"/>
          <w:lang w:eastAsia="zh-CN"/>
        </w:rPr>
        <w:t>国家中医紧急医学救援队伍能力</w:t>
      </w:r>
    </w:p>
    <w:p>
      <w:pPr>
        <w:adjustRightInd w:val="0"/>
        <w:snapToGrid w:val="0"/>
        <w:spacing w:line="360" w:lineRule="auto"/>
        <w:jc w:val="center"/>
        <w:rPr>
          <w:rFonts w:ascii="宋体" w:hAnsi="宋体" w:cs="宋体"/>
          <w:b/>
          <w:i/>
          <w:sz w:val="48"/>
        </w:rPr>
      </w:pPr>
      <w:r>
        <w:rPr>
          <w:rFonts w:hint="eastAsia" w:ascii="宋体" w:hAnsi="宋体" w:cs="宋体"/>
          <w:b/>
          <w:sz w:val="56"/>
          <w:szCs w:val="56"/>
          <w:lang w:eastAsia="zh-CN"/>
        </w:rPr>
        <w:t>建设项目</w:t>
      </w:r>
    </w:p>
    <w:p>
      <w:pPr>
        <w:adjustRightInd w:val="0"/>
        <w:snapToGrid w:val="0"/>
        <w:spacing w:line="360" w:lineRule="auto"/>
        <w:jc w:val="left"/>
      </w:pPr>
      <w:r>
        <w:rPr>
          <w:rFonts w:hint="eastAsia" w:ascii="宋体" w:hAnsi="宋体" w:cs="宋体"/>
        </w:rPr>
        <w:drawing>
          <wp:anchor distT="0" distB="0" distL="114300" distR="114300" simplePos="0" relativeHeight="251661312" behindDoc="0" locked="0" layoutInCell="1" allowOverlap="1">
            <wp:simplePos x="0" y="0"/>
            <wp:positionH relativeFrom="column">
              <wp:posOffset>1631315</wp:posOffset>
            </wp:positionH>
            <wp:positionV relativeFrom="paragraph">
              <wp:posOffset>459740</wp:posOffset>
            </wp:positionV>
            <wp:extent cx="2095500" cy="1087120"/>
            <wp:effectExtent l="0" t="0" r="0" b="1778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7"/>
                    <a:stretch>
                      <a:fillRect/>
                    </a:stretch>
                  </pic:blipFill>
                  <pic:spPr>
                    <a:xfrm>
                      <a:off x="0" y="0"/>
                      <a:ext cx="2095500" cy="1087120"/>
                    </a:xfrm>
                    <a:prstGeom prst="rect">
                      <a:avLst/>
                    </a:prstGeom>
                    <a:noFill/>
                    <a:ln>
                      <a:noFill/>
                    </a:ln>
                  </pic:spPr>
                </pic:pic>
              </a:graphicData>
            </a:graphic>
          </wp:anchor>
        </w:drawing>
      </w:r>
    </w:p>
    <w:p>
      <w:pPr>
        <w:rPr>
          <w:rFonts w:ascii="宋体" w:hAnsi="宋体" w:cs="宋体"/>
          <w:b/>
          <w:sz w:val="52"/>
          <w:szCs w:val="52"/>
        </w:rPr>
      </w:pPr>
    </w:p>
    <w:p>
      <w:pPr>
        <w:rPr>
          <w:rFonts w:ascii="宋体" w:hAnsi="宋体" w:cs="宋体"/>
          <w:b/>
          <w:sz w:val="52"/>
          <w:szCs w:val="52"/>
        </w:rPr>
      </w:pPr>
    </w:p>
    <w:p>
      <w:pPr>
        <w:pStyle w:val="3"/>
      </w:pPr>
    </w:p>
    <w:p>
      <w:pPr>
        <w:rPr>
          <w:rFonts w:ascii="宋体" w:hAnsi="宋体" w:cs="宋体"/>
        </w:rPr>
      </w:pPr>
    </w:p>
    <w:p>
      <w:pPr>
        <w:tabs>
          <w:tab w:val="left" w:pos="0"/>
        </w:tabs>
        <w:adjustRightInd w:val="0"/>
        <w:snapToGrid w:val="0"/>
        <w:spacing w:line="360" w:lineRule="auto"/>
        <w:jc w:val="center"/>
        <w:rPr>
          <w:rFonts w:ascii="宋体" w:hAnsi="宋体" w:cs="宋体"/>
          <w:b/>
          <w:sz w:val="96"/>
          <w:szCs w:val="96"/>
        </w:rPr>
      </w:pPr>
      <w:r>
        <w:rPr>
          <w:rFonts w:hint="eastAsia" w:ascii="宋体" w:hAnsi="宋体" w:cs="宋体"/>
          <w:b/>
          <w:sz w:val="96"/>
          <w:szCs w:val="96"/>
        </w:rPr>
        <w:t>公开招标文件</w:t>
      </w:r>
    </w:p>
    <w:p>
      <w:pPr>
        <w:adjustRightInd w:val="0"/>
        <w:snapToGrid w:val="0"/>
        <w:spacing w:line="360" w:lineRule="auto"/>
        <w:jc w:val="center"/>
        <w:rPr>
          <w:rFonts w:hint="eastAsia" w:ascii="宋体" w:hAnsi="宋体" w:eastAsia="宋体" w:cs="宋体"/>
          <w:b/>
          <w:sz w:val="32"/>
          <w:szCs w:val="32"/>
          <w:lang w:val="en-US" w:eastAsia="zh-CN"/>
        </w:rPr>
      </w:pPr>
    </w:p>
    <w:p>
      <w:pPr>
        <w:adjustRightInd w:val="0"/>
        <w:snapToGrid w:val="0"/>
        <w:spacing w:line="360" w:lineRule="auto"/>
        <w:jc w:val="both"/>
        <w:rPr>
          <w:rFonts w:ascii="宋体" w:hAnsi="宋体" w:cs="宋体"/>
          <w:b/>
          <w:sz w:val="32"/>
          <w:szCs w:val="32"/>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rPr>
        <w:t>陕西卓佲项目管理有限公司</w:t>
      </w:r>
    </w:p>
    <w:p>
      <w:pPr>
        <w:adjustRightInd w:val="0"/>
        <w:snapToGrid w:val="0"/>
        <w:spacing w:line="600" w:lineRule="auto"/>
        <w:jc w:val="center"/>
        <w:rPr>
          <w:rFonts w:ascii="宋体" w:hAnsi="宋体" w:cs="宋体"/>
          <w:b/>
          <w:sz w:val="40"/>
          <w:szCs w:val="40"/>
        </w:rPr>
        <w:sectPr>
          <w:headerReference r:id="rId4" w:type="first"/>
          <w:headerReference r:id="rId3" w:type="default"/>
          <w:footerReference r:id="rId5" w:type="default"/>
          <w:pgSz w:w="11906" w:h="16838"/>
          <w:pgMar w:top="1440" w:right="1486" w:bottom="1440" w:left="1800" w:header="851" w:footer="992" w:gutter="0"/>
          <w:pgNumType w:fmt="decimal" w:start="1"/>
          <w:cols w:space="720" w:num="1"/>
          <w:docGrid w:type="lines" w:linePitch="312" w:charSpace="0"/>
        </w:sectPr>
      </w:pPr>
      <w:r>
        <w:rPr>
          <w:rFonts w:hint="eastAsia" w:ascii="宋体" w:hAnsi="宋体" w:cs="宋体"/>
          <w:b/>
          <w:sz w:val="36"/>
          <w:szCs w:val="36"/>
        </w:rPr>
        <w:t>2022年0</w:t>
      </w:r>
      <w:r>
        <w:rPr>
          <w:rFonts w:hint="eastAsia" w:ascii="宋体" w:hAnsi="宋体" w:cs="宋体"/>
          <w:b/>
          <w:sz w:val="36"/>
          <w:szCs w:val="36"/>
          <w:lang w:val="en-US" w:eastAsia="zh-CN"/>
        </w:rPr>
        <w:t>7</w:t>
      </w:r>
      <w:r>
        <w:rPr>
          <w:rFonts w:hint="eastAsia" w:ascii="宋体" w:hAnsi="宋体" w:cs="宋体"/>
          <w:b/>
          <w:sz w:val="36"/>
          <w:szCs w:val="36"/>
        </w:rPr>
        <w:t>月</w:t>
      </w:r>
    </w:p>
    <w:p>
      <w:pPr>
        <w:pStyle w:val="22"/>
        <w:tabs>
          <w:tab w:val="right" w:leader="dot" w:pos="8306"/>
        </w:tabs>
        <w:spacing w:line="360" w:lineRule="auto"/>
        <w:jc w:val="center"/>
        <w:rPr>
          <w:rFonts w:ascii="宋体" w:hAnsi="宋体" w:cs="宋体"/>
          <w:b/>
          <w:bCs/>
          <w:sz w:val="36"/>
          <w:szCs w:val="36"/>
        </w:rPr>
      </w:pPr>
      <w:r>
        <w:rPr>
          <w:rFonts w:hint="eastAsia" w:ascii="宋体" w:hAnsi="宋体" w:cs="宋体"/>
          <w:b/>
          <w:bCs/>
          <w:sz w:val="36"/>
          <w:szCs w:val="36"/>
        </w:rPr>
        <w:t>目 录</w:t>
      </w:r>
    </w:p>
    <w:p>
      <w:pPr>
        <w:pStyle w:val="22"/>
        <w:tabs>
          <w:tab w:val="right" w:leader="dot" w:pos="8306"/>
        </w:tabs>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_Toc23769 </w:instrText>
      </w:r>
      <w:r>
        <w:rPr>
          <w:rFonts w:hint="eastAsia" w:ascii="宋体" w:hAnsi="宋体" w:cs="宋体"/>
          <w:szCs w:val="24"/>
        </w:rPr>
        <w:fldChar w:fldCharType="separate"/>
      </w:r>
      <w:r>
        <w:rPr>
          <w:rFonts w:hint="eastAsia" w:ascii="宋体" w:hAnsi="宋体" w:cs="宋体"/>
          <w:szCs w:val="36"/>
        </w:rPr>
        <w:t>第一部分  公开招标公告</w:t>
      </w:r>
      <w:r>
        <w:tab/>
      </w:r>
      <w:r>
        <w:fldChar w:fldCharType="begin"/>
      </w:r>
      <w:r>
        <w:instrText xml:space="preserve"> PAGEREF _Toc23769 \h </w:instrText>
      </w:r>
      <w:r>
        <w:fldChar w:fldCharType="separate"/>
      </w:r>
      <w:r>
        <w:t>3</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_Toc19435 </w:instrText>
      </w:r>
      <w:r>
        <w:rPr>
          <w:rFonts w:hint="eastAsia" w:ascii="宋体" w:hAnsi="宋体" w:cs="宋体"/>
          <w:szCs w:val="24"/>
        </w:rPr>
        <w:fldChar w:fldCharType="separate"/>
      </w:r>
      <w:r>
        <w:rPr>
          <w:rFonts w:hint="eastAsia" w:ascii="宋体" w:hAnsi="宋体" w:cs="宋体"/>
          <w:szCs w:val="36"/>
        </w:rPr>
        <w:t>第二部分  供应商须知前附表</w:t>
      </w:r>
      <w:r>
        <w:tab/>
      </w:r>
      <w:r>
        <w:fldChar w:fldCharType="begin"/>
      </w:r>
      <w:r>
        <w:instrText xml:space="preserve"> PAGEREF _Toc19435 \h </w:instrText>
      </w:r>
      <w:r>
        <w:fldChar w:fldCharType="separate"/>
      </w:r>
      <w:r>
        <w:t>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_Toc22179 </w:instrText>
      </w:r>
      <w:r>
        <w:rPr>
          <w:rFonts w:hint="eastAsia" w:ascii="宋体" w:hAnsi="宋体" w:cs="宋体"/>
          <w:szCs w:val="24"/>
        </w:rPr>
        <w:fldChar w:fldCharType="separate"/>
      </w:r>
      <w:r>
        <w:rPr>
          <w:rFonts w:hint="eastAsia" w:ascii="宋体" w:hAnsi="宋体" w:cs="宋体"/>
          <w:szCs w:val="36"/>
        </w:rPr>
        <w:t>第三部分  供应商须知</w:t>
      </w:r>
      <w:r>
        <w:tab/>
      </w:r>
      <w:r>
        <w:fldChar w:fldCharType="begin"/>
      </w:r>
      <w:r>
        <w:instrText xml:space="preserve"> PAGEREF _Toc22179 \h </w:instrText>
      </w:r>
      <w:r>
        <w:fldChar w:fldCharType="separate"/>
      </w:r>
      <w:r>
        <w:t>13</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_Toc3554 </w:instrText>
      </w:r>
      <w:r>
        <w:rPr>
          <w:rFonts w:hint="eastAsia" w:ascii="宋体" w:hAnsi="宋体" w:cs="宋体"/>
          <w:szCs w:val="24"/>
        </w:rPr>
        <w:fldChar w:fldCharType="separate"/>
      </w:r>
      <w:r>
        <w:rPr>
          <w:rFonts w:hint="eastAsia" w:ascii="宋体" w:hAnsi="宋体" w:cs="宋体"/>
        </w:rPr>
        <w:t>一、总 则</w:t>
      </w:r>
      <w:r>
        <w:tab/>
      </w:r>
      <w:r>
        <w:fldChar w:fldCharType="begin"/>
      </w:r>
      <w:r>
        <w:instrText xml:space="preserve"> PAGEREF _Toc3554 \h </w:instrText>
      </w:r>
      <w:r>
        <w:fldChar w:fldCharType="separate"/>
      </w:r>
      <w:r>
        <w:t>13</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_Toc1123 </w:instrText>
      </w:r>
      <w:r>
        <w:rPr>
          <w:rFonts w:hint="eastAsia" w:ascii="宋体" w:hAnsi="宋体" w:cs="宋体"/>
          <w:szCs w:val="24"/>
        </w:rPr>
        <w:fldChar w:fldCharType="separate"/>
      </w:r>
      <w:r>
        <w:rPr>
          <w:rFonts w:hint="eastAsia" w:ascii="宋体" w:hAnsi="宋体" w:cs="宋体"/>
          <w:szCs w:val="28"/>
        </w:rPr>
        <w:t>二、 招标文件</w:t>
      </w:r>
      <w:r>
        <w:tab/>
      </w:r>
      <w:r>
        <w:fldChar w:fldCharType="begin"/>
      </w:r>
      <w:r>
        <w:instrText xml:space="preserve"> PAGEREF _Toc1123 \h </w:instrText>
      </w:r>
      <w:r>
        <w:fldChar w:fldCharType="separate"/>
      </w:r>
      <w:r>
        <w:t>16</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_Toc9430 </w:instrText>
      </w:r>
      <w:r>
        <w:rPr>
          <w:rFonts w:hint="eastAsia" w:ascii="宋体" w:hAnsi="宋体" w:cs="宋体"/>
          <w:szCs w:val="24"/>
        </w:rPr>
        <w:fldChar w:fldCharType="separate"/>
      </w:r>
      <w:r>
        <w:rPr>
          <w:rFonts w:hint="eastAsia" w:ascii="宋体" w:hAnsi="宋体" w:cs="宋体"/>
          <w:szCs w:val="28"/>
        </w:rPr>
        <w:t>三、投标文件</w:t>
      </w:r>
      <w:r>
        <w:tab/>
      </w:r>
      <w:r>
        <w:fldChar w:fldCharType="begin"/>
      </w:r>
      <w:r>
        <w:instrText xml:space="preserve"> PAGEREF _Toc9430 \h </w:instrText>
      </w:r>
      <w:r>
        <w:fldChar w:fldCharType="separate"/>
      </w:r>
      <w:r>
        <w:t>19</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_Toc13150 </w:instrText>
      </w:r>
      <w:r>
        <w:rPr>
          <w:rFonts w:hint="eastAsia" w:ascii="宋体" w:hAnsi="宋体" w:cs="宋体"/>
          <w:szCs w:val="24"/>
        </w:rPr>
        <w:fldChar w:fldCharType="separate"/>
      </w:r>
      <w:r>
        <w:rPr>
          <w:rFonts w:hint="eastAsia" w:ascii="宋体" w:hAnsi="宋体" w:cs="宋体"/>
          <w:bCs/>
          <w:kern w:val="0"/>
          <w:szCs w:val="28"/>
        </w:rPr>
        <w:t>四、投标文件的递交</w:t>
      </w:r>
      <w:r>
        <w:tab/>
      </w:r>
      <w:r>
        <w:fldChar w:fldCharType="begin"/>
      </w:r>
      <w:r>
        <w:instrText xml:space="preserve"> PAGEREF _Toc13150 \h </w:instrText>
      </w:r>
      <w:r>
        <w:fldChar w:fldCharType="separate"/>
      </w:r>
      <w:r>
        <w:t>21</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_Toc26480 </w:instrText>
      </w:r>
      <w:r>
        <w:rPr>
          <w:rFonts w:hint="eastAsia" w:ascii="宋体" w:hAnsi="宋体" w:cs="宋体"/>
          <w:szCs w:val="24"/>
        </w:rPr>
        <w:fldChar w:fldCharType="separate"/>
      </w:r>
      <w:r>
        <w:rPr>
          <w:rFonts w:hint="eastAsia" w:ascii="宋体" w:hAnsi="宋体" w:cs="宋体"/>
          <w:bCs/>
          <w:kern w:val="0"/>
          <w:szCs w:val="28"/>
        </w:rPr>
        <w:t>五、 开标、评审、定标</w:t>
      </w:r>
      <w:r>
        <w:tab/>
      </w:r>
      <w:r>
        <w:fldChar w:fldCharType="begin"/>
      </w:r>
      <w:r>
        <w:instrText xml:space="preserve"> PAGEREF _Toc26480 \h </w:instrText>
      </w:r>
      <w:r>
        <w:fldChar w:fldCharType="separate"/>
      </w:r>
      <w:r>
        <w:t>21</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_Toc19048 </w:instrText>
      </w:r>
      <w:r>
        <w:rPr>
          <w:rFonts w:hint="eastAsia" w:ascii="宋体" w:hAnsi="宋体" w:cs="宋体"/>
          <w:szCs w:val="24"/>
        </w:rPr>
        <w:fldChar w:fldCharType="separate"/>
      </w:r>
      <w:r>
        <w:rPr>
          <w:rFonts w:hint="eastAsia" w:ascii="宋体" w:hAnsi="宋体" w:cs="宋体"/>
          <w:bCs/>
          <w:kern w:val="0"/>
          <w:szCs w:val="28"/>
        </w:rPr>
        <w:t>六、签订合同</w:t>
      </w:r>
      <w:r>
        <w:tab/>
      </w:r>
      <w:r>
        <w:fldChar w:fldCharType="begin"/>
      </w:r>
      <w:r>
        <w:instrText xml:space="preserve"> PAGEREF _Toc19048 \h </w:instrText>
      </w:r>
      <w:r>
        <w:fldChar w:fldCharType="separate"/>
      </w:r>
      <w:r>
        <w:t>25</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_Toc13539 </w:instrText>
      </w:r>
      <w:r>
        <w:rPr>
          <w:rFonts w:hint="eastAsia" w:ascii="宋体" w:hAnsi="宋体" w:cs="宋体"/>
          <w:szCs w:val="24"/>
        </w:rPr>
        <w:fldChar w:fldCharType="separate"/>
      </w:r>
      <w:r>
        <w:rPr>
          <w:rFonts w:hint="eastAsia" w:ascii="宋体" w:hAnsi="宋体" w:cs="宋体"/>
          <w:bCs/>
          <w:kern w:val="0"/>
          <w:szCs w:val="28"/>
        </w:rPr>
        <w:t>七、质疑和投诉</w:t>
      </w:r>
      <w:r>
        <w:tab/>
      </w:r>
      <w:r>
        <w:fldChar w:fldCharType="begin"/>
      </w:r>
      <w:r>
        <w:instrText xml:space="preserve"> PAGEREF _Toc13539 \h </w:instrText>
      </w:r>
      <w:r>
        <w:fldChar w:fldCharType="separate"/>
      </w:r>
      <w:r>
        <w:t>25</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_Toc18557 </w:instrText>
      </w:r>
      <w:r>
        <w:rPr>
          <w:rFonts w:hint="eastAsia" w:ascii="宋体" w:hAnsi="宋体" w:cs="宋体"/>
          <w:szCs w:val="24"/>
        </w:rPr>
        <w:fldChar w:fldCharType="separate"/>
      </w:r>
      <w:r>
        <w:rPr>
          <w:rFonts w:hint="eastAsia" w:ascii="宋体" w:hAnsi="宋体" w:cs="宋体"/>
          <w:szCs w:val="36"/>
        </w:rPr>
        <w:t>第四部分 评标方法</w:t>
      </w:r>
      <w:r>
        <w:tab/>
      </w:r>
      <w:r>
        <w:fldChar w:fldCharType="begin"/>
      </w:r>
      <w:r>
        <w:instrText xml:space="preserve"> PAGEREF _Toc18557 \h </w:instrText>
      </w:r>
      <w:r>
        <w:fldChar w:fldCharType="separate"/>
      </w:r>
      <w:r>
        <w:t>27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_Toc11518 </w:instrText>
      </w:r>
      <w:r>
        <w:rPr>
          <w:rFonts w:hint="eastAsia" w:ascii="宋体" w:hAnsi="宋体" w:cs="宋体"/>
          <w:szCs w:val="24"/>
        </w:rPr>
        <w:fldChar w:fldCharType="separate"/>
      </w:r>
      <w:r>
        <w:rPr>
          <w:rFonts w:hint="eastAsia" w:ascii="宋体" w:hAnsi="宋体" w:eastAsia="宋体" w:cs="宋体"/>
          <w:bCs/>
          <w:kern w:val="2"/>
          <w:szCs w:val="36"/>
          <w:lang w:val="en-US" w:eastAsia="zh-CN" w:bidi="ar-SA"/>
        </w:rPr>
        <w:t>第五部分  采购要求</w:t>
      </w:r>
      <w:r>
        <w:tab/>
      </w:r>
      <w:r>
        <w:fldChar w:fldCharType="begin"/>
      </w:r>
      <w:r>
        <w:instrText xml:space="preserve"> PAGEREF _Toc11518 \h </w:instrText>
      </w:r>
      <w:r>
        <w:fldChar w:fldCharType="separate"/>
      </w:r>
      <w:r>
        <w:t>30</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_Toc6210 </w:instrText>
      </w:r>
      <w:r>
        <w:rPr>
          <w:rFonts w:hint="eastAsia" w:ascii="宋体" w:hAnsi="宋体" w:cs="宋体"/>
          <w:szCs w:val="24"/>
        </w:rPr>
        <w:fldChar w:fldCharType="separate"/>
      </w:r>
      <w:r>
        <w:rPr>
          <w:rFonts w:hint="eastAsia" w:ascii="宋体" w:hAnsi="宋体" w:cs="宋体"/>
          <w:bCs/>
          <w:szCs w:val="36"/>
        </w:rPr>
        <w:t>第六部分  合同条款</w:t>
      </w:r>
      <w:r>
        <w:tab/>
      </w:r>
      <w:r>
        <w:fldChar w:fldCharType="begin"/>
      </w:r>
      <w:r>
        <w:instrText xml:space="preserve"> PAGEREF _Toc6210 \h </w:instrText>
      </w:r>
      <w:r>
        <w:fldChar w:fldCharType="separate"/>
      </w:r>
      <w:r>
        <w:t>37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_Toc26642 </w:instrText>
      </w:r>
      <w:r>
        <w:rPr>
          <w:rFonts w:hint="eastAsia" w:ascii="宋体" w:hAnsi="宋体" w:cs="宋体"/>
          <w:szCs w:val="24"/>
        </w:rPr>
        <w:fldChar w:fldCharType="separate"/>
      </w:r>
      <w:r>
        <w:rPr>
          <w:rFonts w:hint="eastAsia" w:ascii="宋体" w:hAnsi="宋体" w:cs="宋体"/>
          <w:szCs w:val="36"/>
        </w:rPr>
        <w:t>第七部分  投标文件格式</w:t>
      </w:r>
      <w:r>
        <w:tab/>
      </w:r>
      <w:r>
        <w:fldChar w:fldCharType="begin"/>
      </w:r>
      <w:r>
        <w:instrText xml:space="preserve"> PAGEREF _Toc26642 \h </w:instrText>
      </w:r>
      <w:r>
        <w:fldChar w:fldCharType="separate"/>
      </w:r>
      <w:r>
        <w:t>41</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_Toc28665 </w:instrText>
      </w:r>
      <w:r>
        <w:rPr>
          <w:rFonts w:hint="eastAsia" w:ascii="宋体" w:hAnsi="宋体" w:cs="宋体"/>
          <w:szCs w:val="24"/>
        </w:rPr>
        <w:fldChar w:fldCharType="separate"/>
      </w:r>
      <w:r>
        <w:rPr>
          <w:rFonts w:hint="eastAsia" w:ascii="宋体" w:hAnsi="宋体" w:cs="宋体"/>
          <w:szCs w:val="36"/>
        </w:rPr>
        <w:t>第一部分  投标函</w:t>
      </w:r>
      <w:r>
        <w:tab/>
      </w:r>
      <w:r>
        <w:fldChar w:fldCharType="begin"/>
      </w:r>
      <w:r>
        <w:instrText xml:space="preserve"> PAGEREF _Toc28665 \h </w:instrText>
      </w:r>
      <w:r>
        <w:fldChar w:fldCharType="separate"/>
      </w:r>
      <w:r>
        <w:t>43</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_Toc525 </w:instrText>
      </w:r>
      <w:r>
        <w:rPr>
          <w:rFonts w:hint="eastAsia" w:ascii="宋体" w:hAnsi="宋体" w:cs="宋体"/>
          <w:szCs w:val="24"/>
        </w:rPr>
        <w:fldChar w:fldCharType="separate"/>
      </w:r>
      <w:r>
        <w:rPr>
          <w:rFonts w:hint="eastAsia" w:ascii="宋体" w:hAnsi="宋体" w:cs="宋体"/>
          <w:szCs w:val="36"/>
        </w:rPr>
        <w:t>第二部分 报价一览表</w:t>
      </w:r>
      <w:r>
        <w:tab/>
      </w:r>
      <w:r>
        <w:fldChar w:fldCharType="begin"/>
      </w:r>
      <w:r>
        <w:instrText xml:space="preserve"> PAGEREF _Toc525 \h </w:instrText>
      </w:r>
      <w:r>
        <w:fldChar w:fldCharType="separate"/>
      </w:r>
      <w:r>
        <w:t>44</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_Toc29551 </w:instrText>
      </w:r>
      <w:r>
        <w:rPr>
          <w:rFonts w:hint="eastAsia" w:ascii="宋体" w:hAnsi="宋体" w:cs="宋体"/>
          <w:szCs w:val="24"/>
        </w:rPr>
        <w:fldChar w:fldCharType="separate"/>
      </w:r>
      <w:r>
        <w:rPr>
          <w:rFonts w:hint="eastAsia" w:ascii="宋体" w:hAnsi="宋体" w:cs="宋体"/>
        </w:rPr>
        <w:t>第三部分</w:t>
      </w:r>
      <w:r>
        <w:rPr>
          <w:rFonts w:hint="eastAsia" w:ascii="宋体" w:hAnsi="宋体" w:cs="宋体"/>
          <w:szCs w:val="36"/>
        </w:rPr>
        <w:t xml:space="preserve">  </w:t>
      </w:r>
      <w:r>
        <w:rPr>
          <w:rFonts w:hint="eastAsia" w:ascii="宋体" w:hAnsi="宋体" w:cs="宋体"/>
        </w:rPr>
        <w:t>商务及技术响应说明</w:t>
      </w:r>
      <w:r>
        <w:tab/>
      </w:r>
      <w:r>
        <w:fldChar w:fldCharType="begin"/>
      </w:r>
      <w:r>
        <w:instrText xml:space="preserve"> PAGEREF _Toc29551 \h </w:instrText>
      </w:r>
      <w:r>
        <w:fldChar w:fldCharType="separate"/>
      </w:r>
      <w:r>
        <w:t>46</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_Toc20201 </w:instrText>
      </w:r>
      <w:r>
        <w:rPr>
          <w:rFonts w:hint="eastAsia" w:ascii="宋体" w:hAnsi="宋体" w:cs="宋体"/>
          <w:szCs w:val="24"/>
        </w:rPr>
        <w:fldChar w:fldCharType="separate"/>
      </w:r>
      <w:r>
        <w:rPr>
          <w:rFonts w:hint="eastAsia" w:ascii="宋体" w:hAnsi="宋体" w:cs="宋体"/>
          <w:szCs w:val="36"/>
        </w:rPr>
        <w:t>第四部分  供应商资格要求</w:t>
      </w:r>
      <w:r>
        <w:tab/>
      </w:r>
      <w:r>
        <w:fldChar w:fldCharType="begin"/>
      </w:r>
      <w:r>
        <w:instrText xml:space="preserve"> PAGEREF _Toc20201 \h </w:instrText>
      </w:r>
      <w:r>
        <w:fldChar w:fldCharType="separate"/>
      </w:r>
      <w:r>
        <w:t>48</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_Toc31753 </w:instrText>
      </w:r>
      <w:r>
        <w:rPr>
          <w:rFonts w:hint="eastAsia" w:ascii="宋体" w:hAnsi="宋体" w:cs="宋体"/>
          <w:szCs w:val="24"/>
        </w:rPr>
        <w:fldChar w:fldCharType="separate"/>
      </w:r>
      <w:r>
        <w:rPr>
          <w:rFonts w:hint="eastAsia" w:ascii="宋体" w:hAnsi="宋体" w:cs="宋体"/>
          <w:szCs w:val="36"/>
        </w:rPr>
        <w:t>第五部分  技术与服务方案</w:t>
      </w:r>
      <w:r>
        <w:tab/>
      </w:r>
      <w:r>
        <w:fldChar w:fldCharType="begin"/>
      </w:r>
      <w:r>
        <w:instrText xml:space="preserve"> PAGEREF _Toc31753 \h </w:instrText>
      </w:r>
      <w:r>
        <w:fldChar w:fldCharType="separate"/>
      </w:r>
      <w:r>
        <w:t>57</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_Toc2737 </w:instrText>
      </w:r>
      <w:r>
        <w:rPr>
          <w:rFonts w:hint="eastAsia" w:ascii="宋体" w:hAnsi="宋体" w:cs="宋体"/>
          <w:szCs w:val="24"/>
        </w:rPr>
        <w:fldChar w:fldCharType="separate"/>
      </w:r>
      <w:r>
        <w:rPr>
          <w:rFonts w:hint="eastAsia" w:ascii="宋体" w:hAnsi="宋体" w:cs="宋体"/>
          <w:szCs w:val="36"/>
        </w:rPr>
        <w:t>第六部分  服务承诺</w:t>
      </w:r>
      <w:r>
        <w:tab/>
      </w:r>
      <w:r>
        <w:fldChar w:fldCharType="begin"/>
      </w:r>
      <w:r>
        <w:instrText xml:space="preserve"> PAGEREF _Toc2737 \h </w:instrText>
      </w:r>
      <w:r>
        <w:fldChar w:fldCharType="separate"/>
      </w:r>
      <w:r>
        <w:t>58</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_Toc24210 </w:instrText>
      </w:r>
      <w:r>
        <w:rPr>
          <w:rFonts w:hint="eastAsia" w:ascii="宋体" w:hAnsi="宋体" w:cs="宋体"/>
          <w:szCs w:val="24"/>
        </w:rPr>
        <w:fldChar w:fldCharType="separate"/>
      </w:r>
      <w:r>
        <w:rPr>
          <w:rFonts w:hint="eastAsia" w:ascii="宋体" w:hAnsi="宋体" w:cs="宋体"/>
          <w:szCs w:val="36"/>
          <w:lang w:eastAsia="zh-CN"/>
        </w:rPr>
        <w:t>第七部分</w:t>
      </w:r>
      <w:r>
        <w:rPr>
          <w:rFonts w:hint="eastAsia" w:ascii="宋体" w:hAnsi="宋体" w:cs="宋体"/>
          <w:szCs w:val="36"/>
        </w:rPr>
        <w:t xml:space="preserve"> 业绩一览表</w:t>
      </w:r>
      <w:r>
        <w:tab/>
      </w:r>
      <w:r>
        <w:fldChar w:fldCharType="begin"/>
      </w:r>
      <w:r>
        <w:instrText xml:space="preserve"> PAGEREF _Toc24210 \h </w:instrText>
      </w:r>
      <w:r>
        <w:fldChar w:fldCharType="separate"/>
      </w:r>
      <w:r>
        <w:t>59</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_Toc23955 </w:instrText>
      </w:r>
      <w:r>
        <w:rPr>
          <w:rFonts w:hint="eastAsia" w:ascii="宋体" w:hAnsi="宋体" w:cs="宋体"/>
          <w:szCs w:val="24"/>
        </w:rPr>
        <w:fldChar w:fldCharType="separate"/>
      </w:r>
      <w:r>
        <w:rPr>
          <w:rFonts w:hint="eastAsia" w:ascii="宋体" w:hAnsi="宋体" w:cs="宋体"/>
          <w:szCs w:val="36"/>
        </w:rPr>
        <w:t>第八部分 供应商认为有必要说明的其他问题</w:t>
      </w:r>
      <w:r>
        <w:tab/>
      </w:r>
      <w:r>
        <w:fldChar w:fldCharType="begin"/>
      </w:r>
      <w:r>
        <w:instrText xml:space="preserve"> PAGEREF _Toc23955 \h </w:instrText>
      </w:r>
      <w:r>
        <w:fldChar w:fldCharType="separate"/>
      </w:r>
      <w:r>
        <w:t>60</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_Toc16913 </w:instrText>
      </w:r>
      <w:r>
        <w:rPr>
          <w:rFonts w:hint="eastAsia" w:ascii="宋体" w:hAnsi="宋体" w:cs="宋体"/>
          <w:szCs w:val="24"/>
        </w:rPr>
        <w:fldChar w:fldCharType="separate"/>
      </w:r>
      <w:r>
        <w:rPr>
          <w:rFonts w:hint="eastAsia" w:ascii="宋体" w:hAnsi="宋体" w:cs="宋体"/>
        </w:rPr>
        <w:t>附件一、封袋正面标识式样</w:t>
      </w:r>
      <w:r>
        <w:tab/>
      </w:r>
      <w:r>
        <w:fldChar w:fldCharType="begin"/>
      </w:r>
      <w:r>
        <w:instrText xml:space="preserve"> PAGEREF _Toc16913 \h </w:instrText>
      </w:r>
      <w:r>
        <w:fldChar w:fldCharType="separate"/>
      </w:r>
      <w:r>
        <w:t>61</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_Toc15303 </w:instrText>
      </w:r>
      <w:r>
        <w:rPr>
          <w:rFonts w:hint="eastAsia" w:ascii="宋体" w:hAnsi="宋体" w:cs="宋体"/>
          <w:szCs w:val="24"/>
        </w:rPr>
        <w:fldChar w:fldCharType="separate"/>
      </w:r>
      <w:r>
        <w:rPr>
          <w:rFonts w:hint="eastAsia" w:ascii="宋体" w:hAnsi="宋体" w:cs="宋体"/>
        </w:rPr>
        <w:t>附件二、中小企业申明（货物）</w:t>
      </w:r>
      <w:r>
        <w:tab/>
      </w:r>
      <w:r>
        <w:fldChar w:fldCharType="begin"/>
      </w:r>
      <w:r>
        <w:instrText xml:space="preserve"> PAGEREF _Toc15303 \h </w:instrText>
      </w:r>
      <w:r>
        <w:fldChar w:fldCharType="separate"/>
      </w:r>
      <w:r>
        <w:t>63</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_Toc13822 </w:instrText>
      </w:r>
      <w:r>
        <w:rPr>
          <w:rFonts w:hint="eastAsia" w:ascii="宋体" w:hAnsi="宋体" w:cs="宋体"/>
          <w:szCs w:val="24"/>
        </w:rPr>
        <w:fldChar w:fldCharType="separate"/>
      </w:r>
      <w:r>
        <w:rPr>
          <w:rFonts w:hint="eastAsia" w:ascii="宋体" w:hAnsi="宋体" w:cs="宋体"/>
        </w:rPr>
        <w:t>附件三、残疾人福利性单位声明</w:t>
      </w:r>
      <w:r>
        <w:tab/>
      </w:r>
      <w:r>
        <w:fldChar w:fldCharType="begin"/>
      </w:r>
      <w:r>
        <w:instrText xml:space="preserve"> PAGEREF _Toc13822 \h </w:instrText>
      </w:r>
      <w:r>
        <w:fldChar w:fldCharType="separate"/>
      </w:r>
      <w:r>
        <w:t>64</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_Toc14977 </w:instrText>
      </w:r>
      <w:r>
        <w:rPr>
          <w:rFonts w:hint="eastAsia" w:ascii="宋体" w:hAnsi="宋体" w:cs="宋体"/>
          <w:szCs w:val="24"/>
        </w:rPr>
        <w:fldChar w:fldCharType="separate"/>
      </w:r>
      <w:r>
        <w:rPr>
          <w:rFonts w:hint="eastAsia" w:ascii="宋体" w:hAnsi="宋体" w:cs="宋体"/>
        </w:rPr>
        <w:t>附件四、监狱企业证明文件</w:t>
      </w:r>
      <w:r>
        <w:tab/>
      </w:r>
      <w:r>
        <w:fldChar w:fldCharType="begin"/>
      </w:r>
      <w:r>
        <w:instrText xml:space="preserve"> PAGEREF _Toc14977 \h </w:instrText>
      </w:r>
      <w:r>
        <w:fldChar w:fldCharType="separate"/>
      </w:r>
      <w:r>
        <w:t>67</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_Toc6133 </w:instrText>
      </w:r>
      <w:r>
        <w:rPr>
          <w:rFonts w:hint="eastAsia" w:ascii="宋体" w:hAnsi="宋体" w:cs="宋体"/>
          <w:szCs w:val="24"/>
        </w:rPr>
        <w:fldChar w:fldCharType="separate"/>
      </w:r>
      <w:r>
        <w:rPr>
          <w:rFonts w:hint="eastAsia" w:ascii="宋体" w:hAnsi="宋体" w:cs="宋体"/>
        </w:rPr>
        <w:t>附件五、“节能产品”，“环境标志产品”证明材料</w:t>
      </w:r>
      <w:r>
        <w:tab/>
      </w:r>
      <w:r>
        <w:fldChar w:fldCharType="begin"/>
      </w:r>
      <w:r>
        <w:instrText xml:space="preserve"> PAGEREF _Toc6133 \h </w:instrText>
      </w:r>
      <w:r>
        <w:fldChar w:fldCharType="separate"/>
      </w:r>
      <w:r>
        <w:t>67</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_Toc12626 </w:instrText>
      </w:r>
      <w:r>
        <w:rPr>
          <w:rFonts w:hint="eastAsia" w:ascii="宋体" w:hAnsi="宋体" w:cs="宋体"/>
          <w:szCs w:val="24"/>
        </w:rPr>
        <w:fldChar w:fldCharType="separate"/>
      </w:r>
      <w:r>
        <w:rPr>
          <w:rFonts w:hint="eastAsia" w:ascii="宋体" w:hAnsi="宋体" w:cs="宋体"/>
        </w:rPr>
        <w:t>附件六、质疑函范本</w:t>
      </w:r>
      <w:r>
        <w:tab/>
      </w:r>
      <w:r>
        <w:fldChar w:fldCharType="begin"/>
      </w:r>
      <w:r>
        <w:instrText xml:space="preserve"> PAGEREF _Toc12626 \h </w:instrText>
      </w:r>
      <w:r>
        <w:fldChar w:fldCharType="separate"/>
      </w:r>
      <w:r>
        <w:t>68</w:t>
      </w:r>
      <w:r>
        <w:fldChar w:fldCharType="end"/>
      </w:r>
      <w:r>
        <w:rPr>
          <w:rFonts w:hint="eastAsia" w:ascii="宋体" w:hAnsi="宋体" w:cs="宋体"/>
          <w:szCs w:val="24"/>
        </w:rPr>
        <w:fldChar w:fldCharType="end"/>
      </w:r>
    </w:p>
    <w:p>
      <w:pPr>
        <w:pStyle w:val="23"/>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_Toc14337 </w:instrText>
      </w:r>
      <w:r>
        <w:rPr>
          <w:rFonts w:hint="eastAsia" w:ascii="宋体" w:hAnsi="宋体" w:cs="宋体"/>
          <w:szCs w:val="24"/>
        </w:rPr>
        <w:fldChar w:fldCharType="separate"/>
      </w:r>
      <w:r>
        <w:rPr>
          <w:rFonts w:hint="eastAsia" w:ascii="宋体" w:hAnsi="宋体" w:cs="宋体"/>
        </w:rPr>
        <w:t>附件七、保证金退还账户信息确认表</w:t>
      </w:r>
      <w:r>
        <w:tab/>
      </w:r>
      <w:r>
        <w:fldChar w:fldCharType="begin"/>
      </w:r>
      <w:r>
        <w:instrText xml:space="preserve"> PAGEREF _Toc14337 \h </w:instrText>
      </w:r>
      <w:r>
        <w:fldChar w:fldCharType="separate"/>
      </w:r>
      <w:r>
        <w:t>70</w:t>
      </w:r>
      <w:r>
        <w:fldChar w:fldCharType="end"/>
      </w:r>
      <w:r>
        <w:rPr>
          <w:rFonts w:hint="eastAsia" w:ascii="宋体" w:hAnsi="宋体" w:cs="宋体"/>
          <w:szCs w:val="24"/>
        </w:rPr>
        <w:fldChar w:fldCharType="end"/>
      </w:r>
    </w:p>
    <w:p>
      <w:pPr>
        <w:pStyle w:val="4"/>
        <w:spacing w:line="240" w:lineRule="auto"/>
        <w:rPr>
          <w:rFonts w:ascii="宋体" w:hAnsi="宋体" w:cs="宋体"/>
          <w:b w:val="0"/>
          <w:sz w:val="24"/>
          <w:szCs w:val="24"/>
        </w:rPr>
        <w:sectPr>
          <w:footerReference r:id="rId6" w:type="default"/>
          <w:pgSz w:w="11906" w:h="16838"/>
          <w:pgMar w:top="1440" w:right="1800" w:bottom="1440" w:left="1800" w:header="851" w:footer="992" w:gutter="0"/>
          <w:pgNumType w:fmt="decimal" w:start="2"/>
          <w:cols w:space="720" w:num="1"/>
          <w:docGrid w:type="lines" w:linePitch="312" w:charSpace="0"/>
        </w:sectPr>
      </w:pPr>
      <w:r>
        <w:rPr>
          <w:rFonts w:hint="eastAsia" w:ascii="宋体" w:hAnsi="宋体" w:cs="宋体"/>
          <w:szCs w:val="24"/>
        </w:rPr>
        <w:fldChar w:fldCharType="end"/>
      </w:r>
    </w:p>
    <w:p>
      <w:pPr>
        <w:pStyle w:val="4"/>
        <w:spacing w:before="312" w:beforeLines="100" w:after="468" w:afterLines="150" w:line="600" w:lineRule="exact"/>
        <w:rPr>
          <w:rFonts w:ascii="宋体" w:hAnsi="宋体" w:cs="宋体"/>
          <w:sz w:val="36"/>
          <w:szCs w:val="36"/>
        </w:rPr>
      </w:pPr>
      <w:bookmarkStart w:id="1" w:name="_Toc23769"/>
      <w:bookmarkStart w:id="2" w:name="_Toc26575"/>
      <w:r>
        <w:rPr>
          <w:rFonts w:hint="eastAsia" w:ascii="宋体" w:hAnsi="宋体" w:cs="宋体"/>
          <w:sz w:val="36"/>
          <w:szCs w:val="36"/>
        </w:rPr>
        <w:t>第一部分  公开招标公告</w:t>
      </w:r>
      <w:bookmarkEnd w:id="1"/>
      <w:bookmarkEnd w:id="2"/>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jc w:val="left"/>
        <w:textAlignment w:val="baseline"/>
        <w:rPr>
          <w:rFonts w:hint="eastAsia" w:ascii="宋体" w:hAnsi="宋体" w:eastAsia="宋体" w:cs="宋体"/>
          <w:b w:val="0"/>
          <w:bCs w:val="0"/>
          <w:sz w:val="21"/>
          <w:szCs w:val="21"/>
        </w:rPr>
      </w:pPr>
      <w:r>
        <w:rPr>
          <w:rStyle w:val="33"/>
          <w:rFonts w:hint="eastAsia" w:ascii="宋体" w:hAnsi="宋体" w:eastAsia="宋体" w:cs="宋体"/>
          <w:b/>
          <w:bCs/>
          <w:i w:val="0"/>
          <w:iCs w:val="0"/>
          <w:caps w:val="0"/>
          <w:color w:val="333333"/>
          <w:spacing w:val="0"/>
          <w:sz w:val="21"/>
          <w:szCs w:val="21"/>
          <w:shd w:val="clear" w:fill="FFFFFF"/>
          <w:vertAlign w:val="baseline"/>
        </w:rPr>
        <w:t>项目概况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国家中医紧急医学救援队伍能力建设项目招标项目的潜在投标人应在西安市雁塔区科技路10号华奥大厦A座20层2002室获取招标文件，并于 2022年08月04日 09时30分 （北京时间）前递交投标文件。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3"/>
          <w:rFonts w:hint="eastAsia" w:ascii="宋体" w:hAnsi="宋体" w:eastAsia="宋体" w:cs="宋体"/>
          <w:b/>
          <w:bCs/>
          <w:i w:val="0"/>
          <w:iCs w:val="0"/>
          <w:caps w:val="0"/>
          <w:color w:val="333333"/>
          <w:spacing w:val="0"/>
          <w:sz w:val="21"/>
          <w:szCs w:val="21"/>
          <w:shd w:val="clear" w:fill="FFFFFF"/>
          <w:vertAlign w:val="baseline"/>
        </w:rPr>
        <w:t>一、项目基本情况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项目编号：ZMZB2022SZY-129</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项目名称：国家中医紧急医学救援队伍能力建设项目</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采购方式：公开招标</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预算金额：1,050,000.00元</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采购需求：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合同包1(国家中医紧急医学救援队伍能力建设项目):</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合同包预算金额：1,050,000.00元</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合同包最高限价：1,050,000.00元</w:t>
      </w:r>
    </w:p>
    <w:tbl>
      <w:tblPr>
        <w:tblStyle w:val="30"/>
        <w:tblW w:w="9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7"/>
        <w:gridCol w:w="941"/>
        <w:gridCol w:w="2118"/>
        <w:gridCol w:w="1056"/>
        <w:gridCol w:w="1450"/>
        <w:gridCol w:w="1503"/>
        <w:gridCol w:w="1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2"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临床检验设备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国家中医紧急医学救援队伍能力建设项目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60" w:lineRule="auto"/>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1,050,000.00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360" w:lineRule="auto"/>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1,050,000.00</w:t>
            </w:r>
          </w:p>
        </w:tc>
      </w:tr>
    </w:tbl>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合同履行期限：自合同签订后到该项目服务期结束（具体服务起止日期可随合同签订时间相应顺延）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3"/>
          <w:rFonts w:hint="eastAsia" w:ascii="宋体" w:hAnsi="宋体" w:eastAsia="宋体" w:cs="宋体"/>
          <w:b/>
          <w:bCs/>
          <w:i w:val="0"/>
          <w:iCs w:val="0"/>
          <w:caps w:val="0"/>
          <w:color w:val="333333"/>
          <w:spacing w:val="0"/>
          <w:sz w:val="21"/>
          <w:szCs w:val="21"/>
          <w:shd w:val="clear" w:fill="FFFFFF"/>
          <w:vertAlign w:val="baseline"/>
        </w:rPr>
        <w:t>二、申请人的资格要求：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1.满足《中华人民共和国政府采购法》第二十二条规定;</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合同包1(国家中医紧急医学救援队伍能力建设项目)落实政府采购政策需满足的资格要求如下:</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（1）《政府采购促进中小企业发展管理办法》（财库〔2020〕46号）；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（2）《财政部 司法部关于政府采购支持监狱企业发展有关问题的通知》（财库〔2014〕68号）；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（3）《国务院办公厅关于建立政府强制采购节能产品制度的通知》（国办发〔2007〕51号）；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（4）《节能产品政府采购实施意见》（财库〔2004〕185号）；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（5）《环境标志产品政府采购实施的意见》（财库〔2006〕90号）；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（6）《三部门联合发布关于促进残疾人就业政府采购政策的通知》（财库〔2017〕141号）。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（7）《财政部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（8）陕西省财政厅关于印发《陕西省中小企业政府采购信用融资办法》（陕财办采〔2018〕23号）。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合同包1(国家中医紧急医学救援队伍能力建设项目)特定资格要求如下:</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（3）税收缴纳证明：提供2021年9月以来至少一个月的纳税证明或完税证明，依法免税的单位应提供相关证明材料；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（4）社会保障资金缴纳证明：提供2021年9月以来至少一个月的社会保障资金缴存单据或社保机构开具的社会保险参保缴费情况证明。依法不需要缴纳社会保障资金的供应商应提供相关文件证明；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（5）具有履行合同所必需的设备和专业技术能力的书面声明；</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（6）非法定代表人参加投标的，须提供法定代表人委托授权书及被授权人身份证，法定代表人参加投标时,只需提供法定代表人身份证；</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(7)供应商须提供医疗器械经营许可证或备案凭证（所投产品须在其经营范围内）和所投产品的医疗器械产品注册证及其附件或备案凭证及所投产品的医疗器械生产许可证或备案凭证。</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（8）参加政府采购活动前3年内在经营活动中没有重大违法记录的书面声明；</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（9）本项目不接受联合体投标。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3"/>
          <w:rFonts w:hint="eastAsia" w:ascii="宋体" w:hAnsi="宋体" w:eastAsia="宋体" w:cs="宋体"/>
          <w:b/>
          <w:bCs/>
          <w:i w:val="0"/>
          <w:iCs w:val="0"/>
          <w:caps w:val="0"/>
          <w:color w:val="333333"/>
          <w:spacing w:val="0"/>
          <w:sz w:val="21"/>
          <w:szCs w:val="21"/>
          <w:shd w:val="clear" w:fill="FFFFFF"/>
          <w:vertAlign w:val="baseline"/>
        </w:rPr>
        <w:t>三、获取招标文件</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时间：2022年07月14日至2022年07月21日，每天上午09:00:00至12:00:00，下午13:30:00至17:00:00（北京时间,法定节假日除外）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地点：西安市雁塔区科技路10号华奥大厦A座20层2002室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方式：现场获取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售价：500元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3"/>
          <w:rFonts w:hint="eastAsia" w:ascii="宋体" w:hAnsi="宋体" w:eastAsia="宋体" w:cs="宋体"/>
          <w:b/>
          <w:bCs/>
          <w:i w:val="0"/>
          <w:iCs w:val="0"/>
          <w:caps w:val="0"/>
          <w:color w:val="333333"/>
          <w:spacing w:val="0"/>
          <w:sz w:val="21"/>
          <w:szCs w:val="21"/>
          <w:shd w:val="clear" w:fill="FFFFFF"/>
          <w:vertAlign w:val="baseline"/>
        </w:rPr>
        <w:t>四、提交投标文件截止时间、开标时间和地点</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2022年08月04日 09时30分00秒 （北京时间）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地点：西安市雁塔区科技路10号华奥大厦A座20层2002室开标室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3"/>
          <w:rFonts w:hint="eastAsia" w:ascii="宋体" w:hAnsi="宋体" w:eastAsia="宋体" w:cs="宋体"/>
          <w:b/>
          <w:bCs/>
          <w:i w:val="0"/>
          <w:iCs w:val="0"/>
          <w:caps w:val="0"/>
          <w:color w:val="333333"/>
          <w:spacing w:val="0"/>
          <w:sz w:val="21"/>
          <w:szCs w:val="21"/>
          <w:shd w:val="clear" w:fill="FFFFFF"/>
          <w:vertAlign w:val="baseline"/>
        </w:rPr>
        <w:t>五、公告期限</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自本公告发布之日起5个工作日。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3"/>
          <w:rFonts w:hint="eastAsia" w:ascii="宋体" w:hAnsi="宋体" w:eastAsia="宋体" w:cs="宋体"/>
          <w:b/>
          <w:bCs/>
          <w:i w:val="0"/>
          <w:iCs w:val="0"/>
          <w:caps w:val="0"/>
          <w:color w:val="333333"/>
          <w:spacing w:val="0"/>
          <w:sz w:val="21"/>
          <w:szCs w:val="21"/>
          <w:shd w:val="clear" w:fill="FFFFFF"/>
          <w:vertAlign w:val="baseline"/>
        </w:rPr>
        <w:t>六、其他补充事宜</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本项目开标地点：西安市雁塔区科技路10号华奥大厦A座20层2002室开标室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（1）时间：上午09:00--12:00，下午13:30--17:00（工 作 日），现场购买招标文件时请携带单位介绍信原件、身份证原件及复印件加盖公章，售后不退，谢绝邮递。（2）在采购文件获取时间内通过电子邮箱发送电子版报名资料的方式获取采购文件，供应商出具的对领取人的授权委托书或介绍信以及领取人的身份证，加盖公章后以扫描件形式发送至shanxizhuoming_zb@163.com邮箱（邮件标题命名格式为“供应商名称+联系人+联系电话+项目名称”，标书费现金或银行转账支付）。招标文件将通过邮箱发送，无须现场购买。（3）请供应商按照陕西省财政厅关于政府采购供应商注册登记有关事项的通知中的要求，通过陕西省政府采购网（http://www.ccgp-shaanxi.gov.cn/）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3"/>
          <w:rFonts w:hint="eastAsia" w:ascii="宋体" w:hAnsi="宋体" w:eastAsia="宋体" w:cs="宋体"/>
          <w:b/>
          <w:bCs/>
          <w:i w:val="0"/>
          <w:iCs w:val="0"/>
          <w:caps w:val="0"/>
          <w:color w:val="333333"/>
          <w:spacing w:val="0"/>
          <w:sz w:val="21"/>
          <w:szCs w:val="21"/>
          <w:shd w:val="clear" w:fill="FFFFFF"/>
          <w:vertAlign w:val="baseline"/>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1.采购人信息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名称：陕西省中医医院</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地址：西安市莲湖区西华门2号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联系方式：于老师 029-87253806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2.采购代理机构信息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名称：陕西卓佲项目管理有限公司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地址：西安市雁塔区科技路10号华奥大厦A座20层2002室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联系方式：029-88440695</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3.项目联系方式</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项目联系人：米文佳 董菊莉 张倩</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beforeAutospacing="0" w:after="1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电话：029-88440695</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righ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陕西卓佲项目管理有限公司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0" w:beforeAutospacing="0" w:after="10" w:afterAutospacing="0" w:line="360" w:lineRule="auto"/>
        <w:ind w:left="0" w:right="0" w:firstLine="480"/>
        <w:jc w:val="righ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2022年07月14日</w:t>
      </w:r>
    </w:p>
    <w:p>
      <w:pPr>
        <w:bidi w:val="0"/>
      </w:pPr>
    </w:p>
    <w:p>
      <w:pPr>
        <w:pStyle w:val="4"/>
        <w:keepLines w:val="0"/>
        <w:ind w:firstLine="562" w:firstLineChars="175"/>
        <w:rPr>
          <w:rFonts w:ascii="宋体" w:hAnsi="宋体" w:cs="宋体"/>
        </w:rPr>
        <w:sectPr>
          <w:footerReference r:id="rId7" w:type="default"/>
          <w:pgSz w:w="11906" w:h="16838"/>
          <w:pgMar w:top="1440" w:right="1486" w:bottom="1440" w:left="1800" w:header="851" w:footer="992" w:gutter="0"/>
          <w:pgNumType w:fmt="decimal"/>
          <w:cols w:space="720" w:num="1"/>
          <w:docGrid w:type="lines" w:linePitch="312" w:charSpace="0"/>
        </w:sectPr>
      </w:pPr>
    </w:p>
    <w:p>
      <w:pPr>
        <w:pStyle w:val="4"/>
        <w:spacing w:before="312" w:beforeLines="100" w:after="156" w:afterLines="50" w:line="600" w:lineRule="exact"/>
        <w:rPr>
          <w:rFonts w:ascii="宋体" w:hAnsi="宋体" w:cs="宋体"/>
          <w:sz w:val="36"/>
          <w:szCs w:val="36"/>
        </w:rPr>
      </w:pPr>
      <w:bookmarkStart w:id="3" w:name="_Toc19435"/>
      <w:bookmarkStart w:id="4" w:name="_Toc30089"/>
      <w:bookmarkStart w:id="5" w:name="_Toc438048787"/>
      <w:r>
        <w:rPr>
          <w:rFonts w:hint="eastAsia" w:ascii="宋体" w:hAnsi="宋体" w:cs="宋体"/>
          <w:sz w:val="36"/>
          <w:szCs w:val="36"/>
        </w:rPr>
        <w:t>第二部分  供应商须知前附表</w:t>
      </w:r>
      <w:bookmarkEnd w:id="3"/>
      <w:bookmarkEnd w:id="4"/>
      <w:bookmarkEnd w:id="5"/>
    </w:p>
    <w:tbl>
      <w:tblPr>
        <w:tblStyle w:val="30"/>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numPr>
                <w:ilvl w:val="0"/>
                <w:numId w:val="2"/>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numPr>
                <w:ilvl w:val="0"/>
                <w:numId w:val="2"/>
              </w:numPr>
              <w:spacing w:line="360" w:lineRule="auto"/>
              <w:rPr>
                <w:rFonts w:ascii="宋体" w:hAnsi="宋体" w:cs="宋体"/>
                <w:sz w:val="24"/>
                <w:szCs w:val="24"/>
              </w:rPr>
            </w:pPr>
            <w:r>
              <w:rPr>
                <w:rFonts w:hint="eastAsia" w:ascii="宋体" w:hAnsi="宋体" w:cs="宋体"/>
                <w:sz w:val="24"/>
                <w:szCs w:val="24"/>
              </w:rPr>
              <w:t>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sz w:val="24"/>
                <w:szCs w:val="24"/>
              </w:rPr>
              <w:br w:type="textWrapping"/>
            </w:r>
            <w:r>
              <w:rPr>
                <w:rFonts w:hint="eastAsia" w:ascii="宋体" w:hAnsi="宋体" w:eastAsia="宋体" w:cs="宋体"/>
                <w:sz w:val="24"/>
                <w:szCs w:val="24"/>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sz w:val="24"/>
                <w:szCs w:val="24"/>
              </w:rPr>
              <w:br w:type="textWrapping"/>
            </w:r>
            <w:r>
              <w:rPr>
                <w:rFonts w:hint="eastAsia" w:ascii="宋体" w:hAnsi="宋体" w:eastAsia="宋体" w:cs="宋体"/>
                <w:sz w:val="24"/>
                <w:szCs w:val="24"/>
              </w:rPr>
              <w:t>（3）税收缴纳证明：提供2021年9月以来至少一个月的纳税证明或完税证明，依法免税的单位应提供相关证明材料； </w:t>
            </w:r>
            <w:r>
              <w:rPr>
                <w:rFonts w:hint="eastAsia" w:ascii="宋体" w:hAnsi="宋体" w:eastAsia="宋体" w:cs="宋体"/>
                <w:sz w:val="24"/>
                <w:szCs w:val="24"/>
              </w:rPr>
              <w:br w:type="textWrapping"/>
            </w:r>
            <w:r>
              <w:rPr>
                <w:rFonts w:hint="eastAsia" w:ascii="宋体" w:hAnsi="宋体" w:eastAsia="宋体" w:cs="宋体"/>
                <w:sz w:val="24"/>
                <w:szCs w:val="24"/>
              </w:rPr>
              <w:t>（4）社会保障资金缴纳证明：提供2021年9月以来至少一个月的社会保障资金缴存单据或社保机构开具的社会保险参保缴费情况证明。依法不需要缴纳社会保障资金的供应商应提供相关文件证明；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（5）具有履行合同所必需的设备和专业技术能力的书面声明；</w:t>
            </w:r>
            <w:r>
              <w:rPr>
                <w:rFonts w:hint="eastAsia" w:ascii="宋体" w:hAnsi="宋体" w:eastAsia="宋体" w:cs="宋体"/>
                <w:sz w:val="24"/>
                <w:szCs w:val="24"/>
              </w:rPr>
              <w:br w:type="textWrapping"/>
            </w:r>
            <w:r>
              <w:rPr>
                <w:rFonts w:hint="eastAsia" w:ascii="宋体" w:hAnsi="宋体" w:eastAsia="宋体" w:cs="宋体"/>
                <w:sz w:val="24"/>
                <w:szCs w:val="24"/>
              </w:rPr>
              <w:t>（6）非法定代表人参加投标的，须提供法定代表人委托授权书及被授权人身份证，法定代表人参加投标时,只需提供法定代表人身份证；</w:t>
            </w:r>
            <w:r>
              <w:rPr>
                <w:rFonts w:hint="eastAsia" w:ascii="宋体" w:hAnsi="宋体" w:eastAsia="宋体" w:cs="宋体"/>
                <w:sz w:val="24"/>
                <w:szCs w:val="24"/>
              </w:rPr>
              <w:br w:type="textWrapping"/>
            </w:r>
            <w:r>
              <w:rPr>
                <w:rFonts w:hint="eastAsia" w:ascii="宋体" w:hAnsi="宋体" w:eastAsia="宋体" w:cs="宋体"/>
                <w:sz w:val="24"/>
                <w:szCs w:val="24"/>
              </w:rPr>
              <w:t>(7)供应商须提供医疗器械经营许可证或备案凭证（所投产品须在其经营范围内）和所投产品的医疗器械产品注册证及其附件或备案凭证及所投产品的医疗器械生产许可证或备案凭证。</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（9）本项目不接受联合体投标。</w:t>
            </w:r>
          </w:p>
          <w:p>
            <w:pPr>
              <w:spacing w:line="360" w:lineRule="auto"/>
              <w:ind w:firstLine="422" w:firstLineChars="175"/>
              <w:jc w:val="left"/>
              <w:rPr>
                <w:rFonts w:ascii="宋体" w:hAnsi="宋体" w:cs="宋体"/>
                <w:sz w:val="24"/>
                <w:szCs w:val="24"/>
              </w:rPr>
            </w:pPr>
            <w:r>
              <w:rPr>
                <w:rFonts w:hint="eastAsia" w:ascii="宋体" w:hAnsi="宋体" w:cs="宋体"/>
                <w:b/>
                <w:bCs/>
                <w:sz w:val="24"/>
                <w:szCs w:val="24"/>
              </w:rPr>
              <w:t>以上项为资格审查必备资质。投标文件的正本和全部副本必须附上述资格证明文件，缺少其中一项或某项达不到公开招标要求，其投标文件按无效文件处理。（开标现场携带相关原件及供应商代表身份证备查）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符合性审查</w:t>
            </w:r>
          </w:p>
        </w:tc>
        <w:tc>
          <w:tcPr>
            <w:tcW w:w="7219" w:type="dxa"/>
          </w:tcPr>
          <w:p>
            <w:pPr>
              <w:pStyle w:val="16"/>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有下列情形之一的，应在符合性审查时按照无效投标处理。</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 xml:space="preserve">投标报价超过采购预算或者最高限价； </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投标文件的交货期不满足招标文件要求</w:t>
            </w:r>
            <w:r>
              <w:rPr>
                <w:rFonts w:hint="eastAsia" w:ascii="宋体" w:hAnsi="宋体" w:cs="宋体"/>
                <w:sz w:val="24"/>
                <w:szCs w:val="24"/>
                <w:lang w:eastAsia="zh-CN"/>
              </w:rPr>
              <w:t>；</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投标文件的质保期不满足招标文件要求；</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）投标文件的数量、签署、盖章、装订不符合招标文件要求；</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）投标文件无投标有效期或有效期达不到招标文件要求的；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）供应商未按照招标文件要求缴纳投标保证金或投标保证金缴纳金额少于招标文件要求的；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）供应商针对同一项目递交两份或多份内容不同的投标文件，未书面声明哪一份是有效的或出现选择性报价的；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）投标文件的标的或数量不满足采购要求的；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）“★”符号标明的条款为实质性要求和条件，投标文件对其中任何一条的负偏离，为实质性偏离，其投标无效；</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）投标文件含有采购人不能接受的附加条件的；</w:t>
            </w:r>
          </w:p>
          <w:p>
            <w:pPr>
              <w:spacing w:line="360" w:lineRule="auto"/>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w:t>
            </w:r>
            <w:r>
              <w:rPr>
                <w:rFonts w:ascii="宋体" w:hAnsi="宋体" w:cs="宋体"/>
                <w:b/>
                <w:bCs/>
                <w:sz w:val="24"/>
                <w:szCs w:val="24"/>
              </w:rPr>
              <w:t>供应商</w:t>
            </w:r>
            <w:r>
              <w:rPr>
                <w:rFonts w:hint="eastAsia" w:ascii="宋体" w:hAnsi="宋体" w:cs="宋体"/>
                <w:b/>
                <w:bCs/>
                <w:sz w:val="24"/>
                <w:szCs w:val="24"/>
              </w:rPr>
              <w:t>提供赠品、回扣或者与采购无关的其他商品、服务（不包括采购项目本身所包括涉及的采购事项，</w:t>
            </w:r>
            <w:r>
              <w:rPr>
                <w:rFonts w:ascii="宋体" w:hAnsi="宋体" w:cs="宋体"/>
                <w:b/>
                <w:bCs/>
                <w:sz w:val="24"/>
                <w:szCs w:val="24"/>
              </w:rPr>
              <w:t>供应商</w:t>
            </w:r>
            <w:r>
              <w:rPr>
                <w:rFonts w:hint="eastAsia" w:ascii="宋体" w:hAnsi="宋体" w:cs="宋体"/>
                <w:b/>
                <w:bCs/>
                <w:sz w:val="24"/>
                <w:szCs w:val="24"/>
              </w:rPr>
              <w:t>不能以“赠送、赠予”等任何名义提供货物和服务以规避招标文件的约束）。否则，供应商的投标行为将作为以不正当手段排挤其他供应商认定；</w:t>
            </w:r>
          </w:p>
          <w:p>
            <w:pPr>
              <w:spacing w:line="360" w:lineRule="auto"/>
              <w:rPr>
                <w:rFonts w:ascii="宋体" w:hAnsi="宋体" w:cs="宋体"/>
                <w:b/>
                <w:bCs/>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）法律、法规和招标文件规定的其他无效情形。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商务条款</w:t>
            </w:r>
          </w:p>
        </w:tc>
        <w:tc>
          <w:tcPr>
            <w:tcW w:w="721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rPr>
              <w:t>★</w:t>
            </w:r>
            <w:r>
              <w:rPr>
                <w:rFonts w:hint="eastAsia" w:ascii="宋体" w:hAnsi="宋体" w:eastAsia="宋体" w:cs="宋体"/>
                <w:sz w:val="24"/>
                <w:szCs w:val="24"/>
                <w:highlight w:val="none"/>
              </w:rPr>
              <w:t>1、交货期：合同签订后</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★2、质保期：验收合格后</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36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个月（如采购需求有特殊要求，以采购需求要求为准）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★3、交货地点：采购人指定地点。</w:t>
            </w:r>
          </w:p>
          <w:p>
            <w:pPr>
              <w:tabs>
                <w:tab w:val="left" w:pos="84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★4、付款方式：</w:t>
            </w:r>
            <w:r>
              <w:rPr>
                <w:rFonts w:hint="eastAsia" w:ascii="宋体" w:hAnsi="宋体" w:cs="宋体"/>
                <w:sz w:val="24"/>
                <w:szCs w:val="24"/>
                <w:highlight w:val="none"/>
              </w:rPr>
              <w:t>合同签订后30日内向乙方支付合同总价的30%，货物交付验收合格后，乙方连同货款发票，采购合同，货物验收单等相关材料送交甲方，甲方向乙方支付合同总金额的</w:t>
            </w:r>
            <w:r>
              <w:rPr>
                <w:rFonts w:hint="eastAsia" w:ascii="宋体" w:hAnsi="宋体" w:cs="宋体"/>
                <w:sz w:val="24"/>
                <w:szCs w:val="24"/>
                <w:highlight w:val="none"/>
                <w:lang w:val="en-US" w:eastAsia="zh-CN"/>
              </w:rPr>
              <w:t>60</w:t>
            </w:r>
            <w:r>
              <w:rPr>
                <w:rFonts w:hint="eastAsia" w:ascii="宋体" w:hAnsi="宋体" w:cs="宋体"/>
                <w:sz w:val="24"/>
                <w:szCs w:val="24"/>
                <w:highlight w:val="none"/>
              </w:rPr>
              <w:t>％，</w:t>
            </w:r>
            <w:r>
              <w:rPr>
                <w:rFonts w:hint="eastAsia" w:ascii="宋体" w:hAnsi="宋体" w:cs="宋体"/>
                <w:sz w:val="24"/>
                <w:szCs w:val="24"/>
                <w:highlight w:val="none"/>
                <w:lang w:eastAsia="zh-CN"/>
              </w:rPr>
              <w:t>验收合格一年后支付</w:t>
            </w:r>
            <w:r>
              <w:rPr>
                <w:rFonts w:hint="eastAsia" w:ascii="宋体" w:hAnsi="宋体" w:cs="宋体"/>
                <w:sz w:val="24"/>
                <w:szCs w:val="24"/>
                <w:highlight w:val="none"/>
              </w:rPr>
              <w:t>合同总金额的</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rPr>
              <w:t>剩余</w:t>
            </w:r>
            <w:r>
              <w:rPr>
                <w:rFonts w:hint="eastAsia" w:ascii="宋体" w:hAnsi="宋体" w:cs="宋体"/>
                <w:sz w:val="24"/>
                <w:szCs w:val="24"/>
                <w:highlight w:val="none"/>
                <w:lang w:val="en-US" w:eastAsia="zh-CN"/>
              </w:rPr>
              <w:t>5</w:t>
            </w:r>
            <w:r>
              <w:rPr>
                <w:rFonts w:hint="eastAsia" w:ascii="宋体" w:hAnsi="宋体" w:cs="宋体"/>
                <w:sz w:val="24"/>
                <w:szCs w:val="24"/>
                <w:highlight w:val="none"/>
              </w:rPr>
              <w:t>％于验收合格</w:t>
            </w:r>
            <w:r>
              <w:rPr>
                <w:rFonts w:hint="eastAsia" w:ascii="宋体" w:hAnsi="宋体" w:cs="宋体"/>
                <w:sz w:val="24"/>
                <w:szCs w:val="24"/>
                <w:highlight w:val="none"/>
                <w:lang w:eastAsia="zh-CN"/>
              </w:rPr>
              <w:t>三</w:t>
            </w:r>
            <w:r>
              <w:rPr>
                <w:rFonts w:hint="eastAsia" w:ascii="宋体" w:hAnsi="宋体" w:cs="宋体"/>
                <w:sz w:val="24"/>
                <w:szCs w:val="24"/>
                <w:highlight w:val="none"/>
              </w:rPr>
              <w:t>年后向乙方支付完成，不计算利息。</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sz w:val="24"/>
                <w:szCs w:val="24"/>
                <w:highlight w:val="none"/>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投标保证金</w:t>
            </w:r>
          </w:p>
          <w:p>
            <w:pPr>
              <w:spacing w:line="360" w:lineRule="auto"/>
              <w:jc w:val="center"/>
              <w:rPr>
                <w:rFonts w:ascii="宋体" w:hAnsi="宋体" w:cs="宋体"/>
                <w:sz w:val="24"/>
                <w:szCs w:val="24"/>
              </w:rPr>
            </w:pPr>
            <w:r>
              <w:rPr>
                <w:rFonts w:hint="eastAsia" w:ascii="宋体" w:hAnsi="宋体" w:cs="宋体"/>
                <w:sz w:val="24"/>
                <w:szCs w:val="24"/>
              </w:rPr>
              <w:t>缴纳</w:t>
            </w:r>
          </w:p>
        </w:tc>
        <w:tc>
          <w:tcPr>
            <w:tcW w:w="7219" w:type="dxa"/>
          </w:tcPr>
          <w:p>
            <w:pPr>
              <w:pStyle w:val="10"/>
              <w:numPr>
                <w:ilvl w:val="0"/>
                <w:numId w:val="0"/>
              </w:numPr>
              <w:spacing w:line="360" w:lineRule="auto"/>
              <w:jc w:val="left"/>
              <w:rPr>
                <w:rFonts w:hint="default" w:eastAsia="宋体"/>
                <w:highlight w:val="none"/>
                <w:lang w:val="en-US" w:eastAsia="zh-CN"/>
              </w:rPr>
            </w:pP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保证金的缴纳：</w:t>
            </w:r>
            <w:r>
              <w:rPr>
                <w:rFonts w:hint="eastAsia" w:ascii="宋体" w:hAnsi="宋体" w:cs="宋体"/>
                <w:b/>
                <w:bCs/>
                <w:sz w:val="24"/>
                <w:szCs w:val="24"/>
                <w:highlight w:val="none"/>
                <w:lang w:eastAsia="zh-CN"/>
              </w:rPr>
              <w:t>人民币贰万元整（</w:t>
            </w:r>
            <w:r>
              <w:rPr>
                <w:rFonts w:hint="eastAsia" w:ascii="宋体" w:hAnsi="宋体" w:cs="宋体"/>
                <w:b/>
                <w:bCs/>
                <w:sz w:val="24"/>
                <w:szCs w:val="24"/>
                <w:highlight w:val="none"/>
                <w:lang w:val="en-US" w:eastAsia="zh-CN"/>
              </w:rPr>
              <w:t>20000.00元</w:t>
            </w:r>
            <w:r>
              <w:rPr>
                <w:rFonts w:hint="eastAsia" w:ascii="宋体" w:hAnsi="宋体" w:cs="宋体"/>
                <w:b/>
                <w:bCs/>
                <w:sz w:val="24"/>
                <w:szCs w:val="24"/>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ascii="宋体" w:hAnsi="宋体" w:cs="宋体"/>
                <w:sz w:val="24"/>
                <w:szCs w:val="24"/>
                <w:highlight w:val="none"/>
              </w:rPr>
            </w:pPr>
            <w:r>
              <w:rPr>
                <w:rFonts w:hint="eastAsia" w:ascii="宋体" w:hAnsi="宋体" w:cs="宋体"/>
                <w:sz w:val="24"/>
                <w:szCs w:val="24"/>
                <w:highlight w:val="none"/>
              </w:rPr>
              <w:t xml:space="preserve">   缴纳截止时间：同投标文件递交截止时间一致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175"/>
              <w:jc w:val="left"/>
              <w:textAlignment w:val="auto"/>
              <w:rPr>
                <w:rFonts w:ascii="宋体" w:hAnsi="宋体" w:cs="宋体"/>
                <w:sz w:val="24"/>
                <w:szCs w:val="24"/>
                <w:highlight w:val="none"/>
              </w:rPr>
            </w:pPr>
            <w:r>
              <w:rPr>
                <w:rFonts w:hint="eastAsia" w:ascii="宋体" w:hAnsi="宋体" w:cs="宋体"/>
                <w:sz w:val="24"/>
                <w:szCs w:val="24"/>
                <w:highlight w:val="none"/>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户名：陕西卓佲项目管理有限公司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开户行名称：中国光大银行西安太白路支行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账号：78590188000191476</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咨询电话：029-88440695财务高老师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highlight w:val="none"/>
              </w:rPr>
            </w:pPr>
            <w:r>
              <w:rPr>
                <w:rFonts w:hint="eastAsia" w:ascii="宋体" w:hAnsi="宋体" w:cs="宋体"/>
                <w:sz w:val="24"/>
                <w:szCs w:val="24"/>
                <w:highlight w:val="none"/>
              </w:rPr>
              <w:t>转账摘要：</w:t>
            </w:r>
            <w:r>
              <w:rPr>
                <w:rFonts w:hint="eastAsia" w:ascii="宋体" w:hAnsi="宋体" w:cs="宋体"/>
                <w:sz w:val="24"/>
                <w:szCs w:val="24"/>
                <w:highlight w:val="none"/>
                <w:lang w:eastAsia="zh-CN"/>
              </w:rPr>
              <w:t>陕</w:t>
            </w:r>
            <w:r>
              <w:rPr>
                <w:rFonts w:hint="eastAsia" w:ascii="宋体" w:hAnsi="宋体" w:cs="宋体"/>
                <w:sz w:val="24"/>
                <w:szCs w:val="24"/>
                <w:highlight w:val="none"/>
                <w:lang w:val="en-US" w:eastAsia="zh-CN"/>
              </w:rPr>
              <w:t>中医</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129  </w:t>
            </w:r>
            <w:r>
              <w:rPr>
                <w:rFonts w:hint="eastAsia" w:ascii="宋体" w:hAnsi="宋体" w:cs="宋体"/>
                <w:sz w:val="24"/>
                <w:szCs w:val="24"/>
                <w:highlight w:val="none"/>
              </w:rPr>
              <w:t>投标保证金</w:t>
            </w:r>
          </w:p>
          <w:p>
            <w:pPr>
              <w:pStyle w:val="7"/>
              <w:pageBreakBefore w:val="0"/>
              <w:widowControl w:val="0"/>
              <w:numPr>
                <w:ilvl w:val="0"/>
                <w:numId w:val="4"/>
              </w:numPr>
              <w:kinsoku/>
              <w:wordWrap/>
              <w:overflowPunct/>
              <w:topLinePunct w:val="0"/>
              <w:autoSpaceDE/>
              <w:autoSpaceDN/>
              <w:bidi w:val="0"/>
              <w:spacing w:line="360" w:lineRule="auto"/>
              <w:textAlignment w:val="auto"/>
              <w:rPr>
                <w:rFonts w:hint="default" w:ascii="宋体" w:hAnsi="宋体" w:cs="宋体"/>
                <w:sz w:val="24"/>
                <w:szCs w:val="24"/>
                <w:highlight w:val="none"/>
              </w:rPr>
            </w:pPr>
            <w:r>
              <w:rPr>
                <w:rFonts w:ascii="宋体" w:hAnsi="宋体" w:cs="宋体"/>
                <w:sz w:val="24"/>
                <w:szCs w:val="24"/>
                <w:highlight w:val="none"/>
              </w:rPr>
              <w:t>保证金的退还</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2.1未成交的供应商在退取投标保证金时，须携带以下资料办理到代理机构的财务部门办理: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textAlignment w:val="auto"/>
              <w:rPr>
                <w:rFonts w:ascii="宋体" w:hAnsi="宋体" w:cs="宋体"/>
                <w:sz w:val="24"/>
                <w:szCs w:val="24"/>
                <w:highlight w:val="none"/>
              </w:rPr>
            </w:pPr>
            <w:r>
              <w:rPr>
                <w:rFonts w:hint="eastAsia" w:ascii="宋体" w:hAnsi="宋体" w:cs="宋体"/>
                <w:sz w:val="24"/>
                <w:szCs w:val="24"/>
                <w:highlight w:val="none"/>
              </w:rPr>
              <w:t>保证金汇款凭证复印件加盖公章；</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textAlignment w:val="auto"/>
              <w:rPr>
                <w:rFonts w:ascii="宋体" w:hAnsi="宋体" w:cs="宋体"/>
                <w:sz w:val="24"/>
                <w:szCs w:val="24"/>
                <w:highlight w:val="none"/>
              </w:rPr>
            </w:pPr>
            <w:r>
              <w:rPr>
                <w:rFonts w:hint="eastAsia" w:ascii="宋体" w:hAnsi="宋体" w:cs="宋体"/>
                <w:sz w:val="24"/>
                <w:szCs w:val="24"/>
                <w:highlight w:val="none"/>
              </w:rPr>
              <w:t>保证金退还信息确认表（加盖公章）见</w:t>
            </w:r>
            <w:r>
              <w:rPr>
                <w:rFonts w:hint="eastAsia" w:ascii="宋体" w:hAnsi="宋体" w:cs="宋体"/>
                <w:b/>
                <w:bCs/>
                <w:sz w:val="24"/>
                <w:szCs w:val="24"/>
                <w:highlight w:val="none"/>
              </w:rPr>
              <w:t>附件七</w:t>
            </w:r>
            <w:r>
              <w:rPr>
                <w:rFonts w:hint="eastAsia" w:ascii="宋体" w:hAnsi="宋体" w:cs="宋体"/>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 w:val="24"/>
                <w:szCs w:val="24"/>
                <w:highlight w:val="none"/>
              </w:rPr>
            </w:pPr>
            <w:r>
              <w:rPr>
                <w:rFonts w:hint="eastAsia" w:ascii="宋体" w:hAnsi="宋体" w:cs="宋体"/>
                <w:sz w:val="24"/>
                <w:szCs w:val="24"/>
                <w:highlight w:val="none"/>
              </w:rPr>
              <w:t>供应商可在开标当天将保证金退还账户信息确认表与</w:t>
            </w:r>
            <w:r>
              <w:rPr>
                <w:rFonts w:hint="eastAsia" w:ascii="宋体" w:hAnsi="宋体" w:cs="宋体"/>
                <w:bCs/>
                <w:sz w:val="24"/>
                <w:szCs w:val="24"/>
                <w:highlight w:val="none"/>
              </w:rPr>
              <w:t>保证金汇款凭证复印件加盖公章</w:t>
            </w:r>
            <w:r>
              <w:rPr>
                <w:rFonts w:hint="eastAsia" w:ascii="宋体" w:hAnsi="宋体" w:cs="宋体"/>
                <w:sz w:val="24"/>
                <w:szCs w:val="24"/>
                <w:highlight w:val="none"/>
              </w:rPr>
              <w:t>一并交给工作人员，当天未提交保证金退还账户信息确认表与投标保证金</w:t>
            </w:r>
            <w:r>
              <w:rPr>
                <w:rFonts w:hint="eastAsia" w:ascii="宋体" w:hAnsi="宋体" w:cs="宋体"/>
                <w:bCs/>
                <w:sz w:val="24"/>
                <w:szCs w:val="24"/>
                <w:highlight w:val="none"/>
              </w:rPr>
              <w:t>汇款凭证复印件加盖公章</w:t>
            </w:r>
            <w:r>
              <w:rPr>
                <w:rFonts w:hint="eastAsia" w:ascii="宋体" w:hAnsi="宋体" w:cs="宋体"/>
                <w:sz w:val="24"/>
                <w:szCs w:val="24"/>
                <w:highlight w:val="none"/>
              </w:rPr>
              <w:t>的供应商，在开标后将以上资料盖章扫描件发送至邮箱shanxizhuoming_zb@163.com并致电告知。</w:t>
            </w:r>
          </w:p>
          <w:p>
            <w:pPr>
              <w:pStyle w:val="3"/>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kern w:val="2"/>
                <w:highlight w:val="none"/>
              </w:rPr>
            </w:pPr>
            <w:r>
              <w:rPr>
                <w:rFonts w:hint="eastAsia" w:ascii="宋体" w:hAnsi="宋体" w:cs="宋体"/>
                <w:color w:val="auto"/>
                <w:kern w:val="2"/>
                <w:highlight w:val="none"/>
              </w:rPr>
              <w:t>2.2中标供应商在退取投标保证金时，除携带上述资料外还需携带与采购人签订的采购合同。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w:t>
            </w:r>
          </w:p>
          <w:p>
            <w:pPr>
              <w:spacing w:line="360" w:lineRule="auto"/>
              <w:jc w:val="center"/>
              <w:rPr>
                <w:rFonts w:ascii="宋体" w:hAnsi="宋体" w:cs="宋体"/>
                <w:sz w:val="24"/>
                <w:szCs w:val="24"/>
              </w:rPr>
            </w:pPr>
            <w:r>
              <w:rPr>
                <w:rFonts w:hint="eastAsia" w:ascii="宋体" w:hAnsi="宋体" w:cs="宋体"/>
                <w:sz w:val="24"/>
                <w:szCs w:val="24"/>
              </w:rPr>
              <w:t>有效期</w:t>
            </w:r>
          </w:p>
        </w:tc>
        <w:tc>
          <w:tcPr>
            <w:tcW w:w="7219" w:type="dxa"/>
            <w:vAlign w:val="center"/>
          </w:tcPr>
          <w:p>
            <w:pPr>
              <w:spacing w:line="360" w:lineRule="auto"/>
              <w:rPr>
                <w:rFonts w:ascii="宋体" w:hAnsi="宋体" w:cs="宋体"/>
                <w:sz w:val="24"/>
                <w:szCs w:val="24"/>
              </w:rPr>
            </w:pPr>
            <w:r>
              <w:rPr>
                <w:rFonts w:hint="eastAsia" w:ascii="宋体" w:hAnsi="宋体" w:cs="宋体"/>
                <w:b/>
                <w:bCs/>
                <w:sz w:val="24"/>
                <w:szCs w:val="24"/>
              </w:rPr>
              <w:t>投标文件有效期为从开标之日起有效期至少为90日历日。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投标货币及报价</w:t>
            </w:r>
          </w:p>
        </w:tc>
        <w:tc>
          <w:tcPr>
            <w:tcW w:w="7219" w:type="dxa"/>
            <w:vAlign w:val="center"/>
          </w:tcPr>
          <w:p>
            <w:pPr>
              <w:numPr>
                <w:ilvl w:val="0"/>
                <w:numId w:val="6"/>
              </w:numPr>
              <w:spacing w:line="360" w:lineRule="auto"/>
              <w:ind w:firstLine="0"/>
              <w:jc w:val="left"/>
              <w:rPr>
                <w:rFonts w:ascii="宋体" w:hAnsi="宋体" w:cs="宋体"/>
                <w:sz w:val="24"/>
                <w:szCs w:val="24"/>
              </w:rPr>
            </w:pPr>
            <w:r>
              <w:rPr>
                <w:rFonts w:hint="eastAsia" w:ascii="宋体" w:hAnsi="宋体" w:cs="宋体"/>
                <w:b/>
                <w:bCs/>
                <w:sz w:val="24"/>
                <w:szCs w:val="24"/>
              </w:rPr>
              <w:t>供应商应当根据招标文件的要求和范围，以人民币为货币，以元为报价单位</w:t>
            </w:r>
            <w:r>
              <w:rPr>
                <w:rFonts w:hint="eastAsia" w:ascii="宋体" w:hAnsi="宋体" w:cs="宋体"/>
                <w:sz w:val="24"/>
                <w:szCs w:val="24"/>
              </w:rPr>
              <w:t>。</w:t>
            </w:r>
          </w:p>
          <w:p>
            <w:pPr>
              <w:numPr>
                <w:ilvl w:val="0"/>
                <w:numId w:val="6"/>
              </w:numPr>
              <w:spacing w:line="360" w:lineRule="auto"/>
              <w:ind w:firstLine="0"/>
              <w:jc w:val="left"/>
              <w:rPr>
                <w:rFonts w:ascii="宋体" w:hAnsi="宋体" w:cs="宋体"/>
                <w:sz w:val="24"/>
                <w:szCs w:val="24"/>
              </w:rPr>
            </w:pPr>
            <w:r>
              <w:rPr>
                <w:rFonts w:hint="eastAsia" w:ascii="宋体" w:hAnsi="宋体" w:cs="宋体"/>
                <w:b/>
                <w:bCs/>
                <w:sz w:val="24"/>
                <w:szCs w:val="24"/>
              </w:rPr>
              <w:t>供应商应在投标报价表中标明完成本次招标所要求的货物、服务且验收合格的所有费用，包括产品费、安装调试费、运杂费（含保险）、仓储保管费、技术培训费、检测费、施工费、运输费、人工费、税金及进口产品国家按现行税收政策征收的一切税费等</w:t>
            </w:r>
            <w:r>
              <w:rPr>
                <w:rFonts w:hint="eastAsia" w:ascii="宋体" w:hAnsi="宋体" w:cs="宋体"/>
                <w:sz w:val="24"/>
                <w:szCs w:val="24"/>
              </w:rPr>
              <w:t>。投标报价表中标明本次货物、服务的所有单项价格和总价，任何有选择的报价将不予接受，否则按无效投标处理。</w:t>
            </w:r>
          </w:p>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供应商应在投标文件中的开标一览表上按招标文件规定要求填写，并由法定代表人或被授权人代表签署；任何有选择的报价不予接受。</w:t>
            </w:r>
          </w:p>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开标一览表与分项报价表中的价格，在合同执行过程中，均不得以任何理由变更。</w:t>
            </w:r>
          </w:p>
          <w:p>
            <w:pPr>
              <w:numPr>
                <w:ilvl w:val="0"/>
                <w:numId w:val="6"/>
              </w:numPr>
              <w:spacing w:line="360" w:lineRule="auto"/>
              <w:ind w:firstLine="0"/>
              <w:jc w:val="left"/>
              <w:rPr>
                <w:rFonts w:ascii="宋体" w:hAnsi="宋体" w:cs="宋体"/>
                <w:sz w:val="24"/>
                <w:szCs w:val="24"/>
              </w:rPr>
            </w:pPr>
            <w:r>
              <w:rPr>
                <w:rFonts w:hint="eastAsia" w:ascii="宋体" w:hAnsi="宋体" w:cs="宋体"/>
                <w:sz w:val="24"/>
                <w:szCs w:val="24"/>
              </w:rPr>
              <w:t>采用综合评分法的，最低报价不是中标的唯一依据。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1、投标文件正本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肆</w:t>
            </w:r>
            <w:r>
              <w:rPr>
                <w:rFonts w:hint="eastAsia" w:ascii="宋体" w:hAnsi="宋体" w:cs="宋体"/>
                <w:sz w:val="24"/>
                <w:szCs w:val="24"/>
              </w:rPr>
              <w:t>份、开标一览表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60" w:lineRule="auto"/>
              <w:jc w:val="left"/>
              <w:rPr>
                <w:rFonts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报价一览表”应为原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0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投标文件的签署</w:t>
            </w:r>
          </w:p>
        </w:tc>
        <w:tc>
          <w:tcPr>
            <w:tcW w:w="7219" w:type="dxa"/>
            <w:vAlign w:val="center"/>
          </w:tcPr>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投标文件的密封</w:t>
            </w:r>
          </w:p>
        </w:tc>
        <w:tc>
          <w:tcPr>
            <w:tcW w:w="7219" w:type="dxa"/>
            <w:vAlign w:val="center"/>
          </w:tcPr>
          <w:p>
            <w:pPr>
              <w:pStyle w:val="65"/>
              <w:spacing w:line="360" w:lineRule="auto"/>
              <w:rPr>
                <w:kern w:val="2"/>
              </w:rPr>
            </w:pPr>
            <w:r>
              <w:rPr>
                <w:rFonts w:hint="eastAsia"/>
                <w:kern w:val="2"/>
              </w:rPr>
              <w:t>1、密封要求：</w:t>
            </w:r>
          </w:p>
          <w:p>
            <w:pPr>
              <w:pStyle w:val="65"/>
              <w:spacing w:line="360" w:lineRule="auto"/>
              <w:rPr>
                <w:rFonts w:hint="eastAsia" w:eastAsia="宋体"/>
                <w:kern w:val="2"/>
                <w:lang w:eastAsia="zh-CN"/>
              </w:rPr>
            </w:pPr>
            <w:r>
              <w:rPr>
                <w:rFonts w:hint="eastAsia"/>
                <w:kern w:val="2"/>
              </w:rPr>
              <w:t>开标一览表单独密封递交</w:t>
            </w:r>
            <w:r>
              <w:rPr>
                <w:rFonts w:hint="eastAsia"/>
                <w:kern w:val="2"/>
                <w:lang w:eastAsia="zh-CN"/>
              </w:rPr>
              <w:t>，</w:t>
            </w:r>
          </w:p>
          <w:p>
            <w:pPr>
              <w:pStyle w:val="65"/>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spacing w:line="360" w:lineRule="auto"/>
              <w:jc w:val="left"/>
              <w:rPr>
                <w:rFonts w:ascii="宋体" w:hAnsi="宋体" w:cs="宋体"/>
                <w:sz w:val="24"/>
                <w:szCs w:val="24"/>
              </w:rPr>
            </w:pPr>
            <w:r>
              <w:rPr>
                <w:rFonts w:hint="eastAsia" w:ascii="宋体" w:hAnsi="宋体" w:cs="宋体"/>
                <w:sz w:val="24"/>
                <w:szCs w:val="24"/>
              </w:rPr>
              <w:t>2、在封袋正面标明“正本”“副本”“电子版”“开标一览表”字样。封袋应密封完整，封袋正面要粘贴供应商全称、项目名称、编号、</w:t>
            </w:r>
            <w:r>
              <w:rPr>
                <w:rFonts w:hint="eastAsia" w:ascii="宋体" w:hAnsi="宋体" w:cs="宋体"/>
                <w:sz w:val="24"/>
                <w:szCs w:val="24"/>
                <w:lang w:val="en-US" w:eastAsia="zh-CN"/>
              </w:rPr>
              <w:t>包号</w:t>
            </w:r>
            <w:r>
              <w:rPr>
                <w:rFonts w:hint="eastAsia" w:ascii="宋体" w:hAnsi="宋体" w:cs="宋体"/>
                <w:sz w:val="24"/>
                <w:szCs w:val="24"/>
              </w:rPr>
              <w:t>等标识、且投标文件袋上应加盖供应商公章（封面标识见招标文件附件一）如果未按上述规定进行密封，供应商的投标文件有权被拒绝。</w:t>
            </w:r>
          </w:p>
          <w:p>
            <w:pPr>
              <w:spacing w:line="360" w:lineRule="auto"/>
              <w:jc w:val="left"/>
              <w:rPr>
                <w:rFonts w:ascii="宋体" w:hAnsi="宋体" w:cs="宋体"/>
                <w:sz w:val="24"/>
                <w:szCs w:val="24"/>
              </w:rPr>
            </w:pPr>
            <w:r>
              <w:rPr>
                <w:rFonts w:hint="eastAsia" w:ascii="宋体" w:hAnsi="宋体" w:cs="宋体"/>
                <w:sz w:val="24"/>
                <w:szCs w:val="24"/>
              </w:rPr>
              <w:t>3、如果供应商未按上述要求密封及加写标记，误投或过早启封的投标文件，将自行承担其投标文件被视为无效投标文件的风险。</w:t>
            </w:r>
          </w:p>
          <w:p>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本次招标只接受简体中文文字的投标文件；如投标文件中出现外文资料，必须配以中文译文。否则，由此引发的一切责任由供应商自负。</w:t>
            </w:r>
          </w:p>
          <w:p>
            <w:pPr>
              <w:spacing w:line="360" w:lineRule="auto"/>
              <w:jc w:val="left"/>
              <w:rPr>
                <w:rFonts w:ascii="宋体" w:hAnsi="宋体" w:cs="宋体"/>
                <w:color w:val="FF0000"/>
                <w:sz w:val="24"/>
                <w:szCs w:val="24"/>
              </w:rPr>
            </w:pPr>
            <w:r>
              <w:rPr>
                <w:rFonts w:hint="eastAsia" w:ascii="宋体" w:hAnsi="宋体" w:cs="宋体"/>
                <w:sz w:val="24"/>
                <w:szCs w:val="24"/>
                <w:lang w:val="en-US" w:eastAsia="zh-CN"/>
              </w:rPr>
              <w:t>5</w:t>
            </w:r>
            <w:r>
              <w:rPr>
                <w:rFonts w:hint="eastAsia" w:ascii="宋体" w:hAnsi="宋体" w:cs="宋体"/>
                <w:sz w:val="24"/>
                <w:szCs w:val="24"/>
              </w:rPr>
              <w:t>、拒绝接受以电话、传真、电子邮件形式的投标。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12</w:t>
            </w:r>
          </w:p>
        </w:tc>
        <w:tc>
          <w:tcPr>
            <w:tcW w:w="1494" w:type="dxa"/>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是否采购进口产品</w:t>
            </w:r>
          </w:p>
        </w:tc>
        <w:tc>
          <w:tcPr>
            <w:tcW w:w="7219" w:type="dxa"/>
            <w:vAlign w:val="center"/>
          </w:tcPr>
          <w:p>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现场勘查</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 xml:space="preserve"> 参照国家计委颁布的《招标代理服务收费管理暂行办法》（计价格[2002]1980号）和发改办价格[2003]857号文件等法律法规规定的计价标准下浮</w:t>
            </w:r>
            <w:r>
              <w:rPr>
                <w:rFonts w:hint="eastAsia" w:ascii="宋体" w:hAnsi="宋体" w:cs="宋体"/>
                <w:sz w:val="24"/>
                <w:szCs w:val="24"/>
                <w:lang w:val="en-US" w:eastAsia="zh-CN"/>
              </w:rPr>
              <w:t>2</w:t>
            </w:r>
            <w:r>
              <w:rPr>
                <w:rFonts w:hint="eastAsia" w:ascii="宋体" w:hAnsi="宋体" w:cs="宋体"/>
                <w:sz w:val="24"/>
                <w:szCs w:val="24"/>
              </w:rPr>
              <w:t>0%收取</w:t>
            </w:r>
            <w:r>
              <w:rPr>
                <w:rFonts w:hint="eastAsia" w:ascii="宋体" w:hAnsi="宋体" w:cs="宋体"/>
                <w:sz w:val="24"/>
                <w:szCs w:val="24"/>
                <w:lang w:eastAsia="zh-CN"/>
              </w:rPr>
              <w:t>。</w:t>
            </w:r>
          </w:p>
          <w:p>
            <w:pPr>
              <w:spacing w:line="360" w:lineRule="auto"/>
            </w:pPr>
            <w:r>
              <w:rPr>
                <w:rFonts w:hint="eastAsia" w:ascii="宋体" w:hAnsi="宋体" w:cs="宋体"/>
                <w:sz w:val="24"/>
                <w:szCs w:val="24"/>
              </w:rPr>
              <w:t>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项目属性</w:t>
            </w:r>
          </w:p>
        </w:tc>
        <w:tc>
          <w:tcPr>
            <w:tcW w:w="7219" w:type="dxa"/>
            <w:vAlign w:val="center"/>
          </w:tcPr>
          <w:p>
            <w:pPr>
              <w:pStyle w:val="22"/>
              <w:rPr>
                <w:rFonts w:ascii="仿宋" w:hAnsi="仿宋" w:cs="Courier New"/>
                <w:color w:val="000000"/>
                <w:sz w:val="24"/>
                <w:szCs w:val="24"/>
              </w:rPr>
            </w:pPr>
            <w:r>
              <w:rPr>
                <w:rFonts w:hint="eastAsia" w:ascii="仿宋" w:hAnsi="仿宋" w:cs="Courier New"/>
                <w:color w:val="000000"/>
                <w:sz w:val="24"/>
                <w:szCs w:val="24"/>
              </w:rPr>
              <w:t>货物招标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所属行业</w:t>
            </w:r>
          </w:p>
        </w:tc>
        <w:tc>
          <w:tcPr>
            <w:tcW w:w="7219" w:type="dxa"/>
            <w:vAlign w:val="center"/>
          </w:tcPr>
          <w:p>
            <w:pPr>
              <w:pStyle w:val="22"/>
              <w:rPr>
                <w:rFonts w:ascii="仿宋" w:hAnsi="仿宋" w:cs="Courier New"/>
                <w:color w:val="000000"/>
                <w:sz w:val="24"/>
                <w:szCs w:val="24"/>
              </w:rPr>
            </w:pPr>
            <w:r>
              <w:rPr>
                <w:rFonts w:hint="eastAsia" w:ascii="仿宋" w:hAnsi="仿宋" w:cs="Courier New"/>
                <w:color w:val="000000"/>
                <w:sz w:val="24"/>
                <w:szCs w:val="24"/>
              </w:rPr>
              <w:t>所有标的所属行业为工业。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4" w:hRule="atLeast"/>
        </w:trPr>
        <w:tc>
          <w:tcPr>
            <w:tcW w:w="505"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18</w:t>
            </w:r>
          </w:p>
        </w:tc>
        <w:tc>
          <w:tcPr>
            <w:tcW w:w="1494" w:type="dxa"/>
            <w:vAlign w:val="center"/>
          </w:tcPr>
          <w:p>
            <w:pPr>
              <w:jc w:val="center"/>
              <w:rPr>
                <w:rFonts w:hint="eastAsia" w:ascii="仿宋" w:hAnsi="仿宋" w:eastAsia="宋体" w:cs="Courier New"/>
                <w:color w:val="000000"/>
                <w:kern w:val="2"/>
                <w:sz w:val="24"/>
                <w:szCs w:val="24"/>
                <w:lang w:val="en-US" w:eastAsia="zh-CN" w:bidi="ar-SA"/>
              </w:rPr>
            </w:pPr>
            <w:r>
              <w:rPr>
                <w:rFonts w:hint="eastAsia" w:ascii="仿宋" w:hAnsi="仿宋" w:eastAsia="宋体" w:cs="Courier New"/>
                <w:color w:val="000000"/>
                <w:kern w:val="2"/>
                <w:sz w:val="24"/>
                <w:szCs w:val="24"/>
                <w:lang w:val="en-US" w:eastAsia="zh-CN" w:bidi="ar-SA"/>
              </w:rPr>
              <w:t>核心产品</w:t>
            </w:r>
          </w:p>
        </w:tc>
        <w:tc>
          <w:tcPr>
            <w:tcW w:w="7219" w:type="dxa"/>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宋体" w:cs="Courier New"/>
                <w:color w:val="000000"/>
                <w:kern w:val="2"/>
                <w:sz w:val="24"/>
                <w:szCs w:val="24"/>
                <w:lang w:val="en-US" w:eastAsia="zh-CN" w:bidi="ar-SA"/>
              </w:rPr>
            </w:pPr>
            <w:r>
              <w:rPr>
                <w:rFonts w:hint="default" w:ascii="仿宋" w:hAnsi="仿宋" w:eastAsia="宋体" w:cs="Courier New"/>
                <w:b/>
                <w:bCs/>
                <w:color w:val="000000"/>
                <w:kern w:val="2"/>
                <w:sz w:val="24"/>
                <w:szCs w:val="24"/>
                <w:lang w:val="en-US" w:eastAsia="zh-CN" w:bidi="ar-SA"/>
              </w:rPr>
              <w:t>化学发光免疫分析仪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494" w:type="dxa"/>
            <w:vAlign w:val="center"/>
          </w:tcPr>
          <w:p>
            <w:pPr>
              <w:spacing w:line="360" w:lineRule="auto"/>
              <w:jc w:val="center"/>
              <w:rPr>
                <w:rFonts w:hint="eastAsia" w:ascii="仿宋" w:hAnsi="仿宋" w:eastAsia="宋体" w:cs="Courier New"/>
                <w:color w:val="000000"/>
                <w:kern w:val="2"/>
                <w:sz w:val="24"/>
                <w:szCs w:val="24"/>
                <w:lang w:val="en-US" w:eastAsia="zh-CN" w:bidi="ar-SA"/>
              </w:rPr>
            </w:pPr>
            <w:r>
              <w:rPr>
                <w:rFonts w:hint="eastAsia" w:ascii="仿宋" w:hAnsi="仿宋" w:eastAsia="宋体" w:cs="Courier New"/>
                <w:color w:val="000000"/>
                <w:kern w:val="2"/>
                <w:sz w:val="24"/>
                <w:szCs w:val="24"/>
                <w:lang w:val="en-US" w:eastAsia="zh-CN" w:bidi="ar-SA"/>
              </w:rPr>
              <w:t>是否专门面向中小企业</w:t>
            </w:r>
          </w:p>
        </w:tc>
        <w:tc>
          <w:tcPr>
            <w:tcW w:w="7219" w:type="dxa"/>
            <w:vAlign w:val="center"/>
          </w:tcPr>
          <w:p>
            <w:pPr>
              <w:ind w:right="158" w:rightChars="75"/>
              <w:rPr>
                <w:rFonts w:hint="eastAsia" w:ascii="仿宋" w:hAnsi="仿宋" w:eastAsia="宋体" w:cs="Courier New"/>
                <w:color w:val="000000"/>
                <w:kern w:val="2"/>
                <w:sz w:val="24"/>
                <w:szCs w:val="24"/>
                <w:lang w:val="en-US" w:eastAsia="zh-CN" w:bidi="ar-SA"/>
              </w:rPr>
            </w:pPr>
            <w:r>
              <w:rPr>
                <w:rFonts w:hint="eastAsia" w:ascii="仿宋" w:hAnsi="仿宋" w:eastAsia="宋体" w:cs="Courier New"/>
                <w:color w:val="000000"/>
                <w:kern w:val="2"/>
                <w:sz w:val="24"/>
                <w:szCs w:val="24"/>
                <w:lang w:val="en-US" w:eastAsia="zh-CN" w:bidi="ar-S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494" w:type="dxa"/>
            <w:vAlign w:val="center"/>
          </w:tcPr>
          <w:p>
            <w:pPr>
              <w:spacing w:line="360" w:lineRule="auto"/>
              <w:jc w:val="center"/>
              <w:rPr>
                <w:rFonts w:hint="eastAsia" w:ascii="仿宋" w:hAnsi="仿宋" w:eastAsia="宋体" w:cs="Courier New"/>
                <w:color w:val="000000"/>
                <w:kern w:val="2"/>
                <w:sz w:val="24"/>
                <w:szCs w:val="24"/>
                <w:lang w:val="zh-CN" w:eastAsia="zh-CN" w:bidi="ar-SA"/>
              </w:rPr>
            </w:pPr>
            <w:r>
              <w:rPr>
                <w:rFonts w:hint="eastAsia" w:ascii="仿宋" w:hAnsi="仿宋" w:eastAsia="宋体" w:cs="Courier New"/>
                <w:color w:val="000000"/>
                <w:kern w:val="2"/>
                <w:sz w:val="24"/>
                <w:szCs w:val="24"/>
                <w:lang w:val="zh-CN" w:eastAsia="zh-CN" w:bidi="ar-SA"/>
              </w:rPr>
              <w:t>是否允许大中企业</w:t>
            </w:r>
          </w:p>
          <w:p>
            <w:pPr>
              <w:spacing w:line="360" w:lineRule="auto"/>
              <w:jc w:val="center"/>
              <w:rPr>
                <w:rFonts w:hint="eastAsia" w:ascii="仿宋" w:hAnsi="仿宋" w:eastAsia="宋体" w:cs="Courier New"/>
                <w:color w:val="000000"/>
                <w:kern w:val="2"/>
                <w:sz w:val="24"/>
                <w:szCs w:val="24"/>
                <w:lang w:val="zh-CN" w:eastAsia="zh-CN" w:bidi="ar-SA"/>
              </w:rPr>
            </w:pPr>
            <w:r>
              <w:rPr>
                <w:rFonts w:hint="eastAsia" w:ascii="仿宋" w:hAnsi="仿宋" w:eastAsia="宋体" w:cs="Courier New"/>
                <w:color w:val="000000"/>
                <w:kern w:val="2"/>
                <w:sz w:val="24"/>
                <w:szCs w:val="24"/>
                <w:lang w:val="zh-CN" w:eastAsia="zh-CN" w:bidi="ar-SA"/>
              </w:rPr>
              <w:t>向小微企业分包</w:t>
            </w:r>
          </w:p>
        </w:tc>
        <w:tc>
          <w:tcPr>
            <w:tcW w:w="7219" w:type="dxa"/>
            <w:vAlign w:val="center"/>
          </w:tcPr>
          <w:p>
            <w:pPr>
              <w:spacing w:line="360" w:lineRule="auto"/>
              <w:jc w:val="left"/>
              <w:rPr>
                <w:rFonts w:hint="eastAsia" w:ascii="仿宋" w:hAnsi="仿宋" w:eastAsia="宋体" w:cs="Courier New"/>
                <w:color w:val="000000"/>
                <w:kern w:val="2"/>
                <w:sz w:val="24"/>
                <w:szCs w:val="24"/>
                <w:lang w:val="en-US" w:eastAsia="zh-CN" w:bidi="ar-SA"/>
              </w:rPr>
            </w:pPr>
            <w:r>
              <w:rPr>
                <w:rFonts w:hint="eastAsia" w:ascii="仿宋" w:hAnsi="仿宋" w:eastAsia="宋体" w:cs="Courier New"/>
                <w:color w:val="000000"/>
                <w:kern w:val="2"/>
                <w:sz w:val="24"/>
                <w:szCs w:val="24"/>
                <w:lang w:val="en-US" w:eastAsia="zh-CN" w:bidi="ar-SA"/>
              </w:rPr>
              <w:t>否</w:t>
            </w:r>
          </w:p>
          <w:p>
            <w:pPr>
              <w:spacing w:line="360" w:lineRule="auto"/>
              <w:jc w:val="left"/>
              <w:rPr>
                <w:rFonts w:hint="eastAsia" w:ascii="仿宋" w:hAnsi="仿宋" w:eastAsia="宋体" w:cs="Courier New"/>
                <w:color w:val="000000"/>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w:t>
            </w:r>
          </w:p>
          <w:p>
            <w:pPr>
              <w:spacing w:line="360" w:lineRule="auto"/>
              <w:jc w:val="center"/>
              <w:rPr>
                <w:rFonts w:ascii="宋体" w:hAnsi="宋体" w:cs="宋体"/>
                <w:sz w:val="24"/>
                <w:szCs w:val="24"/>
                <w:lang w:val="zh-CN"/>
              </w:rPr>
            </w:pPr>
            <w:r>
              <w:rPr>
                <w:rFonts w:hint="eastAsia" w:ascii="宋体" w:hAnsi="宋体" w:cs="宋体"/>
                <w:sz w:val="24"/>
                <w:szCs w:val="24"/>
                <w:lang w:val="zh-CN"/>
              </w:rPr>
              <w:t>答复时间、形式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23</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供应商信用信息</w:t>
            </w:r>
          </w:p>
          <w:p>
            <w:pPr>
              <w:spacing w:line="360" w:lineRule="auto"/>
              <w:jc w:val="center"/>
              <w:rPr>
                <w:rFonts w:ascii="宋体" w:hAnsi="宋体" w:cs="宋体"/>
                <w:sz w:val="24"/>
                <w:szCs w:val="24"/>
                <w:lang w:val="zh-CN"/>
              </w:rPr>
            </w:pPr>
            <w:r>
              <w:rPr>
                <w:rFonts w:hint="eastAsia" w:ascii="宋体" w:hAnsi="宋体" w:cs="宋体"/>
                <w:sz w:val="24"/>
                <w:szCs w:val="24"/>
                <w:lang w:val="zh-CN"/>
              </w:rPr>
              <w:t>查询截止时点</w:t>
            </w:r>
          </w:p>
        </w:tc>
        <w:tc>
          <w:tcPr>
            <w:tcW w:w="7219" w:type="dxa"/>
            <w:vAlign w:val="center"/>
          </w:tcPr>
          <w:p>
            <w:pPr>
              <w:spacing w:line="360" w:lineRule="auto"/>
              <w:rPr>
                <w:rFonts w:ascii="宋体" w:hAnsi="宋体" w:cs="宋体"/>
                <w:sz w:val="24"/>
                <w:szCs w:val="24"/>
                <w:lang w:val="zh-CN"/>
              </w:rPr>
            </w:pPr>
            <w:r>
              <w:rPr>
                <w:rFonts w:hint="eastAsia" w:ascii="宋体" w:hAnsi="宋体" w:cs="宋体"/>
                <w:sz w:val="24"/>
                <w:szCs w:val="24"/>
              </w:rPr>
              <w:t>投标文件递交截止日，由采购人和采购代理机构共同查询。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24</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非实质性偏离</w:t>
            </w:r>
          </w:p>
        </w:tc>
        <w:tc>
          <w:tcPr>
            <w:tcW w:w="7219" w:type="dxa"/>
            <w:vAlign w:val="center"/>
          </w:tcPr>
          <w:p>
            <w:pPr>
              <w:spacing w:line="360" w:lineRule="auto"/>
              <w:rPr>
                <w:rFonts w:ascii="宋体" w:hAnsi="宋体" w:cs="宋体"/>
                <w:sz w:val="24"/>
                <w:szCs w:val="24"/>
              </w:rPr>
            </w:pPr>
            <w:r>
              <w:rPr>
                <w:rFonts w:hint="eastAsia"/>
                <w:szCs w:val="21"/>
                <w:lang w:val="zh-CN"/>
              </w:rPr>
              <w:t>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25</w:t>
            </w:r>
          </w:p>
        </w:tc>
        <w:tc>
          <w:tcPr>
            <w:tcW w:w="1494" w:type="dxa"/>
            <w:vAlign w:val="center"/>
          </w:tcPr>
          <w:p>
            <w:pPr>
              <w:pStyle w:val="16"/>
              <w:spacing w:line="336" w:lineRule="auto"/>
              <w:jc w:val="center"/>
              <w:rPr>
                <w:rFonts w:hAnsi="宋体" w:cs="宋体"/>
                <w:sz w:val="24"/>
                <w:szCs w:val="24"/>
                <w:lang w:val="zh-CN"/>
              </w:rPr>
            </w:pPr>
            <w:r>
              <w:rPr>
                <w:rFonts w:hint="eastAsia" w:ascii="仿宋" w:hAnsi="仿宋"/>
                <w:color w:val="000000"/>
                <w:sz w:val="24"/>
                <w:szCs w:val="24"/>
              </w:rPr>
              <w:t>其他</w:t>
            </w:r>
          </w:p>
        </w:tc>
        <w:tc>
          <w:tcPr>
            <w:tcW w:w="7219" w:type="dxa"/>
            <w:vAlign w:val="center"/>
          </w:tcPr>
          <w:p>
            <w:pPr>
              <w:pStyle w:val="16"/>
              <w:spacing w:line="336" w:lineRule="auto"/>
              <w:jc w:val="left"/>
              <w:rPr>
                <w:highlight w:val="yellow"/>
                <w:lang w:val="zh-CN"/>
              </w:rPr>
            </w:pPr>
            <w:r>
              <w:rPr>
                <w:rFonts w:hint="eastAsia" w:ascii="仿宋" w:hAnsi="仿宋"/>
                <w:color w:val="000000"/>
                <w:sz w:val="24"/>
                <w:szCs w:val="24"/>
              </w:rPr>
              <w:t>正文与前附表表述不一致时，以供应商须知前附表为准</w:t>
            </w:r>
          </w:p>
        </w:tc>
      </w:tr>
    </w:tbl>
    <w:p>
      <w:pPr>
        <w:pStyle w:val="4"/>
        <w:keepLines w:val="0"/>
        <w:spacing w:before="312" w:beforeLines="100" w:after="312" w:afterLines="100" w:line="500" w:lineRule="exact"/>
        <w:rPr>
          <w:rFonts w:hint="eastAsia" w:ascii="宋体" w:hAnsi="宋体" w:cs="宋体"/>
          <w:sz w:val="36"/>
          <w:szCs w:val="36"/>
        </w:rPr>
        <w:sectPr>
          <w:footerReference r:id="rId8" w:type="default"/>
          <w:pgSz w:w="11906" w:h="16838"/>
          <w:pgMar w:top="1440" w:right="1706" w:bottom="1440" w:left="1800" w:header="851" w:footer="992" w:gutter="0"/>
          <w:pgNumType w:fmt="decimal"/>
          <w:cols w:space="720" w:num="1"/>
          <w:docGrid w:type="lines" w:linePitch="312" w:charSpace="0"/>
        </w:sectPr>
      </w:pPr>
      <w:bookmarkStart w:id="6" w:name="_Toc19272"/>
    </w:p>
    <w:p>
      <w:pPr>
        <w:pStyle w:val="4"/>
        <w:keepLines w:val="0"/>
        <w:spacing w:before="312" w:beforeLines="100" w:after="312" w:afterLines="100" w:line="500" w:lineRule="exact"/>
        <w:rPr>
          <w:rFonts w:ascii="宋体" w:hAnsi="宋体" w:cs="宋体"/>
          <w:sz w:val="36"/>
          <w:szCs w:val="36"/>
        </w:rPr>
      </w:pPr>
      <w:bookmarkStart w:id="7" w:name="_Toc22179"/>
      <w:r>
        <w:rPr>
          <w:rFonts w:hint="eastAsia" w:ascii="宋体" w:hAnsi="宋体" w:cs="宋体"/>
          <w:sz w:val="36"/>
          <w:szCs w:val="36"/>
        </w:rPr>
        <w:t>第三部分  供应商须知</w:t>
      </w:r>
      <w:bookmarkEnd w:id="6"/>
      <w:bookmarkEnd w:id="7"/>
    </w:p>
    <w:p>
      <w:pPr>
        <w:pStyle w:val="5"/>
        <w:ind w:firstLine="562" w:firstLineChars="200"/>
        <w:jc w:val="center"/>
        <w:rPr>
          <w:rFonts w:ascii="宋体" w:hAnsi="宋体" w:cs="宋体"/>
        </w:rPr>
      </w:pPr>
      <w:bookmarkStart w:id="8" w:name="_Toc26739"/>
      <w:bookmarkStart w:id="9" w:name="_Toc3554"/>
      <w:r>
        <w:rPr>
          <w:rFonts w:hint="eastAsia" w:ascii="宋体" w:hAnsi="宋体" w:cs="宋体"/>
        </w:rPr>
        <w:t>一、总 则</w:t>
      </w:r>
      <w:bookmarkEnd w:id="8"/>
      <w:bookmarkEnd w:id="9"/>
    </w:p>
    <w:p>
      <w:pPr>
        <w:pStyle w:val="6"/>
        <w:numPr>
          <w:ilvl w:val="0"/>
          <w:numId w:val="8"/>
        </w:numPr>
        <w:spacing w:line="500" w:lineRule="exact"/>
        <w:ind w:firstLine="562" w:firstLineChars="200"/>
        <w:rPr>
          <w:rFonts w:ascii="宋体" w:hAnsi="宋体" w:cs="宋体"/>
          <w:szCs w:val="28"/>
        </w:rPr>
      </w:pPr>
      <w:bookmarkStart w:id="10" w:name="_Toc9257"/>
      <w:bookmarkStart w:id="11" w:name="_Toc358364319"/>
      <w:bookmarkStart w:id="12" w:name="_Toc6742"/>
      <w:bookmarkStart w:id="13" w:name="_Toc380336725"/>
      <w:r>
        <w:rPr>
          <w:rFonts w:hint="eastAsia" w:ascii="宋体" w:hAnsi="宋体" w:cs="宋体"/>
          <w:szCs w:val="28"/>
        </w:rPr>
        <w:t>适用范围</w:t>
      </w:r>
      <w:bookmarkEnd w:id="10"/>
      <w:bookmarkEnd w:id="11"/>
      <w:bookmarkEnd w:id="12"/>
      <w:bookmarkEnd w:id="1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本招标文件适用于本次招标活动的全过程。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本次采购属政府采购，采购人、采购代理机构、供应商、评标委员会的相关行为均受《中华人民共和国政府采购法》及实施条例、财政部规章及政府采购项目所在地有关法规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6"/>
        <w:numPr>
          <w:ilvl w:val="0"/>
          <w:numId w:val="8"/>
        </w:numPr>
        <w:spacing w:line="500" w:lineRule="exact"/>
        <w:ind w:firstLine="562" w:firstLineChars="200"/>
        <w:rPr>
          <w:rFonts w:ascii="宋体" w:hAnsi="宋体" w:cs="宋体"/>
          <w:szCs w:val="28"/>
        </w:rPr>
      </w:pPr>
      <w:bookmarkStart w:id="14" w:name="_Toc380336727"/>
      <w:bookmarkStart w:id="15" w:name="_Toc23781"/>
      <w:bookmarkStart w:id="16" w:name="_Toc17676"/>
      <w:bookmarkStart w:id="17" w:name="_Toc358364321"/>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9"/>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2.3供应商存在下列情形之一，其投标文件按无效文件处理。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6"/>
        <w:numPr>
          <w:ilvl w:val="0"/>
          <w:numId w:val="8"/>
        </w:numPr>
        <w:spacing w:line="500" w:lineRule="exact"/>
        <w:ind w:firstLine="562" w:firstLineChars="200"/>
        <w:rPr>
          <w:rFonts w:ascii="宋体" w:hAnsi="宋体" w:cs="宋体"/>
          <w:szCs w:val="28"/>
        </w:rPr>
      </w:pPr>
      <w:bookmarkStart w:id="18" w:name="_Toc22444"/>
      <w:bookmarkStart w:id="19" w:name="_Toc358364322"/>
      <w:bookmarkStart w:id="20" w:name="_Toc540"/>
      <w:bookmarkStart w:id="21" w:name="_Toc380336728"/>
      <w:r>
        <w:rPr>
          <w:rFonts w:hint="eastAsia" w:ascii="宋体" w:hAnsi="宋体" w:cs="宋体"/>
          <w:szCs w:val="28"/>
        </w:rPr>
        <w:t>费用</w:t>
      </w:r>
      <w:bookmarkEnd w:id="18"/>
      <w:bookmarkEnd w:id="19"/>
      <w:bookmarkEnd w:id="20"/>
      <w:bookmarkEnd w:id="21"/>
    </w:p>
    <w:p>
      <w:pPr>
        <w:widowControl/>
        <w:spacing w:line="500" w:lineRule="exact"/>
        <w:ind w:firstLine="480" w:firstLineChars="200"/>
        <w:jc w:val="left"/>
        <w:rPr>
          <w:rFonts w:ascii="宋体" w:hAnsi="宋体" w:cs="宋体"/>
          <w:sz w:val="24"/>
          <w:szCs w:val="24"/>
        </w:rPr>
      </w:pPr>
      <w:bookmarkStart w:id="22" w:name="_Toc17817"/>
      <w:bookmarkStart w:id="23" w:name="_Toc5801"/>
      <w:r>
        <w:rPr>
          <w:rFonts w:hint="eastAsia" w:ascii="宋体" w:hAnsi="宋体" w:cs="宋体"/>
          <w:sz w:val="24"/>
          <w:szCs w:val="24"/>
        </w:rPr>
        <w:t>供应商必须从代理机构购买招标文件，供应商自行转让或复制招标文件视为无效。招标文件一经售出，一律不退，仅作为本次</w:t>
      </w:r>
      <w:r>
        <w:rPr>
          <w:rFonts w:hint="eastAsia" w:ascii="宋体" w:hAnsi="宋体" w:cs="宋体"/>
          <w:sz w:val="24"/>
          <w:szCs w:val="24"/>
          <w:lang w:eastAsia="zh-CN"/>
        </w:rPr>
        <w:t>采购</w:t>
      </w:r>
      <w:r>
        <w:rPr>
          <w:rFonts w:hint="eastAsia" w:ascii="宋体" w:hAnsi="宋体" w:cs="宋体"/>
          <w:sz w:val="24"/>
          <w:szCs w:val="24"/>
        </w:rPr>
        <w:t>使用。</w:t>
      </w:r>
    </w:p>
    <w:p>
      <w:pPr>
        <w:spacing w:line="360" w:lineRule="auto"/>
        <w:ind w:firstLine="480" w:firstLineChars="200"/>
        <w:jc w:val="left"/>
        <w:rPr>
          <w:rFonts w:ascii="宋体" w:hAnsi="宋体" w:cs="宋体"/>
          <w:sz w:val="24"/>
        </w:rPr>
      </w:pPr>
      <w:r>
        <w:rPr>
          <w:rFonts w:hint="eastAsia" w:ascii="宋体" w:hAnsi="宋体" w:cs="宋体"/>
          <w:sz w:val="24"/>
        </w:rPr>
        <w:t>无论投标过程和结果如何，供应商自行承担与投标有关的全部费用。</w:t>
      </w:r>
    </w:p>
    <w:p>
      <w:pPr>
        <w:pStyle w:val="6"/>
        <w:numPr>
          <w:ilvl w:val="0"/>
          <w:numId w:val="8"/>
        </w:numPr>
        <w:spacing w:line="500" w:lineRule="exact"/>
        <w:ind w:firstLine="562" w:firstLineChars="200"/>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投标文件应当对招标文件实质性要求和条件作出满足性或有利于采购人的响应，否则，供应商的投标无效。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偏离是指投标文件不响应或者不满足招标文件提出的要求和条件，分为实质性偏离和非实质性偏离。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除法律、法规和招标文件规定的其他投标无效情形外，招标文件中用“★”符号标明的条款为实质性要求和条件，投标文件对其中任何一条的偏离，为实质性偏离，其投标无效。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投标文件偏离招标文件的非实质性要求和条件，为非实质性偏离。非实质性偏离的范围和项数应当符合投标须知前附表的规定，超出偏离范围和最高项数的投标无效。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投标文件对招标文件的全部偏离，均应在投标文件商务条款偏离表和技术参数偏离表中列明，除列明的内容外，视为供应商响应招标文件的全部要求。</w:t>
      </w:r>
    </w:p>
    <w:p>
      <w:pPr>
        <w:pStyle w:val="6"/>
        <w:numPr>
          <w:ilvl w:val="0"/>
          <w:numId w:val="8"/>
        </w:numPr>
        <w:spacing w:line="500" w:lineRule="exact"/>
        <w:ind w:firstLine="562" w:firstLineChars="200"/>
        <w:rPr>
          <w:rFonts w:ascii="宋体" w:hAnsi="宋体" w:cs="宋体"/>
          <w:szCs w:val="28"/>
        </w:rPr>
      </w:pPr>
      <w:bookmarkStart w:id="24" w:name="_Toc217446047"/>
      <w:r>
        <w:rPr>
          <w:rFonts w:hint="eastAsia" w:ascii="宋体" w:hAnsi="宋体" w:cs="宋体"/>
          <w:szCs w:val="28"/>
        </w:rPr>
        <w:t>知识产权</w:t>
      </w:r>
      <w:bookmarkEnd w:id="24"/>
    </w:p>
    <w:p>
      <w:pPr>
        <w:pStyle w:val="14"/>
        <w:spacing w:line="360" w:lineRule="auto"/>
        <w:ind w:left="0" w:leftChars="0" w:firstLine="480" w:firstLineChars="200"/>
        <w:rPr>
          <w:rFonts w:ascii="宋体" w:hAnsi="宋体" w:cs="宋体"/>
          <w:sz w:val="24"/>
          <w:szCs w:val="24"/>
        </w:rPr>
      </w:pPr>
      <w:r>
        <w:rPr>
          <w:rFonts w:hint="eastAsia" w:ascii="宋体" w:hAnsi="宋体" w:cs="宋体"/>
          <w:sz w:val="24"/>
          <w:szCs w:val="24"/>
        </w:rPr>
        <w:t>供应商应当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4"/>
        <w:spacing w:line="360" w:lineRule="auto"/>
        <w:ind w:left="0" w:leftChars="0" w:firstLine="480" w:firstLineChars="200"/>
        <w:rPr>
          <w:rFonts w:ascii="宋体" w:hAnsi="宋体" w:cs="宋体"/>
          <w:sz w:val="24"/>
          <w:szCs w:val="24"/>
        </w:rPr>
      </w:pPr>
      <w:r>
        <w:rPr>
          <w:rFonts w:hint="eastAsia" w:ascii="宋体" w:hAnsi="宋体" w:cs="宋体"/>
          <w:sz w:val="24"/>
          <w:szCs w:val="24"/>
        </w:rPr>
        <w:t>采购人享有本项目实施过程中产生的知识成果及知识产权。</w:t>
      </w:r>
    </w:p>
    <w:p>
      <w:pPr>
        <w:spacing w:line="360" w:lineRule="auto"/>
        <w:ind w:firstLine="480" w:firstLineChars="200"/>
        <w:rPr>
          <w:rFonts w:ascii="宋体" w:hAnsi="宋体" w:cs="宋体"/>
          <w:sz w:val="24"/>
          <w:szCs w:val="24"/>
        </w:rPr>
      </w:pPr>
      <w:r>
        <w:rPr>
          <w:rFonts w:hint="eastAsia" w:ascii="宋体" w:hAnsi="宋体" w:cs="宋体"/>
          <w:sz w:val="24"/>
          <w:szCs w:val="24"/>
        </w:rPr>
        <w:t>供应商如欲在项目实施过程中采用自有知识成果，需在投标文件中声明，并提供相关知识产权证明文件。使用该知识成果后，供应商需提供开发接口和开发手册等技术文档，并承诺提供无限期技术支持，采购人享有永久使用权。</w:t>
      </w:r>
    </w:p>
    <w:p>
      <w:pPr>
        <w:spacing w:line="360" w:lineRule="auto"/>
        <w:ind w:firstLine="480" w:firstLineChars="200"/>
        <w:rPr>
          <w:rFonts w:ascii="宋体" w:hAnsi="宋体" w:cs="宋体"/>
          <w:sz w:val="24"/>
          <w:szCs w:val="24"/>
        </w:rPr>
      </w:pPr>
      <w:r>
        <w:rPr>
          <w:rFonts w:hint="eastAsia" w:ascii="宋体" w:hAnsi="宋体" w:cs="宋体"/>
          <w:sz w:val="24"/>
          <w:szCs w:val="24"/>
        </w:rPr>
        <w:t>如采用供应商所不拥有的知识产权，则在投标报价中必须包括合法获取该知识产权的相关费用。</w:t>
      </w:r>
    </w:p>
    <w:p>
      <w:pPr>
        <w:pStyle w:val="2"/>
      </w:pPr>
    </w:p>
    <w:p>
      <w:pPr>
        <w:pStyle w:val="2"/>
      </w:pPr>
    </w:p>
    <w:bookmarkEnd w:id="22"/>
    <w:bookmarkEnd w:id="23"/>
    <w:p>
      <w:pPr>
        <w:spacing w:line="360" w:lineRule="auto"/>
        <w:jc w:val="left"/>
        <w:rPr>
          <w:rFonts w:ascii="宋体" w:hAnsi="宋体" w:cs="宋体"/>
          <w:kern w:val="0"/>
          <w:sz w:val="24"/>
          <w:szCs w:val="24"/>
        </w:rPr>
      </w:pPr>
      <w:bookmarkStart w:id="25" w:name="_Toc7144"/>
    </w:p>
    <w:p>
      <w:pPr>
        <w:rPr>
          <w:rFonts w:ascii="宋体" w:hAnsi="宋体" w:cs="宋体"/>
        </w:rPr>
      </w:pPr>
      <w:r>
        <w:rPr>
          <w:rFonts w:hint="eastAsia" w:ascii="宋体" w:hAnsi="宋体" w:cs="宋体"/>
        </w:rPr>
        <w:br w:type="page"/>
      </w:r>
    </w:p>
    <w:p>
      <w:pPr>
        <w:pStyle w:val="5"/>
        <w:numPr>
          <w:ilvl w:val="0"/>
          <w:numId w:val="10"/>
        </w:numPr>
        <w:jc w:val="center"/>
        <w:rPr>
          <w:rFonts w:ascii="宋体" w:hAnsi="宋体" w:cs="宋体"/>
          <w:sz w:val="36"/>
          <w:szCs w:val="28"/>
        </w:rPr>
      </w:pPr>
      <w:bookmarkStart w:id="26" w:name="_Toc1123"/>
      <w:r>
        <w:rPr>
          <w:rFonts w:hint="eastAsia" w:ascii="宋体" w:hAnsi="宋体" w:cs="宋体"/>
          <w:sz w:val="36"/>
          <w:szCs w:val="28"/>
        </w:rPr>
        <w:t>招标文件</w:t>
      </w:r>
      <w:bookmarkEnd w:id="25"/>
      <w:bookmarkEnd w:id="26"/>
    </w:p>
    <w:p>
      <w:pPr>
        <w:pStyle w:val="6"/>
        <w:keepNext w:val="0"/>
        <w:keepLines w:val="0"/>
        <w:numPr>
          <w:ilvl w:val="0"/>
          <w:numId w:val="11"/>
        </w:numPr>
        <w:spacing w:line="500" w:lineRule="exact"/>
        <w:ind w:firstLine="562" w:firstLineChars="200"/>
        <w:rPr>
          <w:rFonts w:ascii="宋体" w:hAnsi="宋体" w:cs="宋体"/>
          <w:szCs w:val="28"/>
        </w:rPr>
      </w:pPr>
      <w:r>
        <w:rPr>
          <w:rFonts w:hint="eastAsia" w:ascii="宋体" w:hAnsi="宋体" w:cs="宋体"/>
          <w:szCs w:val="28"/>
        </w:rPr>
        <w:t>招标文件的构成</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公开招标公告；</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供应商须知前附表；</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评标方法；</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采购要求；</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合同条款；</w:t>
      </w:r>
    </w:p>
    <w:p>
      <w:pPr>
        <w:numPr>
          <w:ilvl w:val="0"/>
          <w:numId w:val="12"/>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投标文件格式。</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color w:val="000000"/>
          <w:sz w:val="24"/>
          <w:szCs w:val="24"/>
        </w:rPr>
        <w:t>1.2</w:t>
      </w:r>
      <w:r>
        <w:rPr>
          <w:rFonts w:hint="eastAsia" w:ascii="宋体" w:hAnsi="宋体" w:cs="宋体"/>
          <w:sz w:val="24"/>
          <w:szCs w:val="24"/>
        </w:rPr>
        <w:t>供应商应认真阅读招标文件中所有的条款、事项、格式和技术规范、参数及要求等。供应商没有按照招标文件要求提交全部资料，或者没有对招标文件在各方面都</w:t>
      </w:r>
      <w:r>
        <w:rPr>
          <w:rFonts w:hint="eastAsia" w:ascii="宋体" w:hAnsi="宋体" w:cs="宋体"/>
          <w:sz w:val="24"/>
          <w:szCs w:val="24"/>
          <w:lang w:eastAsia="zh-CN"/>
        </w:rPr>
        <w:t>作出</w:t>
      </w:r>
      <w:r>
        <w:rPr>
          <w:rFonts w:hint="eastAsia" w:ascii="宋体" w:hAnsi="宋体" w:cs="宋体"/>
          <w:sz w:val="24"/>
          <w:szCs w:val="24"/>
        </w:rPr>
        <w:t>实质性响应，将导致其投标被拒绝或被认定为无效投标。</w:t>
      </w:r>
    </w:p>
    <w:p>
      <w:pPr>
        <w:pStyle w:val="6"/>
        <w:keepNext w:val="0"/>
        <w:keepLines w:val="0"/>
        <w:numPr>
          <w:ilvl w:val="0"/>
          <w:numId w:val="11"/>
        </w:numPr>
        <w:spacing w:line="500" w:lineRule="exact"/>
        <w:ind w:firstLine="562" w:firstLineChars="200"/>
        <w:rPr>
          <w:rFonts w:ascii="宋体" w:hAnsi="宋体" w:cs="宋体"/>
          <w:szCs w:val="28"/>
        </w:rPr>
      </w:pPr>
      <w:bookmarkStart w:id="27" w:name="_Toc19797"/>
      <w:r>
        <w:rPr>
          <w:rFonts w:hint="eastAsia" w:ascii="宋体" w:hAnsi="宋体" w:cs="宋体"/>
          <w:szCs w:val="28"/>
        </w:rPr>
        <w:t>招标文件的澄清</w:t>
      </w:r>
      <w:bookmarkEnd w:id="27"/>
    </w:p>
    <w:p>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2.1 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2.2 任何对招标文件进行询问或要求进行澄清的供应商，均应在收到招标文件后七个工作日内按公开招标文件中的通讯地址以书面形式递交代理机构，采购人或代理机构对收到的任何询问或澄清要求将作出书面答复。</w:t>
      </w:r>
    </w:p>
    <w:p>
      <w:pPr>
        <w:pStyle w:val="6"/>
        <w:keepNext w:val="0"/>
        <w:keepLines w:val="0"/>
        <w:numPr>
          <w:ilvl w:val="0"/>
          <w:numId w:val="11"/>
        </w:numPr>
        <w:spacing w:line="500" w:lineRule="exact"/>
        <w:ind w:firstLine="562" w:firstLineChars="200"/>
        <w:rPr>
          <w:rFonts w:ascii="宋体" w:hAnsi="宋体" w:cs="宋体"/>
          <w:szCs w:val="28"/>
        </w:rPr>
      </w:pPr>
      <w:bookmarkStart w:id="28" w:name="_Toc6390"/>
      <w:r>
        <w:rPr>
          <w:rFonts w:hint="eastAsia" w:ascii="宋体" w:hAnsi="宋体" w:cs="宋体"/>
          <w:szCs w:val="28"/>
        </w:rPr>
        <w:t>招标文件的修改</w:t>
      </w:r>
      <w:bookmarkEnd w:id="28"/>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color w:val="FF0000"/>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日期前，将变更时间书面通知所有购买招标文件的供应商。</w:t>
      </w:r>
    </w:p>
    <w:p>
      <w:pPr>
        <w:pStyle w:val="6"/>
        <w:numPr>
          <w:ilvl w:val="0"/>
          <w:numId w:val="11"/>
        </w:numPr>
        <w:spacing w:line="500" w:lineRule="exact"/>
        <w:ind w:firstLine="562" w:firstLineChars="200"/>
        <w:rPr>
          <w:rFonts w:ascii="宋体" w:hAnsi="宋体" w:cs="宋体"/>
          <w:szCs w:val="28"/>
        </w:rPr>
      </w:pPr>
      <w:bookmarkStart w:id="29" w:name="_Toc5095"/>
      <w:r>
        <w:rPr>
          <w:rFonts w:hint="eastAsia" w:ascii="宋体" w:hAnsi="宋体" w:cs="宋体"/>
          <w:szCs w:val="28"/>
        </w:rPr>
        <w:t>招标文件的解释权归代理机构</w:t>
      </w:r>
      <w:bookmarkEnd w:id="29"/>
    </w:p>
    <w:p>
      <w:pPr>
        <w:pStyle w:val="6"/>
        <w:numPr>
          <w:ilvl w:val="0"/>
          <w:numId w:val="11"/>
        </w:numPr>
        <w:spacing w:line="360" w:lineRule="auto"/>
        <w:ind w:firstLine="562" w:firstLineChars="200"/>
        <w:rPr>
          <w:rFonts w:ascii="宋体" w:hAnsi="宋体" w:cs="宋体"/>
          <w:szCs w:val="28"/>
        </w:rPr>
      </w:pPr>
      <w:r>
        <w:rPr>
          <w:rFonts w:hint="eastAsia" w:ascii="宋体" w:hAnsi="宋体" w:cs="宋体"/>
          <w:szCs w:val="28"/>
        </w:rPr>
        <w:t>落实的政府采购政策</w:t>
      </w:r>
    </w:p>
    <w:p>
      <w:pPr>
        <w:pStyle w:val="16"/>
        <w:adjustRightInd w:val="0"/>
        <w:snapToGrid w:val="0"/>
        <w:spacing w:line="360" w:lineRule="auto"/>
        <w:ind w:firstLine="480" w:firstLineChars="200"/>
        <w:rPr>
          <w:rFonts w:hAnsi="宋体" w:cs="宋体"/>
          <w:sz w:val="24"/>
          <w:szCs w:val="24"/>
        </w:rPr>
      </w:pPr>
      <w:r>
        <w:rPr>
          <w:rFonts w:hint="eastAsia" w:hAnsi="宋体" w:cs="宋体"/>
          <w:sz w:val="24"/>
          <w:szCs w:val="24"/>
        </w:rPr>
        <w:t>5.1节能产品、环境标志产品</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 供应商所投产品，将依据《节能产品、环境标志产品品目清单》和认证证书实施政府优先采购和强制采购。</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供应商可以提供所投产品经国家确定的认证机构出具的、处于有效期之内的节能产品、环境标志产品认证证书复印件。采购代理机构通过中国政府采购网（</w:t>
      </w:r>
      <w:r>
        <w:fldChar w:fldCharType="begin"/>
      </w:r>
      <w:r>
        <w:instrText xml:space="preserve"> HYPERLINK "http://www.ccgp.gov.cn/" </w:instrText>
      </w:r>
      <w: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）对获证产品信息进行核对。</w:t>
      </w:r>
    </w:p>
    <w:p>
      <w:pPr>
        <w:tabs>
          <w:tab w:val="left" w:pos="0"/>
        </w:tabs>
        <w:adjustRightInd w:val="0"/>
        <w:snapToGrid w:val="0"/>
        <w:spacing w:line="500" w:lineRule="exact"/>
        <w:ind w:firstLine="480" w:firstLineChars="200"/>
        <w:jc w:val="left"/>
        <w:rPr>
          <w:rFonts w:hint="eastAsia" w:hAnsi="宋体" w:cs="宋体"/>
          <w:sz w:val="24"/>
          <w:szCs w:val="24"/>
        </w:rPr>
      </w:pPr>
      <w:bookmarkStart w:id="30" w:name="_Toc15601"/>
      <w:r>
        <w:rPr>
          <w:rFonts w:hint="eastAsia" w:hAnsi="宋体" w:cs="宋体"/>
          <w:sz w:val="24"/>
          <w:szCs w:val="24"/>
        </w:rPr>
        <w:t>5.2中小企业</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w:t>
      </w:r>
      <w:r>
        <w:rPr>
          <w:rFonts w:hint="eastAsia" w:hAnsi="宋体" w:cs="宋体"/>
          <w:sz w:val="24"/>
          <w:szCs w:val="24"/>
          <w:lang w:eastAsia="zh-CN"/>
        </w:rPr>
        <w:t>，</w:t>
      </w:r>
      <w:r>
        <w:rPr>
          <w:rFonts w:hint="eastAsia" w:hAnsi="宋体" w:cs="宋体"/>
          <w:sz w:val="24"/>
          <w:szCs w:val="24"/>
        </w:rPr>
        <w:t>符合小微企业政策条件；在服务采购项目中，服务由小微企业承接，视为小微企业。符合中小企业政策条件的供应商参加政府采购活动</w:t>
      </w:r>
      <w:r>
        <w:rPr>
          <w:rFonts w:hint="eastAsia" w:hAnsi="宋体" w:cs="宋体"/>
          <w:sz w:val="24"/>
          <w:szCs w:val="24"/>
          <w:lang w:eastAsia="zh-CN"/>
        </w:rPr>
        <w:t>，</w:t>
      </w:r>
      <w:r>
        <w:rPr>
          <w:rFonts w:hint="eastAsia" w:hAnsi="宋体" w:cs="宋体"/>
          <w:sz w:val="24"/>
          <w:szCs w:val="24"/>
        </w:rPr>
        <w:t>应当提供《中小企业声明函》（见附件二），不提供的在评标时不享受价格扣除优惠政策。货物和服务项目，对小型和微型企业的价格给予</w:t>
      </w:r>
      <w:r>
        <w:rPr>
          <w:rFonts w:hint="eastAsia" w:hAnsi="宋体" w:cs="宋体"/>
          <w:sz w:val="24"/>
          <w:szCs w:val="24"/>
          <w:lang w:val="en-US" w:eastAsia="zh-CN"/>
        </w:rPr>
        <w:t>10</w:t>
      </w:r>
      <w:r>
        <w:rPr>
          <w:rFonts w:hint="eastAsia" w:hAnsi="宋体" w:cs="宋体"/>
          <w:sz w:val="24"/>
          <w:szCs w:val="24"/>
        </w:rPr>
        <w:t>%～</w:t>
      </w:r>
      <w:r>
        <w:rPr>
          <w:rFonts w:hint="eastAsia" w:hAnsi="宋体" w:cs="宋体"/>
          <w:sz w:val="24"/>
          <w:szCs w:val="24"/>
          <w:lang w:val="en-US" w:eastAsia="zh-CN"/>
        </w:rPr>
        <w:t>2</w:t>
      </w:r>
      <w:r>
        <w:rPr>
          <w:rFonts w:hint="eastAsia" w:hAnsi="宋体" w:cs="宋体"/>
          <w:sz w:val="24"/>
          <w:szCs w:val="24"/>
        </w:rPr>
        <w:t>0%的扣除，用扣除后的价格参与评审。</w:t>
      </w:r>
      <w:r>
        <w:rPr>
          <w:rFonts w:hint="eastAsia" w:hAnsi="宋体" w:cs="宋体"/>
          <w:b/>
          <w:bCs/>
          <w:sz w:val="24"/>
          <w:szCs w:val="24"/>
        </w:rPr>
        <w:t>本项目的扣除比例为：小型企业扣除</w:t>
      </w:r>
      <w:r>
        <w:rPr>
          <w:rFonts w:hint="eastAsia" w:hAnsi="宋体" w:cs="宋体"/>
          <w:b/>
          <w:bCs/>
          <w:sz w:val="24"/>
          <w:szCs w:val="24"/>
          <w:lang w:val="en-US" w:eastAsia="zh-CN"/>
        </w:rPr>
        <w:t>10</w:t>
      </w:r>
      <w:r>
        <w:rPr>
          <w:rFonts w:hint="eastAsia" w:hAnsi="宋体" w:cs="宋体"/>
          <w:b/>
          <w:bCs/>
          <w:sz w:val="24"/>
          <w:szCs w:val="24"/>
        </w:rPr>
        <w:t>%，</w:t>
      </w:r>
      <w:r>
        <w:rPr>
          <w:rFonts w:hint="eastAsia" w:hAnsi="宋体" w:cs="宋体"/>
          <w:sz w:val="24"/>
          <w:szCs w:val="24"/>
        </w:rPr>
        <w:t>微型企业扣除</w:t>
      </w:r>
      <w:r>
        <w:rPr>
          <w:rFonts w:hint="eastAsia" w:hAnsi="宋体" w:cs="宋体"/>
          <w:sz w:val="24"/>
          <w:szCs w:val="24"/>
          <w:lang w:val="en-US" w:eastAsia="zh-CN"/>
        </w:rPr>
        <w:t>10</w:t>
      </w:r>
      <w:r>
        <w:rPr>
          <w:rFonts w:hint="eastAsia" w:hAnsi="宋体" w:cs="宋体"/>
          <w:sz w:val="24"/>
          <w:szCs w:val="24"/>
        </w:rPr>
        <w:t xml:space="preserve">%。工程项目，对小型和微型企业的价格给予3%～5%的扣除，用扣除后的价格参与评审。 </w:t>
      </w:r>
    </w:p>
    <w:p>
      <w:pPr>
        <w:tabs>
          <w:tab w:val="left" w:pos="0"/>
        </w:tabs>
        <w:adjustRightInd w:val="0"/>
        <w:snapToGrid w:val="0"/>
        <w:spacing w:line="500" w:lineRule="exact"/>
        <w:ind w:firstLine="480" w:firstLineChars="200"/>
        <w:jc w:val="left"/>
        <w:rPr>
          <w:rFonts w:hint="eastAsia" w:hAnsi="宋体" w:cs="宋体"/>
          <w:sz w:val="24"/>
          <w:szCs w:val="24"/>
          <w:lang w:eastAsia="zh-CN"/>
        </w:rPr>
      </w:pPr>
      <w:r>
        <w:rPr>
          <w:rFonts w:hint="eastAsia" w:hAnsi="宋体" w:cs="宋体"/>
          <w:sz w:val="24"/>
          <w:szCs w:val="24"/>
        </w:rPr>
        <w:t>5.2依据《财政部、司法部关于政府采购支持监狱企业发展有关问题的通知》（财库〔2014〕68号）之规定，监狱企业参加政府采购活动，视同小微企业。应当提供由省级以上监狱管理局、戒毒管理局出具的属于监狱企业的证明文件，在评</w:t>
      </w:r>
      <w:r>
        <w:rPr>
          <w:rFonts w:hint="eastAsia" w:hAnsi="宋体" w:cs="宋体"/>
          <w:sz w:val="24"/>
          <w:szCs w:val="24"/>
          <w:lang w:eastAsia="zh-CN"/>
        </w:rPr>
        <w:t>审</w:t>
      </w:r>
      <w:r>
        <w:rPr>
          <w:rFonts w:hint="eastAsia" w:hAnsi="宋体" w:cs="宋体"/>
          <w:sz w:val="24"/>
          <w:szCs w:val="24"/>
        </w:rPr>
        <w:t>时</w:t>
      </w:r>
      <w:r>
        <w:rPr>
          <w:rFonts w:hint="eastAsia" w:hAnsi="宋体" w:cs="宋体"/>
          <w:sz w:val="24"/>
          <w:szCs w:val="24"/>
          <w:lang w:eastAsia="zh-CN"/>
        </w:rPr>
        <w:t>享受小微企业</w:t>
      </w:r>
      <w:r>
        <w:rPr>
          <w:rFonts w:hint="eastAsia" w:hAnsi="宋体" w:cs="宋体"/>
          <w:sz w:val="24"/>
          <w:szCs w:val="24"/>
        </w:rPr>
        <w:t>政策。未提供或出具证明文件的单位不符合相关要求的，不视为小微企业</w:t>
      </w:r>
      <w:r>
        <w:rPr>
          <w:rFonts w:hint="eastAsia" w:hAnsi="宋体" w:cs="宋体"/>
          <w:sz w:val="24"/>
          <w:szCs w:val="24"/>
          <w:lang w:eastAsia="zh-CN"/>
        </w:rPr>
        <w:t>。</w:t>
      </w:r>
    </w:p>
    <w:p>
      <w:pPr>
        <w:tabs>
          <w:tab w:val="left" w:pos="0"/>
        </w:tabs>
        <w:adjustRightInd w:val="0"/>
        <w:snapToGrid w:val="0"/>
        <w:spacing w:line="500" w:lineRule="exact"/>
        <w:ind w:firstLine="480" w:firstLineChars="200"/>
        <w:jc w:val="left"/>
        <w:rPr>
          <w:rFonts w:hint="eastAsia" w:hAnsi="宋体" w:eastAsia="宋体" w:cs="宋体"/>
          <w:sz w:val="24"/>
          <w:szCs w:val="24"/>
          <w:lang w:eastAsia="zh-CN"/>
        </w:rPr>
      </w:pPr>
      <w:r>
        <w:rPr>
          <w:rFonts w:hint="eastAsia" w:hAnsi="宋体" w:cs="宋体"/>
          <w:sz w:val="24"/>
          <w:szCs w:val="24"/>
        </w:rPr>
        <w:t>5.3依据《财政部、民政部、中国残疾人联合会关于促进残疾人就业政府采购政策的通知》（财库〔2017〕141号）之规定，残疾人福利性单位参加政府采购活动，视同小微企业，应当提供《残疾人福利性单位声明函》</w:t>
      </w:r>
      <w:r>
        <w:rPr>
          <w:rFonts w:hint="eastAsia" w:hAnsi="宋体" w:cs="宋体"/>
          <w:sz w:val="24"/>
          <w:szCs w:val="24"/>
          <w:lang w:eastAsia="zh-CN"/>
        </w:rPr>
        <w:t>，</w:t>
      </w:r>
      <w:r>
        <w:rPr>
          <w:rFonts w:hint="eastAsia" w:hAnsi="宋体" w:cs="宋体"/>
          <w:sz w:val="24"/>
          <w:szCs w:val="24"/>
        </w:rPr>
        <w:t>在评</w:t>
      </w:r>
      <w:r>
        <w:rPr>
          <w:rFonts w:hint="eastAsia" w:hAnsi="宋体" w:cs="宋体"/>
          <w:sz w:val="24"/>
          <w:szCs w:val="24"/>
          <w:lang w:eastAsia="zh-CN"/>
        </w:rPr>
        <w:t>审</w:t>
      </w:r>
      <w:r>
        <w:rPr>
          <w:rFonts w:hint="eastAsia" w:hAnsi="宋体" w:cs="宋体"/>
          <w:sz w:val="24"/>
          <w:szCs w:val="24"/>
        </w:rPr>
        <w:t>时享受</w:t>
      </w:r>
      <w:r>
        <w:rPr>
          <w:rFonts w:hint="eastAsia" w:hAnsi="宋体" w:cs="宋体"/>
          <w:sz w:val="24"/>
          <w:szCs w:val="24"/>
          <w:lang w:eastAsia="zh-CN"/>
        </w:rPr>
        <w:t>小微企业</w:t>
      </w:r>
      <w:r>
        <w:rPr>
          <w:rFonts w:hint="eastAsia" w:hAnsi="宋体" w:cs="宋体"/>
          <w:sz w:val="24"/>
          <w:szCs w:val="24"/>
        </w:rPr>
        <w:t>政策</w:t>
      </w:r>
      <w:r>
        <w:rPr>
          <w:rFonts w:hint="eastAsia" w:hAnsi="宋体" w:cs="宋体"/>
          <w:sz w:val="24"/>
          <w:szCs w:val="24"/>
          <w:lang w:eastAsia="zh-CN"/>
        </w:rPr>
        <w:t>。</w:t>
      </w:r>
      <w:r>
        <w:rPr>
          <w:rFonts w:hint="eastAsia" w:hAnsi="宋体" w:cs="宋体"/>
          <w:sz w:val="24"/>
          <w:szCs w:val="24"/>
        </w:rPr>
        <w:t>未提供的不视为小微企业</w:t>
      </w:r>
      <w:r>
        <w:rPr>
          <w:rFonts w:hint="eastAsia" w:hAnsi="宋体" w:cs="宋体"/>
          <w:sz w:val="24"/>
          <w:szCs w:val="24"/>
          <w:lang w:eastAsia="zh-CN"/>
        </w:rPr>
        <w:t>。</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残疾人福利性单位属于小微企业的，不重复享受政策。</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享受中小企业扶持政策的供应商可以同时享受节能产品、环境标志产品优先采购政策。</w:t>
      </w:r>
    </w:p>
    <w:p>
      <w:pPr>
        <w:tabs>
          <w:tab w:val="left" w:pos="0"/>
        </w:tabs>
        <w:adjustRightInd w:val="0"/>
        <w:snapToGrid w:val="0"/>
        <w:spacing w:line="500" w:lineRule="exact"/>
        <w:ind w:firstLine="480" w:firstLineChars="200"/>
        <w:jc w:val="left"/>
        <w:rPr>
          <w:rFonts w:hint="eastAsia" w:hAnsi="宋体" w:cs="宋体"/>
          <w:sz w:val="24"/>
          <w:szCs w:val="24"/>
        </w:rPr>
      </w:pPr>
      <w:r>
        <w:rPr>
          <w:rFonts w:hint="eastAsia" w:hAnsi="宋体" w:cs="宋体"/>
          <w:sz w:val="24"/>
          <w:szCs w:val="24"/>
        </w:rPr>
        <w:t>政府采购监督检查、投诉处理及政府采购行政处罚中对中小企业的认定，由货物制造商注册登记所在地的县级以上人民政府中小企业主管部门负责。</w:t>
      </w:r>
    </w:p>
    <w:p>
      <w:pPr>
        <w:tabs>
          <w:tab w:val="left" w:pos="0"/>
        </w:tabs>
        <w:adjustRightInd w:val="0"/>
        <w:snapToGrid w:val="0"/>
        <w:spacing w:line="500" w:lineRule="exact"/>
        <w:ind w:firstLine="480" w:firstLineChars="200"/>
        <w:jc w:val="left"/>
        <w:rPr>
          <w:sz w:val="24"/>
          <w:szCs w:val="24"/>
        </w:rPr>
        <w:sectPr>
          <w:footerReference r:id="rId9" w:type="default"/>
          <w:pgSz w:w="11906" w:h="16838"/>
          <w:pgMar w:top="1440" w:right="170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sz w:val="24"/>
          <w:szCs w:val="24"/>
          <w:lang w:val="en-US" w:eastAsia="zh-CN"/>
        </w:rPr>
        <w:t>5.4</w:t>
      </w:r>
      <w:r>
        <w:rPr>
          <w:rFonts w:hint="eastAsia" w:ascii="宋体" w:hAnsi="宋体" w:cs="宋体"/>
          <w:sz w:val="24"/>
          <w:szCs w:val="24"/>
        </w:rPr>
        <w:t>供应商有融资、担保需求的，具体办理流程按照财政部门及相关政策执行（陕西省财政厅关于印发《陕西省中小企业政府采购信用融资办法》（陕财办采〔2018〕23号））。</w:t>
      </w:r>
    </w:p>
    <w:p>
      <w:pPr>
        <w:pStyle w:val="5"/>
        <w:jc w:val="center"/>
        <w:rPr>
          <w:rFonts w:ascii="宋体" w:hAnsi="宋体" w:cs="宋体"/>
          <w:sz w:val="36"/>
          <w:szCs w:val="28"/>
        </w:rPr>
      </w:pPr>
      <w:bookmarkStart w:id="31" w:name="_Toc9430"/>
      <w:r>
        <w:rPr>
          <w:rFonts w:hint="eastAsia" w:ascii="宋体" w:hAnsi="宋体" w:cs="宋体"/>
          <w:sz w:val="36"/>
          <w:szCs w:val="28"/>
        </w:rPr>
        <w:t>三、投标文件</w:t>
      </w:r>
      <w:bookmarkEnd w:id="30"/>
      <w:bookmarkEnd w:id="31"/>
    </w:p>
    <w:p>
      <w:pPr>
        <w:pStyle w:val="6"/>
        <w:numPr>
          <w:ilvl w:val="0"/>
          <w:numId w:val="13"/>
        </w:numPr>
        <w:spacing w:line="500" w:lineRule="exact"/>
        <w:ind w:firstLine="562" w:firstLineChars="200"/>
        <w:rPr>
          <w:rFonts w:ascii="宋体" w:hAnsi="宋体" w:cs="宋体"/>
          <w:szCs w:val="28"/>
        </w:rPr>
      </w:pPr>
      <w:bookmarkStart w:id="32" w:name="_Toc17549"/>
      <w:r>
        <w:rPr>
          <w:rFonts w:hint="eastAsia" w:ascii="宋体" w:hAnsi="宋体" w:cs="宋体"/>
          <w:szCs w:val="28"/>
        </w:rPr>
        <w:t>投标文件的编制</w:t>
      </w:r>
      <w:bookmarkEnd w:id="32"/>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供应商需依据招标文件内容和投标文件格式的要求编制投标文件，具体内容参见“第七部分 投标文件格式”。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w:t>
      </w:r>
      <w:r>
        <w:rPr>
          <w:rFonts w:hint="eastAsia" w:ascii="宋体" w:hAnsi="宋体" w:cs="宋体"/>
          <w:b/>
          <w:bCs/>
          <w:sz w:val="24"/>
          <w:szCs w:val="24"/>
        </w:rPr>
        <w:t>推荐采用双面打印</w:t>
      </w:r>
      <w:r>
        <w:rPr>
          <w:rFonts w:hint="eastAsia" w:ascii="宋体" w:hAnsi="宋体" w:cs="宋体"/>
          <w:sz w:val="24"/>
          <w:szCs w:val="24"/>
        </w:rPr>
        <w:t>，按照招标文件所规定的内容顺序，统一编目、编页码装订，由于编排混乱导致投标文件被误读或查找不到，其责任应当由供应商承担。装订必须采用胶装形式，不得采用活页装订，必须编排页码。</w:t>
      </w:r>
    </w:p>
    <w:p>
      <w:pPr>
        <w:pStyle w:val="6"/>
        <w:numPr>
          <w:ilvl w:val="0"/>
          <w:numId w:val="13"/>
        </w:numPr>
        <w:spacing w:line="500" w:lineRule="exact"/>
        <w:ind w:firstLine="482" w:firstLineChars="200"/>
        <w:rPr>
          <w:rFonts w:ascii="宋体" w:hAnsi="宋体" w:cs="宋体"/>
          <w:sz w:val="24"/>
          <w:szCs w:val="24"/>
        </w:rPr>
      </w:pPr>
      <w:bookmarkStart w:id="33" w:name="_Toc27646"/>
      <w:bookmarkStart w:id="34" w:name="_Toc1311"/>
      <w:r>
        <w:rPr>
          <w:rFonts w:hint="eastAsia" w:ascii="宋体" w:hAnsi="宋体" w:cs="宋体"/>
          <w:sz w:val="24"/>
          <w:szCs w:val="24"/>
        </w:rPr>
        <w:t>投标报价</w:t>
      </w:r>
      <w:bookmarkEnd w:id="33"/>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6"/>
        <w:numPr>
          <w:ilvl w:val="0"/>
          <w:numId w:val="13"/>
        </w:numPr>
        <w:spacing w:line="500" w:lineRule="exact"/>
        <w:ind w:firstLine="482" w:firstLineChars="200"/>
        <w:rPr>
          <w:rFonts w:ascii="宋体" w:hAnsi="宋体" w:cs="宋体"/>
          <w:sz w:val="24"/>
          <w:szCs w:val="24"/>
        </w:rPr>
      </w:pPr>
      <w:bookmarkStart w:id="35" w:name="_Toc29200"/>
      <w:r>
        <w:rPr>
          <w:rFonts w:hint="eastAsia" w:ascii="宋体" w:hAnsi="宋体" w:cs="宋体"/>
          <w:sz w:val="24"/>
          <w:szCs w:val="24"/>
        </w:rPr>
        <w:t>投标货币</w:t>
      </w:r>
      <w:bookmarkEnd w:id="35"/>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6"/>
        <w:numPr>
          <w:ilvl w:val="0"/>
          <w:numId w:val="13"/>
        </w:numPr>
        <w:spacing w:line="500" w:lineRule="exact"/>
        <w:ind w:firstLine="562" w:firstLineChars="200"/>
        <w:rPr>
          <w:rFonts w:ascii="宋体" w:hAnsi="宋体" w:cs="宋体"/>
          <w:szCs w:val="28"/>
        </w:rPr>
      </w:pPr>
      <w:r>
        <w:rPr>
          <w:rFonts w:hint="eastAsia" w:ascii="宋体" w:hAnsi="宋体" w:cs="宋体"/>
          <w:szCs w:val="28"/>
        </w:rPr>
        <w:t>投标保证金</w:t>
      </w:r>
      <w:bookmarkEnd w:id="34"/>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4.1 投标保证金按照供应商须知前附表要求缴纳。</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4.2 未中标供应商的投标保证金，在中标通知书发出后5个工作日内无息退还；中标供应商的投标保证金在合同签订后5个工作日内无息退还。</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4.3 发生下列情形之一的，代理机构将不予退还供应商缴纳的投标保证金：</w:t>
      </w:r>
    </w:p>
    <w:p>
      <w:pPr>
        <w:numPr>
          <w:ilvl w:val="0"/>
          <w:numId w:val="14"/>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投标有效期内供应商撤销其所投投标文件的；</w:t>
      </w:r>
    </w:p>
    <w:p>
      <w:pPr>
        <w:numPr>
          <w:ilvl w:val="0"/>
          <w:numId w:val="14"/>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在采购人确定中标人以前放弃中标候选资格的；</w:t>
      </w:r>
    </w:p>
    <w:p>
      <w:pPr>
        <w:numPr>
          <w:ilvl w:val="0"/>
          <w:numId w:val="14"/>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供应商企图影响开标、评标的任何活动，将导致投标被拒绝，并由其承担相应的法律责任；</w:t>
      </w:r>
    </w:p>
    <w:p>
      <w:pPr>
        <w:numPr>
          <w:ilvl w:val="0"/>
          <w:numId w:val="14"/>
        </w:numPr>
        <w:adjustRightInd w:val="0"/>
        <w:snapToGrid w:val="0"/>
        <w:spacing w:line="500" w:lineRule="exact"/>
        <w:rPr>
          <w:rFonts w:ascii="宋体" w:hAnsi="宋体" w:cs="宋体"/>
          <w:sz w:val="24"/>
          <w:szCs w:val="24"/>
        </w:rPr>
      </w:pPr>
      <w:r>
        <w:rPr>
          <w:rFonts w:hint="eastAsia" w:ascii="宋体" w:hAnsi="宋体" w:cs="宋体"/>
          <w:kern w:val="0"/>
          <w:sz w:val="24"/>
          <w:szCs w:val="24"/>
        </w:rPr>
        <w:t>除因不可抗力或招标文件认可的情形以外，供应商</w:t>
      </w:r>
      <w:r>
        <w:rPr>
          <w:rFonts w:hint="eastAsia" w:ascii="宋体" w:hAnsi="宋体" w:cs="宋体"/>
          <w:sz w:val="24"/>
          <w:szCs w:val="24"/>
        </w:rPr>
        <w:t>不与采购人签订合同的；</w:t>
      </w:r>
    </w:p>
    <w:p>
      <w:pPr>
        <w:numPr>
          <w:ilvl w:val="0"/>
          <w:numId w:val="14"/>
        </w:numPr>
        <w:adjustRightInd w:val="0"/>
        <w:snapToGrid w:val="0"/>
        <w:spacing w:line="500" w:lineRule="exact"/>
        <w:rPr>
          <w:rFonts w:ascii="宋体" w:hAnsi="宋体" w:cs="宋体"/>
          <w:sz w:val="24"/>
          <w:szCs w:val="24"/>
        </w:rPr>
      </w:pPr>
      <w:r>
        <w:rPr>
          <w:rFonts w:hint="eastAsia" w:ascii="宋体" w:hAnsi="宋体" w:cs="宋体"/>
          <w:sz w:val="24"/>
          <w:szCs w:val="24"/>
        </w:rPr>
        <w:t>由于中标人原因未能按照招标文件的规定</w:t>
      </w:r>
      <w:r>
        <w:rPr>
          <w:rFonts w:hint="eastAsia" w:ascii="宋体" w:hAnsi="宋体" w:cs="宋体"/>
          <w:sz w:val="24"/>
          <w:szCs w:val="24"/>
          <w:lang w:eastAsia="zh-CN"/>
        </w:rPr>
        <w:t>缴纳</w:t>
      </w:r>
      <w:r>
        <w:rPr>
          <w:rFonts w:hint="eastAsia" w:ascii="宋体" w:hAnsi="宋体" w:cs="宋体"/>
          <w:sz w:val="24"/>
          <w:szCs w:val="24"/>
        </w:rPr>
        <w:t>履约保证金；</w:t>
      </w:r>
    </w:p>
    <w:p>
      <w:pPr>
        <w:numPr>
          <w:ilvl w:val="0"/>
          <w:numId w:val="14"/>
        </w:numPr>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投标有效期内，供应商在政府采购活动中有违法、违规、违纪行为；</w:t>
      </w:r>
    </w:p>
    <w:p>
      <w:pPr>
        <w:numPr>
          <w:ilvl w:val="0"/>
          <w:numId w:val="14"/>
        </w:numPr>
        <w:adjustRightInd w:val="0"/>
        <w:snapToGrid w:val="0"/>
        <w:spacing w:line="500" w:lineRule="exact"/>
        <w:rPr>
          <w:rFonts w:ascii="宋体" w:hAnsi="宋体" w:cs="宋体"/>
          <w:sz w:val="24"/>
          <w:szCs w:val="24"/>
        </w:rPr>
      </w:pPr>
      <w:r>
        <w:rPr>
          <w:rFonts w:hint="eastAsia" w:ascii="宋体" w:hAnsi="宋体" w:cs="宋体"/>
          <w:sz w:val="24"/>
          <w:szCs w:val="24"/>
        </w:rPr>
        <w:t xml:space="preserve">中标人与采购人订立背离合同实质性内容的其它协议； </w:t>
      </w:r>
    </w:p>
    <w:p>
      <w:pPr>
        <w:numPr>
          <w:ilvl w:val="0"/>
          <w:numId w:val="14"/>
        </w:numPr>
        <w:adjustRightInd w:val="0"/>
        <w:snapToGrid w:val="0"/>
        <w:spacing w:line="500" w:lineRule="exact"/>
        <w:rPr>
          <w:rFonts w:ascii="宋体" w:hAnsi="宋体" w:cs="宋体"/>
          <w:sz w:val="24"/>
          <w:szCs w:val="24"/>
        </w:rPr>
      </w:pPr>
      <w:r>
        <w:rPr>
          <w:rFonts w:hint="eastAsia" w:ascii="宋体" w:hAnsi="宋体" w:cs="宋体"/>
          <w:sz w:val="24"/>
          <w:szCs w:val="24"/>
        </w:rPr>
        <w:t>供应商未按招标文件规定和合同约定履行义务的。</w:t>
      </w:r>
    </w:p>
    <w:p>
      <w:pPr>
        <w:pStyle w:val="6"/>
        <w:numPr>
          <w:ilvl w:val="0"/>
          <w:numId w:val="13"/>
        </w:numPr>
        <w:spacing w:line="500" w:lineRule="exact"/>
        <w:ind w:firstLine="562" w:firstLineChars="200"/>
        <w:rPr>
          <w:rFonts w:ascii="宋体" w:hAnsi="宋体" w:cs="宋体"/>
          <w:szCs w:val="28"/>
        </w:rPr>
      </w:pPr>
      <w:bookmarkStart w:id="36" w:name="_Toc19668"/>
      <w:r>
        <w:rPr>
          <w:rFonts w:hint="eastAsia" w:ascii="宋体" w:hAnsi="宋体" w:cs="宋体"/>
          <w:szCs w:val="28"/>
        </w:rPr>
        <w:t>投标有效期</w:t>
      </w:r>
      <w:bookmarkEnd w:id="36"/>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投标有效期见供应商须知前附表，无投标有效期或投标有效期短于此规定期限的投标文件，视为无效文件，其投标将被拒绝。</w:t>
      </w:r>
    </w:p>
    <w:p>
      <w:pPr>
        <w:pStyle w:val="6"/>
        <w:numPr>
          <w:ilvl w:val="0"/>
          <w:numId w:val="13"/>
        </w:numPr>
        <w:spacing w:line="500" w:lineRule="exact"/>
        <w:ind w:firstLine="562" w:firstLineChars="200"/>
        <w:rPr>
          <w:rFonts w:ascii="宋体" w:hAnsi="宋体" w:cs="宋体"/>
          <w:szCs w:val="28"/>
        </w:rPr>
      </w:pPr>
      <w:bookmarkStart w:id="37" w:name="_Toc24827"/>
      <w:r>
        <w:rPr>
          <w:rFonts w:hint="eastAsia" w:ascii="宋体" w:hAnsi="宋体" w:cs="宋体"/>
          <w:szCs w:val="28"/>
        </w:rPr>
        <w:t>投标文件的装订、签署和</w:t>
      </w:r>
      <w:bookmarkEnd w:id="37"/>
      <w:r>
        <w:rPr>
          <w:rFonts w:hint="eastAsia" w:ascii="宋体" w:hAnsi="宋体" w:cs="宋体"/>
          <w:szCs w:val="28"/>
        </w:rPr>
        <w:t>密封</w:t>
      </w:r>
    </w:p>
    <w:p>
      <w:pPr>
        <w:tabs>
          <w:tab w:val="left" w:pos="0"/>
        </w:tabs>
        <w:spacing w:line="500" w:lineRule="exact"/>
        <w:ind w:firstLine="480" w:firstLineChars="200"/>
        <w:rPr>
          <w:rFonts w:ascii="宋体" w:hAnsi="宋体" w:cs="宋体"/>
          <w:sz w:val="24"/>
          <w:szCs w:val="24"/>
        </w:rPr>
      </w:pPr>
      <w:bookmarkStart w:id="38" w:name="_Toc22752"/>
      <w:r>
        <w:rPr>
          <w:rFonts w:hint="eastAsia" w:ascii="宋体" w:hAnsi="宋体" w:cs="宋体"/>
          <w:sz w:val="24"/>
          <w:szCs w:val="24"/>
        </w:rPr>
        <w:t>6.1 投标文件的装订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 投标文件的签署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投标文件的密封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bookmarkEnd w:id="38"/>
    <w:p>
      <w:pPr>
        <w:widowControl/>
        <w:numPr>
          <w:ilvl w:val="0"/>
          <w:numId w:val="15"/>
        </w:numPr>
        <w:spacing w:line="500" w:lineRule="exact"/>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bookmarkStart w:id="39" w:name="_Toc3736"/>
    </w:p>
    <w:p>
      <w:pPr>
        <w:widowControl/>
        <w:spacing w:before="159" w:beforeLines="50" w:after="159" w:afterLines="50" w:line="500" w:lineRule="exact"/>
        <w:jc w:val="center"/>
        <w:outlineLvl w:val="1"/>
        <w:rPr>
          <w:rFonts w:ascii="宋体" w:hAnsi="宋体" w:cs="宋体"/>
          <w:b/>
          <w:bCs/>
          <w:kern w:val="0"/>
          <w:sz w:val="32"/>
          <w:szCs w:val="28"/>
        </w:rPr>
      </w:pPr>
      <w:bookmarkStart w:id="40" w:name="_Toc3565"/>
      <w:bookmarkStart w:id="41" w:name="_Toc13150"/>
      <w:r>
        <w:rPr>
          <w:rFonts w:hint="eastAsia" w:ascii="宋体" w:hAnsi="宋体" w:cs="宋体"/>
          <w:b/>
          <w:bCs/>
          <w:kern w:val="0"/>
          <w:sz w:val="32"/>
          <w:szCs w:val="28"/>
        </w:rPr>
        <w:t>四、投标文件的递交</w:t>
      </w:r>
      <w:bookmarkEnd w:id="40"/>
      <w:bookmarkEnd w:id="41"/>
    </w:p>
    <w:bookmarkEnd w:id="39"/>
    <w:p>
      <w:pPr>
        <w:pStyle w:val="6"/>
        <w:keepNext w:val="0"/>
        <w:keepLines w:val="0"/>
        <w:numPr>
          <w:ilvl w:val="0"/>
          <w:numId w:val="16"/>
        </w:numPr>
        <w:spacing w:line="500" w:lineRule="exact"/>
        <w:ind w:firstLine="562" w:firstLineChars="200"/>
        <w:rPr>
          <w:rFonts w:ascii="宋体" w:hAnsi="宋体" w:cs="宋体"/>
          <w:szCs w:val="28"/>
        </w:rPr>
      </w:pPr>
      <w:bookmarkStart w:id="42" w:name="_Toc3685"/>
      <w:r>
        <w:rPr>
          <w:rFonts w:hint="eastAsia" w:ascii="宋体" w:hAnsi="宋体" w:cs="宋体"/>
          <w:szCs w:val="28"/>
        </w:rPr>
        <w:t>投标文件递交</w:t>
      </w:r>
      <w:bookmarkEnd w:id="42"/>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1.3代理机构不接受邮寄的投标文件。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无论供应商中标与否，其投标文件恕不退还。</w:t>
      </w:r>
    </w:p>
    <w:p>
      <w:pPr>
        <w:pStyle w:val="6"/>
        <w:keepNext w:val="0"/>
        <w:keepLines w:val="0"/>
        <w:numPr>
          <w:ilvl w:val="0"/>
          <w:numId w:val="16"/>
        </w:numPr>
        <w:spacing w:line="500" w:lineRule="exact"/>
        <w:ind w:firstLine="562" w:firstLineChars="200"/>
        <w:rPr>
          <w:rFonts w:ascii="宋体" w:hAnsi="宋体" w:cs="宋体"/>
          <w:szCs w:val="28"/>
        </w:rPr>
      </w:pPr>
      <w:bookmarkStart w:id="43" w:name="_Toc12741"/>
      <w:r>
        <w:rPr>
          <w:rFonts w:hint="eastAsia" w:ascii="宋体" w:hAnsi="宋体" w:cs="宋体"/>
          <w:szCs w:val="28"/>
        </w:rPr>
        <w:t>投标文件的修改和撤回</w:t>
      </w:r>
      <w:bookmarkEnd w:id="43"/>
    </w:p>
    <w:p>
      <w:pPr>
        <w:spacing w:line="500" w:lineRule="exact"/>
        <w:ind w:firstLine="480" w:firstLineChars="200"/>
        <w:jc w:val="left"/>
        <w:rPr>
          <w:rFonts w:ascii="宋体" w:hAnsi="宋体" w:cs="宋体"/>
          <w:sz w:val="24"/>
          <w:szCs w:val="24"/>
        </w:rPr>
      </w:pPr>
      <w:r>
        <w:rPr>
          <w:rFonts w:hint="eastAsia" w:ascii="宋体" w:hAnsi="宋体" w:cs="宋体"/>
          <w:sz w:val="24"/>
          <w:szCs w:val="24"/>
        </w:rPr>
        <w:t>2.1 供应商可以在投标截止时间前，对所递交的投标文件进行补充、修改或者撤回，并以书面形式通知采购代理机构（或采购人)。</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2.3 在投标截止时间之后，供应商不得对其投标文件进行补充、修改或撤回。</w:t>
      </w:r>
    </w:p>
    <w:p>
      <w:pPr>
        <w:widowControl/>
        <w:spacing w:before="159" w:beforeLines="50" w:after="159" w:afterLines="50" w:line="500" w:lineRule="exact"/>
        <w:jc w:val="center"/>
        <w:outlineLvl w:val="1"/>
        <w:rPr>
          <w:rFonts w:ascii="宋体" w:hAnsi="宋体" w:cs="宋体"/>
          <w:b/>
          <w:bCs/>
          <w:kern w:val="0"/>
          <w:sz w:val="32"/>
          <w:szCs w:val="28"/>
        </w:rPr>
      </w:pPr>
      <w:bookmarkStart w:id="44" w:name="_Toc27066"/>
      <w:bookmarkStart w:id="45" w:name="_Toc26480"/>
      <w:bookmarkStart w:id="46" w:name="_Toc14415"/>
      <w:r>
        <w:rPr>
          <w:rFonts w:hint="eastAsia" w:ascii="宋体" w:hAnsi="宋体" w:cs="宋体"/>
          <w:b/>
          <w:bCs/>
          <w:kern w:val="0"/>
          <w:sz w:val="32"/>
          <w:szCs w:val="28"/>
        </w:rPr>
        <w:t>五、 开标、评审、定标</w:t>
      </w:r>
      <w:bookmarkEnd w:id="44"/>
      <w:bookmarkEnd w:id="45"/>
      <w:bookmarkEnd w:id="46"/>
    </w:p>
    <w:p>
      <w:pPr>
        <w:pStyle w:val="6"/>
        <w:keepNext w:val="0"/>
        <w:keepLines w:val="0"/>
        <w:numPr>
          <w:ilvl w:val="0"/>
          <w:numId w:val="17"/>
        </w:numPr>
        <w:spacing w:line="500" w:lineRule="exact"/>
        <w:ind w:firstLine="562"/>
        <w:rPr>
          <w:rFonts w:ascii="宋体" w:hAnsi="宋体" w:cs="宋体"/>
          <w:szCs w:val="28"/>
        </w:rPr>
      </w:pPr>
      <w:bookmarkStart w:id="47" w:name="_Toc27216"/>
      <w:r>
        <w:rPr>
          <w:rFonts w:hint="eastAsia" w:ascii="宋体" w:hAnsi="宋体" w:cs="宋体"/>
          <w:szCs w:val="28"/>
        </w:rPr>
        <w:t>开标</w:t>
      </w:r>
      <w:bookmarkEnd w:id="47"/>
    </w:p>
    <w:p>
      <w:pPr>
        <w:widowControl/>
        <w:tabs>
          <w:tab w:val="left" w:pos="0"/>
        </w:tabs>
        <w:spacing w:line="500" w:lineRule="exact"/>
        <w:ind w:firstLine="480" w:firstLineChars="200"/>
        <w:jc w:val="left"/>
        <w:rPr>
          <w:rFonts w:ascii="宋体" w:hAnsi="宋体" w:cs="宋体"/>
          <w:color w:val="000000"/>
          <w:sz w:val="24"/>
          <w:szCs w:val="24"/>
          <w:highlight w:val="yellow"/>
        </w:rPr>
      </w:pPr>
      <w:r>
        <w:rPr>
          <w:rFonts w:hint="eastAsia" w:ascii="宋体" w:hAnsi="宋体" w:cs="宋体"/>
          <w:sz w:val="24"/>
          <w:szCs w:val="24"/>
        </w:rPr>
        <w:t>1.1 采购代理机构按招标公告中规定的时间和地点接收供应商递交的投标文件，主持开标会议，邀请供应商参加</w:t>
      </w:r>
      <w:r>
        <w:rPr>
          <w:rFonts w:hint="eastAsia" w:ascii="宋体" w:hAnsi="宋体" w:cs="宋体"/>
          <w:color w:val="000000"/>
          <w:sz w:val="24"/>
          <w:szCs w:val="24"/>
        </w:rPr>
        <w:t>，评标委员会成员不得参加开标活动。</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报价一览表”上的内容有异议的，应在获得开标会议主持人同意后当场提出。如确实属于唱标人员宣读错误，经供应商代表核实后，当场予以更正，不属于唱标人员宣读错误的，以单独密封的报价一览表为准。</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1.3开标时，投标文件中出现下列情况，修正原则为：</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投标文件中报价一览表（报价表）内容与投标文件中相应内容不一致的，以报价一览表（报价表）为准；</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单价金额小数点或者百分比有明显错位的，以报价一览表的总价为准，并修改单价；</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总价金额与按单价汇总金额不一致的，以单价金额计算结果为准；报价金额精确到小数点后两位，不进行四舍五入；  </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投标文件单独密封递交的报价一览表与正本不一致的，以单独密封递交的报价一览表为准；</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6"/>
        <w:keepNext w:val="0"/>
        <w:keepLines w:val="0"/>
        <w:numPr>
          <w:ilvl w:val="0"/>
          <w:numId w:val="17"/>
        </w:numPr>
        <w:spacing w:line="500" w:lineRule="exact"/>
        <w:ind w:firstLine="562"/>
        <w:rPr>
          <w:rFonts w:ascii="宋体" w:hAnsi="宋体" w:cs="宋体"/>
          <w:szCs w:val="28"/>
        </w:rPr>
      </w:pPr>
      <w:bookmarkStart w:id="48" w:name="_Toc20569"/>
      <w:bookmarkStart w:id="49" w:name="_Toc358364344"/>
      <w:bookmarkStart w:id="50" w:name="_Toc380336750"/>
      <w:bookmarkStart w:id="51" w:name="_Toc801"/>
      <w:r>
        <w:rPr>
          <w:rFonts w:hint="eastAsia" w:ascii="宋体" w:hAnsi="宋体" w:cs="宋体"/>
          <w:szCs w:val="28"/>
        </w:rPr>
        <w:t>评标委员会</w:t>
      </w:r>
      <w:bookmarkEnd w:id="48"/>
      <w:bookmarkEnd w:id="49"/>
      <w:bookmarkEnd w:id="50"/>
      <w:bookmarkEnd w:id="51"/>
    </w:p>
    <w:p>
      <w:pPr>
        <w:widowControl/>
        <w:spacing w:line="460" w:lineRule="exact"/>
        <w:ind w:firstLine="420" w:firstLineChars="175"/>
        <w:jc w:val="left"/>
        <w:rPr>
          <w:rFonts w:ascii="宋体" w:hAnsi="宋体" w:cs="宋体"/>
          <w:sz w:val="24"/>
          <w:szCs w:val="24"/>
        </w:rPr>
      </w:pPr>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2.1.1遵纪守法，客观、公正、认真负责地履行职责，审查投标文件是否符合招标文件的要求，并</w:t>
      </w:r>
      <w:r>
        <w:rPr>
          <w:rFonts w:hint="eastAsia" w:ascii="宋体" w:hAnsi="宋体" w:cs="宋体"/>
          <w:sz w:val="24"/>
          <w:szCs w:val="24"/>
          <w:lang w:eastAsia="zh-CN"/>
        </w:rPr>
        <w:t>作出</w:t>
      </w:r>
      <w:r>
        <w:rPr>
          <w:rFonts w:hint="eastAsia" w:ascii="宋体" w:hAnsi="宋体" w:cs="宋体"/>
          <w:sz w:val="24"/>
          <w:szCs w:val="24"/>
        </w:rPr>
        <w:t>评价；</w:t>
      </w:r>
    </w:p>
    <w:p>
      <w:pPr>
        <w:spacing w:line="360" w:lineRule="auto"/>
        <w:ind w:left="420"/>
        <w:jc w:val="left"/>
        <w:rPr>
          <w:rFonts w:ascii="宋体" w:hAnsi="宋体" w:cs="宋体"/>
          <w:sz w:val="24"/>
          <w:szCs w:val="24"/>
        </w:rPr>
      </w:pPr>
      <w:r>
        <w:rPr>
          <w:rFonts w:hint="eastAsia" w:ascii="宋体" w:hAnsi="宋体" w:cs="宋体"/>
          <w:sz w:val="24"/>
          <w:szCs w:val="24"/>
        </w:rPr>
        <w:t>2.1.2要求供应商对投标文件有关事项作出解释或澄清；</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2.1.3按照招标文件的要求和评审办法进行评标，推荐中标候选单位名单，对评审意见承担个人责任；</w:t>
      </w:r>
    </w:p>
    <w:p>
      <w:pPr>
        <w:spacing w:line="360" w:lineRule="auto"/>
        <w:ind w:left="420"/>
        <w:jc w:val="left"/>
        <w:rPr>
          <w:rFonts w:ascii="宋体" w:hAnsi="宋体" w:cs="宋体"/>
          <w:sz w:val="24"/>
          <w:szCs w:val="24"/>
        </w:rPr>
      </w:pPr>
      <w:r>
        <w:rPr>
          <w:rFonts w:hint="eastAsia" w:ascii="宋体" w:hAnsi="宋体" w:cs="宋体"/>
          <w:sz w:val="24"/>
          <w:szCs w:val="24"/>
        </w:rPr>
        <w:t>2.1.4对评标过程和结果以及供应商的商业秘密保密；</w:t>
      </w:r>
    </w:p>
    <w:p>
      <w:pPr>
        <w:spacing w:line="360" w:lineRule="auto"/>
        <w:ind w:left="420"/>
        <w:jc w:val="left"/>
        <w:rPr>
          <w:rFonts w:ascii="宋体" w:hAnsi="宋体" w:cs="宋体"/>
          <w:sz w:val="24"/>
          <w:szCs w:val="24"/>
        </w:rPr>
      </w:pPr>
      <w:r>
        <w:rPr>
          <w:rFonts w:hint="eastAsia" w:ascii="宋体" w:hAnsi="宋体" w:cs="宋体"/>
          <w:sz w:val="24"/>
          <w:szCs w:val="24"/>
        </w:rPr>
        <w:t>2.1.5参与评标结果报告的起草；</w:t>
      </w:r>
    </w:p>
    <w:p>
      <w:pPr>
        <w:spacing w:line="360" w:lineRule="auto"/>
        <w:ind w:left="420"/>
        <w:jc w:val="left"/>
        <w:rPr>
          <w:rFonts w:ascii="宋体" w:hAnsi="宋体" w:cs="宋体"/>
          <w:sz w:val="24"/>
          <w:szCs w:val="24"/>
        </w:rPr>
      </w:pPr>
      <w:r>
        <w:rPr>
          <w:rFonts w:hint="eastAsia" w:ascii="宋体" w:hAnsi="宋体" w:cs="宋体"/>
          <w:sz w:val="24"/>
          <w:szCs w:val="24"/>
        </w:rPr>
        <w:t>2.1.6配合采购人、代理机构答复供应商提出的质疑；</w:t>
      </w:r>
    </w:p>
    <w:p>
      <w:pPr>
        <w:spacing w:line="360" w:lineRule="auto"/>
        <w:ind w:left="420"/>
        <w:jc w:val="left"/>
        <w:rPr>
          <w:rFonts w:ascii="宋体" w:hAnsi="宋体" w:cs="宋体"/>
          <w:kern w:val="0"/>
          <w:sz w:val="24"/>
          <w:szCs w:val="24"/>
        </w:rPr>
      </w:pPr>
      <w:r>
        <w:rPr>
          <w:rFonts w:hint="eastAsia" w:ascii="宋体" w:hAnsi="宋体" w:cs="宋体"/>
          <w:sz w:val="24"/>
          <w:szCs w:val="24"/>
        </w:rPr>
        <w:t>2.1.7配合财政部门处理投诉工作；</w:t>
      </w:r>
    </w:p>
    <w:p>
      <w:pPr>
        <w:pStyle w:val="6"/>
        <w:numPr>
          <w:ilvl w:val="0"/>
          <w:numId w:val="17"/>
        </w:numPr>
        <w:spacing w:line="500" w:lineRule="exact"/>
        <w:ind w:firstLine="562"/>
        <w:rPr>
          <w:rFonts w:ascii="宋体" w:hAnsi="宋体" w:cs="宋体"/>
          <w:szCs w:val="28"/>
        </w:rPr>
      </w:pPr>
      <w:bookmarkStart w:id="52" w:name="_Toc385958808"/>
      <w:bookmarkStart w:id="53" w:name="_Toc27940"/>
      <w:bookmarkStart w:id="54" w:name="_Toc386129876"/>
      <w:bookmarkStart w:id="55" w:name="_Toc28085"/>
      <w:r>
        <w:rPr>
          <w:rFonts w:hint="eastAsia" w:ascii="宋体" w:hAnsi="宋体" w:cs="宋体"/>
          <w:szCs w:val="28"/>
        </w:rPr>
        <w:t>投标文件初审</w:t>
      </w:r>
      <w:bookmarkEnd w:id="52"/>
      <w:bookmarkEnd w:id="53"/>
      <w:bookmarkEnd w:id="54"/>
      <w:bookmarkEnd w:id="55"/>
    </w:p>
    <w:p>
      <w:pPr>
        <w:overflowPunct w:val="0"/>
        <w:adjustRightInd w:val="0"/>
        <w:snapToGrid w:val="0"/>
        <w:spacing w:line="500" w:lineRule="exact"/>
        <w:ind w:left="420"/>
        <w:rPr>
          <w:rFonts w:ascii="宋体" w:hAnsi="宋体" w:cs="宋体"/>
          <w:kern w:val="0"/>
          <w:sz w:val="24"/>
          <w:szCs w:val="24"/>
        </w:rPr>
      </w:pPr>
      <w:r>
        <w:rPr>
          <w:rFonts w:hint="eastAsia" w:ascii="宋体" w:hAnsi="宋体" w:cs="宋体"/>
          <w:kern w:val="0"/>
          <w:sz w:val="24"/>
          <w:szCs w:val="24"/>
        </w:rPr>
        <w:t xml:space="preserve"> 3.1 供应商的资格性审查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w:t>
      </w:r>
      <w:r>
        <w:rPr>
          <w:rFonts w:hint="eastAsia" w:ascii="宋体" w:hAnsi="宋体" w:cs="宋体"/>
          <w:color w:val="000000"/>
          <w:kern w:val="0"/>
          <w:sz w:val="24"/>
          <w:szCs w:val="24"/>
        </w:rPr>
        <w:t>定，由采购人或代理机构对供应商的</w:t>
      </w:r>
      <w:r>
        <w:rPr>
          <w:rFonts w:hint="eastAsia" w:ascii="宋体" w:hAnsi="宋体" w:cs="宋体"/>
          <w:kern w:val="0"/>
          <w:sz w:val="24"/>
          <w:szCs w:val="24"/>
        </w:rPr>
        <w:t>资格证明文件进行审查，以确保供应商是否具备相应资格，资格审查内容详见供应商须知前附表。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pPr>
        <w:pStyle w:val="16"/>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评标委员会应当对符合资格的供应商的投标文件进行符合性审查，以确定其是否满足招标文件的实质性要求。符合性审查内容详见供应商须知前附表。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3.3有下列情形之一的，视为供应商串通投标，其投标无效：</w:t>
      </w:r>
    </w:p>
    <w:p>
      <w:pPr>
        <w:pStyle w:val="26"/>
        <w:spacing w:after="210" w:afterAutospacing="0" w:line="27" w:lineRule="atLeast"/>
        <w:jc w:val="both"/>
      </w:pPr>
      <w:r>
        <w:rPr>
          <w:rFonts w:hint="eastAsia"/>
        </w:rPr>
        <w:t>　　（一）不同供应商的投标文件由同一单位或者个人编制；</w:t>
      </w:r>
    </w:p>
    <w:p>
      <w:pPr>
        <w:pStyle w:val="26"/>
        <w:spacing w:after="210" w:afterAutospacing="0" w:line="27" w:lineRule="atLeast"/>
        <w:jc w:val="both"/>
      </w:pPr>
      <w:r>
        <w:rPr>
          <w:rFonts w:hint="eastAsia"/>
        </w:rPr>
        <w:t>　　（二）不同供应商委托同一单位或者个人办理投标事宜；</w:t>
      </w:r>
    </w:p>
    <w:p>
      <w:pPr>
        <w:pStyle w:val="26"/>
        <w:spacing w:after="210" w:afterAutospacing="0" w:line="27" w:lineRule="atLeast"/>
        <w:jc w:val="both"/>
      </w:pPr>
      <w:r>
        <w:rPr>
          <w:rFonts w:hint="eastAsia"/>
        </w:rPr>
        <w:t>　　（三）不同供应商的投标文件载明的项目管理成员或者联系人员为同一人；</w:t>
      </w:r>
    </w:p>
    <w:p>
      <w:pPr>
        <w:pStyle w:val="26"/>
        <w:spacing w:after="210" w:afterAutospacing="0" w:line="27" w:lineRule="atLeast"/>
        <w:jc w:val="both"/>
      </w:pPr>
      <w:r>
        <w:rPr>
          <w:rFonts w:hint="eastAsia"/>
        </w:rPr>
        <w:t>　　（四）不同供应商的投标文件异常一致或者投标报价呈规律性差异；</w:t>
      </w:r>
    </w:p>
    <w:p>
      <w:pPr>
        <w:pStyle w:val="26"/>
        <w:spacing w:after="210" w:afterAutospacing="0" w:line="27" w:lineRule="atLeast"/>
        <w:jc w:val="both"/>
      </w:pPr>
      <w:r>
        <w:rPr>
          <w:rFonts w:hint="eastAsia"/>
        </w:rPr>
        <w:t>　　（五）不同供应商的投标文件相互混装；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3.4对通过审查的，被认为其投标文件完整、合格，投标有效，可进入下阶段的评标。</w:t>
      </w:r>
    </w:p>
    <w:p>
      <w:pPr>
        <w:pStyle w:val="6"/>
        <w:numPr>
          <w:ilvl w:val="0"/>
          <w:numId w:val="17"/>
        </w:numPr>
        <w:spacing w:line="500" w:lineRule="exact"/>
        <w:ind w:firstLine="562"/>
        <w:rPr>
          <w:rFonts w:ascii="宋体" w:hAnsi="宋体" w:cs="宋体"/>
          <w:szCs w:val="28"/>
        </w:rPr>
      </w:pPr>
      <w:bookmarkStart w:id="56" w:name="_Toc17705"/>
      <w:r>
        <w:rPr>
          <w:rFonts w:hint="eastAsia" w:ascii="宋体" w:hAnsi="宋体" w:cs="宋体"/>
          <w:szCs w:val="28"/>
        </w:rPr>
        <w:t>投标文件澄清</w:t>
      </w:r>
      <w:bookmarkEnd w:id="56"/>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4.2 供应商必须按照评标委员会通知的内容和时间</w:t>
      </w:r>
      <w:r>
        <w:rPr>
          <w:rFonts w:hint="eastAsia" w:ascii="宋体" w:hAnsi="宋体" w:cs="宋体"/>
          <w:kern w:val="0"/>
          <w:sz w:val="24"/>
          <w:szCs w:val="24"/>
          <w:lang w:eastAsia="zh-CN"/>
        </w:rPr>
        <w:t>作出</w:t>
      </w:r>
      <w:r>
        <w:rPr>
          <w:rFonts w:hint="eastAsia" w:ascii="宋体" w:hAnsi="宋体" w:cs="宋体"/>
          <w:kern w:val="0"/>
          <w:sz w:val="24"/>
          <w:szCs w:val="24"/>
        </w:rPr>
        <w:t xml:space="preserve">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 xml:space="preserve">4.3 </w:t>
      </w:r>
      <w:r>
        <w:rPr>
          <w:rFonts w:hint="eastAsia" w:ascii="宋体" w:hAnsi="宋体" w:cs="宋体"/>
          <w:color w:val="000000"/>
          <w:kern w:val="0"/>
          <w:sz w:val="24"/>
          <w:szCs w:val="24"/>
        </w:rPr>
        <w:t>评标委员会认为供应商的报价明显低于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pPr>
        <w:pStyle w:val="6"/>
        <w:numPr>
          <w:ilvl w:val="0"/>
          <w:numId w:val="17"/>
        </w:numPr>
        <w:spacing w:line="500" w:lineRule="exact"/>
        <w:ind w:firstLine="562"/>
        <w:rPr>
          <w:rFonts w:ascii="宋体" w:hAnsi="宋体" w:cs="宋体"/>
          <w:szCs w:val="28"/>
        </w:rPr>
      </w:pPr>
      <w:bookmarkStart w:id="57" w:name="_Toc8353"/>
      <w:r>
        <w:rPr>
          <w:rFonts w:hint="eastAsia" w:ascii="宋体" w:hAnsi="宋体" w:cs="宋体"/>
          <w:szCs w:val="28"/>
        </w:rPr>
        <w:t>评标</w:t>
      </w:r>
      <w:bookmarkEnd w:id="57"/>
    </w:p>
    <w:p>
      <w:pPr>
        <w:spacing w:line="500" w:lineRule="exact"/>
        <w:ind w:firstLine="480" w:firstLineChars="200"/>
        <w:jc w:val="left"/>
        <w:rPr>
          <w:rFonts w:ascii="宋体" w:hAnsi="宋体" w:cs="宋体"/>
          <w:sz w:val="24"/>
          <w:szCs w:val="24"/>
        </w:rPr>
      </w:pPr>
      <w:r>
        <w:rPr>
          <w:rFonts w:hint="eastAsia" w:ascii="宋体" w:hAnsi="宋体" w:cs="宋体"/>
          <w:sz w:val="24"/>
          <w:szCs w:val="24"/>
        </w:rPr>
        <w:t>5.1评标委员会有权对在开标、评标过程中出现的一切问题，根据《中华人民共和国政府采购法》及实施条例和《政府采购货物和服务招标投标管理办法》的条款，本着公开、公平、公正的原则进行处理。</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spacing w:line="500" w:lineRule="exact"/>
        <w:ind w:firstLine="480" w:firstLineChars="200"/>
        <w:jc w:val="left"/>
        <w:rPr>
          <w:rFonts w:ascii="宋体" w:hAnsi="宋体" w:cs="宋体"/>
          <w:sz w:val="28"/>
          <w:szCs w:val="28"/>
        </w:rPr>
      </w:pPr>
      <w:r>
        <w:rPr>
          <w:rFonts w:hint="eastAsia" w:ascii="宋体" w:hAnsi="宋体" w:cs="宋体"/>
          <w:sz w:val="24"/>
          <w:szCs w:val="24"/>
        </w:rPr>
        <w:t>5.3评标委员会只对实质上响应招标文件的投标进行评价和比较；评审应严格按照招标文件的要求和条件进行；具体评审原则和中标条件详见招标文件第四部分“评标办法”。</w:t>
      </w:r>
    </w:p>
    <w:p>
      <w:pPr>
        <w:pStyle w:val="6"/>
        <w:numPr>
          <w:ilvl w:val="0"/>
          <w:numId w:val="17"/>
        </w:numPr>
        <w:spacing w:line="500" w:lineRule="exact"/>
        <w:ind w:firstLine="562"/>
        <w:rPr>
          <w:rFonts w:ascii="宋体" w:hAnsi="宋体" w:cs="宋体"/>
          <w:szCs w:val="28"/>
        </w:rPr>
      </w:pPr>
      <w:bookmarkStart w:id="58" w:name="_Toc12947"/>
      <w:r>
        <w:rPr>
          <w:rFonts w:hint="eastAsia" w:ascii="宋体" w:hAnsi="宋体" w:cs="宋体"/>
          <w:szCs w:val="28"/>
        </w:rPr>
        <w:t>定标</w:t>
      </w:r>
      <w:bookmarkEnd w:id="58"/>
    </w:p>
    <w:p>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6.2代理机构收到采购单位“定标复函”后2个工作日内，在财政部门指定的政府采购信息媒体上发布公告，并向中标人发出“中标通知书”。</w:t>
      </w:r>
    </w:p>
    <w:p>
      <w:pPr>
        <w:widowControl/>
        <w:spacing w:before="159" w:beforeLines="50" w:after="159" w:afterLines="50" w:line="500" w:lineRule="exact"/>
        <w:jc w:val="center"/>
        <w:outlineLvl w:val="1"/>
        <w:rPr>
          <w:rFonts w:ascii="宋体" w:hAnsi="宋体" w:cs="宋体"/>
          <w:b/>
          <w:bCs/>
          <w:kern w:val="0"/>
          <w:sz w:val="32"/>
          <w:szCs w:val="28"/>
        </w:rPr>
      </w:pPr>
      <w:bookmarkStart w:id="59" w:name="_Toc19048"/>
      <w:bookmarkStart w:id="60" w:name="_Toc19972"/>
      <w:bookmarkStart w:id="61" w:name="_Toc25308"/>
      <w:r>
        <w:rPr>
          <w:rFonts w:hint="eastAsia" w:ascii="宋体" w:hAnsi="宋体" w:cs="宋体"/>
          <w:b/>
          <w:bCs/>
          <w:kern w:val="0"/>
          <w:sz w:val="32"/>
          <w:szCs w:val="28"/>
        </w:rPr>
        <w:t>六、签订合同</w:t>
      </w:r>
      <w:bookmarkEnd w:id="59"/>
      <w:bookmarkEnd w:id="60"/>
      <w:bookmarkEnd w:id="61"/>
    </w:p>
    <w:p>
      <w:pPr>
        <w:pStyle w:val="10"/>
        <w:spacing w:line="360" w:lineRule="auto"/>
        <w:rPr>
          <w:rFonts w:ascii="宋体" w:hAnsi="宋体" w:cs="宋体"/>
          <w:sz w:val="24"/>
          <w:szCs w:val="24"/>
        </w:rPr>
      </w:pPr>
      <w:r>
        <w:rPr>
          <w:rFonts w:hint="eastAsia" w:ascii="宋体" w:hAnsi="宋体" w:cs="宋体"/>
          <w:sz w:val="24"/>
          <w:szCs w:val="24"/>
        </w:rPr>
        <w:t>采购人与中标、成交供应商应当在中标、成交通知书发出之日起三十日内，按照采购文件确定的事项签订政府采购合同。</w:t>
      </w:r>
    </w:p>
    <w:p>
      <w:pPr>
        <w:widowControl/>
        <w:spacing w:before="159" w:beforeLines="50" w:after="159" w:afterLines="50" w:line="500" w:lineRule="exact"/>
        <w:jc w:val="center"/>
        <w:outlineLvl w:val="1"/>
        <w:rPr>
          <w:rFonts w:ascii="宋体" w:hAnsi="宋体" w:cs="宋体"/>
          <w:b/>
          <w:bCs/>
          <w:kern w:val="0"/>
          <w:sz w:val="32"/>
          <w:szCs w:val="28"/>
        </w:rPr>
      </w:pPr>
      <w:bookmarkStart w:id="62" w:name="_Toc13539"/>
      <w:r>
        <w:rPr>
          <w:rFonts w:hint="eastAsia" w:ascii="宋体" w:hAnsi="宋体" w:cs="宋体"/>
          <w:b/>
          <w:bCs/>
          <w:kern w:val="0"/>
          <w:sz w:val="32"/>
          <w:szCs w:val="28"/>
        </w:rPr>
        <w:t>七、质疑和投诉</w:t>
      </w:r>
      <w:bookmarkEnd w:id="62"/>
    </w:p>
    <w:p>
      <w:pPr>
        <w:widowControl/>
        <w:spacing w:line="360" w:lineRule="auto"/>
        <w:ind w:firstLine="480" w:firstLineChars="200"/>
        <w:rPr>
          <w:rFonts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2）对采购过程提出质疑的，为各采购程序环节结束之日；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 、质疑函应当包括下列主要内容：</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widowControl/>
        <w:spacing w:line="360" w:lineRule="auto"/>
        <w:ind w:firstLine="240" w:firstLineChars="100"/>
        <w:rPr>
          <w:rFonts w:ascii="宋体" w:hAnsi="宋体" w:cs="宋体"/>
          <w:sz w:val="24"/>
          <w:szCs w:val="24"/>
        </w:rPr>
      </w:pPr>
      <w:r>
        <w:rPr>
          <w:rFonts w:hint="eastAsia" w:ascii="宋体" w:hAnsi="宋体" w:cs="宋体"/>
          <w:sz w:val="24"/>
          <w:szCs w:val="24"/>
        </w:rPr>
        <w:t xml:space="preserve">  2）质疑项目的名称、编号；</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4）事实依据；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代理人提出质疑和投诉，应当提交供应商签署的授权委托书。</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6、 质疑函接收方式：由自然人本人或法定代表人或者其授权代表携带书面原件及身份证明原件到现场递交，否则不予受理 。 </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7、质疑受理部门：陕西卓佲项目管理有限公司。</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质疑受理电话：029-88440695。</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8、提交质疑函地点：西安市雁塔区科技路10号华奥大厦A座20层2002室。</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10、质疑供应商对采购人、采购代理机构的答复不满意，或者采购人、采购代理机构未在规定的时间内作出答复的，可以在答复期满后15个工作日内向采购人的同级政府采购监督管理部门投诉。</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11、质疑函应当使用中文。质疑函范本详见财政部制定的范本即招标文件附件六。</w:t>
      </w:r>
    </w:p>
    <w:p>
      <w:pPr>
        <w:rPr>
          <w:rFonts w:ascii="宋体" w:hAnsi="宋体" w:cs="宋体"/>
        </w:rPr>
      </w:pPr>
    </w:p>
    <w:p>
      <w:pPr>
        <w:pStyle w:val="4"/>
        <w:pageBreakBefore/>
        <w:numPr>
          <w:ilvl w:val="0"/>
          <w:numId w:val="19"/>
        </w:numPr>
        <w:spacing w:before="319" w:beforeLines="100" w:after="319" w:afterLines="100" w:line="500" w:lineRule="exact"/>
        <w:rPr>
          <w:rFonts w:ascii="宋体" w:hAnsi="宋体" w:cs="宋体"/>
          <w:color w:val="000000"/>
          <w:sz w:val="36"/>
          <w:szCs w:val="36"/>
        </w:rPr>
      </w:pPr>
      <w:bookmarkStart w:id="63" w:name="_Toc3298"/>
      <w:bookmarkEnd w:id="63"/>
      <w:r>
        <w:rPr>
          <w:rFonts w:hint="eastAsia" w:ascii="宋体" w:hAnsi="宋体" w:cs="宋体"/>
          <w:color w:val="000000"/>
          <w:sz w:val="36"/>
          <w:szCs w:val="36"/>
        </w:rPr>
        <w:t xml:space="preserve">  </w:t>
      </w:r>
      <w:bookmarkStart w:id="64" w:name="_Toc18557"/>
      <w:r>
        <w:rPr>
          <w:rFonts w:hint="eastAsia" w:ascii="宋体" w:hAnsi="宋体" w:cs="宋体"/>
          <w:color w:val="000000"/>
          <w:sz w:val="36"/>
          <w:szCs w:val="36"/>
        </w:rPr>
        <w:t>评标方法</w:t>
      </w:r>
      <w:bookmarkEnd w:id="64"/>
    </w:p>
    <w:p>
      <w:pPr>
        <w:spacing w:line="500" w:lineRule="exact"/>
        <w:ind w:firstLine="480" w:firstLineChars="200"/>
        <w:rPr>
          <w:rFonts w:hint="eastAsia" w:ascii="宋体" w:hAnsi="宋体" w:cs="宋体"/>
          <w:sz w:val="24"/>
          <w:szCs w:val="24"/>
        </w:rPr>
      </w:pPr>
      <w:r>
        <w:rPr>
          <w:rFonts w:hint="eastAsia" w:ascii="宋体" w:hAnsi="宋体" w:cs="宋体"/>
          <w:sz w:val="24"/>
          <w:szCs w:val="24"/>
        </w:rPr>
        <w:t>本次评标方法采用综合评分法，综合评分因素的主要因素为报价、技术、业绩、服务等以及对招标文件的响应程度。每一供应商的最终得分为所有评委评分的算数平均值四舍五入后保留到小数点后两位。</w:t>
      </w:r>
    </w:p>
    <w:p/>
    <w:tbl>
      <w:tblPr>
        <w:tblStyle w:val="3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232"/>
        <w:gridCol w:w="758"/>
        <w:gridCol w:w="4769"/>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18"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32"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758"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4769"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1643" w:type="dxa"/>
            <w:vAlign w:val="center"/>
          </w:tcPr>
          <w:p>
            <w:pPr>
              <w:widowControl/>
              <w:jc w:val="center"/>
              <w:rPr>
                <w:rFonts w:hint="eastAsia" w:ascii="宋体" w:hAnsi="宋体" w:eastAsia="宋体" w:cs="宋体"/>
                <w:b/>
                <w:sz w:val="24"/>
                <w:szCs w:val="24"/>
              </w:rPr>
            </w:pPr>
            <w:r>
              <w:rPr>
                <w:rFonts w:hint="eastAsia" w:ascii="宋体" w:hAnsi="宋体" w:eastAsia="宋体" w:cs="宋体"/>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51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1</w:t>
            </w:r>
          </w:p>
        </w:tc>
        <w:tc>
          <w:tcPr>
            <w:tcW w:w="1232"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报价</w:t>
            </w:r>
          </w:p>
        </w:tc>
        <w:tc>
          <w:tcPr>
            <w:tcW w:w="758" w:type="dxa"/>
            <w:vAlign w:val="center"/>
          </w:tcPr>
          <w:p>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47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经初审合格的投标文件，其投标报价为有效投标价。</w:t>
            </w:r>
          </w:p>
          <w:p>
            <w:pPr>
              <w:widowControl/>
              <w:jc w:val="left"/>
              <w:rPr>
                <w:rFonts w:hint="eastAsia" w:ascii="宋体" w:hAnsi="宋体" w:eastAsia="宋体" w:cs="宋体"/>
                <w:sz w:val="24"/>
                <w:szCs w:val="24"/>
              </w:rPr>
            </w:pPr>
            <w:r>
              <w:rPr>
                <w:rFonts w:hint="eastAsia" w:ascii="宋体" w:hAnsi="宋体" w:eastAsia="宋体" w:cs="宋体"/>
                <w:sz w:val="24"/>
                <w:szCs w:val="24"/>
              </w:rPr>
              <w:t>评标基准价：即满足招标文件要求且投标价格最低的投标报价为评标基准价。</w:t>
            </w:r>
            <w:r>
              <w:rPr>
                <w:rFonts w:hint="eastAsia" w:ascii="宋体" w:hAnsi="宋体" w:cs="宋体"/>
                <w:sz w:val="24"/>
                <w:szCs w:val="24"/>
                <w:lang w:val="en-US" w:eastAsia="zh-CN"/>
              </w:rPr>
              <w:t>其他</w:t>
            </w:r>
            <w:r>
              <w:rPr>
                <w:rFonts w:hint="eastAsia" w:ascii="宋体" w:hAnsi="宋体" w:eastAsia="宋体" w:cs="宋体"/>
                <w:sz w:val="24"/>
                <w:szCs w:val="24"/>
              </w:rPr>
              <w:t>供应商的价格分值统一按下列公式计算：投标报价得分＝（评标基准价/投标报价）×</w:t>
            </w:r>
            <w:r>
              <w:rPr>
                <w:rFonts w:hint="eastAsia" w:ascii="宋体" w:hAnsi="宋体" w:cs="宋体"/>
                <w:sz w:val="24"/>
                <w:szCs w:val="24"/>
                <w:lang w:val="en-US" w:eastAsia="zh-CN"/>
              </w:rPr>
              <w:t>30</w:t>
            </w:r>
            <w:r>
              <w:rPr>
                <w:rFonts w:hint="eastAsia" w:ascii="宋体" w:hAnsi="宋体" w:eastAsia="宋体" w:cs="宋体"/>
                <w:sz w:val="24"/>
                <w:szCs w:val="24"/>
              </w:rPr>
              <w:t>。评标基准价是指满足招标文件要求且投标价格最低的投标报价。</w:t>
            </w:r>
          </w:p>
        </w:tc>
        <w:tc>
          <w:tcPr>
            <w:tcW w:w="1643" w:type="dxa"/>
            <w:vAlign w:val="center"/>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18" w:type="dxa"/>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2</w:t>
            </w:r>
          </w:p>
        </w:tc>
        <w:tc>
          <w:tcPr>
            <w:tcW w:w="1232"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技术指标和配置</w:t>
            </w:r>
          </w:p>
        </w:tc>
        <w:tc>
          <w:tcPr>
            <w:tcW w:w="758" w:type="dxa"/>
            <w:vAlign w:val="center"/>
          </w:tcPr>
          <w:p>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45</w:t>
            </w:r>
          </w:p>
        </w:tc>
        <w:tc>
          <w:tcPr>
            <w:tcW w:w="4769" w:type="dxa"/>
            <w:vAlign w:val="center"/>
          </w:tcPr>
          <w:p>
            <w:pPr>
              <w:widowControl/>
              <w:jc w:val="left"/>
              <w:rPr>
                <w:rFonts w:hint="eastAsia" w:ascii="宋体" w:hAnsi="宋体" w:eastAsia="宋体" w:cs="宋体"/>
                <w:b/>
                <w:bCs/>
                <w:sz w:val="24"/>
                <w:szCs w:val="24"/>
              </w:rPr>
            </w:pPr>
            <w:r>
              <w:rPr>
                <w:rFonts w:hint="eastAsia" w:ascii="宋体" w:hAnsi="宋体" w:eastAsia="宋体" w:cs="宋体"/>
                <w:b/>
                <w:bCs/>
                <w:sz w:val="24"/>
                <w:szCs w:val="24"/>
              </w:rPr>
              <w:t>根据投标人提供所投设备的主要技术指标（参数）的相应的证明材料（包括但不限于产品彩页、测试报告、官网和功能截图等技术支持性文件（资料），经评审专家审定得分。</w:t>
            </w:r>
          </w:p>
          <w:p>
            <w:pPr>
              <w:widowControl/>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1、基本分（</w:t>
            </w:r>
            <w:r>
              <w:rPr>
                <w:rFonts w:hint="eastAsia" w:ascii="宋体" w:hAnsi="宋体" w:cs="宋体"/>
                <w:b w:val="0"/>
                <w:bCs w:val="0"/>
                <w:sz w:val="24"/>
                <w:szCs w:val="24"/>
                <w:lang w:val="en-US" w:eastAsia="zh-CN"/>
              </w:rPr>
              <w:t>40</w:t>
            </w:r>
            <w:r>
              <w:rPr>
                <w:rFonts w:hint="eastAsia" w:ascii="宋体" w:hAnsi="宋体" w:eastAsia="宋体" w:cs="宋体"/>
                <w:b w:val="0"/>
                <w:bCs w:val="0"/>
                <w:sz w:val="24"/>
                <w:szCs w:val="24"/>
              </w:rPr>
              <w:t>分）：完全符合、响应招标文件</w:t>
            </w:r>
            <w:r>
              <w:rPr>
                <w:rFonts w:hint="eastAsia" w:ascii="宋体" w:hAnsi="宋体" w:cs="宋体"/>
                <w:b w:val="0"/>
                <w:bCs w:val="0"/>
                <w:sz w:val="24"/>
                <w:szCs w:val="24"/>
                <w:lang w:eastAsia="zh-CN"/>
              </w:rPr>
              <w:t>一般参数</w:t>
            </w:r>
            <w:r>
              <w:rPr>
                <w:rFonts w:hint="eastAsia" w:ascii="宋体" w:hAnsi="宋体" w:eastAsia="宋体" w:cs="宋体"/>
                <w:b w:val="0"/>
                <w:bCs w:val="0"/>
                <w:sz w:val="24"/>
                <w:szCs w:val="24"/>
              </w:rPr>
              <w:t>要求，</w:t>
            </w:r>
            <w:r>
              <w:rPr>
                <w:rFonts w:hint="eastAsia" w:ascii="宋体" w:hAnsi="宋体" w:cs="宋体"/>
                <w:b w:val="0"/>
                <w:bCs w:val="0"/>
                <w:sz w:val="24"/>
                <w:szCs w:val="24"/>
                <w:lang w:eastAsia="zh-CN"/>
              </w:rPr>
              <w:t>一般参数</w:t>
            </w:r>
            <w:r>
              <w:rPr>
                <w:rFonts w:hint="eastAsia" w:ascii="宋体" w:hAnsi="宋体" w:eastAsia="宋体" w:cs="宋体"/>
                <w:b w:val="0"/>
                <w:bCs w:val="0"/>
                <w:sz w:val="24"/>
                <w:szCs w:val="24"/>
              </w:rPr>
              <w:t>没有负偏离</w:t>
            </w:r>
            <w:r>
              <w:rPr>
                <w:rFonts w:hint="eastAsia" w:ascii="宋体" w:hAnsi="宋体" w:cs="宋体"/>
                <w:b w:val="0"/>
                <w:bCs w:val="0"/>
                <w:sz w:val="24"/>
                <w:szCs w:val="24"/>
                <w:lang w:eastAsia="zh-CN"/>
              </w:rPr>
              <w:t>计</w:t>
            </w:r>
            <w:r>
              <w:rPr>
                <w:rFonts w:hint="eastAsia" w:ascii="宋体" w:hAnsi="宋体" w:cs="宋体"/>
                <w:b w:val="0"/>
                <w:bCs w:val="0"/>
                <w:sz w:val="24"/>
                <w:szCs w:val="24"/>
                <w:lang w:val="en-US" w:eastAsia="zh-CN"/>
              </w:rPr>
              <w:t>40</w:t>
            </w:r>
            <w:r>
              <w:rPr>
                <w:rFonts w:hint="eastAsia" w:ascii="宋体" w:hAnsi="宋体" w:eastAsia="宋体" w:cs="宋体"/>
                <w:b w:val="0"/>
                <w:bCs w:val="0"/>
                <w:sz w:val="24"/>
                <w:szCs w:val="24"/>
              </w:rPr>
              <w:t xml:space="preserve">分； </w:t>
            </w:r>
            <w:r>
              <w:rPr>
                <w:rFonts w:hint="default" w:ascii="宋体" w:hAnsi="宋体" w:cs="宋体"/>
                <w:b w:val="0"/>
                <w:bCs w:val="0"/>
                <w:sz w:val="24"/>
                <w:szCs w:val="24"/>
                <w:lang w:val="en-US" w:eastAsia="zh-CN"/>
              </w:rPr>
              <w:t>“</w:t>
            </w:r>
            <w:r>
              <w:rPr>
                <w:rFonts w:hint="eastAsia" w:ascii="宋体" w:hAnsi="宋体" w:cs="宋体"/>
                <w:b w:val="0"/>
                <w:bCs w:val="0"/>
                <w:sz w:val="24"/>
                <w:szCs w:val="24"/>
                <w:lang w:val="en-US" w:eastAsia="zh-CN"/>
              </w:rPr>
              <w:t>▲</w:t>
            </w:r>
            <w:r>
              <w:rPr>
                <w:rFonts w:hint="default" w:ascii="宋体" w:hAnsi="宋体" w:cs="宋体"/>
                <w:b w:val="0"/>
                <w:bCs w:val="0"/>
                <w:sz w:val="24"/>
                <w:szCs w:val="24"/>
                <w:lang w:val="en-US" w:eastAsia="zh-CN"/>
              </w:rPr>
              <w:t>”</w:t>
            </w:r>
            <w:r>
              <w:rPr>
                <w:rFonts w:hint="eastAsia" w:ascii="宋体" w:hAnsi="宋体" w:eastAsia="宋体" w:cs="宋体"/>
                <w:b w:val="0"/>
                <w:bCs w:val="0"/>
                <w:sz w:val="24"/>
                <w:szCs w:val="24"/>
              </w:rPr>
              <w:t>参数负偏离一项扣</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分</w:t>
            </w:r>
            <w:r>
              <w:rPr>
                <w:rFonts w:hint="eastAsia" w:ascii="宋体" w:hAnsi="宋体" w:cs="宋体"/>
                <w:b w:val="0"/>
                <w:bCs w:val="0"/>
                <w:sz w:val="24"/>
                <w:szCs w:val="24"/>
                <w:lang w:eastAsia="zh-CN"/>
              </w:rPr>
              <w:t>，一般</w:t>
            </w:r>
            <w:r>
              <w:rPr>
                <w:rFonts w:hint="eastAsia" w:ascii="宋体" w:hAnsi="宋体" w:eastAsia="宋体" w:cs="宋体"/>
                <w:b w:val="0"/>
                <w:bCs w:val="0"/>
                <w:sz w:val="24"/>
                <w:szCs w:val="24"/>
              </w:rPr>
              <w:t>参数负偏离一项扣1分，扣完为止；</w:t>
            </w:r>
          </w:p>
          <w:p>
            <w:pPr>
              <w:widowControl/>
              <w:jc w:val="left"/>
              <w:rPr>
                <w:rFonts w:hint="eastAsia" w:ascii="宋体" w:hAnsi="宋体" w:eastAsia="宋体" w:cs="宋体"/>
                <w:sz w:val="24"/>
                <w:szCs w:val="24"/>
              </w:rPr>
            </w:pPr>
            <w:r>
              <w:rPr>
                <w:rFonts w:hint="eastAsia" w:ascii="宋体" w:hAnsi="宋体" w:eastAsia="宋体" w:cs="宋体"/>
                <w:b w:val="0"/>
                <w:bCs w:val="0"/>
                <w:sz w:val="24"/>
                <w:szCs w:val="24"/>
              </w:rPr>
              <w:t>2、加分：投标</w:t>
            </w:r>
            <w:r>
              <w:rPr>
                <w:rFonts w:hint="eastAsia" w:ascii="宋体" w:hAnsi="宋体" w:cs="宋体"/>
                <w:b w:val="0"/>
                <w:bCs w:val="0"/>
                <w:sz w:val="24"/>
                <w:szCs w:val="24"/>
                <w:lang w:eastAsia="zh-CN"/>
              </w:rPr>
              <w:t>产品技术参数正偏离并有实质性提升的</w:t>
            </w:r>
            <w:r>
              <w:rPr>
                <w:rFonts w:hint="eastAsia" w:ascii="宋体" w:hAnsi="宋体" w:eastAsia="宋体" w:cs="宋体"/>
                <w:b w:val="0"/>
                <w:bCs w:val="0"/>
                <w:sz w:val="24"/>
                <w:szCs w:val="24"/>
              </w:rPr>
              <w:t>加</w:t>
            </w: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分，最多</w:t>
            </w:r>
            <w:r>
              <w:rPr>
                <w:rFonts w:hint="eastAsia" w:ascii="宋体" w:hAnsi="宋体" w:cs="宋体"/>
                <w:b w:val="0"/>
                <w:bCs w:val="0"/>
                <w:sz w:val="24"/>
                <w:szCs w:val="24"/>
                <w:lang w:eastAsia="zh-CN"/>
              </w:rPr>
              <w:t>加</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分。</w:t>
            </w:r>
          </w:p>
        </w:tc>
        <w:tc>
          <w:tcPr>
            <w:tcW w:w="1643"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采购文件要求提供证明材料而未提供或提供的证明材料不符合要求视为负偏离。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18" w:type="dxa"/>
            <w:vAlign w:val="center"/>
          </w:tcPr>
          <w:p>
            <w:pPr>
              <w:widowControl/>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232" w:type="dxa"/>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质量保证</w:t>
            </w:r>
          </w:p>
        </w:tc>
        <w:tc>
          <w:tcPr>
            <w:tcW w:w="758" w:type="dxa"/>
            <w:vAlign w:val="center"/>
          </w:tcPr>
          <w:p>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4769" w:type="dxa"/>
            <w:vAlign w:val="center"/>
          </w:tcPr>
          <w:p>
            <w:pPr>
              <w:widowControl/>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供应商所提供产品及配件货源渠道合法，提供</w:t>
            </w:r>
            <w:r>
              <w:rPr>
                <w:rFonts w:hint="eastAsia" w:ascii="宋体" w:hAnsi="宋体" w:cs="宋体"/>
                <w:b w:val="0"/>
                <w:bCs w:val="0"/>
                <w:sz w:val="24"/>
                <w:szCs w:val="24"/>
                <w:lang w:eastAsia="zh-CN"/>
              </w:rPr>
              <w:t>所投产品</w:t>
            </w:r>
            <w:r>
              <w:rPr>
                <w:rFonts w:hint="eastAsia" w:ascii="宋体" w:hAnsi="宋体" w:eastAsia="宋体" w:cs="宋体"/>
                <w:b w:val="0"/>
                <w:bCs w:val="0"/>
                <w:sz w:val="24"/>
                <w:szCs w:val="24"/>
              </w:rPr>
              <w:t>来源渠道合法的证明文件（包括但不限于销售协议、代理协议、原厂授权等）每提供一个得</w:t>
            </w:r>
            <w:r>
              <w:rPr>
                <w:rFonts w:hint="eastAsia" w:ascii="宋体" w:hAnsi="宋体" w:cs="宋体"/>
                <w:b w:val="0"/>
                <w:bCs w:val="0"/>
                <w:sz w:val="24"/>
                <w:szCs w:val="24"/>
                <w:lang w:val="en-US" w:eastAsia="zh-CN"/>
              </w:rPr>
              <w:t>0.5</w:t>
            </w:r>
            <w:r>
              <w:rPr>
                <w:rFonts w:hint="eastAsia" w:ascii="宋体" w:hAnsi="宋体" w:eastAsia="宋体" w:cs="宋体"/>
                <w:b w:val="0"/>
                <w:bCs w:val="0"/>
                <w:sz w:val="24"/>
                <w:szCs w:val="24"/>
              </w:rPr>
              <w:t>分，最高得6分。</w:t>
            </w:r>
          </w:p>
        </w:tc>
        <w:tc>
          <w:tcPr>
            <w:tcW w:w="1643" w:type="dxa"/>
            <w:vAlign w:val="center"/>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518" w:type="dxa"/>
            <w:vAlign w:val="center"/>
          </w:tcPr>
          <w:p>
            <w:pPr>
              <w:widowControl/>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232"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实施方案</w:t>
            </w:r>
          </w:p>
        </w:tc>
        <w:tc>
          <w:tcPr>
            <w:tcW w:w="758" w:type="dxa"/>
            <w:vAlign w:val="center"/>
          </w:tcPr>
          <w:p>
            <w:pPr>
              <w:widowControl/>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4769" w:type="dxa"/>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具有完整的项目实施方案，包括项目总体实施方案、项目团队方案、</w:t>
            </w:r>
            <w:r>
              <w:rPr>
                <w:rFonts w:hint="eastAsia" w:ascii="宋体" w:hAnsi="宋体" w:cs="宋体"/>
                <w:sz w:val="24"/>
                <w:szCs w:val="24"/>
                <w:highlight w:val="none"/>
                <w:lang w:eastAsia="zh-CN"/>
              </w:rPr>
              <w:t>项目实施时间安排方案、</w:t>
            </w:r>
            <w:r>
              <w:rPr>
                <w:rFonts w:hint="eastAsia" w:ascii="宋体" w:hAnsi="宋体" w:eastAsia="宋体" w:cs="宋体"/>
                <w:sz w:val="24"/>
                <w:szCs w:val="24"/>
                <w:highlight w:val="none"/>
              </w:rPr>
              <w:t>系统安装调试方案、项目验收方案等内容。</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方案制定内容齐全，各类措施健全，完全满足采购需求并符合本项目实施特点得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分；以上方面中每缺少一方面内容扣</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分；每有一处内容与实际需求不符或不满足要求扣</w:t>
            </w:r>
            <w:r>
              <w:rPr>
                <w:rFonts w:hint="eastAsia" w:ascii="宋体" w:hAnsi="宋体" w:cs="宋体"/>
                <w:sz w:val="24"/>
                <w:szCs w:val="24"/>
                <w:highlight w:val="none"/>
                <w:lang w:val="en-US" w:eastAsia="zh-CN"/>
              </w:rPr>
              <w:t>0.1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rPr>
              <w:t>分，扣完为止。</w:t>
            </w:r>
          </w:p>
        </w:tc>
        <w:tc>
          <w:tcPr>
            <w:tcW w:w="1643" w:type="dxa"/>
            <w:vAlign w:val="center"/>
          </w:tcPr>
          <w:p>
            <w:pPr>
              <w:widowControl/>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Align w:val="center"/>
          </w:tcPr>
          <w:p>
            <w:pPr>
              <w:widowControl/>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1232"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培训方案</w:t>
            </w:r>
          </w:p>
        </w:tc>
        <w:tc>
          <w:tcPr>
            <w:tcW w:w="758" w:type="dxa"/>
            <w:vAlign w:val="center"/>
          </w:tcPr>
          <w:p>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4769" w:type="dxa"/>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投标人应</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完善的</w:t>
            </w:r>
            <w:r>
              <w:rPr>
                <w:rFonts w:hint="eastAsia" w:ascii="宋体" w:hAnsi="宋体" w:eastAsia="宋体" w:cs="宋体"/>
                <w:sz w:val="24"/>
                <w:szCs w:val="24"/>
                <w:highlight w:val="none"/>
              </w:rPr>
              <w:t>培训方案，方案应包培训内容、培训计划、培训方式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培训人员配置。</w:t>
            </w:r>
            <w:r>
              <w:rPr>
                <w:rFonts w:hint="eastAsia" w:ascii="宋体" w:hAnsi="宋体" w:eastAsia="宋体" w:cs="宋体"/>
                <w:bCs/>
                <w:sz w:val="24"/>
                <w:szCs w:val="24"/>
                <w:highlight w:val="none"/>
              </w:rPr>
              <w:t>培训方案完</w:t>
            </w:r>
            <w:r>
              <w:rPr>
                <w:rFonts w:hint="eastAsia" w:ascii="宋体" w:hAnsi="宋体" w:eastAsia="宋体" w:cs="宋体"/>
                <w:bCs/>
                <w:sz w:val="24"/>
                <w:szCs w:val="24"/>
                <w:highlight w:val="none"/>
                <w:lang w:val="en-US" w:eastAsia="zh-CN"/>
              </w:rPr>
              <w:t>善、针对性强且</w:t>
            </w:r>
            <w:r>
              <w:rPr>
                <w:rFonts w:hint="eastAsia" w:ascii="宋体" w:hAnsi="宋体" w:eastAsia="宋体" w:cs="宋体"/>
                <w:bCs/>
                <w:sz w:val="24"/>
                <w:szCs w:val="24"/>
                <w:highlight w:val="none"/>
              </w:rPr>
              <w:t>符合</w:t>
            </w:r>
            <w:r>
              <w:rPr>
                <w:rFonts w:hint="eastAsia" w:ascii="宋体" w:hAnsi="宋体" w:eastAsia="宋体" w:cs="宋体"/>
                <w:bCs/>
                <w:sz w:val="24"/>
                <w:szCs w:val="24"/>
                <w:highlight w:val="none"/>
                <w:lang w:val="en-US" w:eastAsia="zh-CN"/>
              </w:rPr>
              <w:t>项目</w:t>
            </w:r>
            <w:r>
              <w:rPr>
                <w:rFonts w:hint="eastAsia" w:ascii="宋体" w:hAnsi="宋体" w:eastAsia="宋体" w:cs="宋体"/>
                <w:bCs/>
                <w:sz w:val="24"/>
                <w:szCs w:val="24"/>
                <w:highlight w:val="none"/>
              </w:rPr>
              <w:t>实际需求的得</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分，每缺少一项扣</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分，某一项不完整或不符合实际需求的扣</w:t>
            </w:r>
            <w:r>
              <w:rPr>
                <w:rFonts w:hint="eastAsia" w:ascii="宋体" w:hAnsi="宋体" w:cs="宋体"/>
                <w:bCs/>
                <w:sz w:val="24"/>
                <w:szCs w:val="24"/>
                <w:highlight w:val="none"/>
                <w:lang w:val="en-US" w:eastAsia="zh-CN"/>
              </w:rPr>
              <w:t>0.1</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0.5</w:t>
            </w:r>
            <w:r>
              <w:rPr>
                <w:rFonts w:hint="eastAsia" w:ascii="宋体" w:hAnsi="宋体" w:eastAsia="宋体" w:cs="宋体"/>
                <w:bCs/>
                <w:sz w:val="24"/>
                <w:szCs w:val="24"/>
                <w:highlight w:val="none"/>
              </w:rPr>
              <w:t>分，扣完为止。</w:t>
            </w:r>
          </w:p>
        </w:tc>
        <w:tc>
          <w:tcPr>
            <w:tcW w:w="1643" w:type="dxa"/>
            <w:vAlign w:val="center"/>
          </w:tcPr>
          <w:p>
            <w:pPr>
              <w:widowControl/>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1232"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售后服务</w:t>
            </w:r>
          </w:p>
        </w:tc>
        <w:tc>
          <w:tcPr>
            <w:tcW w:w="758" w:type="dxa"/>
            <w:vAlign w:val="center"/>
          </w:tcPr>
          <w:p>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4769" w:type="dxa"/>
          </w:tcPr>
          <w:p>
            <w:pPr>
              <w:widowControl/>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投标人提供售后服务方案（包含但不限于售后服务人员配置及计划、故障处理等的响应时间安排计划、质量保证期限</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应急处理方案），售后服务方案完整且具有符合实际需求的得</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分，每缺少一项扣</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分，某一项不完整或不符合实际需求的扣</w:t>
            </w:r>
            <w:r>
              <w:rPr>
                <w:rFonts w:hint="eastAsia" w:ascii="宋体" w:hAnsi="宋体" w:cs="宋体"/>
                <w:bCs/>
                <w:sz w:val="24"/>
                <w:szCs w:val="24"/>
                <w:highlight w:val="none"/>
                <w:lang w:val="en-US" w:eastAsia="zh-CN"/>
              </w:rPr>
              <w:t>0.1</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0.5</w:t>
            </w:r>
            <w:r>
              <w:rPr>
                <w:rFonts w:hint="eastAsia" w:ascii="宋体" w:hAnsi="宋体" w:eastAsia="宋体" w:cs="宋体"/>
                <w:bCs/>
                <w:sz w:val="24"/>
                <w:szCs w:val="24"/>
                <w:highlight w:val="none"/>
              </w:rPr>
              <w:t>分，扣完为止。</w:t>
            </w:r>
          </w:p>
        </w:tc>
        <w:tc>
          <w:tcPr>
            <w:tcW w:w="1643" w:type="dxa"/>
            <w:vAlign w:val="center"/>
          </w:tcPr>
          <w:p>
            <w:pPr>
              <w:widowControl/>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业绩</w:t>
            </w:r>
          </w:p>
        </w:tc>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47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供应</w:t>
            </w:r>
            <w:r>
              <w:rPr>
                <w:rFonts w:hint="eastAsia" w:ascii="宋体" w:hAnsi="宋体" w:cs="宋体"/>
                <w:sz w:val="24"/>
                <w:szCs w:val="24"/>
                <w:lang w:val="en-US" w:eastAsia="zh-CN"/>
              </w:rPr>
              <w:t>商提供2019年1月1日至今主要产品的合同（化学发光免疫分析仪）（</w:t>
            </w:r>
            <w:r>
              <w:rPr>
                <w:rFonts w:hint="eastAsia" w:ascii="宋体" w:hAnsi="宋体" w:eastAsia="宋体" w:cs="宋体"/>
                <w:sz w:val="24"/>
                <w:szCs w:val="24"/>
              </w:rPr>
              <w:t>以合同签订日期为准，仅限供应商本身，提供完整合同）进行评定，每份计1分，最高计</w:t>
            </w: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8</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节能环保产品</w:t>
            </w:r>
          </w:p>
        </w:tc>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47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所投产品中每有一项经国家认证机构认定为节能产品的得0.5分，每有一项为环境标志产品的得0.5分，供应商所投产品中每有一项产品即为节能产品又是环境标志产品得1分（产品不重复计分，如某一产品得到1分，不能再计节能或环境标志产品的0.5分），最多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以国家确定的认证机构出具的、处于有效期内的节能产品、环境标志产品认证证书为准。</w:t>
            </w:r>
          </w:p>
        </w:tc>
      </w:tr>
    </w:tbl>
    <w:p/>
    <w:p>
      <w:pPr>
        <w:outlineLvl w:val="9"/>
        <w:rPr>
          <w:rFonts w:ascii="宋体" w:hAnsi="宋体" w:cs="宋体"/>
          <w:b/>
          <w:bCs/>
          <w:sz w:val="24"/>
        </w:rPr>
      </w:pPr>
      <w:bookmarkStart w:id="65" w:name="_Toc2536"/>
      <w:bookmarkStart w:id="66" w:name="_Toc6835"/>
      <w:bookmarkStart w:id="67" w:name="_Toc15647"/>
      <w:r>
        <w:rPr>
          <w:rFonts w:hint="eastAsia" w:ascii="宋体" w:hAnsi="宋体" w:cs="宋体"/>
          <w:b/>
          <w:bCs/>
          <w:sz w:val="24"/>
        </w:rPr>
        <w:t xml:space="preserve">评审标准备注： </w:t>
      </w:r>
    </w:p>
    <w:p>
      <w:pPr>
        <w:spacing w:line="360" w:lineRule="auto"/>
        <w:ind w:firstLine="482" w:firstLineChars="200"/>
        <w:rPr>
          <w:rFonts w:hint="eastAsia" w:ascii="宋体" w:hAnsi="宋体" w:cs="宋体"/>
          <w:b/>
          <w:bCs/>
          <w:sz w:val="24"/>
        </w:rPr>
      </w:pPr>
      <w:r>
        <w:rPr>
          <w:rFonts w:hint="eastAsia" w:ascii="宋体" w:hAnsi="宋体" w:cs="宋体"/>
          <w:b/>
          <w:bCs/>
          <w:sz w:val="24"/>
        </w:rPr>
        <w:t>1.对于非专门面向中小企业的项目、残疾人福利性单位的项目，对小型和微型企业、残疾人福利性单位产品的价格给予</w:t>
      </w:r>
      <w:r>
        <w:rPr>
          <w:rFonts w:hint="eastAsia" w:ascii="宋体" w:hAnsi="宋体" w:cs="宋体"/>
          <w:b/>
          <w:bCs/>
          <w:sz w:val="24"/>
          <w:lang w:val="en-US" w:eastAsia="zh-CN"/>
        </w:rPr>
        <w:t>10</w:t>
      </w:r>
      <w:r>
        <w:rPr>
          <w:rFonts w:hint="eastAsia" w:ascii="宋体" w:hAnsi="宋体" w:cs="宋体"/>
          <w:b/>
          <w:bCs/>
          <w:sz w:val="24"/>
        </w:rPr>
        <w:t>%的扣除，用扣除后的价格参与评审，残疾人福利性单位属于小型、微型企业的，不重复享受政策；</w:t>
      </w:r>
    </w:p>
    <w:p>
      <w:pPr>
        <w:spacing w:line="360" w:lineRule="auto"/>
        <w:ind w:firstLine="482" w:firstLineChars="200"/>
        <w:rPr>
          <w:rFonts w:hint="eastAsia" w:ascii="宋体" w:hAnsi="宋体" w:eastAsia="宋体" w:cs="宋体"/>
          <w:b/>
          <w:bCs/>
          <w:sz w:val="24"/>
          <w:lang w:eastAsia="zh-CN"/>
        </w:rPr>
      </w:pPr>
      <w:r>
        <w:rPr>
          <w:rFonts w:hint="eastAsia" w:ascii="宋体" w:hAnsi="宋体" w:cs="宋体"/>
          <w:b/>
          <w:bCs/>
          <w:sz w:val="24"/>
        </w:rPr>
        <w:t>2.《关于政府采购支持监狱企业发展有关问题的通知》（财库</w:t>
      </w:r>
      <w:r>
        <w:rPr>
          <w:rFonts w:hint="eastAsia" w:ascii="宋体" w:hAnsi="宋体" w:eastAsia="宋体" w:cs="宋体"/>
          <w:b/>
          <w:bCs/>
          <w:sz w:val="24"/>
        </w:rPr>
        <w:t>〔</w:t>
      </w:r>
      <w:r>
        <w:rPr>
          <w:rFonts w:hint="eastAsia" w:ascii="宋体" w:hAnsi="宋体" w:cs="宋体"/>
          <w:b/>
          <w:bCs/>
          <w:sz w:val="24"/>
        </w:rPr>
        <w:t>2014</w:t>
      </w:r>
      <w:r>
        <w:rPr>
          <w:rFonts w:hint="eastAsia" w:ascii="宋体" w:hAnsi="宋体" w:eastAsia="宋体" w:cs="宋体"/>
          <w:b/>
          <w:bCs/>
          <w:sz w:val="24"/>
        </w:rPr>
        <w:t>〕</w:t>
      </w:r>
      <w:r>
        <w:rPr>
          <w:rFonts w:hint="eastAsia" w:ascii="宋体" w:hAnsi="宋体" w:cs="宋体"/>
          <w:b/>
          <w:bCs/>
          <w:sz w:val="24"/>
        </w:rPr>
        <w:t>68号）的规定，对监狱企业给予</w:t>
      </w:r>
      <w:r>
        <w:rPr>
          <w:rFonts w:hint="eastAsia" w:ascii="宋体" w:hAnsi="宋体" w:cs="宋体"/>
          <w:b/>
          <w:bCs/>
          <w:sz w:val="24"/>
          <w:lang w:val="en-US" w:eastAsia="zh-CN"/>
        </w:rPr>
        <w:t>10</w:t>
      </w:r>
      <w:r>
        <w:rPr>
          <w:rFonts w:hint="eastAsia" w:ascii="宋体" w:hAnsi="宋体" w:cs="宋体"/>
          <w:b/>
          <w:bCs/>
          <w:sz w:val="24"/>
        </w:rPr>
        <w:t>%的价格扣除，用扣除后的价格参与评审（提供由省级以上监狱管理局、戒毒管理局（含新疆生产建设兵团）出具的属于监狱企业的证明文件）</w:t>
      </w:r>
      <w:r>
        <w:rPr>
          <w:rFonts w:hint="eastAsia" w:ascii="宋体" w:hAnsi="宋体" w:cs="宋体"/>
          <w:b/>
          <w:bCs/>
          <w:sz w:val="24"/>
          <w:lang w:eastAsia="zh-CN"/>
        </w:rPr>
        <w:t>；</w:t>
      </w:r>
    </w:p>
    <w:p>
      <w:pPr>
        <w:spacing w:line="360" w:lineRule="auto"/>
        <w:ind w:firstLine="482" w:firstLineChars="200"/>
        <w:rPr>
          <w:rFonts w:hint="eastAsia" w:ascii="宋体" w:hAnsi="宋体" w:eastAsia="宋体" w:cs="宋体"/>
          <w:b/>
          <w:bCs/>
          <w:sz w:val="24"/>
          <w:lang w:eastAsia="zh-CN"/>
        </w:rPr>
      </w:pPr>
      <w:r>
        <w:rPr>
          <w:rFonts w:hint="eastAsia" w:ascii="宋体" w:hAnsi="宋体" w:cs="宋体"/>
          <w:b/>
          <w:bCs/>
          <w:sz w:val="24"/>
        </w:rPr>
        <w:t>3.节能环保产品以节能产品、环境标志产品认证证书为准</w:t>
      </w:r>
      <w:r>
        <w:rPr>
          <w:rFonts w:hint="eastAsia" w:ascii="宋体" w:hAnsi="宋体" w:cs="宋体"/>
          <w:b/>
          <w:bCs/>
          <w:sz w:val="24"/>
          <w:lang w:eastAsia="zh-CN"/>
        </w:rPr>
        <w:t>；</w:t>
      </w:r>
    </w:p>
    <w:p>
      <w:pPr>
        <w:spacing w:line="360" w:lineRule="auto"/>
        <w:ind w:firstLine="482" w:firstLineChars="200"/>
        <w:rPr>
          <w:rFonts w:hint="eastAsia" w:ascii="宋体" w:hAnsi="宋体" w:cs="宋体"/>
          <w:b/>
          <w:bCs/>
          <w:sz w:val="24"/>
        </w:rPr>
      </w:pPr>
      <w:r>
        <w:rPr>
          <w:rFonts w:hint="eastAsia" w:ascii="宋体" w:hAnsi="宋体" w:cs="宋体"/>
          <w:b/>
          <w:bCs/>
          <w:sz w:val="24"/>
        </w:rPr>
        <w:t>4.技术参数正偏离须在技术响应表中注明正偏离的理由和佐证材料的页码；</w:t>
      </w:r>
    </w:p>
    <w:p>
      <w:pPr>
        <w:spacing w:line="360" w:lineRule="auto"/>
        <w:ind w:firstLine="482" w:firstLineChars="200"/>
        <w:rPr>
          <w:rFonts w:hint="eastAsia" w:ascii="宋体" w:hAnsi="宋体" w:cs="宋体"/>
          <w:b/>
          <w:bCs/>
          <w:sz w:val="24"/>
        </w:rPr>
      </w:pPr>
      <w:r>
        <w:rPr>
          <w:rFonts w:hint="eastAsia" w:ascii="宋体" w:hAnsi="宋体" w:cs="宋体"/>
          <w:b/>
          <w:bCs/>
          <w:sz w:val="24"/>
        </w:rPr>
        <w:t>5.评审指标出现漏项的最低得分为零分。</w:t>
      </w:r>
    </w:p>
    <w:p>
      <w:pPr>
        <w:rPr>
          <w:rFonts w:hint="eastAsia" w:ascii="宋体" w:hAnsi="宋体" w:cs="宋体"/>
          <w:b/>
          <w:bCs/>
          <w:sz w:val="24"/>
        </w:rPr>
      </w:pPr>
      <w:r>
        <w:rPr>
          <w:rFonts w:hint="eastAsia" w:ascii="宋体" w:hAnsi="宋体" w:cs="宋体"/>
          <w:b/>
          <w:bCs/>
          <w:sz w:val="24"/>
        </w:rPr>
        <w:br w:type="page"/>
      </w:r>
    </w:p>
    <w:p>
      <w:pPr>
        <w:pStyle w:val="3"/>
        <w:jc w:val="center"/>
        <w:outlineLvl w:val="0"/>
        <w:rPr>
          <w:rFonts w:hint="default" w:ascii="宋体" w:hAnsi="宋体" w:eastAsia="宋体" w:cs="宋体"/>
          <w:b/>
          <w:bCs/>
          <w:color w:val="auto"/>
          <w:kern w:val="2"/>
          <w:sz w:val="36"/>
          <w:szCs w:val="36"/>
          <w:lang w:val="en-US" w:eastAsia="zh-CN" w:bidi="ar-SA"/>
        </w:rPr>
      </w:pPr>
      <w:bookmarkStart w:id="68" w:name="_Toc11518"/>
      <w:r>
        <w:rPr>
          <w:rFonts w:hint="eastAsia" w:ascii="宋体" w:hAnsi="宋体" w:eastAsia="宋体" w:cs="宋体"/>
          <w:b/>
          <w:bCs/>
          <w:color w:val="auto"/>
          <w:kern w:val="2"/>
          <w:sz w:val="36"/>
          <w:szCs w:val="36"/>
          <w:lang w:val="en-US" w:eastAsia="zh-CN" w:bidi="ar-SA"/>
        </w:rPr>
        <w:t>第五部分  采购要求</w:t>
      </w:r>
      <w:bookmarkEnd w:id="68"/>
    </w:p>
    <w:tbl>
      <w:tblPr>
        <w:tblStyle w:val="30"/>
        <w:tblpPr w:leftFromText="180" w:rightFromText="180" w:vertAnchor="page" w:horzAnchor="page" w:tblpX="1695" w:tblpY="2335"/>
        <w:tblOverlap w:val="never"/>
        <w:tblW w:w="9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163"/>
        <w:gridCol w:w="7268"/>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序号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采购项目</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生化分析仪</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1.检测原理：光电比色</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2.检测项目：生化九项、综合十三项、急诊十三项、电解质七项</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3.样本类型：全血或血浆、血清</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4.吸光度准确度：吸光度值0.5，允许误差±0.025；吸光度值1.0，允许误差±0.07。</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5.光学结构：使用</w:t>
            </w:r>
            <w:r>
              <w:rPr>
                <w:rFonts w:hint="eastAsia" w:ascii="宋体" w:hAnsi="宋体" w:eastAsia="宋体" w:cs="宋体"/>
                <w:i w:val="0"/>
                <w:iCs w:val="0"/>
                <w:color w:val="000000"/>
                <w:sz w:val="24"/>
                <w:szCs w:val="24"/>
                <w:u w:val="none"/>
                <w:lang w:val="en-US" w:eastAsia="zh-CN"/>
              </w:rPr>
              <w:t>不少于</w:t>
            </w:r>
            <w:r>
              <w:rPr>
                <w:rFonts w:hint="eastAsia" w:ascii="宋体" w:hAnsi="宋体" w:eastAsia="宋体" w:cs="宋体"/>
                <w:i w:val="0"/>
                <w:iCs w:val="0"/>
                <w:color w:val="000000"/>
                <w:sz w:val="24"/>
                <w:szCs w:val="24"/>
                <w:u w:val="none"/>
              </w:rPr>
              <w:t>六种波长。</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6.速度：≤15min</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7.检测通量：1个（多项目）</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8.通讯功能：仪器通讯具有USB连接和RS232连接功能，具有LAN和WIFI连接功能</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可联HIS、LIS</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9.</w:t>
            </w:r>
            <w:r>
              <w:rPr>
                <w:rFonts w:hint="eastAsia" w:ascii="宋体" w:hAnsi="宋体" w:eastAsia="宋体" w:cs="宋体"/>
                <w:i w:val="0"/>
                <w:iCs w:val="0"/>
                <w:color w:val="000000"/>
                <w:sz w:val="24"/>
                <w:szCs w:val="24"/>
                <w:u w:val="none"/>
                <w:lang w:val="en-US" w:eastAsia="zh-CN"/>
              </w:rPr>
              <w:t>试剂为冻干或联卡</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10</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操作容易</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便于显示</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化学发光免疫分析仪</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r>
              <w:rPr>
                <w:rFonts w:hint="eastAsia" w:ascii="宋体" w:hAnsi="宋体" w:eastAsia="宋体" w:cs="宋体"/>
                <w:i w:val="0"/>
                <w:iCs w:val="0"/>
                <w:color w:val="000000"/>
                <w:sz w:val="24"/>
                <w:szCs w:val="24"/>
                <w:u w:val="none"/>
              </w:rPr>
              <w:t>检测原理：酶促化学发光</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检测速度≥</w:t>
            </w:r>
            <w:r>
              <w:rPr>
                <w:rFonts w:hint="eastAsia" w:ascii="宋体" w:hAnsi="宋体" w:eastAsia="宋体" w:cs="宋体"/>
                <w:i w:val="0"/>
                <w:iCs w:val="0"/>
                <w:color w:val="000000"/>
                <w:sz w:val="24"/>
                <w:szCs w:val="24"/>
                <w:u w:val="none"/>
                <w:lang w:val="en-US" w:eastAsia="zh-CN"/>
              </w:rPr>
              <w:t>60</w:t>
            </w:r>
            <w:r>
              <w:rPr>
                <w:rFonts w:hint="eastAsia" w:ascii="宋体" w:hAnsi="宋体" w:eastAsia="宋体" w:cs="宋体"/>
                <w:i w:val="0"/>
                <w:iCs w:val="0"/>
                <w:color w:val="000000"/>
                <w:sz w:val="24"/>
                <w:szCs w:val="24"/>
                <w:u w:val="none"/>
              </w:rPr>
              <w:t>T/h</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检测时间：</w:t>
            </w:r>
            <w:r>
              <w:rPr>
                <w:rFonts w:hint="eastAsia" w:ascii="宋体" w:hAnsi="宋体" w:eastAsia="宋体" w:cs="宋体"/>
                <w:i w:val="0"/>
                <w:iCs w:val="0"/>
                <w:color w:val="000000"/>
                <w:sz w:val="24"/>
                <w:szCs w:val="24"/>
                <w:u w:val="none"/>
                <w:lang w:val="en-US" w:eastAsia="zh-CN"/>
              </w:rPr>
              <w:t>首次</w:t>
            </w:r>
            <w:r>
              <w:rPr>
                <w:rFonts w:hint="eastAsia" w:ascii="宋体" w:hAnsi="宋体" w:eastAsia="宋体" w:cs="宋体"/>
                <w:i w:val="0"/>
                <w:iCs w:val="0"/>
                <w:color w:val="000000"/>
                <w:sz w:val="24"/>
                <w:szCs w:val="24"/>
                <w:u w:val="none"/>
              </w:rPr>
              <w:t>结果时间≤15min</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重复性≤5%</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样本类型：血清、血浆、全血</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检测项目：支持PCT、IL-6 等项目全血检测</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样本位/试剂位：一次性可上机样本≥26个，任意急诊位，可随意添加；同时在线试剂≥9个</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加样精度：准确度±5%，CV≤2%</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9</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样本稀释：支持在机自动稀释、机外稀释、自动稀释重测、稀释结果自动换算</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10</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液面检测：支持</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11</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堵针检测：支持</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12</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样本容器：支持各种原始采样管上机</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 xml:space="preserve">测量原理：采用多角度（≥3角度）激光散射流式细胞技术进行WBC五分类 </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测量参数：可提供≥2</w:t>
            </w:r>
            <w:r>
              <w:rPr>
                <w:rFonts w:hint="eastAsia" w:ascii="宋体" w:hAnsi="宋体" w:eastAsia="宋体" w:cs="宋体"/>
                <w:i w:val="0"/>
                <w:iCs w:val="0"/>
                <w:color w:val="000000"/>
                <w:sz w:val="24"/>
                <w:szCs w:val="24"/>
                <w:highlight w:val="none"/>
                <w:u w:val="none"/>
                <w:lang w:val="en-US" w:eastAsia="zh-CN"/>
              </w:rPr>
              <w:t>4</w:t>
            </w:r>
            <w:r>
              <w:rPr>
                <w:rFonts w:hint="eastAsia" w:ascii="宋体" w:hAnsi="宋体" w:eastAsia="宋体" w:cs="宋体"/>
                <w:i w:val="0"/>
                <w:iCs w:val="0"/>
                <w:color w:val="000000"/>
                <w:sz w:val="24"/>
                <w:szCs w:val="24"/>
                <w:highlight w:val="none"/>
                <w:u w:val="none"/>
              </w:rPr>
              <w:t>项报告参数（包括散点图和直方图）</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3</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检测速度：≥60个/小时</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分析模式：CBC+5DIFF模式、CBC模式和CBC+5DIFF+RRBC模式</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5</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样本用量：全血≤20ul，预稀释≤20ul</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6</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显示屏：≥10英寸彩色液晶触摸显示屏</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7</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WBC、RBC、HGB、PLT等项目具有两种单位选择</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8</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数据储存：≥1</w:t>
            </w:r>
            <w:r>
              <w:rPr>
                <w:rFonts w:hint="eastAsia" w:ascii="宋体" w:hAnsi="宋体" w:eastAsia="宋体" w:cs="宋体"/>
                <w:i w:val="0"/>
                <w:iCs w:val="0"/>
                <w:color w:val="000000"/>
                <w:sz w:val="24"/>
                <w:szCs w:val="24"/>
                <w:highlight w:val="none"/>
                <w:u w:val="none"/>
                <w:lang w:val="en-US" w:eastAsia="zh-CN"/>
              </w:rPr>
              <w:t>0</w:t>
            </w:r>
            <w:r>
              <w:rPr>
                <w:rFonts w:hint="eastAsia" w:ascii="宋体" w:hAnsi="宋体" w:eastAsia="宋体" w:cs="宋体"/>
                <w:i w:val="0"/>
                <w:iCs w:val="0"/>
                <w:color w:val="000000"/>
                <w:sz w:val="24"/>
                <w:szCs w:val="24"/>
                <w:highlight w:val="none"/>
                <w:u w:val="none"/>
              </w:rPr>
              <w:t>万份测试结果（含图形）</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9</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重复性误差：WBC≤2.0%，RBC≤1.5%，HGB≤1.5%，PLT≤4.0%，MCV≤1.0%，HCT≤2.0%</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校准与质控：具有L-J，X，X-R，X-B等4种质控模式，能够自动绘制质控图</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11</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参考范围：具有9组不同人群正常范围参数限设定功能</w:t>
            </w:r>
          </w:p>
          <w:p>
            <w:pPr>
              <w:pStyle w:val="3"/>
              <w:rPr>
                <w:rFonts w:hint="eastAsia"/>
              </w:rPr>
            </w:pPr>
            <w:r>
              <w:rPr>
                <w:rFonts w:hint="eastAsia" w:ascii="宋体" w:hAnsi="宋体" w:eastAsia="宋体" w:cs="宋体"/>
                <w:i w:val="0"/>
                <w:iCs w:val="0"/>
                <w:color w:val="000000"/>
                <w:sz w:val="24"/>
                <w:szCs w:val="24"/>
                <w:highlight w:val="none"/>
                <w:u w:val="none"/>
              </w:rPr>
              <w:t>12</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报警功能：仪器具有参数异常报警、试剂检测报警、故障提示报警功能</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血凝分析仪</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1.检测方法：凝固法、免疫比浊法、发色底物法</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2.检测项目：PT、APTT、TT、Fib、D-Dimer、AT、ACT、抗Xa</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3.样本类型：枸橼酸钠血浆、全血</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4.光学结构：使用340、405nm、450nm、543nm、575nm、660nm六种波长。</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5.速度：≤15min</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rPr>
              <w:t>6.通讯功能：具有RS232串口，USB接口，LAN网络接口，WiFi连接功能</w:t>
            </w:r>
            <w:r>
              <w:rPr>
                <w:rFonts w:hint="eastAsia" w:ascii="宋体" w:hAnsi="宋体" w:eastAsia="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t>支持与LIS/HIS系统联机通用</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highlight w:val="none"/>
                <w:u w:val="none"/>
              </w:rPr>
              <w:t>7.容易操作，便于显示</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highlight w:val="none"/>
                <w:u w:val="none"/>
                <w:lang w:val="en-US" w:eastAsia="zh-CN"/>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血沉仪</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1.测量时间：血沉值30/60分钟，红细胞压积即插即读。</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2.测量范围：魏氏方法0mm~140mm。</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3.测量精度：±1mm。</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4.重复性误差：≤3%。</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5.</w:t>
            </w:r>
            <w:r>
              <w:rPr>
                <w:rFonts w:hint="eastAsia" w:ascii="宋体" w:hAnsi="宋体" w:eastAsia="宋体" w:cs="宋体"/>
                <w:i w:val="0"/>
                <w:iCs w:val="0"/>
                <w:color w:val="000000"/>
                <w:sz w:val="24"/>
                <w:szCs w:val="24"/>
                <w:highlight w:val="none"/>
                <w:u w:val="none"/>
                <w:lang w:val="en-US" w:eastAsia="zh-CN"/>
              </w:rPr>
              <w:t>断电保护</w:t>
            </w:r>
            <w:r>
              <w:rPr>
                <w:rFonts w:hint="eastAsia" w:ascii="宋体" w:hAnsi="宋体" w:eastAsia="宋体" w:cs="宋体"/>
                <w:i w:val="0"/>
                <w:iCs w:val="0"/>
                <w:color w:val="000000"/>
                <w:sz w:val="24"/>
                <w:szCs w:val="24"/>
                <w:highlight w:val="none"/>
                <w:u w:val="none"/>
              </w:rPr>
              <w:t>：突然断电时，自动保存已完成检测的检测结果。</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6.数据接口：支持HIS、LIS。</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7.测量原理：红外线阻挡法。</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highlight w:val="none"/>
                <w:u w:val="none"/>
              </w:rPr>
              <w:t>8.样品测量数：≥10个。</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highlight w:val="none"/>
                <w:u w:val="none"/>
                <w:lang w:val="en-US" w:eastAsia="zh-CN"/>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尿液分析仪</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1.产品要求：一次采样，即可完成尿液样本的常规分析以及有形成分的定量、定性分析。</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2.检测项目：干化学测试项目≥14项，有形成分自动识别测试项目≥14项；</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3.检测速度：≥100样本/小时</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4.急诊测试：可进行单个样本的急诊测试</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5.图像显示功能：可显示并存储在加入样本反应后的尿试纸条图像，及有形成份的真实图像，用于结果审核与查阅等方面</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6.存储与查询：≥</w:t>
            </w:r>
            <w:r>
              <w:rPr>
                <w:rFonts w:hint="eastAsia" w:ascii="宋体" w:hAnsi="宋体" w:eastAsia="宋体" w:cs="宋体"/>
                <w:i w:val="0"/>
                <w:iCs w:val="0"/>
                <w:color w:val="000000"/>
                <w:sz w:val="24"/>
                <w:szCs w:val="24"/>
                <w:highlight w:val="none"/>
                <w:u w:val="none"/>
                <w:lang w:val="en-US" w:eastAsia="zh-CN"/>
              </w:rPr>
              <w:t>10</w:t>
            </w:r>
            <w:r>
              <w:rPr>
                <w:rFonts w:hint="eastAsia" w:ascii="宋体" w:hAnsi="宋体" w:eastAsia="宋体" w:cs="宋体"/>
                <w:i w:val="0"/>
                <w:iCs w:val="0"/>
                <w:color w:val="000000"/>
                <w:sz w:val="24"/>
                <w:szCs w:val="24"/>
                <w:highlight w:val="none"/>
                <w:u w:val="none"/>
              </w:rPr>
              <w:t>万个结果，可实时查询，断电后存储数据不丢失</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7.报告打印：可连接外置打印机打印测试结果和图片，可纵向、横向打印A4多种样式，并可根据需求定制报告模板</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8.数据接口：具有与实验室信息系统进行通信的数据接口，可与实验室信息系统进行通信互联</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9.输入输出端口：具备鼠标接口、键盘接口、USB接口、网络接口、视频输出口、音频输出口</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highlight w:val="none"/>
                <w:u w:val="none"/>
              </w:rPr>
              <w:t>10.清洗、排堵：配备强力清洗试剂，定期清洗及维护液路，且具备反冲排堵功能</w:t>
            </w:r>
            <w:r>
              <w:rPr>
                <w:rFonts w:hint="eastAsia" w:ascii="宋体" w:hAnsi="宋体" w:eastAsia="宋体" w:cs="宋体"/>
                <w:i w:val="0"/>
                <w:iCs w:val="0"/>
                <w:color w:val="000000"/>
                <w:sz w:val="24"/>
                <w:szCs w:val="24"/>
                <w:highlight w:val="none"/>
                <w:u w:val="none"/>
                <w:lang w:eastAsia="zh-CN"/>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highlight w:val="none"/>
                <w:u w:val="none"/>
                <w:lang w:val="en-US" w:eastAsia="zh-CN"/>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血气分析仪</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.检测项目：pH、PCO2、PO2、Na+、K+、CL-、Ca2+、Glu、Lac</w:t>
            </w:r>
            <w:r>
              <w:rPr>
                <w:rFonts w:hint="eastAsia" w:ascii="宋体" w:hAnsi="宋体" w:eastAsia="宋体" w:cs="宋体"/>
                <w:i w:val="0"/>
                <w:iCs w:val="0"/>
                <w:color w:val="000000"/>
                <w:sz w:val="24"/>
                <w:szCs w:val="24"/>
                <w:highlight w:val="none"/>
                <w:u w:val="none"/>
                <w:lang w:val="en-US" w:eastAsia="zh-CN"/>
              </w:rPr>
              <w:t>等</w:t>
            </w:r>
            <w:r>
              <w:rPr>
                <w:rFonts w:hint="eastAsia" w:ascii="宋体" w:hAnsi="宋体" w:eastAsia="宋体" w:cs="宋体"/>
                <w:i w:val="0"/>
                <w:iCs w:val="0"/>
                <w:color w:val="000000"/>
                <w:sz w:val="24"/>
                <w:szCs w:val="24"/>
                <w:highlight w:val="none"/>
                <w:u w:val="none"/>
              </w:rPr>
              <w:t>测量项目和计算参数≥</w:t>
            </w:r>
            <w:r>
              <w:rPr>
                <w:rFonts w:hint="eastAsia" w:ascii="宋体" w:hAnsi="宋体" w:eastAsia="宋体" w:cs="宋体"/>
                <w:i w:val="0"/>
                <w:iCs w:val="0"/>
                <w:color w:val="000000"/>
                <w:sz w:val="24"/>
                <w:szCs w:val="24"/>
                <w:highlight w:val="none"/>
                <w:u w:val="none"/>
                <w:lang w:val="en-US" w:eastAsia="zh-CN"/>
              </w:rPr>
              <w:t>15</w:t>
            </w:r>
            <w:r>
              <w:rPr>
                <w:rFonts w:hint="eastAsia" w:ascii="宋体" w:hAnsi="宋体" w:eastAsia="宋体" w:cs="宋体"/>
                <w:i w:val="0"/>
                <w:iCs w:val="0"/>
                <w:color w:val="000000"/>
                <w:sz w:val="24"/>
                <w:szCs w:val="24"/>
                <w:highlight w:val="none"/>
                <w:u w:val="none"/>
              </w:rPr>
              <w:t>项</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.检测速度：</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90S</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3</w:t>
            </w:r>
            <w:r>
              <w:rPr>
                <w:rFonts w:hint="eastAsia" w:ascii="宋体" w:hAnsi="宋体" w:eastAsia="宋体" w:cs="宋体"/>
                <w:i w:val="0"/>
                <w:iCs w:val="0"/>
                <w:color w:val="000000"/>
                <w:sz w:val="24"/>
                <w:szCs w:val="24"/>
                <w:highlight w:val="none"/>
                <w:u w:val="none"/>
              </w:rPr>
              <w:t>.可检测包括动脉血、静脉血、血清、血浆、透析液、脑脊液等多种临床样本</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4</w:t>
            </w:r>
            <w:r>
              <w:rPr>
                <w:rFonts w:hint="eastAsia" w:ascii="宋体" w:hAnsi="宋体" w:eastAsia="宋体" w:cs="宋体"/>
                <w:i w:val="0"/>
                <w:iCs w:val="0"/>
                <w:color w:val="000000"/>
                <w:sz w:val="24"/>
                <w:szCs w:val="24"/>
                <w:highlight w:val="none"/>
                <w:u w:val="none"/>
              </w:rPr>
              <w:t>.显示屏：</w:t>
            </w:r>
            <w:r>
              <w:rPr>
                <w:rFonts w:hint="eastAsia" w:ascii="宋体" w:hAnsi="宋体" w:eastAsia="宋体" w:cs="宋体"/>
                <w:i w:val="0"/>
                <w:iCs w:val="0"/>
                <w:color w:val="000000"/>
                <w:sz w:val="24"/>
                <w:szCs w:val="24"/>
                <w:highlight w:val="none"/>
                <w:u w:val="none"/>
                <w:lang w:val="en-US" w:eastAsia="zh-CN"/>
              </w:rPr>
              <w:t>≥7</w:t>
            </w:r>
            <w:r>
              <w:rPr>
                <w:rFonts w:hint="eastAsia" w:ascii="宋体" w:hAnsi="宋体" w:eastAsia="宋体" w:cs="宋体"/>
                <w:i w:val="0"/>
                <w:iCs w:val="0"/>
                <w:color w:val="000000"/>
                <w:sz w:val="24"/>
                <w:szCs w:val="24"/>
                <w:highlight w:val="none"/>
                <w:u w:val="none"/>
              </w:rPr>
              <w:t>寸彩色液晶触摸显示屏</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5</w:t>
            </w:r>
            <w:r>
              <w:rPr>
                <w:rFonts w:hint="eastAsia" w:ascii="宋体" w:hAnsi="宋体" w:eastAsia="宋体" w:cs="宋体"/>
                <w:i w:val="0"/>
                <w:iCs w:val="0"/>
                <w:color w:val="000000"/>
                <w:sz w:val="24"/>
                <w:szCs w:val="24"/>
                <w:highlight w:val="none"/>
                <w:u w:val="none"/>
              </w:rPr>
              <w:t>.主机可自动储存</w:t>
            </w:r>
            <w:r>
              <w:rPr>
                <w:rFonts w:hint="eastAsia" w:ascii="宋体" w:hAnsi="宋体" w:eastAsia="宋体" w:cs="宋体"/>
                <w:i w:val="0"/>
                <w:iCs w:val="0"/>
                <w:color w:val="000000"/>
                <w:sz w:val="24"/>
                <w:szCs w:val="24"/>
                <w:highlight w:val="none"/>
                <w:u w:val="none"/>
                <w:lang w:val="en-US" w:eastAsia="zh-CN"/>
              </w:rPr>
              <w:t>大于1000</w:t>
            </w:r>
            <w:r>
              <w:rPr>
                <w:rFonts w:hint="eastAsia" w:ascii="宋体" w:hAnsi="宋体" w:eastAsia="宋体" w:cs="宋体"/>
                <w:i w:val="0"/>
                <w:iCs w:val="0"/>
                <w:color w:val="000000"/>
                <w:sz w:val="24"/>
                <w:szCs w:val="24"/>
                <w:highlight w:val="none"/>
                <w:u w:val="none"/>
              </w:rPr>
              <w:t>份历史样本完整信息，通过触摸键盘输入中文信息</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6</w:t>
            </w:r>
            <w:r>
              <w:rPr>
                <w:rFonts w:hint="eastAsia" w:ascii="宋体" w:hAnsi="宋体" w:eastAsia="宋体" w:cs="宋体"/>
                <w:i w:val="0"/>
                <w:iCs w:val="0"/>
                <w:color w:val="000000"/>
                <w:sz w:val="24"/>
                <w:szCs w:val="24"/>
                <w:highlight w:val="none"/>
                <w:u w:val="none"/>
              </w:rPr>
              <w:t>.参考值设置：通用</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7</w:t>
            </w:r>
            <w:r>
              <w:rPr>
                <w:rFonts w:hint="eastAsia" w:ascii="宋体" w:hAnsi="宋体" w:eastAsia="宋体" w:cs="宋体"/>
                <w:i w:val="0"/>
                <w:iCs w:val="0"/>
                <w:color w:val="000000"/>
                <w:sz w:val="24"/>
                <w:szCs w:val="24"/>
                <w:highlight w:val="none"/>
                <w:u w:val="none"/>
              </w:rPr>
              <w:t>.具有仪器厂家配套生产的原厂试剂；</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8</w:t>
            </w:r>
            <w:r>
              <w:rPr>
                <w:rFonts w:hint="eastAsia" w:ascii="宋体" w:hAnsi="宋体" w:eastAsia="宋体" w:cs="宋体"/>
                <w:i w:val="0"/>
                <w:iCs w:val="0"/>
                <w:color w:val="000000"/>
                <w:sz w:val="24"/>
                <w:szCs w:val="24"/>
                <w:highlight w:val="none"/>
                <w:u w:val="none"/>
              </w:rPr>
              <w:t>.内置高容量充电电池，待机时间≥20h或可连续测量样本数≥50个</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9</w:t>
            </w:r>
            <w:r>
              <w:rPr>
                <w:rFonts w:hint="eastAsia" w:ascii="宋体" w:hAnsi="宋体" w:eastAsia="宋体" w:cs="宋体"/>
                <w:i w:val="0"/>
                <w:iCs w:val="0"/>
                <w:color w:val="000000"/>
                <w:sz w:val="24"/>
                <w:szCs w:val="24"/>
                <w:highlight w:val="none"/>
                <w:u w:val="none"/>
              </w:rPr>
              <w:t>.</w:t>
            </w:r>
            <w:r>
              <w:rPr>
                <w:rFonts w:hint="eastAsia" w:ascii="宋体" w:hAnsi="宋体" w:eastAsia="宋体" w:cs="宋体"/>
                <w:i w:val="0"/>
                <w:iCs w:val="0"/>
                <w:color w:val="000000"/>
                <w:sz w:val="24"/>
                <w:szCs w:val="24"/>
                <w:highlight w:val="none"/>
                <w:u w:val="none"/>
                <w:lang w:val="en-US" w:eastAsia="zh-CN"/>
              </w:rPr>
              <w:t>数据接口：常用接口，可联HIS、LIS。</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rPr>
              <w:t>1</w:t>
            </w:r>
            <w:r>
              <w:rPr>
                <w:rFonts w:hint="eastAsia" w:ascii="宋体" w:hAnsi="宋体" w:eastAsia="宋体" w:cs="宋体"/>
                <w:i w:val="0"/>
                <w:iCs w:val="0"/>
                <w:color w:val="000000"/>
                <w:sz w:val="24"/>
                <w:szCs w:val="24"/>
                <w:highlight w:val="none"/>
                <w:u w:val="none"/>
                <w:lang w:val="en-US" w:eastAsia="zh-CN"/>
              </w:rPr>
              <w:t>0</w:t>
            </w:r>
            <w:r>
              <w:rPr>
                <w:rFonts w:hint="eastAsia" w:ascii="宋体" w:hAnsi="宋体" w:eastAsia="宋体" w:cs="宋体"/>
                <w:i w:val="0"/>
                <w:iCs w:val="0"/>
                <w:color w:val="000000"/>
                <w:sz w:val="24"/>
                <w:szCs w:val="24"/>
                <w:highlight w:val="none"/>
                <w:u w:val="none"/>
              </w:rPr>
              <w:t>.仪器具有自动定标功能，有效保障设备的可靠性。</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显微镜</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显微镜</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光学系统：无限远光学系统</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 xml:space="preserve">放大倍数：40X—1000X </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t>3</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目镜：10倍视野数</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观察头：铰链式双目观察镜筒，30度倾斜</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5</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转换器：≥4孔转换器</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t>6</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物镜:平场消色差，抗真菌</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4X     NA≥0.1    WD≥20.6</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10X   </w:t>
            </w:r>
            <w:r>
              <w:rPr>
                <w:rFonts w:hint="eastAsia" w:ascii="宋体" w:hAnsi="宋体" w:eastAsia="宋体" w:cs="宋体"/>
                <w:i w:val="0"/>
                <w:iCs w:val="0"/>
                <w:color w:val="000000"/>
                <w:sz w:val="24"/>
                <w:szCs w:val="24"/>
                <w:highlight w:val="none"/>
                <w:u w:val="none"/>
                <w:lang w:val="en-US" w:eastAsia="zh-CN"/>
              </w:rPr>
              <w:t xml:space="preserve"> </w:t>
            </w:r>
            <w:r>
              <w:rPr>
                <w:rFonts w:hint="eastAsia" w:ascii="宋体" w:hAnsi="宋体" w:eastAsia="宋体" w:cs="宋体"/>
                <w:i w:val="0"/>
                <w:iCs w:val="0"/>
                <w:color w:val="000000"/>
                <w:sz w:val="24"/>
                <w:szCs w:val="24"/>
                <w:highlight w:val="none"/>
                <w:u w:val="none"/>
              </w:rPr>
              <w:t xml:space="preserve"> NA≥0.25   WD≥18 </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40X   </w:t>
            </w:r>
            <w:r>
              <w:rPr>
                <w:rFonts w:hint="eastAsia" w:ascii="宋体" w:hAnsi="宋体" w:eastAsia="宋体" w:cs="宋体"/>
                <w:i w:val="0"/>
                <w:iCs w:val="0"/>
                <w:color w:val="000000"/>
                <w:sz w:val="24"/>
                <w:szCs w:val="24"/>
                <w:highlight w:val="none"/>
                <w:u w:val="none"/>
                <w:lang w:val="en-US" w:eastAsia="zh-CN"/>
              </w:rPr>
              <w:t xml:space="preserve"> </w:t>
            </w:r>
            <w:r>
              <w:rPr>
                <w:rFonts w:hint="eastAsia" w:ascii="宋体" w:hAnsi="宋体" w:eastAsia="宋体" w:cs="宋体"/>
                <w:i w:val="0"/>
                <w:iCs w:val="0"/>
                <w:color w:val="000000"/>
                <w:sz w:val="24"/>
                <w:szCs w:val="24"/>
                <w:highlight w:val="none"/>
                <w:u w:val="none"/>
              </w:rPr>
              <w:t> NA≥0.65   WD≥1.5 长距镜头</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100X油镜  NA≥1.25   WD≥0.3</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7</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 xml:space="preserve">聚光镜：阿贝聚光镜 NA1.25（含空插板），齿轮齿条调节，可升降，孔径光栏并有刻度标记，可放各类滤色片 </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8</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移动载物台：同步带平台尺寸≥200*150mm，移动范围70*50mm；</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t>9</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调焦系统：粗微动同轴调焦；微动≤0.002mm/格，≤0.2mm/圈；粗动≥15mm/圈；升降范围30mm；</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eastAsia="zh-CN"/>
              </w:rPr>
              <w:t>▲</w:t>
            </w:r>
            <w:r>
              <w:rPr>
                <w:rFonts w:hint="eastAsia" w:ascii="宋体" w:hAnsi="宋体" w:eastAsia="宋体" w:cs="宋体"/>
                <w:i w:val="0"/>
                <w:iCs w:val="0"/>
                <w:color w:val="000000"/>
                <w:sz w:val="24"/>
                <w:szCs w:val="24"/>
                <w:highlight w:val="none"/>
                <w:u w:val="none"/>
              </w:rPr>
              <w:t>10</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照明系统：内置≥0.5W  LED照明，亮度可调</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9</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小型离心机</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离心机（迷你型）</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最高转速：≥6000rpm</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最大离心力：≥2300xg</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3</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整机噪声：≤60db(A)</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 xml:space="preserve">支持电源220V/ 50/60Hz </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5</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适配转子：8x1.5/2. 0ml 角转子</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2x8x0.2ml排管转子 </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6</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外形尺寸≤150×200×150(mm)</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rPr>
              <w:t>7</w:t>
            </w:r>
            <w:r>
              <w:rPr>
                <w:rFonts w:hint="eastAsia" w:ascii="宋体" w:hAnsi="宋体" w:eastAsia="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rPr>
              <w:t>净重≤2kg</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恒温金属浴</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恒温金属浴</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控温范围：室温+5℃-150℃</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升温时间：≤30分钟(从20℃升至150℃)</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温度稳定性@100~150℃：≤±1℃</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温度稳定性@40~100℃：≤±0.5℃</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模块最大温差40℃：0.3℃</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模块温度均匀性：≤±0.5℃</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显示精度：0.1℃</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时间设置最长：0-999min</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最高温度：150℃</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rPr>
              <w:t>尺寸：250x200x100mm±50mm</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手提高压灭菌器</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灭菌室有效容积≥</w:t>
            </w:r>
            <w:r>
              <w:rPr>
                <w:rFonts w:hint="eastAsia" w:ascii="宋体" w:hAnsi="宋体" w:eastAsia="宋体" w:cs="宋体"/>
                <w:i w:val="0"/>
                <w:iCs w:val="0"/>
                <w:color w:val="000000"/>
                <w:sz w:val="24"/>
                <w:szCs w:val="24"/>
                <w:highlight w:val="none"/>
                <w:u w:val="none"/>
                <w:lang w:val="en-US" w:eastAsia="zh-CN"/>
              </w:rPr>
              <w:t>18</w:t>
            </w:r>
            <w:r>
              <w:rPr>
                <w:rFonts w:hint="eastAsia" w:ascii="宋体" w:hAnsi="宋体" w:eastAsia="宋体" w:cs="宋体"/>
                <w:i w:val="0"/>
                <w:iCs w:val="0"/>
                <w:color w:val="000000"/>
                <w:sz w:val="24"/>
                <w:szCs w:val="24"/>
                <w:highlight w:val="none"/>
                <w:u w:val="none"/>
              </w:rPr>
              <w:t>L</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2.额定工作压力：0.14-0.16MPa</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3.额定工作温度≥126℃</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4.温度选择范围：105-126℃</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5.计时选择范围：0-99min</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6.最大安全压力≥0.165Mpa</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7.灭菌室热均匀度</w:t>
            </w:r>
            <w:r>
              <w:rPr>
                <w:rFonts w:hint="eastAsia" w:ascii="宋体" w:hAnsi="宋体" w:eastAsia="宋体" w:cs="宋体"/>
                <w:i w:val="0"/>
                <w:iCs w:val="0"/>
                <w:color w:val="000000"/>
                <w:sz w:val="24"/>
                <w:szCs w:val="24"/>
                <w:highlight w:val="none"/>
                <w:u w:val="none"/>
              </w:rPr>
              <w:tab/>
            </w:r>
            <w:r>
              <w:rPr>
                <w:rFonts w:hint="eastAsia" w:ascii="宋体" w:hAnsi="宋体" w:eastAsia="宋体" w:cs="宋体"/>
                <w:i w:val="0"/>
                <w:iCs w:val="0"/>
                <w:color w:val="000000"/>
                <w:sz w:val="24"/>
                <w:szCs w:val="24"/>
                <w:highlight w:val="none"/>
                <w:u w:val="none"/>
              </w:rPr>
              <w:t>≤±1℃</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8.功率/电源电压：AC220V.50Hz / 2KW</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9.运输体积(mm)≤420×420×750 mm</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rPr>
              <w:t>10.毛/净重≤15/14 KG</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监护仪</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一、监护参数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1.一体化多参数监护仪，具备心电、呼吸、无创血压、血氧饱和度、脉率和体温监测功能，产品具备国家食品药品监督管理局颁发的Ⅲ类医疗器械注册证。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2.可升级十二导心电，支持心电信号进行诊断分析，诊断算法通过欧洲CSE数据库测试。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3.支持选配同品牌呼末二氧化碳（EtCO2）。</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4.支持选配双通道有创血压（IBP），在机器上的一个参数接口可以进行双通道的IBP监测，减少附件线缆。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5.支持选配心排（C.O.）。</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二、显示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1.≥12英寸彩色显示屏，分辨率：≥800×600，支持同屏显示≥10道波形同时观察丰富的信息。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w:t>
            </w:r>
            <w:r>
              <w:rPr>
                <w:rFonts w:hint="eastAsia" w:ascii="宋体" w:hAnsi="宋体" w:cs="宋体"/>
                <w:b w:val="0"/>
                <w:bCs w:val="0"/>
                <w:sz w:val="24"/>
                <w:szCs w:val="24"/>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t>支持待机模式、夜间模式、演示模式、隐私模式、插管模式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三、数据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1.主机配备一个VGA或HDMI接口以及不少于2个USB口，可用于外接条码枪扫描枪、键盘、U盘储存等设备。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2.支持网络流量监控及控制，设定流量限额，以提供更高的网络安全管控，防止恶意软件攻击。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3.支持AES 128位加密和TLS 256 位数据传输加密。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四、性能特点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1.主机重量≤3.5kg。</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2.在任何滤波模式下均可监测ST值。提供心电ST段分析功能，支持在专门的窗口中分组显示心脏不同位置的ST实时片段和参考片段。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3.在诊断模式下，支持94dB的共模抑制比；在监护、手术模式下，支持不低于105dB的共模抑制比。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4.支持0.67Hz的高通滤波，确保波形有更好的稳定性。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支持≥20种心律失常分析,包括房颤分析。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6.QT和QTc实时监测参数测量范围：200～800 ms。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7.无创血压成人测量范围：收缩压25~290mmHg，舒张压10~200 mmHg。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无创血压提供手动、自动、连续、序列四种测量模式。自动模式支持自定义设置血压测量间隔。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9.具备无线连接功能，可实现有线、无线、遥测及混连等方式与中心监护系统联网。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10.具备技术报警和生理报警两个独立的报警灯位置，能够分别显示且同时显示两种报警，有利于医护人员远距离辨识报警情况。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11.屏幕与物理按键上下分布。物理按键板和飞梭的位置需处于屏幕下方，按键受力位置低，避免机器左右移动，避免造成机器移动倾倒。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12.内置锂电池电池，舱门需采用螺钉或卡槽固定，避免误开舱门意外掉电，保障供电稳定性。锂电池支持监护仪工作时间≥4小时。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13.监护仪设计使用年限≥8年。</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10台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心肺复苏机</w:t>
            </w:r>
          </w:p>
        </w:tc>
        <w:tc>
          <w:tcPr>
            <w:tcW w:w="7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w:t>
            </w:r>
            <w:r>
              <w:rPr>
                <w:rFonts w:hint="eastAsia" w:ascii="宋体" w:hAnsi="宋体" w:eastAsia="宋体" w:cs="宋体"/>
                <w:i w:val="0"/>
                <w:iCs w:val="0"/>
                <w:color w:val="000000"/>
                <w:sz w:val="24"/>
                <w:szCs w:val="24"/>
                <w:highlight w:val="none"/>
                <w:u w:val="none"/>
                <w:lang w:eastAsia="zh-CN"/>
              </w:rPr>
              <w:t>工作原理：</w:t>
            </w:r>
            <w:r>
              <w:rPr>
                <w:rFonts w:hint="eastAsia" w:ascii="宋体" w:hAnsi="宋体" w:eastAsia="宋体" w:cs="宋体"/>
                <w:i w:val="0"/>
                <w:iCs w:val="0"/>
                <w:color w:val="000000"/>
                <w:sz w:val="24"/>
                <w:szCs w:val="24"/>
                <w:highlight w:val="none"/>
                <w:u w:val="none"/>
              </w:rPr>
              <w:t>气动电控</w:t>
            </w:r>
            <w:r>
              <w:rPr>
                <w:rFonts w:hint="eastAsia" w:ascii="宋体" w:hAnsi="宋体" w:eastAsia="宋体" w:cs="宋体"/>
                <w:i w:val="0"/>
                <w:iCs w:val="0"/>
                <w:color w:val="000000"/>
                <w:sz w:val="24"/>
                <w:szCs w:val="24"/>
                <w:highlight w:val="none"/>
                <w:u w:val="none"/>
                <w:lang w:eastAsia="zh-CN"/>
              </w:rPr>
              <w:t>或电动电控</w:t>
            </w:r>
            <w:r>
              <w:rPr>
                <w:rFonts w:hint="eastAsia" w:ascii="宋体" w:hAnsi="宋体" w:eastAsia="宋体" w:cs="宋体"/>
                <w:i w:val="0"/>
                <w:iCs w:val="0"/>
                <w:color w:val="000000"/>
                <w:sz w:val="24"/>
                <w:szCs w:val="24"/>
                <w:highlight w:val="none"/>
                <w:u w:val="none"/>
              </w:rPr>
              <w:t>；</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2.采用全胸腔包裹式的3D按压方式，按压的同时挤压胸腔,实现最优CPR复苏效果；</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3.模式：15:2、30:2、连续按压、间歇正压通气等；</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4.按压深度：0~60mm连续可调；</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5.按压频率：110bpm误差±10；</w:t>
            </w:r>
            <w:bookmarkStart w:id="152" w:name="_GoBack"/>
            <w:bookmarkEnd w:id="152"/>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6</w:t>
            </w:r>
            <w:r>
              <w:rPr>
                <w:rFonts w:hint="eastAsia" w:ascii="宋体" w:hAnsi="宋体" w:eastAsia="宋体" w:cs="宋体"/>
                <w:i w:val="0"/>
                <w:iCs w:val="0"/>
                <w:color w:val="000000"/>
                <w:sz w:val="24"/>
                <w:szCs w:val="24"/>
                <w:highlight w:val="none"/>
                <w:u w:val="none"/>
              </w:rPr>
              <w:t>.按压/释放比：1:1；</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7</w:t>
            </w:r>
            <w:r>
              <w:rPr>
                <w:rFonts w:hint="eastAsia" w:ascii="宋体" w:hAnsi="宋体" w:eastAsia="宋体" w:cs="宋体"/>
                <w:i w:val="0"/>
                <w:iCs w:val="0"/>
                <w:color w:val="000000"/>
                <w:sz w:val="24"/>
                <w:szCs w:val="24"/>
                <w:highlight w:val="none"/>
                <w:u w:val="none"/>
              </w:rPr>
              <w:t>.吸呼比：1:1.67误差±10%；</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8</w:t>
            </w:r>
            <w:r>
              <w:rPr>
                <w:rFonts w:hint="eastAsia" w:ascii="宋体" w:hAnsi="宋体" w:eastAsia="宋体" w:cs="宋体"/>
                <w:i w:val="0"/>
                <w:iCs w:val="0"/>
                <w:color w:val="000000"/>
                <w:sz w:val="24"/>
                <w:szCs w:val="24"/>
                <w:highlight w:val="none"/>
                <w:u w:val="none"/>
              </w:rPr>
              <w:t>.内置可充电锂离子电池，可连续工作≥8小时以上，支持在线充电；</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9</w:t>
            </w:r>
            <w:r>
              <w:rPr>
                <w:rFonts w:hint="eastAsia" w:ascii="宋体" w:hAnsi="宋体" w:eastAsia="宋体" w:cs="宋体"/>
                <w:i w:val="0"/>
                <w:iCs w:val="0"/>
                <w:color w:val="000000"/>
                <w:sz w:val="24"/>
                <w:szCs w:val="24"/>
                <w:highlight w:val="none"/>
                <w:u w:val="none"/>
              </w:rPr>
              <w:t>.报警具有LED灯及语音提示；</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w:t>
            </w:r>
            <w:r>
              <w:rPr>
                <w:rFonts w:hint="eastAsia" w:ascii="宋体" w:hAnsi="宋体" w:eastAsia="宋体" w:cs="宋体"/>
                <w:i w:val="0"/>
                <w:iCs w:val="0"/>
                <w:color w:val="000000"/>
                <w:sz w:val="24"/>
                <w:szCs w:val="24"/>
                <w:highlight w:val="none"/>
                <w:u w:val="none"/>
                <w:lang w:val="en-US" w:eastAsia="zh-CN"/>
              </w:rPr>
              <w:t>0</w:t>
            </w:r>
            <w:r>
              <w:rPr>
                <w:rFonts w:hint="eastAsia" w:ascii="宋体" w:hAnsi="宋体" w:eastAsia="宋体" w:cs="宋体"/>
                <w:i w:val="0"/>
                <w:iCs w:val="0"/>
                <w:color w:val="000000"/>
                <w:sz w:val="24"/>
                <w:szCs w:val="24"/>
                <w:highlight w:val="none"/>
                <w:u w:val="none"/>
              </w:rPr>
              <w:t>.安装快速，提高抢救效率；</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.配有按压稳定带，便于患者头部及腿部稳定。使得按压装置固定连接，方便转运过程中使用；</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w:t>
            </w:r>
            <w:r>
              <w:rPr>
                <w:rFonts w:hint="eastAsia" w:ascii="宋体" w:hAnsi="宋体" w:eastAsia="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.整机重量≤</w:t>
            </w:r>
            <w:r>
              <w:rPr>
                <w:rFonts w:hint="eastAsia" w:ascii="宋体" w:hAnsi="宋体" w:eastAsia="宋体" w:cs="宋体"/>
                <w:i w:val="0"/>
                <w:iCs w:val="0"/>
                <w:color w:val="000000"/>
                <w:sz w:val="24"/>
                <w:szCs w:val="24"/>
                <w:highlight w:val="none"/>
                <w:u w:val="none"/>
                <w:lang w:val="en-US" w:eastAsia="zh-CN"/>
              </w:rPr>
              <w:t>5</w:t>
            </w:r>
            <w:r>
              <w:rPr>
                <w:rFonts w:hint="eastAsia" w:ascii="宋体" w:hAnsi="宋体" w:eastAsia="宋体" w:cs="宋体"/>
                <w:i w:val="0"/>
                <w:iCs w:val="0"/>
                <w:color w:val="000000"/>
                <w:sz w:val="24"/>
                <w:szCs w:val="24"/>
                <w:highlight w:val="none"/>
                <w:u w:val="none"/>
              </w:rPr>
              <w:t>kg；</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w:t>
            </w:r>
            <w:r>
              <w:rPr>
                <w:rFonts w:hint="eastAsia" w:ascii="宋体" w:hAnsi="宋体" w:eastAsia="宋体" w:cs="宋体"/>
                <w:i w:val="0"/>
                <w:iCs w:val="0"/>
                <w:color w:val="000000"/>
                <w:sz w:val="24"/>
                <w:szCs w:val="24"/>
                <w:highlight w:val="none"/>
                <w:u w:val="none"/>
                <w:lang w:val="en-US" w:eastAsia="zh-CN"/>
              </w:rPr>
              <w:t>3</w:t>
            </w:r>
            <w:r>
              <w:rPr>
                <w:rFonts w:hint="eastAsia" w:ascii="宋体" w:hAnsi="宋体" w:eastAsia="宋体" w:cs="宋体"/>
                <w:i w:val="0"/>
                <w:iCs w:val="0"/>
                <w:color w:val="000000"/>
                <w:sz w:val="24"/>
                <w:szCs w:val="24"/>
                <w:highlight w:val="none"/>
                <w:u w:val="none"/>
              </w:rPr>
              <w:t>.安全要求：心肺复苏机的安全通用要求应符合GB 9706.1-2007；</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rPr>
              <w:t>1</w:t>
            </w:r>
            <w:r>
              <w:rPr>
                <w:rFonts w:hint="eastAsia" w:ascii="宋体" w:hAnsi="宋体" w:eastAsia="宋体" w:cs="宋体"/>
                <w:i w:val="0"/>
                <w:iCs w:val="0"/>
                <w:color w:val="000000"/>
                <w:sz w:val="24"/>
                <w:szCs w:val="24"/>
                <w:highlight w:val="none"/>
                <w:u w:val="none"/>
                <w:lang w:val="en-US" w:eastAsia="zh-CN"/>
              </w:rPr>
              <w:t>4</w:t>
            </w:r>
            <w:r>
              <w:rPr>
                <w:rFonts w:hint="eastAsia" w:ascii="宋体" w:hAnsi="宋体" w:eastAsia="宋体" w:cs="宋体"/>
                <w:i w:val="0"/>
                <w:iCs w:val="0"/>
                <w:color w:val="000000"/>
                <w:sz w:val="24"/>
                <w:szCs w:val="24"/>
                <w:highlight w:val="none"/>
                <w:u w:val="none"/>
              </w:rPr>
              <w:t>.电磁兼容性：心肺复苏机的电磁兼容性安全要求应符合YY 0505-2012的要求；</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2台</w:t>
            </w:r>
          </w:p>
        </w:tc>
      </w:tr>
    </w:tbl>
    <w:p/>
    <w:p>
      <w:pPr>
        <w:rPr>
          <w:rFonts w:hint="eastAsia" w:ascii="宋体" w:hAnsi="宋体" w:cs="宋体"/>
          <w:b/>
          <w:bCs/>
          <w:sz w:val="36"/>
          <w:szCs w:val="36"/>
        </w:rPr>
      </w:pPr>
      <w:r>
        <w:rPr>
          <w:rFonts w:hint="eastAsia" w:ascii="宋体" w:hAnsi="宋体" w:cs="宋体"/>
          <w:b/>
          <w:bCs/>
          <w:sz w:val="36"/>
          <w:szCs w:val="36"/>
        </w:rPr>
        <w:br w:type="page"/>
      </w:r>
    </w:p>
    <w:p>
      <w:pPr>
        <w:keepNext/>
        <w:keepLines/>
        <w:tabs>
          <w:tab w:val="left" w:pos="2410"/>
          <w:tab w:val="center" w:pos="4212"/>
        </w:tabs>
        <w:spacing w:line="360" w:lineRule="auto"/>
        <w:ind w:firstLine="723" w:firstLineChars="200"/>
        <w:jc w:val="center"/>
        <w:outlineLvl w:val="0"/>
        <w:rPr>
          <w:rFonts w:ascii="宋体" w:hAnsi="宋体" w:cs="宋体"/>
          <w:b/>
          <w:bCs/>
          <w:sz w:val="36"/>
          <w:szCs w:val="36"/>
        </w:rPr>
      </w:pPr>
      <w:bookmarkStart w:id="69" w:name="_Toc6210"/>
      <w:r>
        <w:rPr>
          <w:rFonts w:hint="eastAsia" w:ascii="宋体" w:hAnsi="宋体" w:cs="宋体"/>
          <w:b/>
          <w:bCs/>
          <w:sz w:val="36"/>
          <w:szCs w:val="36"/>
        </w:rPr>
        <w:t>第六部分  合同条款</w:t>
      </w:r>
      <w:bookmarkEnd w:id="69"/>
    </w:p>
    <w:p>
      <w:pPr>
        <w:kinsoku w:val="0"/>
        <w:spacing w:line="400" w:lineRule="exact"/>
        <w:ind w:firstLine="600" w:firstLineChars="250"/>
        <w:rPr>
          <w:rFonts w:hint="eastAsia" w:ascii="宋体" w:hAnsi="宋体" w:eastAsia="宋体" w:cs="宋体"/>
          <w:sz w:val="24"/>
          <w:lang w:eastAsia="zh-CN"/>
        </w:rPr>
      </w:pPr>
      <w:r>
        <w:rPr>
          <w:rFonts w:hint="eastAsia" w:ascii="宋体" w:hAnsi="宋体" w:cs="宋体"/>
          <w:sz w:val="24"/>
        </w:rPr>
        <w:t>甲方：</w:t>
      </w:r>
      <w:r>
        <w:rPr>
          <w:rFonts w:hint="eastAsia" w:ascii="宋体" w:hAnsi="宋体" w:cs="宋体"/>
          <w:sz w:val="24"/>
          <w:lang w:eastAsia="zh-CN"/>
        </w:rPr>
        <w:t>陕西省中医医院</w:t>
      </w:r>
    </w:p>
    <w:p>
      <w:pPr>
        <w:kinsoku w:val="0"/>
        <w:spacing w:line="400" w:lineRule="exact"/>
        <w:ind w:firstLine="600" w:firstLineChars="250"/>
        <w:rPr>
          <w:rFonts w:ascii="宋体" w:hAnsi="宋体" w:cs="宋体"/>
          <w:sz w:val="24"/>
        </w:rPr>
      </w:pPr>
      <w:r>
        <w:rPr>
          <w:rFonts w:hint="eastAsia" w:ascii="宋体" w:hAnsi="宋体" w:cs="宋体"/>
          <w:sz w:val="24"/>
        </w:rPr>
        <w:t>乙方：</w:t>
      </w:r>
      <w:r>
        <w:rPr>
          <w:rFonts w:hint="eastAsia" w:ascii="宋体" w:hAnsi="宋体" w:cs="宋体"/>
          <w:sz w:val="24"/>
          <w:u w:val="single"/>
        </w:rPr>
        <w:t xml:space="preserve">              </w:t>
      </w:r>
    </w:p>
    <w:p>
      <w:pPr>
        <w:kinsoku w:val="0"/>
        <w:spacing w:line="400" w:lineRule="exact"/>
        <w:ind w:firstLine="600" w:firstLineChars="250"/>
        <w:rPr>
          <w:rFonts w:ascii="宋体" w:hAnsi="宋体" w:cs="宋体"/>
          <w:sz w:val="24"/>
        </w:rPr>
      </w:pPr>
      <w:r>
        <w:rPr>
          <w:rFonts w:hint="eastAsia" w:ascii="宋体" w:hAnsi="宋体" w:cs="宋体"/>
          <w:sz w:val="24"/>
        </w:rPr>
        <w:t>根据《中华人民共和国政府采购法》、《中华人民共和国民法典》等法律法规，甲方通过公开招标，选定乙方为中标单位。甲、乙双方在平等基础上协商一致，达成如下合同条款：</w:t>
      </w:r>
    </w:p>
    <w:p>
      <w:pPr>
        <w:kinsoku w:val="0"/>
        <w:spacing w:line="400" w:lineRule="exact"/>
        <w:ind w:firstLine="600" w:firstLineChars="250"/>
        <w:rPr>
          <w:rFonts w:ascii="宋体" w:hAnsi="宋体" w:cs="宋体"/>
          <w:sz w:val="24"/>
        </w:rPr>
      </w:pPr>
      <w:r>
        <w:rPr>
          <w:rFonts w:hint="eastAsia" w:ascii="宋体" w:hAnsi="宋体" w:cs="宋体"/>
          <w:sz w:val="24"/>
        </w:rPr>
        <w:t>一、</w:t>
      </w:r>
      <w:r>
        <w:rPr>
          <w:rFonts w:hint="eastAsia" w:ascii="宋体" w:hAnsi="宋体" w:cs="宋体"/>
          <w:b/>
          <w:sz w:val="24"/>
        </w:rPr>
        <w:t>合同内容</w:t>
      </w:r>
    </w:p>
    <w:tbl>
      <w:tblPr>
        <w:tblStyle w:val="30"/>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序号</w:t>
            </w:r>
          </w:p>
        </w:tc>
        <w:tc>
          <w:tcPr>
            <w:tcW w:w="162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设备名称</w:t>
            </w:r>
          </w:p>
        </w:tc>
        <w:tc>
          <w:tcPr>
            <w:tcW w:w="126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型号</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产地</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数量</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单价</w:t>
            </w:r>
          </w:p>
        </w:tc>
        <w:tc>
          <w:tcPr>
            <w:tcW w:w="894"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总价</w:t>
            </w:r>
          </w:p>
        </w:tc>
        <w:tc>
          <w:tcPr>
            <w:tcW w:w="839"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1</w:t>
            </w: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adjustRightInd w:val="0"/>
              <w:snapToGrid w:val="0"/>
              <w:jc w:val="center"/>
              <w:rPr>
                <w:rFonts w:ascii="宋体" w:hAnsi="宋体" w:cs="宋体"/>
                <w:b/>
                <w:color w:val="000000"/>
                <w:sz w:val="24"/>
              </w:rPr>
            </w:pPr>
            <w:r>
              <w:rPr>
                <w:rFonts w:hint="eastAsia" w:ascii="宋体" w:hAnsi="宋体" w:cs="宋体"/>
                <w:b/>
                <w:color w:val="000000"/>
                <w:sz w:val="24"/>
              </w:rPr>
              <w:t>总计（人民币/元）</w:t>
            </w:r>
          </w:p>
        </w:tc>
        <w:tc>
          <w:tcPr>
            <w:tcW w:w="5693" w:type="dxa"/>
            <w:gridSpan w:val="6"/>
            <w:vAlign w:val="center"/>
          </w:tcPr>
          <w:p>
            <w:pPr>
              <w:adjustRightInd w:val="0"/>
              <w:snapToGrid w:val="0"/>
              <w:rPr>
                <w:rFonts w:ascii="宋体" w:hAnsi="宋体" w:cs="宋体"/>
                <w:b/>
                <w:color w:val="000000"/>
                <w:sz w:val="24"/>
              </w:rPr>
            </w:pPr>
            <w:r>
              <w:rPr>
                <w:rFonts w:hint="eastAsia" w:ascii="宋体" w:hAnsi="宋体" w:cs="宋体"/>
                <w:b/>
                <w:color w:val="000000"/>
                <w:sz w:val="24"/>
              </w:rPr>
              <w:t>¥：       （大写）</w:t>
            </w:r>
          </w:p>
        </w:tc>
      </w:tr>
    </w:tbl>
    <w:p>
      <w:pPr>
        <w:pStyle w:val="3"/>
        <w:spacing w:before="2" w:line="364" w:lineRule="auto"/>
        <w:ind w:right="200" w:firstLine="480"/>
        <w:rPr>
          <w:rFonts w:ascii="宋体" w:hAnsi="宋体" w:cs="宋体"/>
          <w:color w:val="auto"/>
          <w:kern w:val="2"/>
          <w:szCs w:val="22"/>
        </w:rPr>
      </w:pPr>
      <w:r>
        <w:rPr>
          <w:rFonts w:hint="eastAsia" w:ascii="宋体" w:hAnsi="宋体" w:cs="宋体"/>
          <w:color w:val="auto"/>
          <w:kern w:val="2"/>
          <w:szCs w:val="22"/>
        </w:rPr>
        <w:t>乙方负责按合同中确定内容进行服务；按时完成甲方</w:t>
      </w:r>
      <w:r>
        <w:rPr>
          <w:rFonts w:hint="eastAsia" w:ascii="宋体" w:hAnsi="宋体" w:cs="宋体"/>
          <w:color w:val="auto"/>
          <w:kern w:val="2"/>
          <w:szCs w:val="22"/>
          <w:lang w:eastAsia="zh-CN"/>
        </w:rPr>
        <w:t>陕西省中医医院仪器设备采购项目</w:t>
      </w:r>
      <w:r>
        <w:rPr>
          <w:rFonts w:hint="eastAsia" w:ascii="宋体" w:hAnsi="宋体" w:cs="宋体"/>
          <w:color w:val="auto"/>
          <w:kern w:val="2"/>
          <w:szCs w:val="22"/>
        </w:rPr>
        <w:t>工作，达到甲方要求；负责为甲方培训操作、维护人员，做好售后服务工作。</w:t>
      </w:r>
    </w:p>
    <w:p>
      <w:pPr>
        <w:spacing w:line="400" w:lineRule="exact"/>
        <w:ind w:firstLine="482" w:firstLineChars="200"/>
        <w:rPr>
          <w:rFonts w:ascii="宋体" w:hAnsi="宋体" w:cs="宋体"/>
          <w:b/>
          <w:sz w:val="24"/>
          <w:szCs w:val="24"/>
        </w:rPr>
      </w:pPr>
      <w:r>
        <w:rPr>
          <w:rFonts w:hint="eastAsia" w:ascii="宋体" w:hAnsi="宋体" w:cs="宋体"/>
          <w:b/>
          <w:sz w:val="24"/>
          <w:szCs w:val="24"/>
        </w:rPr>
        <w:t>二、合同价格</w:t>
      </w:r>
    </w:p>
    <w:p>
      <w:pPr>
        <w:kinsoku w:val="0"/>
        <w:spacing w:line="400" w:lineRule="exact"/>
        <w:ind w:firstLine="480" w:firstLineChars="200"/>
        <w:rPr>
          <w:rFonts w:ascii="宋体" w:hAnsi="宋体" w:cs="宋体"/>
          <w:sz w:val="24"/>
          <w:szCs w:val="24"/>
        </w:rPr>
      </w:pPr>
      <w:r>
        <w:rPr>
          <w:rFonts w:hint="eastAsia" w:ascii="宋体" w:hAnsi="宋体" w:cs="宋体"/>
          <w:sz w:val="24"/>
          <w:szCs w:val="24"/>
        </w:rPr>
        <w:t>合同总价：人民币大写：</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w:t>
      </w:r>
    </w:p>
    <w:p>
      <w:pPr>
        <w:kinsoku w:val="0"/>
        <w:spacing w:line="400" w:lineRule="exact"/>
        <w:ind w:firstLine="480" w:firstLineChars="200"/>
        <w:rPr>
          <w:rFonts w:ascii="宋体" w:hAnsi="宋体" w:cs="宋体"/>
          <w:sz w:val="24"/>
        </w:rPr>
      </w:pPr>
      <w:r>
        <w:rPr>
          <w:rFonts w:hint="eastAsia" w:ascii="宋体" w:hAnsi="宋体" w:cs="宋体"/>
          <w:sz w:val="24"/>
        </w:rPr>
        <w:t>合同总价包括：技术培训费、人工费、税金及国家按现行税收政策征收的一切税费等</w:t>
      </w:r>
      <w:r>
        <w:rPr>
          <w:rFonts w:hint="eastAsia" w:ascii="宋体" w:hAnsi="宋体" w:cs="宋体"/>
          <w:sz w:val="24"/>
          <w:szCs w:val="24"/>
        </w:rPr>
        <w:t>。</w:t>
      </w:r>
      <w:r>
        <w:rPr>
          <w:rFonts w:hint="eastAsia" w:ascii="宋体" w:hAnsi="宋体" w:cs="宋体"/>
          <w:sz w:val="24"/>
        </w:rPr>
        <w:t>合同总价不可变更，不受市场价变化的影响，不受实际数量变化的影响。</w:t>
      </w:r>
    </w:p>
    <w:p>
      <w:pPr>
        <w:spacing w:line="400" w:lineRule="exact"/>
        <w:ind w:firstLine="482" w:firstLineChars="200"/>
        <w:rPr>
          <w:rFonts w:ascii="宋体" w:hAnsi="宋体" w:cs="宋体"/>
          <w:b/>
          <w:sz w:val="24"/>
          <w:szCs w:val="24"/>
        </w:rPr>
      </w:pPr>
      <w:r>
        <w:rPr>
          <w:rFonts w:hint="eastAsia" w:ascii="宋体" w:hAnsi="宋体" w:cs="宋体"/>
          <w:b/>
          <w:sz w:val="24"/>
          <w:szCs w:val="24"/>
          <w:lang w:eastAsia="zh-CN"/>
        </w:rPr>
        <w:t>三</w:t>
      </w:r>
      <w:r>
        <w:rPr>
          <w:rFonts w:hint="eastAsia" w:ascii="宋体" w:hAnsi="宋体" w:cs="宋体"/>
          <w:b/>
          <w:sz w:val="24"/>
          <w:szCs w:val="24"/>
        </w:rPr>
        <w:t>、交货条件</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1、交货</w:t>
      </w:r>
      <w:r>
        <w:rPr>
          <w:rFonts w:hint="eastAsia" w:ascii="宋体" w:hAnsi="宋体" w:cs="宋体"/>
          <w:sz w:val="24"/>
          <w:szCs w:val="24"/>
        </w:rPr>
        <w:t>条件</w:t>
      </w:r>
      <w:r>
        <w:rPr>
          <w:rFonts w:hint="eastAsia" w:ascii="宋体" w:hAnsi="宋体" w:cs="宋体"/>
          <w:sz w:val="24"/>
          <w:szCs w:val="24"/>
          <w:lang w:val="zh-CN"/>
        </w:rPr>
        <w:t>：乙方负责按合同中确定内容进行服务；按时完成甲方陕西省中医医院仪器设备采购项目工作，达到甲方要求；负责为甲方培训操作、维护人员，做好售后服务工作。交付的货物、服务与投标文件、招标文件等所指明的，或者与本合同所指明的内容相一致。</w:t>
      </w:r>
    </w:p>
    <w:p>
      <w:pPr>
        <w:spacing w:line="400" w:lineRule="exact"/>
        <w:ind w:firstLine="480" w:firstLineChars="200"/>
        <w:rPr>
          <w:rFonts w:hint="default" w:ascii="宋体" w:hAnsi="宋体" w:eastAsia="宋体" w:cs="宋体"/>
          <w:sz w:val="24"/>
          <w:szCs w:val="24"/>
          <w:u w:val="single"/>
          <w:lang w:val="en-US" w:eastAsia="zh-CN"/>
        </w:rPr>
      </w:pPr>
      <w:r>
        <w:rPr>
          <w:rFonts w:hint="eastAsia" w:ascii="宋体" w:hAnsi="宋体" w:cs="宋体"/>
          <w:sz w:val="24"/>
          <w:szCs w:val="24"/>
          <w:lang w:val="zh-CN"/>
        </w:rPr>
        <w:t>2、交货日期：</w:t>
      </w:r>
      <w:r>
        <w:rPr>
          <w:rFonts w:hint="eastAsia" w:ascii="宋体" w:hAnsi="宋体" w:cs="宋体"/>
          <w:sz w:val="24"/>
          <w:szCs w:val="24"/>
          <w:u w:val="single"/>
          <w:lang w:val="en-US" w:eastAsia="zh-CN"/>
        </w:rPr>
        <w:t xml:space="preserve">         </w:t>
      </w:r>
    </w:p>
    <w:p>
      <w:pPr>
        <w:spacing w:line="400" w:lineRule="exact"/>
        <w:ind w:firstLine="482" w:firstLineChars="200"/>
        <w:rPr>
          <w:rFonts w:ascii="宋体" w:hAnsi="宋体" w:cs="宋体"/>
          <w:b/>
          <w:sz w:val="24"/>
          <w:szCs w:val="24"/>
        </w:rPr>
      </w:pPr>
      <w:r>
        <w:rPr>
          <w:rFonts w:hint="eastAsia" w:cs="宋体"/>
          <w:b/>
          <w:sz w:val="24"/>
          <w:szCs w:val="24"/>
          <w:lang w:eastAsia="zh-CN"/>
        </w:rPr>
        <w:t>四</w:t>
      </w:r>
      <w:r>
        <w:rPr>
          <w:rFonts w:hint="eastAsia" w:cs="宋体"/>
          <w:b/>
          <w:sz w:val="24"/>
          <w:szCs w:val="24"/>
        </w:rPr>
        <w:t>、</w:t>
      </w:r>
      <w:r>
        <w:rPr>
          <w:rFonts w:hint="eastAsia" w:ascii="宋体" w:hAnsi="宋体" w:cs="宋体"/>
          <w:b/>
          <w:sz w:val="24"/>
          <w:szCs w:val="24"/>
        </w:rPr>
        <w:t>付款方式</w:t>
      </w:r>
    </w:p>
    <w:p>
      <w:pPr>
        <w:tabs>
          <w:tab w:val="left" w:pos="840"/>
        </w:tabs>
        <w:spacing w:line="360" w:lineRule="auto"/>
        <w:ind w:firstLine="420" w:firstLineChars="175"/>
        <w:rPr>
          <w:rFonts w:hint="eastAsia" w:ascii="宋体" w:hAnsi="宋体" w:cs="宋体"/>
          <w:sz w:val="24"/>
          <w:szCs w:val="24"/>
          <w:highlight w:val="none"/>
        </w:rPr>
      </w:pPr>
      <w:r>
        <w:rPr>
          <w:rFonts w:hint="eastAsia" w:ascii="宋体" w:hAnsi="宋体" w:cs="宋体"/>
          <w:sz w:val="24"/>
          <w:szCs w:val="24"/>
          <w:highlight w:val="none"/>
        </w:rPr>
        <w:t>合同签订后30日内向乙方支付合同总价的30%，货物交付验收合格后，乙方连同货款发票，采购合同，货物验收单等相关材料送交甲方，甲方向乙方支付合同总金额的</w:t>
      </w:r>
      <w:r>
        <w:rPr>
          <w:rFonts w:hint="eastAsia" w:ascii="宋体" w:hAnsi="宋体" w:cs="宋体"/>
          <w:sz w:val="24"/>
          <w:szCs w:val="24"/>
          <w:highlight w:val="none"/>
          <w:lang w:val="en-US" w:eastAsia="zh-CN"/>
        </w:rPr>
        <w:t>50</w:t>
      </w:r>
      <w:r>
        <w:rPr>
          <w:rFonts w:hint="eastAsia" w:ascii="宋体" w:hAnsi="宋体" w:cs="宋体"/>
          <w:sz w:val="24"/>
          <w:szCs w:val="24"/>
          <w:highlight w:val="none"/>
        </w:rPr>
        <w:t>％，</w:t>
      </w:r>
      <w:r>
        <w:rPr>
          <w:rFonts w:hint="eastAsia" w:ascii="宋体" w:hAnsi="宋体" w:cs="宋体"/>
          <w:sz w:val="24"/>
          <w:szCs w:val="24"/>
          <w:highlight w:val="none"/>
          <w:lang w:eastAsia="zh-CN"/>
        </w:rPr>
        <w:t>验收合格一年后支付</w:t>
      </w:r>
      <w:r>
        <w:rPr>
          <w:rFonts w:hint="eastAsia" w:ascii="宋体" w:hAnsi="宋体" w:cs="宋体"/>
          <w:sz w:val="24"/>
          <w:szCs w:val="24"/>
          <w:highlight w:val="none"/>
        </w:rPr>
        <w:t>合同总金额的</w:t>
      </w:r>
      <w:r>
        <w:rPr>
          <w:rFonts w:hint="eastAsia" w:ascii="宋体" w:hAnsi="宋体" w:cs="宋体"/>
          <w:sz w:val="24"/>
          <w:szCs w:val="24"/>
          <w:highlight w:val="none"/>
          <w:lang w:val="en-US" w:eastAsia="zh-CN"/>
        </w:rPr>
        <w:t>10</w:t>
      </w:r>
      <w:r>
        <w:rPr>
          <w:rFonts w:hint="eastAsia" w:ascii="宋体" w:hAnsi="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rPr>
        <w:t>剩余</w:t>
      </w:r>
      <w:r>
        <w:rPr>
          <w:rFonts w:hint="eastAsia" w:ascii="宋体" w:hAnsi="宋体" w:cs="宋体"/>
          <w:sz w:val="24"/>
          <w:szCs w:val="24"/>
          <w:highlight w:val="none"/>
          <w:lang w:val="en-US" w:eastAsia="zh-CN"/>
        </w:rPr>
        <w:t>10</w:t>
      </w:r>
      <w:r>
        <w:rPr>
          <w:rFonts w:hint="eastAsia" w:ascii="宋体" w:hAnsi="宋体" w:cs="宋体"/>
          <w:sz w:val="24"/>
          <w:szCs w:val="24"/>
          <w:highlight w:val="none"/>
        </w:rPr>
        <w:t>％于验收合格</w:t>
      </w:r>
      <w:r>
        <w:rPr>
          <w:rFonts w:hint="eastAsia" w:ascii="宋体" w:hAnsi="宋体" w:cs="宋体"/>
          <w:sz w:val="24"/>
          <w:szCs w:val="24"/>
          <w:highlight w:val="none"/>
          <w:lang w:eastAsia="zh-CN"/>
        </w:rPr>
        <w:t>三</w:t>
      </w:r>
      <w:r>
        <w:rPr>
          <w:rFonts w:hint="eastAsia" w:ascii="宋体" w:hAnsi="宋体" w:cs="宋体"/>
          <w:sz w:val="24"/>
          <w:szCs w:val="24"/>
          <w:highlight w:val="none"/>
        </w:rPr>
        <w:t>年后向乙方支付完成，不计算利息。</w:t>
      </w:r>
    </w:p>
    <w:p>
      <w:pPr>
        <w:tabs>
          <w:tab w:val="left" w:pos="840"/>
        </w:tabs>
        <w:spacing w:line="360" w:lineRule="auto"/>
        <w:ind w:firstLine="422" w:firstLineChars="175"/>
        <w:rPr>
          <w:rFonts w:ascii="宋体" w:hAnsi="宋体"/>
          <w:b/>
          <w:sz w:val="24"/>
        </w:rPr>
      </w:pPr>
      <w:r>
        <w:rPr>
          <w:rFonts w:hint="eastAsia" w:ascii="宋体" w:hAnsi="宋体"/>
          <w:b/>
          <w:sz w:val="24"/>
          <w:lang w:eastAsia="zh-CN"/>
        </w:rPr>
        <w:t>五</w:t>
      </w:r>
      <w:r>
        <w:rPr>
          <w:rFonts w:hint="eastAsia" w:ascii="宋体" w:hAnsi="宋体"/>
          <w:b/>
          <w:sz w:val="24"/>
        </w:rPr>
        <w:t>、双方的权利和义务</w:t>
      </w:r>
    </w:p>
    <w:p>
      <w:pPr>
        <w:tabs>
          <w:tab w:val="left" w:pos="840"/>
        </w:tabs>
        <w:spacing w:line="360" w:lineRule="auto"/>
        <w:ind w:firstLine="420" w:firstLineChars="175"/>
        <w:rPr>
          <w:rFonts w:hAnsi="宋体"/>
          <w:sz w:val="24"/>
        </w:rPr>
      </w:pPr>
      <w:r>
        <w:rPr>
          <w:rFonts w:hint="eastAsia" w:hAnsi="宋体"/>
          <w:sz w:val="24"/>
        </w:rPr>
        <w:t>1、甲方责任</w:t>
      </w:r>
    </w:p>
    <w:p>
      <w:pPr>
        <w:tabs>
          <w:tab w:val="left" w:pos="840"/>
        </w:tabs>
        <w:spacing w:line="360" w:lineRule="auto"/>
        <w:ind w:firstLine="420" w:firstLineChars="175"/>
        <w:rPr>
          <w:rFonts w:hAnsi="宋体"/>
          <w:sz w:val="24"/>
        </w:rPr>
      </w:pPr>
      <w:r>
        <w:rPr>
          <w:rFonts w:hint="eastAsia" w:hAnsi="宋体"/>
          <w:sz w:val="24"/>
        </w:rPr>
        <w:t>负责核准、认定本项目相关技术资料文档；监督、参与项目执行的整个过程为乙方提供必要的工作条件，并提供产品及服务所必需的运行环境；按照合同约定支付合同款项。</w:t>
      </w:r>
    </w:p>
    <w:p>
      <w:pPr>
        <w:tabs>
          <w:tab w:val="left" w:pos="840"/>
        </w:tabs>
        <w:spacing w:line="360" w:lineRule="auto"/>
        <w:ind w:firstLine="420" w:firstLineChars="175"/>
        <w:rPr>
          <w:rFonts w:hAnsi="宋体"/>
          <w:sz w:val="24"/>
        </w:rPr>
      </w:pPr>
      <w:r>
        <w:rPr>
          <w:rFonts w:hint="eastAsia" w:hAnsi="宋体"/>
          <w:sz w:val="24"/>
        </w:rPr>
        <w:t>2、乙方责任</w:t>
      </w:r>
    </w:p>
    <w:p>
      <w:pPr>
        <w:tabs>
          <w:tab w:val="left" w:pos="840"/>
        </w:tabs>
        <w:spacing w:line="360" w:lineRule="auto"/>
        <w:ind w:firstLine="420" w:firstLineChars="175"/>
      </w:pPr>
      <w:r>
        <w:rPr>
          <w:rFonts w:hint="eastAsia" w:hAnsi="宋体"/>
          <w:sz w:val="24"/>
        </w:rPr>
        <w:t>项目的交接；按时完成本合同所涉及产品及服务项目的验收工作；协助配合甲方完成</w:t>
      </w:r>
      <w:r>
        <w:rPr>
          <w:rFonts w:hint="eastAsia" w:hAnsi="宋体"/>
          <w:sz w:val="24"/>
          <w:lang w:eastAsia="zh-CN"/>
        </w:rPr>
        <w:t>陕西省中医医院仪器设备采购项目</w:t>
      </w:r>
      <w:r>
        <w:rPr>
          <w:rFonts w:hint="eastAsia" w:hAnsi="宋体"/>
          <w:sz w:val="24"/>
        </w:rPr>
        <w:t>；做好整个项目的售后服务技术支持工作。</w:t>
      </w:r>
    </w:p>
    <w:p>
      <w:pPr>
        <w:tabs>
          <w:tab w:val="left" w:pos="840"/>
        </w:tabs>
        <w:spacing w:line="360" w:lineRule="auto"/>
        <w:ind w:firstLine="420" w:firstLineChars="175"/>
        <w:rPr>
          <w:rFonts w:hint="eastAsia" w:ascii="Times New Roman" w:hAnsi="宋体" w:eastAsia="宋体" w:cs="Times New Roman"/>
          <w:sz w:val="24"/>
        </w:rPr>
      </w:pPr>
      <w:r>
        <w:rPr>
          <w:rFonts w:hint="eastAsia" w:ascii="Times New Roman" w:hAnsi="宋体" w:eastAsia="宋体" w:cs="Times New Roman"/>
          <w:sz w:val="24"/>
          <w:lang w:eastAsia="zh-CN"/>
        </w:rPr>
        <w:t>六、</w:t>
      </w:r>
      <w:r>
        <w:rPr>
          <w:rFonts w:hint="eastAsia" w:ascii="Times New Roman" w:hAnsi="宋体" w:eastAsia="宋体" w:cs="Times New Roman"/>
          <w:sz w:val="24"/>
        </w:rPr>
        <w:t>质量保证</w:t>
      </w:r>
    </w:p>
    <w:p>
      <w:pPr>
        <w:tabs>
          <w:tab w:val="left" w:pos="840"/>
        </w:tabs>
        <w:spacing w:line="360" w:lineRule="auto"/>
        <w:ind w:firstLine="420" w:firstLineChars="175"/>
        <w:rPr>
          <w:rFonts w:hint="eastAsia" w:ascii="Times New Roman" w:hAnsi="宋体" w:eastAsia="宋体" w:cs="Times New Roman"/>
          <w:sz w:val="24"/>
          <w:lang w:val="en-US" w:eastAsia="zh-CN"/>
        </w:rPr>
      </w:pPr>
      <w:r>
        <w:rPr>
          <w:rFonts w:hint="eastAsia" w:ascii="Times New Roman" w:hAnsi="宋体" w:eastAsia="宋体" w:cs="Times New Roman"/>
          <w:sz w:val="24"/>
          <w:lang w:val="en-US" w:eastAsia="zh-CN"/>
        </w:rPr>
        <w:t>1、本项目质保期____________年</w:t>
      </w:r>
    </w:p>
    <w:p>
      <w:pPr>
        <w:tabs>
          <w:tab w:val="left" w:pos="840"/>
        </w:tabs>
        <w:spacing w:line="360" w:lineRule="auto"/>
        <w:ind w:firstLine="420" w:firstLineChars="175"/>
        <w:rPr>
          <w:rFonts w:hint="eastAsia" w:ascii="Times New Roman" w:hAnsi="宋体" w:eastAsia="宋体" w:cs="Times New Roman"/>
          <w:sz w:val="24"/>
          <w:lang w:val="zh-CN"/>
        </w:rPr>
      </w:pPr>
      <w:r>
        <w:rPr>
          <w:rFonts w:hint="eastAsia" w:ascii="Times New Roman" w:hAnsi="宋体" w:eastAsia="宋体" w:cs="Times New Roman"/>
          <w:sz w:val="24"/>
          <w:lang w:val="en-US"/>
        </w:rPr>
        <w:t>2、</w:t>
      </w:r>
      <w:r>
        <w:rPr>
          <w:rFonts w:hint="eastAsia" w:ascii="Times New Roman" w:hAnsi="宋体" w:eastAsia="宋体" w:cs="Times New Roman"/>
          <w:sz w:val="24"/>
          <w:lang w:val="zh-CN"/>
        </w:rPr>
        <w:t>本次</w:t>
      </w:r>
      <w:r>
        <w:rPr>
          <w:rFonts w:hint="eastAsia" w:hAnsi="宋体" w:cs="Times New Roman"/>
          <w:sz w:val="24"/>
          <w:lang w:val="zh-CN"/>
        </w:rPr>
        <w:t>陕西省中医医院国家中医紧急医学救援队伍能力建设项目</w:t>
      </w:r>
      <w:r>
        <w:rPr>
          <w:rFonts w:hint="eastAsia" w:ascii="Times New Roman" w:hAnsi="宋体" w:eastAsia="宋体" w:cs="Times New Roman"/>
          <w:sz w:val="24"/>
          <w:lang w:val="zh-CN"/>
        </w:rPr>
        <w:t>应符合国家有关规范， 确保达到最佳状态。</w:t>
      </w:r>
    </w:p>
    <w:p>
      <w:pPr>
        <w:tabs>
          <w:tab w:val="left" w:pos="840"/>
        </w:tabs>
        <w:spacing w:line="360" w:lineRule="auto"/>
        <w:ind w:firstLine="420" w:firstLineChars="175"/>
        <w:rPr>
          <w:rFonts w:hint="eastAsia" w:ascii="Times New Roman" w:hAnsi="宋体" w:eastAsia="宋体" w:cs="Times New Roman"/>
          <w:sz w:val="24"/>
          <w:lang w:val="zh-CN"/>
        </w:rPr>
      </w:pPr>
      <w:r>
        <w:rPr>
          <w:rFonts w:hint="eastAsia" w:ascii="Times New Roman" w:hAnsi="宋体" w:eastAsia="宋体" w:cs="Times New Roman"/>
          <w:sz w:val="24"/>
          <w:lang w:val="en-US"/>
        </w:rPr>
        <w:t>3</w:t>
      </w:r>
      <w:r>
        <w:rPr>
          <w:rFonts w:hint="eastAsia" w:ascii="Times New Roman" w:hAnsi="宋体" w:eastAsia="宋体" w:cs="Times New Roman"/>
          <w:sz w:val="24"/>
          <w:lang w:val="zh-CN"/>
        </w:rPr>
        <w:t>、成交供应商应根据服务方案规范及质量要求进行服务工作，并在质保期内、外应对由于产品设计、工艺或材料的缺陷而产生的质量问题负责，采购人在服务过程中起到配合、监督及管理的作用。</w:t>
      </w:r>
    </w:p>
    <w:p>
      <w:pPr>
        <w:tabs>
          <w:tab w:val="left" w:pos="840"/>
        </w:tabs>
        <w:spacing w:line="360" w:lineRule="auto"/>
        <w:ind w:firstLine="420" w:firstLineChars="175"/>
        <w:rPr>
          <w:rFonts w:hint="eastAsia" w:ascii="Times New Roman" w:hAnsi="宋体" w:eastAsia="宋体" w:cs="Times New Roman"/>
          <w:sz w:val="24"/>
          <w:lang w:val="zh-CN"/>
        </w:rPr>
      </w:pPr>
      <w:r>
        <w:rPr>
          <w:rFonts w:hint="eastAsia" w:ascii="Times New Roman" w:hAnsi="宋体" w:eastAsia="宋体" w:cs="Times New Roman"/>
          <w:sz w:val="24"/>
          <w:lang w:val="en-US"/>
        </w:rPr>
        <w:t>4</w:t>
      </w:r>
      <w:r>
        <w:rPr>
          <w:rFonts w:hint="eastAsia" w:ascii="Times New Roman" w:hAnsi="宋体" w:eastAsia="宋体" w:cs="Times New Roman"/>
          <w:sz w:val="24"/>
          <w:lang w:val="zh-CN"/>
        </w:rPr>
        <w:t>、在质保期内，如果发现服务范围、内容和服务质量等存在与合同中任何一项不符，采购人应在最短时间内，以书面形式向成交供应商提出索赔，同时通告采购代理机构。</w:t>
      </w:r>
    </w:p>
    <w:p>
      <w:pPr>
        <w:spacing w:before="1"/>
        <w:ind w:firstLine="422" w:firstLineChars="175"/>
        <w:rPr>
          <w:rFonts w:ascii="宋体" w:hAnsi="宋体" w:cs="宋体"/>
          <w:b/>
          <w:sz w:val="24"/>
          <w:lang w:bidi="zh-CN"/>
        </w:rPr>
      </w:pPr>
      <w:r>
        <w:rPr>
          <w:rFonts w:hint="eastAsia" w:ascii="宋体" w:hAnsi="宋体" w:cs="宋体"/>
          <w:b/>
          <w:sz w:val="24"/>
          <w:lang w:bidi="zh-CN"/>
        </w:rPr>
        <w:t>七、售后服务</w:t>
      </w:r>
    </w:p>
    <w:p>
      <w:pPr>
        <w:adjustRightInd w:val="0"/>
        <w:snapToGrid w:val="0"/>
        <w:spacing w:line="440" w:lineRule="exact"/>
        <w:ind w:firstLine="420" w:firstLineChars="175"/>
        <w:rPr>
          <w:rFonts w:ascii="宋体" w:hAnsi="宋体" w:cs="宋体"/>
          <w:sz w:val="24"/>
          <w:lang w:val="zh-CN" w:bidi="zh-CN"/>
        </w:rPr>
      </w:pPr>
      <w:r>
        <w:rPr>
          <w:rFonts w:hint="eastAsia" w:ascii="宋体" w:hAnsi="宋体" w:cs="宋体"/>
          <w:sz w:val="24"/>
          <w:lang w:val="zh-CN" w:bidi="zh-CN"/>
        </w:rPr>
        <w:t>以招标文件、投标文件、中标单位澄清表（函）为准。</w:t>
      </w:r>
    </w:p>
    <w:p>
      <w:pPr>
        <w:adjustRightInd w:val="0"/>
        <w:snapToGrid w:val="0"/>
        <w:spacing w:line="440" w:lineRule="exact"/>
        <w:ind w:firstLine="420" w:firstLineChars="175"/>
        <w:rPr>
          <w:rFonts w:ascii="宋体" w:hAnsi="宋体" w:cs="宋体"/>
          <w:kern w:val="0"/>
          <w:sz w:val="24"/>
          <w:lang w:val="zh-CN" w:bidi="zh-CN"/>
        </w:rPr>
      </w:pPr>
      <w:r>
        <w:rPr>
          <w:rFonts w:hint="eastAsia" w:ascii="宋体" w:hAnsi="宋体" w:cs="宋体"/>
          <w:kern w:val="0"/>
          <w:sz w:val="24"/>
          <w:lang w:val="zh-CN" w:bidi="zh-CN"/>
        </w:rPr>
        <w:t>①属于保修范围和内容的项目，承包人应在接到维修通知后，</w:t>
      </w:r>
      <w:r>
        <w:rPr>
          <w:rFonts w:hint="eastAsia" w:ascii="宋体" w:hAnsi="宋体" w:cs="宋体"/>
          <w:kern w:val="0"/>
          <w:sz w:val="24"/>
          <w:lang w:val="en-US" w:bidi="zh-CN"/>
        </w:rPr>
        <w:t>15</w:t>
      </w:r>
      <w:r>
        <w:rPr>
          <w:rFonts w:hint="eastAsia" w:ascii="宋体" w:hAnsi="宋体" w:cs="宋体"/>
          <w:kern w:val="0"/>
          <w:sz w:val="24"/>
          <w:lang w:val="zh-CN" w:bidi="zh-CN"/>
        </w:rPr>
        <w:t>天内派人维修。发生紧急抢修事故（如上水管跑水、爆裂，供电设施漏、断电等），承包人应在接到事故通知后 24 小时内到达事故现场并于 72 小时内完成应急维修。</w:t>
      </w:r>
    </w:p>
    <w:p>
      <w:pPr>
        <w:pStyle w:val="3"/>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val="zh-CN" w:bidi="zh-CN"/>
        </w:rPr>
        <w:t>八、违约责任</w:t>
      </w:r>
    </w:p>
    <w:p>
      <w:pPr>
        <w:keepNext w:val="0"/>
        <w:keepLines w:val="0"/>
        <w:pageBreakBefore w:val="0"/>
        <w:widowControl w:val="0"/>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92"/>
          <w:rFonts w:ascii="宋体" w:hAnsi="宋体" w:cs="Times New Roman"/>
          <w:b w:val="0"/>
          <w:bCs/>
          <w:i w:val="0"/>
          <w:caps w:val="0"/>
          <w:spacing w:val="0"/>
          <w:w w:val="100"/>
          <w:kern w:val="2"/>
          <w:sz w:val="24"/>
          <w:szCs w:val="22"/>
          <w:lang w:val="en-US" w:eastAsia="zh-CN" w:bidi="ar-SA"/>
        </w:rPr>
      </w:pPr>
      <w:r>
        <w:rPr>
          <w:rStyle w:val="92"/>
          <w:rFonts w:hint="eastAsia" w:ascii="宋体" w:hAnsi="宋体" w:cs="Times New Roman"/>
          <w:b w:val="0"/>
          <w:bCs/>
          <w:i w:val="0"/>
          <w:caps w:val="0"/>
          <w:spacing w:val="0"/>
          <w:w w:val="100"/>
          <w:kern w:val="2"/>
          <w:sz w:val="24"/>
          <w:szCs w:val="22"/>
          <w:lang w:val="en-US" w:eastAsia="zh-CN" w:bidi="ar-SA"/>
        </w:rPr>
        <w:t>1</w:t>
      </w:r>
      <w:r>
        <w:rPr>
          <w:rStyle w:val="92"/>
          <w:rFonts w:ascii="宋体" w:hAnsi="宋体" w:cs="Times New Roman"/>
          <w:b w:val="0"/>
          <w:bCs/>
          <w:i w:val="0"/>
          <w:caps w:val="0"/>
          <w:spacing w:val="0"/>
          <w:w w:val="100"/>
          <w:kern w:val="2"/>
          <w:sz w:val="24"/>
          <w:szCs w:val="22"/>
          <w:lang w:val="en-US" w:eastAsia="zh-CN" w:bidi="ar-SA"/>
        </w:rPr>
        <w:t>、合同生效后，甲乙双方应按合同规定认真履约。合同履约责任只涉及合同甲乙双方，不考虑第三方因素。</w:t>
      </w:r>
    </w:p>
    <w:p>
      <w:pPr>
        <w:keepNext w:val="0"/>
        <w:keepLines w:val="0"/>
        <w:pageBreakBefore w:val="0"/>
        <w:widowControl w:val="0"/>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92"/>
          <w:rFonts w:ascii="宋体" w:hAnsi="宋体" w:cs="Times New Roman"/>
          <w:b w:val="0"/>
          <w:bCs/>
          <w:i w:val="0"/>
          <w:caps w:val="0"/>
          <w:spacing w:val="0"/>
          <w:w w:val="100"/>
          <w:kern w:val="2"/>
          <w:sz w:val="24"/>
          <w:szCs w:val="22"/>
          <w:lang w:val="en-US" w:eastAsia="zh-CN" w:bidi="ar-SA"/>
        </w:rPr>
      </w:pPr>
      <w:r>
        <w:rPr>
          <w:rStyle w:val="92"/>
          <w:rFonts w:ascii="宋体" w:hAnsi="宋体" w:cs="Times New Roman"/>
          <w:b w:val="0"/>
          <w:bCs/>
          <w:i w:val="0"/>
          <w:caps w:val="0"/>
          <w:spacing w:val="0"/>
          <w:w w:val="100"/>
          <w:kern w:val="2"/>
          <w:sz w:val="24"/>
          <w:szCs w:val="22"/>
          <w:lang w:val="en-US" w:eastAsia="zh-CN" w:bidi="ar-SA"/>
        </w:rPr>
        <w:t>2、乙方对服务过程中出现的问题推委、拖延，24小时未作出服务响应，应接受甲方的合理处罚。</w:t>
      </w:r>
    </w:p>
    <w:p>
      <w:pPr>
        <w:keepNext w:val="0"/>
        <w:keepLines w:val="0"/>
        <w:pageBreakBefore w:val="0"/>
        <w:widowControl w:val="0"/>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92"/>
          <w:rFonts w:ascii="宋体" w:hAnsi="宋体" w:cs="Times New Roman"/>
          <w:b w:val="0"/>
          <w:bCs/>
          <w:i w:val="0"/>
          <w:caps w:val="0"/>
          <w:spacing w:val="0"/>
          <w:w w:val="100"/>
          <w:kern w:val="2"/>
          <w:sz w:val="24"/>
          <w:szCs w:val="22"/>
          <w:lang w:val="en-US" w:eastAsia="zh-CN" w:bidi="ar-SA"/>
        </w:rPr>
      </w:pPr>
      <w:r>
        <w:rPr>
          <w:rStyle w:val="92"/>
          <w:rFonts w:ascii="宋体" w:hAnsi="宋体" w:cs="Times New Roman"/>
          <w:b w:val="0"/>
          <w:bCs/>
          <w:i w:val="0"/>
          <w:caps w:val="0"/>
          <w:spacing w:val="0"/>
          <w:w w:val="100"/>
          <w:kern w:val="2"/>
          <w:sz w:val="24"/>
          <w:szCs w:val="22"/>
          <w:lang w:val="en-US" w:eastAsia="zh-CN" w:bidi="ar-SA"/>
        </w:rPr>
        <w:t>3、由于乙方原因不能履行合同服务项目，或履行合同质效达不到规定，甲方有权聘请第三方公司执行合同内所列项目，有权终止合同。</w:t>
      </w:r>
    </w:p>
    <w:p>
      <w:pPr>
        <w:pStyle w:val="3"/>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val="zh-CN" w:bidi="zh-CN"/>
        </w:rPr>
        <w:t>九、验收</w:t>
      </w:r>
    </w:p>
    <w:p>
      <w:pPr>
        <w:pStyle w:val="3"/>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验收：验收须以合同、招标文件、投标文件、澄清、及国家相应的标准、规范等为依据进行验收。</w:t>
      </w:r>
    </w:p>
    <w:p>
      <w:pPr>
        <w:pStyle w:val="3"/>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val="zh-CN" w:bidi="zh-CN"/>
        </w:rPr>
        <w:t>十、合同争议解决的方式</w:t>
      </w:r>
    </w:p>
    <w:p>
      <w:pPr>
        <w:pStyle w:val="3"/>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合同执行中发生争议的，当事人双方应协商解决，协商达不成一致时，可向人民法院提请诉讼。</w:t>
      </w:r>
    </w:p>
    <w:p>
      <w:pPr>
        <w:pStyle w:val="3"/>
        <w:spacing w:before="1" w:line="374" w:lineRule="auto"/>
        <w:ind w:firstLine="482" w:firstLineChars="200"/>
        <w:rPr>
          <w:rFonts w:ascii="宋体" w:hAnsi="宋体" w:cs="宋体"/>
          <w:b/>
          <w:bCs/>
          <w:color w:val="000000"/>
          <w:szCs w:val="22"/>
          <w:lang w:val="zh-CN" w:bidi="zh-CN"/>
        </w:rPr>
      </w:pPr>
      <w:r>
        <w:rPr>
          <w:rFonts w:hint="eastAsia" w:ascii="宋体" w:hAnsi="宋体" w:cs="宋体"/>
          <w:b/>
          <w:bCs/>
          <w:color w:val="000000"/>
          <w:szCs w:val="22"/>
          <w:lang w:val="zh-CN" w:bidi="zh-CN"/>
        </w:rPr>
        <w:t>十一、其他事项</w:t>
      </w:r>
    </w:p>
    <w:p>
      <w:pPr>
        <w:pStyle w:val="3"/>
        <w:spacing w:before="1" w:line="374" w:lineRule="auto"/>
        <w:ind w:firstLine="480" w:firstLineChars="200"/>
        <w:rPr>
          <w:rFonts w:ascii="宋体" w:hAnsi="宋体" w:cs="宋体"/>
          <w:color w:val="000000"/>
          <w:szCs w:val="22"/>
          <w:lang w:val="zh-CN" w:bidi="zh-CN"/>
        </w:rPr>
      </w:pPr>
      <w:bookmarkStart w:id="70" w:name="第四章__竞争性磋商内容及服务要求"/>
      <w:bookmarkEnd w:id="70"/>
      <w:bookmarkStart w:id="71" w:name="_bookmark3"/>
      <w:bookmarkEnd w:id="71"/>
      <w:r>
        <w:rPr>
          <w:rFonts w:hint="eastAsia" w:ascii="宋体" w:hAnsi="宋体" w:cs="宋体"/>
          <w:color w:val="000000"/>
          <w:szCs w:val="22"/>
          <w:lang w:bidi="zh-CN"/>
        </w:rPr>
        <w:t>1、</w:t>
      </w:r>
      <w:r>
        <w:rPr>
          <w:rFonts w:hint="eastAsia" w:ascii="宋体" w:hAnsi="宋体" w:cs="宋体"/>
          <w:color w:val="000000"/>
          <w:szCs w:val="22"/>
          <w:lang w:val="zh-CN" w:bidi="zh-CN"/>
        </w:rPr>
        <w:t>本合同乙方在任何情况下都不得全部或部分转让其应履行的合同义务，乙方不得将本合同分包给他人。</w:t>
      </w:r>
    </w:p>
    <w:p>
      <w:pPr>
        <w:pStyle w:val="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2、</w:t>
      </w:r>
      <w:r>
        <w:rPr>
          <w:rFonts w:hint="eastAsia" w:ascii="宋体" w:hAnsi="宋体" w:cs="宋体"/>
          <w:color w:val="000000"/>
          <w:szCs w:val="22"/>
          <w:lang w:val="zh-CN" w:bidi="zh-CN"/>
        </w:rPr>
        <w:t>在执行本合同的过程中，所有经双方签署确认的文件（包括会议纪要、补充合同、合同修改书、往来信函等）均为本合同的有效组成部分，其生效日期为双方签字盖章或确认之日期。</w:t>
      </w:r>
    </w:p>
    <w:p>
      <w:pPr>
        <w:pStyle w:val="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3、</w:t>
      </w:r>
      <w:r>
        <w:rPr>
          <w:rFonts w:hint="eastAsia" w:ascii="宋体" w:hAnsi="宋体" w:cs="宋体"/>
          <w:color w:val="000000"/>
          <w:szCs w:val="22"/>
          <w:lang w:val="zh-CN" w:bidi="zh-CN"/>
        </w:rPr>
        <w:t>合</w:t>
      </w:r>
      <w:r>
        <w:rPr>
          <w:rFonts w:ascii="宋体" w:hAnsi="宋体" w:cs="宋体"/>
          <w:color w:val="000000"/>
          <w:szCs w:val="22"/>
          <w:lang w:val="zh-CN" w:bidi="zh-CN"/>
        </w:rPr>
        <w:t>同一式</w:t>
      </w:r>
      <w:r>
        <w:rPr>
          <w:rFonts w:hint="eastAsia" w:ascii="宋体" w:hAnsi="宋体" w:cs="宋体"/>
          <w:color w:val="000000"/>
          <w:szCs w:val="22"/>
          <w:lang w:bidi="zh-CN"/>
        </w:rPr>
        <w:t>八</w:t>
      </w:r>
      <w:r>
        <w:rPr>
          <w:rFonts w:ascii="宋体" w:hAnsi="宋体" w:cs="宋体"/>
          <w:color w:val="000000"/>
          <w:szCs w:val="22"/>
          <w:lang w:val="zh-CN" w:bidi="zh-CN"/>
        </w:rPr>
        <w:t>份，采购人</w:t>
      </w:r>
      <w:r>
        <w:rPr>
          <w:rFonts w:hint="eastAsia" w:ascii="宋体" w:hAnsi="宋体" w:cs="宋体"/>
          <w:color w:val="000000"/>
          <w:szCs w:val="22"/>
          <w:lang w:val="zh-CN" w:bidi="zh-CN"/>
        </w:rPr>
        <w:t>肆</w:t>
      </w:r>
      <w:r>
        <w:rPr>
          <w:rFonts w:ascii="宋体" w:hAnsi="宋体" w:cs="宋体"/>
          <w:color w:val="000000"/>
          <w:szCs w:val="22"/>
          <w:lang w:val="zh-CN" w:bidi="zh-CN"/>
        </w:rPr>
        <w:t>份，中标供应商</w:t>
      </w:r>
      <w:r>
        <w:rPr>
          <w:rFonts w:hint="eastAsia" w:ascii="宋体" w:hAnsi="宋体" w:cs="宋体"/>
          <w:color w:val="000000"/>
          <w:szCs w:val="22"/>
          <w:lang w:val="zh-CN" w:bidi="zh-CN"/>
        </w:rPr>
        <w:t>贰份</w:t>
      </w:r>
      <w:r>
        <w:rPr>
          <w:rFonts w:ascii="宋体" w:hAnsi="宋体" w:cs="宋体"/>
          <w:color w:val="000000"/>
          <w:szCs w:val="22"/>
          <w:lang w:val="zh-CN" w:bidi="zh-CN"/>
        </w:rPr>
        <w:t>、</w:t>
      </w:r>
      <w:r>
        <w:rPr>
          <w:rFonts w:hint="eastAsia" w:ascii="宋体" w:hAnsi="宋体" w:cs="宋体"/>
          <w:color w:val="000000"/>
          <w:szCs w:val="22"/>
          <w:lang w:val="zh-CN" w:bidi="zh-CN"/>
        </w:rPr>
        <w:t>招标代理机构壹</w:t>
      </w:r>
      <w:r>
        <w:rPr>
          <w:rFonts w:ascii="宋体" w:hAnsi="宋体" w:cs="宋体"/>
          <w:color w:val="000000"/>
          <w:szCs w:val="22"/>
          <w:lang w:val="zh-CN" w:bidi="zh-CN"/>
        </w:rPr>
        <w:t>份；政府采购监管机构备案一份</w:t>
      </w:r>
    </w:p>
    <w:p>
      <w:pPr>
        <w:pStyle w:val="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4、</w:t>
      </w:r>
      <w:r>
        <w:rPr>
          <w:rFonts w:hint="eastAsia" w:ascii="宋体" w:hAnsi="宋体" w:cs="宋体"/>
          <w:color w:val="000000"/>
          <w:szCs w:val="22"/>
          <w:lang w:val="zh-CN" w:bidi="zh-CN"/>
        </w:rPr>
        <w:t>合同经双方授权代表签字、盖章后生效，生效日以签字日期为准。</w:t>
      </w:r>
    </w:p>
    <w:p>
      <w:pPr>
        <w:pStyle w:val="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5、</w:t>
      </w:r>
      <w:r>
        <w:rPr>
          <w:rFonts w:hint="eastAsia" w:ascii="宋体" w:hAnsi="宋体" w:cs="宋体"/>
          <w:color w:val="000000"/>
          <w:szCs w:val="22"/>
          <w:lang w:val="zh-CN" w:bidi="zh-CN"/>
        </w:rPr>
        <w:t>本合同页眉页脚标有页码，加盖骑缝章，缺页之合同为无效合同。</w:t>
      </w:r>
    </w:p>
    <w:p>
      <w:pPr>
        <w:pStyle w:val="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6、</w:t>
      </w:r>
      <w:r>
        <w:rPr>
          <w:rFonts w:hint="eastAsia" w:ascii="宋体" w:hAnsi="宋体" w:cs="宋体"/>
          <w:color w:val="000000"/>
          <w:szCs w:val="22"/>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7、</w:t>
      </w:r>
      <w:r>
        <w:rPr>
          <w:rFonts w:hint="eastAsia" w:ascii="宋体" w:hAnsi="宋体" w:cs="宋体"/>
          <w:color w:val="000000"/>
          <w:szCs w:val="22"/>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3"/>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8、</w:t>
      </w:r>
      <w:r>
        <w:rPr>
          <w:rFonts w:hint="eastAsia" w:ascii="宋体" w:hAnsi="宋体" w:cs="宋体"/>
          <w:color w:val="000000"/>
          <w:szCs w:val="22"/>
          <w:lang w:val="zh-CN" w:bidi="zh-CN"/>
        </w:rPr>
        <w:t>未详尽之处双方协商解决。</w:t>
      </w:r>
    </w:p>
    <w:tbl>
      <w:tblPr>
        <w:tblStyle w:val="30"/>
        <w:tblW w:w="963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51"/>
        <w:gridCol w:w="50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51" w:type="dxa"/>
            <w:vAlign w:val="center"/>
          </w:tcPr>
          <w:p>
            <w:pPr>
              <w:rPr>
                <w:rFonts w:ascii="宋体" w:hAnsi="宋体" w:cs="宋体"/>
                <w:color w:val="000000"/>
                <w:sz w:val="24"/>
                <w:szCs w:val="24"/>
              </w:rPr>
            </w:pPr>
            <w:r>
              <w:rPr>
                <w:rFonts w:hint="eastAsia" w:ascii="宋体" w:hAnsi="宋体" w:cs="宋体"/>
                <w:color w:val="000000"/>
                <w:sz w:val="24"/>
                <w:szCs w:val="24"/>
              </w:rPr>
              <w:t>甲  方</w:t>
            </w:r>
          </w:p>
        </w:tc>
        <w:tc>
          <w:tcPr>
            <w:tcW w:w="5085" w:type="dxa"/>
            <w:vAlign w:val="center"/>
          </w:tcPr>
          <w:p>
            <w:pPr>
              <w:rPr>
                <w:rFonts w:ascii="宋体" w:hAnsi="宋体" w:cs="宋体"/>
                <w:color w:val="000000"/>
                <w:sz w:val="24"/>
                <w:szCs w:val="24"/>
              </w:rPr>
            </w:pPr>
            <w:r>
              <w:rPr>
                <w:rFonts w:hint="eastAsia" w:ascii="宋体" w:hAnsi="宋体" w:cs="宋体"/>
                <w:color w:val="000000"/>
                <w:sz w:val="24"/>
                <w:szCs w:val="24"/>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4551" w:type="dxa"/>
            <w:vAlign w:val="center"/>
          </w:tcPr>
          <w:p>
            <w:pPr>
              <w:rPr>
                <w:rFonts w:ascii="宋体" w:hAnsi="宋体" w:cs="宋体"/>
                <w:color w:val="000000"/>
                <w:sz w:val="24"/>
                <w:szCs w:val="24"/>
              </w:rPr>
            </w:pPr>
            <w:r>
              <w:rPr>
                <w:rFonts w:hint="eastAsia" w:ascii="宋体" w:hAnsi="宋体" w:cs="宋体"/>
                <w:color w:val="000000"/>
                <w:sz w:val="24"/>
                <w:szCs w:val="24"/>
                <w:lang w:eastAsia="zh-CN"/>
              </w:rPr>
              <w:t>陕西省中医医院</w:t>
            </w:r>
            <w:r>
              <w:rPr>
                <w:rFonts w:hint="eastAsia" w:ascii="宋体" w:hAnsi="宋体" w:cs="宋体"/>
                <w:color w:val="000000"/>
                <w:sz w:val="24"/>
                <w:szCs w:val="24"/>
              </w:rPr>
              <w:t>（盖章）</w:t>
            </w:r>
          </w:p>
        </w:tc>
        <w:tc>
          <w:tcPr>
            <w:tcW w:w="5085" w:type="dxa"/>
            <w:vAlign w:val="center"/>
          </w:tcPr>
          <w:p>
            <w:pPr>
              <w:jc w:val="right"/>
              <w:rPr>
                <w:rFonts w:ascii="宋体" w:hAnsi="宋体" w:cs="宋体"/>
                <w:color w:val="FF0000"/>
                <w:szCs w:val="21"/>
              </w:rPr>
            </w:pPr>
            <w:r>
              <w:rPr>
                <w:rFonts w:hint="eastAsia" w:ascii="宋体" w:hAnsi="宋体" w:cs="宋体"/>
                <w:snapToGrid w:val="0"/>
                <w:sz w:val="24"/>
                <w:szCs w:val="24"/>
              </w:rPr>
              <w:t xml:space="preserve">   </w:t>
            </w:r>
            <w:r>
              <w:rPr>
                <w:rFonts w:hint="eastAsia" w:ascii="宋体" w:hAnsi="宋体" w:cs="宋体"/>
                <w:color w:val="000000"/>
                <w:sz w:val="24"/>
                <w:szCs w:val="24"/>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vAlign w:val="center"/>
          </w:tcPr>
          <w:p>
            <w:pPr>
              <w:spacing w:line="360" w:lineRule="auto"/>
              <w:rPr>
                <w:rFonts w:ascii="宋体" w:hAnsi="宋体" w:cs="宋体"/>
                <w:sz w:val="24"/>
              </w:rPr>
            </w:pPr>
            <w:r>
              <w:rPr>
                <w:rFonts w:hint="eastAsia" w:ascii="宋体" w:hAnsi="宋体" w:cs="宋体"/>
                <w:sz w:val="24"/>
              </w:rPr>
              <w:t>地址：</w:t>
            </w:r>
          </w:p>
        </w:tc>
        <w:tc>
          <w:tcPr>
            <w:tcW w:w="5085" w:type="dxa"/>
            <w:vAlign w:val="center"/>
          </w:tcPr>
          <w:p>
            <w:pPr>
              <w:spacing w:line="360" w:lineRule="auto"/>
              <w:rPr>
                <w:rFonts w:ascii="宋体" w:hAnsi="宋体" w:cs="宋体"/>
                <w:sz w:val="24"/>
              </w:rPr>
            </w:pPr>
            <w:r>
              <w:rPr>
                <w:rFonts w:hint="eastAsia" w:ascii="宋体" w:hAnsi="宋体" w:cs="宋体"/>
                <w:sz w:val="24"/>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vAlign w:val="center"/>
          </w:tcPr>
          <w:p>
            <w:pPr>
              <w:spacing w:line="360" w:lineRule="auto"/>
              <w:rPr>
                <w:rFonts w:ascii="宋体" w:hAnsi="宋体" w:cs="宋体"/>
                <w:sz w:val="24"/>
              </w:rPr>
            </w:pPr>
            <w:r>
              <w:rPr>
                <w:rFonts w:hint="eastAsia" w:ascii="宋体" w:hAnsi="宋体" w:cs="宋体"/>
                <w:sz w:val="24"/>
              </w:rPr>
              <w:t>邮编：</w:t>
            </w:r>
          </w:p>
        </w:tc>
        <w:tc>
          <w:tcPr>
            <w:tcW w:w="5085" w:type="dxa"/>
            <w:vAlign w:val="center"/>
          </w:tcPr>
          <w:p>
            <w:pPr>
              <w:spacing w:line="360" w:lineRule="auto"/>
              <w:rPr>
                <w:rFonts w:ascii="宋体" w:hAnsi="宋体" w:cs="宋体"/>
                <w:sz w:val="24"/>
              </w:rPr>
            </w:pPr>
            <w:r>
              <w:rPr>
                <w:rFonts w:hint="eastAsia" w:ascii="宋体" w:hAnsi="宋体" w:cs="宋体"/>
                <w:sz w:val="24"/>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法定代表人：</w:t>
            </w:r>
          </w:p>
        </w:tc>
        <w:tc>
          <w:tcPr>
            <w:tcW w:w="5085" w:type="dxa"/>
            <w:vAlign w:val="center"/>
          </w:tcPr>
          <w:p>
            <w:pPr>
              <w:spacing w:line="360" w:lineRule="auto"/>
              <w:rPr>
                <w:rFonts w:ascii="宋体" w:hAnsi="宋体" w:cs="宋体"/>
                <w:sz w:val="24"/>
              </w:rPr>
            </w:pPr>
            <w:r>
              <w:rPr>
                <w:rFonts w:hint="eastAsia" w:ascii="宋体" w:hAnsi="宋体" w:cs="宋体"/>
                <w:sz w:val="24"/>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tcBorders>
            <w:vAlign w:val="center"/>
          </w:tcPr>
          <w:p>
            <w:pPr>
              <w:spacing w:line="360" w:lineRule="auto"/>
              <w:rPr>
                <w:rFonts w:ascii="宋体" w:hAnsi="宋体" w:cs="宋体"/>
                <w:sz w:val="24"/>
              </w:rPr>
            </w:pPr>
            <w:r>
              <w:rPr>
                <w:rFonts w:hint="eastAsia" w:ascii="宋体" w:hAnsi="宋体" w:cs="宋体"/>
                <w:sz w:val="24"/>
              </w:rPr>
              <w:t>被授权代表：（签字）</w:t>
            </w:r>
          </w:p>
        </w:tc>
        <w:tc>
          <w:tcPr>
            <w:tcW w:w="5085" w:type="dxa"/>
            <w:vAlign w:val="center"/>
          </w:tcPr>
          <w:p>
            <w:pPr>
              <w:spacing w:line="360" w:lineRule="auto"/>
              <w:rPr>
                <w:rFonts w:ascii="宋体" w:hAnsi="宋体" w:cs="宋体"/>
                <w:sz w:val="24"/>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vAlign w:val="center"/>
          </w:tcPr>
          <w:p>
            <w:pPr>
              <w:spacing w:line="360" w:lineRule="auto"/>
              <w:rPr>
                <w:rFonts w:ascii="宋体" w:hAnsi="宋体" w:cs="宋体"/>
                <w:sz w:val="24"/>
              </w:rPr>
            </w:pPr>
            <w:r>
              <w:rPr>
                <w:rFonts w:hint="eastAsia" w:ascii="宋体" w:hAnsi="宋体" w:cs="宋体"/>
                <w:sz w:val="24"/>
              </w:rPr>
              <w:t>电话：</w:t>
            </w:r>
          </w:p>
        </w:tc>
        <w:tc>
          <w:tcPr>
            <w:tcW w:w="5085" w:type="dxa"/>
            <w:vAlign w:val="center"/>
          </w:tcPr>
          <w:p>
            <w:pPr>
              <w:spacing w:line="360" w:lineRule="auto"/>
              <w:rPr>
                <w:rFonts w:ascii="宋体" w:hAnsi="宋体" w:cs="宋体"/>
                <w:sz w:val="24"/>
              </w:rPr>
            </w:pPr>
            <w:r>
              <w:rPr>
                <w:rFonts w:hint="eastAsia" w:ascii="宋体" w:hAnsi="宋体" w:cs="宋体"/>
                <w:sz w:val="24"/>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传真：</w:t>
            </w:r>
          </w:p>
        </w:tc>
        <w:tc>
          <w:tcPr>
            <w:tcW w:w="5085" w:type="dxa"/>
            <w:vAlign w:val="center"/>
          </w:tcPr>
          <w:p>
            <w:pPr>
              <w:spacing w:line="360" w:lineRule="auto"/>
              <w:rPr>
                <w:rFonts w:ascii="宋体" w:hAnsi="宋体" w:cs="宋体"/>
                <w:sz w:val="24"/>
              </w:rPr>
            </w:pPr>
            <w:r>
              <w:rPr>
                <w:rFonts w:hint="eastAsia" w:ascii="宋体" w:hAnsi="宋体" w:cs="宋体"/>
                <w:sz w:val="24"/>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开户银行：</w:t>
            </w:r>
          </w:p>
        </w:tc>
        <w:tc>
          <w:tcPr>
            <w:tcW w:w="5085" w:type="dxa"/>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c>
          <w:tcPr>
            <w:tcW w:w="5085"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4551"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账号:  </w:t>
            </w:r>
          </w:p>
        </w:tc>
        <w:tc>
          <w:tcPr>
            <w:tcW w:w="5085"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rPr>
                <w:rFonts w:ascii="宋体" w:hAnsi="宋体" w:cs="宋体"/>
                <w:sz w:val="24"/>
                <w:lang w:val="zh-CN" w:bidi="zh-CN"/>
              </w:rPr>
            </w:pPr>
            <w:bookmarkStart w:id="72" w:name="_Toc30893"/>
            <w:r>
              <w:rPr>
                <w:rFonts w:hint="eastAsia" w:ascii="宋体" w:hAnsi="宋体" w:cs="Tahoma"/>
                <w:b/>
                <w:sz w:val="24"/>
              </w:rPr>
              <w:t>陕西</w:t>
            </w:r>
            <w:r>
              <w:rPr>
                <w:rFonts w:hint="eastAsia" w:cs="Tahoma"/>
                <w:b/>
                <w:sz w:val="24"/>
              </w:rPr>
              <w:t>卓佲项目管理有限公司</w:t>
            </w:r>
            <w:r>
              <w:rPr>
                <w:rFonts w:hint="eastAsia" w:ascii="宋体" w:hAnsi="宋体" w:cs="宋体"/>
                <w:sz w:val="24"/>
              </w:rPr>
              <w:t>（盖章）</w:t>
            </w:r>
            <w:bookmarkEnd w:id="7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 xml:space="preserve">传真： </w:t>
            </w:r>
            <w:r>
              <w:rPr>
                <w:rFonts w:ascii="宋体" w:hAnsi="宋体" w:cs="Helvetic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636" w:type="dxa"/>
            <w:gridSpan w:val="2"/>
            <w:tcBorders>
              <w:top w:val="single" w:color="auto" w:sz="4" w:space="0"/>
            </w:tcBorders>
            <w:vAlign w:val="center"/>
          </w:tcPr>
          <w:p>
            <w:pPr>
              <w:spacing w:line="360" w:lineRule="auto"/>
              <w:ind w:firstLine="5760" w:firstLineChars="2400"/>
              <w:rPr>
                <w:rFonts w:ascii="宋体" w:hAnsi="宋体" w:cs="宋体"/>
                <w:sz w:val="24"/>
                <w:lang w:val="zh-CN" w:bidi="zh-CN"/>
              </w:rPr>
            </w:pPr>
            <w:r>
              <w:rPr>
                <w:rFonts w:hint="eastAsia" w:ascii="宋体" w:hAnsi="宋体" w:cs="宋体"/>
                <w:sz w:val="24"/>
              </w:rPr>
              <w:t>日期：     年   月   日</w:t>
            </w:r>
          </w:p>
        </w:tc>
      </w:tr>
    </w:tbl>
    <w:p>
      <w:pPr>
        <w:pStyle w:val="4"/>
        <w:keepNext w:val="0"/>
        <w:pageBreakBefore/>
        <w:spacing w:before="319" w:beforeLines="100" w:after="478" w:afterLines="150" w:line="500" w:lineRule="exact"/>
        <w:rPr>
          <w:rFonts w:ascii="宋体" w:hAnsi="宋体" w:cs="宋体"/>
        </w:rPr>
      </w:pPr>
      <w:bookmarkStart w:id="73" w:name="_Toc2234"/>
      <w:bookmarkStart w:id="74" w:name="_Toc26642"/>
      <w:r>
        <w:rPr>
          <w:rFonts w:hint="eastAsia" w:ascii="宋体" w:hAnsi="宋体" w:cs="宋体"/>
          <w:sz w:val="36"/>
          <w:szCs w:val="36"/>
        </w:rPr>
        <w:t>第七部分  投标文件格式</w:t>
      </w:r>
      <w:bookmarkEnd w:id="73"/>
      <w:bookmarkEnd w:id="74"/>
    </w:p>
    <w:p>
      <w:pPr>
        <w:adjustRightInd w:val="0"/>
        <w:snapToGrid w:val="0"/>
        <w:spacing w:line="360" w:lineRule="auto"/>
        <w:jc w:val="left"/>
        <w:rPr>
          <w:rFonts w:ascii="宋体" w:hAnsi="宋体" w:cs="宋体"/>
          <w:b/>
          <w:w w:val="120"/>
          <w:sz w:val="28"/>
          <w:szCs w:val="28"/>
        </w:rPr>
      </w:pPr>
    </w:p>
    <w:p>
      <w:pPr>
        <w:adjustRightInd w:val="0"/>
        <w:snapToGrid w:val="0"/>
        <w:spacing w:line="360" w:lineRule="auto"/>
        <w:jc w:val="left"/>
        <w:rPr>
          <w:rFonts w:ascii="宋体" w:hAnsi="宋体" w:cs="宋体"/>
          <w:b/>
          <w:w w:val="120"/>
          <w:sz w:val="28"/>
          <w:szCs w:val="28"/>
        </w:rPr>
      </w:pPr>
      <w:r>
        <w:rPr>
          <w:rFonts w:hint="eastAsia" w:ascii="宋体" w:hAnsi="宋体" w:cs="宋体"/>
          <w:b/>
          <w:w w:val="120"/>
          <w:sz w:val="28"/>
          <w:szCs w:val="28"/>
        </w:rPr>
        <w:t>项目编号：</w:t>
      </w:r>
      <w:r>
        <w:rPr>
          <w:rFonts w:hint="eastAsia" w:ascii="宋体" w:hAnsi="宋体" w:cs="宋体"/>
          <w:b/>
          <w:w w:val="120"/>
          <w:sz w:val="28"/>
          <w:szCs w:val="28"/>
          <w:highlight w:val="none"/>
          <w:lang w:eastAsia="zh-CN"/>
        </w:rPr>
        <w:t>ZMZB2022SZY-129</w:t>
      </w:r>
      <w:r>
        <w:rPr>
          <w:rFonts w:hint="eastAsia" w:ascii="宋体" w:hAnsi="宋体" w:cs="宋体"/>
          <w:b/>
          <w:w w:val="120"/>
          <w:sz w:val="28"/>
          <w:szCs w:val="28"/>
          <w:highlight w:val="none"/>
        </w:rPr>
        <w:t xml:space="preserve"> </w:t>
      </w:r>
      <w:r>
        <w:rPr>
          <w:rFonts w:hint="eastAsia" w:ascii="宋体" w:hAnsi="宋体" w:cs="宋体"/>
          <w:b/>
          <w:w w:val="120"/>
          <w:sz w:val="28"/>
          <w:szCs w:val="28"/>
        </w:rPr>
        <w:t xml:space="preserve">     （正本或副本）</w:t>
      </w:r>
    </w:p>
    <w:p/>
    <w:p>
      <w:pPr>
        <w:pStyle w:val="10"/>
        <w:rPr>
          <w:rFonts w:ascii="宋体" w:hAnsi="宋体" w:cs="宋体"/>
        </w:rPr>
      </w:pPr>
    </w:p>
    <w:p>
      <w:pPr>
        <w:adjustRightInd w:val="0"/>
        <w:snapToGrid w:val="0"/>
        <w:spacing w:line="360" w:lineRule="auto"/>
        <w:jc w:val="center"/>
        <w:rPr>
          <w:rFonts w:ascii="宋体" w:hAnsi="宋体" w:cs="宋体"/>
          <w:b/>
          <w:sz w:val="56"/>
          <w:szCs w:val="56"/>
        </w:rPr>
      </w:pPr>
    </w:p>
    <w:p>
      <w:pPr>
        <w:adjustRightInd w:val="0"/>
        <w:snapToGrid w:val="0"/>
        <w:spacing w:line="360" w:lineRule="auto"/>
        <w:jc w:val="center"/>
        <w:rPr>
          <w:rFonts w:hint="eastAsia" w:ascii="宋体" w:hAnsi="宋体" w:cs="宋体"/>
          <w:b/>
          <w:sz w:val="56"/>
          <w:szCs w:val="56"/>
          <w:lang w:eastAsia="zh-CN"/>
        </w:rPr>
      </w:pPr>
      <w:r>
        <w:rPr>
          <w:rFonts w:hint="eastAsia" w:ascii="宋体" w:hAnsi="宋体" w:cs="宋体"/>
          <w:b/>
          <w:sz w:val="56"/>
          <w:szCs w:val="56"/>
          <w:lang w:eastAsia="zh-CN"/>
        </w:rPr>
        <w:t>陕西省中医医院</w:t>
      </w:r>
    </w:p>
    <w:p>
      <w:pPr>
        <w:adjustRightInd w:val="0"/>
        <w:snapToGrid w:val="0"/>
        <w:spacing w:line="360" w:lineRule="auto"/>
        <w:jc w:val="center"/>
        <w:rPr>
          <w:rFonts w:ascii="宋体" w:hAnsi="宋体" w:cs="宋体"/>
          <w:b/>
          <w:i/>
          <w:sz w:val="48"/>
        </w:rPr>
      </w:pPr>
      <w:r>
        <w:rPr>
          <w:rFonts w:hint="eastAsia" w:ascii="宋体" w:hAnsi="宋体" w:cs="宋体"/>
          <w:b/>
          <w:sz w:val="56"/>
          <w:szCs w:val="56"/>
          <w:lang w:eastAsia="zh-CN"/>
        </w:rPr>
        <w:t>国家中医紧急医学救援队伍能力建设项目</w:t>
      </w:r>
    </w:p>
    <w:p>
      <w:pPr>
        <w:snapToGrid w:val="0"/>
        <w:spacing w:line="480" w:lineRule="auto"/>
        <w:ind w:firstLine="2891" w:firstLineChars="400"/>
        <w:rPr>
          <w:rFonts w:hint="eastAsia" w:ascii="宋体" w:hAnsi="宋体" w:cs="宋体"/>
          <w:b/>
          <w:bCs/>
          <w:sz w:val="72"/>
          <w:szCs w:val="72"/>
        </w:rPr>
      </w:pPr>
    </w:p>
    <w:p>
      <w:pPr>
        <w:snapToGrid w:val="0"/>
        <w:spacing w:line="480" w:lineRule="auto"/>
        <w:ind w:firstLine="2891" w:firstLineChars="400"/>
        <w:rPr>
          <w:rFonts w:ascii="宋体" w:hAnsi="宋体" w:cs="宋体"/>
          <w:b/>
          <w:bCs/>
          <w:sz w:val="72"/>
          <w:szCs w:val="72"/>
        </w:rPr>
      </w:pPr>
      <w:r>
        <w:rPr>
          <w:rFonts w:hint="eastAsia" w:ascii="宋体" w:hAnsi="宋体" w:cs="宋体"/>
          <w:b/>
          <w:bCs/>
          <w:sz w:val="72"/>
          <w:szCs w:val="72"/>
        </w:rPr>
        <w:t>投标文件</w:t>
      </w:r>
    </w:p>
    <w:p>
      <w:pPr>
        <w:snapToGrid w:val="0"/>
        <w:spacing w:line="480" w:lineRule="auto"/>
        <w:jc w:val="left"/>
        <w:rPr>
          <w:rFonts w:hint="eastAsia" w:ascii="宋体" w:hAnsi="宋体" w:cs="宋体"/>
          <w:sz w:val="32"/>
          <w:szCs w:val="32"/>
          <w:lang w:val="zh-CN"/>
        </w:rPr>
      </w:pPr>
    </w:p>
    <w:p>
      <w:pPr>
        <w:snapToGrid w:val="0"/>
        <w:spacing w:line="480" w:lineRule="auto"/>
        <w:jc w:val="left"/>
        <w:rPr>
          <w:rFonts w:hint="eastAsia" w:ascii="宋体" w:hAnsi="宋体" w:cs="宋体"/>
          <w:sz w:val="32"/>
          <w:szCs w:val="32"/>
        </w:rPr>
      </w:pPr>
      <w:r>
        <w:rPr>
          <w:rFonts w:hint="eastAsia" w:ascii="宋体" w:hAnsi="宋体" w:cs="宋体"/>
          <w:sz w:val="32"/>
          <w:szCs w:val="32"/>
          <w:lang w:val="zh-CN"/>
        </w:rPr>
        <w:t>供应商（单位名称）：</w:t>
      </w:r>
      <w:r>
        <w:rPr>
          <w:rFonts w:hint="eastAsia" w:ascii="宋体" w:hAnsi="宋体" w:cs="宋体"/>
          <w:sz w:val="32"/>
          <w:szCs w:val="32"/>
        </w:rPr>
        <w:t>___________</w:t>
      </w:r>
    </w:p>
    <w:p>
      <w:pPr>
        <w:snapToGrid w:val="0"/>
        <w:spacing w:line="480" w:lineRule="auto"/>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r>
        <w:rPr>
          <w:rFonts w:hint="eastAsia" w:ascii="宋体" w:hAnsi="宋体" w:cs="宋体"/>
          <w:sz w:val="32"/>
          <w:szCs w:val="32"/>
        </w:rPr>
        <w:t>__________________</w:t>
      </w:r>
    </w:p>
    <w:p>
      <w:pPr>
        <w:pageBreakBefore/>
        <w:spacing w:before="319" w:beforeLines="100" w:after="478" w:afterLines="150" w:line="500" w:lineRule="exact"/>
        <w:ind w:firstLine="723" w:firstLineChars="200"/>
        <w:jc w:val="center"/>
        <w:rPr>
          <w:rFonts w:ascii="宋体" w:hAnsi="宋体" w:cs="宋体"/>
          <w:b/>
          <w:sz w:val="50"/>
        </w:rPr>
      </w:pPr>
      <w:r>
        <w:rPr>
          <w:rFonts w:hint="eastAsia" w:ascii="宋体" w:hAnsi="宋体" w:cs="宋体"/>
          <w:b/>
          <w:sz w:val="36"/>
          <w:szCs w:val="36"/>
        </w:rPr>
        <w:t>目 录</w:t>
      </w:r>
    </w:p>
    <w:p>
      <w:pPr>
        <w:pStyle w:val="16"/>
        <w:snapToGrid w:val="0"/>
        <w:spacing w:line="480" w:lineRule="auto"/>
        <w:ind w:firstLine="562" w:firstLineChars="200"/>
        <w:jc w:val="left"/>
        <w:rPr>
          <w:rFonts w:hAnsi="宋体" w:cs="宋体"/>
          <w:b/>
          <w:bCs/>
          <w:sz w:val="28"/>
          <w:szCs w:val="28"/>
        </w:rPr>
      </w:pPr>
      <w:r>
        <w:rPr>
          <w:rFonts w:hint="eastAsia" w:hAnsi="宋体" w:cs="宋体"/>
          <w:b/>
          <w:bCs/>
          <w:sz w:val="28"/>
          <w:szCs w:val="28"/>
        </w:rPr>
        <w:t>第一部分   投标函</w:t>
      </w:r>
    </w:p>
    <w:p>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第二部分   报价一览表</w:t>
      </w:r>
    </w:p>
    <w:p>
      <w:pPr>
        <w:pStyle w:val="16"/>
        <w:snapToGrid w:val="0"/>
        <w:spacing w:line="480" w:lineRule="auto"/>
        <w:ind w:firstLine="562" w:firstLineChars="200"/>
        <w:jc w:val="left"/>
        <w:rPr>
          <w:rFonts w:hAnsi="宋体" w:cs="宋体"/>
          <w:b/>
          <w:kern w:val="0"/>
          <w:sz w:val="28"/>
          <w:szCs w:val="28"/>
        </w:rPr>
      </w:pPr>
      <w:r>
        <w:rPr>
          <w:rFonts w:hint="eastAsia" w:hAnsi="宋体" w:cs="宋体"/>
          <w:b/>
          <w:bCs/>
          <w:sz w:val="28"/>
          <w:szCs w:val="28"/>
        </w:rPr>
        <w:t xml:space="preserve">第三部分   </w:t>
      </w:r>
      <w:r>
        <w:rPr>
          <w:rFonts w:hint="eastAsia" w:hAnsi="宋体" w:cs="宋体"/>
          <w:b/>
          <w:kern w:val="0"/>
          <w:sz w:val="28"/>
          <w:szCs w:val="28"/>
        </w:rPr>
        <w:t>商务及技术响应说明</w:t>
      </w:r>
    </w:p>
    <w:p>
      <w:pPr>
        <w:pStyle w:val="16"/>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第四部分   </w:t>
      </w:r>
      <w:r>
        <w:rPr>
          <w:rFonts w:hint="eastAsia" w:hAnsi="宋体" w:cs="宋体"/>
          <w:b/>
          <w:sz w:val="28"/>
          <w:szCs w:val="28"/>
        </w:rPr>
        <w:t>供应商资格要求</w:t>
      </w:r>
    </w:p>
    <w:p>
      <w:pPr>
        <w:pStyle w:val="16"/>
        <w:snapToGrid w:val="0"/>
        <w:spacing w:line="480" w:lineRule="auto"/>
        <w:ind w:firstLine="562" w:firstLineChars="200"/>
        <w:jc w:val="left"/>
        <w:rPr>
          <w:rFonts w:hAnsi="宋体" w:cs="宋体"/>
          <w:b/>
          <w:sz w:val="28"/>
          <w:szCs w:val="28"/>
        </w:rPr>
      </w:pPr>
      <w:r>
        <w:rPr>
          <w:rFonts w:hint="eastAsia" w:hAnsi="宋体" w:cs="宋体"/>
          <w:b/>
          <w:sz w:val="28"/>
          <w:szCs w:val="28"/>
        </w:rPr>
        <w:t>第五部分   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第七部分   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   供应商认为有必要说明的其他问题</w:t>
      </w:r>
    </w:p>
    <w:p>
      <w:pPr>
        <w:rPr>
          <w:rFonts w:ascii="宋体" w:hAnsi="宋体" w:cs="宋体"/>
        </w:rPr>
      </w:pPr>
    </w:p>
    <w:p>
      <w:pPr>
        <w:pStyle w:val="5"/>
        <w:pageBreakBefore/>
        <w:spacing w:before="319" w:beforeLines="100" w:after="478" w:afterLines="150" w:line="500" w:lineRule="exact"/>
        <w:jc w:val="center"/>
        <w:rPr>
          <w:rFonts w:ascii="宋体" w:hAnsi="宋体" w:cs="宋体"/>
          <w:sz w:val="36"/>
          <w:szCs w:val="36"/>
        </w:rPr>
      </w:pPr>
      <w:bookmarkStart w:id="75" w:name="_Toc28665"/>
      <w:r>
        <w:rPr>
          <w:rFonts w:hint="eastAsia" w:ascii="宋体" w:hAnsi="宋体" w:cs="宋体"/>
          <w:sz w:val="36"/>
          <w:szCs w:val="36"/>
        </w:rPr>
        <w:t>第一部分  投标函</w:t>
      </w:r>
      <w:bookmarkEnd w:id="65"/>
      <w:bookmarkEnd w:id="75"/>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我单位收到编号为：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2、我方提交的投标文件正本______份、副本_______份，电子文档_____份、报价一览表_____份。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4、如果我方在投标后到规定的投标有效期内撤回投标文件及承诺，我们的保证金将被对方没收。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5、同意向贵方提供贵方可能要求的、与本次投标有关的任何证据资料。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6、我方承诺投标有效期为开标后________日历日内有效。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7、所有关于本次投标的函电，请按下列地址联系：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pStyle w:val="5"/>
        <w:numPr>
          <w:ilvl w:val="0"/>
          <w:numId w:val="20"/>
        </w:numPr>
        <w:spacing w:before="319" w:beforeLines="100" w:after="478" w:afterLines="150" w:line="500" w:lineRule="exact"/>
        <w:jc w:val="center"/>
        <w:rPr>
          <w:rFonts w:ascii="宋体" w:hAnsi="宋体" w:cs="宋体"/>
          <w:sz w:val="36"/>
          <w:szCs w:val="36"/>
        </w:rPr>
        <w:sectPr>
          <w:headerReference r:id="rId10" w:type="default"/>
          <w:footerReference r:id="rId11" w:type="default"/>
          <w:pgSz w:w="11906" w:h="16838"/>
          <w:pgMar w:top="1440" w:right="1803" w:bottom="1440" w:left="1803" w:header="851" w:footer="992" w:gutter="0"/>
          <w:pgNumType w:fmt="decimal"/>
          <w:cols w:space="720" w:num="1"/>
          <w:docGrid w:type="lines" w:linePitch="319" w:charSpace="0"/>
        </w:sectPr>
      </w:pPr>
      <w:bookmarkStart w:id="76" w:name="_Toc28494"/>
    </w:p>
    <w:p>
      <w:pPr>
        <w:pStyle w:val="5"/>
        <w:numPr>
          <w:ilvl w:val="0"/>
          <w:numId w:val="20"/>
        </w:numPr>
        <w:spacing w:before="319" w:beforeLines="100" w:after="478" w:afterLines="150" w:line="500" w:lineRule="exact"/>
        <w:jc w:val="center"/>
        <w:rPr>
          <w:rFonts w:ascii="宋体" w:hAnsi="宋体" w:cs="宋体"/>
          <w:sz w:val="36"/>
          <w:szCs w:val="36"/>
        </w:rPr>
      </w:pPr>
      <w:r>
        <w:rPr>
          <w:rFonts w:hint="eastAsia" w:ascii="宋体" w:hAnsi="宋体" w:cs="宋体"/>
          <w:sz w:val="36"/>
          <w:szCs w:val="36"/>
        </w:rPr>
        <w:t xml:space="preserve">  </w:t>
      </w:r>
      <w:bookmarkEnd w:id="76"/>
      <w:bookmarkStart w:id="77" w:name="_Toc525"/>
      <w:r>
        <w:rPr>
          <w:rFonts w:hint="eastAsia" w:ascii="宋体" w:hAnsi="宋体" w:cs="宋体"/>
          <w:sz w:val="36"/>
          <w:szCs w:val="36"/>
        </w:rPr>
        <w:t>报价一览表</w:t>
      </w:r>
      <w:bookmarkEnd w:id="77"/>
    </w:p>
    <w:p>
      <w:pPr>
        <w:keepNext w:val="0"/>
        <w:keepLines w:val="0"/>
        <w:pageBreakBefore w:val="0"/>
        <w:widowControl w:val="0"/>
        <w:kinsoku w:val="0"/>
        <w:wordWrap/>
        <w:overflowPunct/>
        <w:topLinePunct w:val="0"/>
        <w:autoSpaceDE/>
        <w:autoSpaceDN/>
        <w:bidi w:val="0"/>
        <w:adjustRightInd/>
        <w:snapToGrid/>
        <w:spacing w:line="360" w:lineRule="auto"/>
        <w:jc w:val="left"/>
        <w:textAlignment w:val="auto"/>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陕西省中医医院国家中医紧急医学救援队伍能力建设项目</w:t>
      </w:r>
      <w:r>
        <w:rPr>
          <w:rFonts w:hint="eastAsia" w:ascii="宋体" w:hAnsi="宋体" w:cs="宋体"/>
          <w:sz w:val="24"/>
          <w:szCs w:val="24"/>
        </w:rPr>
        <w:t xml:space="preserve">                      </w:t>
      </w:r>
    </w:p>
    <w:p>
      <w:pPr>
        <w:keepNext w:val="0"/>
        <w:keepLines w:val="0"/>
        <w:pageBreakBefore w:val="0"/>
        <w:widowControl w:val="0"/>
        <w:wordWrap/>
        <w:overflowPunct/>
        <w:topLinePunct w:val="0"/>
        <w:autoSpaceDE/>
        <w:autoSpaceDN/>
        <w:bidi w:val="0"/>
        <w:adjustRightInd/>
        <w:snapToGrid/>
        <w:spacing w:line="360" w:lineRule="auto"/>
        <w:textAlignment w:val="auto"/>
        <w:rPr>
          <w:rFonts w:ascii="宋体" w:hAnsi="宋体" w:cs="宋体"/>
        </w:rPr>
      </w:pPr>
      <w:r>
        <w:rPr>
          <w:rFonts w:hint="eastAsia" w:ascii="宋体" w:hAnsi="宋体" w:cs="宋体"/>
          <w:sz w:val="24"/>
          <w:szCs w:val="24"/>
        </w:rPr>
        <w:t xml:space="preserve">单  位：元    </w:t>
      </w:r>
      <w:r>
        <w:rPr>
          <w:rFonts w:hint="eastAsia" w:ascii="宋体" w:hAnsi="宋体" w:cs="宋体"/>
          <w:sz w:val="28"/>
          <w:szCs w:val="28"/>
        </w:rPr>
        <w:t xml:space="preserve">             </w:t>
      </w:r>
    </w:p>
    <w:tbl>
      <w:tblPr>
        <w:tblStyle w:val="3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1978"/>
        <w:gridCol w:w="208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2980" w:type="dxa"/>
            <w:tcBorders>
              <w:tl2br w:val="single" w:color="auto" w:sz="4" w:space="0"/>
            </w:tcBorders>
            <w:vAlign w:val="center"/>
          </w:tcPr>
          <w:p>
            <w:pPr>
              <w:kinsoku w:val="0"/>
              <w:spacing w:line="360" w:lineRule="auto"/>
              <w:ind w:firstLine="1620" w:firstLineChars="67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报价内容</w:t>
            </w:r>
          </w:p>
          <w:p>
            <w:pPr>
              <w:kinsoku w:val="0"/>
              <w:spacing w:line="360" w:lineRule="auto"/>
              <w:jc w:val="center"/>
              <w:rPr>
                <w:rFonts w:hint="eastAsia" w:asciiTheme="minorEastAsia" w:hAnsiTheme="minorEastAsia" w:eastAsiaTheme="minorEastAsia" w:cstheme="minorEastAsia"/>
                <w:sz w:val="24"/>
                <w:szCs w:val="24"/>
              </w:rPr>
            </w:pPr>
          </w:p>
          <w:p>
            <w:pPr>
              <w:kinsoku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投标内容</w:t>
            </w:r>
          </w:p>
        </w:tc>
        <w:tc>
          <w:tcPr>
            <w:tcW w:w="1978" w:type="dxa"/>
            <w:vAlign w:val="center"/>
          </w:tcPr>
          <w:p>
            <w:pPr>
              <w:kinsoku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w:t>
            </w:r>
          </w:p>
          <w:p>
            <w:pPr>
              <w:kinsoku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2086" w:type="dxa"/>
            <w:vAlign w:val="center"/>
          </w:tcPr>
          <w:p>
            <w:pPr>
              <w:kinsoku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交货期</w:t>
            </w:r>
          </w:p>
        </w:tc>
        <w:tc>
          <w:tcPr>
            <w:tcW w:w="1916" w:type="dxa"/>
            <w:vAlign w:val="center"/>
          </w:tcPr>
          <w:p>
            <w:pPr>
              <w:kinsoku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2980" w:type="dxa"/>
            <w:vAlign w:val="center"/>
          </w:tcPr>
          <w:p>
            <w:pPr>
              <w:kinsoku w:val="0"/>
              <w:spacing w:line="48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陕西省中医医院国家中医紧急医学救援队伍能力建设项目</w:t>
            </w:r>
          </w:p>
        </w:tc>
        <w:tc>
          <w:tcPr>
            <w:tcW w:w="1978" w:type="dxa"/>
            <w:vAlign w:val="center"/>
          </w:tcPr>
          <w:p>
            <w:pPr>
              <w:kinsoku w:val="0"/>
              <w:spacing w:line="480" w:lineRule="auto"/>
              <w:jc w:val="left"/>
              <w:rPr>
                <w:rFonts w:hint="eastAsia" w:asciiTheme="minorEastAsia" w:hAnsiTheme="minorEastAsia" w:eastAsiaTheme="minorEastAsia" w:cstheme="minorEastAsia"/>
                <w:sz w:val="24"/>
                <w:szCs w:val="24"/>
              </w:rPr>
            </w:pPr>
          </w:p>
        </w:tc>
        <w:tc>
          <w:tcPr>
            <w:tcW w:w="2086" w:type="dxa"/>
            <w:vAlign w:val="center"/>
          </w:tcPr>
          <w:p>
            <w:pPr>
              <w:kinsoku w:val="0"/>
              <w:spacing w:line="480" w:lineRule="auto"/>
              <w:jc w:val="left"/>
              <w:rPr>
                <w:rFonts w:hint="eastAsia" w:asciiTheme="minorEastAsia" w:hAnsiTheme="minorEastAsia" w:eastAsiaTheme="minorEastAsia" w:cstheme="minorEastAsia"/>
                <w:sz w:val="24"/>
                <w:szCs w:val="24"/>
              </w:rPr>
            </w:pPr>
          </w:p>
        </w:tc>
        <w:tc>
          <w:tcPr>
            <w:tcW w:w="1916" w:type="dxa"/>
            <w:vAlign w:val="center"/>
          </w:tcPr>
          <w:p>
            <w:pPr>
              <w:kinsoku w:val="0"/>
              <w:spacing w:line="480" w:lineRule="auto"/>
              <w:ind w:firstLine="480" w:firstLineChars="200"/>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960" w:type="dxa"/>
            <w:gridSpan w:val="4"/>
            <w:vAlign w:val="center"/>
          </w:tcPr>
          <w:p>
            <w:pPr>
              <w:kinsoku w:val="0"/>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960" w:type="dxa"/>
            <w:gridSpan w:val="4"/>
            <w:vAlign w:val="center"/>
          </w:tcPr>
          <w:p>
            <w:pPr>
              <w:kinsoku w:val="0"/>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备注：表内报价内容以元为单位，精确到小数点后两位；</w:t>
            </w:r>
          </w:p>
        </w:tc>
      </w:tr>
    </w:tbl>
    <w:p>
      <w:pPr>
        <w:widowControl/>
        <w:tabs>
          <w:tab w:val="left" w:pos="4000"/>
        </w:tabs>
        <w:snapToGrid w:val="0"/>
        <w:spacing w:line="300" w:lineRule="auto"/>
        <w:jc w:val="left"/>
        <w:rPr>
          <w:rFonts w:ascii="宋体" w:hAnsi="宋体" w:cs="宋体"/>
          <w:b/>
          <w:bCs/>
          <w:spacing w:val="20"/>
          <w:kern w:val="0"/>
          <w:sz w:val="28"/>
          <w:szCs w:val="28"/>
        </w:rPr>
      </w:pP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注：此表再制作一份原件单独密封递交，供唱标时使用。</w:t>
      </w: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 xml:space="preserve">    请写明大写、小写。</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w:t>
      </w:r>
    </w:p>
    <w:p>
      <w:pPr>
        <w:adjustRightInd w:val="0"/>
        <w:snapToGrid w:val="0"/>
        <w:spacing w:line="480" w:lineRule="auto"/>
        <w:rPr>
          <w:rFonts w:hint="eastAsia" w:ascii="宋体" w:hAnsi="宋体" w:eastAsia="宋体" w:cs="宋体"/>
          <w:b/>
          <w:sz w:val="24"/>
          <w:szCs w:val="24"/>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  _____年_____ 月_____</w:t>
      </w:r>
      <w:r>
        <w:rPr>
          <w:rFonts w:hint="eastAsia" w:ascii="宋体" w:hAnsi="宋体" w:cs="宋体"/>
          <w:sz w:val="24"/>
          <w:szCs w:val="24"/>
          <w:lang w:val="en-US" w:eastAsia="zh-CN"/>
        </w:rPr>
        <w:t>日</w:t>
      </w:r>
    </w:p>
    <w:p>
      <w:pPr>
        <w:pStyle w:val="10"/>
        <w:ind w:firstLine="0"/>
        <w:jc w:val="center"/>
        <w:rPr>
          <w:rFonts w:ascii="宋体" w:hAnsi="宋体" w:cs="宋体"/>
          <w:b/>
          <w:bCs/>
          <w:sz w:val="36"/>
          <w:szCs w:val="36"/>
        </w:rPr>
      </w:pPr>
      <w:bookmarkStart w:id="78" w:name="_Toc3356"/>
      <w:bookmarkStart w:id="79" w:name="_Toc10126"/>
      <w:bookmarkStart w:id="80" w:name="_Toc9034"/>
      <w:r>
        <w:rPr>
          <w:rFonts w:hint="eastAsia" w:ascii="宋体" w:hAnsi="宋体" w:cs="宋体"/>
          <w:b/>
          <w:bCs/>
          <w:sz w:val="36"/>
          <w:szCs w:val="36"/>
        </w:rPr>
        <w:t>分项报价表</w:t>
      </w:r>
    </w:p>
    <w:p>
      <w:pPr>
        <w:keepNext w:val="0"/>
        <w:keepLines w:val="0"/>
        <w:pageBreakBefore w:val="0"/>
        <w:widowControl w:val="0"/>
        <w:kinsoku/>
        <w:wordWrap/>
        <w:overflowPunct/>
        <w:topLinePunct w:val="0"/>
        <w:autoSpaceDE/>
        <w:autoSpaceDN/>
        <w:bidi w:val="0"/>
        <w:adjustRightInd/>
        <w:snapToGrid/>
        <w:spacing w:after="120" w:line="360" w:lineRule="auto"/>
        <w:jc w:val="left"/>
        <w:textAlignment w:val="auto"/>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陕西省中医医院国家中医紧急医学救援队伍能力建设项目</w:t>
      </w:r>
    </w:p>
    <w:p>
      <w:pPr>
        <w:keepNext w:val="0"/>
        <w:keepLines w:val="0"/>
        <w:pageBreakBefore w:val="0"/>
        <w:widowControl w:val="0"/>
        <w:kinsoku/>
        <w:wordWrap/>
        <w:overflowPunct/>
        <w:topLinePunct w:val="0"/>
        <w:autoSpaceDE/>
        <w:autoSpaceDN/>
        <w:bidi w:val="0"/>
        <w:adjustRightInd/>
        <w:snapToGrid/>
        <w:spacing w:after="120" w:line="360" w:lineRule="auto"/>
        <w:jc w:val="left"/>
        <w:textAlignment w:val="auto"/>
        <w:rPr>
          <w:rFonts w:hint="eastAsia" w:ascii="宋体" w:hAnsi="宋体" w:eastAsia="宋体" w:cs="宋体"/>
          <w:sz w:val="24"/>
          <w:szCs w:val="24"/>
          <w:highlight w:val="yellow"/>
          <w:lang w:eastAsia="zh-CN"/>
        </w:rPr>
      </w:pPr>
      <w:r>
        <w:rPr>
          <w:rFonts w:hint="eastAsia" w:ascii="宋体" w:hAnsi="宋体" w:cs="宋体"/>
          <w:sz w:val="24"/>
          <w:szCs w:val="24"/>
        </w:rPr>
        <w:t>项目编号</w:t>
      </w: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ZMZB2022SZY-129</w:t>
      </w:r>
    </w:p>
    <w:tbl>
      <w:tblPr>
        <w:tblStyle w:val="30"/>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rPr>
            </w:pPr>
            <w:r>
              <w:rPr>
                <w:rFonts w:hint="eastAsia" w:ascii="宋体" w:cs="宋体"/>
                <w:sz w:val="22"/>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rPr>
            </w:pPr>
            <w:r>
              <w:rPr>
                <w:rFonts w:hint="eastAsia" w:ascii="宋体" w:cs="宋体"/>
                <w:sz w:val="22"/>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rPr>
            </w:pPr>
            <w:r>
              <w:rPr>
                <w:rFonts w:hint="eastAsia" w:ascii="宋体" w:cs="宋体"/>
                <w:sz w:val="22"/>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rPr>
            </w:pPr>
            <w:r>
              <w:rPr>
                <w:rFonts w:hint="eastAsia" w:ascii="宋体" w:cs="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单价</w:t>
            </w:r>
          </w:p>
          <w:p>
            <w:pPr>
              <w:spacing w:after="120"/>
              <w:jc w:val="center"/>
              <w:rPr>
                <w:rFonts w:ascii="宋体" w:cs="宋体"/>
                <w:bCs/>
                <w:sz w:val="22"/>
              </w:rPr>
            </w:pPr>
            <w:r>
              <w:rPr>
                <w:rFonts w:hint="eastAsia" w:ascii="宋体" w:cs="宋体"/>
                <w:sz w:val="22"/>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rPr>
            </w:pPr>
            <w:r>
              <w:rPr>
                <w:rFonts w:hint="eastAsia" w:ascii="宋体" w:cs="宋体"/>
                <w:bCs/>
                <w:sz w:val="22"/>
              </w:rPr>
              <w:t>总价</w:t>
            </w:r>
          </w:p>
          <w:p>
            <w:pPr>
              <w:spacing w:after="120"/>
              <w:jc w:val="center"/>
              <w:rPr>
                <w:rFonts w:ascii="宋体" w:cs="宋体"/>
                <w:bCs/>
                <w:sz w:val="22"/>
              </w:rPr>
            </w:pPr>
            <w:r>
              <w:rPr>
                <w:rFonts w:hint="eastAsia" w:ascii="宋体" w:cs="宋体"/>
                <w:bCs/>
                <w:sz w:val="22"/>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rPr>
            </w:pPr>
            <w:r>
              <w:rPr>
                <w:rFonts w:hint="eastAsia" w:ascii="宋体" w:cs="宋体"/>
                <w:sz w:val="22"/>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rPr>
            </w:pPr>
            <w:r>
              <w:rPr>
                <w:rFonts w:hint="eastAsia" w:ascii="宋体" w:cs="宋体"/>
                <w:sz w:val="22"/>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z w:val="22"/>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安装调试费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运杂费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rPr>
            </w:pPr>
            <w:r>
              <w:rPr>
                <w:rFonts w:hint="eastAsia" w:ascii="宋体" w:cs="宋体"/>
                <w:sz w:val="22"/>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rPr>
            </w:pPr>
            <w:r>
              <w:rPr>
                <w:rFonts w:hint="eastAsia" w:ascii="宋体" w:cs="宋体"/>
                <w:sz w:val="22"/>
              </w:rPr>
              <w:t>大写：</w:t>
            </w:r>
            <w:r>
              <w:rPr>
                <w:rFonts w:hint="eastAsia" w:ascii="宋体" w:cs="宋体"/>
                <w:sz w:val="22"/>
                <w:u w:val="single"/>
              </w:rPr>
              <w:t xml:space="preserve">                  </w:t>
            </w:r>
            <w:r>
              <w:rPr>
                <w:rFonts w:hint="eastAsia" w:ascii="宋体" w:cs="宋体"/>
                <w:sz w:val="22"/>
              </w:rPr>
              <w:t xml:space="preserve"> 小写：</w:t>
            </w:r>
            <w:r>
              <w:rPr>
                <w:rFonts w:hint="eastAsia" w:ascii="宋体" w:cs="宋体"/>
                <w:sz w:val="22"/>
                <w:u w:val="single"/>
              </w:rPr>
              <w:t xml:space="preserve">    </w:t>
            </w:r>
            <w:r>
              <w:rPr>
                <w:rFonts w:hint="eastAsia" w:ascii="宋体" w:cs="宋体"/>
                <w:sz w:val="22"/>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4"/>
                <w:szCs w:val="24"/>
              </w:rPr>
            </w:pPr>
            <w:r>
              <w:rPr>
                <w:rFonts w:hint="eastAsia" w:ascii="宋体" w:cs="宋体"/>
                <w:sz w:val="24"/>
                <w:szCs w:val="24"/>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4"/>
                <w:szCs w:val="24"/>
              </w:rPr>
            </w:pPr>
            <w:r>
              <w:rPr>
                <w:rFonts w:hint="eastAsia" w:ascii="宋体" w:cs="宋体"/>
                <w:spacing w:val="-6"/>
                <w:sz w:val="24"/>
                <w:szCs w:val="24"/>
              </w:rPr>
              <w:t>保留小数点后两位。</w:t>
            </w:r>
          </w:p>
        </w:tc>
      </w:tr>
    </w:tbl>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sz w:val="24"/>
          <w:szCs w:val="24"/>
          <w:lang w:val="en-US" w:eastAsia="zh-CN"/>
        </w:rPr>
        <w:sectPr>
          <w:headerReference r:id="rId12" w:type="default"/>
          <w:footerReference r:id="rId13"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 _____年_____ 月_____</w:t>
      </w:r>
      <w:r>
        <w:rPr>
          <w:rFonts w:hint="eastAsia" w:ascii="宋体" w:hAnsi="宋体" w:cs="宋体"/>
          <w:sz w:val="24"/>
          <w:szCs w:val="24"/>
          <w:lang w:val="en-US" w:eastAsia="zh-CN"/>
        </w:rPr>
        <w:t>日</w:t>
      </w:r>
    </w:p>
    <w:p>
      <w:pPr>
        <w:pStyle w:val="5"/>
        <w:jc w:val="center"/>
        <w:rPr>
          <w:rFonts w:ascii="宋体" w:hAnsi="宋体" w:cs="宋体"/>
        </w:rPr>
      </w:pPr>
      <w:bookmarkStart w:id="81" w:name="_Toc29551"/>
      <w:r>
        <w:rPr>
          <w:rFonts w:hint="eastAsia" w:ascii="宋体" w:hAnsi="宋体" w:cs="宋体"/>
        </w:rPr>
        <w:t>第三部分</w:t>
      </w:r>
      <w:bookmarkEnd w:id="78"/>
      <w:r>
        <w:rPr>
          <w:rFonts w:hint="eastAsia" w:ascii="宋体" w:hAnsi="宋体" w:cs="宋体"/>
          <w:sz w:val="36"/>
          <w:szCs w:val="36"/>
        </w:rPr>
        <w:t xml:space="preserve">  </w:t>
      </w:r>
      <w:r>
        <w:rPr>
          <w:rFonts w:hint="eastAsia" w:ascii="宋体" w:hAnsi="宋体" w:cs="宋体"/>
        </w:rPr>
        <w:t>商务及技术响应说明</w:t>
      </w:r>
      <w:bookmarkEnd w:id="81"/>
    </w:p>
    <w:p>
      <w:pPr>
        <w:pStyle w:val="10"/>
        <w:ind w:firstLine="0"/>
        <w:rPr>
          <w:rFonts w:ascii="宋体" w:hAnsi="宋体" w:cs="宋体"/>
        </w:rPr>
      </w:pPr>
    </w:p>
    <w:p>
      <w:pPr>
        <w:jc w:val="center"/>
        <w:rPr>
          <w:rFonts w:ascii="宋体" w:hAnsi="宋体" w:cs="宋体"/>
          <w:b/>
          <w:bCs/>
          <w:sz w:val="28"/>
          <w:szCs w:val="32"/>
        </w:rPr>
      </w:pPr>
      <w:r>
        <w:rPr>
          <w:rFonts w:hint="eastAsia" w:ascii="宋体" w:hAnsi="宋体" w:cs="宋体"/>
          <w:b/>
          <w:bCs/>
          <w:sz w:val="28"/>
          <w:szCs w:val="32"/>
        </w:rPr>
        <w:t>商务偏离表</w:t>
      </w:r>
    </w:p>
    <w:tbl>
      <w:tblPr>
        <w:tblStyle w:val="3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6"/>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6"/>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pPr>
              <w:pStyle w:val="16"/>
              <w:spacing w:line="360" w:lineRule="auto"/>
              <w:jc w:val="center"/>
              <w:rPr>
                <w:rFonts w:hAnsi="宋体" w:cs="宋体"/>
                <w:sz w:val="24"/>
                <w:szCs w:val="24"/>
              </w:rPr>
            </w:pPr>
            <w:r>
              <w:rPr>
                <w:rFonts w:hint="eastAsia" w:hAnsi="宋体" w:cs="宋体"/>
                <w:sz w:val="24"/>
                <w:szCs w:val="24"/>
              </w:rPr>
              <w:t>商务要求</w:t>
            </w:r>
          </w:p>
          <w:p>
            <w:pPr>
              <w:pStyle w:val="16"/>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pPr>
              <w:pStyle w:val="16"/>
              <w:spacing w:line="360" w:lineRule="auto"/>
              <w:jc w:val="center"/>
              <w:rPr>
                <w:rFonts w:hAnsi="宋体" w:cs="宋体"/>
                <w:sz w:val="24"/>
                <w:szCs w:val="24"/>
              </w:rPr>
            </w:pPr>
            <w:r>
              <w:rPr>
                <w:rFonts w:hint="eastAsia" w:hAnsi="宋体" w:cs="宋体"/>
                <w:sz w:val="24"/>
                <w:szCs w:val="24"/>
              </w:rPr>
              <w:t>投标文件</w:t>
            </w:r>
          </w:p>
          <w:p>
            <w:pPr>
              <w:pStyle w:val="16"/>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pPr>
              <w:pStyle w:val="16"/>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pPr>
              <w:pStyle w:val="16"/>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vAlign w:val="center"/>
          </w:tcPr>
          <w:p>
            <w:pPr>
              <w:pStyle w:val="16"/>
              <w:spacing w:line="480" w:lineRule="auto"/>
              <w:ind w:firstLine="480" w:firstLineChars="200"/>
              <w:jc w:val="left"/>
              <w:rPr>
                <w:rFonts w:hAnsi="宋体" w:cs="宋体"/>
                <w:sz w:val="24"/>
                <w:szCs w:val="24"/>
              </w:rPr>
            </w:pPr>
          </w:p>
        </w:tc>
        <w:tc>
          <w:tcPr>
            <w:tcW w:w="1938" w:type="dxa"/>
            <w:vAlign w:val="center"/>
          </w:tcPr>
          <w:p>
            <w:pPr>
              <w:pStyle w:val="16"/>
              <w:spacing w:line="480" w:lineRule="auto"/>
              <w:ind w:firstLine="480" w:firstLineChars="200"/>
              <w:jc w:val="left"/>
              <w:rPr>
                <w:rFonts w:hAnsi="宋体" w:cs="宋体"/>
                <w:sz w:val="24"/>
                <w:szCs w:val="24"/>
              </w:rPr>
            </w:pPr>
          </w:p>
        </w:tc>
        <w:tc>
          <w:tcPr>
            <w:tcW w:w="1410" w:type="dxa"/>
            <w:vAlign w:val="center"/>
          </w:tcPr>
          <w:p>
            <w:pPr>
              <w:pStyle w:val="16"/>
              <w:spacing w:line="480" w:lineRule="auto"/>
              <w:ind w:firstLine="480" w:firstLineChars="200"/>
              <w:jc w:val="left"/>
              <w:rPr>
                <w:rFonts w:hAnsi="宋体" w:cs="宋体"/>
                <w:sz w:val="24"/>
                <w:szCs w:val="24"/>
              </w:rPr>
            </w:pPr>
          </w:p>
        </w:tc>
        <w:tc>
          <w:tcPr>
            <w:tcW w:w="1356" w:type="dxa"/>
            <w:vAlign w:val="center"/>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6"/>
              <w:spacing w:line="480" w:lineRule="auto"/>
              <w:jc w:val="left"/>
              <w:rPr>
                <w:rFonts w:hAnsi="宋体" w:cs="宋体"/>
                <w:sz w:val="24"/>
                <w:szCs w:val="24"/>
              </w:rPr>
            </w:pPr>
          </w:p>
        </w:tc>
        <w:tc>
          <w:tcPr>
            <w:tcW w:w="1521" w:type="dxa"/>
          </w:tcPr>
          <w:p>
            <w:pPr>
              <w:pStyle w:val="16"/>
              <w:spacing w:line="480" w:lineRule="auto"/>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bl>
    <w:p>
      <w:pPr>
        <w:pStyle w:val="10"/>
        <w:numPr>
          <w:ilvl w:val="0"/>
          <w:numId w:val="21"/>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10"/>
        <w:numPr>
          <w:ilvl w:val="0"/>
          <w:numId w:val="21"/>
        </w:numPr>
        <w:spacing w:line="360" w:lineRule="auto"/>
        <w:rPr>
          <w:rFonts w:ascii="宋体" w:hAnsi="宋体" w:cs="宋体"/>
          <w:b/>
          <w:bCs/>
          <w:sz w:val="24"/>
          <w:szCs w:val="24"/>
        </w:rPr>
      </w:pP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pPr>
        <w:pStyle w:val="10"/>
        <w:numPr>
          <w:ilvl w:val="0"/>
          <w:numId w:val="21"/>
        </w:numPr>
        <w:spacing w:line="360" w:lineRule="auto"/>
        <w:rPr>
          <w:rFonts w:ascii="宋体" w:hAnsi="宋体" w:cs="宋体"/>
          <w:b/>
          <w:bCs/>
          <w:sz w:val="24"/>
          <w:szCs w:val="24"/>
        </w:rPr>
      </w:pPr>
      <w:r>
        <w:rPr>
          <w:rFonts w:hint="eastAsia" w:ascii="宋体" w:hAnsi="宋体" w:cs="宋体"/>
          <w:b/>
          <w:bCs/>
          <w:sz w:val="24"/>
          <w:szCs w:val="24"/>
        </w:rPr>
        <w:t>该表可扩展。</w:t>
      </w:r>
    </w:p>
    <w:p>
      <w:pPr>
        <w:pStyle w:val="10"/>
        <w:spacing w:line="360" w:lineRule="auto"/>
        <w:ind w:left="140" w:firstLine="0"/>
        <w:rPr>
          <w:rFonts w:ascii="宋体" w:hAnsi="宋体" w:cs="宋体"/>
          <w:b/>
          <w:bCs/>
          <w:sz w:val="28"/>
          <w:szCs w:val="28"/>
        </w:rPr>
      </w:pPr>
      <w:r>
        <w:rPr>
          <w:rFonts w:hint="eastAsia" w:ascii="宋体" w:hAnsi="宋体" w:cs="宋体"/>
          <w:b/>
          <w:bCs/>
          <w:sz w:val="24"/>
          <w:szCs w:val="24"/>
        </w:rPr>
        <w:t>商务条款不允许负偏离；</w:t>
      </w:r>
    </w:p>
    <w:p>
      <w:pPr>
        <w:pStyle w:val="10"/>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sz w:val="24"/>
          <w:szCs w:val="24"/>
          <w:lang w:val="en-US" w:eastAsia="zh-CN"/>
        </w:rPr>
        <w:sectPr>
          <w:headerReference r:id="rId14" w:type="default"/>
          <w:footerReference r:id="rId15"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 _____年_____ 月_____</w:t>
      </w:r>
      <w:r>
        <w:rPr>
          <w:rFonts w:hint="eastAsia" w:ascii="宋体" w:hAnsi="宋体" w:cs="宋体"/>
          <w:sz w:val="24"/>
          <w:szCs w:val="24"/>
          <w:lang w:val="en-US" w:eastAsia="zh-CN"/>
        </w:rPr>
        <w:t>日</w:t>
      </w:r>
    </w:p>
    <w:p>
      <w:pPr>
        <w:jc w:val="center"/>
        <w:rPr>
          <w:rFonts w:ascii="宋体" w:hAnsi="宋体" w:cs="宋体"/>
          <w:b/>
          <w:bCs/>
          <w:sz w:val="28"/>
          <w:szCs w:val="32"/>
        </w:rPr>
      </w:pPr>
      <w:r>
        <w:rPr>
          <w:rFonts w:hint="eastAsia" w:ascii="宋体" w:hAnsi="宋体" w:cs="宋体"/>
          <w:b/>
          <w:bCs/>
          <w:sz w:val="28"/>
          <w:szCs w:val="32"/>
        </w:rPr>
        <w:t>技术偏离表</w:t>
      </w:r>
    </w:p>
    <w:p>
      <w:pPr>
        <w:pStyle w:val="10"/>
        <w:ind w:firstLine="0"/>
        <w:rPr>
          <w:rFonts w:ascii="宋体" w:hAnsi="宋体" w:cs="宋体"/>
        </w:rPr>
      </w:pPr>
    </w:p>
    <w:p>
      <w:pPr>
        <w:rPr>
          <w:rFonts w:ascii="宋体" w:hAnsi="宋体" w:cs="宋体"/>
          <w:sz w:val="24"/>
          <w:szCs w:val="24"/>
        </w:rPr>
      </w:pPr>
    </w:p>
    <w:tbl>
      <w:tblPr>
        <w:tblStyle w:val="3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6"/>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6"/>
              <w:spacing w:line="360" w:lineRule="auto"/>
              <w:jc w:val="center"/>
              <w:rPr>
                <w:rFonts w:hAnsi="宋体" w:cs="宋体"/>
                <w:sz w:val="24"/>
                <w:szCs w:val="24"/>
              </w:rPr>
            </w:pPr>
            <w:r>
              <w:rPr>
                <w:rFonts w:hint="eastAsia" w:hAnsi="宋体" w:cs="宋体"/>
                <w:sz w:val="24"/>
              </w:rPr>
              <w:t>产品名称</w:t>
            </w:r>
          </w:p>
        </w:tc>
        <w:tc>
          <w:tcPr>
            <w:tcW w:w="1600" w:type="dxa"/>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1938" w:type="dxa"/>
            <w:vAlign w:val="center"/>
          </w:tcPr>
          <w:p>
            <w:pPr>
              <w:spacing w:line="500" w:lineRule="exact"/>
              <w:jc w:val="center"/>
              <w:rPr>
                <w:rFonts w:ascii="宋体" w:hAnsi="宋体" w:cs="宋体"/>
                <w:sz w:val="24"/>
              </w:rPr>
            </w:pPr>
            <w:r>
              <w:rPr>
                <w:rFonts w:hint="eastAsia" w:ascii="宋体" w:hAnsi="宋体" w:cs="宋体"/>
                <w:sz w:val="24"/>
              </w:rPr>
              <w:t>投标产品</w:t>
            </w:r>
          </w:p>
          <w:p>
            <w:pPr>
              <w:spacing w:line="500" w:lineRule="exact"/>
              <w:jc w:val="center"/>
              <w:rPr>
                <w:rFonts w:ascii="宋体" w:hAnsi="宋体" w:cs="宋体"/>
                <w:sz w:val="24"/>
                <w:szCs w:val="24"/>
              </w:rPr>
            </w:pPr>
            <w:r>
              <w:rPr>
                <w:rFonts w:hint="eastAsia" w:ascii="宋体" w:hAnsi="宋体" w:cs="宋体"/>
                <w:sz w:val="24"/>
              </w:rPr>
              <w:t>技术指标</w:t>
            </w:r>
          </w:p>
        </w:tc>
        <w:tc>
          <w:tcPr>
            <w:tcW w:w="1410" w:type="dxa"/>
            <w:vAlign w:val="center"/>
          </w:tcPr>
          <w:p>
            <w:pPr>
              <w:spacing w:line="500" w:lineRule="exact"/>
              <w:jc w:val="center"/>
              <w:rPr>
                <w:rFonts w:ascii="宋体" w:hAnsi="宋体" w:cs="宋体"/>
                <w:sz w:val="24"/>
                <w:szCs w:val="24"/>
              </w:rPr>
            </w:pPr>
            <w:r>
              <w:rPr>
                <w:rFonts w:hint="eastAsia" w:ascii="宋体" w:hAnsi="宋体" w:cs="宋体"/>
                <w:sz w:val="24"/>
              </w:rPr>
              <w:t>偏离情况</w:t>
            </w:r>
          </w:p>
        </w:tc>
        <w:tc>
          <w:tcPr>
            <w:tcW w:w="1356" w:type="dxa"/>
            <w:vAlign w:val="center"/>
          </w:tcPr>
          <w:p>
            <w:pPr>
              <w:pStyle w:val="16"/>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vAlign w:val="center"/>
          </w:tcPr>
          <w:p>
            <w:pPr>
              <w:pStyle w:val="16"/>
              <w:spacing w:line="480" w:lineRule="auto"/>
              <w:ind w:firstLine="480" w:firstLineChars="200"/>
              <w:jc w:val="left"/>
              <w:rPr>
                <w:rFonts w:hAnsi="宋体" w:cs="宋体"/>
                <w:sz w:val="24"/>
                <w:szCs w:val="24"/>
              </w:rPr>
            </w:pPr>
          </w:p>
        </w:tc>
        <w:tc>
          <w:tcPr>
            <w:tcW w:w="1938" w:type="dxa"/>
            <w:vAlign w:val="center"/>
          </w:tcPr>
          <w:p>
            <w:pPr>
              <w:pStyle w:val="16"/>
              <w:spacing w:line="480" w:lineRule="auto"/>
              <w:ind w:firstLine="480" w:firstLineChars="200"/>
              <w:jc w:val="left"/>
              <w:rPr>
                <w:rFonts w:hAnsi="宋体" w:cs="宋体"/>
                <w:sz w:val="24"/>
                <w:szCs w:val="24"/>
              </w:rPr>
            </w:pPr>
          </w:p>
        </w:tc>
        <w:tc>
          <w:tcPr>
            <w:tcW w:w="1410" w:type="dxa"/>
            <w:vAlign w:val="center"/>
          </w:tcPr>
          <w:p>
            <w:pPr>
              <w:pStyle w:val="16"/>
              <w:spacing w:line="480" w:lineRule="auto"/>
              <w:ind w:firstLine="480" w:firstLineChars="200"/>
              <w:jc w:val="left"/>
              <w:rPr>
                <w:rFonts w:hAnsi="宋体" w:cs="宋体"/>
                <w:sz w:val="24"/>
                <w:szCs w:val="24"/>
              </w:rPr>
            </w:pPr>
          </w:p>
        </w:tc>
        <w:tc>
          <w:tcPr>
            <w:tcW w:w="1356" w:type="dxa"/>
            <w:vAlign w:val="center"/>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6"/>
              <w:spacing w:line="480" w:lineRule="auto"/>
              <w:ind w:firstLine="480" w:firstLineChars="200"/>
              <w:jc w:val="left"/>
              <w:rPr>
                <w:rFonts w:hAnsi="宋体" w:cs="宋体"/>
                <w:sz w:val="24"/>
                <w:szCs w:val="24"/>
              </w:rPr>
            </w:pPr>
          </w:p>
        </w:tc>
        <w:tc>
          <w:tcPr>
            <w:tcW w:w="1521" w:type="dxa"/>
          </w:tcPr>
          <w:p>
            <w:pPr>
              <w:pStyle w:val="16"/>
              <w:spacing w:line="480" w:lineRule="auto"/>
              <w:ind w:firstLine="480" w:firstLineChars="200"/>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6"/>
              <w:spacing w:line="480" w:lineRule="auto"/>
              <w:jc w:val="left"/>
              <w:rPr>
                <w:rFonts w:hAnsi="宋体" w:cs="宋体"/>
                <w:sz w:val="24"/>
                <w:szCs w:val="24"/>
              </w:rPr>
            </w:pPr>
          </w:p>
        </w:tc>
        <w:tc>
          <w:tcPr>
            <w:tcW w:w="1521" w:type="dxa"/>
          </w:tcPr>
          <w:p>
            <w:pPr>
              <w:pStyle w:val="16"/>
              <w:spacing w:line="480" w:lineRule="auto"/>
              <w:jc w:val="left"/>
              <w:rPr>
                <w:rFonts w:hAnsi="宋体" w:cs="宋体"/>
                <w:sz w:val="24"/>
                <w:szCs w:val="24"/>
              </w:rPr>
            </w:pPr>
          </w:p>
        </w:tc>
        <w:tc>
          <w:tcPr>
            <w:tcW w:w="1600" w:type="dxa"/>
          </w:tcPr>
          <w:p>
            <w:pPr>
              <w:pStyle w:val="16"/>
              <w:spacing w:line="480" w:lineRule="auto"/>
              <w:ind w:firstLine="480" w:firstLineChars="200"/>
              <w:jc w:val="left"/>
              <w:rPr>
                <w:rFonts w:hAnsi="宋体" w:cs="宋体"/>
                <w:sz w:val="24"/>
                <w:szCs w:val="24"/>
              </w:rPr>
            </w:pPr>
          </w:p>
        </w:tc>
        <w:tc>
          <w:tcPr>
            <w:tcW w:w="1938" w:type="dxa"/>
          </w:tcPr>
          <w:p>
            <w:pPr>
              <w:pStyle w:val="16"/>
              <w:spacing w:line="480" w:lineRule="auto"/>
              <w:ind w:firstLine="480" w:firstLineChars="200"/>
              <w:jc w:val="left"/>
              <w:rPr>
                <w:rFonts w:hAnsi="宋体" w:cs="宋体"/>
                <w:sz w:val="24"/>
                <w:szCs w:val="24"/>
              </w:rPr>
            </w:pPr>
          </w:p>
        </w:tc>
        <w:tc>
          <w:tcPr>
            <w:tcW w:w="1410" w:type="dxa"/>
          </w:tcPr>
          <w:p>
            <w:pPr>
              <w:pStyle w:val="16"/>
              <w:spacing w:line="480" w:lineRule="auto"/>
              <w:ind w:firstLine="480" w:firstLineChars="200"/>
              <w:jc w:val="left"/>
              <w:rPr>
                <w:rFonts w:hAnsi="宋体" w:cs="宋体"/>
                <w:sz w:val="24"/>
                <w:szCs w:val="24"/>
              </w:rPr>
            </w:pPr>
          </w:p>
        </w:tc>
        <w:tc>
          <w:tcPr>
            <w:tcW w:w="1356" w:type="dxa"/>
          </w:tcPr>
          <w:p>
            <w:pPr>
              <w:pStyle w:val="16"/>
              <w:spacing w:line="480" w:lineRule="auto"/>
              <w:ind w:firstLine="480" w:firstLineChars="200"/>
              <w:jc w:val="left"/>
              <w:rPr>
                <w:rFonts w:hAnsi="宋体" w:cs="宋体"/>
                <w:sz w:val="24"/>
                <w:szCs w:val="24"/>
              </w:rPr>
            </w:pPr>
          </w:p>
        </w:tc>
      </w:tr>
    </w:tbl>
    <w:p>
      <w:pPr>
        <w:pStyle w:val="10"/>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10"/>
        <w:spacing w:line="360" w:lineRule="auto"/>
        <w:ind w:left="140" w:firstLine="0"/>
        <w:rPr>
          <w:rFonts w:ascii="宋体" w:hAnsi="宋体" w:cs="宋体"/>
          <w:sz w:val="24"/>
          <w:szCs w:val="24"/>
        </w:rPr>
      </w:pPr>
      <w:r>
        <w:rPr>
          <w:rFonts w:hint="eastAsia" w:ascii="宋体" w:hAnsi="宋体" w:cs="宋体"/>
          <w:b/>
          <w:bCs/>
          <w:sz w:val="24"/>
          <w:szCs w:val="24"/>
        </w:rPr>
        <w:t>2、该表必须按照招标文件要求逐条如实填写，根据情况在“偏离情况”项填写正偏离或负偏离或无偏离，在“说明”项填写正偏离或负偏离原因。</w:t>
      </w:r>
    </w:p>
    <w:p>
      <w:pPr>
        <w:pStyle w:val="10"/>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10"/>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sz w:val="28"/>
          <w:szCs w:val="28"/>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eastAsia="宋体" w:cs="宋体"/>
          <w:sz w:val="24"/>
          <w:szCs w:val="24"/>
          <w:lang w:val="en-US" w:eastAsia="zh-CN"/>
        </w:rPr>
        <w:t>日</w:t>
      </w:r>
    </w:p>
    <w:bookmarkEnd w:id="79"/>
    <w:bookmarkEnd w:id="80"/>
    <w:p>
      <w:pPr>
        <w:rPr>
          <w:rFonts w:ascii="宋体" w:hAnsi="宋体" w:cs="宋体"/>
        </w:rPr>
      </w:pPr>
      <w:bookmarkStart w:id="82" w:name="OLE_LINK1"/>
      <w:bookmarkStart w:id="83" w:name="_Toc31390"/>
    </w:p>
    <w:bookmarkEnd w:id="82"/>
    <w:p>
      <w:pPr>
        <w:pStyle w:val="5"/>
        <w:jc w:val="center"/>
        <w:rPr>
          <w:rFonts w:ascii="宋体" w:hAnsi="宋体" w:cs="宋体"/>
          <w:sz w:val="36"/>
          <w:szCs w:val="36"/>
        </w:rPr>
      </w:pPr>
      <w:bookmarkStart w:id="84" w:name="_Toc20201"/>
      <w:bookmarkStart w:id="85" w:name="_Toc8621"/>
      <w:bookmarkStart w:id="86" w:name="_Toc6356"/>
      <w:r>
        <w:rPr>
          <w:rFonts w:hint="eastAsia" w:ascii="宋体" w:hAnsi="宋体" w:cs="宋体"/>
          <w:sz w:val="36"/>
          <w:szCs w:val="36"/>
        </w:rPr>
        <w:t>第四部分  供应商资格要求</w:t>
      </w:r>
      <w:bookmarkEnd w:id="84"/>
      <w:bookmarkEnd w:id="85"/>
      <w:bookmarkEnd w:id="86"/>
    </w:p>
    <w:p>
      <w:pPr>
        <w:rPr>
          <w:rFonts w:ascii="宋体" w:hAnsi="宋体" w:cs="宋体"/>
        </w:rPr>
      </w:pPr>
    </w:p>
    <w:p>
      <w:pPr>
        <w:snapToGrid w:val="0"/>
        <w:spacing w:line="360" w:lineRule="auto"/>
        <w:ind w:right="-199" w:rightChars="-95"/>
        <w:jc w:val="left"/>
        <w:rPr>
          <w:rFonts w:ascii="宋体" w:hAnsi="宋体" w:cs="宋体"/>
          <w:kern w:val="0"/>
          <w:sz w:val="24"/>
          <w:szCs w:val="24"/>
        </w:rPr>
      </w:pPr>
      <w:r>
        <w:rPr>
          <w:rFonts w:hint="eastAsia" w:ascii="宋体" w:hAnsi="宋体" w:cs="宋体"/>
          <w:kern w:val="0"/>
          <w:sz w:val="24"/>
          <w:szCs w:val="24"/>
        </w:rPr>
        <w:t>供应商根据招标文件公告资质要求内容附资质证明文件。</w:t>
      </w:r>
    </w:p>
    <w:p>
      <w:pPr>
        <w:pStyle w:val="3"/>
        <w:rPr>
          <w:rFonts w:ascii="宋体" w:hAnsi="宋体" w:cs="宋体"/>
        </w:rPr>
        <w:sectPr>
          <w:headerReference r:id="rId16"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rPr>
        <w:t xml:space="preserve">                       </w:t>
      </w: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3"/>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3"/>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我单位参与陕西卓佲项目管理有限公司组织________________________(项目名称)公开招标，我公司符合《中华人民共和国政府采购法》规定的供应商资格条件：</w:t>
      </w:r>
    </w:p>
    <w:p>
      <w:pPr>
        <w:numPr>
          <w:ilvl w:val="0"/>
          <w:numId w:val="22"/>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2"/>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2"/>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2"/>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2"/>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2"/>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3"/>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16"/>
        <w:spacing w:line="500" w:lineRule="exact"/>
        <w:jc w:val="left"/>
        <w:rPr>
          <w:rFonts w:hAnsi="宋体" w:cs="宋体"/>
          <w:sz w:val="24"/>
          <w:szCs w:val="24"/>
        </w:rPr>
      </w:pPr>
    </w:p>
    <w:p>
      <w:pPr>
        <w:pStyle w:val="16"/>
        <w:spacing w:line="480" w:lineRule="auto"/>
        <w:jc w:val="left"/>
        <w:rPr>
          <w:rFonts w:hAnsi="宋体" w:cs="宋体"/>
          <w:sz w:val="24"/>
        </w:rPr>
      </w:pPr>
    </w:p>
    <w:p>
      <w:pPr>
        <w:pStyle w:val="16"/>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6"/>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hint="eastAsia" w:ascii="宋体" w:hAnsi="宋体" w:eastAsia="宋体" w:cs="宋体"/>
          <w:sz w:val="28"/>
          <w:szCs w:val="28"/>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eastAsia="宋体" w:cs="宋体"/>
          <w:sz w:val="24"/>
          <w:szCs w:val="24"/>
          <w:lang w:val="en-US" w:eastAsia="zh-CN"/>
        </w:rPr>
        <w:t>日</w:t>
      </w: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32"/>
          <w:szCs w:val="24"/>
        </w:rPr>
      </w:pPr>
      <w:r>
        <w:rPr>
          <w:rFonts w:hint="eastAsia" w:ascii="宋体" w:hAnsi="宋体" w:cs="宋体"/>
          <w:sz w:val="24"/>
          <w:szCs w:val="24"/>
        </w:rPr>
        <w:t>2、财务状况证明：</w:t>
      </w:r>
      <w:r>
        <w:rPr>
          <w:rFonts w:hint="eastAsia" w:ascii="宋体" w:hAnsi="宋体" w:cs="宋体"/>
          <w:sz w:val="24"/>
        </w:rPr>
        <w:t>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税收缴纳证明：提供2021年</w:t>
      </w:r>
      <w:r>
        <w:rPr>
          <w:rFonts w:hint="eastAsia" w:ascii="宋体" w:hAnsi="宋体" w:cs="宋体"/>
          <w:sz w:val="24"/>
          <w:szCs w:val="24"/>
          <w:lang w:val="en-US" w:eastAsia="zh-CN"/>
        </w:rPr>
        <w:t>9</w:t>
      </w:r>
      <w:r>
        <w:rPr>
          <w:rFonts w:hint="eastAsia" w:ascii="宋体" w:hAnsi="宋体" w:eastAsia="宋体" w:cs="宋体"/>
          <w:sz w:val="24"/>
          <w:szCs w:val="24"/>
        </w:rPr>
        <w:t>月以来至少一个月的纳税证明或完税证明，依法免税的单位应提供相关证明材料；</w:t>
      </w:r>
    </w:p>
    <w:p>
      <w:pPr>
        <w:spacing w:line="360" w:lineRule="auto"/>
        <w:ind w:firstLine="480" w:firstLineChars="200"/>
        <w:rPr>
          <w:rFonts w:hint="eastAsia" w:ascii="宋体" w:hAnsi="宋体" w:eastAsia="宋体" w:cs="宋体"/>
          <w:sz w:val="24"/>
          <w:szCs w:val="24"/>
          <w:lang w:val="en-US" w:eastAsia="zh-CN"/>
        </w:rPr>
        <w:sectPr>
          <w:headerReference r:id="rId17" w:type="default"/>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4"/>
          <w:szCs w:val="24"/>
          <w:lang w:val="en-US" w:eastAsia="zh-CN"/>
        </w:rPr>
        <w:t>4、社会保障资金缴纳证明：提供2021年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月以来至少一个月的社会保障资金缴存单据或社保机构开具的社会保险参保缴费情况证明。依法不需要缴纳社会保障资金的供应商应提供相关文件证明；</w:t>
      </w:r>
    </w:p>
    <w:p>
      <w:pPr>
        <w:keepNext/>
        <w:keepLines/>
        <w:spacing w:line="413" w:lineRule="auto"/>
        <w:jc w:val="center"/>
        <w:rPr>
          <w:rFonts w:ascii="宋体" w:hAnsi="宋体" w:cs="宋体"/>
          <w:sz w:val="32"/>
          <w:szCs w:val="24"/>
        </w:rPr>
      </w:pPr>
      <w:r>
        <w:rPr>
          <w:rFonts w:hint="eastAsia" w:ascii="宋体" w:hAnsi="宋体" w:cs="宋体"/>
          <w:sz w:val="32"/>
          <w:szCs w:val="24"/>
          <w:lang w:val="en-US" w:eastAsia="zh-CN"/>
        </w:rPr>
        <w:t>5</w:t>
      </w:r>
      <w:r>
        <w:rPr>
          <w:rFonts w:hint="eastAsia" w:ascii="宋体" w:hAnsi="宋体" w:cs="宋体"/>
          <w:sz w:val="32"/>
          <w:szCs w:val="24"/>
        </w:rPr>
        <w:t>、履行合同所必需的设备和专业技术能力声明（格式）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keepNext w:val="0"/>
        <w:keepLines w:val="0"/>
        <w:pageBreakBefore w:val="0"/>
        <w:widowControl/>
        <w:kinsoku/>
        <w:wordWrap/>
        <w:overflowPunct/>
        <w:topLinePunct w:val="0"/>
        <w:autoSpaceDE/>
        <w:autoSpaceDN/>
        <w:bidi w:val="0"/>
        <w:adjustRightInd/>
        <w:snapToGrid w:val="0"/>
        <w:spacing w:line="480" w:lineRule="auto"/>
        <w:ind w:firstLine="720" w:firstLineChars="300"/>
        <w:jc w:val="left"/>
        <w:textAlignment w:val="auto"/>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6"/>
        <w:spacing w:line="500" w:lineRule="exact"/>
        <w:jc w:val="left"/>
        <w:rPr>
          <w:rFonts w:hAnsi="宋体" w:cs="宋体"/>
          <w:sz w:val="24"/>
          <w:szCs w:val="24"/>
        </w:rPr>
      </w:pPr>
    </w:p>
    <w:p>
      <w:pPr>
        <w:pStyle w:val="16"/>
        <w:spacing w:line="480" w:lineRule="auto"/>
        <w:jc w:val="left"/>
        <w:rPr>
          <w:rFonts w:hAnsi="宋体" w:cs="宋体"/>
          <w:sz w:val="24"/>
        </w:rPr>
      </w:pPr>
    </w:p>
    <w:p>
      <w:pPr>
        <w:pStyle w:val="16"/>
        <w:keepNext w:val="0"/>
        <w:keepLines w:val="0"/>
        <w:pageBreakBefore w:val="0"/>
        <w:widowControl w:val="0"/>
        <w:kinsoku/>
        <w:wordWrap/>
        <w:overflowPunct/>
        <w:topLinePunct w:val="0"/>
        <w:autoSpaceDE/>
        <w:autoSpaceDN/>
        <w:bidi w:val="0"/>
        <w:spacing w:line="480" w:lineRule="auto"/>
        <w:jc w:val="left"/>
        <w:textAlignment w:val="auto"/>
        <w:rPr>
          <w:rFonts w:hint="eastAsia" w:hAnsi="宋体" w:cs="宋体"/>
          <w:sz w:val="28"/>
          <w:szCs w:val="28"/>
        </w:rPr>
      </w:pPr>
      <w:r>
        <w:rPr>
          <w:rFonts w:hint="eastAsia" w:hAnsi="宋体" w:cs="宋体"/>
          <w:sz w:val="24"/>
        </w:rPr>
        <w:t>供应商（单位名称及公章）：</w:t>
      </w:r>
      <w:r>
        <w:rPr>
          <w:rFonts w:hint="eastAsia" w:hAnsi="宋体" w:cs="宋体"/>
          <w:sz w:val="28"/>
          <w:szCs w:val="28"/>
        </w:rPr>
        <w:t>______________________</w:t>
      </w:r>
    </w:p>
    <w:p>
      <w:pPr>
        <w:pStyle w:val="16"/>
        <w:keepNext w:val="0"/>
        <w:keepLines w:val="0"/>
        <w:pageBreakBefore w:val="0"/>
        <w:widowControl w:val="0"/>
        <w:kinsoku/>
        <w:wordWrap/>
        <w:overflowPunct/>
        <w:topLinePunct w:val="0"/>
        <w:autoSpaceDE/>
        <w:autoSpaceDN/>
        <w:bidi w:val="0"/>
        <w:spacing w:line="480" w:lineRule="auto"/>
        <w:jc w:val="left"/>
        <w:textAlignment w:val="auto"/>
        <w:rPr>
          <w:rFonts w:hint="eastAsia" w:ascii="宋体" w:hAnsi="宋体" w:cs="宋体"/>
          <w:kern w:val="0"/>
          <w:sz w:val="24"/>
          <w:szCs w:val="24"/>
        </w:rPr>
      </w:pPr>
      <w:r>
        <w:rPr>
          <w:rFonts w:hint="eastAsia" w:hAnsi="宋体" w:cs="宋体"/>
          <w:sz w:val="24"/>
        </w:rPr>
        <w:t>法定代表人或被授权人（签字或盖章）：</w:t>
      </w:r>
      <w:r>
        <w:rPr>
          <w:rFonts w:hint="eastAsia" w:hAnsi="宋体" w:cs="宋体"/>
          <w:sz w:val="28"/>
          <w:szCs w:val="28"/>
        </w:rPr>
        <w:t>______________________</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sz w:val="28"/>
          <w:szCs w:val="32"/>
        </w:rPr>
      </w:pPr>
      <w:r>
        <w:rPr>
          <w:rFonts w:hint="eastAsia" w:ascii="宋体" w:hAnsi="宋体" w:cs="宋体"/>
          <w:kern w:val="0"/>
          <w:sz w:val="24"/>
          <w:szCs w:val="24"/>
        </w:rPr>
        <w:t>日    期：</w:t>
      </w:r>
      <w:r>
        <w:rPr>
          <w:rFonts w:hint="eastAsia" w:ascii="宋体" w:hAnsi="宋体" w:cs="宋体"/>
          <w:sz w:val="24"/>
          <w:szCs w:val="24"/>
        </w:rPr>
        <w:t xml:space="preserve"> _____年_____ 月____</w:t>
      </w:r>
      <w:r>
        <w:rPr>
          <w:rFonts w:hint="eastAsia" w:ascii="宋体" w:hAnsi="宋体" w:eastAsia="宋体" w:cs="宋体"/>
          <w:sz w:val="24"/>
          <w:szCs w:val="24"/>
        </w:rPr>
        <w:t>_</w:t>
      </w:r>
      <w:r>
        <w:rPr>
          <w:rFonts w:hint="eastAsia" w:ascii="宋体" w:hAnsi="宋体" w:eastAsia="宋体" w:cs="宋体"/>
          <w:sz w:val="24"/>
          <w:szCs w:val="24"/>
          <w:lang w:val="en-US" w:eastAsia="zh-CN"/>
        </w:rPr>
        <w:t>日</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jc w:val="left"/>
        <w:rPr>
          <w:rFonts w:ascii="宋体" w:hAnsi="宋体" w:cs="宋体"/>
          <w:sz w:val="28"/>
          <w:szCs w:val="32"/>
        </w:rPr>
      </w:pPr>
      <w:r>
        <w:rPr>
          <w:rFonts w:hint="eastAsia" w:ascii="宋体" w:hAnsi="宋体" w:cs="宋体"/>
          <w:sz w:val="28"/>
          <w:szCs w:val="32"/>
        </w:rPr>
        <w:tab/>
      </w:r>
    </w:p>
    <w:p>
      <w:pPr>
        <w:pStyle w:val="10"/>
      </w:pPr>
    </w:p>
    <w:p>
      <w:pPr>
        <w:tabs>
          <w:tab w:val="left" w:pos="2235"/>
        </w:tabs>
        <w:jc w:val="left"/>
        <w:rPr>
          <w:rFonts w:ascii="宋体" w:hAnsi="宋体" w:cs="宋体"/>
          <w:sz w:val="28"/>
          <w:szCs w:val="32"/>
        </w:rPr>
      </w:pPr>
      <w:r>
        <w:rPr>
          <w:rFonts w:hint="eastAsia" w:ascii="宋体" w:hAnsi="宋体" w:cs="宋体"/>
          <w:sz w:val="28"/>
          <w:szCs w:val="32"/>
        </w:rPr>
        <w:tab/>
      </w:r>
    </w:p>
    <w:p>
      <w:pPr>
        <w:pStyle w:val="10"/>
        <w:rPr>
          <w:rFonts w:ascii="宋体" w:hAnsi="宋体" w:cs="宋体"/>
          <w:sz w:val="28"/>
          <w:szCs w:val="32"/>
        </w:rPr>
      </w:pPr>
    </w:p>
    <w:p>
      <w:pPr>
        <w:pStyle w:val="16"/>
        <w:rPr>
          <w:rFonts w:hAnsi="宋体" w:cs="宋体"/>
          <w:sz w:val="28"/>
          <w:szCs w:val="32"/>
        </w:rPr>
      </w:pPr>
    </w:p>
    <w:p>
      <w:pPr>
        <w:jc w:val="both"/>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lang w:val="en-US" w:eastAsia="zh-CN"/>
        </w:rPr>
        <w:t>6</w:t>
      </w:r>
      <w:r>
        <w:rPr>
          <w:rFonts w:hint="eastAsia" w:ascii="宋体" w:hAnsi="宋体" w:cs="宋体"/>
          <w:sz w:val="28"/>
          <w:szCs w:val="32"/>
        </w:rPr>
        <w:t>-1法定代表人证明书（格式）</w:t>
      </w:r>
    </w:p>
    <w:tbl>
      <w:tblPr>
        <w:tblStyle w:val="30"/>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rPr>
            </w:pPr>
            <w:r>
              <w:rPr>
                <w:rFonts w:hint="eastAsia" w:ascii="宋体" w:hAnsi="宋体" w:cs="宋体"/>
                <w:kern w:val="0"/>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企</w:t>
            </w:r>
          </w:p>
          <w:p>
            <w:pPr>
              <w:tabs>
                <w:tab w:val="left" w:pos="210"/>
              </w:tabs>
              <w:spacing w:line="360" w:lineRule="auto"/>
              <w:jc w:val="center"/>
              <w:rPr>
                <w:rFonts w:ascii="宋体" w:hAnsi="宋体" w:cs="宋体"/>
                <w:kern w:val="0"/>
              </w:rPr>
            </w:pPr>
            <w:r>
              <w:rPr>
                <w:rFonts w:hint="eastAsia" w:ascii="宋体" w:hAnsi="宋体" w:cs="宋体"/>
                <w:kern w:val="0"/>
              </w:rPr>
              <w:t>业</w:t>
            </w:r>
          </w:p>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企业名称</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法定地址</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邮政编码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工商登记机关</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统一社会信用代码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性别</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职务</w:t>
            </w:r>
          </w:p>
        </w:tc>
        <w:tc>
          <w:tcPr>
            <w:tcW w:w="2340" w:type="dxa"/>
            <w:gridSpan w:val="2"/>
            <w:vAlign w:val="center"/>
          </w:tcPr>
          <w:p>
            <w:pPr>
              <w:tabs>
                <w:tab w:val="left" w:pos="210"/>
              </w:tabs>
              <w:spacing w:line="360" w:lineRule="auto"/>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联系电话</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传真</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p>
            <w:pPr>
              <w:tabs>
                <w:tab w:val="left" w:pos="210"/>
              </w:tabs>
              <w:spacing w:line="360" w:lineRule="auto"/>
              <w:jc w:val="center"/>
              <w:rPr>
                <w:rFonts w:ascii="宋体" w:hAnsi="宋体" w:cs="宋体"/>
                <w:kern w:val="0"/>
              </w:rPr>
            </w:pPr>
            <w:r>
              <w:rPr>
                <w:rFonts w:hint="eastAsia" w:ascii="宋体" w:hAnsi="宋体" w:cs="宋体"/>
                <w:kern w:val="0"/>
              </w:rPr>
              <w:t>身</w:t>
            </w:r>
          </w:p>
          <w:p>
            <w:pPr>
              <w:tabs>
                <w:tab w:val="left" w:pos="210"/>
              </w:tabs>
              <w:spacing w:line="360" w:lineRule="auto"/>
              <w:jc w:val="center"/>
              <w:rPr>
                <w:rFonts w:ascii="宋体" w:hAnsi="宋体" w:cs="宋体"/>
                <w:kern w:val="0"/>
              </w:rPr>
            </w:pPr>
            <w:r>
              <w:rPr>
                <w:rFonts w:hint="eastAsia" w:ascii="宋体" w:hAnsi="宋体" w:cs="宋体"/>
                <w:kern w:val="0"/>
              </w:rPr>
              <w:t>份</w:t>
            </w:r>
          </w:p>
          <w:p>
            <w:pPr>
              <w:tabs>
                <w:tab w:val="left" w:pos="210"/>
              </w:tabs>
              <w:spacing w:line="360" w:lineRule="auto"/>
              <w:jc w:val="center"/>
              <w:rPr>
                <w:rFonts w:ascii="宋体" w:hAnsi="宋体" w:cs="宋体"/>
                <w:kern w:val="0"/>
              </w:rPr>
            </w:pPr>
            <w:r>
              <w:rPr>
                <w:rFonts w:hint="eastAsia" w:ascii="宋体" w:hAnsi="宋体" w:cs="宋体"/>
                <w:kern w:val="0"/>
              </w:rPr>
              <w:t>证</w:t>
            </w:r>
          </w:p>
          <w:p>
            <w:pPr>
              <w:tabs>
                <w:tab w:val="left" w:pos="210"/>
              </w:tabs>
              <w:spacing w:line="360" w:lineRule="auto"/>
              <w:jc w:val="center"/>
              <w:rPr>
                <w:rFonts w:ascii="宋体" w:hAnsi="宋体" w:cs="宋体"/>
                <w:kern w:val="0"/>
              </w:rPr>
            </w:pPr>
            <w:r>
              <w:rPr>
                <w:rFonts w:hint="eastAsia" w:ascii="宋体" w:hAnsi="宋体" w:cs="宋体"/>
                <w:kern w:val="0"/>
              </w:rPr>
              <w:t>复</w:t>
            </w:r>
          </w:p>
          <w:p>
            <w:pPr>
              <w:tabs>
                <w:tab w:val="left" w:pos="210"/>
              </w:tabs>
              <w:spacing w:line="360" w:lineRule="auto"/>
              <w:jc w:val="center"/>
              <w:rPr>
                <w:rFonts w:ascii="宋体" w:hAnsi="宋体" w:cs="宋体"/>
                <w:kern w:val="0"/>
              </w:rPr>
            </w:pPr>
            <w:r>
              <w:rPr>
                <w:rFonts w:hint="eastAsia" w:ascii="宋体" w:hAnsi="宋体" w:cs="宋体"/>
                <w:kern w:val="0"/>
              </w:rPr>
              <w:t>印</w:t>
            </w:r>
          </w:p>
          <w:p>
            <w:pPr>
              <w:tabs>
                <w:tab w:val="left" w:pos="210"/>
              </w:tabs>
              <w:spacing w:line="360" w:lineRule="auto"/>
              <w:jc w:val="center"/>
              <w:rPr>
                <w:rFonts w:ascii="宋体" w:hAnsi="宋体" w:cs="宋体"/>
                <w:kern w:val="0"/>
              </w:rPr>
            </w:pPr>
            <w:r>
              <w:rPr>
                <w:rFonts w:hint="eastAsia" w:ascii="宋体" w:hAnsi="宋体" w:cs="宋体"/>
                <w:kern w:val="0"/>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rPr>
            </w:pPr>
          </w:p>
        </w:tc>
        <w:tc>
          <w:tcPr>
            <w:tcW w:w="4500" w:type="dxa"/>
            <w:gridSpan w:val="3"/>
            <w:vAlign w:val="bottom"/>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（公章）</w:t>
            </w: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adjustRightInd w:val="0"/>
              <w:snapToGrid w:val="0"/>
              <w:spacing w:line="480" w:lineRule="auto"/>
              <w:ind w:firstLine="480" w:firstLineChars="200"/>
              <w:jc w:val="right"/>
              <w:rPr>
                <w:rFonts w:ascii="宋体" w:hAnsi="宋体" w:cs="宋体"/>
                <w:kern w:val="0"/>
              </w:rPr>
            </w:pPr>
            <w:r>
              <w:rPr>
                <w:rFonts w:hint="eastAsia" w:ascii="宋体" w:hAnsi="宋体" w:cs="宋体"/>
                <w:sz w:val="24"/>
              </w:rPr>
              <w:t>_________年______月 _____日</w:t>
            </w:r>
          </w:p>
        </w:tc>
      </w:tr>
    </w:tbl>
    <w:p>
      <w:pPr>
        <w:pStyle w:val="16"/>
        <w:spacing w:line="500" w:lineRule="exact"/>
        <w:jc w:val="center"/>
        <w:rPr>
          <w:rFonts w:hAnsi="宋体" w:cs="宋体"/>
          <w:sz w:val="24"/>
          <w:szCs w:val="24"/>
        </w:rPr>
      </w:pPr>
      <w:r>
        <w:rPr>
          <w:rFonts w:hint="eastAsia" w:hAnsi="宋体" w:cs="宋体"/>
          <w:b/>
          <w:sz w:val="24"/>
          <w:szCs w:val="24"/>
        </w:rPr>
        <w:br w:type="page"/>
      </w:r>
      <w:r>
        <w:rPr>
          <w:rFonts w:hint="eastAsia" w:hAnsi="宋体" w:cs="宋体"/>
          <w:b/>
          <w:sz w:val="24"/>
          <w:szCs w:val="24"/>
          <w:lang w:val="en-US" w:eastAsia="zh-CN"/>
        </w:rPr>
        <w:t>6</w:t>
      </w:r>
      <w:r>
        <w:rPr>
          <w:rFonts w:hint="eastAsia" w:hAnsi="宋体" w:cs="宋体"/>
          <w:b/>
          <w:sz w:val="24"/>
          <w:szCs w:val="24"/>
        </w:rPr>
        <w:t>-2法定代表人授权书（格式）</w:t>
      </w:r>
    </w:p>
    <w:p>
      <w:pPr>
        <w:pStyle w:val="16"/>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（项目名称）（项目编号</w:t>
      </w:r>
      <w:r>
        <w:rPr>
          <w:rFonts w:hint="eastAsia" w:ascii="宋体" w:hAnsi="宋体" w:cs="宋体"/>
          <w:sz w:val="24"/>
          <w:u w:val="single"/>
          <w:lang w:eastAsia="zh-CN"/>
        </w:rPr>
        <w:t>）</w:t>
      </w:r>
      <w:r>
        <w:rPr>
          <w:rFonts w:hint="eastAsia" w:ascii="宋体" w:hAnsi="宋体" w:cs="宋体"/>
          <w:sz w:val="24"/>
          <w:u w:val="none"/>
          <w:lang w:val="en-US" w:eastAsia="zh-CN"/>
        </w:rPr>
        <w:t>第</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包</w:t>
      </w:r>
      <w:r>
        <w:rPr>
          <w:rFonts w:hint="eastAsia" w:ascii="宋体" w:hAnsi="宋体" w:cs="宋体"/>
          <w:sz w:val="24"/>
        </w:rPr>
        <w:t>的采购活动。以我方名义全权处理该项目有关招标、签订合同以及执行合同等一切事宜。</w:t>
      </w:r>
    </w:p>
    <w:p>
      <w:pPr>
        <w:spacing w:line="360" w:lineRule="auto"/>
        <w:ind w:firstLine="482" w:firstLineChars="200"/>
        <w:rPr>
          <w:rFonts w:ascii="宋体" w:hAnsi="宋体" w:cs="宋体"/>
          <w:b/>
          <w:bCs/>
          <w:sz w:val="24"/>
          <w:szCs w:val="24"/>
        </w:rPr>
      </w:pPr>
      <w:r>
        <w:rPr>
          <w:rFonts w:hint="eastAsia" w:ascii="宋体" w:hAnsi="宋体" w:cs="宋体"/>
          <w:b/>
          <w:bCs/>
          <w:sz w:val="24"/>
        </w:rPr>
        <w:t>本授权书自投标文件递交截止之日起生效，有效期与投标文件有效期一致，特此声明。</w:t>
      </w:r>
    </w:p>
    <w:p>
      <w:pPr>
        <w:pStyle w:val="16"/>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8"/>
          <w:szCs w:val="28"/>
        </w:rPr>
        <w:t>__________________</w:t>
      </w:r>
    </w:p>
    <w:p>
      <w:pPr>
        <w:pStyle w:val="16"/>
        <w:spacing w:line="500" w:lineRule="exact"/>
        <w:ind w:firstLine="480" w:firstLineChars="200"/>
        <w:jc w:val="left"/>
        <w:rPr>
          <w:rFonts w:hAnsi="宋体" w:cs="宋体"/>
          <w:sz w:val="24"/>
          <w:szCs w:val="24"/>
        </w:rPr>
      </w:pPr>
      <w:r>
        <w:rPr>
          <w:rFonts w:hint="eastAsia" w:hAnsi="宋体" w:cs="宋体"/>
          <w:sz w:val="24"/>
          <w:szCs w:val="24"/>
        </w:rPr>
        <w:t xml:space="preserve">法定代表人（签字或盖章）： </w:t>
      </w:r>
      <w:r>
        <w:rPr>
          <w:rFonts w:hint="eastAsia" w:hAnsi="宋体" w:cs="宋体"/>
          <w:sz w:val="28"/>
          <w:szCs w:val="28"/>
        </w:rPr>
        <w:t>__________________</w:t>
      </w:r>
    </w:p>
    <w:p>
      <w:pPr>
        <w:pStyle w:val="16"/>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8"/>
          <w:szCs w:val="28"/>
        </w:rPr>
        <w:t>_____________</w:t>
      </w:r>
      <w:r>
        <w:rPr>
          <w:rFonts w:hint="eastAsia" w:hAnsi="宋体" w:cs="宋体"/>
          <w:sz w:val="24"/>
          <w:szCs w:val="24"/>
        </w:rPr>
        <w:t>性别：</w:t>
      </w:r>
      <w:r>
        <w:rPr>
          <w:rFonts w:hint="eastAsia" w:hAnsi="宋体" w:cs="宋体"/>
          <w:sz w:val="28"/>
          <w:szCs w:val="28"/>
        </w:rPr>
        <w:t>____________</w:t>
      </w:r>
      <w:r>
        <w:rPr>
          <w:rFonts w:hint="eastAsia" w:hAnsi="宋体" w:cs="宋体"/>
          <w:sz w:val="24"/>
          <w:szCs w:val="24"/>
        </w:rPr>
        <w:t>职务：</w:t>
      </w:r>
      <w:r>
        <w:rPr>
          <w:rFonts w:hint="eastAsia" w:hAnsi="宋体" w:cs="宋体"/>
          <w:sz w:val="28"/>
          <w:szCs w:val="28"/>
        </w:rPr>
        <w:t>_________</w:t>
      </w:r>
    </w:p>
    <w:p>
      <w:pPr>
        <w:pStyle w:val="16"/>
        <w:spacing w:line="500" w:lineRule="exact"/>
        <w:ind w:firstLine="480" w:firstLineChars="200"/>
        <w:jc w:val="left"/>
        <w:rPr>
          <w:rFonts w:hAnsi="宋体" w:cs="宋体"/>
          <w:sz w:val="24"/>
          <w:szCs w:val="24"/>
          <w:u w:val="single"/>
        </w:rPr>
      </w:pPr>
      <w:r>
        <w:rPr>
          <w:rFonts w:hint="eastAsia" w:hAnsi="宋体" w:cs="宋体"/>
          <w:sz w:val="24"/>
          <w:szCs w:val="24"/>
        </w:rPr>
        <w:t xml:space="preserve">联系地址：  </w:t>
      </w:r>
      <w:r>
        <w:rPr>
          <w:rFonts w:hint="eastAsia" w:hAnsi="宋体" w:cs="宋体"/>
          <w:sz w:val="28"/>
          <w:szCs w:val="28"/>
        </w:rPr>
        <w:t>________________</w:t>
      </w:r>
    </w:p>
    <w:p>
      <w:pPr>
        <w:pStyle w:val="16"/>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8"/>
          <w:szCs w:val="28"/>
        </w:rPr>
        <w:t>________________</w:t>
      </w:r>
    </w:p>
    <w:p>
      <w:pPr>
        <w:pStyle w:val="16"/>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w:t>
      </w:r>
      <w:r>
        <w:rPr>
          <w:rFonts w:hint="eastAsia" w:hAnsi="宋体" w:cs="宋体"/>
          <w:sz w:val="24"/>
          <w:szCs w:val="24"/>
          <w:lang w:eastAsia="zh-CN"/>
        </w:rPr>
        <w:t>或</w:t>
      </w:r>
      <w:r>
        <w:rPr>
          <w:rFonts w:hint="eastAsia" w:hAnsi="宋体" w:cs="宋体"/>
          <w:sz w:val="24"/>
          <w:szCs w:val="24"/>
        </w:rPr>
        <w:t>扫描件</w:t>
      </w:r>
    </w:p>
    <w:tbl>
      <w:tblPr>
        <w:tblStyle w:val="30"/>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6"/>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p>
            <w:pPr>
              <w:pStyle w:val="16"/>
              <w:spacing w:line="500" w:lineRule="exact"/>
              <w:jc w:val="left"/>
              <w:rPr>
                <w:rFonts w:hAnsi="宋体" w:cs="宋体"/>
                <w:sz w:val="24"/>
                <w:szCs w:val="24"/>
                <w:shd w:val="pct10" w:color="auto" w:fill="FFFFFF"/>
              </w:rPr>
            </w:pPr>
          </w:p>
        </w:tc>
        <w:tc>
          <w:tcPr>
            <w:tcW w:w="4546" w:type="dxa"/>
            <w:shd w:val="clear" w:color="auto" w:fill="D9D9D9"/>
            <w:vAlign w:val="center"/>
          </w:tcPr>
          <w:p>
            <w:pPr>
              <w:pStyle w:val="16"/>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p>
            <w:pPr>
              <w:pStyle w:val="16"/>
              <w:spacing w:line="500" w:lineRule="exact"/>
              <w:ind w:firstLine="480" w:firstLineChars="200"/>
              <w:jc w:val="left"/>
              <w:rPr>
                <w:rFonts w:hAnsi="宋体" w:cs="宋体"/>
                <w:sz w:val="24"/>
                <w:szCs w:val="24"/>
                <w:shd w:val="pct10" w:color="auto" w:fill="FFFFFF"/>
              </w:rPr>
            </w:pPr>
          </w:p>
        </w:tc>
      </w:tr>
    </w:tbl>
    <w:p>
      <w:pPr>
        <w:pStyle w:val="5"/>
        <w:spacing w:before="319" w:beforeLines="100" w:after="478" w:afterLines="150" w:line="500" w:lineRule="exact"/>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87" w:name="_Toc12851"/>
      <w:bookmarkStart w:id="88" w:name="_Toc9172"/>
      <w:bookmarkStart w:id="89" w:name="_Toc1803"/>
    </w:p>
    <w:bookmarkEnd w:id="87"/>
    <w:bookmarkEnd w:id="88"/>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bookmarkStart w:id="90" w:name="_Toc19138"/>
      <w:bookmarkStart w:id="91" w:name="_Toc23165"/>
      <w:bookmarkStart w:id="92" w:name="_Toc18964"/>
      <w:r>
        <w:rPr>
          <w:rFonts w:hint="eastAsia" w:ascii="宋体" w:hAnsi="宋体" w:cs="宋体"/>
          <w:sz w:val="28"/>
          <w:szCs w:val="28"/>
          <w:lang w:val="en-US" w:eastAsia="zh-CN"/>
        </w:rPr>
        <w:t>7</w:t>
      </w:r>
      <w:r>
        <w:rPr>
          <w:rFonts w:hint="eastAsia" w:ascii="宋体" w:hAnsi="宋体" w:eastAsia="宋体" w:cs="宋体"/>
          <w:sz w:val="28"/>
          <w:szCs w:val="28"/>
          <w:lang w:val="en-US" w:eastAsia="zh-CN"/>
        </w:rPr>
        <w:t>、供应商须提供医疗器械经营许可证或备案凭证（所投产品须在其经营范围内）和所投产品的医疗器械产品注册证及其附件或备案凭证及所投产品的医疗器械生产许可证或备案凭证。</w:t>
      </w:r>
    </w:p>
    <w:p>
      <w:pPr>
        <w:pStyle w:val="3"/>
        <w:rPr>
          <w:rFonts w:hint="eastAsia"/>
          <w:lang w:eastAsia="zh-CN"/>
        </w:rPr>
      </w:pPr>
    </w:p>
    <w:p>
      <w:pPr>
        <w:pStyle w:val="3"/>
        <w:rPr>
          <w:rFonts w:hint="eastAsia"/>
          <w:lang w:eastAsia="zh-CN"/>
        </w:rPr>
      </w:pPr>
    </w:p>
    <w:p>
      <w:pPr>
        <w:widowControl/>
        <w:spacing w:line="360" w:lineRule="auto"/>
        <w:ind w:left="840"/>
        <w:jc w:val="center"/>
        <w:rPr>
          <w:rFonts w:hint="eastAsia" w:ascii="宋体" w:hAnsi="宋体" w:cs="宋体"/>
          <w:sz w:val="32"/>
          <w:szCs w:val="32"/>
          <w:lang w:val="en-US" w:eastAsia="zh-CN"/>
        </w:rPr>
        <w:sectPr>
          <w:footerReference r:id="rId18" w:type="default"/>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lang w:val="en-US" w:eastAsia="zh-CN"/>
        </w:rPr>
        <w:t>8</w:t>
      </w:r>
      <w:r>
        <w:rPr>
          <w:rFonts w:hint="eastAsia" w:ascii="宋体" w:hAnsi="宋体" w:cs="宋体"/>
          <w:sz w:val="32"/>
          <w:szCs w:val="24"/>
        </w:rPr>
        <w:t>、无重大违法记录声明（格式）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我单位参与陕西卓佲项目管理有限公司组织的______________________(项目名称)</w:t>
      </w:r>
      <w:r>
        <w:rPr>
          <w:rFonts w:hint="eastAsia" w:ascii="宋体" w:hAnsi="宋体" w:cs="宋体"/>
          <w:kern w:val="0"/>
          <w:sz w:val="24"/>
          <w:szCs w:val="24"/>
          <w:u w:val="none"/>
        </w:rPr>
        <w:t>公</w:t>
      </w:r>
      <w:r>
        <w:rPr>
          <w:rFonts w:hint="eastAsia" w:ascii="宋体" w:hAnsi="宋体" w:cs="宋体"/>
          <w:kern w:val="0"/>
          <w:sz w:val="24"/>
          <w:szCs w:val="24"/>
        </w:rPr>
        <w:t>开招标，我单位郑重声明：我方参加本项目公开招标工作前三年内无重大违法活动记录，符合《中华人民共和国政府采购法》规定的供应商资格条件，我方对此声明负全部法律责任。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6"/>
        <w:spacing w:line="500" w:lineRule="exact"/>
        <w:jc w:val="left"/>
        <w:rPr>
          <w:rFonts w:hAnsi="宋体" w:cs="宋体"/>
          <w:sz w:val="24"/>
          <w:szCs w:val="24"/>
        </w:rPr>
      </w:pPr>
    </w:p>
    <w:p>
      <w:pPr>
        <w:pStyle w:val="16"/>
        <w:spacing w:line="480" w:lineRule="auto"/>
        <w:jc w:val="left"/>
        <w:rPr>
          <w:rFonts w:hAnsi="宋体" w:cs="宋体"/>
          <w:sz w:val="24"/>
        </w:rPr>
      </w:pPr>
    </w:p>
    <w:p>
      <w:pPr>
        <w:pStyle w:val="16"/>
        <w:keepNext w:val="0"/>
        <w:keepLines w:val="0"/>
        <w:pageBreakBefore w:val="0"/>
        <w:widowControl w:val="0"/>
        <w:kinsoku/>
        <w:wordWrap/>
        <w:overflowPunct/>
        <w:topLinePunct w:val="0"/>
        <w:autoSpaceDE/>
        <w:autoSpaceDN/>
        <w:bidi w:val="0"/>
        <w:spacing w:line="480" w:lineRule="auto"/>
        <w:jc w:val="left"/>
        <w:textAlignment w:val="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6"/>
        <w:keepNext w:val="0"/>
        <w:keepLines w:val="0"/>
        <w:pageBreakBefore w:val="0"/>
        <w:widowControl w:val="0"/>
        <w:kinsoku/>
        <w:wordWrap/>
        <w:overflowPunct/>
        <w:topLinePunct w:val="0"/>
        <w:autoSpaceDE/>
        <w:autoSpaceDN/>
        <w:bidi w:val="0"/>
        <w:spacing w:line="480" w:lineRule="auto"/>
        <w:jc w:val="left"/>
        <w:textAlignment w:val="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sz w:val="24"/>
          <w:szCs w:val="24"/>
        </w:rPr>
      </w:pPr>
      <w:r>
        <w:rPr>
          <w:rFonts w:hint="eastAsia" w:ascii="宋体" w:hAnsi="宋体" w:cs="宋体"/>
          <w:kern w:val="0"/>
          <w:sz w:val="24"/>
        </w:rPr>
        <w:t>日    期：</w:t>
      </w:r>
      <w:r>
        <w:rPr>
          <w:rFonts w:hint="eastAsia" w:ascii="宋体" w:hAnsi="宋体" w:cs="宋体"/>
          <w:sz w:val="24"/>
          <w:szCs w:val="24"/>
        </w:rPr>
        <w:t xml:space="preserve">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eastAsia="宋体" w:cs="宋体"/>
          <w:kern w:val="0"/>
          <w:sz w:val="24"/>
          <w:lang w:val="en-US" w:eastAsia="zh-CN"/>
        </w:rPr>
        <w:t>日</w:t>
      </w:r>
    </w:p>
    <w:p>
      <w:pPr>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br w:type="page"/>
      </w:r>
    </w:p>
    <w:p>
      <w:pPr>
        <w:widowControl/>
        <w:spacing w:line="360" w:lineRule="auto"/>
        <w:ind w:left="840"/>
        <w:jc w:val="center"/>
        <w:rPr>
          <w:rFonts w:ascii="宋体" w:hAnsi="宋体" w:cs="宋体"/>
          <w:sz w:val="32"/>
          <w:szCs w:val="32"/>
        </w:rPr>
      </w:pPr>
      <w:r>
        <w:rPr>
          <w:rFonts w:hint="eastAsia" w:ascii="宋体" w:hAnsi="宋体" w:cs="宋体"/>
          <w:sz w:val="32"/>
          <w:szCs w:val="32"/>
          <w:lang w:val="en-US" w:eastAsia="zh-CN"/>
        </w:rPr>
        <w:t>9</w:t>
      </w:r>
      <w:r>
        <w:rPr>
          <w:rFonts w:hint="eastAsia" w:ascii="宋体" w:hAnsi="宋体" w:cs="宋体"/>
          <w:sz w:val="32"/>
          <w:szCs w:val="32"/>
        </w:rPr>
        <w:t>、本项目不接受联合体</w:t>
      </w:r>
    </w:p>
    <w:p>
      <w:pPr>
        <w:pStyle w:val="10"/>
        <w:ind w:left="420" w:leftChars="200" w:firstLine="0"/>
        <w:rPr>
          <w:rFonts w:ascii="宋体" w:hAnsi="宋体" w:cs="宋体"/>
        </w:rPr>
      </w:pPr>
    </w:p>
    <w:p>
      <w:pPr>
        <w:pStyle w:val="29"/>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我单位参与陕西卓佲项目管理有限公司组织的____________________(项目名称)，我单位郑重声明：我方非联合体，如有虚假，承担相应责任。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6"/>
        <w:keepNext w:val="0"/>
        <w:keepLines w:val="0"/>
        <w:pageBreakBefore w:val="0"/>
        <w:widowControl w:val="0"/>
        <w:kinsoku/>
        <w:wordWrap/>
        <w:overflowPunct/>
        <w:topLinePunct w:val="0"/>
        <w:autoSpaceDE/>
        <w:autoSpaceDN/>
        <w:bidi w:val="0"/>
        <w:spacing w:line="480" w:lineRule="auto"/>
        <w:jc w:val="left"/>
        <w:textAlignment w:val="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6"/>
        <w:keepNext w:val="0"/>
        <w:keepLines w:val="0"/>
        <w:pageBreakBefore w:val="0"/>
        <w:widowControl w:val="0"/>
        <w:kinsoku/>
        <w:wordWrap/>
        <w:overflowPunct/>
        <w:topLinePunct w:val="0"/>
        <w:autoSpaceDE/>
        <w:autoSpaceDN/>
        <w:bidi w:val="0"/>
        <w:spacing w:line="480" w:lineRule="auto"/>
        <w:jc w:val="left"/>
        <w:textAlignment w:val="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kern w:val="0"/>
          <w:sz w:val="24"/>
        </w:r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w:t>
      </w:r>
      <w:r>
        <w:rPr>
          <w:rFonts w:hint="eastAsia" w:ascii="宋体" w:hAnsi="宋体" w:cs="宋体"/>
          <w:kern w:val="0"/>
          <w:sz w:val="24"/>
          <w:lang w:val="en-US" w:eastAsia="zh-CN"/>
        </w:rPr>
        <w:t>日</w:t>
      </w:r>
    </w:p>
    <w:p>
      <w:pPr>
        <w:sectPr>
          <w:pgSz w:w="11906" w:h="16838"/>
          <w:pgMar w:top="1440" w:right="1803" w:bottom="1440" w:left="1803" w:header="851" w:footer="992" w:gutter="0"/>
          <w:pgNumType w:fmt="decimal"/>
          <w:cols w:space="720" w:num="1"/>
          <w:docGrid w:type="lines" w:linePitch="319" w:charSpace="0"/>
        </w:sectPr>
      </w:pPr>
    </w:p>
    <w:p>
      <w:pPr>
        <w:pStyle w:val="5"/>
        <w:tabs>
          <w:tab w:val="left" w:pos="2096"/>
          <w:tab w:val="center" w:pos="5024"/>
        </w:tabs>
        <w:spacing w:before="319" w:beforeLines="100" w:after="478" w:afterLines="150" w:line="500" w:lineRule="exact"/>
        <w:jc w:val="center"/>
        <w:rPr>
          <w:rFonts w:ascii="宋体" w:hAnsi="宋体" w:cs="宋体"/>
          <w:sz w:val="36"/>
          <w:szCs w:val="36"/>
        </w:rPr>
      </w:pPr>
      <w:bookmarkStart w:id="93" w:name="_Toc31753"/>
      <w:r>
        <w:rPr>
          <w:rFonts w:hint="eastAsia" w:ascii="宋体" w:hAnsi="宋体" w:cs="宋体"/>
          <w:sz w:val="36"/>
          <w:szCs w:val="36"/>
        </w:rPr>
        <w:t xml:space="preserve">第五部分 </w:t>
      </w:r>
      <w:bookmarkEnd w:id="90"/>
      <w:bookmarkEnd w:id="91"/>
      <w:bookmarkEnd w:id="92"/>
      <w:r>
        <w:rPr>
          <w:rFonts w:hint="eastAsia" w:ascii="宋体" w:hAnsi="宋体" w:cs="宋体"/>
          <w:sz w:val="36"/>
          <w:szCs w:val="36"/>
        </w:rPr>
        <w:t xml:space="preserve"> 技术与服务方案</w:t>
      </w:r>
      <w:bookmarkEnd w:id="93"/>
    </w:p>
    <w:p>
      <w:pPr>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djustRightInd w:val="0"/>
        <w:snapToGrid w:val="0"/>
        <w:spacing w:line="480" w:lineRule="auto"/>
        <w:rPr>
          <w:rFonts w:ascii="宋体" w:hAnsi="宋体" w:cs="宋体"/>
        </w:rPr>
        <w:sectPr>
          <w:pgSz w:w="11906" w:h="16838"/>
          <w:pgMar w:top="1440" w:right="1803" w:bottom="1440" w:left="1803" w:header="851" w:footer="992" w:gutter="0"/>
          <w:pgNumType w:fmt="decimal"/>
          <w:cols w:space="720" w:num="1"/>
          <w:docGrid w:type="lines" w:linePitch="319" w:charSpace="0"/>
        </w:sectPr>
      </w:pPr>
    </w:p>
    <w:bookmarkEnd w:id="89"/>
    <w:p>
      <w:pPr>
        <w:pStyle w:val="5"/>
        <w:spacing w:before="319" w:beforeLines="100" w:after="478" w:afterLines="150" w:line="500" w:lineRule="exact"/>
        <w:jc w:val="center"/>
        <w:rPr>
          <w:rFonts w:ascii="宋体" w:hAnsi="宋体" w:cs="宋体"/>
          <w:sz w:val="36"/>
          <w:szCs w:val="36"/>
        </w:rPr>
      </w:pPr>
      <w:bookmarkStart w:id="94" w:name="_Toc26563"/>
      <w:bookmarkStart w:id="95" w:name="_Toc27522"/>
      <w:bookmarkStart w:id="96" w:name="_Toc16328"/>
      <w:bookmarkStart w:id="97" w:name="_Toc2737"/>
      <w:bookmarkStart w:id="98" w:name="_Toc10667"/>
      <w:r>
        <w:rPr>
          <w:rFonts w:hint="eastAsia" w:ascii="宋体" w:hAnsi="宋体" w:cs="宋体"/>
          <w:sz w:val="36"/>
          <w:szCs w:val="36"/>
        </w:rPr>
        <w:t xml:space="preserve">第六部分  </w:t>
      </w:r>
      <w:bookmarkEnd w:id="94"/>
      <w:bookmarkEnd w:id="95"/>
      <w:bookmarkEnd w:id="96"/>
      <w:bookmarkStart w:id="99" w:name="_Toc21288"/>
      <w:bookmarkEnd w:id="99"/>
      <w:r>
        <w:rPr>
          <w:rFonts w:hint="eastAsia" w:ascii="宋体" w:hAnsi="宋体" w:cs="宋体"/>
          <w:sz w:val="36"/>
          <w:szCs w:val="36"/>
        </w:rPr>
        <w:t>服务承诺</w:t>
      </w:r>
      <w:bookmarkEnd w:id="97"/>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pStyle w:val="5"/>
        <w:numPr>
          <w:ilvl w:val="0"/>
          <w:numId w:val="0"/>
        </w:numPr>
        <w:ind w:leftChars="0"/>
        <w:jc w:val="center"/>
        <w:rPr>
          <w:rFonts w:hint="eastAsia" w:ascii="宋体" w:hAnsi="宋体" w:cs="宋体"/>
          <w:sz w:val="36"/>
          <w:szCs w:val="36"/>
        </w:rPr>
      </w:pPr>
      <w:bookmarkStart w:id="100" w:name="_Toc3945"/>
      <w:r>
        <w:rPr>
          <w:rFonts w:hint="eastAsia" w:ascii="宋体" w:hAnsi="宋体" w:cs="宋体"/>
          <w:sz w:val="36"/>
          <w:szCs w:val="36"/>
        </w:rPr>
        <w:br w:type="page"/>
      </w:r>
      <w:bookmarkStart w:id="101" w:name="_Toc24210"/>
      <w:bookmarkStart w:id="102" w:name="_Toc2785"/>
      <w:r>
        <w:rPr>
          <w:rFonts w:hint="eastAsia" w:ascii="宋体" w:hAnsi="宋体" w:cs="宋体"/>
          <w:sz w:val="36"/>
          <w:szCs w:val="36"/>
          <w:lang w:eastAsia="zh-CN"/>
        </w:rPr>
        <w:t>第七部分</w:t>
      </w:r>
      <w:r>
        <w:rPr>
          <w:rFonts w:hint="eastAsia" w:ascii="宋体" w:hAnsi="宋体" w:cs="宋体"/>
          <w:sz w:val="36"/>
          <w:szCs w:val="36"/>
        </w:rPr>
        <w:t xml:space="preserve"> 业绩一览表</w:t>
      </w:r>
      <w:bookmarkEnd w:id="100"/>
      <w:bookmarkEnd w:id="101"/>
      <w:bookmarkEnd w:id="102"/>
    </w:p>
    <w:p>
      <w:pPr>
        <w:numPr>
          <w:ilvl w:val="0"/>
          <w:numId w:val="0"/>
        </w:numPr>
        <w:ind w:leftChars="0"/>
      </w:pPr>
    </w:p>
    <w:tbl>
      <w:tblPr>
        <w:tblStyle w:val="30"/>
        <w:tblW w:w="81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7"/>
        <w:gridCol w:w="1614"/>
        <w:gridCol w:w="1479"/>
        <w:gridCol w:w="1496"/>
        <w:gridCol w:w="1589"/>
        <w:gridCol w:w="11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807"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年份</w:t>
            </w:r>
          </w:p>
        </w:tc>
        <w:tc>
          <w:tcPr>
            <w:tcW w:w="1614"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79"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496" w:type="dxa"/>
            <w:tcBorders>
              <w:top w:val="single" w:color="auto" w:sz="4" w:space="0"/>
            </w:tcBorders>
            <w:vAlign w:val="center"/>
          </w:tcPr>
          <w:p>
            <w:pPr>
              <w:spacing w:line="400" w:lineRule="exact"/>
              <w:jc w:val="center"/>
              <w:rPr>
                <w:rFonts w:ascii="宋体" w:hAnsi="宋体" w:cs="宋体"/>
              </w:rPr>
            </w:pPr>
            <w:r>
              <w:rPr>
                <w:rFonts w:hint="eastAsia" w:ascii="宋体" w:hAnsi="宋体" w:cs="宋体"/>
                <w:highlight w:val="none"/>
                <w:lang w:val="en-US" w:eastAsia="zh-CN"/>
              </w:rPr>
              <w:t>合同签订</w:t>
            </w:r>
            <w:r>
              <w:rPr>
                <w:rFonts w:hint="eastAsia" w:ascii="宋体" w:hAnsi="宋体" w:cs="宋体"/>
                <w:highlight w:val="none"/>
              </w:rPr>
              <w:t>时间</w:t>
            </w:r>
          </w:p>
        </w:tc>
        <w:tc>
          <w:tcPr>
            <w:tcW w:w="1589" w:type="dxa"/>
            <w:tcBorders>
              <w:top w:val="single" w:color="auto" w:sz="4" w:space="0"/>
            </w:tcBorders>
            <w:vAlign w:val="center"/>
          </w:tcPr>
          <w:p>
            <w:pPr>
              <w:spacing w:line="400" w:lineRule="exact"/>
              <w:ind w:firstLine="105" w:firstLineChars="50"/>
              <w:jc w:val="center"/>
              <w:rPr>
                <w:rFonts w:ascii="宋体" w:hAnsi="宋体" w:cs="宋体"/>
              </w:rPr>
            </w:pPr>
            <w:r>
              <w:rPr>
                <w:rFonts w:hint="eastAsia" w:ascii="宋体" w:hAnsi="宋体" w:cs="宋体"/>
              </w:rPr>
              <w:t>合同金额</w:t>
            </w:r>
          </w:p>
        </w:tc>
        <w:tc>
          <w:tcPr>
            <w:tcW w:w="1172"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tcBorders>
              <w:right w:val="single" w:color="auto" w:sz="4" w:space="0"/>
            </w:tcBorders>
            <w:vAlign w:val="center"/>
          </w:tcPr>
          <w:p>
            <w:pPr>
              <w:spacing w:line="400" w:lineRule="exact"/>
              <w:jc w:val="center"/>
              <w:rPr>
                <w:rFonts w:ascii="宋体" w:hAnsi="宋体" w:cs="宋体"/>
              </w:rPr>
            </w:pPr>
          </w:p>
        </w:tc>
        <w:tc>
          <w:tcPr>
            <w:tcW w:w="1479" w:type="dxa"/>
            <w:tcBorders>
              <w:left w:val="single" w:color="auto" w:sz="4" w:space="0"/>
            </w:tcBorders>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tcBorders>
              <w:right w:val="single" w:color="auto" w:sz="4" w:space="0"/>
            </w:tcBorders>
            <w:vAlign w:val="center"/>
          </w:tcPr>
          <w:p>
            <w:pPr>
              <w:spacing w:line="400" w:lineRule="exact"/>
              <w:rPr>
                <w:rFonts w:ascii="宋体" w:hAnsi="宋体" w:cs="宋体"/>
              </w:rPr>
            </w:pPr>
          </w:p>
        </w:tc>
        <w:tc>
          <w:tcPr>
            <w:tcW w:w="1614" w:type="dxa"/>
            <w:tcBorders>
              <w:left w:val="single" w:color="auto" w:sz="4" w:space="0"/>
              <w:right w:val="single" w:color="auto" w:sz="4" w:space="0"/>
            </w:tcBorders>
            <w:vAlign w:val="center"/>
          </w:tcPr>
          <w:p>
            <w:pPr>
              <w:spacing w:line="400" w:lineRule="exact"/>
              <w:rPr>
                <w:rFonts w:ascii="宋体" w:hAnsi="宋体" w:cs="宋体"/>
              </w:rPr>
            </w:pPr>
          </w:p>
        </w:tc>
        <w:tc>
          <w:tcPr>
            <w:tcW w:w="1479" w:type="dxa"/>
            <w:tcBorders>
              <w:left w:val="single" w:color="auto" w:sz="4" w:space="0"/>
              <w:right w:val="single" w:color="auto" w:sz="4" w:space="0"/>
            </w:tcBorders>
            <w:vAlign w:val="center"/>
          </w:tcPr>
          <w:p>
            <w:pPr>
              <w:spacing w:line="400" w:lineRule="exact"/>
              <w:rPr>
                <w:rFonts w:ascii="宋体" w:hAnsi="宋体" w:cs="宋体"/>
              </w:rPr>
            </w:pPr>
          </w:p>
        </w:tc>
        <w:tc>
          <w:tcPr>
            <w:tcW w:w="1496" w:type="dxa"/>
            <w:tcBorders>
              <w:left w:val="single" w:color="auto" w:sz="4" w:space="0"/>
              <w:right w:val="single" w:color="auto" w:sz="4" w:space="0"/>
            </w:tcBorders>
            <w:vAlign w:val="center"/>
          </w:tcPr>
          <w:p>
            <w:pPr>
              <w:spacing w:line="400" w:lineRule="exact"/>
              <w:rPr>
                <w:rFonts w:ascii="宋体" w:hAnsi="宋体" w:cs="宋体"/>
              </w:rPr>
            </w:pPr>
          </w:p>
        </w:tc>
        <w:tc>
          <w:tcPr>
            <w:tcW w:w="1589" w:type="dxa"/>
            <w:tcBorders>
              <w:left w:val="single" w:color="auto" w:sz="4" w:space="0"/>
              <w:right w:val="single" w:color="auto" w:sz="4" w:space="0"/>
            </w:tcBorders>
            <w:vAlign w:val="center"/>
          </w:tcPr>
          <w:p>
            <w:pPr>
              <w:spacing w:line="400" w:lineRule="exact"/>
              <w:rPr>
                <w:rFonts w:ascii="宋体" w:hAnsi="宋体" w:cs="宋体"/>
              </w:rPr>
            </w:pPr>
          </w:p>
        </w:tc>
        <w:tc>
          <w:tcPr>
            <w:tcW w:w="117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rPr>
                <w:rFonts w:ascii="宋体" w:hAnsi="宋体" w:cs="宋体"/>
              </w:rPr>
            </w:pPr>
          </w:p>
        </w:tc>
        <w:tc>
          <w:tcPr>
            <w:tcW w:w="1614" w:type="dxa"/>
            <w:vAlign w:val="center"/>
          </w:tcPr>
          <w:p>
            <w:pPr>
              <w:spacing w:line="400" w:lineRule="exact"/>
              <w:rPr>
                <w:rFonts w:ascii="宋体" w:hAnsi="宋体" w:cs="宋体"/>
              </w:rPr>
            </w:pPr>
          </w:p>
        </w:tc>
        <w:tc>
          <w:tcPr>
            <w:tcW w:w="1479" w:type="dxa"/>
            <w:vAlign w:val="center"/>
          </w:tcPr>
          <w:p>
            <w:pPr>
              <w:spacing w:line="400" w:lineRule="exact"/>
              <w:rPr>
                <w:rFonts w:ascii="宋体" w:hAnsi="宋体" w:cs="宋体"/>
              </w:rPr>
            </w:pPr>
          </w:p>
        </w:tc>
        <w:tc>
          <w:tcPr>
            <w:tcW w:w="1496" w:type="dxa"/>
            <w:vAlign w:val="center"/>
          </w:tcPr>
          <w:p>
            <w:pPr>
              <w:spacing w:line="400" w:lineRule="exact"/>
              <w:rPr>
                <w:rFonts w:ascii="宋体" w:hAnsi="宋体" w:cs="宋体"/>
              </w:rPr>
            </w:pPr>
          </w:p>
        </w:tc>
        <w:tc>
          <w:tcPr>
            <w:tcW w:w="1589" w:type="dxa"/>
            <w:tcBorders>
              <w:right w:val="single" w:color="auto" w:sz="4" w:space="0"/>
            </w:tcBorders>
            <w:vAlign w:val="center"/>
          </w:tcPr>
          <w:p>
            <w:pPr>
              <w:spacing w:line="400" w:lineRule="exact"/>
              <w:rPr>
                <w:rFonts w:ascii="宋体" w:hAnsi="宋体" w:cs="宋体"/>
              </w:rPr>
            </w:pPr>
          </w:p>
        </w:tc>
        <w:tc>
          <w:tcPr>
            <w:tcW w:w="117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0" w:hRule="atLeast"/>
          <w:jc w:val="center"/>
        </w:trPr>
        <w:tc>
          <w:tcPr>
            <w:tcW w:w="807" w:type="dxa"/>
            <w:tcBorders>
              <w:bottom w:val="single" w:color="auto" w:sz="4" w:space="0"/>
            </w:tcBorders>
            <w:vAlign w:val="center"/>
          </w:tcPr>
          <w:p>
            <w:pPr>
              <w:spacing w:line="400" w:lineRule="exact"/>
              <w:jc w:val="center"/>
              <w:rPr>
                <w:rFonts w:ascii="宋体" w:hAnsi="宋体" w:cs="宋体"/>
              </w:rPr>
            </w:pPr>
          </w:p>
        </w:tc>
        <w:tc>
          <w:tcPr>
            <w:tcW w:w="1614" w:type="dxa"/>
            <w:tcBorders>
              <w:bottom w:val="single" w:color="auto" w:sz="4" w:space="0"/>
            </w:tcBorders>
            <w:vAlign w:val="center"/>
          </w:tcPr>
          <w:p>
            <w:pPr>
              <w:spacing w:line="400" w:lineRule="exact"/>
              <w:jc w:val="center"/>
              <w:rPr>
                <w:rFonts w:ascii="宋体" w:hAnsi="宋体" w:cs="宋体"/>
              </w:rPr>
            </w:pPr>
          </w:p>
        </w:tc>
        <w:tc>
          <w:tcPr>
            <w:tcW w:w="1479" w:type="dxa"/>
            <w:tcBorders>
              <w:bottom w:val="single" w:color="auto" w:sz="4" w:space="0"/>
            </w:tcBorders>
            <w:vAlign w:val="center"/>
          </w:tcPr>
          <w:p>
            <w:pPr>
              <w:spacing w:line="400" w:lineRule="exact"/>
              <w:jc w:val="center"/>
              <w:rPr>
                <w:rFonts w:ascii="宋体" w:hAnsi="宋体" w:cs="宋体"/>
              </w:rPr>
            </w:pPr>
          </w:p>
        </w:tc>
        <w:tc>
          <w:tcPr>
            <w:tcW w:w="1496" w:type="dxa"/>
            <w:tcBorders>
              <w:bottom w:val="single" w:color="auto" w:sz="4" w:space="0"/>
            </w:tcBorders>
            <w:vAlign w:val="center"/>
          </w:tcPr>
          <w:p>
            <w:pPr>
              <w:spacing w:line="400" w:lineRule="exact"/>
              <w:jc w:val="center"/>
              <w:rPr>
                <w:rFonts w:ascii="宋体" w:hAnsi="宋体" w:cs="宋体"/>
              </w:rPr>
            </w:pPr>
          </w:p>
        </w:tc>
        <w:tc>
          <w:tcPr>
            <w:tcW w:w="1589"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72"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pStyle w:val="3"/>
      </w:pPr>
    </w:p>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pStyle w:val="5"/>
        <w:numPr>
          <w:ilvl w:val="0"/>
          <w:numId w:val="23"/>
        </w:numPr>
        <w:spacing w:before="319" w:beforeLines="100" w:after="478" w:afterLines="150" w:line="500" w:lineRule="exact"/>
        <w:jc w:val="center"/>
        <w:rPr>
          <w:rFonts w:ascii="宋体" w:hAnsi="宋体" w:cs="宋体"/>
          <w:sz w:val="36"/>
          <w:szCs w:val="36"/>
        </w:rPr>
      </w:pPr>
      <w:bookmarkStart w:id="103" w:name="_Toc19279"/>
      <w:r>
        <w:rPr>
          <w:rFonts w:hint="eastAsia" w:ascii="宋体" w:hAnsi="宋体" w:cs="宋体"/>
          <w:sz w:val="36"/>
          <w:szCs w:val="36"/>
        </w:rPr>
        <w:br w:type="page"/>
      </w:r>
      <w:bookmarkStart w:id="104" w:name="_Toc31275"/>
      <w:r>
        <w:rPr>
          <w:rFonts w:hint="eastAsia" w:ascii="宋体" w:hAnsi="宋体" w:cs="宋体"/>
          <w:sz w:val="36"/>
          <w:szCs w:val="36"/>
        </w:rPr>
        <w:t xml:space="preserve">  </w:t>
      </w:r>
      <w:bookmarkStart w:id="105" w:name="_Toc23955"/>
      <w:r>
        <w:rPr>
          <w:rFonts w:hint="eastAsia" w:ascii="宋体" w:hAnsi="宋体" w:cs="宋体"/>
          <w:sz w:val="36"/>
          <w:szCs w:val="36"/>
        </w:rPr>
        <w:t>供应商认为有必要说明的其他问题</w:t>
      </w:r>
      <w:bookmarkEnd w:id="103"/>
      <w:bookmarkEnd w:id="104"/>
      <w:bookmarkEnd w:id="105"/>
    </w:p>
    <w:p/>
    <w:p>
      <w:pPr>
        <w:pStyle w:val="3"/>
        <w:rPr>
          <w:color w:val="auto"/>
        </w:rPr>
        <w:sectPr>
          <w:pgSz w:w="11906" w:h="16838"/>
          <w:pgMar w:top="1440" w:right="1803" w:bottom="1440" w:left="1803" w:header="851" w:footer="992" w:gutter="0"/>
          <w:pgNumType w:fmt="decimal"/>
          <w:cols w:space="720" w:num="1"/>
          <w:docGrid w:type="lines" w:linePitch="319" w:charSpace="0"/>
        </w:sectPr>
      </w:pPr>
      <w:r>
        <w:rPr>
          <w:rFonts w:hint="eastAsia"/>
          <w:color w:val="auto"/>
        </w:rPr>
        <w:t>例如：投标保证金缴纳凭证</w:t>
      </w:r>
    </w:p>
    <w:bookmarkEnd w:id="98"/>
    <w:p>
      <w:pPr>
        <w:pStyle w:val="5"/>
        <w:adjustRightInd w:val="0"/>
        <w:spacing w:line="416" w:lineRule="atLeast"/>
        <w:jc w:val="center"/>
        <w:textAlignment w:val="baseline"/>
        <w:rPr>
          <w:rFonts w:ascii="宋体" w:hAnsi="宋体" w:cs="宋体"/>
        </w:rPr>
      </w:pPr>
      <w:bookmarkStart w:id="106" w:name="_Toc16913"/>
      <w:r>
        <w:rPr>
          <w:rFonts w:hint="eastAsia" w:ascii="宋体" w:hAnsi="宋体" w:cs="宋体"/>
        </w:rPr>
        <w:t>附件一、封袋正面标识式样</w:t>
      </w:r>
      <w:bookmarkEnd w:id="83"/>
      <w:bookmarkEnd w:id="106"/>
    </w:p>
    <w:p>
      <w:pPr>
        <w:spacing w:line="460" w:lineRule="exact"/>
        <w:ind w:firstLine="482" w:firstLineChars="200"/>
        <w:jc w:val="center"/>
        <w:rPr>
          <w:rFonts w:ascii="宋体" w:hAnsi="宋体" w:cs="宋体"/>
          <w:b/>
          <w:sz w:val="24"/>
        </w:rPr>
      </w:pPr>
      <w:r>
        <w:rPr>
          <w:rFonts w:hint="eastAsia" w:ascii="宋体" w:hAnsi="宋体" w:cs="宋体"/>
          <w:b/>
          <w:sz w:val="24"/>
        </w:rPr>
        <w:t>投标文件正本封袋正面标识式样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113030</wp:posOffset>
                </wp:positionV>
                <wp:extent cx="5819140" cy="3110230"/>
                <wp:effectExtent l="4445" t="4445" r="5715" b="9525"/>
                <wp:wrapNone/>
                <wp:docPr id="13" name="Text Box 3"/>
                <wp:cNvGraphicFramePr/>
                <a:graphic xmlns:a="http://schemas.openxmlformats.org/drawingml/2006/main">
                  <a:graphicData uri="http://schemas.microsoft.com/office/word/2010/wordprocessingShape">
                    <wps:wsp>
                      <wps:cNvSpPr txBox="1"/>
                      <wps:spPr>
                        <a:xfrm>
                          <a:off x="0" y="0"/>
                          <a:ext cx="5781040" cy="31102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none"/>
                                <w:lang w:eastAsia="zh-CN"/>
                              </w:rPr>
                            </w:pPr>
                            <w:r>
                              <w:rPr>
                                <w:rFonts w:hint="eastAsia"/>
                                <w:sz w:val="28"/>
                                <w:szCs w:val="28"/>
                              </w:rPr>
                              <w:t>致：陕西卓佲项目管理有限公司       项目编号：</w:t>
                            </w:r>
                            <w:r>
                              <w:rPr>
                                <w:rFonts w:hint="eastAsia"/>
                                <w:sz w:val="28"/>
                                <w:szCs w:val="28"/>
                                <w:highlight w:val="none"/>
                                <w:lang w:eastAsia="zh-CN"/>
                              </w:rPr>
                              <w:t>ZMZB2022SZY-129</w:t>
                            </w:r>
                          </w:p>
                          <w:p>
                            <w:pPr>
                              <w:rPr>
                                <w:rFonts w:hint="eastAsia" w:eastAsia="宋体"/>
                                <w:sz w:val="28"/>
                                <w:szCs w:val="28"/>
                                <w:highlight w:val="none"/>
                                <w:lang w:eastAsia="zh-CN"/>
                              </w:rPr>
                            </w:pPr>
                            <w:r>
                              <w:rPr>
                                <w:rFonts w:hint="eastAsia"/>
                                <w:sz w:val="28"/>
                                <w:szCs w:val="28"/>
                                <w:highlight w:val="none"/>
                              </w:rPr>
                              <w:t>项目名称：</w:t>
                            </w:r>
                            <w:r>
                              <w:rPr>
                                <w:rFonts w:hint="eastAsia"/>
                                <w:sz w:val="28"/>
                                <w:szCs w:val="28"/>
                                <w:highlight w:val="none"/>
                                <w:lang w:eastAsia="zh-CN"/>
                              </w:rPr>
                              <w:t>陕西省中医医院国家中医紧急医学救援队伍能力建设项目</w:t>
                            </w:r>
                          </w:p>
                          <w:p>
                            <w:pPr>
                              <w:jc w:val="center"/>
                              <w:rPr>
                                <w:b/>
                                <w:sz w:val="44"/>
                                <w:szCs w:val="44"/>
                                <w:highlight w:val="none"/>
                              </w:rPr>
                            </w:pPr>
                            <w:r>
                              <w:rPr>
                                <w:rFonts w:hint="eastAsia"/>
                                <w:b/>
                                <w:sz w:val="44"/>
                                <w:szCs w:val="44"/>
                                <w:highlight w:val="none"/>
                              </w:rPr>
                              <w:t>投标文件（正本）</w:t>
                            </w:r>
                          </w:p>
                          <w:p>
                            <w:pPr>
                              <w:pStyle w:val="7"/>
                              <w:ind w:firstLine="3092" w:firstLineChars="1100"/>
                              <w:jc w:val="both"/>
                              <w:rPr>
                                <w:sz w:val="28"/>
                                <w:szCs w:val="28"/>
                                <w:highlight w:val="none"/>
                              </w:rPr>
                            </w:pPr>
                            <w:r>
                              <w:rPr>
                                <w:sz w:val="28"/>
                                <w:szCs w:val="28"/>
                                <w:highlight w:val="none"/>
                              </w:rPr>
                              <w:t>（非开标会议不得启封）</w:t>
                            </w:r>
                          </w:p>
                          <w:p>
                            <w:pPr>
                              <w:rPr>
                                <w:sz w:val="28"/>
                                <w:szCs w:val="28"/>
                                <w:highlight w:val="none"/>
                                <w:u w:val="single"/>
                              </w:rPr>
                            </w:pPr>
                            <w:r>
                              <w:rPr>
                                <w:rFonts w:hint="eastAsia"/>
                                <w:sz w:val="28"/>
                                <w:szCs w:val="28"/>
                                <w:highlight w:val="none"/>
                              </w:rPr>
                              <w:t>供应商（公章）：</w:t>
                            </w:r>
                            <w:r>
                              <w:rPr>
                                <w:rFonts w:hint="eastAsia" w:ascii="宋体" w:hAnsi="宋体" w:cs="宋体"/>
                                <w:sz w:val="28"/>
                                <w:szCs w:val="28"/>
                                <w:highlight w:val="none"/>
                              </w:rPr>
                              <w:t>______________________</w:t>
                            </w:r>
                          </w:p>
                          <w:p>
                            <w:pPr>
                              <w:adjustRightInd w:val="0"/>
                              <w:snapToGrid w:val="0"/>
                              <w:rPr>
                                <w:sz w:val="28"/>
                                <w:szCs w:val="28"/>
                                <w:highlight w:val="none"/>
                                <w:u w:val="single"/>
                              </w:rPr>
                            </w:pPr>
                            <w:r>
                              <w:rPr>
                                <w:rFonts w:hint="eastAsia" w:ascii="宋体" w:hAnsi="宋体" w:cs="宋体"/>
                                <w:sz w:val="28"/>
                                <w:szCs w:val="28"/>
                                <w:highlight w:val="none"/>
                              </w:rPr>
                              <w:t>法定代表人或被授权人（签字或盖章）：______________________</w:t>
                            </w:r>
                          </w:p>
                          <w:p>
                            <w:pPr>
                              <w:rPr>
                                <w:sz w:val="28"/>
                                <w:szCs w:val="28"/>
                                <w:highlight w:val="none"/>
                              </w:rPr>
                            </w:pPr>
                            <w:r>
                              <w:rPr>
                                <w:rFonts w:hint="eastAsia"/>
                                <w:sz w:val="28"/>
                                <w:szCs w:val="28"/>
                                <w:highlight w:val="none"/>
                              </w:rPr>
                              <w:t>时          间：</w:t>
                            </w:r>
                            <w:r>
                              <w:rPr>
                                <w:rFonts w:hint="eastAsia"/>
                                <w:sz w:val="28"/>
                                <w:szCs w:val="28"/>
                                <w:highlight w:val="none"/>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7.55pt;margin-top:8.9pt;height:244.9pt;width:458.2pt;z-index:251662336;mso-width-relative:page;mso-height-relative:page;" fillcolor="#FFFFFF" filled="t" stroked="t" coordsize="21600,21600" o:gfxdata="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bgR5TZAAAACgEAAA8AAAAAAAAAAQAg&#10;AAAAIgAAAGRycy9kb3ducmV2LnhtbFBLAQIUABQAAAAIAIdO4kDQBRxEDQIAAFMEAAAOAAAAAAAA&#10;AAEAIAAAACgBAABkcnMvZTJvRG9jLnhtbFBLBQYAAAAABgAGAFkBAACnBQAAAAA=&#10;">
                <v:fill on="t" focussize="0,0"/>
                <v:stroke color="#000000" joinstyle="miter"/>
                <v:imagedata o:title=""/>
                <o:lock v:ext="edit" aspectratio="f"/>
                <v:textbox>
                  <w:txbxContent>
                    <w:p>
                      <w:pPr>
                        <w:rPr>
                          <w:rFonts w:hint="eastAsia" w:eastAsia="宋体"/>
                          <w:sz w:val="28"/>
                          <w:szCs w:val="28"/>
                          <w:highlight w:val="none"/>
                          <w:lang w:eastAsia="zh-CN"/>
                        </w:rPr>
                      </w:pPr>
                      <w:r>
                        <w:rPr>
                          <w:rFonts w:hint="eastAsia"/>
                          <w:sz w:val="28"/>
                          <w:szCs w:val="28"/>
                        </w:rPr>
                        <w:t>致：陕西卓佲项目管理有限公司       项目编号：</w:t>
                      </w:r>
                      <w:r>
                        <w:rPr>
                          <w:rFonts w:hint="eastAsia"/>
                          <w:sz w:val="28"/>
                          <w:szCs w:val="28"/>
                          <w:highlight w:val="none"/>
                          <w:lang w:eastAsia="zh-CN"/>
                        </w:rPr>
                        <w:t>ZMZB2022SZY-129</w:t>
                      </w:r>
                    </w:p>
                    <w:p>
                      <w:pPr>
                        <w:rPr>
                          <w:rFonts w:hint="eastAsia" w:eastAsia="宋体"/>
                          <w:sz w:val="28"/>
                          <w:szCs w:val="28"/>
                          <w:highlight w:val="none"/>
                          <w:lang w:eastAsia="zh-CN"/>
                        </w:rPr>
                      </w:pPr>
                      <w:r>
                        <w:rPr>
                          <w:rFonts w:hint="eastAsia"/>
                          <w:sz w:val="28"/>
                          <w:szCs w:val="28"/>
                          <w:highlight w:val="none"/>
                        </w:rPr>
                        <w:t>项目名称：</w:t>
                      </w:r>
                      <w:r>
                        <w:rPr>
                          <w:rFonts w:hint="eastAsia"/>
                          <w:sz w:val="28"/>
                          <w:szCs w:val="28"/>
                          <w:highlight w:val="none"/>
                          <w:lang w:eastAsia="zh-CN"/>
                        </w:rPr>
                        <w:t>陕西省中医医院国家中医紧急医学救援队伍能力建设项目</w:t>
                      </w:r>
                    </w:p>
                    <w:p>
                      <w:pPr>
                        <w:jc w:val="center"/>
                        <w:rPr>
                          <w:b/>
                          <w:sz w:val="44"/>
                          <w:szCs w:val="44"/>
                          <w:highlight w:val="none"/>
                        </w:rPr>
                      </w:pPr>
                      <w:r>
                        <w:rPr>
                          <w:rFonts w:hint="eastAsia"/>
                          <w:b/>
                          <w:sz w:val="44"/>
                          <w:szCs w:val="44"/>
                          <w:highlight w:val="none"/>
                        </w:rPr>
                        <w:t>投标文件（正本）</w:t>
                      </w:r>
                    </w:p>
                    <w:p>
                      <w:pPr>
                        <w:pStyle w:val="7"/>
                        <w:ind w:firstLine="3092" w:firstLineChars="1100"/>
                        <w:jc w:val="both"/>
                        <w:rPr>
                          <w:sz w:val="28"/>
                          <w:szCs w:val="28"/>
                          <w:highlight w:val="none"/>
                        </w:rPr>
                      </w:pPr>
                      <w:r>
                        <w:rPr>
                          <w:sz w:val="28"/>
                          <w:szCs w:val="28"/>
                          <w:highlight w:val="none"/>
                        </w:rPr>
                        <w:t>（非开标会议不得启封）</w:t>
                      </w:r>
                    </w:p>
                    <w:p>
                      <w:pPr>
                        <w:rPr>
                          <w:sz w:val="28"/>
                          <w:szCs w:val="28"/>
                          <w:highlight w:val="none"/>
                          <w:u w:val="single"/>
                        </w:rPr>
                      </w:pPr>
                      <w:r>
                        <w:rPr>
                          <w:rFonts w:hint="eastAsia"/>
                          <w:sz w:val="28"/>
                          <w:szCs w:val="28"/>
                          <w:highlight w:val="none"/>
                        </w:rPr>
                        <w:t>供应商（公章）：</w:t>
                      </w:r>
                      <w:r>
                        <w:rPr>
                          <w:rFonts w:hint="eastAsia" w:ascii="宋体" w:hAnsi="宋体" w:cs="宋体"/>
                          <w:sz w:val="28"/>
                          <w:szCs w:val="28"/>
                          <w:highlight w:val="none"/>
                        </w:rPr>
                        <w:t>______________________</w:t>
                      </w:r>
                    </w:p>
                    <w:p>
                      <w:pPr>
                        <w:adjustRightInd w:val="0"/>
                        <w:snapToGrid w:val="0"/>
                        <w:rPr>
                          <w:sz w:val="28"/>
                          <w:szCs w:val="28"/>
                          <w:highlight w:val="none"/>
                          <w:u w:val="single"/>
                        </w:rPr>
                      </w:pPr>
                      <w:r>
                        <w:rPr>
                          <w:rFonts w:hint="eastAsia" w:ascii="宋体" w:hAnsi="宋体" w:cs="宋体"/>
                          <w:sz w:val="28"/>
                          <w:szCs w:val="28"/>
                          <w:highlight w:val="none"/>
                        </w:rPr>
                        <w:t>法定代表人或被授权人（签字或盖章）：______________________</w:t>
                      </w:r>
                    </w:p>
                    <w:p>
                      <w:pPr>
                        <w:rPr>
                          <w:sz w:val="28"/>
                          <w:szCs w:val="28"/>
                          <w:highlight w:val="none"/>
                        </w:rPr>
                      </w:pPr>
                      <w:r>
                        <w:rPr>
                          <w:rFonts w:hint="eastAsia"/>
                          <w:sz w:val="28"/>
                          <w:szCs w:val="28"/>
                          <w:highlight w:val="none"/>
                        </w:rPr>
                        <w:t>时          间：</w:t>
                      </w:r>
                      <w:r>
                        <w:rPr>
                          <w:rFonts w:hint="eastAsia"/>
                          <w:sz w:val="28"/>
                          <w:szCs w:val="28"/>
                          <w:highlight w:val="none"/>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pStyle w:val="10"/>
        <w:rPr>
          <w:rFonts w:ascii="宋体" w:hAnsi="宋体" w:cs="宋体"/>
        </w:rPr>
      </w:pPr>
    </w:p>
    <w:p>
      <w:pPr>
        <w:spacing w:line="460" w:lineRule="exact"/>
        <w:ind w:firstLine="482" w:firstLineChars="200"/>
        <w:jc w:val="center"/>
        <w:rPr>
          <w:rFonts w:ascii="宋体" w:hAnsi="宋体" w:cs="宋体"/>
          <w:b/>
          <w:sz w:val="24"/>
        </w:rPr>
      </w:pPr>
      <w:r>
        <w:rPr>
          <w:rFonts w:hint="eastAsia" w:ascii="宋体" w:hAnsi="宋体" w:cs="宋体"/>
          <w:b/>
          <w:sz w:val="24"/>
        </w:rPr>
        <w:t>投标文件副本封袋正面标识式样</w:t>
      </w:r>
    </w:p>
    <w:p>
      <w:pPr>
        <w:tabs>
          <w:tab w:val="left" w:pos="8280"/>
        </w:tabs>
        <w:spacing w:line="460" w:lineRule="exact"/>
        <w:ind w:firstLine="482" w:firstLineChars="200"/>
        <w:jc w:val="center"/>
        <w:rPr>
          <w:rFonts w:ascii="宋体" w:hAnsi="宋体" w:cs="宋体"/>
          <w:b/>
          <w:sz w:val="24"/>
        </w:rPr>
      </w:pPr>
    </w:p>
    <w:p>
      <w:pPr>
        <w:ind w:firstLine="420" w:firstLineChars="200"/>
        <w:jc w:val="center"/>
        <w:rPr>
          <w:rFonts w:ascii="宋体" w:hAnsi="宋体" w:cs="宋体"/>
        </w:rPr>
      </w:pPr>
    </w:p>
    <w:p>
      <w:pPr>
        <w:ind w:firstLine="420" w:firstLineChars="200"/>
        <w:jc w:val="center"/>
        <w:rPr>
          <w:rFonts w:ascii="宋体" w:hAnsi="宋体" w:cs="宋体"/>
        </w:rPr>
      </w:pP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-314325</wp:posOffset>
                </wp:positionH>
                <wp:positionV relativeFrom="paragraph">
                  <wp:posOffset>100330</wp:posOffset>
                </wp:positionV>
                <wp:extent cx="5870575" cy="3231515"/>
                <wp:effectExtent l="4445" t="4445" r="11430" b="21590"/>
                <wp:wrapNone/>
                <wp:docPr id="6" name="Text Box 4"/>
                <wp:cNvGraphicFramePr/>
                <a:graphic xmlns:a="http://schemas.openxmlformats.org/drawingml/2006/main">
                  <a:graphicData uri="http://schemas.microsoft.com/office/word/2010/wordprocessingShape">
                    <wps:wsp>
                      <wps:cNvSpPr txBox="1"/>
                      <wps:spPr>
                        <a:xfrm>
                          <a:off x="0" y="0"/>
                          <a:ext cx="5825490" cy="3231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highlight w:val="none"/>
                              </w:rPr>
                              <w:t>：</w:t>
                            </w:r>
                            <w:r>
                              <w:rPr>
                                <w:rFonts w:hint="eastAsia"/>
                                <w:sz w:val="28"/>
                                <w:szCs w:val="28"/>
                                <w:highlight w:val="none"/>
                                <w:lang w:eastAsia="zh-CN"/>
                              </w:rPr>
                              <w:t>ZMZB2022SZY-129</w:t>
                            </w:r>
                          </w:p>
                          <w:p>
                            <w:pPr>
                              <w:rPr>
                                <w:rFonts w:hint="eastAsia" w:eastAsia="宋体"/>
                                <w:sz w:val="28"/>
                                <w:szCs w:val="28"/>
                                <w:lang w:eastAsia="zh-CN"/>
                              </w:rPr>
                            </w:pPr>
                            <w:r>
                              <w:rPr>
                                <w:rFonts w:hint="eastAsia"/>
                                <w:sz w:val="28"/>
                                <w:szCs w:val="28"/>
                              </w:rPr>
                              <w:t>项目名称：</w:t>
                            </w:r>
                            <w:r>
                              <w:rPr>
                                <w:rFonts w:hint="eastAsia"/>
                                <w:sz w:val="28"/>
                                <w:szCs w:val="28"/>
                                <w:lang w:eastAsia="zh-CN"/>
                              </w:rPr>
                              <w:t>陕西省中医医院国家中医紧急医学救援队伍能力建设项目</w:t>
                            </w:r>
                          </w:p>
                          <w:p>
                            <w:pPr>
                              <w:pStyle w:val="3"/>
                              <w:ind w:firstLine="2650" w:firstLineChars="600"/>
                              <w:jc w:val="left"/>
                              <w:rPr>
                                <w:sz w:val="28"/>
                                <w:szCs w:val="28"/>
                              </w:rPr>
                            </w:pPr>
                            <w:r>
                              <w:rPr>
                                <w:rFonts w:hint="eastAsia"/>
                                <w:b/>
                                <w:color w:val="auto"/>
                                <w:sz w:val="44"/>
                                <w:szCs w:val="44"/>
                              </w:rPr>
                              <w:t>投标文件（副本）</w:t>
                            </w:r>
                          </w:p>
                          <w:p>
                            <w:pPr>
                              <w:pStyle w:val="7"/>
                              <w:ind w:firstLine="3092" w:firstLineChars="1100"/>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4" o:spid="_x0000_s1026" o:spt="202" type="#_x0000_t202" style="position:absolute;left:0pt;margin-left:-24.75pt;margin-top:7.9pt;height:254.45pt;width:462.25pt;z-index:251663360;mso-width-relative:page;mso-height-relative:page;" fillcolor="#FFFFFF" filled="t" stroked="t" coordsize="21600,21600" o:gfxdata="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08zR9kAAAAKAQAADwAAAAAAAAABACAA&#10;AAAiAAAAZHJzL2Rvd25yZXYueG1sUEsBAhQAFAAAAAgAh07iQFRu5IAMAgAAUgQAAA4AAAAAAAAA&#10;AQAgAAAAKAEAAGRycy9lMm9Eb2MueG1sUEsFBgAAAAAGAAYAWQEAAKY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highlight w:val="none"/>
                        </w:rPr>
                        <w:t>：</w:t>
                      </w:r>
                      <w:r>
                        <w:rPr>
                          <w:rFonts w:hint="eastAsia"/>
                          <w:sz w:val="28"/>
                          <w:szCs w:val="28"/>
                          <w:highlight w:val="none"/>
                          <w:lang w:eastAsia="zh-CN"/>
                        </w:rPr>
                        <w:t>ZMZB2022SZY-129</w:t>
                      </w:r>
                    </w:p>
                    <w:p>
                      <w:pPr>
                        <w:rPr>
                          <w:rFonts w:hint="eastAsia" w:eastAsia="宋体"/>
                          <w:sz w:val="28"/>
                          <w:szCs w:val="28"/>
                          <w:lang w:eastAsia="zh-CN"/>
                        </w:rPr>
                      </w:pPr>
                      <w:r>
                        <w:rPr>
                          <w:rFonts w:hint="eastAsia"/>
                          <w:sz w:val="28"/>
                          <w:szCs w:val="28"/>
                        </w:rPr>
                        <w:t>项目名称：</w:t>
                      </w:r>
                      <w:r>
                        <w:rPr>
                          <w:rFonts w:hint="eastAsia"/>
                          <w:sz w:val="28"/>
                          <w:szCs w:val="28"/>
                          <w:lang w:eastAsia="zh-CN"/>
                        </w:rPr>
                        <w:t>陕西省中医医院国家中医紧急医学救援队伍能力建设项目</w:t>
                      </w:r>
                    </w:p>
                    <w:p>
                      <w:pPr>
                        <w:pStyle w:val="3"/>
                        <w:ind w:firstLine="2650" w:firstLineChars="600"/>
                        <w:jc w:val="left"/>
                        <w:rPr>
                          <w:sz w:val="28"/>
                          <w:szCs w:val="28"/>
                        </w:rPr>
                      </w:pPr>
                      <w:r>
                        <w:rPr>
                          <w:rFonts w:hint="eastAsia"/>
                          <w:b/>
                          <w:color w:val="auto"/>
                          <w:sz w:val="44"/>
                          <w:szCs w:val="44"/>
                        </w:rPr>
                        <w:t>投标文件（副本）</w:t>
                      </w:r>
                    </w:p>
                    <w:p>
                      <w:pPr>
                        <w:pStyle w:val="7"/>
                        <w:ind w:firstLine="3092" w:firstLineChars="1100"/>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footerReference r:id="rId19" w:type="default"/>
          <w:pgSz w:w="11906" w:h="16838"/>
          <w:pgMar w:top="1440" w:right="1803" w:bottom="1440" w:left="1803" w:header="851" w:footer="992" w:gutter="0"/>
          <w:pgNumType w:fmt="decimal"/>
          <w:cols w:space="720" w:num="1"/>
          <w:docGrid w:type="lines" w:linePitch="319"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报价一览表封袋正面标识式样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-325755</wp:posOffset>
                </wp:positionH>
                <wp:positionV relativeFrom="paragraph">
                  <wp:posOffset>191135</wp:posOffset>
                </wp:positionV>
                <wp:extent cx="5760085" cy="3042920"/>
                <wp:effectExtent l="5080" t="4445" r="6985" b="19685"/>
                <wp:wrapNone/>
                <wp:docPr id="11" name="Text Box 3"/>
                <wp:cNvGraphicFramePr/>
                <a:graphic xmlns:a="http://schemas.openxmlformats.org/drawingml/2006/main">
                  <a:graphicData uri="http://schemas.microsoft.com/office/word/2010/wordprocessingShape">
                    <wps:wsp>
                      <wps:cNvSpPr txBox="1"/>
                      <wps:spPr>
                        <a:xfrm>
                          <a:off x="0" y="0"/>
                          <a:ext cx="5706745" cy="3060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highlight w:val="none"/>
                                <w:lang w:eastAsia="zh-CN"/>
                              </w:rPr>
                            </w:pPr>
                            <w:r>
                              <w:rPr>
                                <w:rFonts w:hint="eastAsia"/>
                                <w:sz w:val="28"/>
                                <w:szCs w:val="28"/>
                              </w:rPr>
                              <w:t>致：陕西卓佲项目管理有限公司        项目编号：</w:t>
                            </w:r>
                            <w:r>
                              <w:rPr>
                                <w:rFonts w:hint="eastAsia"/>
                                <w:sz w:val="28"/>
                                <w:szCs w:val="28"/>
                                <w:highlight w:val="none"/>
                                <w:lang w:eastAsia="zh-CN"/>
                              </w:rPr>
                              <w:t>ZMZB2022SZY-129</w:t>
                            </w:r>
                          </w:p>
                          <w:p>
                            <w:pPr>
                              <w:rPr>
                                <w:rFonts w:hint="eastAsia" w:eastAsia="宋体"/>
                                <w:sz w:val="28"/>
                                <w:szCs w:val="28"/>
                                <w:lang w:eastAsia="zh-CN"/>
                              </w:rPr>
                            </w:pPr>
                            <w:r>
                              <w:rPr>
                                <w:rFonts w:hint="eastAsia"/>
                                <w:sz w:val="28"/>
                                <w:szCs w:val="28"/>
                              </w:rPr>
                              <w:t>项目名称：</w:t>
                            </w:r>
                            <w:r>
                              <w:rPr>
                                <w:rFonts w:hint="eastAsia"/>
                                <w:sz w:val="28"/>
                                <w:szCs w:val="28"/>
                                <w:lang w:eastAsia="zh-CN"/>
                              </w:rPr>
                              <w:t>陕西省中医医院国家中医紧急医学救援队伍能力建设项目</w:t>
                            </w:r>
                          </w:p>
                          <w:p>
                            <w:pPr>
                              <w:pStyle w:val="7"/>
                              <w:ind w:firstLine="3092" w:firstLineChars="700"/>
                              <w:jc w:val="both"/>
                              <w:rPr>
                                <w:rFonts w:hint="default"/>
                                <w:sz w:val="28"/>
                                <w:szCs w:val="28"/>
                              </w:rPr>
                            </w:pPr>
                            <w:r>
                              <w:rPr>
                                <w:sz w:val="44"/>
                                <w:szCs w:val="44"/>
                              </w:rPr>
                              <w:t>报价一览表</w:t>
                            </w:r>
                          </w:p>
                          <w:p>
                            <w:pPr>
                              <w:pStyle w:val="7"/>
                              <w:ind w:firstLine="2530" w:firstLineChars="900"/>
                              <w:jc w:val="both"/>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5.65pt;margin-top:15.05pt;height:239.6pt;width:453.55pt;z-index:251664384;mso-width-relative:page;mso-height-relative:page;" fillcolor="#FFFFFF" filled="t" stroked="t" coordsize="21600,21600" o:gfxdata="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uCdwNoAAAAKAQAADwAAAAAAAAAB&#10;ACAAAAAiAAAAZHJzL2Rvd25yZXYueG1sUEsBAhQAFAAAAAgAh07iQIliSy0OAgAAUwQAAA4AAAAA&#10;AAAAAQAgAAAAKQEAAGRycy9lMm9Eb2MueG1sUEsFBgAAAAAGAAYAWQEAAKkFAAAAAA==&#10;">
                <v:fill on="t" focussize="0,0"/>
                <v:stroke color="#000000" joinstyle="miter"/>
                <v:imagedata o:title=""/>
                <o:lock v:ext="edit" aspectratio="f"/>
                <v:textbox>
                  <w:txbxContent>
                    <w:p>
                      <w:pPr>
                        <w:rPr>
                          <w:rFonts w:hint="eastAsia" w:eastAsia="宋体"/>
                          <w:sz w:val="28"/>
                          <w:szCs w:val="28"/>
                          <w:highlight w:val="none"/>
                          <w:lang w:eastAsia="zh-CN"/>
                        </w:rPr>
                      </w:pPr>
                      <w:r>
                        <w:rPr>
                          <w:rFonts w:hint="eastAsia"/>
                          <w:sz w:val="28"/>
                          <w:szCs w:val="28"/>
                        </w:rPr>
                        <w:t>致：陕西卓佲项目管理有限公司        项目编号：</w:t>
                      </w:r>
                      <w:r>
                        <w:rPr>
                          <w:rFonts w:hint="eastAsia"/>
                          <w:sz w:val="28"/>
                          <w:szCs w:val="28"/>
                          <w:highlight w:val="none"/>
                          <w:lang w:eastAsia="zh-CN"/>
                        </w:rPr>
                        <w:t>ZMZB2022SZY-129</w:t>
                      </w:r>
                    </w:p>
                    <w:p>
                      <w:pPr>
                        <w:rPr>
                          <w:rFonts w:hint="eastAsia" w:eastAsia="宋体"/>
                          <w:sz w:val="28"/>
                          <w:szCs w:val="28"/>
                          <w:lang w:eastAsia="zh-CN"/>
                        </w:rPr>
                      </w:pPr>
                      <w:r>
                        <w:rPr>
                          <w:rFonts w:hint="eastAsia"/>
                          <w:sz w:val="28"/>
                          <w:szCs w:val="28"/>
                        </w:rPr>
                        <w:t>项目名称：</w:t>
                      </w:r>
                      <w:r>
                        <w:rPr>
                          <w:rFonts w:hint="eastAsia"/>
                          <w:sz w:val="28"/>
                          <w:szCs w:val="28"/>
                          <w:lang w:eastAsia="zh-CN"/>
                        </w:rPr>
                        <w:t>陕西省中医医院国家中医紧急医学救援队伍能力建设项目</w:t>
                      </w:r>
                    </w:p>
                    <w:p>
                      <w:pPr>
                        <w:pStyle w:val="7"/>
                        <w:ind w:firstLine="3092" w:firstLineChars="700"/>
                        <w:jc w:val="both"/>
                        <w:rPr>
                          <w:rFonts w:hint="default"/>
                          <w:sz w:val="28"/>
                          <w:szCs w:val="28"/>
                        </w:rPr>
                      </w:pPr>
                      <w:r>
                        <w:rPr>
                          <w:sz w:val="44"/>
                          <w:szCs w:val="44"/>
                        </w:rPr>
                        <w:t>报价一览表</w:t>
                      </w:r>
                    </w:p>
                    <w:p>
                      <w:pPr>
                        <w:pStyle w:val="7"/>
                        <w:ind w:firstLine="2530" w:firstLineChars="900"/>
                        <w:jc w:val="both"/>
                        <w:rPr>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-331470</wp:posOffset>
                </wp:positionH>
                <wp:positionV relativeFrom="paragraph">
                  <wp:posOffset>142240</wp:posOffset>
                </wp:positionV>
                <wp:extent cx="5817235" cy="3183255"/>
                <wp:effectExtent l="5080" t="4445" r="6985" b="12700"/>
                <wp:wrapNone/>
                <wp:docPr id="10" name="Text Box 3"/>
                <wp:cNvGraphicFramePr/>
                <a:graphic xmlns:a="http://schemas.openxmlformats.org/drawingml/2006/main">
                  <a:graphicData uri="http://schemas.microsoft.com/office/word/2010/wordprocessingShape">
                    <wps:wsp>
                      <wps:cNvSpPr txBox="1"/>
                      <wps:spPr>
                        <a:xfrm>
                          <a:off x="0" y="0"/>
                          <a:ext cx="5817235" cy="3183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ZMZB2022SZY-129</w:t>
                            </w:r>
                          </w:p>
                          <w:p>
                            <w:pPr>
                              <w:rPr>
                                <w:rFonts w:hint="eastAsia" w:eastAsia="宋体"/>
                                <w:sz w:val="28"/>
                                <w:szCs w:val="28"/>
                                <w:lang w:eastAsia="zh-CN"/>
                              </w:rPr>
                            </w:pPr>
                            <w:r>
                              <w:rPr>
                                <w:rFonts w:hint="eastAsia"/>
                                <w:sz w:val="28"/>
                                <w:szCs w:val="28"/>
                              </w:rPr>
                              <w:t>项目名称：</w:t>
                            </w:r>
                            <w:r>
                              <w:rPr>
                                <w:rFonts w:hint="eastAsia"/>
                                <w:sz w:val="28"/>
                                <w:szCs w:val="28"/>
                                <w:lang w:eastAsia="zh-CN"/>
                              </w:rPr>
                              <w:t>陕西省中医医院国家中医紧急医学救援队伍能力建设项目</w:t>
                            </w:r>
                          </w:p>
                          <w:p>
                            <w:pPr>
                              <w:pStyle w:val="7"/>
                              <w:ind w:firstLine="3534" w:firstLineChars="800"/>
                              <w:jc w:val="both"/>
                              <w:rPr>
                                <w:rFonts w:hint="default"/>
                                <w:sz w:val="28"/>
                                <w:szCs w:val="28"/>
                              </w:rPr>
                            </w:pPr>
                            <w:r>
                              <w:rPr>
                                <w:sz w:val="44"/>
                                <w:szCs w:val="44"/>
                              </w:rPr>
                              <w:t>电子文档</w:t>
                            </w:r>
                          </w:p>
                          <w:p>
                            <w:pPr>
                              <w:ind w:firstLine="2800" w:firstLineChars="1000"/>
                              <w:rPr>
                                <w:rFonts w:hint="eastAsia"/>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wrap="square" upright="1"/>
                    </wps:wsp>
                  </a:graphicData>
                </a:graphic>
              </wp:anchor>
            </w:drawing>
          </mc:Choice>
          <mc:Fallback>
            <w:pict>
              <v:shape id="Text Box 3" o:spid="_x0000_s1026" o:spt="202" type="#_x0000_t202" style="position:absolute;left:0pt;margin-left:-26.1pt;margin-top:11.2pt;height:250.65pt;width:458.05pt;z-index:251665408;mso-width-relative:page;mso-height-relative:page;" fillcolor="#FFFFFF" filled="t" stroked="t" coordsize="21600,21600" o:gfxdata="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nfXDdoAAAAKAQAADwAAAAAAAAABACAA&#10;AAAiAAAAZHJzL2Rvd25yZXYueG1sUEsBAhQAFAAAAAgAh07iQHNjZQMLAgAAUwQAAA4AAAAAAAAA&#10;AQAgAAAAKQEAAGRycy9lMm9Eb2MueG1sUEsFBgAAAAAGAAYAWQEAAKY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ZMZB2022SZY-129</w:t>
                      </w:r>
                    </w:p>
                    <w:p>
                      <w:pPr>
                        <w:rPr>
                          <w:rFonts w:hint="eastAsia" w:eastAsia="宋体"/>
                          <w:sz w:val="28"/>
                          <w:szCs w:val="28"/>
                          <w:lang w:eastAsia="zh-CN"/>
                        </w:rPr>
                      </w:pPr>
                      <w:r>
                        <w:rPr>
                          <w:rFonts w:hint="eastAsia"/>
                          <w:sz w:val="28"/>
                          <w:szCs w:val="28"/>
                        </w:rPr>
                        <w:t>项目名称：</w:t>
                      </w:r>
                      <w:r>
                        <w:rPr>
                          <w:rFonts w:hint="eastAsia"/>
                          <w:sz w:val="28"/>
                          <w:szCs w:val="28"/>
                          <w:lang w:eastAsia="zh-CN"/>
                        </w:rPr>
                        <w:t>陕西省中医医院国家中医紧急医学救援队伍能力建设项目</w:t>
                      </w:r>
                    </w:p>
                    <w:p>
                      <w:pPr>
                        <w:pStyle w:val="7"/>
                        <w:ind w:firstLine="3534" w:firstLineChars="800"/>
                        <w:jc w:val="both"/>
                        <w:rPr>
                          <w:rFonts w:hint="default"/>
                          <w:sz w:val="28"/>
                          <w:szCs w:val="28"/>
                        </w:rPr>
                      </w:pPr>
                      <w:r>
                        <w:rPr>
                          <w:sz w:val="44"/>
                          <w:szCs w:val="44"/>
                        </w:rPr>
                        <w:t>电子文档</w:t>
                      </w:r>
                    </w:p>
                    <w:p>
                      <w:pPr>
                        <w:ind w:firstLine="2800" w:firstLineChars="1000"/>
                        <w:rPr>
                          <w:rFonts w:hint="eastAsia"/>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5"/>
        <w:adjustRightInd w:val="0"/>
        <w:spacing w:line="416" w:lineRule="atLeast"/>
        <w:textAlignment w:val="baseline"/>
        <w:rPr>
          <w:rFonts w:ascii="宋体" w:hAnsi="宋体" w:cs="宋体"/>
        </w:rPr>
      </w:pPr>
      <w:bookmarkStart w:id="107" w:name="_Toc1641"/>
      <w:bookmarkStart w:id="108" w:name="_Toc20374"/>
      <w:bookmarkStart w:id="109" w:name="_Toc20088"/>
      <w:bookmarkStart w:id="110" w:name="_Toc30485"/>
      <w:bookmarkStart w:id="111" w:name="_Toc8177"/>
      <w:bookmarkStart w:id="112" w:name="_Toc3008"/>
      <w:bookmarkStart w:id="113" w:name="_Toc18633"/>
      <w:bookmarkStart w:id="114" w:name="_Toc2630"/>
      <w:bookmarkStart w:id="115" w:name="_Toc11632"/>
      <w:bookmarkStart w:id="116" w:name="_Toc15303"/>
      <w:bookmarkStart w:id="117" w:name="_Toc30536"/>
      <w:bookmarkStart w:id="118" w:name="_Toc15467"/>
      <w:bookmarkStart w:id="119" w:name="_Toc30870"/>
      <w:r>
        <w:rPr>
          <w:rFonts w:hint="eastAsia" w:ascii="宋体" w:hAnsi="宋体" w:cs="宋体"/>
        </w:rPr>
        <w:t>附件二、中小企业申明</w:t>
      </w:r>
      <w:bookmarkEnd w:id="107"/>
      <w:bookmarkEnd w:id="108"/>
      <w:bookmarkEnd w:id="109"/>
      <w:bookmarkEnd w:id="110"/>
      <w:bookmarkEnd w:id="111"/>
      <w:bookmarkEnd w:id="112"/>
      <w:bookmarkEnd w:id="113"/>
      <w:bookmarkEnd w:id="114"/>
      <w:bookmarkEnd w:id="115"/>
      <w:r>
        <w:rPr>
          <w:rFonts w:hint="eastAsia" w:ascii="宋体" w:hAnsi="宋体" w:cs="宋体"/>
        </w:rPr>
        <w:t>（货物）</w:t>
      </w:r>
      <w:bookmarkEnd w:id="116"/>
    </w:p>
    <w:p>
      <w:pPr>
        <w:spacing w:line="360" w:lineRule="auto"/>
        <w:ind w:right="140" w:firstLine="641"/>
        <w:rPr>
          <w:rFonts w:ascii="宋体" w:hAnsi="宋体" w:cs="宋体"/>
          <w:sz w:val="24"/>
          <w:szCs w:val="24"/>
        </w:rPr>
      </w:pPr>
      <w:bookmarkStart w:id="120" w:name="_Toc10807"/>
      <w:bookmarkStart w:id="121" w:name="_Toc6022"/>
      <w:bookmarkStart w:id="122" w:name="_Toc11896"/>
      <w:bookmarkStart w:id="123" w:name="_Toc21117"/>
      <w:bookmarkStart w:id="124" w:name="_Toc32438"/>
      <w:bookmarkStart w:id="125" w:name="_Toc5814"/>
      <w:bookmarkStart w:id="126" w:name="_Toc12531"/>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3"/>
        <w:numPr>
          <w:ilvl w:val="0"/>
          <w:numId w:val="24"/>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3"/>
        <w:numPr>
          <w:ilvl w:val="0"/>
          <w:numId w:val="24"/>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left="3840" w:right="1900"/>
        <w:rPr>
          <w:rFonts w:hint="eastAsia" w:ascii="宋体" w:hAnsi="宋体" w:cs="宋体"/>
          <w:sz w:val="24"/>
          <w:szCs w:val="24"/>
        </w:rPr>
      </w:pPr>
      <w:r>
        <w:rPr>
          <w:rFonts w:hint="eastAsia" w:ascii="宋体" w:hAnsi="宋体" w:cs="宋体"/>
          <w:sz w:val="24"/>
          <w:szCs w:val="24"/>
        </w:rPr>
        <w:t>企业名称（盖章）：</w:t>
      </w:r>
    </w:p>
    <w:p>
      <w:pPr>
        <w:spacing w:line="360" w:lineRule="auto"/>
        <w:ind w:left="3840" w:right="1900"/>
        <w:rPr>
          <w:rFonts w:ascii="宋体" w:hAnsi="宋体" w:cs="宋体"/>
          <w:sz w:val="24"/>
          <w:szCs w:val="24"/>
        </w:rPr>
      </w:pPr>
      <w:r>
        <w:rPr>
          <w:rFonts w:hint="eastAsia" w:ascii="宋体" w:hAnsi="宋体" w:cs="宋体"/>
          <w:sz w:val="24"/>
          <w:szCs w:val="24"/>
        </w:rPr>
        <w:t>日期：</w:t>
      </w:r>
    </w:p>
    <w:p>
      <w:pPr>
        <w:rPr>
          <w:rFonts w:ascii="宋体" w:hAnsi="宋体"/>
          <w:sz w:val="18"/>
        </w:rPr>
      </w:pPr>
      <w:r>
        <w:rPr>
          <w:rFonts w:ascii="仿宋" w:hAnsi="仿宋" w:eastAsia="仿宋"/>
          <w:sz w:val="32"/>
        </w:rPr>
        <w:drawing>
          <wp:anchor distT="0" distB="0" distL="114300" distR="114300" simplePos="0" relativeHeight="25166028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8"/>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pStyle w:val="5"/>
        <w:rPr>
          <w:rFonts w:ascii="宋体" w:hAnsi="宋体" w:cs="宋体"/>
        </w:rPr>
        <w:sectPr>
          <w:footerReference r:id="rId20" w:type="default"/>
          <w:pgSz w:w="11906" w:h="16838"/>
          <w:pgMar w:top="1440" w:right="1803" w:bottom="1440" w:left="1803" w:header="851" w:footer="992" w:gutter="0"/>
          <w:pgNumType w:fmt="decimal"/>
          <w:cols w:space="720" w:num="1"/>
          <w:docGrid w:type="lines" w:linePitch="319" w:charSpace="0"/>
        </w:sectPr>
      </w:pPr>
    </w:p>
    <w:p>
      <w:pPr>
        <w:pStyle w:val="5"/>
        <w:keepNext w:val="0"/>
        <w:keepLines w:val="0"/>
        <w:widowControl/>
        <w:shd w:val="clear" w:color="auto" w:fill="FFFFFF"/>
        <w:spacing w:before="450" w:after="300" w:line="540" w:lineRule="atLeast"/>
        <w:textAlignment w:val="baseline"/>
        <w:rPr>
          <w:rFonts w:ascii="微软雅黑" w:hAnsi="微软雅黑" w:eastAsia="微软雅黑" w:cs="微软雅黑"/>
          <w:color w:val="383940"/>
          <w:sz w:val="39"/>
          <w:szCs w:val="39"/>
        </w:rPr>
      </w:pPr>
      <w:bookmarkStart w:id="127" w:name="_Toc13822"/>
      <w:r>
        <w:rPr>
          <w:rFonts w:hint="eastAsia" w:ascii="微软雅黑" w:hAnsi="微软雅黑" w:eastAsia="微软雅黑" w:cs="微软雅黑"/>
          <w:color w:val="383940"/>
          <w:sz w:val="39"/>
          <w:szCs w:val="39"/>
          <w:shd w:val="clear" w:color="auto" w:fill="FFFFFF"/>
        </w:rPr>
        <w:t>关于印发中小企业划型标准规定的通知</w:t>
      </w:r>
    </w:p>
    <w:p>
      <w:pPr>
        <w:pStyle w:val="26"/>
        <w:shd w:val="clear" w:color="auto" w:fill="FFFFFF"/>
        <w:rPr>
          <w:rFonts w:hint="eastAsia"/>
          <w:color w:val="000000"/>
          <w:shd w:val="clear" w:color="auto" w:fill="FFFFFF"/>
        </w:rPr>
      </w:pPr>
      <w:r>
        <w:rPr>
          <w:rFonts w:hint="eastAsia"/>
          <w:color w:val="000000"/>
          <w:shd w:val="clear" w:color="auto" w:fill="FFFFFF"/>
        </w:rPr>
        <w:t>各省、自治区、直辖市人民政府，国务院各部委、各直属机构及有关单位：</w:t>
      </w:r>
    </w:p>
    <w:p>
      <w:pPr>
        <w:pStyle w:val="26"/>
        <w:shd w:val="clear" w:color="auto" w:fill="FFFFFF"/>
        <w:rPr>
          <w:rFonts w:hint="eastAsia"/>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26"/>
        <w:shd w:val="clear" w:color="auto" w:fill="FFFFFF"/>
        <w:rPr>
          <w:rFonts w:hint="eastAsia"/>
          <w:color w:val="000000"/>
          <w:shd w:val="clear" w:color="auto" w:fill="FFFFFF"/>
        </w:rPr>
      </w:pPr>
      <w:r>
        <w:rPr>
          <w:rFonts w:hint="eastAsia"/>
          <w:color w:val="000000"/>
          <w:shd w:val="clear" w:color="auto" w:fill="FFFFFF"/>
        </w:rPr>
        <w:t>　　　　　　　　　　　　　　　　　　　　　工业和信息化部　国家统计局</w:t>
      </w:r>
    </w:p>
    <w:p>
      <w:pPr>
        <w:pStyle w:val="26"/>
        <w:shd w:val="clear" w:color="auto" w:fill="FFFFFF"/>
        <w:rPr>
          <w:rFonts w:hint="eastAsia"/>
          <w:color w:val="000000"/>
          <w:shd w:val="clear" w:color="auto" w:fill="FFFFFF"/>
        </w:rPr>
      </w:pPr>
      <w:r>
        <w:rPr>
          <w:rFonts w:hint="eastAsia"/>
          <w:color w:val="000000"/>
          <w:shd w:val="clear" w:color="auto" w:fill="FFFFFF"/>
        </w:rPr>
        <w:t>　　　　　　　　　　　　　　　　　　　　国家发展和改革委员会　财政部</w:t>
      </w:r>
    </w:p>
    <w:p>
      <w:pPr>
        <w:pStyle w:val="26"/>
        <w:shd w:val="clear" w:color="auto" w:fill="FFFFFF"/>
        <w:rPr>
          <w:color w:val="000000"/>
        </w:rPr>
      </w:pPr>
      <w:r>
        <w:rPr>
          <w:rFonts w:hint="eastAsia"/>
          <w:color w:val="000000"/>
          <w:shd w:val="clear" w:color="auto" w:fill="FFFFFF"/>
        </w:rPr>
        <w:t>　　　　　　　　　　　　　　　　　　　　　　　　二○一一年六月十八日</w:t>
      </w:r>
    </w:p>
    <w:p>
      <w:pPr>
        <w:pStyle w:val="26"/>
        <w:shd w:val="clear" w:color="auto" w:fill="FFFFFF"/>
        <w:jc w:val="center"/>
        <w:rPr>
          <w:rStyle w:val="33"/>
          <w:color w:val="000000"/>
          <w:sz w:val="36"/>
          <w:szCs w:val="36"/>
          <w:shd w:val="clear" w:color="auto" w:fill="FFFFFF"/>
        </w:rPr>
      </w:pPr>
      <w:r>
        <w:rPr>
          <w:rStyle w:val="33"/>
          <w:rFonts w:hint="eastAsia"/>
          <w:color w:val="000000"/>
          <w:sz w:val="36"/>
          <w:szCs w:val="36"/>
          <w:shd w:val="clear" w:color="auto" w:fill="FFFFFF"/>
        </w:rPr>
        <w:t>中小企业划型标准规定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四、各行业划型标准为：</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五、企业类型的划分以统计部门的统计数据为依据。</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p>
    <w:p>
      <w:pP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九、本规定由工业和信息化部、国家统计局会同有关部门负责解释。</w:t>
      </w:r>
    </w:p>
    <w:p>
      <w:pPr>
        <w:sectPr>
          <w:footerReference r:id="rId21" w:type="default"/>
          <w:pgSz w:w="11906" w:h="16838"/>
          <w:pgMar w:top="1440" w:right="1803" w:bottom="1440" w:left="1803" w:header="851" w:footer="992" w:gutter="0"/>
          <w:cols w:space="720" w:num="1"/>
          <w:docGrid w:type="lines" w:linePitch="319" w:charSpace="0"/>
        </w:sectPr>
      </w:pP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pPr>
        <w:pStyle w:val="5"/>
        <w:rPr>
          <w:rFonts w:ascii="宋体" w:hAnsi="宋体" w:cs="宋体"/>
        </w:rPr>
      </w:pPr>
      <w:r>
        <w:rPr>
          <w:rFonts w:hint="eastAsia" w:ascii="宋体" w:hAnsi="宋体" w:cs="宋体"/>
        </w:rPr>
        <w:t>附件三、残疾人福利性单位声明</w:t>
      </w:r>
      <w:bookmarkEnd w:id="120"/>
      <w:bookmarkEnd w:id="121"/>
      <w:bookmarkEnd w:id="122"/>
      <w:bookmarkEnd w:id="123"/>
      <w:bookmarkEnd w:id="124"/>
      <w:bookmarkEnd w:id="125"/>
      <w:bookmarkEnd w:id="126"/>
      <w:bookmarkEnd w:id="127"/>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5"/>
        <w:rPr>
          <w:rFonts w:ascii="宋体" w:hAnsi="宋体" w:cs="宋体"/>
        </w:rPr>
      </w:pPr>
      <w:bookmarkStart w:id="128" w:name="_Toc14977"/>
      <w:bookmarkStart w:id="129" w:name="_Toc2723"/>
      <w:bookmarkStart w:id="130" w:name="_Toc3053"/>
      <w:r>
        <w:rPr>
          <w:rFonts w:hint="eastAsia" w:ascii="宋体" w:hAnsi="宋体" w:cs="宋体"/>
        </w:rPr>
        <w:t>附件四、监狱企业证明文件</w:t>
      </w:r>
      <w:bookmarkEnd w:id="117"/>
      <w:bookmarkEnd w:id="118"/>
      <w:bookmarkEnd w:id="119"/>
      <w:bookmarkEnd w:id="128"/>
      <w:bookmarkEnd w:id="129"/>
      <w:bookmarkEnd w:id="130"/>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5"/>
        <w:adjustRightInd w:val="0"/>
        <w:spacing w:line="416" w:lineRule="atLeast"/>
        <w:textAlignment w:val="baseline"/>
        <w:rPr>
          <w:rFonts w:ascii="宋体" w:hAnsi="宋体" w:cs="宋体"/>
        </w:rPr>
      </w:pPr>
      <w:bookmarkStart w:id="131" w:name="_Toc11969"/>
      <w:bookmarkStart w:id="132" w:name="_Toc13122"/>
      <w:bookmarkStart w:id="133" w:name="_Toc6133"/>
      <w:bookmarkStart w:id="134" w:name="_Toc13303"/>
      <w:bookmarkStart w:id="135" w:name="_Toc2126"/>
      <w:bookmarkStart w:id="136" w:name="_Toc563"/>
      <w:bookmarkStart w:id="137" w:name="_Toc3267"/>
      <w:r>
        <w:rPr>
          <w:rFonts w:hint="eastAsia" w:ascii="宋体" w:hAnsi="宋体" w:cs="宋体"/>
        </w:rPr>
        <w:t>附件五、“节能产品”，“环境标志产品”证明材料</w:t>
      </w:r>
      <w:bookmarkEnd w:id="131"/>
      <w:bookmarkEnd w:id="132"/>
      <w:bookmarkEnd w:id="133"/>
      <w:bookmarkEnd w:id="134"/>
      <w:bookmarkEnd w:id="135"/>
      <w:bookmarkEnd w:id="136"/>
      <w:bookmarkEnd w:id="137"/>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5"/>
        <w:adjustRightInd w:val="0"/>
        <w:spacing w:line="416" w:lineRule="atLeast"/>
        <w:textAlignment w:val="baseline"/>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5"/>
        <w:rPr>
          <w:rFonts w:ascii="宋体" w:hAnsi="宋体" w:cs="宋体"/>
        </w:rPr>
      </w:pPr>
      <w:bookmarkStart w:id="138" w:name="_Toc4414"/>
      <w:bookmarkStart w:id="139" w:name="_Toc24855"/>
      <w:bookmarkStart w:id="140" w:name="_Toc12626"/>
      <w:bookmarkStart w:id="141" w:name="_Toc23799"/>
      <w:bookmarkStart w:id="142" w:name="_Toc26351"/>
      <w:bookmarkStart w:id="143" w:name="_Toc5338"/>
      <w:bookmarkStart w:id="144" w:name="_Toc10027"/>
      <w:bookmarkStart w:id="145" w:name="_Toc11924"/>
      <w:r>
        <w:rPr>
          <w:rFonts w:hint="eastAsia" w:ascii="宋体" w:hAnsi="宋体" w:cs="宋体"/>
        </w:rPr>
        <w:t>附件六、质疑函范本</w:t>
      </w:r>
      <w:bookmarkEnd w:id="138"/>
      <w:bookmarkEnd w:id="139"/>
      <w:bookmarkEnd w:id="140"/>
      <w:bookmarkEnd w:id="141"/>
      <w:bookmarkEnd w:id="142"/>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5"/>
        <w:adjustRightInd w:val="0"/>
        <w:spacing w:line="416" w:lineRule="atLeast"/>
        <w:jc w:val="both"/>
        <w:textAlignment w:val="baseline"/>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5"/>
        <w:adjustRightInd w:val="0"/>
        <w:spacing w:line="416" w:lineRule="atLeast"/>
        <w:textAlignment w:val="baseline"/>
        <w:rPr>
          <w:rFonts w:ascii="宋体" w:hAnsi="宋体" w:cs="宋体"/>
        </w:rPr>
      </w:pPr>
      <w:bookmarkStart w:id="146" w:name="_Toc1200"/>
      <w:bookmarkStart w:id="147" w:name="_Toc2686"/>
      <w:bookmarkStart w:id="148" w:name="_Toc14337"/>
      <w:bookmarkStart w:id="149" w:name="_Toc19897"/>
      <w:r>
        <w:rPr>
          <w:rFonts w:hint="eastAsia" w:ascii="宋体" w:hAnsi="宋体" w:cs="宋体"/>
        </w:rPr>
        <w:t>附件七、保证金退还账户信息确认表</w:t>
      </w:r>
      <w:bookmarkEnd w:id="143"/>
      <w:bookmarkEnd w:id="144"/>
      <w:bookmarkEnd w:id="145"/>
      <w:bookmarkEnd w:id="146"/>
      <w:bookmarkEnd w:id="147"/>
      <w:bookmarkEnd w:id="148"/>
      <w:bookmarkEnd w:id="149"/>
      <w:bookmarkStart w:id="150" w:name="_Toc378248335"/>
    </w:p>
    <w:p>
      <w:pPr>
        <w:rPr>
          <w:rFonts w:ascii="宋体" w:hAnsi="宋体" w:cs="宋体"/>
        </w:rPr>
      </w:pPr>
    </w:p>
    <w:p>
      <w:pPr>
        <w:rPr>
          <w:rFonts w:ascii="宋体" w:hAnsi="宋体" w:cs="宋体"/>
          <w:sz w:val="28"/>
          <w:szCs w:val="28"/>
        </w:rPr>
      </w:pPr>
      <w:r>
        <w:rPr>
          <w:rFonts w:hint="eastAsia" w:ascii="宋体" w:hAnsi="宋体" w:cs="宋体"/>
          <w:sz w:val="28"/>
          <w:szCs w:val="28"/>
        </w:rPr>
        <w:t>项目名称：</w:t>
      </w:r>
      <w:r>
        <w:rPr>
          <w:rFonts w:hint="eastAsia" w:ascii="宋体" w:hAnsi="宋体" w:cs="宋体"/>
          <w:kern w:val="0"/>
          <w:sz w:val="24"/>
          <w:szCs w:val="24"/>
        </w:rPr>
        <w:t>_____________________________</w:t>
      </w:r>
    </w:p>
    <w:p>
      <w:pPr>
        <w:tabs>
          <w:tab w:val="center" w:pos="4150"/>
        </w:tabs>
        <w:rPr>
          <w:rFonts w:hint="eastAsia" w:ascii="宋体" w:hAnsi="宋体" w:cs="宋体"/>
          <w:sz w:val="28"/>
          <w:szCs w:val="28"/>
        </w:rPr>
      </w:pPr>
      <w:r>
        <w:rPr>
          <w:rFonts w:hint="eastAsia" w:ascii="宋体" w:hAnsi="宋体" w:cs="宋体"/>
          <w:sz w:val="28"/>
          <w:szCs w:val="28"/>
        </w:rPr>
        <w:t>项目编号：</w:t>
      </w:r>
      <w:bookmarkEnd w:id="150"/>
      <w:r>
        <w:rPr>
          <w:rFonts w:hint="eastAsia" w:ascii="宋体" w:hAnsi="宋体" w:cs="宋体"/>
          <w:kern w:val="0"/>
          <w:sz w:val="24"/>
          <w:szCs w:val="24"/>
        </w:rPr>
        <w:t>_____________________________</w:t>
      </w:r>
      <w:r>
        <w:rPr>
          <w:rFonts w:hint="eastAsia" w:ascii="宋体" w:hAnsi="宋体" w:cs="宋体"/>
          <w:sz w:val="28"/>
          <w:szCs w:val="28"/>
        </w:rPr>
        <w:tab/>
      </w:r>
    </w:p>
    <w:tbl>
      <w:tblPr>
        <w:tblStyle w:val="30"/>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tcPr>
          <w:p>
            <w:pPr>
              <w:rPr>
                <w:rFonts w:ascii="宋体" w:hAnsi="宋体" w:cs="宋体"/>
                <w:sz w:val="24"/>
                <w:szCs w:val="24"/>
              </w:rPr>
            </w:pPr>
            <w:r>
              <w:rPr>
                <w:rFonts w:hint="eastAsia" w:ascii="宋体" w:hAnsi="宋体" w:cs="宋体"/>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rPr>
                <w:rFonts w:ascii="宋体" w:hAnsi="宋体" w:cs="宋体"/>
                <w:sz w:val="24"/>
                <w:szCs w:val="24"/>
              </w:rPr>
            </w:pPr>
          </w:p>
        </w:tc>
        <w:tc>
          <w:tcPr>
            <w:tcW w:w="6372" w:type="dxa"/>
            <w:gridSpan w:val="2"/>
          </w:tcPr>
          <w:p>
            <w:pPr>
              <w:rPr>
                <w:rFonts w:ascii="宋体" w:hAnsi="宋体" w:cs="宋体"/>
                <w:sz w:val="24"/>
                <w:szCs w:val="24"/>
              </w:rPr>
            </w:pPr>
            <w:r>
              <w:rPr>
                <w:rFonts w:hint="eastAsia" w:ascii="宋体" w:hAnsi="宋体" w:cs="宋体"/>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rPr>
                <w:rFonts w:ascii="宋体" w:hAnsi="宋体" w:cs="宋体"/>
              </w:rPr>
            </w:pPr>
            <w:r>
              <w:rPr>
                <w:rFonts w:hint="eastAsia" w:ascii="宋体" w:hAnsi="宋体" w:cs="宋体"/>
              </w:rPr>
              <w:t>收款单位（盖章）</w:t>
            </w:r>
          </w:p>
        </w:tc>
        <w:tc>
          <w:tcPr>
            <w:tcW w:w="2370" w:type="dxa"/>
            <w:vAlign w:val="center"/>
          </w:tcPr>
          <w:p>
            <w:pPr>
              <w:jc w:val="center"/>
              <w:rPr>
                <w:rFonts w:ascii="宋体" w:hAnsi="宋体" w:cs="宋体"/>
                <w:sz w:val="24"/>
                <w:szCs w:val="24"/>
              </w:rPr>
            </w:pPr>
            <w:r>
              <w:rPr>
                <w:rFonts w:hint="eastAsia" w:ascii="宋体" w:hAnsi="宋体" w:cs="宋体"/>
                <w:sz w:val="24"/>
                <w:szCs w:val="24"/>
              </w:rPr>
              <w:t>单  位 名 称</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开   户   行</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账        号</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联系人及电话</w:t>
            </w:r>
          </w:p>
        </w:tc>
        <w:tc>
          <w:tcPr>
            <w:tcW w:w="4002" w:type="dxa"/>
          </w:tcPr>
          <w:p>
            <w:pPr>
              <w:rPr>
                <w:rFonts w:ascii="宋体" w:hAnsi="宋体" w:cs="宋体"/>
                <w:sz w:val="24"/>
                <w:szCs w:val="24"/>
              </w:rPr>
            </w:pPr>
          </w:p>
        </w:tc>
      </w:tr>
    </w:tbl>
    <w:p>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开标当天将保证金退还账户信息确认表与保证金汇款凭证复印件加盖公章一并交给工作人员，当天未提交保证金退还账户信息确认表与保证金汇款凭证复印件加盖公章的供应商，在开标后自行找财务办理保证金退还手续。</w:t>
      </w:r>
    </w:p>
    <w:p>
      <w:pPr>
        <w:jc w:val="left"/>
        <w:rPr>
          <w:rFonts w:ascii="宋体" w:hAnsi="宋体" w:cs="宋体"/>
          <w:b/>
          <w:bCs/>
          <w:spacing w:val="48"/>
          <w:sz w:val="72"/>
          <w:szCs w:val="72"/>
        </w:rPr>
      </w:pPr>
    </w:p>
    <w:p>
      <w:pPr>
        <w:rPr>
          <w:rFonts w:ascii="宋体" w:hAnsi="宋体" w:cs="宋体"/>
        </w:rPr>
      </w:pPr>
    </w:p>
    <w:p>
      <w:pPr>
        <w:jc w:val="left"/>
        <w:rPr>
          <w:rFonts w:ascii="宋体" w:hAnsi="宋体" w:cs="宋体"/>
          <w:b/>
          <w:bCs/>
          <w:spacing w:val="48"/>
          <w:sz w:val="72"/>
          <w:szCs w:val="72"/>
        </w:rPr>
      </w:pPr>
    </w:p>
    <w:p>
      <w:pPr>
        <w:rPr>
          <w:rFonts w:ascii="宋体" w:hAnsi="宋体" w:cs="宋体"/>
        </w:rPr>
      </w:pPr>
    </w:p>
    <w:p>
      <w:pPr>
        <w:rPr>
          <w:rFonts w:ascii="宋体" w:hAnsi="宋体" w:cs="宋体"/>
          <w:b/>
          <w:bCs/>
          <w:spacing w:val="48"/>
          <w:sz w:val="72"/>
          <w:szCs w:val="72"/>
        </w:rPr>
      </w:pPr>
    </w:p>
    <w:p>
      <w:pPr>
        <w:rPr>
          <w:rFonts w:ascii="宋体" w:hAnsi="宋体" w:cs="宋体"/>
        </w:rPr>
      </w:pPr>
    </w:p>
    <w:p>
      <w:pPr>
        <w:jc w:val="left"/>
        <w:rPr>
          <w:rFonts w:ascii="宋体" w:hAnsi="宋体" w:cs="宋体"/>
          <w:b/>
          <w:spacing w:val="48"/>
          <w:sz w:val="72"/>
          <w:szCs w:val="72"/>
        </w:rPr>
        <w:sectPr>
          <w:headerReference r:id="rId22" w:type="default"/>
          <w:footerReference r:id="rId23" w:type="default"/>
          <w:pgSz w:w="11906" w:h="16838"/>
          <w:pgMar w:top="1440" w:right="1803" w:bottom="1440" w:left="1803" w:header="851" w:footer="992" w:gutter="0"/>
          <w:pgNumType w:fmt="decimal"/>
          <w:cols w:space="720" w:num="1"/>
          <w:docGrid w:type="lines" w:linePitch="319" w:charSpace="0"/>
        </w:sectPr>
      </w:pPr>
    </w:p>
    <w:p>
      <w:pPr>
        <w:ind w:firstLine="819" w:firstLineChars="100"/>
        <w:jc w:val="left"/>
        <w:rPr>
          <w:rFonts w:ascii="宋体" w:hAnsi="宋体" w:cs="宋体"/>
          <w:b/>
          <w:spacing w:val="48"/>
          <w:sz w:val="72"/>
          <w:szCs w:val="72"/>
        </w:rPr>
      </w:pPr>
      <w:r>
        <w:rPr>
          <w:rFonts w:hint="eastAsia" w:ascii="宋体" w:hAnsi="宋体" w:cs="宋体"/>
          <w:b/>
          <w:spacing w:val="48"/>
          <w:sz w:val="72"/>
          <w:szCs w:val="72"/>
        </w:rPr>
        <w:t>公平       公正</w:t>
      </w:r>
    </w:p>
    <w:p>
      <w:pPr>
        <w:jc w:val="left"/>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r>
        <w:rPr>
          <w:rFonts w:hint="eastAsia" w:ascii="宋体" w:hAnsi="宋体" w:cs="宋体"/>
          <w:b/>
          <w:sz w:val="30"/>
          <w:szCs w:val="30"/>
        </w:rPr>
        <w:t>企业名称：陕西卓佲项目管理有限公司</w:t>
      </w:r>
    </w:p>
    <w:p>
      <w:pPr>
        <w:rPr>
          <w:rFonts w:ascii="宋体" w:hAnsi="宋体" w:cs="宋体"/>
          <w:b/>
          <w:sz w:val="30"/>
          <w:szCs w:val="30"/>
        </w:rPr>
      </w:pPr>
      <w:r>
        <w:rPr>
          <w:rFonts w:hint="eastAsia" w:ascii="宋体" w:hAnsi="宋体" w:cs="宋体"/>
          <w:b/>
          <w:sz w:val="30"/>
          <w:szCs w:val="30"/>
        </w:rPr>
        <w:t>地址：西安市雁塔区科技路十号华奥大厦A座</w:t>
      </w:r>
      <w:r>
        <w:rPr>
          <w:rFonts w:hint="eastAsia" w:ascii="宋体" w:hAnsi="宋体" w:cs="宋体"/>
          <w:b/>
          <w:sz w:val="30"/>
          <w:szCs w:val="30"/>
          <w:lang w:val="en-US" w:eastAsia="zh-CN"/>
        </w:rPr>
        <w:t>20层</w:t>
      </w:r>
      <w:r>
        <w:rPr>
          <w:rFonts w:hint="eastAsia" w:ascii="宋体" w:hAnsi="宋体" w:cs="宋体"/>
          <w:b/>
          <w:sz w:val="30"/>
          <w:szCs w:val="30"/>
        </w:rPr>
        <w:t>2002室</w:t>
      </w:r>
    </w:p>
    <w:p>
      <w:pPr>
        <w:rPr>
          <w:rFonts w:ascii="宋体" w:hAnsi="宋体" w:cs="宋体"/>
          <w:b/>
          <w:sz w:val="30"/>
          <w:szCs w:val="30"/>
        </w:rPr>
      </w:pPr>
      <w:r>
        <w:rPr>
          <w:rFonts w:hint="eastAsia" w:ascii="宋体" w:hAnsi="宋体" w:cs="宋体"/>
          <w:b/>
          <w:sz w:val="30"/>
          <w:szCs w:val="30"/>
        </w:rPr>
        <w:t>邮政编码：710065</w:t>
      </w:r>
    </w:p>
    <w:p>
      <w:pPr>
        <w:rPr>
          <w:rFonts w:ascii="宋体" w:hAnsi="宋体" w:cs="宋体"/>
          <w:b/>
          <w:sz w:val="30"/>
          <w:szCs w:val="30"/>
        </w:rPr>
      </w:pPr>
      <w:r>
        <w:rPr>
          <w:rFonts w:hint="eastAsia" w:ascii="宋体" w:hAnsi="宋体" w:cs="宋体"/>
          <w:b/>
          <w:sz w:val="30"/>
          <w:szCs w:val="30"/>
        </w:rPr>
        <w:t>电话：029-88440695</w:t>
      </w:r>
    </w:p>
    <w:p>
      <w:pPr>
        <w:rPr>
          <w:rFonts w:ascii="宋体" w:hAnsi="宋体" w:cs="宋体"/>
        </w:rPr>
      </w:pPr>
      <w:r>
        <w:rPr>
          <w:rFonts w:hint="eastAsia" w:ascii="宋体" w:hAnsi="宋体" w:cs="宋体"/>
          <w:b/>
          <w:sz w:val="30"/>
          <w:szCs w:val="30"/>
        </w:rPr>
        <w:t>传真：029-88440695</w:t>
      </w:r>
    </w:p>
    <w:p>
      <w:pPr>
        <w:rPr>
          <w:rFonts w:ascii="宋体" w:hAnsi="宋体" w:cs="宋体"/>
        </w:rPr>
      </w:pPr>
    </w:p>
    <w:bookmarkEnd w:id="0"/>
    <w:bookmarkEnd w:id="66"/>
    <w:bookmarkEnd w:id="67"/>
    <w:p>
      <w:pPr>
        <w:rPr>
          <w:rFonts w:ascii="宋体" w:hAnsi="宋体" w:cs="宋体"/>
        </w:rPr>
      </w:pPr>
    </w:p>
    <w:sectPr>
      <w:headerReference r:id="rId24" w:type="default"/>
      <w:footerReference r:id="rId25"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PMingLiU">
    <w:panose1 w:val="02020500000000000000"/>
    <w:charset w:val="88"/>
    <w:family w:val="auto"/>
    <w:pitch w:val="default"/>
    <w:sig w:usb0="A00002FF" w:usb1="28CFFCFA"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cs="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0"/>
        <w:tab w:val="right" w:pos="8420"/>
        <w:tab w:val="clear" w:pos="4153"/>
      </w:tabs>
      <w:rPr>
        <w:rFonts w:ascii="宋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0"/>
        <w:tab w:val="right" w:pos="8420"/>
        <w:tab w:val="clear" w:pos="4153"/>
      </w:tabs>
      <w:rPr>
        <w:rFonts w:ascii="宋体"/>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62</w:t>
                          </w:r>
                          <w:r>
                            <w:fldChar w:fldCharType="end"/>
                          </w:r>
                          <w:r>
                            <w:t xml:space="preserve"> 页 共 </w:t>
                          </w:r>
                          <w:r>
                            <w:rPr>
                              <w:rFonts w:hint="eastAsia"/>
                              <w:lang w:val="en-US" w:eastAsia="zh-CN"/>
                            </w:rPr>
                            <w:t>67</w:t>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62</w:t>
                    </w:r>
                    <w:r>
                      <w:fldChar w:fldCharType="end"/>
                    </w:r>
                    <w:r>
                      <w:t xml:space="preserve"> 页 共 </w:t>
                    </w:r>
                    <w:r>
                      <w:rPr>
                        <w:rFonts w:hint="eastAsia"/>
                        <w:lang w:val="en-US" w:eastAsia="zh-CN"/>
                      </w:rPr>
                      <w:t>67</w:t>
                    </w:r>
                    <w:r>
                      <w:t>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0"/>
        <w:tab w:val="right" w:pos="8420"/>
        <w:tab w:val="clear" w:pos="4153"/>
      </w:tabs>
      <w:rPr>
        <w:rFonts w:ascii="宋体"/>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right" w:pos="8426"/>
      </w:tabs>
      <w:rPr>
        <w:rFonts w:ascii="宋体" w:hAns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0"/>
        <w:tab w:val="right" w:pos="8420"/>
        <w:tab w:val="clear" w:pos="4153"/>
      </w:tabs>
      <w:rPr>
        <w:rFonts w:ascii="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hAnsi="宋体" w:eastAsia="宋体" w:cs="宋体"/>
        <w:highlight w:val="none"/>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 xml:space="preserve">西安外国语大学长安校区中心机房改造项目                                                      </w:t>
    </w:r>
    <w:bookmarkStart w:id="151" w:name="OLE_LINK16"/>
    <w:r>
      <w:rPr>
        <w:rFonts w:hint="eastAsia" w:ascii="宋体" w:hAnsi="宋体" w:cs="宋体"/>
        <w:sz w:val="15"/>
        <w:szCs w:val="15"/>
        <w:u w:val="single"/>
      </w:rPr>
      <w:t>SXWZ2017ZB-XAWGY-02</w:t>
    </w:r>
    <w:bookmarkEnd w:id="15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C435DD92"/>
    <w:multiLevelType w:val="singleLevel"/>
    <w:tmpl w:val="C435DD92"/>
    <w:lvl w:ilvl="0" w:tentative="0">
      <w:start w:val="2"/>
      <w:numFmt w:val="chineseCounting"/>
      <w:suff w:val="nothing"/>
      <w:lvlText w:val="%1、"/>
      <w:lvlJc w:val="left"/>
      <w:rPr>
        <w:rFonts w:hint="eastAsia"/>
      </w:rPr>
    </w:lvl>
  </w:abstractNum>
  <w:abstractNum w:abstractNumId="2">
    <w:nsid w:val="C99BDCD1"/>
    <w:multiLevelType w:val="singleLevel"/>
    <w:tmpl w:val="C99BDCD1"/>
    <w:lvl w:ilvl="0" w:tentative="0">
      <w:start w:val="1"/>
      <w:numFmt w:val="chineseCounting"/>
      <w:suff w:val="nothing"/>
      <w:lvlText w:val="（%1）"/>
      <w:lvlJc w:val="left"/>
      <w:rPr>
        <w:rFonts w:hint="eastAsia"/>
      </w:rPr>
    </w:lvl>
  </w:abstractNum>
  <w:abstractNum w:abstractNumId="3">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4">
    <w:nsid w:val="F20ECAEB"/>
    <w:multiLevelType w:val="singleLevel"/>
    <w:tmpl w:val="F20ECAEB"/>
    <w:lvl w:ilvl="0" w:tentative="0">
      <w:start w:val="4"/>
      <w:numFmt w:val="chineseCounting"/>
      <w:suff w:val="space"/>
      <w:lvlText w:val="第%1部分"/>
      <w:lvlJc w:val="left"/>
      <w:rPr>
        <w:rFonts w:hint="eastAsia"/>
      </w:rPr>
    </w:lvl>
  </w:abstractNum>
  <w:abstractNum w:abstractNumId="5">
    <w:nsid w:val="19B057FC"/>
    <w:multiLevelType w:val="singleLevel"/>
    <w:tmpl w:val="19B057FC"/>
    <w:lvl w:ilvl="0" w:tentative="0">
      <w:start w:val="1"/>
      <w:numFmt w:val="decimal"/>
      <w:suff w:val="nothing"/>
      <w:lvlText w:val="%1、"/>
      <w:lvlJc w:val="left"/>
      <w:pPr>
        <w:ind w:left="140" w:firstLine="0"/>
      </w:pPr>
    </w:lvl>
  </w:abstractNum>
  <w:abstractNum w:abstractNumId="6">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7">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8">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9">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0">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1">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2">
    <w:nsid w:val="58BE6519"/>
    <w:multiLevelType w:val="singleLevel"/>
    <w:tmpl w:val="58BE6519"/>
    <w:lvl w:ilvl="0" w:tentative="0">
      <w:start w:val="1"/>
      <w:numFmt w:val="decimal"/>
      <w:suff w:val="nothing"/>
      <w:lvlText w:val="%1、"/>
      <w:lvlJc w:val="left"/>
      <w:pPr>
        <w:ind w:left="200" w:firstLine="420"/>
      </w:pPr>
      <w:rPr>
        <w:rFonts w:hint="default"/>
      </w:rPr>
    </w:lvl>
  </w:abstractNum>
  <w:abstractNum w:abstractNumId="13">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4">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5">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16">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17">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18">
    <w:nsid w:val="5902B6A7"/>
    <w:multiLevelType w:val="singleLevel"/>
    <w:tmpl w:val="5902B6A7"/>
    <w:lvl w:ilvl="0" w:tentative="0">
      <w:start w:val="1"/>
      <w:numFmt w:val="decimal"/>
      <w:pStyle w:val="9"/>
      <w:lvlText w:val="%1."/>
      <w:lvlJc w:val="left"/>
      <w:pPr>
        <w:tabs>
          <w:tab w:val="left" w:pos="360"/>
        </w:tabs>
        <w:ind w:left="360" w:hanging="360"/>
      </w:pPr>
    </w:lvl>
  </w:abstractNum>
  <w:abstractNum w:abstractNumId="19">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20">
    <w:nsid w:val="604094DA"/>
    <w:multiLevelType w:val="singleLevel"/>
    <w:tmpl w:val="604094DA"/>
    <w:lvl w:ilvl="0" w:tentative="0">
      <w:start w:val="1"/>
      <w:numFmt w:val="decimal"/>
      <w:suff w:val="space"/>
      <w:lvlText w:val="%1."/>
      <w:lvlJc w:val="left"/>
    </w:lvl>
  </w:abstractNum>
  <w:abstractNum w:abstractNumId="21">
    <w:nsid w:val="61F7CCE3"/>
    <w:multiLevelType w:val="singleLevel"/>
    <w:tmpl w:val="61F7CCE3"/>
    <w:lvl w:ilvl="0" w:tentative="0">
      <w:start w:val="2"/>
      <w:numFmt w:val="chineseCounting"/>
      <w:suff w:val="space"/>
      <w:lvlText w:val="第%1部分"/>
      <w:lvlJc w:val="left"/>
      <w:rPr>
        <w:rFonts w:hint="eastAsia"/>
      </w:rPr>
    </w:lvl>
  </w:abstractNum>
  <w:abstractNum w:abstractNumId="22">
    <w:nsid w:val="64402E50"/>
    <w:multiLevelType w:val="singleLevel"/>
    <w:tmpl w:val="64402E50"/>
    <w:lvl w:ilvl="0" w:tentative="0">
      <w:start w:val="8"/>
      <w:numFmt w:val="chineseCounting"/>
      <w:suff w:val="space"/>
      <w:lvlText w:val="第%1部分"/>
      <w:lvlJc w:val="left"/>
      <w:rPr>
        <w:rFonts w:hint="eastAsia"/>
      </w:rPr>
    </w:lvl>
  </w:abstractNum>
  <w:abstractNum w:abstractNumId="23">
    <w:nsid w:val="744D776A"/>
    <w:multiLevelType w:val="singleLevel"/>
    <w:tmpl w:val="744D776A"/>
    <w:lvl w:ilvl="0" w:tentative="0">
      <w:start w:val="2"/>
      <w:numFmt w:val="decimal"/>
      <w:suff w:val="nothing"/>
      <w:lvlText w:val="%1、"/>
      <w:lvlJc w:val="left"/>
    </w:lvl>
  </w:abstractNum>
  <w:num w:numId="1">
    <w:abstractNumId w:val="18"/>
  </w:num>
  <w:num w:numId="2">
    <w:abstractNumId w:val="2"/>
  </w:num>
  <w:num w:numId="3">
    <w:abstractNumId w:val="17"/>
  </w:num>
  <w:num w:numId="4">
    <w:abstractNumId w:val="23"/>
  </w:num>
  <w:num w:numId="5">
    <w:abstractNumId w:val="19"/>
  </w:num>
  <w:num w:numId="6">
    <w:abstractNumId w:val="3"/>
  </w:num>
  <w:num w:numId="7">
    <w:abstractNumId w:val="0"/>
  </w:num>
  <w:num w:numId="8">
    <w:abstractNumId w:val="9"/>
  </w:num>
  <w:num w:numId="9">
    <w:abstractNumId w:val="7"/>
  </w:num>
  <w:num w:numId="10">
    <w:abstractNumId w:val="1"/>
  </w:num>
  <w:num w:numId="11">
    <w:abstractNumId w:val="13"/>
  </w:num>
  <w:num w:numId="12">
    <w:abstractNumId w:val="14"/>
  </w:num>
  <w:num w:numId="13">
    <w:abstractNumId w:val="10"/>
  </w:num>
  <w:num w:numId="14">
    <w:abstractNumId w:val="15"/>
  </w:num>
  <w:num w:numId="15">
    <w:abstractNumId w:val="8"/>
  </w:num>
  <w:num w:numId="16">
    <w:abstractNumId w:val="11"/>
  </w:num>
  <w:num w:numId="17">
    <w:abstractNumId w:val="12"/>
  </w:num>
  <w:num w:numId="18">
    <w:abstractNumId w:val="16"/>
  </w:num>
  <w:num w:numId="19">
    <w:abstractNumId w:val="4"/>
  </w:num>
  <w:num w:numId="20">
    <w:abstractNumId w:val="21"/>
  </w:num>
  <w:num w:numId="21">
    <w:abstractNumId w:val="5"/>
  </w:num>
  <w:num w:numId="22">
    <w:abstractNumId w:val="6"/>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YjRkMGE3NzQxYjczMTVhMGMzZWI2OGY4N2I2NjYifQ=="/>
  </w:docVars>
  <w:rsids>
    <w:rsidRoot w:val="00172A27"/>
    <w:rsid w:val="00010D1C"/>
    <w:rsid w:val="00037E51"/>
    <w:rsid w:val="00042D40"/>
    <w:rsid w:val="00067B07"/>
    <w:rsid w:val="000743B6"/>
    <w:rsid w:val="0009265D"/>
    <w:rsid w:val="000A3AD6"/>
    <w:rsid w:val="000A6804"/>
    <w:rsid w:val="000B3DD4"/>
    <w:rsid w:val="000C0895"/>
    <w:rsid w:val="000C673D"/>
    <w:rsid w:val="000D7288"/>
    <w:rsid w:val="000E2734"/>
    <w:rsid w:val="000F3806"/>
    <w:rsid w:val="00102202"/>
    <w:rsid w:val="0011607E"/>
    <w:rsid w:val="00122D04"/>
    <w:rsid w:val="00126C11"/>
    <w:rsid w:val="00140E4D"/>
    <w:rsid w:val="00152CAF"/>
    <w:rsid w:val="00167A28"/>
    <w:rsid w:val="0017037F"/>
    <w:rsid w:val="00172A27"/>
    <w:rsid w:val="00192A67"/>
    <w:rsid w:val="00195B2A"/>
    <w:rsid w:val="001A00DF"/>
    <w:rsid w:val="001A439C"/>
    <w:rsid w:val="001A6727"/>
    <w:rsid w:val="001B0BC1"/>
    <w:rsid w:val="001B1459"/>
    <w:rsid w:val="001B3264"/>
    <w:rsid w:val="001C2786"/>
    <w:rsid w:val="001D74E8"/>
    <w:rsid w:val="001D76B9"/>
    <w:rsid w:val="001E1FE3"/>
    <w:rsid w:val="001E5E5C"/>
    <w:rsid w:val="001E7BD1"/>
    <w:rsid w:val="001E7E49"/>
    <w:rsid w:val="001F403A"/>
    <w:rsid w:val="00205EEF"/>
    <w:rsid w:val="00221202"/>
    <w:rsid w:val="002331D3"/>
    <w:rsid w:val="00244E6C"/>
    <w:rsid w:val="00247C1D"/>
    <w:rsid w:val="0025657F"/>
    <w:rsid w:val="002647A7"/>
    <w:rsid w:val="0026628D"/>
    <w:rsid w:val="00274C97"/>
    <w:rsid w:val="002766DD"/>
    <w:rsid w:val="002863B0"/>
    <w:rsid w:val="00287CC7"/>
    <w:rsid w:val="00290135"/>
    <w:rsid w:val="00295F6C"/>
    <w:rsid w:val="0029755A"/>
    <w:rsid w:val="002A2AC6"/>
    <w:rsid w:val="002A5E9A"/>
    <w:rsid w:val="002C54CF"/>
    <w:rsid w:val="002D2909"/>
    <w:rsid w:val="002D4DA4"/>
    <w:rsid w:val="002D7A6D"/>
    <w:rsid w:val="002E07BF"/>
    <w:rsid w:val="002F6FCA"/>
    <w:rsid w:val="003146F7"/>
    <w:rsid w:val="00326800"/>
    <w:rsid w:val="003322AB"/>
    <w:rsid w:val="00332CAB"/>
    <w:rsid w:val="00337601"/>
    <w:rsid w:val="0035235D"/>
    <w:rsid w:val="00360C09"/>
    <w:rsid w:val="00376929"/>
    <w:rsid w:val="003929E2"/>
    <w:rsid w:val="00395491"/>
    <w:rsid w:val="003A2D46"/>
    <w:rsid w:val="003A3201"/>
    <w:rsid w:val="003B290E"/>
    <w:rsid w:val="003C2DEE"/>
    <w:rsid w:val="003C2E0B"/>
    <w:rsid w:val="003C67F2"/>
    <w:rsid w:val="003D37C1"/>
    <w:rsid w:val="003E1DDF"/>
    <w:rsid w:val="003E65D8"/>
    <w:rsid w:val="003E7B81"/>
    <w:rsid w:val="003F04B9"/>
    <w:rsid w:val="003F3D18"/>
    <w:rsid w:val="003F5518"/>
    <w:rsid w:val="003F64A7"/>
    <w:rsid w:val="00402272"/>
    <w:rsid w:val="004057C8"/>
    <w:rsid w:val="00435D6D"/>
    <w:rsid w:val="004456E2"/>
    <w:rsid w:val="00450476"/>
    <w:rsid w:val="00480A2B"/>
    <w:rsid w:val="00482B14"/>
    <w:rsid w:val="004862AD"/>
    <w:rsid w:val="004A1B24"/>
    <w:rsid w:val="004A2796"/>
    <w:rsid w:val="004B0BF8"/>
    <w:rsid w:val="004C2AF8"/>
    <w:rsid w:val="004D70C5"/>
    <w:rsid w:val="004E4CF5"/>
    <w:rsid w:val="004E753C"/>
    <w:rsid w:val="00501EEF"/>
    <w:rsid w:val="0050491F"/>
    <w:rsid w:val="00513C7F"/>
    <w:rsid w:val="00517E36"/>
    <w:rsid w:val="00520C66"/>
    <w:rsid w:val="005217F8"/>
    <w:rsid w:val="00522064"/>
    <w:rsid w:val="00530399"/>
    <w:rsid w:val="00536870"/>
    <w:rsid w:val="00541724"/>
    <w:rsid w:val="00561B5B"/>
    <w:rsid w:val="00571D17"/>
    <w:rsid w:val="00572154"/>
    <w:rsid w:val="00576A5F"/>
    <w:rsid w:val="005923E3"/>
    <w:rsid w:val="005B0E59"/>
    <w:rsid w:val="005B3960"/>
    <w:rsid w:val="005B7D7A"/>
    <w:rsid w:val="005C1A4E"/>
    <w:rsid w:val="005C7704"/>
    <w:rsid w:val="005D7A12"/>
    <w:rsid w:val="005E1A4A"/>
    <w:rsid w:val="005F0772"/>
    <w:rsid w:val="005F5307"/>
    <w:rsid w:val="0060689C"/>
    <w:rsid w:val="00613B65"/>
    <w:rsid w:val="00616F2D"/>
    <w:rsid w:val="006177A7"/>
    <w:rsid w:val="006258BB"/>
    <w:rsid w:val="00641FD9"/>
    <w:rsid w:val="0064781D"/>
    <w:rsid w:val="00662B94"/>
    <w:rsid w:val="006634A1"/>
    <w:rsid w:val="006657C9"/>
    <w:rsid w:val="0067149C"/>
    <w:rsid w:val="00680400"/>
    <w:rsid w:val="00681782"/>
    <w:rsid w:val="006849A6"/>
    <w:rsid w:val="00695476"/>
    <w:rsid w:val="00696FBA"/>
    <w:rsid w:val="006A0541"/>
    <w:rsid w:val="006A5684"/>
    <w:rsid w:val="006B535E"/>
    <w:rsid w:val="006C2460"/>
    <w:rsid w:val="006D761F"/>
    <w:rsid w:val="006E169C"/>
    <w:rsid w:val="006E46DF"/>
    <w:rsid w:val="006E7F0D"/>
    <w:rsid w:val="006E7F57"/>
    <w:rsid w:val="006F1FD6"/>
    <w:rsid w:val="007027C4"/>
    <w:rsid w:val="00711C0F"/>
    <w:rsid w:val="0071294E"/>
    <w:rsid w:val="007359DA"/>
    <w:rsid w:val="00736BCC"/>
    <w:rsid w:val="0074281E"/>
    <w:rsid w:val="00743051"/>
    <w:rsid w:val="007447C1"/>
    <w:rsid w:val="00754F21"/>
    <w:rsid w:val="00770871"/>
    <w:rsid w:val="0077254B"/>
    <w:rsid w:val="00792491"/>
    <w:rsid w:val="007A3A90"/>
    <w:rsid w:val="007A4E4B"/>
    <w:rsid w:val="007B5B95"/>
    <w:rsid w:val="007B5F39"/>
    <w:rsid w:val="007C08C3"/>
    <w:rsid w:val="007C2279"/>
    <w:rsid w:val="007D0BA4"/>
    <w:rsid w:val="007D15F9"/>
    <w:rsid w:val="007D308B"/>
    <w:rsid w:val="007E485E"/>
    <w:rsid w:val="00811783"/>
    <w:rsid w:val="00813B07"/>
    <w:rsid w:val="008168BC"/>
    <w:rsid w:val="00823C25"/>
    <w:rsid w:val="008259FA"/>
    <w:rsid w:val="00847A3B"/>
    <w:rsid w:val="008573C1"/>
    <w:rsid w:val="0086367E"/>
    <w:rsid w:val="00872924"/>
    <w:rsid w:val="00876C01"/>
    <w:rsid w:val="008866C0"/>
    <w:rsid w:val="00895737"/>
    <w:rsid w:val="008962A7"/>
    <w:rsid w:val="008A367A"/>
    <w:rsid w:val="008B3D72"/>
    <w:rsid w:val="008C650D"/>
    <w:rsid w:val="008D379A"/>
    <w:rsid w:val="008E455E"/>
    <w:rsid w:val="008E7C81"/>
    <w:rsid w:val="008F5E34"/>
    <w:rsid w:val="008F6EFE"/>
    <w:rsid w:val="00900E76"/>
    <w:rsid w:val="009325F4"/>
    <w:rsid w:val="00934062"/>
    <w:rsid w:val="0093477B"/>
    <w:rsid w:val="00954CF1"/>
    <w:rsid w:val="00970225"/>
    <w:rsid w:val="00974733"/>
    <w:rsid w:val="00980469"/>
    <w:rsid w:val="00986403"/>
    <w:rsid w:val="00987EB4"/>
    <w:rsid w:val="00992950"/>
    <w:rsid w:val="009B4326"/>
    <w:rsid w:val="009B6BFE"/>
    <w:rsid w:val="009C0319"/>
    <w:rsid w:val="009C319B"/>
    <w:rsid w:val="009C3D12"/>
    <w:rsid w:val="009E3BD2"/>
    <w:rsid w:val="009E7878"/>
    <w:rsid w:val="009F29DA"/>
    <w:rsid w:val="00A02D64"/>
    <w:rsid w:val="00A057C5"/>
    <w:rsid w:val="00A066C4"/>
    <w:rsid w:val="00A12A43"/>
    <w:rsid w:val="00A245C5"/>
    <w:rsid w:val="00A248F4"/>
    <w:rsid w:val="00A368E5"/>
    <w:rsid w:val="00A50E8F"/>
    <w:rsid w:val="00A51FDF"/>
    <w:rsid w:val="00A55ABC"/>
    <w:rsid w:val="00A62024"/>
    <w:rsid w:val="00A63494"/>
    <w:rsid w:val="00A73408"/>
    <w:rsid w:val="00A73B47"/>
    <w:rsid w:val="00A8343C"/>
    <w:rsid w:val="00A9028E"/>
    <w:rsid w:val="00A921BA"/>
    <w:rsid w:val="00A924AE"/>
    <w:rsid w:val="00AB0730"/>
    <w:rsid w:val="00AC0ACE"/>
    <w:rsid w:val="00AC33EA"/>
    <w:rsid w:val="00AC7625"/>
    <w:rsid w:val="00AD6709"/>
    <w:rsid w:val="00AE1E9D"/>
    <w:rsid w:val="00AF40F8"/>
    <w:rsid w:val="00B32079"/>
    <w:rsid w:val="00B356BE"/>
    <w:rsid w:val="00B420E2"/>
    <w:rsid w:val="00B51036"/>
    <w:rsid w:val="00B530E4"/>
    <w:rsid w:val="00B657CE"/>
    <w:rsid w:val="00B71E47"/>
    <w:rsid w:val="00B73E01"/>
    <w:rsid w:val="00B76303"/>
    <w:rsid w:val="00B76DB3"/>
    <w:rsid w:val="00BC1AB3"/>
    <w:rsid w:val="00BC6B73"/>
    <w:rsid w:val="00BD2757"/>
    <w:rsid w:val="00BD2877"/>
    <w:rsid w:val="00BF4AB5"/>
    <w:rsid w:val="00C003AB"/>
    <w:rsid w:val="00C01089"/>
    <w:rsid w:val="00C12CCF"/>
    <w:rsid w:val="00C21BE4"/>
    <w:rsid w:val="00C24C41"/>
    <w:rsid w:val="00C41E46"/>
    <w:rsid w:val="00C53048"/>
    <w:rsid w:val="00C5725C"/>
    <w:rsid w:val="00C7157F"/>
    <w:rsid w:val="00C72367"/>
    <w:rsid w:val="00C73C93"/>
    <w:rsid w:val="00C74D12"/>
    <w:rsid w:val="00C8216D"/>
    <w:rsid w:val="00C9521D"/>
    <w:rsid w:val="00C96F1D"/>
    <w:rsid w:val="00CA5BC4"/>
    <w:rsid w:val="00CB13A4"/>
    <w:rsid w:val="00CB53E0"/>
    <w:rsid w:val="00CC1096"/>
    <w:rsid w:val="00CE27E5"/>
    <w:rsid w:val="00CE65B1"/>
    <w:rsid w:val="00CE797B"/>
    <w:rsid w:val="00CF14E5"/>
    <w:rsid w:val="00D01247"/>
    <w:rsid w:val="00D101F6"/>
    <w:rsid w:val="00D17C17"/>
    <w:rsid w:val="00D33A75"/>
    <w:rsid w:val="00D47F0C"/>
    <w:rsid w:val="00D55097"/>
    <w:rsid w:val="00D574E4"/>
    <w:rsid w:val="00D576EF"/>
    <w:rsid w:val="00D60EC1"/>
    <w:rsid w:val="00D67E55"/>
    <w:rsid w:val="00D73573"/>
    <w:rsid w:val="00D90775"/>
    <w:rsid w:val="00D961C4"/>
    <w:rsid w:val="00DA4229"/>
    <w:rsid w:val="00DB5A77"/>
    <w:rsid w:val="00DC1986"/>
    <w:rsid w:val="00DC7FB0"/>
    <w:rsid w:val="00DD0388"/>
    <w:rsid w:val="00DE7E5C"/>
    <w:rsid w:val="00DF3984"/>
    <w:rsid w:val="00E04145"/>
    <w:rsid w:val="00E07442"/>
    <w:rsid w:val="00E122B7"/>
    <w:rsid w:val="00E12838"/>
    <w:rsid w:val="00E13657"/>
    <w:rsid w:val="00E20E24"/>
    <w:rsid w:val="00E2372B"/>
    <w:rsid w:val="00E24AFE"/>
    <w:rsid w:val="00E2696A"/>
    <w:rsid w:val="00E27FDA"/>
    <w:rsid w:val="00E310F2"/>
    <w:rsid w:val="00E3370B"/>
    <w:rsid w:val="00E42FF4"/>
    <w:rsid w:val="00E448F4"/>
    <w:rsid w:val="00E55BD3"/>
    <w:rsid w:val="00E604D4"/>
    <w:rsid w:val="00E631A6"/>
    <w:rsid w:val="00E65904"/>
    <w:rsid w:val="00E71508"/>
    <w:rsid w:val="00E736A5"/>
    <w:rsid w:val="00E809CE"/>
    <w:rsid w:val="00E921E3"/>
    <w:rsid w:val="00E96FE9"/>
    <w:rsid w:val="00E9724B"/>
    <w:rsid w:val="00EA1ECE"/>
    <w:rsid w:val="00EB6716"/>
    <w:rsid w:val="00EC1E3D"/>
    <w:rsid w:val="00EC6E7A"/>
    <w:rsid w:val="00ED35D5"/>
    <w:rsid w:val="00EE2BA1"/>
    <w:rsid w:val="00EE2BEF"/>
    <w:rsid w:val="00EE7A3A"/>
    <w:rsid w:val="00F01B7A"/>
    <w:rsid w:val="00F15049"/>
    <w:rsid w:val="00F16A08"/>
    <w:rsid w:val="00F20B01"/>
    <w:rsid w:val="00F213BC"/>
    <w:rsid w:val="00F234ED"/>
    <w:rsid w:val="00F26B97"/>
    <w:rsid w:val="00F41A9D"/>
    <w:rsid w:val="00F55CEC"/>
    <w:rsid w:val="00F57027"/>
    <w:rsid w:val="00F57524"/>
    <w:rsid w:val="00F75245"/>
    <w:rsid w:val="00F9354D"/>
    <w:rsid w:val="00F94DCB"/>
    <w:rsid w:val="00FB05DA"/>
    <w:rsid w:val="00FC12C0"/>
    <w:rsid w:val="00FC3301"/>
    <w:rsid w:val="00FC6694"/>
    <w:rsid w:val="00FE167F"/>
    <w:rsid w:val="00FE2720"/>
    <w:rsid w:val="00FF1D7C"/>
    <w:rsid w:val="00FF2A69"/>
    <w:rsid w:val="00FF4B45"/>
    <w:rsid w:val="00FF4F56"/>
    <w:rsid w:val="01351C73"/>
    <w:rsid w:val="013A223F"/>
    <w:rsid w:val="013F2FCF"/>
    <w:rsid w:val="014C6453"/>
    <w:rsid w:val="01623C08"/>
    <w:rsid w:val="01752AFE"/>
    <w:rsid w:val="017840A9"/>
    <w:rsid w:val="01813926"/>
    <w:rsid w:val="01920D21"/>
    <w:rsid w:val="01B36AC8"/>
    <w:rsid w:val="01F90F7C"/>
    <w:rsid w:val="02064B47"/>
    <w:rsid w:val="02092073"/>
    <w:rsid w:val="02132B87"/>
    <w:rsid w:val="02264FBE"/>
    <w:rsid w:val="022B6D52"/>
    <w:rsid w:val="023E4F05"/>
    <w:rsid w:val="026E269C"/>
    <w:rsid w:val="02701597"/>
    <w:rsid w:val="0277484A"/>
    <w:rsid w:val="02854F8C"/>
    <w:rsid w:val="0299229B"/>
    <w:rsid w:val="029C5E74"/>
    <w:rsid w:val="029D1C8E"/>
    <w:rsid w:val="02CE7259"/>
    <w:rsid w:val="02DB4DF7"/>
    <w:rsid w:val="02F8646C"/>
    <w:rsid w:val="030A0C9E"/>
    <w:rsid w:val="03205381"/>
    <w:rsid w:val="036A1C71"/>
    <w:rsid w:val="036C6C55"/>
    <w:rsid w:val="036F1D46"/>
    <w:rsid w:val="037F6424"/>
    <w:rsid w:val="03802F70"/>
    <w:rsid w:val="039614B8"/>
    <w:rsid w:val="03A62FDF"/>
    <w:rsid w:val="03AD7A96"/>
    <w:rsid w:val="03B43B3F"/>
    <w:rsid w:val="03BE46A4"/>
    <w:rsid w:val="03C25B44"/>
    <w:rsid w:val="03FA6DFF"/>
    <w:rsid w:val="04090B48"/>
    <w:rsid w:val="041378F5"/>
    <w:rsid w:val="04201F87"/>
    <w:rsid w:val="04316655"/>
    <w:rsid w:val="04601AE9"/>
    <w:rsid w:val="04922828"/>
    <w:rsid w:val="04970E19"/>
    <w:rsid w:val="04AC6CA5"/>
    <w:rsid w:val="04B351C5"/>
    <w:rsid w:val="04BF5AD0"/>
    <w:rsid w:val="04C3210C"/>
    <w:rsid w:val="04E5250D"/>
    <w:rsid w:val="04F209CD"/>
    <w:rsid w:val="05290726"/>
    <w:rsid w:val="0535429B"/>
    <w:rsid w:val="05402991"/>
    <w:rsid w:val="054E1CE0"/>
    <w:rsid w:val="057A7F6E"/>
    <w:rsid w:val="058469D6"/>
    <w:rsid w:val="0589504E"/>
    <w:rsid w:val="058C1707"/>
    <w:rsid w:val="05AC0A53"/>
    <w:rsid w:val="05AE40A3"/>
    <w:rsid w:val="05E740AF"/>
    <w:rsid w:val="05EF0793"/>
    <w:rsid w:val="05F66E7E"/>
    <w:rsid w:val="05FC494C"/>
    <w:rsid w:val="06007989"/>
    <w:rsid w:val="060454DB"/>
    <w:rsid w:val="0618781F"/>
    <w:rsid w:val="062A4F87"/>
    <w:rsid w:val="06610A08"/>
    <w:rsid w:val="06686B0C"/>
    <w:rsid w:val="066D1D57"/>
    <w:rsid w:val="068D7620"/>
    <w:rsid w:val="06926006"/>
    <w:rsid w:val="06937EB7"/>
    <w:rsid w:val="06BE30D0"/>
    <w:rsid w:val="06C63A15"/>
    <w:rsid w:val="06EF35C6"/>
    <w:rsid w:val="070D73CC"/>
    <w:rsid w:val="072653F5"/>
    <w:rsid w:val="072852D5"/>
    <w:rsid w:val="07806CC6"/>
    <w:rsid w:val="07996308"/>
    <w:rsid w:val="079B0B7D"/>
    <w:rsid w:val="079C7ECA"/>
    <w:rsid w:val="07A86445"/>
    <w:rsid w:val="07D03979"/>
    <w:rsid w:val="07E654DD"/>
    <w:rsid w:val="07EC334E"/>
    <w:rsid w:val="08061DBD"/>
    <w:rsid w:val="080B471B"/>
    <w:rsid w:val="08186ED9"/>
    <w:rsid w:val="083512EB"/>
    <w:rsid w:val="084C4C3B"/>
    <w:rsid w:val="085B6064"/>
    <w:rsid w:val="08667849"/>
    <w:rsid w:val="086F12F7"/>
    <w:rsid w:val="087D5CEF"/>
    <w:rsid w:val="08970B55"/>
    <w:rsid w:val="08B828C6"/>
    <w:rsid w:val="08D5284D"/>
    <w:rsid w:val="08D97EBA"/>
    <w:rsid w:val="08ED0768"/>
    <w:rsid w:val="090A42F6"/>
    <w:rsid w:val="090B1FA9"/>
    <w:rsid w:val="091F7003"/>
    <w:rsid w:val="09545334"/>
    <w:rsid w:val="09583F4A"/>
    <w:rsid w:val="095F037B"/>
    <w:rsid w:val="096A27B4"/>
    <w:rsid w:val="096E6A8F"/>
    <w:rsid w:val="098B5CFE"/>
    <w:rsid w:val="099B5A1C"/>
    <w:rsid w:val="09BE6EB4"/>
    <w:rsid w:val="09E86A45"/>
    <w:rsid w:val="09EA213D"/>
    <w:rsid w:val="0A073DB5"/>
    <w:rsid w:val="0A08744C"/>
    <w:rsid w:val="0A0976BB"/>
    <w:rsid w:val="0A1608E8"/>
    <w:rsid w:val="0A1763FE"/>
    <w:rsid w:val="0A312134"/>
    <w:rsid w:val="0A3E3F88"/>
    <w:rsid w:val="0A3E7542"/>
    <w:rsid w:val="0A4D39C2"/>
    <w:rsid w:val="0A583CC6"/>
    <w:rsid w:val="0A5E3784"/>
    <w:rsid w:val="0A672A35"/>
    <w:rsid w:val="0A726026"/>
    <w:rsid w:val="0A981C9A"/>
    <w:rsid w:val="0AA72862"/>
    <w:rsid w:val="0AA74B6E"/>
    <w:rsid w:val="0ADF7AEC"/>
    <w:rsid w:val="0B167DBC"/>
    <w:rsid w:val="0B21105A"/>
    <w:rsid w:val="0B212724"/>
    <w:rsid w:val="0B2209A4"/>
    <w:rsid w:val="0B483C08"/>
    <w:rsid w:val="0B5D1A85"/>
    <w:rsid w:val="0B756EDB"/>
    <w:rsid w:val="0B834CF3"/>
    <w:rsid w:val="0B88699B"/>
    <w:rsid w:val="0B986F9F"/>
    <w:rsid w:val="0BBE458A"/>
    <w:rsid w:val="0BCF5E37"/>
    <w:rsid w:val="0BD74A5E"/>
    <w:rsid w:val="0BD928E6"/>
    <w:rsid w:val="0BDC5000"/>
    <w:rsid w:val="0BE03D2B"/>
    <w:rsid w:val="0BE92434"/>
    <w:rsid w:val="0C090444"/>
    <w:rsid w:val="0C1D7DEF"/>
    <w:rsid w:val="0C2413F5"/>
    <w:rsid w:val="0C2C1105"/>
    <w:rsid w:val="0C4B1E57"/>
    <w:rsid w:val="0C545F5A"/>
    <w:rsid w:val="0C567D9E"/>
    <w:rsid w:val="0C606202"/>
    <w:rsid w:val="0C662702"/>
    <w:rsid w:val="0C7F3BFC"/>
    <w:rsid w:val="0C8949E4"/>
    <w:rsid w:val="0C997EBB"/>
    <w:rsid w:val="0CB6728F"/>
    <w:rsid w:val="0CC31335"/>
    <w:rsid w:val="0CC455C5"/>
    <w:rsid w:val="0CE32B9C"/>
    <w:rsid w:val="0CF14B0E"/>
    <w:rsid w:val="0CF5585C"/>
    <w:rsid w:val="0CFB6A75"/>
    <w:rsid w:val="0CFD25BD"/>
    <w:rsid w:val="0D1E35E2"/>
    <w:rsid w:val="0D24297B"/>
    <w:rsid w:val="0D34678D"/>
    <w:rsid w:val="0D390396"/>
    <w:rsid w:val="0D3A39B1"/>
    <w:rsid w:val="0D4A02A6"/>
    <w:rsid w:val="0D4D794B"/>
    <w:rsid w:val="0D607508"/>
    <w:rsid w:val="0D8F75BB"/>
    <w:rsid w:val="0D933F5C"/>
    <w:rsid w:val="0DA3517A"/>
    <w:rsid w:val="0DAB1B73"/>
    <w:rsid w:val="0E06783A"/>
    <w:rsid w:val="0E0C42FA"/>
    <w:rsid w:val="0E340C77"/>
    <w:rsid w:val="0E3656D6"/>
    <w:rsid w:val="0E387EC2"/>
    <w:rsid w:val="0E502C29"/>
    <w:rsid w:val="0E6B4E26"/>
    <w:rsid w:val="0E734739"/>
    <w:rsid w:val="0E847919"/>
    <w:rsid w:val="0E8B4F0A"/>
    <w:rsid w:val="0E9A15CB"/>
    <w:rsid w:val="0E9C201E"/>
    <w:rsid w:val="0EA727EB"/>
    <w:rsid w:val="0EE26BE2"/>
    <w:rsid w:val="0F0F3153"/>
    <w:rsid w:val="0F4D0852"/>
    <w:rsid w:val="0F784044"/>
    <w:rsid w:val="0F823D5D"/>
    <w:rsid w:val="0F862A78"/>
    <w:rsid w:val="0F9937DA"/>
    <w:rsid w:val="0FA029A3"/>
    <w:rsid w:val="0FAB24D3"/>
    <w:rsid w:val="0FC00610"/>
    <w:rsid w:val="0FE973CA"/>
    <w:rsid w:val="10005F5F"/>
    <w:rsid w:val="10063AFE"/>
    <w:rsid w:val="100B449D"/>
    <w:rsid w:val="104B4EC7"/>
    <w:rsid w:val="105356D7"/>
    <w:rsid w:val="106252FB"/>
    <w:rsid w:val="107E5C87"/>
    <w:rsid w:val="108B226C"/>
    <w:rsid w:val="108E6DDE"/>
    <w:rsid w:val="109827F5"/>
    <w:rsid w:val="109F1BB1"/>
    <w:rsid w:val="10B152EF"/>
    <w:rsid w:val="10D20FA3"/>
    <w:rsid w:val="10D54BEF"/>
    <w:rsid w:val="10D657C4"/>
    <w:rsid w:val="10FA43D2"/>
    <w:rsid w:val="10FD3277"/>
    <w:rsid w:val="112F26C0"/>
    <w:rsid w:val="11301FEB"/>
    <w:rsid w:val="113E52CA"/>
    <w:rsid w:val="114215F5"/>
    <w:rsid w:val="114542EA"/>
    <w:rsid w:val="1149117E"/>
    <w:rsid w:val="116B59DD"/>
    <w:rsid w:val="117C761C"/>
    <w:rsid w:val="11A56A4F"/>
    <w:rsid w:val="11AF7455"/>
    <w:rsid w:val="11B361D3"/>
    <w:rsid w:val="11CF66B5"/>
    <w:rsid w:val="11D83639"/>
    <w:rsid w:val="11E362D1"/>
    <w:rsid w:val="11E63FFF"/>
    <w:rsid w:val="11E75F2F"/>
    <w:rsid w:val="11FB7CE2"/>
    <w:rsid w:val="12137217"/>
    <w:rsid w:val="121E0F14"/>
    <w:rsid w:val="122D6C41"/>
    <w:rsid w:val="12415950"/>
    <w:rsid w:val="12440EBB"/>
    <w:rsid w:val="124A1C36"/>
    <w:rsid w:val="12650308"/>
    <w:rsid w:val="126E66D8"/>
    <w:rsid w:val="12766F68"/>
    <w:rsid w:val="12784E55"/>
    <w:rsid w:val="128A78E8"/>
    <w:rsid w:val="128C33F4"/>
    <w:rsid w:val="1295409B"/>
    <w:rsid w:val="12993806"/>
    <w:rsid w:val="12BA218D"/>
    <w:rsid w:val="12BB4574"/>
    <w:rsid w:val="12CB0E85"/>
    <w:rsid w:val="12CB2C15"/>
    <w:rsid w:val="12CB3E6D"/>
    <w:rsid w:val="12E40295"/>
    <w:rsid w:val="12F855E8"/>
    <w:rsid w:val="12FB01C6"/>
    <w:rsid w:val="13063EC1"/>
    <w:rsid w:val="13336A4D"/>
    <w:rsid w:val="13365AD3"/>
    <w:rsid w:val="133F5E2F"/>
    <w:rsid w:val="13451BDF"/>
    <w:rsid w:val="13487675"/>
    <w:rsid w:val="134E7BFD"/>
    <w:rsid w:val="135A1DCA"/>
    <w:rsid w:val="13783B8A"/>
    <w:rsid w:val="137F4EEC"/>
    <w:rsid w:val="138D11BC"/>
    <w:rsid w:val="13972080"/>
    <w:rsid w:val="139D2FCC"/>
    <w:rsid w:val="13A05A9F"/>
    <w:rsid w:val="13AB6434"/>
    <w:rsid w:val="13BC75DB"/>
    <w:rsid w:val="13C62E93"/>
    <w:rsid w:val="13C96DAF"/>
    <w:rsid w:val="13D84C83"/>
    <w:rsid w:val="13DA623E"/>
    <w:rsid w:val="13F54EEA"/>
    <w:rsid w:val="14253493"/>
    <w:rsid w:val="1441058C"/>
    <w:rsid w:val="1443330C"/>
    <w:rsid w:val="14565420"/>
    <w:rsid w:val="145E0E2B"/>
    <w:rsid w:val="14663755"/>
    <w:rsid w:val="14A91413"/>
    <w:rsid w:val="14B53C19"/>
    <w:rsid w:val="14B629C7"/>
    <w:rsid w:val="14E26901"/>
    <w:rsid w:val="14E4368B"/>
    <w:rsid w:val="14E72B42"/>
    <w:rsid w:val="15125E09"/>
    <w:rsid w:val="15171436"/>
    <w:rsid w:val="15265BC4"/>
    <w:rsid w:val="15285578"/>
    <w:rsid w:val="15550B09"/>
    <w:rsid w:val="155550C1"/>
    <w:rsid w:val="156234AA"/>
    <w:rsid w:val="156E26BA"/>
    <w:rsid w:val="157509B7"/>
    <w:rsid w:val="1588419E"/>
    <w:rsid w:val="15BE498C"/>
    <w:rsid w:val="15C5644B"/>
    <w:rsid w:val="15C56451"/>
    <w:rsid w:val="15C8772A"/>
    <w:rsid w:val="15ED5C46"/>
    <w:rsid w:val="160D697A"/>
    <w:rsid w:val="16162C58"/>
    <w:rsid w:val="1654287F"/>
    <w:rsid w:val="166B3507"/>
    <w:rsid w:val="166F313A"/>
    <w:rsid w:val="167D7743"/>
    <w:rsid w:val="169754A7"/>
    <w:rsid w:val="16A5117D"/>
    <w:rsid w:val="16AA0B6A"/>
    <w:rsid w:val="16B25E6D"/>
    <w:rsid w:val="16BF6BE7"/>
    <w:rsid w:val="16DB3ACD"/>
    <w:rsid w:val="16E63F78"/>
    <w:rsid w:val="16F17C9B"/>
    <w:rsid w:val="172072CE"/>
    <w:rsid w:val="17411B66"/>
    <w:rsid w:val="17447531"/>
    <w:rsid w:val="17464982"/>
    <w:rsid w:val="17536E6E"/>
    <w:rsid w:val="17563FF8"/>
    <w:rsid w:val="177D7BBD"/>
    <w:rsid w:val="17821F33"/>
    <w:rsid w:val="178A477B"/>
    <w:rsid w:val="17907B2D"/>
    <w:rsid w:val="17B351C8"/>
    <w:rsid w:val="17CE0395"/>
    <w:rsid w:val="17E751D5"/>
    <w:rsid w:val="17F976EF"/>
    <w:rsid w:val="17FD76AA"/>
    <w:rsid w:val="180B3DC5"/>
    <w:rsid w:val="18170899"/>
    <w:rsid w:val="182D3C78"/>
    <w:rsid w:val="18444CBC"/>
    <w:rsid w:val="18603535"/>
    <w:rsid w:val="18656CB7"/>
    <w:rsid w:val="1867206B"/>
    <w:rsid w:val="186A63EF"/>
    <w:rsid w:val="186C201D"/>
    <w:rsid w:val="186E1A30"/>
    <w:rsid w:val="187152F8"/>
    <w:rsid w:val="18740800"/>
    <w:rsid w:val="18870D4A"/>
    <w:rsid w:val="188B1530"/>
    <w:rsid w:val="18921717"/>
    <w:rsid w:val="18A32A18"/>
    <w:rsid w:val="18D93BE5"/>
    <w:rsid w:val="18E02502"/>
    <w:rsid w:val="18FA490E"/>
    <w:rsid w:val="191078BE"/>
    <w:rsid w:val="191346B2"/>
    <w:rsid w:val="19275568"/>
    <w:rsid w:val="192F739D"/>
    <w:rsid w:val="19366E96"/>
    <w:rsid w:val="193D5954"/>
    <w:rsid w:val="193E78A0"/>
    <w:rsid w:val="194C04D8"/>
    <w:rsid w:val="19556FF9"/>
    <w:rsid w:val="195948F7"/>
    <w:rsid w:val="195E0E17"/>
    <w:rsid w:val="1971204D"/>
    <w:rsid w:val="19805D37"/>
    <w:rsid w:val="19C639D9"/>
    <w:rsid w:val="19C82216"/>
    <w:rsid w:val="19CA4AD8"/>
    <w:rsid w:val="19D45248"/>
    <w:rsid w:val="1A105E9F"/>
    <w:rsid w:val="1A1C6F29"/>
    <w:rsid w:val="1A324F2D"/>
    <w:rsid w:val="1A407579"/>
    <w:rsid w:val="1A462475"/>
    <w:rsid w:val="1A710808"/>
    <w:rsid w:val="1A745370"/>
    <w:rsid w:val="1A7A0EF6"/>
    <w:rsid w:val="1A8B389F"/>
    <w:rsid w:val="1A951631"/>
    <w:rsid w:val="1A997EE2"/>
    <w:rsid w:val="1AA35F36"/>
    <w:rsid w:val="1AAD5B72"/>
    <w:rsid w:val="1ABE5C90"/>
    <w:rsid w:val="1AE37041"/>
    <w:rsid w:val="1AF67185"/>
    <w:rsid w:val="1B115D3C"/>
    <w:rsid w:val="1B1E0896"/>
    <w:rsid w:val="1B3E1F3A"/>
    <w:rsid w:val="1B464213"/>
    <w:rsid w:val="1B6A11E1"/>
    <w:rsid w:val="1B6A6896"/>
    <w:rsid w:val="1B6D6F30"/>
    <w:rsid w:val="1B785979"/>
    <w:rsid w:val="1B807337"/>
    <w:rsid w:val="1B99695D"/>
    <w:rsid w:val="1BA47A56"/>
    <w:rsid w:val="1BA47C58"/>
    <w:rsid w:val="1BB80F43"/>
    <w:rsid w:val="1BC170B5"/>
    <w:rsid w:val="1BC35954"/>
    <w:rsid w:val="1BC85289"/>
    <w:rsid w:val="1BD21379"/>
    <w:rsid w:val="1BDB5F9B"/>
    <w:rsid w:val="1BDC34D1"/>
    <w:rsid w:val="1BE64759"/>
    <w:rsid w:val="1BE84701"/>
    <w:rsid w:val="1BEC1D27"/>
    <w:rsid w:val="1BF010E9"/>
    <w:rsid w:val="1BF02765"/>
    <w:rsid w:val="1BF0529D"/>
    <w:rsid w:val="1C2E159D"/>
    <w:rsid w:val="1C326500"/>
    <w:rsid w:val="1C550846"/>
    <w:rsid w:val="1C60680C"/>
    <w:rsid w:val="1C63114B"/>
    <w:rsid w:val="1C6C08F4"/>
    <w:rsid w:val="1C763C77"/>
    <w:rsid w:val="1C7E1815"/>
    <w:rsid w:val="1C9B7F2C"/>
    <w:rsid w:val="1CC22D92"/>
    <w:rsid w:val="1CC31868"/>
    <w:rsid w:val="1CD54AE5"/>
    <w:rsid w:val="1CEF4C58"/>
    <w:rsid w:val="1D1A5AAC"/>
    <w:rsid w:val="1D2073F3"/>
    <w:rsid w:val="1D385997"/>
    <w:rsid w:val="1D6B0D1C"/>
    <w:rsid w:val="1D714633"/>
    <w:rsid w:val="1D717C32"/>
    <w:rsid w:val="1D8E77C6"/>
    <w:rsid w:val="1D9E1ACD"/>
    <w:rsid w:val="1DAB55D4"/>
    <w:rsid w:val="1DB7132F"/>
    <w:rsid w:val="1DB74394"/>
    <w:rsid w:val="1DD4019E"/>
    <w:rsid w:val="1DF223D6"/>
    <w:rsid w:val="1DF636F7"/>
    <w:rsid w:val="1DF97E9A"/>
    <w:rsid w:val="1E106418"/>
    <w:rsid w:val="1E1438E8"/>
    <w:rsid w:val="1E1A49CB"/>
    <w:rsid w:val="1E213710"/>
    <w:rsid w:val="1E240C9D"/>
    <w:rsid w:val="1E2801FF"/>
    <w:rsid w:val="1E597123"/>
    <w:rsid w:val="1E635C85"/>
    <w:rsid w:val="1E6D42C6"/>
    <w:rsid w:val="1E6E1C3C"/>
    <w:rsid w:val="1EAF03E7"/>
    <w:rsid w:val="1EB113F6"/>
    <w:rsid w:val="1EB12D5B"/>
    <w:rsid w:val="1ECA20B1"/>
    <w:rsid w:val="1ECA48AD"/>
    <w:rsid w:val="1EF350E8"/>
    <w:rsid w:val="1EFD2C6E"/>
    <w:rsid w:val="1F011883"/>
    <w:rsid w:val="1F177E2D"/>
    <w:rsid w:val="1F2540E6"/>
    <w:rsid w:val="1F3609F3"/>
    <w:rsid w:val="1F733EF9"/>
    <w:rsid w:val="1F7E0B62"/>
    <w:rsid w:val="1F8C1AB1"/>
    <w:rsid w:val="1FB737DB"/>
    <w:rsid w:val="1FB818B3"/>
    <w:rsid w:val="1FC13F05"/>
    <w:rsid w:val="1FC4124F"/>
    <w:rsid w:val="1FC4129F"/>
    <w:rsid w:val="1FC87E17"/>
    <w:rsid w:val="1FCB10F3"/>
    <w:rsid w:val="1FEA26D0"/>
    <w:rsid w:val="1FF44E35"/>
    <w:rsid w:val="1FFC0CD6"/>
    <w:rsid w:val="20173E41"/>
    <w:rsid w:val="20477762"/>
    <w:rsid w:val="204E6680"/>
    <w:rsid w:val="205D49DE"/>
    <w:rsid w:val="20673EC4"/>
    <w:rsid w:val="206E1703"/>
    <w:rsid w:val="207D08E0"/>
    <w:rsid w:val="207E1154"/>
    <w:rsid w:val="208B64ED"/>
    <w:rsid w:val="20BD2B9D"/>
    <w:rsid w:val="20C47E79"/>
    <w:rsid w:val="20F40677"/>
    <w:rsid w:val="20FF648C"/>
    <w:rsid w:val="211D538B"/>
    <w:rsid w:val="214D7F75"/>
    <w:rsid w:val="21692402"/>
    <w:rsid w:val="218B4186"/>
    <w:rsid w:val="218F01B7"/>
    <w:rsid w:val="21AC6C50"/>
    <w:rsid w:val="21B04A82"/>
    <w:rsid w:val="21B53414"/>
    <w:rsid w:val="21CC25D2"/>
    <w:rsid w:val="21CF34D5"/>
    <w:rsid w:val="21D06BFB"/>
    <w:rsid w:val="21D278F8"/>
    <w:rsid w:val="21E17532"/>
    <w:rsid w:val="21E42164"/>
    <w:rsid w:val="21FE0428"/>
    <w:rsid w:val="220426D8"/>
    <w:rsid w:val="22292C54"/>
    <w:rsid w:val="223606BE"/>
    <w:rsid w:val="22736881"/>
    <w:rsid w:val="228826E5"/>
    <w:rsid w:val="22AF0896"/>
    <w:rsid w:val="22C17C41"/>
    <w:rsid w:val="22CC31F6"/>
    <w:rsid w:val="22DC1101"/>
    <w:rsid w:val="22DD2076"/>
    <w:rsid w:val="22E26D93"/>
    <w:rsid w:val="22FC5224"/>
    <w:rsid w:val="23536B7C"/>
    <w:rsid w:val="237760FE"/>
    <w:rsid w:val="23937A1B"/>
    <w:rsid w:val="23A31B76"/>
    <w:rsid w:val="23AF484A"/>
    <w:rsid w:val="23B91130"/>
    <w:rsid w:val="23CD6F18"/>
    <w:rsid w:val="23E303FA"/>
    <w:rsid w:val="23F33D54"/>
    <w:rsid w:val="23F34FB7"/>
    <w:rsid w:val="23FB1111"/>
    <w:rsid w:val="24184EC9"/>
    <w:rsid w:val="2423604A"/>
    <w:rsid w:val="24292561"/>
    <w:rsid w:val="24373F6D"/>
    <w:rsid w:val="2448484C"/>
    <w:rsid w:val="24575A93"/>
    <w:rsid w:val="24673185"/>
    <w:rsid w:val="248255ED"/>
    <w:rsid w:val="248B56E2"/>
    <w:rsid w:val="24A32C9D"/>
    <w:rsid w:val="24BE2F37"/>
    <w:rsid w:val="24E47ADD"/>
    <w:rsid w:val="24F50FAE"/>
    <w:rsid w:val="25030742"/>
    <w:rsid w:val="250A771D"/>
    <w:rsid w:val="251E7700"/>
    <w:rsid w:val="252614C9"/>
    <w:rsid w:val="252826CC"/>
    <w:rsid w:val="252D3C08"/>
    <w:rsid w:val="252E1698"/>
    <w:rsid w:val="25326A1A"/>
    <w:rsid w:val="25453397"/>
    <w:rsid w:val="25574B16"/>
    <w:rsid w:val="255F7AD2"/>
    <w:rsid w:val="256D4FBD"/>
    <w:rsid w:val="257E226E"/>
    <w:rsid w:val="259127F9"/>
    <w:rsid w:val="25960536"/>
    <w:rsid w:val="259D3142"/>
    <w:rsid w:val="25D57A32"/>
    <w:rsid w:val="25F211DB"/>
    <w:rsid w:val="25F520CF"/>
    <w:rsid w:val="25F60C3B"/>
    <w:rsid w:val="25F65D0C"/>
    <w:rsid w:val="25FA3C32"/>
    <w:rsid w:val="25FA60CF"/>
    <w:rsid w:val="260C04D1"/>
    <w:rsid w:val="26145425"/>
    <w:rsid w:val="26230DF0"/>
    <w:rsid w:val="2627224F"/>
    <w:rsid w:val="263C4A01"/>
    <w:rsid w:val="263F5222"/>
    <w:rsid w:val="264B2FCC"/>
    <w:rsid w:val="26507C71"/>
    <w:rsid w:val="26541B7D"/>
    <w:rsid w:val="26657DD8"/>
    <w:rsid w:val="26794F20"/>
    <w:rsid w:val="26CC079E"/>
    <w:rsid w:val="26CE57C1"/>
    <w:rsid w:val="26D1505D"/>
    <w:rsid w:val="26E15169"/>
    <w:rsid w:val="26F267D1"/>
    <w:rsid w:val="270C7E7B"/>
    <w:rsid w:val="27180E6A"/>
    <w:rsid w:val="271E393C"/>
    <w:rsid w:val="2727416B"/>
    <w:rsid w:val="272D4984"/>
    <w:rsid w:val="27581696"/>
    <w:rsid w:val="276B26C0"/>
    <w:rsid w:val="276B4823"/>
    <w:rsid w:val="278F4995"/>
    <w:rsid w:val="278F7628"/>
    <w:rsid w:val="279D08CA"/>
    <w:rsid w:val="27A872D6"/>
    <w:rsid w:val="27B92311"/>
    <w:rsid w:val="27CE4C4F"/>
    <w:rsid w:val="27DA4B52"/>
    <w:rsid w:val="27DA6390"/>
    <w:rsid w:val="27E50D7B"/>
    <w:rsid w:val="27EA37A1"/>
    <w:rsid w:val="27F513D0"/>
    <w:rsid w:val="281D1842"/>
    <w:rsid w:val="28223089"/>
    <w:rsid w:val="28515969"/>
    <w:rsid w:val="28556900"/>
    <w:rsid w:val="287C52A9"/>
    <w:rsid w:val="287F71CF"/>
    <w:rsid w:val="28831658"/>
    <w:rsid w:val="289711B8"/>
    <w:rsid w:val="289E5635"/>
    <w:rsid w:val="28AA44A4"/>
    <w:rsid w:val="28B34564"/>
    <w:rsid w:val="28C246A0"/>
    <w:rsid w:val="28DB07EC"/>
    <w:rsid w:val="28FA13D4"/>
    <w:rsid w:val="29184803"/>
    <w:rsid w:val="294409BC"/>
    <w:rsid w:val="29686931"/>
    <w:rsid w:val="29690D96"/>
    <w:rsid w:val="29746DFF"/>
    <w:rsid w:val="29783FB6"/>
    <w:rsid w:val="298076E2"/>
    <w:rsid w:val="29911DBB"/>
    <w:rsid w:val="299D5957"/>
    <w:rsid w:val="29B46D85"/>
    <w:rsid w:val="29C9235D"/>
    <w:rsid w:val="29CA3422"/>
    <w:rsid w:val="29DC316A"/>
    <w:rsid w:val="29E94C34"/>
    <w:rsid w:val="29F20DAE"/>
    <w:rsid w:val="29FB48F8"/>
    <w:rsid w:val="2A0D32E4"/>
    <w:rsid w:val="2A180002"/>
    <w:rsid w:val="2A4A0382"/>
    <w:rsid w:val="2A4B34A7"/>
    <w:rsid w:val="2A604683"/>
    <w:rsid w:val="2A641987"/>
    <w:rsid w:val="2A745AF1"/>
    <w:rsid w:val="2AA02867"/>
    <w:rsid w:val="2AB357E7"/>
    <w:rsid w:val="2ACD0A6A"/>
    <w:rsid w:val="2AF76423"/>
    <w:rsid w:val="2B0747FE"/>
    <w:rsid w:val="2B096C7A"/>
    <w:rsid w:val="2B0F15B2"/>
    <w:rsid w:val="2B1431BE"/>
    <w:rsid w:val="2B1C33CA"/>
    <w:rsid w:val="2B2144A5"/>
    <w:rsid w:val="2B2A3AC8"/>
    <w:rsid w:val="2B2D17EA"/>
    <w:rsid w:val="2B2D488A"/>
    <w:rsid w:val="2B3167F0"/>
    <w:rsid w:val="2B395A62"/>
    <w:rsid w:val="2B421606"/>
    <w:rsid w:val="2B467033"/>
    <w:rsid w:val="2B63494F"/>
    <w:rsid w:val="2B6E40C9"/>
    <w:rsid w:val="2B93610E"/>
    <w:rsid w:val="2B9F615B"/>
    <w:rsid w:val="2BB23B01"/>
    <w:rsid w:val="2BC206A6"/>
    <w:rsid w:val="2BC22732"/>
    <w:rsid w:val="2BC537D3"/>
    <w:rsid w:val="2BE212BA"/>
    <w:rsid w:val="2BE43FF8"/>
    <w:rsid w:val="2BF64BF9"/>
    <w:rsid w:val="2C006AC9"/>
    <w:rsid w:val="2C1C5425"/>
    <w:rsid w:val="2C394BC1"/>
    <w:rsid w:val="2C485018"/>
    <w:rsid w:val="2C594A5D"/>
    <w:rsid w:val="2C624667"/>
    <w:rsid w:val="2CA07757"/>
    <w:rsid w:val="2CAC46BC"/>
    <w:rsid w:val="2CC9536F"/>
    <w:rsid w:val="2CD32354"/>
    <w:rsid w:val="2CF617E0"/>
    <w:rsid w:val="2D140951"/>
    <w:rsid w:val="2D1F08A9"/>
    <w:rsid w:val="2D341634"/>
    <w:rsid w:val="2D354A38"/>
    <w:rsid w:val="2D5807DA"/>
    <w:rsid w:val="2D59741D"/>
    <w:rsid w:val="2D61222D"/>
    <w:rsid w:val="2D6A3083"/>
    <w:rsid w:val="2D767628"/>
    <w:rsid w:val="2DB0725B"/>
    <w:rsid w:val="2DBB723B"/>
    <w:rsid w:val="2DC37DF1"/>
    <w:rsid w:val="2DD560C3"/>
    <w:rsid w:val="2DDD4AFC"/>
    <w:rsid w:val="2DE43DE4"/>
    <w:rsid w:val="2DE72CC0"/>
    <w:rsid w:val="2E0C0859"/>
    <w:rsid w:val="2E0D173F"/>
    <w:rsid w:val="2E825B76"/>
    <w:rsid w:val="2EB433C6"/>
    <w:rsid w:val="2ECB5D09"/>
    <w:rsid w:val="2EEC509E"/>
    <w:rsid w:val="2EF57EBC"/>
    <w:rsid w:val="2F0036B2"/>
    <w:rsid w:val="2F0B25ED"/>
    <w:rsid w:val="2F1404BB"/>
    <w:rsid w:val="2F306712"/>
    <w:rsid w:val="2F347BE9"/>
    <w:rsid w:val="2F4A1FBC"/>
    <w:rsid w:val="2F76344E"/>
    <w:rsid w:val="2F8932A3"/>
    <w:rsid w:val="2F984ABB"/>
    <w:rsid w:val="2F9F0039"/>
    <w:rsid w:val="2FA74539"/>
    <w:rsid w:val="2FB154F2"/>
    <w:rsid w:val="2FCD489F"/>
    <w:rsid w:val="2FD91952"/>
    <w:rsid w:val="2FE32412"/>
    <w:rsid w:val="2FFB1CEA"/>
    <w:rsid w:val="30237284"/>
    <w:rsid w:val="30323073"/>
    <w:rsid w:val="30346EAA"/>
    <w:rsid w:val="30561692"/>
    <w:rsid w:val="305D7F24"/>
    <w:rsid w:val="306E03FB"/>
    <w:rsid w:val="307D7DB5"/>
    <w:rsid w:val="30875E2A"/>
    <w:rsid w:val="308A1A0F"/>
    <w:rsid w:val="309218B2"/>
    <w:rsid w:val="30981D92"/>
    <w:rsid w:val="309B6B2B"/>
    <w:rsid w:val="30AA13BF"/>
    <w:rsid w:val="30B22DCE"/>
    <w:rsid w:val="30C20FF2"/>
    <w:rsid w:val="30CA54D9"/>
    <w:rsid w:val="30EF353D"/>
    <w:rsid w:val="30F10891"/>
    <w:rsid w:val="30F13338"/>
    <w:rsid w:val="310C4A4C"/>
    <w:rsid w:val="311444A1"/>
    <w:rsid w:val="31195802"/>
    <w:rsid w:val="314F19DE"/>
    <w:rsid w:val="315757AE"/>
    <w:rsid w:val="31742E4E"/>
    <w:rsid w:val="31892206"/>
    <w:rsid w:val="31926D16"/>
    <w:rsid w:val="31974ED2"/>
    <w:rsid w:val="31A1306B"/>
    <w:rsid w:val="31AA13C8"/>
    <w:rsid w:val="31B242B9"/>
    <w:rsid w:val="31DF6482"/>
    <w:rsid w:val="32000348"/>
    <w:rsid w:val="320423B2"/>
    <w:rsid w:val="320A4F8C"/>
    <w:rsid w:val="321B594D"/>
    <w:rsid w:val="32396CA7"/>
    <w:rsid w:val="32406CFD"/>
    <w:rsid w:val="324E226E"/>
    <w:rsid w:val="326B1A60"/>
    <w:rsid w:val="327B0EE3"/>
    <w:rsid w:val="32842723"/>
    <w:rsid w:val="32847F41"/>
    <w:rsid w:val="32B15F25"/>
    <w:rsid w:val="32B82304"/>
    <w:rsid w:val="32B871AC"/>
    <w:rsid w:val="32C57B5B"/>
    <w:rsid w:val="32CB3041"/>
    <w:rsid w:val="32D4454C"/>
    <w:rsid w:val="32F341BB"/>
    <w:rsid w:val="32FE6DB5"/>
    <w:rsid w:val="32FF588D"/>
    <w:rsid w:val="330A5D26"/>
    <w:rsid w:val="3341058C"/>
    <w:rsid w:val="33434A04"/>
    <w:rsid w:val="335C0F0C"/>
    <w:rsid w:val="33600B95"/>
    <w:rsid w:val="338F5AA2"/>
    <w:rsid w:val="33CA38C0"/>
    <w:rsid w:val="33DC601A"/>
    <w:rsid w:val="33F62CD1"/>
    <w:rsid w:val="33FE76D9"/>
    <w:rsid w:val="3404140F"/>
    <w:rsid w:val="342B427E"/>
    <w:rsid w:val="344A3B15"/>
    <w:rsid w:val="344A5CAF"/>
    <w:rsid w:val="344D559D"/>
    <w:rsid w:val="34627E84"/>
    <w:rsid w:val="346678FC"/>
    <w:rsid w:val="34700CE5"/>
    <w:rsid w:val="34724319"/>
    <w:rsid w:val="34761B3D"/>
    <w:rsid w:val="34B70E92"/>
    <w:rsid w:val="34BC38A3"/>
    <w:rsid w:val="34BC47EE"/>
    <w:rsid w:val="34D33456"/>
    <w:rsid w:val="34E40873"/>
    <w:rsid w:val="34ED2EF3"/>
    <w:rsid w:val="34FB6280"/>
    <w:rsid w:val="35096656"/>
    <w:rsid w:val="35125BC0"/>
    <w:rsid w:val="351274ED"/>
    <w:rsid w:val="3527091F"/>
    <w:rsid w:val="35413CA8"/>
    <w:rsid w:val="35523A36"/>
    <w:rsid w:val="35552533"/>
    <w:rsid w:val="355C608F"/>
    <w:rsid w:val="35884C5D"/>
    <w:rsid w:val="358B16A6"/>
    <w:rsid w:val="359114B6"/>
    <w:rsid w:val="35BD3C4A"/>
    <w:rsid w:val="35DA1085"/>
    <w:rsid w:val="35F8503E"/>
    <w:rsid w:val="36065048"/>
    <w:rsid w:val="360E3D96"/>
    <w:rsid w:val="360F3340"/>
    <w:rsid w:val="36100B60"/>
    <w:rsid w:val="36180E6A"/>
    <w:rsid w:val="363A6CD2"/>
    <w:rsid w:val="36504388"/>
    <w:rsid w:val="36525CB0"/>
    <w:rsid w:val="366F798B"/>
    <w:rsid w:val="36845E45"/>
    <w:rsid w:val="36860188"/>
    <w:rsid w:val="3687528F"/>
    <w:rsid w:val="369E1856"/>
    <w:rsid w:val="369F5F8F"/>
    <w:rsid w:val="36AB53A8"/>
    <w:rsid w:val="36BF7024"/>
    <w:rsid w:val="36CB2A00"/>
    <w:rsid w:val="36D71B6D"/>
    <w:rsid w:val="36D72354"/>
    <w:rsid w:val="36D954F0"/>
    <w:rsid w:val="36DB3646"/>
    <w:rsid w:val="370666E5"/>
    <w:rsid w:val="370C60A4"/>
    <w:rsid w:val="370F5BFD"/>
    <w:rsid w:val="371B6273"/>
    <w:rsid w:val="37323C4D"/>
    <w:rsid w:val="374375AF"/>
    <w:rsid w:val="374E58D6"/>
    <w:rsid w:val="376B6B46"/>
    <w:rsid w:val="377B22EA"/>
    <w:rsid w:val="37801AA2"/>
    <w:rsid w:val="3782361C"/>
    <w:rsid w:val="3797682D"/>
    <w:rsid w:val="37B70D55"/>
    <w:rsid w:val="37B91CA7"/>
    <w:rsid w:val="37E234BF"/>
    <w:rsid w:val="380C7B3D"/>
    <w:rsid w:val="381730CC"/>
    <w:rsid w:val="383A131B"/>
    <w:rsid w:val="3849652C"/>
    <w:rsid w:val="385C1B20"/>
    <w:rsid w:val="385F1A9D"/>
    <w:rsid w:val="38645417"/>
    <w:rsid w:val="3866177B"/>
    <w:rsid w:val="386B0171"/>
    <w:rsid w:val="387979F1"/>
    <w:rsid w:val="387C2795"/>
    <w:rsid w:val="38881EBB"/>
    <w:rsid w:val="38942AAD"/>
    <w:rsid w:val="389712F2"/>
    <w:rsid w:val="38BC5D6B"/>
    <w:rsid w:val="38C63D66"/>
    <w:rsid w:val="38CA4FC5"/>
    <w:rsid w:val="38D26913"/>
    <w:rsid w:val="38D93327"/>
    <w:rsid w:val="38E21DE2"/>
    <w:rsid w:val="39215CC3"/>
    <w:rsid w:val="3935437F"/>
    <w:rsid w:val="393973DB"/>
    <w:rsid w:val="395550D1"/>
    <w:rsid w:val="395E7CE7"/>
    <w:rsid w:val="398630C2"/>
    <w:rsid w:val="399805D2"/>
    <w:rsid w:val="39A03524"/>
    <w:rsid w:val="39B32851"/>
    <w:rsid w:val="39B611DA"/>
    <w:rsid w:val="39BB476A"/>
    <w:rsid w:val="39C70DF7"/>
    <w:rsid w:val="39CD7D12"/>
    <w:rsid w:val="39DC07CC"/>
    <w:rsid w:val="39E21628"/>
    <w:rsid w:val="39E901AB"/>
    <w:rsid w:val="39E91C6F"/>
    <w:rsid w:val="39FD40D4"/>
    <w:rsid w:val="3A0462CC"/>
    <w:rsid w:val="3A167BEC"/>
    <w:rsid w:val="3A1B3636"/>
    <w:rsid w:val="3A2959B1"/>
    <w:rsid w:val="3A466C85"/>
    <w:rsid w:val="3A8D3267"/>
    <w:rsid w:val="3A8E4793"/>
    <w:rsid w:val="3AB2321F"/>
    <w:rsid w:val="3AB32333"/>
    <w:rsid w:val="3ABB31FD"/>
    <w:rsid w:val="3ACC6A5F"/>
    <w:rsid w:val="3AD07C99"/>
    <w:rsid w:val="3AD30754"/>
    <w:rsid w:val="3AE267C9"/>
    <w:rsid w:val="3AE42D07"/>
    <w:rsid w:val="3AE6242C"/>
    <w:rsid w:val="3AF67989"/>
    <w:rsid w:val="3B0F5D78"/>
    <w:rsid w:val="3B291F18"/>
    <w:rsid w:val="3B35149A"/>
    <w:rsid w:val="3B3C308E"/>
    <w:rsid w:val="3B4F12B2"/>
    <w:rsid w:val="3B730A2C"/>
    <w:rsid w:val="3B8D15A9"/>
    <w:rsid w:val="3BBD3970"/>
    <w:rsid w:val="3BD13837"/>
    <w:rsid w:val="3BD43349"/>
    <w:rsid w:val="3C0A04BB"/>
    <w:rsid w:val="3C1134A9"/>
    <w:rsid w:val="3C1278E0"/>
    <w:rsid w:val="3C2B2044"/>
    <w:rsid w:val="3C555015"/>
    <w:rsid w:val="3C583D72"/>
    <w:rsid w:val="3C6524E5"/>
    <w:rsid w:val="3C691DB4"/>
    <w:rsid w:val="3C7057AE"/>
    <w:rsid w:val="3C71272F"/>
    <w:rsid w:val="3CA8627B"/>
    <w:rsid w:val="3CA900CA"/>
    <w:rsid w:val="3CA97F92"/>
    <w:rsid w:val="3CB07A2D"/>
    <w:rsid w:val="3CD75083"/>
    <w:rsid w:val="3CF177EF"/>
    <w:rsid w:val="3CF87315"/>
    <w:rsid w:val="3D1E45E5"/>
    <w:rsid w:val="3D3712B0"/>
    <w:rsid w:val="3D4401AE"/>
    <w:rsid w:val="3D4B442E"/>
    <w:rsid w:val="3D7263EA"/>
    <w:rsid w:val="3D7B54EF"/>
    <w:rsid w:val="3D7D48B2"/>
    <w:rsid w:val="3D86267D"/>
    <w:rsid w:val="3D8B6E52"/>
    <w:rsid w:val="3DA70962"/>
    <w:rsid w:val="3DAF4BE0"/>
    <w:rsid w:val="3DB724DE"/>
    <w:rsid w:val="3DC70F93"/>
    <w:rsid w:val="3DE628EA"/>
    <w:rsid w:val="3DF41F1A"/>
    <w:rsid w:val="3E183724"/>
    <w:rsid w:val="3E1A7639"/>
    <w:rsid w:val="3E1C2BF5"/>
    <w:rsid w:val="3E22369C"/>
    <w:rsid w:val="3E2258E7"/>
    <w:rsid w:val="3E2E431B"/>
    <w:rsid w:val="3E3660A4"/>
    <w:rsid w:val="3E4D5D4B"/>
    <w:rsid w:val="3E5F3821"/>
    <w:rsid w:val="3E662C4E"/>
    <w:rsid w:val="3E6836C3"/>
    <w:rsid w:val="3E74486F"/>
    <w:rsid w:val="3E9D7D6C"/>
    <w:rsid w:val="3EA271E9"/>
    <w:rsid w:val="3EBE544B"/>
    <w:rsid w:val="3EC66D80"/>
    <w:rsid w:val="3EC7628C"/>
    <w:rsid w:val="3EC774ED"/>
    <w:rsid w:val="3ED309C1"/>
    <w:rsid w:val="3ED545DB"/>
    <w:rsid w:val="3ED613E3"/>
    <w:rsid w:val="3EDC2981"/>
    <w:rsid w:val="3EE4471D"/>
    <w:rsid w:val="3EF75F01"/>
    <w:rsid w:val="3F0C2C0C"/>
    <w:rsid w:val="3F153D9D"/>
    <w:rsid w:val="3F23004F"/>
    <w:rsid w:val="3F3C71CB"/>
    <w:rsid w:val="3F4851FB"/>
    <w:rsid w:val="3F4F184E"/>
    <w:rsid w:val="3F597C70"/>
    <w:rsid w:val="3F5A50A4"/>
    <w:rsid w:val="3F86322C"/>
    <w:rsid w:val="3F8F2F70"/>
    <w:rsid w:val="3F96722A"/>
    <w:rsid w:val="3FA10922"/>
    <w:rsid w:val="3FA115F0"/>
    <w:rsid w:val="3FA46EF8"/>
    <w:rsid w:val="3FBF69C8"/>
    <w:rsid w:val="3FD4031B"/>
    <w:rsid w:val="3FDA0AC6"/>
    <w:rsid w:val="3FE47F77"/>
    <w:rsid w:val="3FFE53E9"/>
    <w:rsid w:val="40164160"/>
    <w:rsid w:val="40170374"/>
    <w:rsid w:val="4019218E"/>
    <w:rsid w:val="40270EDB"/>
    <w:rsid w:val="403F5839"/>
    <w:rsid w:val="40596BBF"/>
    <w:rsid w:val="406A433E"/>
    <w:rsid w:val="40841FFE"/>
    <w:rsid w:val="40BD6A2F"/>
    <w:rsid w:val="40E517EC"/>
    <w:rsid w:val="40E724CE"/>
    <w:rsid w:val="41181D29"/>
    <w:rsid w:val="41303C39"/>
    <w:rsid w:val="413D1880"/>
    <w:rsid w:val="414B2E3E"/>
    <w:rsid w:val="414F74CB"/>
    <w:rsid w:val="4152668D"/>
    <w:rsid w:val="415746DD"/>
    <w:rsid w:val="415B6654"/>
    <w:rsid w:val="417371BA"/>
    <w:rsid w:val="417C2EE6"/>
    <w:rsid w:val="418515F9"/>
    <w:rsid w:val="41A0365E"/>
    <w:rsid w:val="41A5316F"/>
    <w:rsid w:val="41C92B51"/>
    <w:rsid w:val="41D301C3"/>
    <w:rsid w:val="41D623AF"/>
    <w:rsid w:val="41E618AB"/>
    <w:rsid w:val="41EC095F"/>
    <w:rsid w:val="41FB53EF"/>
    <w:rsid w:val="421F1BB6"/>
    <w:rsid w:val="422F49B3"/>
    <w:rsid w:val="425372A2"/>
    <w:rsid w:val="425910E8"/>
    <w:rsid w:val="426A0418"/>
    <w:rsid w:val="426A1898"/>
    <w:rsid w:val="426C23E2"/>
    <w:rsid w:val="427330DF"/>
    <w:rsid w:val="427D7873"/>
    <w:rsid w:val="42802614"/>
    <w:rsid w:val="428B7594"/>
    <w:rsid w:val="42A853C7"/>
    <w:rsid w:val="42B01704"/>
    <w:rsid w:val="42CC4106"/>
    <w:rsid w:val="42E068CB"/>
    <w:rsid w:val="430274F1"/>
    <w:rsid w:val="43287BCC"/>
    <w:rsid w:val="43330CA7"/>
    <w:rsid w:val="433858A5"/>
    <w:rsid w:val="433E126A"/>
    <w:rsid w:val="433F10B4"/>
    <w:rsid w:val="43606EA0"/>
    <w:rsid w:val="437D2024"/>
    <w:rsid w:val="43920E07"/>
    <w:rsid w:val="43951B04"/>
    <w:rsid w:val="43A7649F"/>
    <w:rsid w:val="43B41E3E"/>
    <w:rsid w:val="43BC110E"/>
    <w:rsid w:val="43D32426"/>
    <w:rsid w:val="43EE6D65"/>
    <w:rsid w:val="43FC7E87"/>
    <w:rsid w:val="44210A17"/>
    <w:rsid w:val="44271441"/>
    <w:rsid w:val="44440F27"/>
    <w:rsid w:val="4465559E"/>
    <w:rsid w:val="44712172"/>
    <w:rsid w:val="447734D9"/>
    <w:rsid w:val="44833414"/>
    <w:rsid w:val="4491600F"/>
    <w:rsid w:val="44984355"/>
    <w:rsid w:val="44A2635F"/>
    <w:rsid w:val="44A8226D"/>
    <w:rsid w:val="44C80955"/>
    <w:rsid w:val="44CC2C4F"/>
    <w:rsid w:val="44E27A7E"/>
    <w:rsid w:val="44F71504"/>
    <w:rsid w:val="44FB7340"/>
    <w:rsid w:val="451A55B3"/>
    <w:rsid w:val="451E0828"/>
    <w:rsid w:val="451E2AD9"/>
    <w:rsid w:val="4524498B"/>
    <w:rsid w:val="45461523"/>
    <w:rsid w:val="454817C9"/>
    <w:rsid w:val="454F0C0F"/>
    <w:rsid w:val="456909A8"/>
    <w:rsid w:val="456D3D22"/>
    <w:rsid w:val="457E1251"/>
    <w:rsid w:val="45995BB4"/>
    <w:rsid w:val="45B93063"/>
    <w:rsid w:val="45C23361"/>
    <w:rsid w:val="45CA18A8"/>
    <w:rsid w:val="45CC3056"/>
    <w:rsid w:val="45FB5A7C"/>
    <w:rsid w:val="45FD22C0"/>
    <w:rsid w:val="45FD3E50"/>
    <w:rsid w:val="4601483F"/>
    <w:rsid w:val="46114003"/>
    <w:rsid w:val="46163E05"/>
    <w:rsid w:val="4625681F"/>
    <w:rsid w:val="462569BC"/>
    <w:rsid w:val="464E3334"/>
    <w:rsid w:val="4650702B"/>
    <w:rsid w:val="466D6B73"/>
    <w:rsid w:val="46760020"/>
    <w:rsid w:val="468F7B5E"/>
    <w:rsid w:val="469D3DE5"/>
    <w:rsid w:val="46A02CE5"/>
    <w:rsid w:val="46A34E08"/>
    <w:rsid w:val="46A7659A"/>
    <w:rsid w:val="46C24284"/>
    <w:rsid w:val="46C853F2"/>
    <w:rsid w:val="46CE53B7"/>
    <w:rsid w:val="46F722E3"/>
    <w:rsid w:val="471849F3"/>
    <w:rsid w:val="472B392C"/>
    <w:rsid w:val="472B3FFD"/>
    <w:rsid w:val="472E7B5B"/>
    <w:rsid w:val="4734684B"/>
    <w:rsid w:val="47353DAC"/>
    <w:rsid w:val="4740541B"/>
    <w:rsid w:val="47427099"/>
    <w:rsid w:val="47542182"/>
    <w:rsid w:val="476A5FE9"/>
    <w:rsid w:val="477251CE"/>
    <w:rsid w:val="4780564D"/>
    <w:rsid w:val="478610F4"/>
    <w:rsid w:val="47A92D09"/>
    <w:rsid w:val="47CC1367"/>
    <w:rsid w:val="47D54BA7"/>
    <w:rsid w:val="48017210"/>
    <w:rsid w:val="48087FE3"/>
    <w:rsid w:val="481A3E81"/>
    <w:rsid w:val="482C5D39"/>
    <w:rsid w:val="482E5131"/>
    <w:rsid w:val="485B1902"/>
    <w:rsid w:val="48626892"/>
    <w:rsid w:val="488B6680"/>
    <w:rsid w:val="48AF419F"/>
    <w:rsid w:val="48D65805"/>
    <w:rsid w:val="48D75B88"/>
    <w:rsid w:val="48DB7360"/>
    <w:rsid w:val="48E33E5F"/>
    <w:rsid w:val="48FF5525"/>
    <w:rsid w:val="49001E86"/>
    <w:rsid w:val="490647BE"/>
    <w:rsid w:val="493618EF"/>
    <w:rsid w:val="494C4436"/>
    <w:rsid w:val="49566BC9"/>
    <w:rsid w:val="495F5D36"/>
    <w:rsid w:val="49734683"/>
    <w:rsid w:val="497E5010"/>
    <w:rsid w:val="499250A4"/>
    <w:rsid w:val="49A62143"/>
    <w:rsid w:val="49DF3A58"/>
    <w:rsid w:val="49EC0086"/>
    <w:rsid w:val="49F64E88"/>
    <w:rsid w:val="4A234FEC"/>
    <w:rsid w:val="4A2D2C3E"/>
    <w:rsid w:val="4A2F090E"/>
    <w:rsid w:val="4A320278"/>
    <w:rsid w:val="4A467DEA"/>
    <w:rsid w:val="4A480B48"/>
    <w:rsid w:val="4A665CC9"/>
    <w:rsid w:val="4A8307F4"/>
    <w:rsid w:val="4A8A57B2"/>
    <w:rsid w:val="4AA31EB3"/>
    <w:rsid w:val="4AA5523D"/>
    <w:rsid w:val="4AB30EDE"/>
    <w:rsid w:val="4ABA38FB"/>
    <w:rsid w:val="4ADE14CD"/>
    <w:rsid w:val="4AFA1E51"/>
    <w:rsid w:val="4B242129"/>
    <w:rsid w:val="4B2E2169"/>
    <w:rsid w:val="4B341F77"/>
    <w:rsid w:val="4B543C59"/>
    <w:rsid w:val="4B6828A2"/>
    <w:rsid w:val="4B730590"/>
    <w:rsid w:val="4B7D207A"/>
    <w:rsid w:val="4B875EB6"/>
    <w:rsid w:val="4BA731AA"/>
    <w:rsid w:val="4BAD1EF1"/>
    <w:rsid w:val="4BAF7C51"/>
    <w:rsid w:val="4BB2318A"/>
    <w:rsid w:val="4BB961D0"/>
    <w:rsid w:val="4BBA6469"/>
    <w:rsid w:val="4BD73847"/>
    <w:rsid w:val="4BE136FC"/>
    <w:rsid w:val="4C000FEE"/>
    <w:rsid w:val="4C160901"/>
    <w:rsid w:val="4C2A27C2"/>
    <w:rsid w:val="4C3F1AD6"/>
    <w:rsid w:val="4C6514B0"/>
    <w:rsid w:val="4C670BA8"/>
    <w:rsid w:val="4C6C0D90"/>
    <w:rsid w:val="4C6F4DDF"/>
    <w:rsid w:val="4C7D1FFD"/>
    <w:rsid w:val="4C7E7777"/>
    <w:rsid w:val="4C880BAD"/>
    <w:rsid w:val="4CB7716D"/>
    <w:rsid w:val="4CE21E5B"/>
    <w:rsid w:val="4CED4287"/>
    <w:rsid w:val="4CF5763E"/>
    <w:rsid w:val="4D035F30"/>
    <w:rsid w:val="4D082338"/>
    <w:rsid w:val="4D361E73"/>
    <w:rsid w:val="4D3F7CBF"/>
    <w:rsid w:val="4D48482F"/>
    <w:rsid w:val="4D62389D"/>
    <w:rsid w:val="4D8B6E28"/>
    <w:rsid w:val="4DA8223C"/>
    <w:rsid w:val="4DBB5850"/>
    <w:rsid w:val="4DC46301"/>
    <w:rsid w:val="4DF60896"/>
    <w:rsid w:val="4DFD5ECA"/>
    <w:rsid w:val="4DFE3CC8"/>
    <w:rsid w:val="4E025DB2"/>
    <w:rsid w:val="4E1630B6"/>
    <w:rsid w:val="4E25354C"/>
    <w:rsid w:val="4E360898"/>
    <w:rsid w:val="4E4B405F"/>
    <w:rsid w:val="4E4E418E"/>
    <w:rsid w:val="4E655042"/>
    <w:rsid w:val="4E8D19A7"/>
    <w:rsid w:val="4EA345E7"/>
    <w:rsid w:val="4EB03F47"/>
    <w:rsid w:val="4EB66AEE"/>
    <w:rsid w:val="4EB9175E"/>
    <w:rsid w:val="4ED22709"/>
    <w:rsid w:val="4EF6108D"/>
    <w:rsid w:val="4EF8347E"/>
    <w:rsid w:val="4EFA23C6"/>
    <w:rsid w:val="4F0A7123"/>
    <w:rsid w:val="4F0F7608"/>
    <w:rsid w:val="4F1C1A77"/>
    <w:rsid w:val="4F2A3762"/>
    <w:rsid w:val="4F2E0DB1"/>
    <w:rsid w:val="4F3517A8"/>
    <w:rsid w:val="4F422CA5"/>
    <w:rsid w:val="4F43009A"/>
    <w:rsid w:val="4F6F0750"/>
    <w:rsid w:val="4F7119FF"/>
    <w:rsid w:val="4F756C5E"/>
    <w:rsid w:val="4F7A5394"/>
    <w:rsid w:val="4F992590"/>
    <w:rsid w:val="4FD412A3"/>
    <w:rsid w:val="4FD41C1D"/>
    <w:rsid w:val="4FD54DAA"/>
    <w:rsid w:val="4FD64014"/>
    <w:rsid w:val="4FE17A31"/>
    <w:rsid w:val="4FE311D6"/>
    <w:rsid w:val="4FED2322"/>
    <w:rsid w:val="4FFD53C6"/>
    <w:rsid w:val="500B0D4B"/>
    <w:rsid w:val="501A4614"/>
    <w:rsid w:val="501F4A64"/>
    <w:rsid w:val="50252D35"/>
    <w:rsid w:val="502D0C73"/>
    <w:rsid w:val="5030543D"/>
    <w:rsid w:val="503D1B16"/>
    <w:rsid w:val="5074268E"/>
    <w:rsid w:val="508E47DC"/>
    <w:rsid w:val="50A90DD5"/>
    <w:rsid w:val="50A940E7"/>
    <w:rsid w:val="50AE3F83"/>
    <w:rsid w:val="50AE699A"/>
    <w:rsid w:val="50AF63AC"/>
    <w:rsid w:val="50B14097"/>
    <w:rsid w:val="50B32A80"/>
    <w:rsid w:val="50CF7A4B"/>
    <w:rsid w:val="50DE4A3D"/>
    <w:rsid w:val="51022777"/>
    <w:rsid w:val="510C092F"/>
    <w:rsid w:val="5113318E"/>
    <w:rsid w:val="51162402"/>
    <w:rsid w:val="511D028B"/>
    <w:rsid w:val="512B1EE0"/>
    <w:rsid w:val="5137564E"/>
    <w:rsid w:val="5146011D"/>
    <w:rsid w:val="51545EBF"/>
    <w:rsid w:val="51585972"/>
    <w:rsid w:val="515C0CB9"/>
    <w:rsid w:val="516473A7"/>
    <w:rsid w:val="5165226A"/>
    <w:rsid w:val="516C1A4D"/>
    <w:rsid w:val="517721D1"/>
    <w:rsid w:val="51781492"/>
    <w:rsid w:val="517A5728"/>
    <w:rsid w:val="517E61CE"/>
    <w:rsid w:val="51A846EE"/>
    <w:rsid w:val="51C07C63"/>
    <w:rsid w:val="51C606E4"/>
    <w:rsid w:val="51C72B2F"/>
    <w:rsid w:val="51D22D16"/>
    <w:rsid w:val="51F10280"/>
    <w:rsid w:val="520923F4"/>
    <w:rsid w:val="5211020B"/>
    <w:rsid w:val="52187918"/>
    <w:rsid w:val="5241154F"/>
    <w:rsid w:val="524467AD"/>
    <w:rsid w:val="52550EE8"/>
    <w:rsid w:val="52592B52"/>
    <w:rsid w:val="527543BE"/>
    <w:rsid w:val="52785D8E"/>
    <w:rsid w:val="527B1047"/>
    <w:rsid w:val="52885691"/>
    <w:rsid w:val="528E22CF"/>
    <w:rsid w:val="529456C7"/>
    <w:rsid w:val="529B1EBD"/>
    <w:rsid w:val="529E7DC9"/>
    <w:rsid w:val="52A1157D"/>
    <w:rsid w:val="52A13940"/>
    <w:rsid w:val="52B7492F"/>
    <w:rsid w:val="52C276E1"/>
    <w:rsid w:val="52F201A7"/>
    <w:rsid w:val="52F30525"/>
    <w:rsid w:val="530418F1"/>
    <w:rsid w:val="53143DBE"/>
    <w:rsid w:val="532452B2"/>
    <w:rsid w:val="533D3764"/>
    <w:rsid w:val="53560A73"/>
    <w:rsid w:val="535B4CF0"/>
    <w:rsid w:val="537323E7"/>
    <w:rsid w:val="539A7F34"/>
    <w:rsid w:val="53A53D5A"/>
    <w:rsid w:val="53B93087"/>
    <w:rsid w:val="53CF09AE"/>
    <w:rsid w:val="53D27C3B"/>
    <w:rsid w:val="53E37C63"/>
    <w:rsid w:val="53E4696D"/>
    <w:rsid w:val="53E8598B"/>
    <w:rsid w:val="53EB7EF9"/>
    <w:rsid w:val="53F11E92"/>
    <w:rsid w:val="53F34C98"/>
    <w:rsid w:val="53F90D5A"/>
    <w:rsid w:val="5400093A"/>
    <w:rsid w:val="540D2227"/>
    <w:rsid w:val="541C372E"/>
    <w:rsid w:val="543E150A"/>
    <w:rsid w:val="54640DD5"/>
    <w:rsid w:val="546829F9"/>
    <w:rsid w:val="5473410F"/>
    <w:rsid w:val="54811A0B"/>
    <w:rsid w:val="549D2F6A"/>
    <w:rsid w:val="54A05867"/>
    <w:rsid w:val="54DE453A"/>
    <w:rsid w:val="54FD05CF"/>
    <w:rsid w:val="550E2018"/>
    <w:rsid w:val="551C0949"/>
    <w:rsid w:val="55245AF4"/>
    <w:rsid w:val="55332140"/>
    <w:rsid w:val="553515CF"/>
    <w:rsid w:val="5535226D"/>
    <w:rsid w:val="55411377"/>
    <w:rsid w:val="55684380"/>
    <w:rsid w:val="5569348D"/>
    <w:rsid w:val="556F0C82"/>
    <w:rsid w:val="55734A88"/>
    <w:rsid w:val="55992746"/>
    <w:rsid w:val="55A8783C"/>
    <w:rsid w:val="55B70080"/>
    <w:rsid w:val="55C019F9"/>
    <w:rsid w:val="55C22D99"/>
    <w:rsid w:val="55C34875"/>
    <w:rsid w:val="55DA0671"/>
    <w:rsid w:val="55DE462D"/>
    <w:rsid w:val="562A77A5"/>
    <w:rsid w:val="56600C3C"/>
    <w:rsid w:val="566B44F9"/>
    <w:rsid w:val="566C6AAD"/>
    <w:rsid w:val="56854F8E"/>
    <w:rsid w:val="569549B7"/>
    <w:rsid w:val="569B59A6"/>
    <w:rsid w:val="569E768C"/>
    <w:rsid w:val="56D026DA"/>
    <w:rsid w:val="56F00AC2"/>
    <w:rsid w:val="56FF02B9"/>
    <w:rsid w:val="57030085"/>
    <w:rsid w:val="570407FA"/>
    <w:rsid w:val="5707087A"/>
    <w:rsid w:val="57132F95"/>
    <w:rsid w:val="571961F8"/>
    <w:rsid w:val="572D56F6"/>
    <w:rsid w:val="57300244"/>
    <w:rsid w:val="57416FDD"/>
    <w:rsid w:val="574B6AFB"/>
    <w:rsid w:val="5757511D"/>
    <w:rsid w:val="57633E93"/>
    <w:rsid w:val="5764383E"/>
    <w:rsid w:val="576D6289"/>
    <w:rsid w:val="57797419"/>
    <w:rsid w:val="57817915"/>
    <w:rsid w:val="57BA76D9"/>
    <w:rsid w:val="57CA2EE6"/>
    <w:rsid w:val="57D069E1"/>
    <w:rsid w:val="57DE551D"/>
    <w:rsid w:val="57F85D96"/>
    <w:rsid w:val="580A08CC"/>
    <w:rsid w:val="580C23E4"/>
    <w:rsid w:val="58191B0C"/>
    <w:rsid w:val="5827740E"/>
    <w:rsid w:val="58315B21"/>
    <w:rsid w:val="58424C7E"/>
    <w:rsid w:val="58430210"/>
    <w:rsid w:val="585320E4"/>
    <w:rsid w:val="5863214C"/>
    <w:rsid w:val="58717162"/>
    <w:rsid w:val="587B41B2"/>
    <w:rsid w:val="587E2FB0"/>
    <w:rsid w:val="587F4E33"/>
    <w:rsid w:val="587F6BA5"/>
    <w:rsid w:val="58866860"/>
    <w:rsid w:val="58915138"/>
    <w:rsid w:val="589A70FA"/>
    <w:rsid w:val="58A228DA"/>
    <w:rsid w:val="58B8618D"/>
    <w:rsid w:val="58F663EC"/>
    <w:rsid w:val="593740EF"/>
    <w:rsid w:val="5939592A"/>
    <w:rsid w:val="59536DE1"/>
    <w:rsid w:val="595C4CF9"/>
    <w:rsid w:val="59696FC2"/>
    <w:rsid w:val="59703EC5"/>
    <w:rsid w:val="597F2884"/>
    <w:rsid w:val="598B393C"/>
    <w:rsid w:val="59CE222A"/>
    <w:rsid w:val="59CE6281"/>
    <w:rsid w:val="59D022CD"/>
    <w:rsid w:val="59DF31C4"/>
    <w:rsid w:val="5A0C458C"/>
    <w:rsid w:val="5A2B0D3B"/>
    <w:rsid w:val="5A341255"/>
    <w:rsid w:val="5A3571BF"/>
    <w:rsid w:val="5A3C75C1"/>
    <w:rsid w:val="5A400973"/>
    <w:rsid w:val="5A44572C"/>
    <w:rsid w:val="5A455381"/>
    <w:rsid w:val="5A493FC8"/>
    <w:rsid w:val="5A6F134E"/>
    <w:rsid w:val="5A8A6ADB"/>
    <w:rsid w:val="5A936EBE"/>
    <w:rsid w:val="5AA549B2"/>
    <w:rsid w:val="5ADF3379"/>
    <w:rsid w:val="5AE021F1"/>
    <w:rsid w:val="5B0416C7"/>
    <w:rsid w:val="5B1A400E"/>
    <w:rsid w:val="5B316F94"/>
    <w:rsid w:val="5B3372B8"/>
    <w:rsid w:val="5B45691B"/>
    <w:rsid w:val="5B46631F"/>
    <w:rsid w:val="5B5104F9"/>
    <w:rsid w:val="5B562BF6"/>
    <w:rsid w:val="5B6950AB"/>
    <w:rsid w:val="5B6A7A00"/>
    <w:rsid w:val="5B6B014D"/>
    <w:rsid w:val="5B823CDC"/>
    <w:rsid w:val="5B8857E6"/>
    <w:rsid w:val="5B8F4879"/>
    <w:rsid w:val="5B936B9D"/>
    <w:rsid w:val="5BAC4E3A"/>
    <w:rsid w:val="5BC849D6"/>
    <w:rsid w:val="5BF32F12"/>
    <w:rsid w:val="5BF7148A"/>
    <w:rsid w:val="5C2D1687"/>
    <w:rsid w:val="5C362AF4"/>
    <w:rsid w:val="5C3E4720"/>
    <w:rsid w:val="5C4668A9"/>
    <w:rsid w:val="5C526BB4"/>
    <w:rsid w:val="5C620538"/>
    <w:rsid w:val="5C7A7CF8"/>
    <w:rsid w:val="5C802FB3"/>
    <w:rsid w:val="5CB033FC"/>
    <w:rsid w:val="5CC34110"/>
    <w:rsid w:val="5D024954"/>
    <w:rsid w:val="5D05489E"/>
    <w:rsid w:val="5D0A579A"/>
    <w:rsid w:val="5D28094E"/>
    <w:rsid w:val="5D443C70"/>
    <w:rsid w:val="5D4741D2"/>
    <w:rsid w:val="5D4A7B65"/>
    <w:rsid w:val="5D5515B5"/>
    <w:rsid w:val="5D6871F6"/>
    <w:rsid w:val="5D7727EC"/>
    <w:rsid w:val="5D7C1CCD"/>
    <w:rsid w:val="5D806973"/>
    <w:rsid w:val="5D8E4670"/>
    <w:rsid w:val="5DAD3F76"/>
    <w:rsid w:val="5DB22A59"/>
    <w:rsid w:val="5DB30A1E"/>
    <w:rsid w:val="5DD07349"/>
    <w:rsid w:val="5DE35FCF"/>
    <w:rsid w:val="5DE47236"/>
    <w:rsid w:val="5DE95B3D"/>
    <w:rsid w:val="5DEF4402"/>
    <w:rsid w:val="5DFC469C"/>
    <w:rsid w:val="5E074110"/>
    <w:rsid w:val="5E1C0FFA"/>
    <w:rsid w:val="5E203806"/>
    <w:rsid w:val="5E401FD5"/>
    <w:rsid w:val="5E430067"/>
    <w:rsid w:val="5E58634F"/>
    <w:rsid w:val="5E7A4A4B"/>
    <w:rsid w:val="5E7B4EF1"/>
    <w:rsid w:val="5E7E4A22"/>
    <w:rsid w:val="5EB04588"/>
    <w:rsid w:val="5EC52109"/>
    <w:rsid w:val="5EDC6635"/>
    <w:rsid w:val="5EDF242A"/>
    <w:rsid w:val="5EEC4CC9"/>
    <w:rsid w:val="5F2C5614"/>
    <w:rsid w:val="5F334632"/>
    <w:rsid w:val="5F387DD8"/>
    <w:rsid w:val="5F3D46C8"/>
    <w:rsid w:val="5F3F3A92"/>
    <w:rsid w:val="5F562344"/>
    <w:rsid w:val="5F610F9A"/>
    <w:rsid w:val="5F723B9C"/>
    <w:rsid w:val="5F740D96"/>
    <w:rsid w:val="5FAB1E22"/>
    <w:rsid w:val="5FAE7B2D"/>
    <w:rsid w:val="5FEF51B4"/>
    <w:rsid w:val="5FFD47CB"/>
    <w:rsid w:val="600F713A"/>
    <w:rsid w:val="60295475"/>
    <w:rsid w:val="602976E5"/>
    <w:rsid w:val="602B5CAC"/>
    <w:rsid w:val="602E79F0"/>
    <w:rsid w:val="60352928"/>
    <w:rsid w:val="604069C8"/>
    <w:rsid w:val="60442474"/>
    <w:rsid w:val="605308B8"/>
    <w:rsid w:val="60536876"/>
    <w:rsid w:val="606C21F5"/>
    <w:rsid w:val="606E421F"/>
    <w:rsid w:val="607A502C"/>
    <w:rsid w:val="608B55D8"/>
    <w:rsid w:val="608D3579"/>
    <w:rsid w:val="609B3534"/>
    <w:rsid w:val="609C3B6D"/>
    <w:rsid w:val="60A50722"/>
    <w:rsid w:val="60B128C4"/>
    <w:rsid w:val="60CA7929"/>
    <w:rsid w:val="60D31A6F"/>
    <w:rsid w:val="60D325C8"/>
    <w:rsid w:val="60FB13C9"/>
    <w:rsid w:val="6116450B"/>
    <w:rsid w:val="611651BB"/>
    <w:rsid w:val="61902044"/>
    <w:rsid w:val="61A83C0D"/>
    <w:rsid w:val="61AD0E69"/>
    <w:rsid w:val="61AE2894"/>
    <w:rsid w:val="61B42655"/>
    <w:rsid w:val="61B64AE6"/>
    <w:rsid w:val="61B95A3D"/>
    <w:rsid w:val="61DD55E6"/>
    <w:rsid w:val="61E30170"/>
    <w:rsid w:val="61E5752D"/>
    <w:rsid w:val="61EB04E9"/>
    <w:rsid w:val="622F4266"/>
    <w:rsid w:val="62462A72"/>
    <w:rsid w:val="624B3781"/>
    <w:rsid w:val="625F13E8"/>
    <w:rsid w:val="62602CF8"/>
    <w:rsid w:val="6275441F"/>
    <w:rsid w:val="627E147F"/>
    <w:rsid w:val="62A565F5"/>
    <w:rsid w:val="62AD7E76"/>
    <w:rsid w:val="62B93485"/>
    <w:rsid w:val="62E21A96"/>
    <w:rsid w:val="62F673DB"/>
    <w:rsid w:val="62F76DDA"/>
    <w:rsid w:val="6301006C"/>
    <w:rsid w:val="63030F14"/>
    <w:rsid w:val="635E40F3"/>
    <w:rsid w:val="636173F7"/>
    <w:rsid w:val="6384416F"/>
    <w:rsid w:val="638B7104"/>
    <w:rsid w:val="639076DF"/>
    <w:rsid w:val="63923F11"/>
    <w:rsid w:val="63B868A3"/>
    <w:rsid w:val="63D20FF4"/>
    <w:rsid w:val="63DD7C86"/>
    <w:rsid w:val="63F427DF"/>
    <w:rsid w:val="63FB1C28"/>
    <w:rsid w:val="640C3504"/>
    <w:rsid w:val="64121615"/>
    <w:rsid w:val="641341B5"/>
    <w:rsid w:val="642011FC"/>
    <w:rsid w:val="643125C3"/>
    <w:rsid w:val="64323CBE"/>
    <w:rsid w:val="643E27B6"/>
    <w:rsid w:val="645513CC"/>
    <w:rsid w:val="64553B73"/>
    <w:rsid w:val="645B5B40"/>
    <w:rsid w:val="645C0EE4"/>
    <w:rsid w:val="64797C89"/>
    <w:rsid w:val="648B66BA"/>
    <w:rsid w:val="64A036C7"/>
    <w:rsid w:val="64A04E14"/>
    <w:rsid w:val="64AE2DC0"/>
    <w:rsid w:val="64EC5F80"/>
    <w:rsid w:val="65037271"/>
    <w:rsid w:val="651E6389"/>
    <w:rsid w:val="65312AB4"/>
    <w:rsid w:val="653A1465"/>
    <w:rsid w:val="654023A1"/>
    <w:rsid w:val="654235AD"/>
    <w:rsid w:val="654E6126"/>
    <w:rsid w:val="656B6764"/>
    <w:rsid w:val="6577447A"/>
    <w:rsid w:val="657A65E0"/>
    <w:rsid w:val="657C4F3A"/>
    <w:rsid w:val="65870560"/>
    <w:rsid w:val="65A12770"/>
    <w:rsid w:val="65B070B7"/>
    <w:rsid w:val="65BD72CE"/>
    <w:rsid w:val="65EF2CE0"/>
    <w:rsid w:val="65F14EE8"/>
    <w:rsid w:val="660C6FA1"/>
    <w:rsid w:val="661462F7"/>
    <w:rsid w:val="66167837"/>
    <w:rsid w:val="663A65CE"/>
    <w:rsid w:val="66474639"/>
    <w:rsid w:val="666274B9"/>
    <w:rsid w:val="667128E4"/>
    <w:rsid w:val="66740D91"/>
    <w:rsid w:val="669C6912"/>
    <w:rsid w:val="66A85798"/>
    <w:rsid w:val="66D75E99"/>
    <w:rsid w:val="66E30E48"/>
    <w:rsid w:val="66EA4259"/>
    <w:rsid w:val="66F26EF2"/>
    <w:rsid w:val="67010AE3"/>
    <w:rsid w:val="67075894"/>
    <w:rsid w:val="67126EF7"/>
    <w:rsid w:val="672112E1"/>
    <w:rsid w:val="67261112"/>
    <w:rsid w:val="672659F3"/>
    <w:rsid w:val="67276A69"/>
    <w:rsid w:val="67293668"/>
    <w:rsid w:val="67420EC9"/>
    <w:rsid w:val="67465655"/>
    <w:rsid w:val="67545C6E"/>
    <w:rsid w:val="676778F6"/>
    <w:rsid w:val="67685576"/>
    <w:rsid w:val="67686F27"/>
    <w:rsid w:val="67740C3E"/>
    <w:rsid w:val="6781543A"/>
    <w:rsid w:val="67983015"/>
    <w:rsid w:val="679D7A01"/>
    <w:rsid w:val="67A75C44"/>
    <w:rsid w:val="67C119C7"/>
    <w:rsid w:val="67C373D8"/>
    <w:rsid w:val="67E70630"/>
    <w:rsid w:val="68002120"/>
    <w:rsid w:val="6804255B"/>
    <w:rsid w:val="680D1350"/>
    <w:rsid w:val="68347656"/>
    <w:rsid w:val="683977E8"/>
    <w:rsid w:val="683A2EED"/>
    <w:rsid w:val="6842615A"/>
    <w:rsid w:val="68450B02"/>
    <w:rsid w:val="684E3240"/>
    <w:rsid w:val="68556588"/>
    <w:rsid w:val="68A42834"/>
    <w:rsid w:val="68CE58E6"/>
    <w:rsid w:val="68CF2A69"/>
    <w:rsid w:val="68E814B4"/>
    <w:rsid w:val="68F91EAB"/>
    <w:rsid w:val="690D3FC2"/>
    <w:rsid w:val="69142EFB"/>
    <w:rsid w:val="69154D60"/>
    <w:rsid w:val="692B56B7"/>
    <w:rsid w:val="692F6F57"/>
    <w:rsid w:val="693A342A"/>
    <w:rsid w:val="693B4E23"/>
    <w:rsid w:val="694A6DBA"/>
    <w:rsid w:val="696F09AF"/>
    <w:rsid w:val="69752697"/>
    <w:rsid w:val="698E764A"/>
    <w:rsid w:val="69915568"/>
    <w:rsid w:val="69951D6A"/>
    <w:rsid w:val="69C64C75"/>
    <w:rsid w:val="69CD7FDE"/>
    <w:rsid w:val="69CF6EC4"/>
    <w:rsid w:val="69D05FDB"/>
    <w:rsid w:val="69DA551E"/>
    <w:rsid w:val="69DE5E8A"/>
    <w:rsid w:val="69E00D11"/>
    <w:rsid w:val="69F0389C"/>
    <w:rsid w:val="69F453FE"/>
    <w:rsid w:val="6A1849B7"/>
    <w:rsid w:val="6A1D40A1"/>
    <w:rsid w:val="6A3828E1"/>
    <w:rsid w:val="6A3E49CA"/>
    <w:rsid w:val="6A6468A5"/>
    <w:rsid w:val="6A727EED"/>
    <w:rsid w:val="6A783CBE"/>
    <w:rsid w:val="6A8755D3"/>
    <w:rsid w:val="6A9548E9"/>
    <w:rsid w:val="6AA54025"/>
    <w:rsid w:val="6AC9111D"/>
    <w:rsid w:val="6ADD40D7"/>
    <w:rsid w:val="6AE2354A"/>
    <w:rsid w:val="6AE91398"/>
    <w:rsid w:val="6AED7E18"/>
    <w:rsid w:val="6AF80E24"/>
    <w:rsid w:val="6AFA140D"/>
    <w:rsid w:val="6B0914DC"/>
    <w:rsid w:val="6B0F3217"/>
    <w:rsid w:val="6B1529A0"/>
    <w:rsid w:val="6B22477C"/>
    <w:rsid w:val="6B2B6B35"/>
    <w:rsid w:val="6B320A31"/>
    <w:rsid w:val="6B334087"/>
    <w:rsid w:val="6B3525D9"/>
    <w:rsid w:val="6B467AE6"/>
    <w:rsid w:val="6B491DA4"/>
    <w:rsid w:val="6B563D11"/>
    <w:rsid w:val="6B5D28FD"/>
    <w:rsid w:val="6B5E4D2E"/>
    <w:rsid w:val="6B6508C2"/>
    <w:rsid w:val="6B6B0456"/>
    <w:rsid w:val="6B7713F6"/>
    <w:rsid w:val="6B837812"/>
    <w:rsid w:val="6B8B34F4"/>
    <w:rsid w:val="6BBE7BEB"/>
    <w:rsid w:val="6BCF7550"/>
    <w:rsid w:val="6BE116D3"/>
    <w:rsid w:val="6BFE01CD"/>
    <w:rsid w:val="6C084F5B"/>
    <w:rsid w:val="6C27645D"/>
    <w:rsid w:val="6C2A7865"/>
    <w:rsid w:val="6C2D715B"/>
    <w:rsid w:val="6C5207BE"/>
    <w:rsid w:val="6C562931"/>
    <w:rsid w:val="6C5D5B6B"/>
    <w:rsid w:val="6C625544"/>
    <w:rsid w:val="6C6A54FD"/>
    <w:rsid w:val="6C7D01C0"/>
    <w:rsid w:val="6C7D32EB"/>
    <w:rsid w:val="6C82426E"/>
    <w:rsid w:val="6C98158A"/>
    <w:rsid w:val="6CC21518"/>
    <w:rsid w:val="6CE06EE3"/>
    <w:rsid w:val="6D0E0C03"/>
    <w:rsid w:val="6D1E0EC9"/>
    <w:rsid w:val="6D1F6156"/>
    <w:rsid w:val="6D257859"/>
    <w:rsid w:val="6D301B26"/>
    <w:rsid w:val="6D3549DB"/>
    <w:rsid w:val="6D4123A1"/>
    <w:rsid w:val="6D555633"/>
    <w:rsid w:val="6D572015"/>
    <w:rsid w:val="6D5864F7"/>
    <w:rsid w:val="6D805F6C"/>
    <w:rsid w:val="6D9B002E"/>
    <w:rsid w:val="6DA301E3"/>
    <w:rsid w:val="6DB166DC"/>
    <w:rsid w:val="6DB70CB4"/>
    <w:rsid w:val="6DE242AA"/>
    <w:rsid w:val="6DFC6FEC"/>
    <w:rsid w:val="6E094352"/>
    <w:rsid w:val="6E180F09"/>
    <w:rsid w:val="6E200223"/>
    <w:rsid w:val="6E3E2358"/>
    <w:rsid w:val="6E424BD5"/>
    <w:rsid w:val="6E6A27E1"/>
    <w:rsid w:val="6EC266E7"/>
    <w:rsid w:val="6ECB70B1"/>
    <w:rsid w:val="6F077F6F"/>
    <w:rsid w:val="6F1C37FF"/>
    <w:rsid w:val="6F7209F9"/>
    <w:rsid w:val="6F815117"/>
    <w:rsid w:val="6F8C3D1F"/>
    <w:rsid w:val="6FB04A52"/>
    <w:rsid w:val="6FBA66BD"/>
    <w:rsid w:val="6FBC2C44"/>
    <w:rsid w:val="6FD67F20"/>
    <w:rsid w:val="6FD9564E"/>
    <w:rsid w:val="6FDB0700"/>
    <w:rsid w:val="6FEA4B24"/>
    <w:rsid w:val="6FF65032"/>
    <w:rsid w:val="70212A05"/>
    <w:rsid w:val="70222F03"/>
    <w:rsid w:val="702A2DF0"/>
    <w:rsid w:val="70385CF1"/>
    <w:rsid w:val="704A1802"/>
    <w:rsid w:val="706F095A"/>
    <w:rsid w:val="70702B1B"/>
    <w:rsid w:val="708F3F4F"/>
    <w:rsid w:val="70AF29BB"/>
    <w:rsid w:val="70CD73A6"/>
    <w:rsid w:val="70D17379"/>
    <w:rsid w:val="70E34A11"/>
    <w:rsid w:val="70EC1752"/>
    <w:rsid w:val="70FA6A76"/>
    <w:rsid w:val="71016664"/>
    <w:rsid w:val="71144AD3"/>
    <w:rsid w:val="71165FE2"/>
    <w:rsid w:val="71173E45"/>
    <w:rsid w:val="7131211A"/>
    <w:rsid w:val="7137018B"/>
    <w:rsid w:val="7137369D"/>
    <w:rsid w:val="719E503F"/>
    <w:rsid w:val="71AC3D91"/>
    <w:rsid w:val="71AE0CBE"/>
    <w:rsid w:val="71BB1304"/>
    <w:rsid w:val="71BF09ED"/>
    <w:rsid w:val="71C13A31"/>
    <w:rsid w:val="71D62B72"/>
    <w:rsid w:val="71ED03B4"/>
    <w:rsid w:val="71FF0740"/>
    <w:rsid w:val="71FF0BB1"/>
    <w:rsid w:val="7205522D"/>
    <w:rsid w:val="72247F14"/>
    <w:rsid w:val="723A4899"/>
    <w:rsid w:val="72506C47"/>
    <w:rsid w:val="72521192"/>
    <w:rsid w:val="72660F67"/>
    <w:rsid w:val="728733AE"/>
    <w:rsid w:val="728A466C"/>
    <w:rsid w:val="729A404B"/>
    <w:rsid w:val="72CB47D7"/>
    <w:rsid w:val="72D3059A"/>
    <w:rsid w:val="72EF7510"/>
    <w:rsid w:val="73013FCC"/>
    <w:rsid w:val="7305661E"/>
    <w:rsid w:val="730967FD"/>
    <w:rsid w:val="730B40D5"/>
    <w:rsid w:val="730C18EF"/>
    <w:rsid w:val="730D08BE"/>
    <w:rsid w:val="73147453"/>
    <w:rsid w:val="73547991"/>
    <w:rsid w:val="736938A6"/>
    <w:rsid w:val="736B7CB7"/>
    <w:rsid w:val="737A7FF3"/>
    <w:rsid w:val="73805796"/>
    <w:rsid w:val="73891BFD"/>
    <w:rsid w:val="73904D90"/>
    <w:rsid w:val="739169F9"/>
    <w:rsid w:val="73A93B13"/>
    <w:rsid w:val="73B76D83"/>
    <w:rsid w:val="73C347BF"/>
    <w:rsid w:val="73D55538"/>
    <w:rsid w:val="73F328B4"/>
    <w:rsid w:val="740E561C"/>
    <w:rsid w:val="742E1FC1"/>
    <w:rsid w:val="74324CC1"/>
    <w:rsid w:val="7433686E"/>
    <w:rsid w:val="74375F03"/>
    <w:rsid w:val="743A39BF"/>
    <w:rsid w:val="74523D2E"/>
    <w:rsid w:val="745B496E"/>
    <w:rsid w:val="746B439E"/>
    <w:rsid w:val="746E5CAF"/>
    <w:rsid w:val="7471367E"/>
    <w:rsid w:val="7474255D"/>
    <w:rsid w:val="749E119A"/>
    <w:rsid w:val="749F7F31"/>
    <w:rsid w:val="74A40EAA"/>
    <w:rsid w:val="74AE17EE"/>
    <w:rsid w:val="74BB3D0A"/>
    <w:rsid w:val="74C508AE"/>
    <w:rsid w:val="74D33EF6"/>
    <w:rsid w:val="7505631A"/>
    <w:rsid w:val="75317252"/>
    <w:rsid w:val="753D0120"/>
    <w:rsid w:val="7545306E"/>
    <w:rsid w:val="75645C23"/>
    <w:rsid w:val="756F79DE"/>
    <w:rsid w:val="75887F63"/>
    <w:rsid w:val="75925EFC"/>
    <w:rsid w:val="75992D53"/>
    <w:rsid w:val="759C1620"/>
    <w:rsid w:val="75A2439F"/>
    <w:rsid w:val="75A91967"/>
    <w:rsid w:val="75C32B15"/>
    <w:rsid w:val="75C56AEC"/>
    <w:rsid w:val="75D94171"/>
    <w:rsid w:val="75E12807"/>
    <w:rsid w:val="75EE6F1B"/>
    <w:rsid w:val="75F776FF"/>
    <w:rsid w:val="75FB22F9"/>
    <w:rsid w:val="76023178"/>
    <w:rsid w:val="760A68D4"/>
    <w:rsid w:val="761A6A1B"/>
    <w:rsid w:val="763165DE"/>
    <w:rsid w:val="76346F66"/>
    <w:rsid w:val="76390822"/>
    <w:rsid w:val="76661857"/>
    <w:rsid w:val="76680AFF"/>
    <w:rsid w:val="76784C8D"/>
    <w:rsid w:val="767A50C2"/>
    <w:rsid w:val="7698243C"/>
    <w:rsid w:val="769D4442"/>
    <w:rsid w:val="76AF515A"/>
    <w:rsid w:val="76B80C7F"/>
    <w:rsid w:val="76C75DB3"/>
    <w:rsid w:val="76E85855"/>
    <w:rsid w:val="76EC12E2"/>
    <w:rsid w:val="76F658FD"/>
    <w:rsid w:val="76F6644C"/>
    <w:rsid w:val="772B3F12"/>
    <w:rsid w:val="772D0C87"/>
    <w:rsid w:val="773D64AD"/>
    <w:rsid w:val="774A4881"/>
    <w:rsid w:val="77616EF2"/>
    <w:rsid w:val="77663478"/>
    <w:rsid w:val="776A2496"/>
    <w:rsid w:val="777703EE"/>
    <w:rsid w:val="777E2C3B"/>
    <w:rsid w:val="777F21C3"/>
    <w:rsid w:val="7789020C"/>
    <w:rsid w:val="778C3F53"/>
    <w:rsid w:val="778F32FA"/>
    <w:rsid w:val="77972A00"/>
    <w:rsid w:val="7798025B"/>
    <w:rsid w:val="77CA5641"/>
    <w:rsid w:val="77D46871"/>
    <w:rsid w:val="77D51D10"/>
    <w:rsid w:val="77D86A80"/>
    <w:rsid w:val="77DD019D"/>
    <w:rsid w:val="77F16BB1"/>
    <w:rsid w:val="77F82B38"/>
    <w:rsid w:val="780C3DBA"/>
    <w:rsid w:val="780D4DDE"/>
    <w:rsid w:val="78155595"/>
    <w:rsid w:val="78203AD8"/>
    <w:rsid w:val="78307537"/>
    <w:rsid w:val="783A582F"/>
    <w:rsid w:val="78414B3A"/>
    <w:rsid w:val="786023ED"/>
    <w:rsid w:val="78636907"/>
    <w:rsid w:val="78780CEE"/>
    <w:rsid w:val="78807E7F"/>
    <w:rsid w:val="788A489C"/>
    <w:rsid w:val="7899691A"/>
    <w:rsid w:val="78A37D7C"/>
    <w:rsid w:val="78C83AD2"/>
    <w:rsid w:val="794037B5"/>
    <w:rsid w:val="79455F0D"/>
    <w:rsid w:val="7945643C"/>
    <w:rsid w:val="795C6137"/>
    <w:rsid w:val="795E77E1"/>
    <w:rsid w:val="796F1DC0"/>
    <w:rsid w:val="79746DD5"/>
    <w:rsid w:val="79755663"/>
    <w:rsid w:val="797845D9"/>
    <w:rsid w:val="797D5665"/>
    <w:rsid w:val="798A5C60"/>
    <w:rsid w:val="79A07515"/>
    <w:rsid w:val="79A1229B"/>
    <w:rsid w:val="7A00729F"/>
    <w:rsid w:val="7A05687D"/>
    <w:rsid w:val="7A0A6345"/>
    <w:rsid w:val="7A135A7D"/>
    <w:rsid w:val="7A1B2D1C"/>
    <w:rsid w:val="7A2E15EF"/>
    <w:rsid w:val="7A374B1F"/>
    <w:rsid w:val="7A382897"/>
    <w:rsid w:val="7A392CE7"/>
    <w:rsid w:val="7A3E2F80"/>
    <w:rsid w:val="7A72057C"/>
    <w:rsid w:val="7A7C38B0"/>
    <w:rsid w:val="7A9861CB"/>
    <w:rsid w:val="7AAE3E65"/>
    <w:rsid w:val="7AB861F9"/>
    <w:rsid w:val="7ACA5466"/>
    <w:rsid w:val="7AD45C10"/>
    <w:rsid w:val="7AD537D1"/>
    <w:rsid w:val="7ADC5436"/>
    <w:rsid w:val="7AE3328E"/>
    <w:rsid w:val="7AE959D4"/>
    <w:rsid w:val="7B0077C8"/>
    <w:rsid w:val="7B0A6A9B"/>
    <w:rsid w:val="7B0D2818"/>
    <w:rsid w:val="7B1254BB"/>
    <w:rsid w:val="7B1306E3"/>
    <w:rsid w:val="7B2750E0"/>
    <w:rsid w:val="7B4E7DC1"/>
    <w:rsid w:val="7B594637"/>
    <w:rsid w:val="7B795F0A"/>
    <w:rsid w:val="7B81556A"/>
    <w:rsid w:val="7B8D4E9E"/>
    <w:rsid w:val="7B8E1EA6"/>
    <w:rsid w:val="7B94060C"/>
    <w:rsid w:val="7B994E29"/>
    <w:rsid w:val="7BA73227"/>
    <w:rsid w:val="7BA838BD"/>
    <w:rsid w:val="7BB75777"/>
    <w:rsid w:val="7BC266AD"/>
    <w:rsid w:val="7BCC6F60"/>
    <w:rsid w:val="7BD41347"/>
    <w:rsid w:val="7BD63B6E"/>
    <w:rsid w:val="7BE45584"/>
    <w:rsid w:val="7BF22378"/>
    <w:rsid w:val="7C291216"/>
    <w:rsid w:val="7C2B048D"/>
    <w:rsid w:val="7C362CAE"/>
    <w:rsid w:val="7C44237D"/>
    <w:rsid w:val="7C460013"/>
    <w:rsid w:val="7C66565C"/>
    <w:rsid w:val="7C7D7885"/>
    <w:rsid w:val="7C884F07"/>
    <w:rsid w:val="7C8D43AB"/>
    <w:rsid w:val="7C8F1DDB"/>
    <w:rsid w:val="7C99511D"/>
    <w:rsid w:val="7C996138"/>
    <w:rsid w:val="7CA879AC"/>
    <w:rsid w:val="7CB82DCD"/>
    <w:rsid w:val="7CBD31D9"/>
    <w:rsid w:val="7CD476C9"/>
    <w:rsid w:val="7CE3614E"/>
    <w:rsid w:val="7CFB2AE8"/>
    <w:rsid w:val="7CFD06A4"/>
    <w:rsid w:val="7D635745"/>
    <w:rsid w:val="7D6D0647"/>
    <w:rsid w:val="7D984607"/>
    <w:rsid w:val="7DA243F4"/>
    <w:rsid w:val="7DA9460F"/>
    <w:rsid w:val="7DB02E07"/>
    <w:rsid w:val="7DC6049B"/>
    <w:rsid w:val="7DDF08AD"/>
    <w:rsid w:val="7DE65FBE"/>
    <w:rsid w:val="7DFD3D7D"/>
    <w:rsid w:val="7DFF6F70"/>
    <w:rsid w:val="7E0B4334"/>
    <w:rsid w:val="7E1640FB"/>
    <w:rsid w:val="7E1D725E"/>
    <w:rsid w:val="7E232692"/>
    <w:rsid w:val="7E345DFF"/>
    <w:rsid w:val="7E3B2283"/>
    <w:rsid w:val="7E3F1734"/>
    <w:rsid w:val="7E4B0118"/>
    <w:rsid w:val="7E5871FA"/>
    <w:rsid w:val="7E5B49B5"/>
    <w:rsid w:val="7E6C6EF8"/>
    <w:rsid w:val="7E7145B3"/>
    <w:rsid w:val="7E795155"/>
    <w:rsid w:val="7E7B3986"/>
    <w:rsid w:val="7E826950"/>
    <w:rsid w:val="7E9064E4"/>
    <w:rsid w:val="7E9E2C4F"/>
    <w:rsid w:val="7E9F4D2C"/>
    <w:rsid w:val="7EA30CDC"/>
    <w:rsid w:val="7EC16AFC"/>
    <w:rsid w:val="7EC30BBA"/>
    <w:rsid w:val="7ECE1F08"/>
    <w:rsid w:val="7ED56C6C"/>
    <w:rsid w:val="7ED8373F"/>
    <w:rsid w:val="7EDD57F4"/>
    <w:rsid w:val="7EED0F0A"/>
    <w:rsid w:val="7EF82D86"/>
    <w:rsid w:val="7EFB1E9B"/>
    <w:rsid w:val="7F096F96"/>
    <w:rsid w:val="7F182FE7"/>
    <w:rsid w:val="7F220E8A"/>
    <w:rsid w:val="7F5828CA"/>
    <w:rsid w:val="7F651FE6"/>
    <w:rsid w:val="7F7405C7"/>
    <w:rsid w:val="7F8A7F3B"/>
    <w:rsid w:val="7F8B15A9"/>
    <w:rsid w:val="7F925810"/>
    <w:rsid w:val="7FAE77C2"/>
    <w:rsid w:val="7FDC1E3F"/>
    <w:rsid w:val="7FF45605"/>
    <w:rsid w:val="7FF66A96"/>
    <w:rsid w:val="7FFA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1"/>
    <w:qFormat/>
    <w:uiPriority w:val="0"/>
    <w:pPr>
      <w:keepNext/>
      <w:keepLines/>
      <w:spacing w:line="576" w:lineRule="auto"/>
      <w:jc w:val="center"/>
      <w:outlineLvl w:val="0"/>
    </w:pPr>
    <w:rPr>
      <w:b/>
      <w:kern w:val="44"/>
      <w:sz w:val="32"/>
      <w:szCs w:val="20"/>
    </w:rPr>
  </w:style>
  <w:style w:type="paragraph" w:styleId="5">
    <w:name w:val="heading 2"/>
    <w:basedOn w:val="1"/>
    <w:next w:val="1"/>
    <w:qFormat/>
    <w:uiPriority w:val="0"/>
    <w:pPr>
      <w:keepNext/>
      <w:keepLines/>
      <w:spacing w:line="413" w:lineRule="auto"/>
      <w:jc w:val="left"/>
      <w:outlineLvl w:val="1"/>
    </w:pPr>
    <w:rPr>
      <w:rFonts w:ascii="Arial" w:hAnsi="Arial"/>
      <w:b/>
      <w:sz w:val="28"/>
    </w:rPr>
  </w:style>
  <w:style w:type="paragraph" w:styleId="6">
    <w:name w:val="heading 3"/>
    <w:basedOn w:val="1"/>
    <w:next w:val="1"/>
    <w:qFormat/>
    <w:uiPriority w:val="0"/>
    <w:pPr>
      <w:keepNext/>
      <w:keepLines/>
      <w:spacing w:line="413" w:lineRule="auto"/>
      <w:outlineLvl w:val="2"/>
    </w:pPr>
    <w:rPr>
      <w:b/>
      <w:sz w:val="28"/>
    </w:rPr>
  </w:style>
  <w:style w:type="paragraph" w:styleId="7">
    <w:name w:val="heading 4"/>
    <w:basedOn w:val="1"/>
    <w:next w:val="1"/>
    <w:qFormat/>
    <w:uiPriority w:val="0"/>
    <w:pPr>
      <w:keepNext/>
      <w:keepLines/>
      <w:jc w:val="left"/>
      <w:outlineLvl w:val="3"/>
    </w:pPr>
    <w:rPr>
      <w:rFonts w:hint="eastAsia" w:ascii="Arial" w:hAnsi="Arial"/>
      <w:b/>
      <w:sz w:val="32"/>
    </w:rPr>
  </w:style>
  <w:style w:type="paragraph" w:styleId="8">
    <w:name w:val="heading 6"/>
    <w:basedOn w:val="1"/>
    <w:next w:val="1"/>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rPr>
      <w:rFonts w:hAnsi="宋体"/>
      <w:sz w:val="18"/>
      <w:szCs w:val="18"/>
    </w:rPr>
  </w:style>
  <w:style w:type="paragraph" w:styleId="3">
    <w:name w:val="Body Text"/>
    <w:basedOn w:val="1"/>
    <w:next w:val="1"/>
    <w:link w:val="40"/>
    <w:qFormat/>
    <w:uiPriority w:val="0"/>
    <w:rPr>
      <w:color w:val="993300"/>
      <w:kern w:val="0"/>
      <w:sz w:val="24"/>
      <w:szCs w:val="24"/>
    </w:rPr>
  </w:style>
  <w:style w:type="paragraph" w:styleId="9">
    <w:name w:val="List Number"/>
    <w:basedOn w:val="1"/>
    <w:qFormat/>
    <w:uiPriority w:val="0"/>
    <w:pPr>
      <w:numPr>
        <w:ilvl w:val="0"/>
        <w:numId w:val="1"/>
      </w:numPr>
    </w:pPr>
  </w:style>
  <w:style w:type="paragraph" w:styleId="10">
    <w:name w:val="Normal Indent"/>
    <w:basedOn w:val="1"/>
    <w:next w:val="11"/>
    <w:qFormat/>
    <w:uiPriority w:val="0"/>
    <w:pPr>
      <w:ind w:firstLine="420"/>
    </w:pPr>
    <w:rPr>
      <w:szCs w:val="20"/>
    </w:rPr>
  </w:style>
  <w:style w:type="paragraph" w:styleId="11">
    <w:name w:val="toc 4"/>
    <w:basedOn w:val="1"/>
    <w:next w:val="1"/>
    <w:unhideWhenUsed/>
    <w:qFormat/>
    <w:uiPriority w:val="39"/>
    <w:pPr>
      <w:ind w:left="1260" w:leftChars="600"/>
    </w:pPr>
    <w:rPr>
      <w:szCs w:val="24"/>
    </w:rPr>
  </w:style>
  <w:style w:type="paragraph" w:styleId="12">
    <w:name w:val="Document Map"/>
    <w:basedOn w:val="1"/>
    <w:link w:val="42"/>
    <w:qFormat/>
    <w:uiPriority w:val="0"/>
    <w:rPr>
      <w:rFonts w:ascii="宋体" w:hAnsi="Calibri"/>
      <w:sz w:val="18"/>
      <w:szCs w:val="18"/>
    </w:rPr>
  </w:style>
  <w:style w:type="paragraph" w:styleId="13">
    <w:name w:val="annotation text"/>
    <w:basedOn w:val="1"/>
    <w:link w:val="43"/>
    <w:qFormat/>
    <w:uiPriority w:val="0"/>
    <w:pPr>
      <w:jc w:val="left"/>
    </w:pPr>
    <w:rPr>
      <w:rFonts w:ascii="宋体" w:hAnsi="Calibri"/>
      <w:kern w:val="0"/>
      <w:sz w:val="34"/>
    </w:rPr>
  </w:style>
  <w:style w:type="paragraph" w:styleId="14">
    <w:name w:val="Body Text Indent"/>
    <w:basedOn w:val="1"/>
    <w:qFormat/>
    <w:uiPriority w:val="0"/>
    <w:pPr>
      <w:ind w:left="420" w:leftChars="200"/>
    </w:pPr>
  </w:style>
  <w:style w:type="paragraph" w:styleId="15">
    <w:name w:val="toc 3"/>
    <w:basedOn w:val="1"/>
    <w:next w:val="1"/>
    <w:qFormat/>
    <w:uiPriority w:val="0"/>
    <w:pPr>
      <w:ind w:left="840" w:leftChars="400"/>
    </w:pPr>
  </w:style>
  <w:style w:type="paragraph" w:styleId="16">
    <w:name w:val="Plain Text"/>
    <w:basedOn w:val="1"/>
    <w:qFormat/>
    <w:uiPriority w:val="0"/>
    <w:pPr>
      <w:spacing w:line="324" w:lineRule="auto"/>
    </w:pPr>
    <w:rPr>
      <w:rFonts w:ascii="宋体" w:hAnsi="Courier New" w:cs="Courier New"/>
      <w:szCs w:val="21"/>
    </w:rPr>
  </w:style>
  <w:style w:type="paragraph" w:styleId="17">
    <w:name w:val="Date"/>
    <w:basedOn w:val="1"/>
    <w:next w:val="1"/>
    <w:qFormat/>
    <w:uiPriority w:val="0"/>
    <w:rPr>
      <w:rFonts w:ascii="Copperplate Gothic Bold" w:hAnsi="Copperplate Gothic Bold"/>
      <w:sz w:val="32"/>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44"/>
    <w:qFormat/>
    <w:uiPriority w:val="0"/>
    <w:rPr>
      <w:rFonts w:ascii="Calibri" w:hAnsi="Calibri"/>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2"/>
    <w:basedOn w:val="1"/>
    <w:next w:val="1"/>
    <w:qFormat/>
    <w:uiPriority w:val="0"/>
    <w:pPr>
      <w:ind w:left="420" w:leftChars="200"/>
    </w:pPr>
  </w:style>
  <w:style w:type="paragraph" w:styleId="24">
    <w:name w:val="toc 9"/>
    <w:basedOn w:val="1"/>
    <w:next w:val="1"/>
    <w:qFormat/>
    <w:uiPriority w:val="0"/>
    <w:pPr>
      <w:wordWrap w:val="0"/>
      <w:ind w:left="2975"/>
    </w:pPr>
  </w:style>
  <w:style w:type="paragraph" w:styleId="25">
    <w:name w:val="Body Text 2"/>
    <w:basedOn w:val="1"/>
    <w:qFormat/>
    <w:uiPriority w:val="0"/>
    <w:pPr>
      <w:jc w:val="center"/>
    </w:pPr>
    <w:rPr>
      <w:b/>
      <w:spacing w:val="-20"/>
      <w:w w:val="130"/>
      <w:sz w:val="48"/>
      <w:szCs w:val="20"/>
    </w:r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7">
    <w:name w:val="Title"/>
    <w:basedOn w:val="1"/>
    <w:qFormat/>
    <w:uiPriority w:val="0"/>
    <w:pPr>
      <w:jc w:val="center"/>
    </w:pPr>
    <w:rPr>
      <w:sz w:val="30"/>
      <w:szCs w:val="24"/>
    </w:rPr>
  </w:style>
  <w:style w:type="paragraph" w:styleId="28">
    <w:name w:val="annotation subject"/>
    <w:basedOn w:val="13"/>
    <w:next w:val="13"/>
    <w:link w:val="45"/>
    <w:qFormat/>
    <w:uiPriority w:val="0"/>
    <w:rPr>
      <w:rFonts w:ascii="Calibri"/>
      <w:b/>
      <w:bCs/>
      <w:kern w:val="2"/>
      <w:sz w:val="21"/>
    </w:rPr>
  </w:style>
  <w:style w:type="paragraph" w:styleId="29">
    <w:name w:val="Body Text First Indent 2"/>
    <w:basedOn w:val="14"/>
    <w:unhideWhenUsed/>
    <w:qFormat/>
    <w:uiPriority w:val="0"/>
    <w:pPr>
      <w:ind w:firstLine="420" w:firstLineChars="200"/>
    </w:pPr>
    <w:rPr>
      <w:szCs w:val="20"/>
    </w:rPr>
  </w:style>
  <w:style w:type="table" w:styleId="31">
    <w:name w:val="Table Grid"/>
    <w:basedOn w:val="3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sz w:val="24"/>
      <w:szCs w:val="24"/>
    </w:rPr>
  </w:style>
  <w:style w:type="character" w:styleId="34">
    <w:name w:val="page number"/>
    <w:qFormat/>
    <w:uiPriority w:val="0"/>
  </w:style>
  <w:style w:type="character" w:styleId="35">
    <w:name w:val="FollowedHyperlink"/>
    <w:qFormat/>
    <w:uiPriority w:val="0"/>
    <w:rPr>
      <w:rFonts w:hint="eastAsia" w:ascii="宋体" w:hAnsi="宋体" w:eastAsia="宋体" w:cs="宋体"/>
      <w:color w:val="000000"/>
      <w:sz w:val="18"/>
      <w:szCs w:val="18"/>
      <w:u w:val="non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99"/>
    <w:rPr>
      <w:sz w:val="21"/>
      <w:szCs w:val="21"/>
    </w:rPr>
  </w:style>
  <w:style w:type="character" w:styleId="39">
    <w:name w:val="HTML Cite"/>
    <w:qFormat/>
    <w:uiPriority w:val="0"/>
    <w:rPr>
      <w:sz w:val="24"/>
      <w:szCs w:val="24"/>
    </w:rPr>
  </w:style>
  <w:style w:type="character" w:customStyle="1" w:styleId="40">
    <w:name w:val="正文文本 字符"/>
    <w:link w:val="3"/>
    <w:qFormat/>
    <w:uiPriority w:val="0"/>
    <w:rPr>
      <w:rFonts w:hint="default" w:ascii="Times New Roman" w:hAnsi="Times New Roman" w:eastAsia="宋体" w:cs="Times New Roman"/>
      <w:color w:val="993300"/>
      <w:sz w:val="24"/>
      <w:szCs w:val="24"/>
    </w:rPr>
  </w:style>
  <w:style w:type="character" w:customStyle="1" w:styleId="41">
    <w:name w:val="标题 1 字符"/>
    <w:link w:val="4"/>
    <w:qFormat/>
    <w:uiPriority w:val="0"/>
    <w:rPr>
      <w:rFonts w:ascii="Times New Roman" w:hAnsi="Times New Roman" w:eastAsia="宋体"/>
      <w:b/>
      <w:kern w:val="44"/>
      <w:sz w:val="32"/>
    </w:rPr>
  </w:style>
  <w:style w:type="character" w:customStyle="1" w:styleId="42">
    <w:name w:val="文档结构图 字符"/>
    <w:link w:val="12"/>
    <w:qFormat/>
    <w:uiPriority w:val="0"/>
    <w:rPr>
      <w:rFonts w:ascii="宋体" w:hAnsi="Calibri" w:cs="Times New Roman"/>
      <w:kern w:val="2"/>
      <w:sz w:val="18"/>
      <w:szCs w:val="18"/>
    </w:rPr>
  </w:style>
  <w:style w:type="character" w:customStyle="1" w:styleId="43">
    <w:name w:val="批注文字 字符"/>
    <w:link w:val="13"/>
    <w:qFormat/>
    <w:uiPriority w:val="99"/>
    <w:rPr>
      <w:rFonts w:ascii="宋体" w:hAnsi="Calibri" w:eastAsia="宋体" w:cs="Times New Roman"/>
      <w:sz w:val="34"/>
      <w:szCs w:val="22"/>
    </w:rPr>
  </w:style>
  <w:style w:type="character" w:customStyle="1" w:styleId="44">
    <w:name w:val="批注框文本 字符"/>
    <w:link w:val="19"/>
    <w:qFormat/>
    <w:uiPriority w:val="0"/>
    <w:rPr>
      <w:rFonts w:ascii="Calibri" w:hAnsi="Calibri" w:eastAsia="宋体" w:cs="Times New Roman"/>
      <w:kern w:val="2"/>
      <w:sz w:val="18"/>
      <w:szCs w:val="18"/>
    </w:rPr>
  </w:style>
  <w:style w:type="character" w:customStyle="1" w:styleId="45">
    <w:name w:val="批注主题 字符"/>
    <w:link w:val="28"/>
    <w:qFormat/>
    <w:uiPriority w:val="0"/>
    <w:rPr>
      <w:rFonts w:ascii="Calibri" w:hAnsi="Calibri" w:eastAsia="宋体" w:cs="Times New Roman"/>
      <w:b/>
      <w:bCs/>
      <w:kern w:val="2"/>
      <w:sz w:val="21"/>
      <w:szCs w:val="22"/>
    </w:rPr>
  </w:style>
  <w:style w:type="character" w:customStyle="1" w:styleId="46">
    <w:name w:val="font11"/>
    <w:qFormat/>
    <w:uiPriority w:val="0"/>
    <w:rPr>
      <w:rFonts w:hint="eastAsia" w:ascii="宋体" w:hAnsi="宋体" w:eastAsia="宋体" w:cs="宋体"/>
      <w:color w:val="000000"/>
      <w:sz w:val="22"/>
      <w:szCs w:val="22"/>
      <w:u w:val="none"/>
    </w:rPr>
  </w:style>
  <w:style w:type="character" w:customStyle="1" w:styleId="47">
    <w:name w:val="del3"/>
    <w:qFormat/>
    <w:uiPriority w:val="0"/>
    <w:rPr>
      <w:vanish/>
    </w:rPr>
  </w:style>
  <w:style w:type="character" w:customStyle="1" w:styleId="48">
    <w:name w:val="15"/>
    <w:qFormat/>
    <w:uiPriority w:val="0"/>
    <w:rPr>
      <w:rFonts w:hint="default" w:ascii="Calibri" w:hAnsi="Calibri"/>
      <w:i/>
      <w:iCs/>
    </w:rPr>
  </w:style>
  <w:style w:type="character" w:customStyle="1" w:styleId="49">
    <w:name w:val="font01"/>
    <w:qFormat/>
    <w:uiPriority w:val="0"/>
    <w:rPr>
      <w:rFonts w:hint="eastAsia" w:ascii="宋体" w:hAnsi="宋体" w:eastAsia="宋体" w:cs="宋体"/>
      <w:b/>
      <w:color w:val="000000"/>
      <w:sz w:val="24"/>
      <w:szCs w:val="24"/>
      <w:u w:val="none"/>
    </w:rPr>
  </w:style>
  <w:style w:type="character" w:customStyle="1" w:styleId="50">
    <w:name w:val="del2"/>
    <w:qFormat/>
    <w:uiPriority w:val="0"/>
    <w:rPr>
      <w:vanish/>
    </w:rPr>
  </w:style>
  <w:style w:type="character" w:customStyle="1" w:styleId="51">
    <w:name w:val="apple-style-span"/>
    <w:qFormat/>
    <w:uiPriority w:val="0"/>
  </w:style>
  <w:style w:type="character" w:customStyle="1" w:styleId="52">
    <w:name w:val="font61"/>
    <w:qFormat/>
    <w:uiPriority w:val="0"/>
    <w:rPr>
      <w:rFonts w:hint="default" w:ascii="Tahoma" w:hAnsi="Tahoma" w:eastAsia="Tahoma" w:cs="Tahoma"/>
      <w:color w:val="000000"/>
      <w:sz w:val="22"/>
      <w:szCs w:val="22"/>
      <w:u w:val="none"/>
    </w:rPr>
  </w:style>
  <w:style w:type="character" w:customStyle="1" w:styleId="53">
    <w:name w:val="del"/>
    <w:qFormat/>
    <w:uiPriority w:val="0"/>
  </w:style>
  <w:style w:type="character" w:customStyle="1" w:styleId="54">
    <w:name w:val="10"/>
    <w:qFormat/>
    <w:uiPriority w:val="0"/>
    <w:rPr>
      <w:rFonts w:hint="default" w:ascii="Calibri" w:hAnsi="Calibri"/>
    </w:rPr>
  </w:style>
  <w:style w:type="character" w:customStyle="1" w:styleId="55">
    <w:name w:val="del1"/>
    <w:qFormat/>
    <w:uiPriority w:val="0"/>
    <w:rPr>
      <w:vanish/>
      <w:color w:val="666666"/>
      <w:sz w:val="18"/>
      <w:szCs w:val="18"/>
      <w:u w:val="single"/>
    </w:rPr>
  </w:style>
  <w:style w:type="paragraph" w:customStyle="1" w:styleId="56">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7">
    <w:name w:val="List Paragraph1"/>
    <w:basedOn w:val="1"/>
    <w:qFormat/>
    <w:uiPriority w:val="99"/>
    <w:pPr>
      <w:ind w:firstLine="420" w:firstLineChars="200"/>
    </w:pPr>
  </w:style>
  <w:style w:type="paragraph" w:customStyle="1" w:styleId="58">
    <w:name w:val="列出段落11"/>
    <w:basedOn w:val="1"/>
    <w:qFormat/>
    <w:uiPriority w:val="99"/>
    <w:pPr>
      <w:ind w:firstLine="420" w:firstLineChars="200"/>
    </w:pPr>
  </w:style>
  <w:style w:type="paragraph" w:customStyle="1" w:styleId="59">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6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列出段落3"/>
    <w:basedOn w:val="1"/>
    <w:qFormat/>
    <w:uiPriority w:val="0"/>
    <w:pPr>
      <w:ind w:firstLine="420" w:firstLineChars="200"/>
    </w:pPr>
    <w:rPr>
      <w:rFonts w:ascii="宋体"/>
      <w:sz w:val="28"/>
    </w:rPr>
  </w:style>
  <w:style w:type="paragraph" w:customStyle="1" w:styleId="62">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表格内文字"/>
    <w:basedOn w:val="1"/>
    <w:qFormat/>
    <w:uiPriority w:val="0"/>
    <w:pPr>
      <w:keepLines/>
      <w:widowControl/>
      <w:spacing w:before="40" w:after="40"/>
    </w:pPr>
    <w:rPr>
      <w:rFonts w:ascii="Arial" w:hAnsi="Arial" w:cs="宋体"/>
      <w:color w:val="008ED3"/>
      <w:kern w:val="0"/>
      <w:sz w:val="18"/>
      <w:szCs w:val="18"/>
    </w:rPr>
  </w:style>
  <w:style w:type="paragraph" w:customStyle="1" w:styleId="6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列出段落6"/>
    <w:basedOn w:val="1"/>
    <w:qFormat/>
    <w:uiPriority w:val="34"/>
    <w:pPr>
      <w:widowControl/>
      <w:spacing w:after="200" w:line="276" w:lineRule="auto"/>
      <w:ind w:left="720"/>
      <w:contextualSpacing/>
      <w:jc w:val="left"/>
    </w:pPr>
    <w:rPr>
      <w:kern w:val="0"/>
      <w:sz w:val="22"/>
    </w:rPr>
  </w:style>
  <w:style w:type="paragraph" w:customStyle="1" w:styleId="67">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68">
    <w:name w:val="No Spacing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69">
    <w:name w:val="小标题"/>
    <w:next w:val="1"/>
    <w:qFormat/>
    <w:uiPriority w:val="0"/>
    <w:pPr>
      <w:keepNext/>
      <w:outlineLvl w:val="0"/>
    </w:pPr>
    <w:rPr>
      <w:rFonts w:ascii="Helvetica Neue" w:hAnsi="Helvetica Neue" w:eastAsia="Helvetica Neue" w:cs="Helvetica Neue"/>
      <w:b/>
      <w:bCs/>
      <w:color w:val="000000"/>
      <w:sz w:val="36"/>
      <w:szCs w:val="36"/>
      <w:lang w:val="en-US" w:eastAsia="zh-CN" w:bidi="ar-SA"/>
    </w:rPr>
  </w:style>
  <w:style w:type="paragraph" w:customStyle="1" w:styleId="70">
    <w:name w:val="表格样式 2"/>
    <w:qFormat/>
    <w:uiPriority w:val="0"/>
    <w:rPr>
      <w:rFonts w:ascii="Helvetica Neue" w:hAnsi="Helvetica Neue" w:eastAsia="Helvetica Neue" w:cs="Helvetica Neue"/>
      <w:color w:val="000000"/>
      <w:lang w:val="en-US" w:eastAsia="zh-CN" w:bidi="ar-SA"/>
    </w:rPr>
  </w:style>
  <w:style w:type="paragraph" w:customStyle="1" w:styleId="71">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72">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3">
    <w:name w:val="列出段落4"/>
    <w:basedOn w:val="1"/>
    <w:qFormat/>
    <w:uiPriority w:val="34"/>
    <w:pPr>
      <w:ind w:firstLine="420" w:firstLineChars="200"/>
    </w:pPr>
  </w:style>
  <w:style w:type="paragraph" w:customStyle="1" w:styleId="74">
    <w:name w:val="正文框"/>
    <w:basedOn w:val="1"/>
    <w:qFormat/>
    <w:uiPriority w:val="0"/>
    <w:pPr>
      <w:widowControl/>
      <w:adjustRightInd w:val="0"/>
      <w:spacing w:line="312" w:lineRule="atLeast"/>
      <w:jc w:val="left"/>
      <w:textAlignment w:val="baseline"/>
    </w:pPr>
    <w:rPr>
      <w:sz w:val="24"/>
    </w:rPr>
  </w:style>
  <w:style w:type="paragraph" w:customStyle="1" w:styleId="75">
    <w:name w:val="列出段落1"/>
    <w:basedOn w:val="1"/>
    <w:qFormat/>
    <w:uiPriority w:val="99"/>
    <w:pPr>
      <w:ind w:firstLine="420" w:firstLineChars="200"/>
    </w:pPr>
  </w:style>
  <w:style w:type="paragraph" w:customStyle="1" w:styleId="76">
    <w:name w:val="列出段落12"/>
    <w:basedOn w:val="1"/>
    <w:unhideWhenUsed/>
    <w:qFormat/>
    <w:uiPriority w:val="99"/>
    <w:pPr>
      <w:ind w:firstLine="420" w:firstLineChars="200"/>
    </w:pPr>
  </w:style>
  <w:style w:type="paragraph" w:customStyle="1" w:styleId="77">
    <w:name w:val="表格样式 1"/>
    <w:qFormat/>
    <w:uiPriority w:val="0"/>
    <w:rPr>
      <w:rFonts w:ascii="Helvetica Neue" w:hAnsi="Helvetica Neue" w:eastAsia="Helvetica Neue" w:cs="Helvetica Neue"/>
      <w:b/>
      <w:bCs/>
      <w:color w:val="000000"/>
      <w:lang w:val="en-US" w:eastAsia="zh-CN" w:bidi="ar-SA"/>
    </w:rPr>
  </w:style>
  <w:style w:type="paragraph" w:customStyle="1" w:styleId="78">
    <w:name w:val="Char"/>
    <w:basedOn w:val="1"/>
    <w:qFormat/>
    <w:uiPriority w:val="0"/>
    <w:pPr>
      <w:jc w:val="left"/>
    </w:pPr>
    <w:rPr>
      <w:rFonts w:ascii="Tahoma" w:hAnsi="Tahoma"/>
      <w:sz w:val="24"/>
      <w:szCs w:val="20"/>
    </w:rPr>
  </w:style>
  <w:style w:type="paragraph" w:customStyle="1" w:styleId="79">
    <w:name w:val="列出段落61"/>
    <w:basedOn w:val="1"/>
    <w:qFormat/>
    <w:uiPriority w:val="34"/>
    <w:pPr>
      <w:widowControl/>
      <w:spacing w:after="200" w:line="276" w:lineRule="auto"/>
      <w:ind w:left="720"/>
      <w:contextualSpacing/>
      <w:jc w:val="left"/>
    </w:pPr>
    <w:rPr>
      <w:kern w:val="0"/>
      <w:sz w:val="22"/>
    </w:rPr>
  </w:style>
  <w:style w:type="paragraph" w:customStyle="1" w:styleId="80">
    <w:name w:val="Char2 Char Char Char"/>
    <w:basedOn w:val="1"/>
    <w:qFormat/>
    <w:uiPriority w:val="0"/>
    <w:rPr>
      <w:rFonts w:ascii="Tahoma" w:hAnsi="Tahoma"/>
      <w:sz w:val="24"/>
      <w:szCs w:val="20"/>
    </w:rPr>
  </w:style>
  <w:style w:type="paragraph" w:customStyle="1" w:styleId="81">
    <w:name w:val="列出段落2"/>
    <w:basedOn w:val="1"/>
    <w:qFormat/>
    <w:uiPriority w:val="0"/>
    <w:pPr>
      <w:ind w:firstLine="420" w:firstLineChars="200"/>
    </w:pPr>
    <w:rPr>
      <w:rFonts w:ascii="宋体"/>
      <w:sz w:val="28"/>
    </w:rPr>
  </w:style>
  <w:style w:type="paragraph" w:customStyle="1" w:styleId="82">
    <w:name w:val="_Style 2"/>
    <w:basedOn w:val="1"/>
    <w:qFormat/>
    <w:uiPriority w:val="34"/>
    <w:pPr>
      <w:ind w:firstLine="420" w:firstLineChars="200"/>
    </w:pPr>
  </w:style>
  <w:style w:type="paragraph" w:customStyle="1" w:styleId="83">
    <w:name w:val="list number ＋left spaceing"/>
    <w:basedOn w:val="9"/>
    <w:qFormat/>
    <w:uiPriority w:val="0"/>
    <w:pPr>
      <w:widowControl/>
      <w:tabs>
        <w:tab w:val="left" w:pos="839"/>
      </w:tabs>
      <w:ind w:left="0" w:firstLine="0"/>
      <w:jc w:val="left"/>
    </w:pPr>
    <w:rPr>
      <w:kern w:val="0"/>
    </w:rPr>
  </w:style>
  <w:style w:type="paragraph" w:customStyle="1" w:styleId="84">
    <w:name w:val="Body text|21"/>
    <w:basedOn w:val="1"/>
    <w:qFormat/>
    <w:uiPriority w:val="0"/>
    <w:pPr>
      <w:shd w:val="clear" w:color="auto" w:fill="FFFFFF"/>
      <w:spacing w:before="240" w:after="340" w:line="200" w:lineRule="exact"/>
      <w:ind w:hanging="480"/>
      <w:jc w:val="left"/>
    </w:pPr>
    <w:rPr>
      <w:rFonts w:ascii="PMingLiU" w:hAnsi="PMingLiU" w:eastAsia="PMingLiU" w:cs="PMingLiU"/>
      <w:spacing w:val="10"/>
      <w:kern w:val="0"/>
      <w:sz w:val="20"/>
      <w:szCs w:val="20"/>
    </w:rPr>
  </w:style>
  <w:style w:type="paragraph" w:customStyle="1" w:styleId="85">
    <w:name w:val="列出段落5"/>
    <w:basedOn w:val="1"/>
    <w:unhideWhenUsed/>
    <w:qFormat/>
    <w:uiPriority w:val="99"/>
    <w:pPr>
      <w:ind w:firstLine="420" w:firstLineChars="200"/>
    </w:pPr>
  </w:style>
  <w:style w:type="paragraph" w:customStyle="1" w:styleId="86">
    <w:name w:val="Default"/>
    <w:qFormat/>
    <w:uiPriority w:val="0"/>
    <w:pPr>
      <w:widowControl w:val="0"/>
      <w:autoSpaceDE w:val="0"/>
      <w:autoSpaceDN w:val="0"/>
      <w:adjustRightInd w:val="0"/>
    </w:pPr>
    <w:rPr>
      <w:rFonts w:ascii="华文仿宋" w:hAnsi="华文仿宋" w:eastAsia="宋体" w:cs="华文仿宋"/>
      <w:color w:val="000000"/>
      <w:sz w:val="24"/>
      <w:szCs w:val="24"/>
      <w:lang w:val="en-US" w:eastAsia="zh-CN" w:bidi="ar-SA"/>
    </w:rPr>
  </w:style>
  <w:style w:type="paragraph" w:customStyle="1" w:styleId="87">
    <w:name w:val="Table Paragraph"/>
    <w:basedOn w:val="1"/>
    <w:qFormat/>
    <w:uiPriority w:val="0"/>
    <w:pPr>
      <w:autoSpaceDE w:val="0"/>
      <w:autoSpaceDN w:val="0"/>
      <w:jc w:val="left"/>
    </w:pPr>
    <w:rPr>
      <w:rFonts w:hint="eastAsia" w:ascii="宋体" w:hAnsi="宋体"/>
      <w:kern w:val="0"/>
      <w:sz w:val="22"/>
    </w:rPr>
  </w:style>
  <w:style w:type="table" w:customStyle="1" w:styleId="88">
    <w:name w:val="Table Normal"/>
    <w:qFormat/>
    <w:uiPriority w:val="0"/>
    <w:tblPr>
      <w:tblCellMar>
        <w:top w:w="0" w:type="dxa"/>
        <w:left w:w="0" w:type="dxa"/>
        <w:bottom w:w="0" w:type="dxa"/>
        <w:right w:w="0" w:type="dxa"/>
      </w:tblCellMar>
    </w:tblPr>
  </w:style>
  <w:style w:type="character" w:customStyle="1" w:styleId="89">
    <w:name w:val="font21"/>
    <w:qFormat/>
    <w:uiPriority w:val="0"/>
    <w:rPr>
      <w:rFonts w:hint="eastAsia" w:ascii="宋体" w:hAnsi="宋体" w:eastAsia="宋体" w:cs="宋体"/>
      <w:color w:val="000000"/>
      <w:sz w:val="21"/>
      <w:szCs w:val="21"/>
      <w:u w:val="none"/>
    </w:rPr>
  </w:style>
  <w:style w:type="paragraph" w:customStyle="1" w:styleId="90">
    <w:name w:val="_Style 87"/>
    <w:unhideWhenUsed/>
    <w:qFormat/>
    <w:uiPriority w:val="99"/>
    <w:rPr>
      <w:rFonts w:ascii="Times New Roman" w:hAnsi="Times New Roman" w:eastAsia="宋体" w:cs="Times New Roman"/>
      <w:kern w:val="2"/>
      <w:sz w:val="21"/>
      <w:szCs w:val="22"/>
      <w:lang w:val="en-US" w:eastAsia="zh-CN" w:bidi="ar-SA"/>
    </w:rPr>
  </w:style>
  <w:style w:type="paragraph" w:styleId="91">
    <w:name w:val="List Paragraph"/>
    <w:basedOn w:val="1"/>
    <w:qFormat/>
    <w:uiPriority w:val="34"/>
    <w:pPr>
      <w:ind w:left="720"/>
      <w:contextualSpacing/>
    </w:pPr>
    <w:rPr>
      <w:rFonts w:ascii="Times New Roman" w:hAnsi="Times New Roman"/>
      <w:szCs w:val="24"/>
    </w:rPr>
  </w:style>
  <w:style w:type="character" w:customStyle="1" w:styleId="9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jpe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68</Pages>
  <Words>25218</Words>
  <Characters>27910</Characters>
  <Lines>259</Lines>
  <Paragraphs>73</Paragraphs>
  <TotalTime>2</TotalTime>
  <ScaleCrop>false</ScaleCrop>
  <LinksUpToDate>false</LinksUpToDate>
  <CharactersWithSpaces>29448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2022-03-28T09:59:00Z</dcterms:created>
  <dc:creator>Administrator</dc:creator>
  <cp:lastModifiedBy>じ☆veSunny</cp:lastModifiedBy>
  <cp:lastPrinted>2022-04-19T07:43:00Z</cp:lastPrinted>
  <dcterms:modified xsi:type="dcterms:W3CDTF">2022-07-14T11:40:17Z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91BDB47D7C164A7CAA7B59F388EB8CFE</vt:lpwstr>
  </property>
</Properties>
</file>